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8A" w:rsidRPr="00F02B4B" w:rsidRDefault="00C70095" w:rsidP="000E138A">
      <w:pPr>
        <w:spacing w:before="40"/>
        <w:ind w:right="-3"/>
        <w:rPr>
          <w:rFonts w:ascii="Arial" w:hAnsi="Arial" w:cs="Arial"/>
          <w:sz w:val="20"/>
          <w:szCs w:val="20"/>
        </w:rPr>
      </w:pPr>
      <w:r>
        <w:rPr>
          <w:rFonts w:ascii="Arial" w:hAnsi="Arial" w:cs="Arial"/>
          <w:noProof/>
          <w:color w:val="000000"/>
          <w:sz w:val="20"/>
          <w:szCs w:val="20"/>
          <w:lang w:eastAsia="sl-SI"/>
        </w:rPr>
        <w:drawing>
          <wp:anchor distT="0" distB="0" distL="114300" distR="114300" simplePos="0" relativeHeight="251657216" behindDoc="0" locked="0" layoutInCell="1" allowOverlap="1">
            <wp:simplePos x="0" y="0"/>
            <wp:positionH relativeFrom="column">
              <wp:posOffset>-363855</wp:posOffset>
            </wp:positionH>
            <wp:positionV relativeFrom="paragraph">
              <wp:posOffset>-59055</wp:posOffset>
            </wp:positionV>
            <wp:extent cx="3967480" cy="358775"/>
            <wp:effectExtent l="0" t="0" r="0" b="3175"/>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7480" cy="358775"/>
                    </a:xfrm>
                    <a:prstGeom prst="rect">
                      <a:avLst/>
                    </a:prstGeom>
                    <a:noFill/>
                    <a:ln>
                      <a:noFill/>
                    </a:ln>
                  </pic:spPr>
                </pic:pic>
              </a:graphicData>
            </a:graphic>
          </wp:anchor>
        </w:drawing>
      </w:r>
    </w:p>
    <w:p w:rsidR="000E138A" w:rsidRPr="00F02B4B" w:rsidRDefault="000E138A" w:rsidP="000E138A">
      <w:pPr>
        <w:spacing w:before="60"/>
        <w:ind w:right="-3"/>
        <w:rPr>
          <w:rFonts w:ascii="Arial" w:hAnsi="Arial" w:cs="Arial"/>
          <w:sz w:val="20"/>
          <w:szCs w:val="20"/>
        </w:rPr>
      </w:pPr>
    </w:p>
    <w:p w:rsidR="000E138A" w:rsidRPr="00F02B4B" w:rsidRDefault="00EB748D" w:rsidP="000E138A">
      <w:pPr>
        <w:spacing w:before="60"/>
        <w:ind w:right="-3"/>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simplePos x="0" y="0"/>
                <wp:positionH relativeFrom="column">
                  <wp:posOffset>1404620</wp:posOffset>
                </wp:positionH>
                <wp:positionV relativeFrom="paragraph">
                  <wp:posOffset>9076055</wp:posOffset>
                </wp:positionV>
                <wp:extent cx="4791075" cy="580390"/>
                <wp:effectExtent l="0" t="0" r="952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B1A" w:rsidRPr="00D61ACE" w:rsidRDefault="00234B1A"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ewIAAP8E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CbT9A+ewIA&#10;AP8EAAAOAAAAAAAAAAAAAAAAAC4CAABkcnMvZTJvRG9jLnhtbFBLAQItABQABgAIAAAAIQC33jou&#10;4gAAAA0BAAAPAAAAAAAAAAAAAAAAANUEAABkcnMvZG93bnJldi54bWxQSwUGAAAAAAQABADzAAAA&#10;5AUAAAAA&#10;" stroked="f">
                <v:textbox inset="0,0,0,0">
                  <w:txbxContent>
                    <w:p w:rsidR="00234B1A" w:rsidRPr="00D61ACE" w:rsidRDefault="00234B1A" w:rsidP="000E138A">
                      <w:pPr>
                        <w:rPr>
                          <w:color w:val="000000"/>
                          <w:spacing w:val="-2"/>
                          <w:sz w:val="16"/>
                          <w:szCs w:val="16"/>
                          <w:lang w:eastAsia="sl-SI"/>
                        </w:rPr>
                      </w:pPr>
                    </w:p>
                  </w:txbxContent>
                </v:textbox>
              </v:shape>
            </w:pict>
          </mc:Fallback>
        </mc:AlternateContent>
      </w:r>
    </w:p>
    <w:p w:rsidR="000E138A" w:rsidRPr="00F02B4B" w:rsidRDefault="000E138A" w:rsidP="000E138A">
      <w:pPr>
        <w:pStyle w:val="Glava"/>
        <w:tabs>
          <w:tab w:val="clear" w:pos="4320"/>
          <w:tab w:val="clear" w:pos="8640"/>
          <w:tab w:val="left" w:pos="5112"/>
        </w:tabs>
        <w:spacing w:before="120" w:line="240" w:lineRule="exact"/>
        <w:rPr>
          <w:rFonts w:cs="Arial"/>
          <w:szCs w:val="20"/>
          <w:lang w:val="sl-SI"/>
        </w:rPr>
      </w:pPr>
      <w:r w:rsidRPr="00F02B4B">
        <w:rPr>
          <w:rFonts w:cs="Arial"/>
          <w:color w:val="000000"/>
          <w:szCs w:val="20"/>
          <w:lang w:val="sl-SI" w:eastAsia="ar-SA"/>
        </w:rPr>
        <w:t xml:space="preserve">     </w:t>
      </w:r>
      <w:r w:rsidRPr="00F02B4B">
        <w:rPr>
          <w:rFonts w:cs="Arial"/>
          <w:szCs w:val="20"/>
          <w:lang w:val="sl-SI"/>
        </w:rPr>
        <w:t>Langusova ulica 4, 1535 Ljubljana</w:t>
      </w:r>
      <w:r w:rsidRPr="00F02B4B">
        <w:rPr>
          <w:rFonts w:cs="Arial"/>
          <w:szCs w:val="20"/>
          <w:lang w:val="sl-SI"/>
        </w:rPr>
        <w:tab/>
        <w:t>T: 01 478 80 00</w:t>
      </w:r>
    </w:p>
    <w:p w:rsidR="000E138A" w:rsidRPr="00F02B4B" w:rsidRDefault="000E138A" w:rsidP="000E138A">
      <w:pPr>
        <w:pStyle w:val="Glava"/>
        <w:tabs>
          <w:tab w:val="clear" w:pos="4320"/>
          <w:tab w:val="clear" w:pos="8640"/>
          <w:tab w:val="left" w:pos="5112"/>
        </w:tabs>
        <w:spacing w:line="240" w:lineRule="exact"/>
        <w:rPr>
          <w:rFonts w:cs="Arial"/>
          <w:szCs w:val="20"/>
          <w:lang w:val="sl-SI"/>
        </w:rPr>
      </w:pPr>
      <w:r w:rsidRPr="00F02B4B">
        <w:rPr>
          <w:rFonts w:cs="Arial"/>
          <w:szCs w:val="20"/>
          <w:lang w:val="sl-SI"/>
        </w:rPr>
        <w:tab/>
        <w:t xml:space="preserve">F: 01 478 81 39 </w:t>
      </w:r>
    </w:p>
    <w:p w:rsidR="000E138A" w:rsidRPr="00F02B4B" w:rsidRDefault="000E138A" w:rsidP="000E138A">
      <w:pPr>
        <w:pStyle w:val="Glava"/>
        <w:tabs>
          <w:tab w:val="clear" w:pos="4320"/>
          <w:tab w:val="clear" w:pos="8640"/>
          <w:tab w:val="left" w:pos="5112"/>
        </w:tabs>
        <w:spacing w:line="240" w:lineRule="exact"/>
        <w:rPr>
          <w:rFonts w:cs="Arial"/>
          <w:szCs w:val="20"/>
          <w:lang w:val="sl-SI"/>
        </w:rPr>
      </w:pPr>
      <w:r w:rsidRPr="00F02B4B">
        <w:rPr>
          <w:rFonts w:cs="Arial"/>
          <w:szCs w:val="20"/>
          <w:lang w:val="sl-SI"/>
        </w:rPr>
        <w:tab/>
        <w:t>E: gp.mz</w:t>
      </w:r>
      <w:r w:rsidR="001F3974" w:rsidRPr="00F02B4B">
        <w:rPr>
          <w:rFonts w:cs="Arial"/>
          <w:szCs w:val="20"/>
          <w:lang w:val="sl-SI"/>
        </w:rPr>
        <w:t>i</w:t>
      </w:r>
      <w:r w:rsidRPr="00F02B4B">
        <w:rPr>
          <w:rFonts w:cs="Arial"/>
          <w:szCs w:val="20"/>
          <w:lang w:val="sl-SI"/>
        </w:rPr>
        <w:t>p@gov.si</w:t>
      </w:r>
    </w:p>
    <w:p w:rsidR="000E138A" w:rsidRPr="00F02B4B" w:rsidRDefault="000E138A" w:rsidP="000E138A">
      <w:pPr>
        <w:pStyle w:val="Glava"/>
        <w:tabs>
          <w:tab w:val="clear" w:pos="4320"/>
          <w:tab w:val="clear" w:pos="8640"/>
          <w:tab w:val="left" w:pos="5112"/>
        </w:tabs>
        <w:spacing w:line="240" w:lineRule="exact"/>
        <w:rPr>
          <w:rFonts w:cs="Arial"/>
          <w:szCs w:val="20"/>
          <w:lang w:val="sl-SI"/>
        </w:rPr>
      </w:pPr>
      <w:r w:rsidRPr="00F02B4B">
        <w:rPr>
          <w:rFonts w:cs="Arial"/>
          <w:szCs w:val="20"/>
          <w:lang w:val="sl-SI"/>
        </w:rPr>
        <w:tab/>
      </w:r>
      <w:proofErr w:type="spellStart"/>
      <w:r w:rsidRPr="00F02B4B">
        <w:rPr>
          <w:rFonts w:cs="Arial"/>
          <w:szCs w:val="20"/>
          <w:lang w:val="sl-SI"/>
        </w:rPr>
        <w:t>www.mz</w:t>
      </w:r>
      <w:r w:rsidR="001F3974" w:rsidRPr="00F02B4B">
        <w:rPr>
          <w:rFonts w:cs="Arial"/>
          <w:szCs w:val="20"/>
          <w:lang w:val="sl-SI"/>
        </w:rPr>
        <w:t>i</w:t>
      </w:r>
      <w:r w:rsidRPr="00F02B4B">
        <w:rPr>
          <w:rFonts w:cs="Arial"/>
          <w:szCs w:val="20"/>
          <w:lang w:val="sl-SI"/>
        </w:rPr>
        <w:t>p.gov.si</w:t>
      </w:r>
      <w:proofErr w:type="spellEnd"/>
    </w:p>
    <w:p w:rsidR="000E138A" w:rsidRPr="008401C9" w:rsidRDefault="000E138A" w:rsidP="000E138A">
      <w:pPr>
        <w:pStyle w:val="Glava"/>
        <w:tabs>
          <w:tab w:val="clear" w:pos="4320"/>
          <w:tab w:val="clear" w:pos="8640"/>
          <w:tab w:val="left" w:pos="5112"/>
        </w:tabs>
        <w:rPr>
          <w:rFonts w:cs="Arial"/>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02B4B" w:rsidRPr="008D1759" w:rsidTr="003F712A">
        <w:trPr>
          <w:gridAfter w:val="2"/>
          <w:wAfter w:w="3067" w:type="dxa"/>
        </w:trPr>
        <w:tc>
          <w:tcPr>
            <w:tcW w:w="6096" w:type="dxa"/>
            <w:gridSpan w:val="2"/>
          </w:tcPr>
          <w:p w:rsidR="00F02B4B" w:rsidRPr="008D1759" w:rsidRDefault="00F02B4B" w:rsidP="00234B1A">
            <w:pPr>
              <w:pStyle w:val="Neotevilenodstavek"/>
              <w:spacing w:before="0" w:after="0" w:line="260" w:lineRule="exact"/>
              <w:jc w:val="left"/>
              <w:rPr>
                <w:sz w:val="20"/>
                <w:szCs w:val="20"/>
              </w:rPr>
            </w:pPr>
            <w:r>
              <w:rPr>
                <w:sz w:val="20"/>
                <w:szCs w:val="20"/>
              </w:rPr>
              <w:t>Številka:</w:t>
            </w:r>
            <w:r w:rsidR="00480178">
              <w:rPr>
                <w:sz w:val="20"/>
                <w:szCs w:val="20"/>
              </w:rPr>
              <w:t xml:space="preserve"> </w:t>
            </w:r>
            <w:r>
              <w:rPr>
                <w:sz w:val="20"/>
                <w:szCs w:val="20"/>
              </w:rPr>
              <w:t xml:space="preserve"> </w:t>
            </w:r>
            <w:r w:rsidR="00762D85" w:rsidRPr="00762D85">
              <w:rPr>
                <w:sz w:val="20"/>
                <w:szCs w:val="20"/>
              </w:rPr>
              <w:t>007-97/2014</w:t>
            </w:r>
            <w:r w:rsidR="00762D85">
              <w:rPr>
                <w:sz w:val="20"/>
                <w:szCs w:val="20"/>
              </w:rPr>
              <w:t>/</w:t>
            </w:r>
            <w:r w:rsidR="000B436C">
              <w:rPr>
                <w:sz w:val="20"/>
                <w:szCs w:val="20"/>
              </w:rPr>
              <w:t>14</w:t>
            </w:r>
          </w:p>
        </w:tc>
      </w:tr>
      <w:tr w:rsidR="00F02B4B" w:rsidRPr="008D1759" w:rsidTr="003F712A">
        <w:trPr>
          <w:gridAfter w:val="2"/>
          <w:wAfter w:w="3067" w:type="dxa"/>
        </w:trPr>
        <w:tc>
          <w:tcPr>
            <w:tcW w:w="6096" w:type="dxa"/>
            <w:gridSpan w:val="2"/>
          </w:tcPr>
          <w:p w:rsidR="00F02B4B" w:rsidRPr="008D1759" w:rsidRDefault="00F02B4B" w:rsidP="00234B1A">
            <w:pPr>
              <w:pStyle w:val="Neotevilenodstavek"/>
              <w:spacing w:before="0" w:after="0" w:line="260" w:lineRule="exact"/>
              <w:jc w:val="left"/>
              <w:rPr>
                <w:sz w:val="20"/>
                <w:szCs w:val="20"/>
              </w:rPr>
            </w:pPr>
            <w:r>
              <w:rPr>
                <w:sz w:val="20"/>
                <w:szCs w:val="20"/>
              </w:rPr>
              <w:t xml:space="preserve">Ljubljana, </w:t>
            </w:r>
            <w:r w:rsidR="001703C8">
              <w:rPr>
                <w:sz w:val="20"/>
                <w:szCs w:val="20"/>
              </w:rPr>
              <w:t>2</w:t>
            </w:r>
            <w:r w:rsidR="00234B1A">
              <w:rPr>
                <w:sz w:val="20"/>
                <w:szCs w:val="20"/>
              </w:rPr>
              <w:t>8</w:t>
            </w:r>
            <w:r w:rsidR="00762D85">
              <w:rPr>
                <w:sz w:val="20"/>
                <w:szCs w:val="20"/>
              </w:rPr>
              <w:t>.3.2014</w:t>
            </w:r>
          </w:p>
        </w:tc>
      </w:tr>
      <w:tr w:rsidR="00F02B4B" w:rsidRPr="008D1759" w:rsidTr="003F712A">
        <w:trPr>
          <w:gridAfter w:val="2"/>
          <w:wAfter w:w="3067" w:type="dxa"/>
        </w:trPr>
        <w:tc>
          <w:tcPr>
            <w:tcW w:w="6096" w:type="dxa"/>
            <w:gridSpan w:val="2"/>
          </w:tcPr>
          <w:p w:rsidR="00F02B4B" w:rsidRPr="00594B90" w:rsidRDefault="00F02B4B" w:rsidP="00480178">
            <w:pPr>
              <w:pStyle w:val="Neotevilenodstavek"/>
              <w:spacing w:before="0" w:after="0" w:line="260" w:lineRule="exact"/>
              <w:jc w:val="left"/>
              <w:rPr>
                <w:sz w:val="20"/>
                <w:szCs w:val="20"/>
              </w:rPr>
            </w:pPr>
            <w:r w:rsidRPr="00594B90">
              <w:rPr>
                <w:iCs/>
                <w:sz w:val="20"/>
                <w:szCs w:val="20"/>
              </w:rPr>
              <w:t xml:space="preserve">EVA </w:t>
            </w:r>
            <w:r w:rsidR="00082E63" w:rsidRPr="00082E63">
              <w:rPr>
                <w:iCs/>
                <w:sz w:val="20"/>
                <w:szCs w:val="20"/>
              </w:rPr>
              <w:t>2014-2430-0045</w:t>
            </w:r>
          </w:p>
        </w:tc>
      </w:tr>
      <w:tr w:rsidR="00F02B4B" w:rsidRPr="008D1759" w:rsidTr="003F712A">
        <w:trPr>
          <w:gridAfter w:val="2"/>
          <w:wAfter w:w="3067" w:type="dxa"/>
        </w:trPr>
        <w:tc>
          <w:tcPr>
            <w:tcW w:w="6096" w:type="dxa"/>
            <w:gridSpan w:val="2"/>
          </w:tcPr>
          <w:p w:rsidR="00F02B4B" w:rsidRPr="00F02B4B" w:rsidRDefault="00F02B4B" w:rsidP="003F712A">
            <w:pPr>
              <w:spacing w:line="260" w:lineRule="exact"/>
              <w:rPr>
                <w:rFonts w:ascii="Arial" w:hAnsi="Arial" w:cs="Arial"/>
                <w:sz w:val="20"/>
                <w:szCs w:val="20"/>
              </w:rPr>
            </w:pPr>
          </w:p>
          <w:p w:rsidR="00F02B4B" w:rsidRPr="00F02B4B" w:rsidRDefault="00F02B4B" w:rsidP="003F712A">
            <w:pPr>
              <w:spacing w:line="260" w:lineRule="exact"/>
              <w:rPr>
                <w:rFonts w:ascii="Arial" w:hAnsi="Arial" w:cs="Arial"/>
                <w:sz w:val="20"/>
                <w:szCs w:val="20"/>
              </w:rPr>
            </w:pPr>
            <w:r w:rsidRPr="00F02B4B">
              <w:rPr>
                <w:rFonts w:ascii="Arial" w:hAnsi="Arial" w:cs="Arial"/>
                <w:sz w:val="20"/>
                <w:szCs w:val="20"/>
              </w:rPr>
              <w:t>GENERALNI SEKRETARIAT VLADE REPUBLIKE SLOVENIJE</w:t>
            </w:r>
          </w:p>
          <w:p w:rsidR="00F02B4B" w:rsidRDefault="00CE55EE" w:rsidP="003F712A">
            <w:pPr>
              <w:spacing w:line="260" w:lineRule="exact"/>
              <w:rPr>
                <w:rFonts w:ascii="Arial" w:hAnsi="Arial" w:cs="Arial"/>
                <w:sz w:val="20"/>
                <w:szCs w:val="20"/>
              </w:rPr>
            </w:pPr>
            <w:hyperlink r:id="rId10" w:history="1">
              <w:r w:rsidR="00F02B4B" w:rsidRPr="00826140">
                <w:rPr>
                  <w:rStyle w:val="Hiperpovezava"/>
                  <w:rFonts w:ascii="Arial" w:hAnsi="Arial" w:cs="Arial"/>
                  <w:sz w:val="20"/>
                  <w:szCs w:val="20"/>
                </w:rPr>
                <w:t>Gp.gs@gov.si</w:t>
              </w:r>
            </w:hyperlink>
          </w:p>
          <w:p w:rsidR="00F02B4B" w:rsidRPr="00F02B4B" w:rsidRDefault="00F02B4B" w:rsidP="003F712A">
            <w:pPr>
              <w:spacing w:line="260" w:lineRule="exact"/>
              <w:rPr>
                <w:rFonts w:ascii="Arial" w:hAnsi="Arial" w:cs="Arial"/>
                <w:sz w:val="20"/>
                <w:szCs w:val="20"/>
              </w:rPr>
            </w:pPr>
          </w:p>
          <w:p w:rsidR="00F02B4B" w:rsidRPr="008D1759" w:rsidRDefault="00F02B4B" w:rsidP="003F712A">
            <w:pPr>
              <w:spacing w:line="260" w:lineRule="exact"/>
              <w:rPr>
                <w:rFonts w:ascii="Arial" w:hAnsi="Arial" w:cs="Arial"/>
                <w:sz w:val="20"/>
                <w:szCs w:val="20"/>
              </w:rPr>
            </w:pPr>
          </w:p>
        </w:tc>
      </w:tr>
      <w:tr w:rsidR="00F02B4B" w:rsidRPr="008D1759" w:rsidTr="003F712A">
        <w:tc>
          <w:tcPr>
            <w:tcW w:w="9163" w:type="dxa"/>
            <w:gridSpan w:val="4"/>
          </w:tcPr>
          <w:p w:rsidR="00F02B4B" w:rsidRPr="008D1759" w:rsidRDefault="00F02B4B" w:rsidP="00234B1A">
            <w:pPr>
              <w:pStyle w:val="Naslovpredpisa"/>
              <w:spacing w:before="0" w:after="0" w:line="260" w:lineRule="exact"/>
              <w:jc w:val="left"/>
              <w:rPr>
                <w:sz w:val="20"/>
                <w:szCs w:val="20"/>
              </w:rPr>
            </w:pPr>
            <w:r>
              <w:rPr>
                <w:sz w:val="20"/>
                <w:szCs w:val="20"/>
              </w:rPr>
              <w:t>ZADEVA:</w:t>
            </w:r>
            <w:r w:rsidR="004A7613">
              <w:rPr>
                <w:sz w:val="20"/>
                <w:szCs w:val="20"/>
              </w:rPr>
              <w:t xml:space="preserve"> </w:t>
            </w:r>
            <w:r w:rsidR="00BE55B3">
              <w:rPr>
                <w:sz w:val="20"/>
                <w:szCs w:val="20"/>
              </w:rPr>
              <w:t>Predlog</w:t>
            </w:r>
            <w:r w:rsidR="004A7613" w:rsidRPr="00070BBF">
              <w:rPr>
                <w:sz w:val="20"/>
                <w:szCs w:val="20"/>
              </w:rPr>
              <w:t xml:space="preserve"> Uredb</w:t>
            </w:r>
            <w:r w:rsidR="00BE55B3">
              <w:rPr>
                <w:sz w:val="20"/>
                <w:szCs w:val="20"/>
              </w:rPr>
              <w:t>e</w:t>
            </w:r>
            <w:r w:rsidR="004A7613" w:rsidRPr="00070BBF">
              <w:rPr>
                <w:sz w:val="20"/>
                <w:szCs w:val="20"/>
              </w:rPr>
              <w:t xml:space="preserve"> o načinu določanja in obračunavanja prispevk</w:t>
            </w:r>
            <w:r w:rsidR="004A7613">
              <w:rPr>
                <w:sz w:val="20"/>
                <w:szCs w:val="20"/>
              </w:rPr>
              <w:t>ov</w:t>
            </w:r>
            <w:r w:rsidR="004A7613" w:rsidRPr="00070BBF">
              <w:rPr>
                <w:sz w:val="20"/>
                <w:szCs w:val="20"/>
              </w:rPr>
              <w:t xml:space="preserve"> za zagotavljanje podpor proizvodnji električne energije v </w:t>
            </w:r>
            <w:proofErr w:type="spellStart"/>
            <w:r w:rsidR="004A7613" w:rsidRPr="00070BBF">
              <w:rPr>
                <w:sz w:val="20"/>
                <w:szCs w:val="20"/>
              </w:rPr>
              <w:t>soproizvodnji</w:t>
            </w:r>
            <w:proofErr w:type="spellEnd"/>
            <w:r w:rsidR="004A7613" w:rsidRPr="00070BBF">
              <w:rPr>
                <w:sz w:val="20"/>
                <w:szCs w:val="20"/>
              </w:rPr>
              <w:t xml:space="preserve"> z visokim izkoristkom in iz obnovljivih virov energije</w:t>
            </w:r>
            <w:r w:rsidR="004A7613">
              <w:rPr>
                <w:sz w:val="20"/>
                <w:szCs w:val="20"/>
              </w:rPr>
              <w:t xml:space="preserve"> </w:t>
            </w:r>
            <w:r w:rsidRPr="008D1759">
              <w:rPr>
                <w:sz w:val="20"/>
                <w:szCs w:val="20"/>
              </w:rPr>
              <w:t>– predlog za</w:t>
            </w:r>
            <w:r w:rsidR="004A7613">
              <w:rPr>
                <w:sz w:val="20"/>
                <w:szCs w:val="20"/>
              </w:rPr>
              <w:t xml:space="preserve"> </w:t>
            </w:r>
            <w:r w:rsidRPr="008D1759">
              <w:rPr>
                <w:sz w:val="20"/>
                <w:szCs w:val="20"/>
              </w:rPr>
              <w:t xml:space="preserve">obravnavo </w:t>
            </w:r>
          </w:p>
        </w:tc>
      </w:tr>
      <w:tr w:rsidR="00F02B4B" w:rsidRPr="008D1759" w:rsidTr="003F712A">
        <w:tc>
          <w:tcPr>
            <w:tcW w:w="9163" w:type="dxa"/>
            <w:gridSpan w:val="4"/>
          </w:tcPr>
          <w:p w:rsidR="00F02B4B" w:rsidRPr="008D1759" w:rsidRDefault="00F02B4B" w:rsidP="003F712A">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F02B4B" w:rsidRPr="008D1759" w:rsidTr="003F712A">
        <w:tc>
          <w:tcPr>
            <w:tcW w:w="9163" w:type="dxa"/>
            <w:gridSpan w:val="4"/>
          </w:tcPr>
          <w:p w:rsidR="00480178" w:rsidRPr="0075383D" w:rsidRDefault="00480178" w:rsidP="00480178">
            <w:pPr>
              <w:pStyle w:val="Neotevilenodstavek"/>
              <w:spacing w:before="0" w:after="0" w:line="240" w:lineRule="auto"/>
              <w:rPr>
                <w:iCs/>
                <w:sz w:val="20"/>
                <w:szCs w:val="20"/>
              </w:rPr>
            </w:pPr>
            <w:r w:rsidRPr="0075383D">
              <w:rPr>
                <w:iCs/>
                <w:sz w:val="20"/>
                <w:szCs w:val="20"/>
              </w:rPr>
              <w:t xml:space="preserve">Na podlagi 21. člena Zakona o Vladi Republike Slovenije (Uradni list RS, št. 24/05 – uradno prečiščeno besedilo,109/08 in 38/10 – ZUKN) je Vlada Republike Slovenije na … seji dne … pod točko … sprejela naslednji </w:t>
            </w:r>
          </w:p>
          <w:p w:rsidR="00480178" w:rsidRPr="0075383D" w:rsidRDefault="00480178" w:rsidP="00480178">
            <w:pPr>
              <w:pStyle w:val="Neotevilenodstavek"/>
              <w:spacing w:before="0" w:after="0" w:line="240" w:lineRule="auto"/>
              <w:rPr>
                <w:iCs/>
                <w:sz w:val="20"/>
                <w:szCs w:val="20"/>
              </w:rPr>
            </w:pPr>
          </w:p>
          <w:p w:rsidR="00480178" w:rsidRPr="0075383D" w:rsidRDefault="00480178" w:rsidP="00480178">
            <w:pPr>
              <w:pStyle w:val="Neotevilenodstavek"/>
              <w:spacing w:before="0" w:after="0" w:line="240" w:lineRule="auto"/>
              <w:rPr>
                <w:iCs/>
                <w:sz w:val="20"/>
                <w:szCs w:val="20"/>
              </w:rPr>
            </w:pPr>
          </w:p>
          <w:p w:rsidR="00480178" w:rsidRPr="0075383D" w:rsidRDefault="00480178" w:rsidP="00480178">
            <w:pPr>
              <w:pStyle w:val="Neotevilenodstavek"/>
              <w:spacing w:before="0" w:after="0" w:line="240" w:lineRule="auto"/>
              <w:jc w:val="center"/>
              <w:rPr>
                <w:iCs/>
                <w:sz w:val="20"/>
                <w:szCs w:val="20"/>
              </w:rPr>
            </w:pPr>
            <w:r w:rsidRPr="0075383D">
              <w:rPr>
                <w:iCs/>
                <w:sz w:val="20"/>
                <w:szCs w:val="20"/>
              </w:rPr>
              <w:t>SKLEP</w:t>
            </w:r>
            <w:r w:rsidRPr="0075383D">
              <w:rPr>
                <w:iCs/>
                <w:sz w:val="20"/>
                <w:szCs w:val="20"/>
              </w:rPr>
              <w:cr/>
            </w:r>
          </w:p>
          <w:p w:rsidR="00480178" w:rsidRPr="00070BBF" w:rsidRDefault="00480178" w:rsidP="00480178">
            <w:pPr>
              <w:pStyle w:val="Neotevilenodstavek"/>
              <w:rPr>
                <w:sz w:val="20"/>
                <w:szCs w:val="20"/>
              </w:rPr>
            </w:pPr>
            <w:r w:rsidRPr="00070BBF">
              <w:rPr>
                <w:sz w:val="20"/>
                <w:szCs w:val="20"/>
              </w:rPr>
              <w:t>Vlada Republike Slovenije je izdala Uredbo o načinu določanja in obračunavanja prispevk</w:t>
            </w:r>
            <w:r>
              <w:rPr>
                <w:sz w:val="20"/>
                <w:szCs w:val="20"/>
              </w:rPr>
              <w:t>ov</w:t>
            </w:r>
            <w:r w:rsidRPr="00070BBF">
              <w:rPr>
                <w:sz w:val="20"/>
                <w:szCs w:val="20"/>
              </w:rPr>
              <w:t xml:space="preserve"> za zagotavljanje podpor proizvodnji električne energije v </w:t>
            </w:r>
            <w:proofErr w:type="spellStart"/>
            <w:r w:rsidRPr="00070BBF">
              <w:rPr>
                <w:sz w:val="20"/>
                <w:szCs w:val="20"/>
              </w:rPr>
              <w:t>soproizvodnji</w:t>
            </w:r>
            <w:proofErr w:type="spellEnd"/>
            <w:r w:rsidRPr="00070BBF">
              <w:rPr>
                <w:sz w:val="20"/>
                <w:szCs w:val="20"/>
              </w:rPr>
              <w:t xml:space="preserve"> z visokim izkoristkom in iz obnovljivih virov energije in jo objavi v Uradnem listu Republike Slovenije.</w:t>
            </w:r>
          </w:p>
          <w:p w:rsidR="00480178" w:rsidRPr="00070BBF" w:rsidRDefault="00480178" w:rsidP="00480178">
            <w:pPr>
              <w:pStyle w:val="Neotevilenodstavek"/>
              <w:rPr>
                <w:sz w:val="20"/>
                <w:szCs w:val="20"/>
              </w:rPr>
            </w:pPr>
          </w:p>
          <w:p w:rsidR="00480178" w:rsidRDefault="00480178" w:rsidP="00480178">
            <w:pPr>
              <w:pStyle w:val="Neotevilenodstavek"/>
              <w:rPr>
                <w:sz w:val="20"/>
                <w:szCs w:val="20"/>
              </w:rPr>
            </w:pPr>
            <w:r w:rsidRPr="00070BBF">
              <w:rPr>
                <w:sz w:val="20"/>
                <w:szCs w:val="20"/>
              </w:rPr>
              <w:t>Št.</w:t>
            </w:r>
            <w:r>
              <w:rPr>
                <w:sz w:val="20"/>
                <w:szCs w:val="20"/>
              </w:rPr>
              <w:t xml:space="preserve"> </w:t>
            </w:r>
          </w:p>
          <w:p w:rsidR="00480178" w:rsidRPr="00070BBF" w:rsidRDefault="00480178" w:rsidP="00480178">
            <w:pPr>
              <w:pStyle w:val="Neotevilenodstavek"/>
              <w:rPr>
                <w:sz w:val="20"/>
                <w:szCs w:val="20"/>
              </w:rPr>
            </w:pPr>
            <w:r w:rsidRPr="00070BBF">
              <w:rPr>
                <w:sz w:val="20"/>
                <w:szCs w:val="20"/>
              </w:rPr>
              <w:t xml:space="preserve">Ljubljana, </w:t>
            </w:r>
          </w:p>
          <w:p w:rsidR="00480178" w:rsidRPr="00070BBF" w:rsidRDefault="00480178" w:rsidP="00480178">
            <w:pPr>
              <w:pStyle w:val="Neotevilenodstavek"/>
              <w:rPr>
                <w:sz w:val="20"/>
                <w:szCs w:val="20"/>
              </w:rPr>
            </w:pPr>
            <w:r w:rsidRPr="00070BBF">
              <w:rPr>
                <w:sz w:val="20"/>
                <w:szCs w:val="20"/>
              </w:rPr>
              <w:t xml:space="preserve">EVA </w:t>
            </w:r>
            <w:r w:rsidR="00082E63" w:rsidRPr="00082E63">
              <w:rPr>
                <w:sz w:val="20"/>
                <w:szCs w:val="20"/>
              </w:rPr>
              <w:t>2014-2430-0045</w:t>
            </w:r>
          </w:p>
          <w:p w:rsidR="00480178" w:rsidRDefault="00480178" w:rsidP="00480178">
            <w:pPr>
              <w:pStyle w:val="Neotevilenodstavek"/>
              <w:rPr>
                <w:sz w:val="20"/>
                <w:szCs w:val="20"/>
              </w:rPr>
            </w:pPr>
          </w:p>
          <w:p w:rsidR="00480178" w:rsidRPr="0075383D" w:rsidRDefault="00480178" w:rsidP="00480178">
            <w:pPr>
              <w:pStyle w:val="Neotevilenodstavek"/>
              <w:rPr>
                <w:sz w:val="20"/>
                <w:szCs w:val="20"/>
              </w:rPr>
            </w:pPr>
          </w:p>
          <w:p w:rsidR="00480178" w:rsidRPr="0075383D" w:rsidRDefault="00480178" w:rsidP="00480178">
            <w:pPr>
              <w:pStyle w:val="Neotevilenodstavek"/>
              <w:ind w:left="6480"/>
              <w:rPr>
                <w:sz w:val="20"/>
                <w:szCs w:val="20"/>
              </w:rPr>
            </w:pPr>
            <w:r w:rsidRPr="0075383D">
              <w:rPr>
                <w:sz w:val="20"/>
                <w:szCs w:val="20"/>
              </w:rPr>
              <w:t>Tanja Šarabon</w:t>
            </w:r>
          </w:p>
          <w:p w:rsidR="00480178" w:rsidRPr="0075383D" w:rsidRDefault="00480178" w:rsidP="00480178">
            <w:pPr>
              <w:pStyle w:val="Neotevilenodstavek"/>
              <w:ind w:left="5760"/>
              <w:rPr>
                <w:sz w:val="20"/>
                <w:szCs w:val="20"/>
              </w:rPr>
            </w:pPr>
            <w:r w:rsidRPr="0075383D">
              <w:rPr>
                <w:sz w:val="20"/>
                <w:szCs w:val="20"/>
              </w:rPr>
              <w:t>GENERALNA SEKRETARKA</w:t>
            </w:r>
          </w:p>
          <w:p w:rsidR="0053002D" w:rsidRDefault="0053002D" w:rsidP="00480178">
            <w:pPr>
              <w:pStyle w:val="Neotevilenodstavek"/>
              <w:ind w:left="292"/>
              <w:rPr>
                <w:sz w:val="20"/>
                <w:szCs w:val="20"/>
              </w:rPr>
            </w:pPr>
          </w:p>
          <w:p w:rsidR="00480178" w:rsidRPr="0075383D" w:rsidRDefault="00480178" w:rsidP="00480178">
            <w:pPr>
              <w:pStyle w:val="Neotevilenodstavek"/>
              <w:ind w:left="292"/>
              <w:rPr>
                <w:sz w:val="20"/>
                <w:szCs w:val="20"/>
              </w:rPr>
            </w:pPr>
            <w:r w:rsidRPr="0075383D">
              <w:rPr>
                <w:sz w:val="20"/>
                <w:szCs w:val="20"/>
              </w:rPr>
              <w:t>Prejmejo:</w:t>
            </w:r>
          </w:p>
          <w:p w:rsidR="00480178" w:rsidRDefault="00480178" w:rsidP="00480178">
            <w:pPr>
              <w:pStyle w:val="Telobesedila"/>
              <w:widowControl w:val="0"/>
              <w:numPr>
                <w:ilvl w:val="0"/>
                <w:numId w:val="23"/>
              </w:numPr>
              <w:suppressAutoHyphens/>
              <w:spacing w:after="0" w:line="240" w:lineRule="auto"/>
              <w:rPr>
                <w:rFonts w:cs="Arial"/>
                <w:szCs w:val="20"/>
                <w:lang w:val="sl-SI"/>
              </w:rPr>
            </w:pPr>
            <w:r w:rsidRPr="0075383D">
              <w:rPr>
                <w:rFonts w:cs="Arial"/>
                <w:szCs w:val="20"/>
                <w:lang w:val="sl-SI"/>
              </w:rPr>
              <w:t>Ministrstvo za infrastrukturo in prostor,</w:t>
            </w:r>
          </w:p>
          <w:p w:rsidR="00A30636" w:rsidRPr="0075383D" w:rsidRDefault="00A30636" w:rsidP="00A30636">
            <w:pPr>
              <w:pStyle w:val="Telobesedila"/>
              <w:widowControl w:val="0"/>
              <w:numPr>
                <w:ilvl w:val="0"/>
                <w:numId w:val="23"/>
              </w:numPr>
              <w:suppressAutoHyphens/>
              <w:spacing w:after="0" w:line="240" w:lineRule="auto"/>
              <w:rPr>
                <w:rFonts w:cs="Arial"/>
                <w:szCs w:val="20"/>
                <w:lang w:val="sl-SI"/>
              </w:rPr>
            </w:pPr>
            <w:r w:rsidRPr="00A30636">
              <w:rPr>
                <w:rFonts w:cs="Arial"/>
                <w:szCs w:val="20"/>
                <w:lang w:val="sl-SI"/>
              </w:rPr>
              <w:t>Ministrstvo za</w:t>
            </w:r>
            <w:r>
              <w:rPr>
                <w:rFonts w:cs="Arial"/>
                <w:szCs w:val="20"/>
                <w:lang w:val="sl-SI"/>
              </w:rPr>
              <w:t xml:space="preserve"> finance,</w:t>
            </w:r>
          </w:p>
          <w:p w:rsidR="00480178" w:rsidRDefault="006B1864" w:rsidP="00480178">
            <w:pPr>
              <w:pStyle w:val="Telobesedila"/>
              <w:widowControl w:val="0"/>
              <w:numPr>
                <w:ilvl w:val="0"/>
                <w:numId w:val="23"/>
              </w:numPr>
              <w:suppressAutoHyphens/>
              <w:spacing w:after="0" w:line="240" w:lineRule="auto"/>
              <w:rPr>
                <w:rFonts w:cs="Arial"/>
                <w:szCs w:val="20"/>
                <w:lang w:val="sl-SI"/>
              </w:rPr>
            </w:pPr>
            <w:r>
              <w:rPr>
                <w:rFonts w:cs="Arial"/>
                <w:szCs w:val="20"/>
                <w:lang w:val="sl-SI"/>
              </w:rPr>
              <w:t>Urad vlade za komuniciranje,</w:t>
            </w:r>
          </w:p>
          <w:p w:rsidR="00234B1A" w:rsidRDefault="00234B1A" w:rsidP="00480178">
            <w:pPr>
              <w:pStyle w:val="Telobesedila"/>
              <w:widowControl w:val="0"/>
              <w:numPr>
                <w:ilvl w:val="0"/>
                <w:numId w:val="23"/>
              </w:numPr>
              <w:suppressAutoHyphens/>
              <w:spacing w:after="0" w:line="240" w:lineRule="auto"/>
              <w:rPr>
                <w:rFonts w:cs="Arial"/>
                <w:szCs w:val="20"/>
                <w:lang w:val="sl-SI"/>
              </w:rPr>
            </w:pPr>
            <w:r>
              <w:rPr>
                <w:rFonts w:cs="Arial"/>
                <w:szCs w:val="20"/>
                <w:lang w:val="sl-SI"/>
              </w:rPr>
              <w:t>UMAR,</w:t>
            </w:r>
          </w:p>
          <w:p w:rsidR="00480178" w:rsidRPr="00A20336" w:rsidRDefault="00A06FFF" w:rsidP="00480178">
            <w:pPr>
              <w:pStyle w:val="Telobesedila"/>
              <w:widowControl w:val="0"/>
              <w:numPr>
                <w:ilvl w:val="0"/>
                <w:numId w:val="23"/>
              </w:numPr>
              <w:suppressAutoHyphens/>
              <w:spacing w:after="0" w:line="240" w:lineRule="auto"/>
              <w:rPr>
                <w:rFonts w:cs="Arial"/>
                <w:szCs w:val="20"/>
                <w:lang w:val="sl-SI"/>
              </w:rPr>
            </w:pPr>
            <w:r>
              <w:rPr>
                <w:rFonts w:cs="Arial"/>
                <w:szCs w:val="20"/>
                <w:lang w:val="sl-SI"/>
              </w:rPr>
              <w:t>Javna a</w:t>
            </w:r>
            <w:r w:rsidR="00480178">
              <w:rPr>
                <w:rFonts w:cs="Arial"/>
                <w:szCs w:val="20"/>
                <w:lang w:val="sl-SI"/>
              </w:rPr>
              <w:t>gencija</w:t>
            </w:r>
            <w:r>
              <w:rPr>
                <w:rFonts w:cs="Arial"/>
                <w:szCs w:val="20"/>
                <w:lang w:val="sl-SI"/>
              </w:rPr>
              <w:t xml:space="preserve"> Republike Slovenije</w:t>
            </w:r>
            <w:r w:rsidR="00480178">
              <w:rPr>
                <w:rFonts w:cs="Arial"/>
                <w:szCs w:val="20"/>
                <w:lang w:val="sl-SI"/>
              </w:rPr>
              <w:t xml:space="preserve"> za energijo</w:t>
            </w:r>
            <w:r w:rsidR="00480178" w:rsidRPr="00A20336">
              <w:rPr>
                <w:rFonts w:cs="Arial"/>
                <w:szCs w:val="20"/>
                <w:lang w:val="sl-SI"/>
              </w:rPr>
              <w:t>, Strossmayerjeva 30, Maribor</w:t>
            </w:r>
            <w:r w:rsidR="006B1864">
              <w:rPr>
                <w:rFonts w:cs="Arial"/>
                <w:szCs w:val="20"/>
                <w:lang w:val="sl-SI"/>
              </w:rPr>
              <w:t>,</w:t>
            </w:r>
          </w:p>
          <w:p w:rsidR="006B1864" w:rsidRPr="00234B1A" w:rsidRDefault="00480178" w:rsidP="00234B1A">
            <w:pPr>
              <w:pStyle w:val="Telobesedila"/>
              <w:widowControl w:val="0"/>
              <w:numPr>
                <w:ilvl w:val="0"/>
                <w:numId w:val="23"/>
              </w:numPr>
              <w:suppressAutoHyphens/>
              <w:spacing w:after="0" w:line="240" w:lineRule="auto"/>
              <w:rPr>
                <w:rFonts w:cs="Arial"/>
                <w:szCs w:val="20"/>
                <w:lang w:val="sl-SI"/>
              </w:rPr>
            </w:pPr>
            <w:r w:rsidRPr="00A20336">
              <w:rPr>
                <w:rFonts w:cs="Arial"/>
                <w:szCs w:val="20"/>
                <w:lang w:val="sl-SI"/>
              </w:rPr>
              <w:t xml:space="preserve">Borzen, d.o.o., </w:t>
            </w:r>
            <w:r w:rsidRPr="00070BBF">
              <w:rPr>
                <w:rFonts w:cs="Arial"/>
                <w:szCs w:val="20"/>
                <w:lang w:val="sl-SI"/>
              </w:rPr>
              <w:t>Dunajska cesta 156, 1000 Ljubljana</w:t>
            </w:r>
            <w:r w:rsidR="006B1864">
              <w:rPr>
                <w:rFonts w:cs="Arial"/>
                <w:szCs w:val="20"/>
                <w:lang w:val="sl-SI"/>
              </w:rPr>
              <w:t>,</w:t>
            </w:r>
          </w:p>
        </w:tc>
      </w:tr>
      <w:tr w:rsidR="00F02B4B" w:rsidRPr="008D1759" w:rsidTr="003F712A">
        <w:tc>
          <w:tcPr>
            <w:tcW w:w="9163" w:type="dxa"/>
            <w:gridSpan w:val="4"/>
          </w:tcPr>
          <w:p w:rsidR="00F02B4B" w:rsidRPr="00D43F59" w:rsidRDefault="00F02B4B" w:rsidP="003F712A">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F02B4B" w:rsidRPr="008D1759" w:rsidTr="003F712A">
        <w:tc>
          <w:tcPr>
            <w:tcW w:w="9163" w:type="dxa"/>
            <w:gridSpan w:val="4"/>
          </w:tcPr>
          <w:p w:rsidR="00F02B4B" w:rsidRPr="0053002D" w:rsidRDefault="0053002D" w:rsidP="003F712A">
            <w:pPr>
              <w:pStyle w:val="Neotevilenodstavek"/>
              <w:spacing w:before="0" w:after="0" w:line="260" w:lineRule="exact"/>
              <w:rPr>
                <w:iCs/>
                <w:sz w:val="20"/>
                <w:szCs w:val="20"/>
              </w:rPr>
            </w:pPr>
            <w:r w:rsidRPr="0053002D">
              <w:rPr>
                <w:iCs/>
                <w:sz w:val="20"/>
                <w:szCs w:val="20"/>
              </w:rPr>
              <w:t>/</w:t>
            </w:r>
          </w:p>
        </w:tc>
      </w:tr>
      <w:tr w:rsidR="00F02B4B" w:rsidRPr="008D1759" w:rsidTr="003F712A">
        <w:tc>
          <w:tcPr>
            <w:tcW w:w="9163" w:type="dxa"/>
            <w:gridSpan w:val="4"/>
          </w:tcPr>
          <w:p w:rsidR="00F02B4B" w:rsidRPr="00D43F59" w:rsidRDefault="00F02B4B" w:rsidP="003F712A">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F02B4B" w:rsidRPr="008D1759" w:rsidTr="003F712A">
        <w:tc>
          <w:tcPr>
            <w:tcW w:w="9163" w:type="dxa"/>
            <w:gridSpan w:val="4"/>
          </w:tcPr>
          <w:p w:rsidR="00480178" w:rsidRDefault="00480178" w:rsidP="00480178">
            <w:pPr>
              <w:pStyle w:val="Neotevilenodstavek"/>
              <w:numPr>
                <w:ilvl w:val="0"/>
                <w:numId w:val="22"/>
              </w:numPr>
              <w:spacing w:before="0" w:after="0" w:line="240" w:lineRule="auto"/>
              <w:ind w:left="714" w:hanging="357"/>
              <w:rPr>
                <w:iCs/>
                <w:sz w:val="20"/>
                <w:szCs w:val="20"/>
              </w:rPr>
            </w:pPr>
            <w:bookmarkStart w:id="0" w:name="OLE_LINK1"/>
            <w:r w:rsidRPr="0075383D">
              <w:rPr>
                <w:iCs/>
                <w:sz w:val="20"/>
                <w:szCs w:val="20"/>
              </w:rPr>
              <w:t>Danijel Levičar, generaln</w:t>
            </w:r>
            <w:r>
              <w:rPr>
                <w:iCs/>
                <w:sz w:val="20"/>
                <w:szCs w:val="20"/>
              </w:rPr>
              <w:t>i direktor</w:t>
            </w:r>
            <w:r w:rsidRPr="0075383D">
              <w:rPr>
                <w:iCs/>
                <w:sz w:val="20"/>
                <w:szCs w:val="20"/>
              </w:rPr>
              <w:t xml:space="preserve"> Direktorata za energijo, Ministrstvo za infrastrukturo in prostor,</w:t>
            </w:r>
          </w:p>
          <w:p w:rsidR="00F02B4B" w:rsidRPr="00480178" w:rsidRDefault="00480178" w:rsidP="00480178">
            <w:pPr>
              <w:pStyle w:val="Neotevilenodstavek"/>
              <w:numPr>
                <w:ilvl w:val="0"/>
                <w:numId w:val="22"/>
              </w:numPr>
              <w:spacing w:before="0" w:after="0" w:line="240" w:lineRule="auto"/>
              <w:ind w:left="714" w:hanging="357"/>
              <w:rPr>
                <w:iCs/>
                <w:sz w:val="20"/>
                <w:szCs w:val="20"/>
              </w:rPr>
            </w:pPr>
            <w:r w:rsidRPr="00480178">
              <w:rPr>
                <w:iCs/>
                <w:sz w:val="20"/>
                <w:szCs w:val="20"/>
              </w:rPr>
              <w:t>mag. Silvo Škornik, sekretar, Sektor za energetiko in rudarstvo, Ministrstvo za infrastrukturo in prostor.</w:t>
            </w:r>
            <w:bookmarkEnd w:id="0"/>
          </w:p>
        </w:tc>
      </w:tr>
      <w:tr w:rsidR="00F02B4B" w:rsidRPr="008D1759" w:rsidTr="003F712A">
        <w:tc>
          <w:tcPr>
            <w:tcW w:w="9163" w:type="dxa"/>
            <w:gridSpan w:val="4"/>
          </w:tcPr>
          <w:p w:rsidR="00F02B4B" w:rsidRPr="005F3DC6" w:rsidRDefault="00F02B4B" w:rsidP="003F712A">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F02B4B" w:rsidRPr="008D1759" w:rsidTr="003F712A">
        <w:tc>
          <w:tcPr>
            <w:tcW w:w="9163" w:type="dxa"/>
            <w:gridSpan w:val="4"/>
          </w:tcPr>
          <w:p w:rsidR="00F02B4B" w:rsidRPr="008D1759" w:rsidRDefault="00480178" w:rsidP="003F712A">
            <w:pPr>
              <w:pStyle w:val="Neotevilenodstavek"/>
              <w:spacing w:before="0" w:after="0" w:line="260" w:lineRule="exact"/>
              <w:rPr>
                <w:iCs/>
                <w:sz w:val="20"/>
                <w:szCs w:val="20"/>
              </w:rPr>
            </w:pPr>
            <w:r>
              <w:rPr>
                <w:iCs/>
                <w:sz w:val="20"/>
                <w:szCs w:val="20"/>
              </w:rPr>
              <w:t>/</w:t>
            </w:r>
          </w:p>
        </w:tc>
      </w:tr>
      <w:tr w:rsidR="00F02B4B" w:rsidRPr="008D1759" w:rsidTr="003F712A">
        <w:tc>
          <w:tcPr>
            <w:tcW w:w="9163" w:type="dxa"/>
            <w:gridSpan w:val="4"/>
          </w:tcPr>
          <w:p w:rsidR="00F02B4B" w:rsidRPr="00D43F59" w:rsidRDefault="00F02B4B" w:rsidP="003F712A">
            <w:pPr>
              <w:pStyle w:val="Neotevilenodstavek"/>
              <w:spacing w:before="0" w:after="0" w:line="260" w:lineRule="exact"/>
              <w:rPr>
                <w:b/>
                <w:iCs/>
                <w:sz w:val="20"/>
                <w:szCs w:val="20"/>
              </w:rPr>
            </w:pPr>
            <w:r w:rsidRPr="00D43F59">
              <w:rPr>
                <w:b/>
                <w:sz w:val="20"/>
                <w:szCs w:val="20"/>
              </w:rPr>
              <w:lastRenderedPageBreak/>
              <w:t>4. Predstavniki vlad</w:t>
            </w:r>
            <w:r>
              <w:rPr>
                <w:b/>
                <w:sz w:val="20"/>
                <w:szCs w:val="20"/>
              </w:rPr>
              <w:t>e, ki bodo sodelovali pri delu d</w:t>
            </w:r>
            <w:r w:rsidRPr="00D43F59">
              <w:rPr>
                <w:b/>
                <w:sz w:val="20"/>
                <w:szCs w:val="20"/>
              </w:rPr>
              <w:t>ržavnega zbora:</w:t>
            </w:r>
          </w:p>
        </w:tc>
      </w:tr>
      <w:tr w:rsidR="00F02B4B" w:rsidRPr="008D1759" w:rsidTr="003F712A">
        <w:tc>
          <w:tcPr>
            <w:tcW w:w="9163" w:type="dxa"/>
            <w:gridSpan w:val="4"/>
          </w:tcPr>
          <w:p w:rsidR="00F02B4B" w:rsidRPr="0053002D" w:rsidRDefault="0053002D" w:rsidP="003F712A">
            <w:pPr>
              <w:pStyle w:val="Neotevilenodstavek"/>
              <w:spacing w:before="0" w:after="0" w:line="260" w:lineRule="exact"/>
              <w:rPr>
                <w:b/>
                <w:sz w:val="20"/>
                <w:szCs w:val="20"/>
              </w:rPr>
            </w:pPr>
            <w:r w:rsidRPr="0053002D">
              <w:rPr>
                <w:b/>
                <w:sz w:val="20"/>
                <w:szCs w:val="20"/>
              </w:rPr>
              <w:t>/</w:t>
            </w:r>
          </w:p>
        </w:tc>
      </w:tr>
      <w:tr w:rsidR="00F02B4B" w:rsidRPr="008D1759" w:rsidTr="003F712A">
        <w:tc>
          <w:tcPr>
            <w:tcW w:w="9163" w:type="dxa"/>
            <w:gridSpan w:val="4"/>
          </w:tcPr>
          <w:p w:rsidR="00F02B4B" w:rsidRPr="008D1759" w:rsidRDefault="00F02B4B" w:rsidP="003F712A">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F02B4B" w:rsidRPr="008D1759" w:rsidTr="003F712A">
        <w:tc>
          <w:tcPr>
            <w:tcW w:w="9163" w:type="dxa"/>
            <w:gridSpan w:val="4"/>
          </w:tcPr>
          <w:p w:rsidR="00F02B4B" w:rsidRPr="0053002D" w:rsidRDefault="0053002D" w:rsidP="003F712A">
            <w:pPr>
              <w:pStyle w:val="Neotevilenodstavek"/>
              <w:spacing w:before="0" w:after="0" w:line="260" w:lineRule="exact"/>
              <w:rPr>
                <w:iCs/>
                <w:sz w:val="20"/>
                <w:szCs w:val="20"/>
              </w:rPr>
            </w:pPr>
            <w:r w:rsidRPr="0053002D">
              <w:rPr>
                <w:iCs/>
                <w:sz w:val="20"/>
                <w:szCs w:val="20"/>
              </w:rPr>
              <w:t xml:space="preserve"> Novi Energetski zakon </w:t>
            </w:r>
            <w:r>
              <w:rPr>
                <w:iCs/>
                <w:sz w:val="20"/>
                <w:szCs w:val="20"/>
              </w:rPr>
              <w:t xml:space="preserve">(EZ-1) (Uradni list RS, št. 17/14) določa, da </w:t>
            </w:r>
            <w:r w:rsidR="00BE55B3">
              <w:rPr>
                <w:iCs/>
                <w:sz w:val="20"/>
                <w:szCs w:val="20"/>
              </w:rPr>
              <w:t xml:space="preserve">se </w:t>
            </w:r>
            <w:r>
              <w:rPr>
                <w:iCs/>
                <w:sz w:val="20"/>
                <w:szCs w:val="20"/>
              </w:rPr>
              <w:t xml:space="preserve">sredstva za </w:t>
            </w:r>
            <w:r w:rsidR="00BE55B3">
              <w:rPr>
                <w:iCs/>
                <w:sz w:val="20"/>
                <w:szCs w:val="20"/>
              </w:rPr>
              <w:t xml:space="preserve">izvajanje programov </w:t>
            </w:r>
            <w:r>
              <w:rPr>
                <w:iCs/>
                <w:sz w:val="20"/>
                <w:szCs w:val="20"/>
              </w:rPr>
              <w:t xml:space="preserve">podpor </w:t>
            </w:r>
            <w:r w:rsidR="00BE55B3">
              <w:rPr>
                <w:iCs/>
                <w:sz w:val="20"/>
                <w:szCs w:val="20"/>
              </w:rPr>
              <w:t xml:space="preserve">zagotavljajo s prispevkom za zagotavljanje podpor </w:t>
            </w:r>
            <w:r>
              <w:rPr>
                <w:iCs/>
                <w:sz w:val="20"/>
                <w:szCs w:val="20"/>
              </w:rPr>
              <w:t xml:space="preserve">električni energiji iz obnovljivih virov in </w:t>
            </w:r>
            <w:proofErr w:type="spellStart"/>
            <w:r>
              <w:rPr>
                <w:iCs/>
                <w:sz w:val="20"/>
                <w:szCs w:val="20"/>
              </w:rPr>
              <w:t>soproizvodnje</w:t>
            </w:r>
            <w:proofErr w:type="spellEnd"/>
            <w:r>
              <w:rPr>
                <w:iCs/>
                <w:sz w:val="20"/>
                <w:szCs w:val="20"/>
              </w:rPr>
              <w:t xml:space="preserve"> z visokim izkoristkom</w:t>
            </w:r>
            <w:r w:rsidR="00BE55B3">
              <w:rPr>
                <w:iCs/>
                <w:sz w:val="20"/>
                <w:szCs w:val="20"/>
              </w:rPr>
              <w:t xml:space="preserve">, ki ga mora plačati poleg </w:t>
            </w:r>
            <w:r>
              <w:rPr>
                <w:iCs/>
                <w:sz w:val="20"/>
                <w:szCs w:val="20"/>
              </w:rPr>
              <w:t>končn</w:t>
            </w:r>
            <w:r w:rsidR="00BE55B3">
              <w:rPr>
                <w:iCs/>
                <w:sz w:val="20"/>
                <w:szCs w:val="20"/>
              </w:rPr>
              <w:t>ega</w:t>
            </w:r>
            <w:r>
              <w:rPr>
                <w:iCs/>
                <w:sz w:val="20"/>
                <w:szCs w:val="20"/>
              </w:rPr>
              <w:t xml:space="preserve"> porabnik</w:t>
            </w:r>
            <w:r w:rsidR="00BE55B3">
              <w:rPr>
                <w:iCs/>
                <w:sz w:val="20"/>
                <w:szCs w:val="20"/>
              </w:rPr>
              <w:t>a</w:t>
            </w:r>
            <w:r>
              <w:rPr>
                <w:iCs/>
                <w:sz w:val="20"/>
                <w:szCs w:val="20"/>
              </w:rPr>
              <w:t xml:space="preserve"> električne energije tudi </w:t>
            </w:r>
            <w:r w:rsidR="00BE55B3">
              <w:rPr>
                <w:iCs/>
                <w:sz w:val="20"/>
                <w:szCs w:val="20"/>
              </w:rPr>
              <w:t xml:space="preserve"> končni odjemalec</w:t>
            </w:r>
            <w:r>
              <w:rPr>
                <w:iCs/>
                <w:sz w:val="20"/>
                <w:szCs w:val="20"/>
              </w:rPr>
              <w:t xml:space="preserve"> zemeljskega plina, drugih tekočih in trdih fosilnih goriv ter daljinske toplote.</w:t>
            </w:r>
          </w:p>
          <w:p w:rsidR="0053002D" w:rsidRPr="00F02B4B" w:rsidRDefault="0053002D" w:rsidP="003F712A">
            <w:pPr>
              <w:pStyle w:val="Neotevilenodstavek"/>
              <w:spacing w:before="0" w:after="0" w:line="260" w:lineRule="exact"/>
              <w:rPr>
                <w:iCs/>
                <w:color w:val="FF0000"/>
                <w:sz w:val="20"/>
                <w:szCs w:val="20"/>
              </w:rPr>
            </w:pPr>
          </w:p>
        </w:tc>
      </w:tr>
      <w:tr w:rsidR="00F02B4B" w:rsidRPr="008D1759" w:rsidTr="003F712A">
        <w:tc>
          <w:tcPr>
            <w:tcW w:w="9163" w:type="dxa"/>
            <w:gridSpan w:val="4"/>
          </w:tcPr>
          <w:p w:rsidR="00F02B4B" w:rsidRPr="008D1759" w:rsidRDefault="00F02B4B" w:rsidP="003F712A">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F02B4B" w:rsidRPr="008D1759" w:rsidTr="003F712A">
        <w:tc>
          <w:tcPr>
            <w:tcW w:w="1448" w:type="dxa"/>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F02B4B" w:rsidRPr="008D1759" w:rsidRDefault="00F02B4B" w:rsidP="003F712A">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F02B4B" w:rsidRPr="008D1759" w:rsidRDefault="00F02B4B" w:rsidP="003F712A">
            <w:pPr>
              <w:pStyle w:val="Neotevilenodstavek"/>
              <w:spacing w:before="0" w:after="0" w:line="260" w:lineRule="exact"/>
              <w:jc w:val="center"/>
              <w:rPr>
                <w:iCs/>
                <w:sz w:val="20"/>
                <w:szCs w:val="20"/>
              </w:rPr>
            </w:pPr>
            <w:r>
              <w:rPr>
                <w:sz w:val="20"/>
                <w:szCs w:val="20"/>
              </w:rPr>
              <w:t>DA/</w:t>
            </w:r>
            <w:r w:rsidRPr="0053002D">
              <w:rPr>
                <w:b/>
                <w:sz w:val="20"/>
                <w:szCs w:val="20"/>
              </w:rPr>
              <w:t>NE</w:t>
            </w:r>
          </w:p>
        </w:tc>
      </w:tr>
      <w:tr w:rsidR="00F02B4B" w:rsidRPr="008D1759" w:rsidTr="003F712A">
        <w:tc>
          <w:tcPr>
            <w:tcW w:w="1448" w:type="dxa"/>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F02B4B" w:rsidRPr="008D1759" w:rsidRDefault="00F02B4B" w:rsidP="003F712A">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F02B4B" w:rsidRPr="008D1759" w:rsidRDefault="00F02B4B" w:rsidP="003F712A">
            <w:pPr>
              <w:pStyle w:val="Neotevilenodstavek"/>
              <w:spacing w:before="0" w:after="0" w:line="260" w:lineRule="exact"/>
              <w:jc w:val="center"/>
              <w:rPr>
                <w:iCs/>
                <w:sz w:val="20"/>
                <w:szCs w:val="20"/>
              </w:rPr>
            </w:pPr>
            <w:r>
              <w:rPr>
                <w:sz w:val="20"/>
                <w:szCs w:val="20"/>
              </w:rPr>
              <w:t>DA/</w:t>
            </w:r>
            <w:r w:rsidRPr="0053002D">
              <w:rPr>
                <w:b/>
                <w:sz w:val="20"/>
                <w:szCs w:val="20"/>
              </w:rPr>
              <w:t>NE</w:t>
            </w:r>
          </w:p>
        </w:tc>
      </w:tr>
      <w:tr w:rsidR="00F02B4B" w:rsidRPr="008D1759" w:rsidTr="003F712A">
        <w:tc>
          <w:tcPr>
            <w:tcW w:w="1448" w:type="dxa"/>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F02B4B" w:rsidRPr="008D1759" w:rsidRDefault="00F02B4B" w:rsidP="002475D6">
            <w:pPr>
              <w:pStyle w:val="Neotevilenodstavek"/>
              <w:spacing w:before="0" w:after="0" w:line="260" w:lineRule="exact"/>
              <w:rPr>
                <w:iCs/>
                <w:sz w:val="20"/>
                <w:szCs w:val="20"/>
              </w:rPr>
            </w:pPr>
            <w:r w:rsidRPr="008D1759">
              <w:rPr>
                <w:sz w:val="20"/>
                <w:szCs w:val="20"/>
              </w:rPr>
              <w:t>administrativne posledice</w:t>
            </w:r>
            <w:r w:rsidR="002475D6">
              <w:rPr>
                <w:sz w:val="20"/>
                <w:szCs w:val="20"/>
              </w:rPr>
              <w:t>: dobavitelji energentov končnim odjemalcem bodo morali obračunati prispevek in ga odvajati na EKO sklad, kot že počnejo s prispevkom za proizvodnjo toplote iz obnovljivih virov energije.</w:t>
            </w:r>
          </w:p>
        </w:tc>
        <w:tc>
          <w:tcPr>
            <w:tcW w:w="2271" w:type="dxa"/>
            <w:vAlign w:val="center"/>
          </w:tcPr>
          <w:p w:rsidR="00F02B4B" w:rsidRPr="00A24E98" w:rsidRDefault="00F02B4B" w:rsidP="003F712A">
            <w:pPr>
              <w:pStyle w:val="Neotevilenodstavek"/>
              <w:spacing w:before="0" w:after="0" w:line="260" w:lineRule="exact"/>
              <w:jc w:val="center"/>
              <w:rPr>
                <w:sz w:val="20"/>
                <w:szCs w:val="20"/>
              </w:rPr>
            </w:pPr>
            <w:r w:rsidRPr="002475D6">
              <w:rPr>
                <w:b/>
                <w:sz w:val="20"/>
                <w:szCs w:val="20"/>
              </w:rPr>
              <w:t>DA</w:t>
            </w:r>
            <w:r w:rsidRPr="008D1759">
              <w:rPr>
                <w:sz w:val="20"/>
                <w:szCs w:val="20"/>
              </w:rPr>
              <w:t>/NE</w:t>
            </w:r>
          </w:p>
        </w:tc>
      </w:tr>
      <w:tr w:rsidR="00F02B4B" w:rsidRPr="008D1759" w:rsidTr="003F712A">
        <w:tc>
          <w:tcPr>
            <w:tcW w:w="1448" w:type="dxa"/>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F02B4B" w:rsidRPr="008D1759" w:rsidRDefault="00F02B4B" w:rsidP="003F712A">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r w:rsidR="002475D6">
              <w:rPr>
                <w:bCs/>
                <w:sz w:val="20"/>
                <w:szCs w:val="20"/>
              </w:rPr>
              <w:t>: uvaja se nov prispevek na fosilna goriva in daljinsko toploto, ki ga še ni bilo.</w:t>
            </w:r>
          </w:p>
        </w:tc>
        <w:tc>
          <w:tcPr>
            <w:tcW w:w="2271" w:type="dxa"/>
            <w:vAlign w:val="center"/>
          </w:tcPr>
          <w:p w:rsidR="00F02B4B" w:rsidRPr="008D1759" w:rsidRDefault="00F02B4B" w:rsidP="003F712A">
            <w:pPr>
              <w:pStyle w:val="Neotevilenodstavek"/>
              <w:spacing w:before="0" w:after="0" w:line="260" w:lineRule="exact"/>
              <w:jc w:val="center"/>
              <w:rPr>
                <w:iCs/>
                <w:sz w:val="20"/>
                <w:szCs w:val="20"/>
              </w:rPr>
            </w:pPr>
            <w:r w:rsidRPr="002475D6">
              <w:rPr>
                <w:b/>
                <w:sz w:val="20"/>
                <w:szCs w:val="20"/>
              </w:rPr>
              <w:t>DA</w:t>
            </w:r>
            <w:r w:rsidRPr="008D1759">
              <w:rPr>
                <w:sz w:val="20"/>
                <w:szCs w:val="20"/>
              </w:rPr>
              <w:t>/NE</w:t>
            </w:r>
          </w:p>
        </w:tc>
      </w:tr>
      <w:tr w:rsidR="00F02B4B" w:rsidRPr="008D1759" w:rsidTr="003F712A">
        <w:tc>
          <w:tcPr>
            <w:tcW w:w="1448" w:type="dxa"/>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F02B4B" w:rsidRPr="008D1759" w:rsidRDefault="00F02B4B" w:rsidP="003F712A">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F02B4B" w:rsidRPr="008D1759" w:rsidRDefault="00F02B4B" w:rsidP="003F712A">
            <w:pPr>
              <w:pStyle w:val="Neotevilenodstavek"/>
              <w:spacing w:before="0" w:after="0" w:line="260" w:lineRule="exact"/>
              <w:jc w:val="center"/>
              <w:rPr>
                <w:iCs/>
                <w:sz w:val="20"/>
                <w:szCs w:val="20"/>
              </w:rPr>
            </w:pPr>
            <w:r>
              <w:rPr>
                <w:sz w:val="20"/>
                <w:szCs w:val="20"/>
              </w:rPr>
              <w:t>DA</w:t>
            </w:r>
            <w:r w:rsidRPr="008D1759">
              <w:rPr>
                <w:sz w:val="20"/>
                <w:szCs w:val="20"/>
              </w:rPr>
              <w:t>/</w:t>
            </w:r>
            <w:r w:rsidRPr="002475D6">
              <w:rPr>
                <w:b/>
                <w:sz w:val="20"/>
                <w:szCs w:val="20"/>
              </w:rPr>
              <w:t>NE</w:t>
            </w:r>
          </w:p>
        </w:tc>
      </w:tr>
      <w:tr w:rsidR="00F02B4B" w:rsidRPr="008D1759" w:rsidTr="003F712A">
        <w:tc>
          <w:tcPr>
            <w:tcW w:w="1448" w:type="dxa"/>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F02B4B" w:rsidRPr="008D1759" w:rsidRDefault="00F02B4B" w:rsidP="003F712A">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F02B4B" w:rsidRPr="008D1759" w:rsidRDefault="00F02B4B" w:rsidP="003F712A">
            <w:pPr>
              <w:pStyle w:val="Neotevilenodstavek"/>
              <w:spacing w:before="0" w:after="0" w:line="260" w:lineRule="exact"/>
              <w:jc w:val="center"/>
              <w:rPr>
                <w:iCs/>
                <w:sz w:val="20"/>
                <w:szCs w:val="20"/>
              </w:rPr>
            </w:pPr>
            <w:r>
              <w:rPr>
                <w:sz w:val="20"/>
                <w:szCs w:val="20"/>
              </w:rPr>
              <w:t>DA/</w:t>
            </w:r>
            <w:r w:rsidRPr="002475D6">
              <w:rPr>
                <w:b/>
                <w:sz w:val="20"/>
                <w:szCs w:val="20"/>
              </w:rPr>
              <w:t>NE</w:t>
            </w:r>
          </w:p>
        </w:tc>
      </w:tr>
      <w:tr w:rsidR="00F02B4B" w:rsidRPr="008D1759" w:rsidTr="003F712A">
        <w:tc>
          <w:tcPr>
            <w:tcW w:w="1448" w:type="dxa"/>
            <w:tcBorders>
              <w:bottom w:val="single" w:sz="4" w:space="0" w:color="auto"/>
            </w:tcBorders>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F02B4B" w:rsidRPr="008D1759" w:rsidRDefault="00F02B4B" w:rsidP="003F712A">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F02B4B" w:rsidRPr="008D1759" w:rsidRDefault="00F02B4B" w:rsidP="00F02B4B">
            <w:pPr>
              <w:pStyle w:val="Neotevilenodstavek"/>
              <w:numPr>
                <w:ilvl w:val="0"/>
                <w:numId w:val="17"/>
              </w:numPr>
              <w:spacing w:before="0" w:after="0" w:line="260" w:lineRule="exact"/>
              <w:rPr>
                <w:bCs/>
                <w:sz w:val="20"/>
                <w:szCs w:val="20"/>
              </w:rPr>
            </w:pPr>
            <w:r w:rsidRPr="008D1759">
              <w:rPr>
                <w:bCs/>
                <w:sz w:val="20"/>
                <w:szCs w:val="20"/>
              </w:rPr>
              <w:t>nacionalne d</w:t>
            </w:r>
            <w:r>
              <w:rPr>
                <w:bCs/>
                <w:sz w:val="20"/>
                <w:szCs w:val="20"/>
              </w:rPr>
              <w:t>okumente razvojnega načrtovanja</w:t>
            </w:r>
          </w:p>
          <w:p w:rsidR="00F02B4B" w:rsidRPr="008D1759" w:rsidRDefault="00F02B4B" w:rsidP="00F02B4B">
            <w:pPr>
              <w:pStyle w:val="Neotevilenodstavek"/>
              <w:numPr>
                <w:ilvl w:val="0"/>
                <w:numId w:val="17"/>
              </w:numPr>
              <w:spacing w:before="0" w:after="0" w:line="260" w:lineRule="exact"/>
              <w:rPr>
                <w:bCs/>
                <w:sz w:val="20"/>
                <w:szCs w:val="20"/>
              </w:rPr>
            </w:pPr>
            <w:r w:rsidRPr="008D1759">
              <w:rPr>
                <w:bCs/>
                <w:sz w:val="20"/>
                <w:szCs w:val="20"/>
              </w:rPr>
              <w:t>razvojne politike na ravni programov po strukturi razvojne klasifikacije programskega proračuna</w:t>
            </w:r>
          </w:p>
          <w:p w:rsidR="00F02B4B" w:rsidRPr="008D1759" w:rsidRDefault="00F02B4B" w:rsidP="00F02B4B">
            <w:pPr>
              <w:pStyle w:val="Neotevilenodstavek"/>
              <w:numPr>
                <w:ilvl w:val="0"/>
                <w:numId w:val="17"/>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F02B4B" w:rsidRPr="008D1759" w:rsidRDefault="00F02B4B" w:rsidP="003F712A">
            <w:pPr>
              <w:pStyle w:val="Neotevilenodstavek"/>
              <w:spacing w:before="0" w:after="0" w:line="260" w:lineRule="exact"/>
              <w:jc w:val="center"/>
              <w:rPr>
                <w:iCs/>
                <w:sz w:val="20"/>
                <w:szCs w:val="20"/>
              </w:rPr>
            </w:pPr>
            <w:r>
              <w:rPr>
                <w:sz w:val="20"/>
                <w:szCs w:val="20"/>
              </w:rPr>
              <w:t>DA</w:t>
            </w:r>
            <w:r w:rsidRPr="008D1759">
              <w:rPr>
                <w:sz w:val="20"/>
                <w:szCs w:val="20"/>
              </w:rPr>
              <w:t>/</w:t>
            </w:r>
            <w:r w:rsidRPr="002475D6">
              <w:rPr>
                <w:b/>
                <w:sz w:val="20"/>
                <w:szCs w:val="20"/>
              </w:rPr>
              <w:t>NE</w:t>
            </w:r>
          </w:p>
        </w:tc>
      </w:tr>
      <w:tr w:rsidR="00F02B4B" w:rsidRPr="008D1759" w:rsidTr="003F712A">
        <w:tc>
          <w:tcPr>
            <w:tcW w:w="9163" w:type="dxa"/>
            <w:gridSpan w:val="4"/>
            <w:tcBorders>
              <w:top w:val="single" w:sz="4" w:space="0" w:color="auto"/>
              <w:left w:val="single" w:sz="4" w:space="0" w:color="auto"/>
              <w:bottom w:val="single" w:sz="4" w:space="0" w:color="auto"/>
              <w:right w:val="single" w:sz="4" w:space="0" w:color="auto"/>
            </w:tcBorders>
          </w:tcPr>
          <w:p w:rsidR="00F02B4B" w:rsidRPr="008D1759" w:rsidRDefault="00F02B4B" w:rsidP="003F712A">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F02B4B" w:rsidRPr="002475D6" w:rsidRDefault="002475D6" w:rsidP="002475D6">
            <w:pPr>
              <w:pStyle w:val="Oddelek"/>
              <w:widowControl w:val="0"/>
              <w:numPr>
                <w:ilvl w:val="0"/>
                <w:numId w:val="0"/>
              </w:numPr>
              <w:spacing w:before="0" w:after="0" w:line="260" w:lineRule="exact"/>
              <w:jc w:val="left"/>
              <w:rPr>
                <w:b w:val="0"/>
                <w:sz w:val="20"/>
                <w:szCs w:val="20"/>
              </w:rPr>
            </w:pPr>
            <w:r w:rsidRPr="002475D6">
              <w:rPr>
                <w:b w:val="0"/>
                <w:sz w:val="20"/>
                <w:szCs w:val="20"/>
              </w:rPr>
              <w:t>/</w:t>
            </w:r>
          </w:p>
        </w:tc>
      </w:tr>
    </w:tbl>
    <w:p w:rsidR="00F02B4B" w:rsidRPr="008D1759" w:rsidRDefault="00F02B4B" w:rsidP="00F02B4B">
      <w:pPr>
        <w:spacing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02B4B" w:rsidRPr="008D1759" w:rsidTr="003F712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02B4B" w:rsidRPr="008D1759" w:rsidRDefault="00F02B4B" w:rsidP="003F712A">
            <w:pPr>
              <w:pStyle w:val="Naslov1"/>
              <w:keepNext w:val="0"/>
              <w:pageBreakBefore/>
              <w:widowControl w:val="0"/>
              <w:tabs>
                <w:tab w:val="left" w:pos="2340"/>
              </w:tabs>
              <w:spacing w:before="0" w:after="0"/>
              <w:ind w:left="142" w:hanging="142"/>
              <w:rPr>
                <w:sz w:val="20"/>
                <w:szCs w:val="20"/>
              </w:rPr>
            </w:pPr>
            <w:r w:rsidRPr="008D1759">
              <w:rPr>
                <w:sz w:val="20"/>
                <w:szCs w:val="20"/>
              </w:rPr>
              <w:lastRenderedPageBreak/>
              <w:t>I. Ocena finančnih posledic, ki niso načrtovane v sprejetem proračunu</w:t>
            </w:r>
          </w:p>
        </w:tc>
      </w:tr>
      <w:tr w:rsidR="00F02B4B" w:rsidRPr="008D1759" w:rsidTr="003F712A">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3</w:t>
            </w:r>
          </w:p>
        </w:tc>
      </w:tr>
      <w:tr w:rsidR="00F02B4B" w:rsidRPr="008D1759"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sz w:val="20"/>
                <w:szCs w:val="20"/>
              </w:rPr>
            </w:pPr>
          </w:p>
        </w:tc>
      </w:tr>
      <w:tr w:rsidR="00F02B4B" w:rsidRPr="008D1759"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sz w:val="20"/>
                <w:szCs w:val="20"/>
              </w:rPr>
            </w:pPr>
          </w:p>
        </w:tc>
      </w:tr>
      <w:tr w:rsidR="00F02B4B" w:rsidRPr="008D1759"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r>
      <w:tr w:rsidR="00F02B4B" w:rsidRPr="008D1759" w:rsidTr="003F712A">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rPr>
                <w:rFonts w:ascii="Arial" w:hAnsi="Arial" w:cs="Arial"/>
                <w:bCs/>
                <w:sz w:val="20"/>
                <w:szCs w:val="20"/>
              </w:rPr>
            </w:pPr>
            <w:r w:rsidRPr="008D1759">
              <w:rPr>
                <w:rFonts w:ascii="Arial" w:hAnsi="Arial" w:cs="Arial"/>
                <w:bCs/>
                <w:sz w:val="20"/>
                <w:szCs w:val="20"/>
              </w:rPr>
              <w:t>Predvideno povečan</w:t>
            </w:r>
            <w:r>
              <w:rPr>
                <w:rFonts w:ascii="Arial" w:hAnsi="Arial" w:cs="Arial"/>
                <w:bCs/>
                <w:sz w:val="20"/>
                <w:szCs w:val="20"/>
              </w:rPr>
              <w:t>je (+) ali zmanjšanje (</w:t>
            </w:r>
            <w:r w:rsidRPr="00755DBB">
              <w:rPr>
                <w:b/>
                <w:sz w:val="20"/>
                <w:szCs w:val="20"/>
              </w:rPr>
              <w:t>–</w:t>
            </w:r>
            <w:r w:rsidRPr="008D1759">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r>
      <w:tr w:rsidR="00F02B4B" w:rsidRPr="008D1759"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w:t>
            </w:r>
            <w:r>
              <w:rPr>
                <w:rFonts w:ascii="Arial" w:hAnsi="Arial" w:cs="Arial"/>
                <w:bCs/>
                <w:sz w:val="20"/>
                <w:szCs w:val="20"/>
              </w:rPr>
              <w:t xml:space="preserve"> obveznosti za druga javno</w:t>
            </w:r>
            <w:r w:rsidRPr="008D1759">
              <w:rPr>
                <w:rFonts w:ascii="Arial" w:hAnsi="Arial" w:cs="Arial"/>
                <w:bCs/>
                <w:sz w:val="20"/>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sz w:val="20"/>
                <w:szCs w:val="20"/>
              </w:rPr>
            </w:pPr>
          </w:p>
        </w:tc>
      </w:tr>
      <w:tr w:rsidR="00F02B4B" w:rsidRPr="008D1759"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8D1759" w:rsidRDefault="00F02B4B" w:rsidP="003F712A">
            <w:pPr>
              <w:pStyle w:val="Naslov1"/>
              <w:keepNext w:val="0"/>
              <w:widowControl w:val="0"/>
              <w:tabs>
                <w:tab w:val="left" w:pos="2340"/>
              </w:tabs>
              <w:spacing w:before="0" w:after="0"/>
              <w:ind w:left="142" w:hanging="142"/>
              <w:rPr>
                <w:sz w:val="20"/>
                <w:szCs w:val="20"/>
              </w:rPr>
            </w:pPr>
            <w:r w:rsidRPr="008D1759">
              <w:rPr>
                <w:sz w:val="20"/>
                <w:szCs w:val="20"/>
              </w:rPr>
              <w:t>II. Finančne posledice za državni proračun</w:t>
            </w:r>
          </w:p>
        </w:tc>
      </w:tr>
      <w:tr w:rsidR="00F02B4B" w:rsidRPr="008D1759"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8D1759" w:rsidRDefault="00F02B4B" w:rsidP="003F712A">
            <w:pPr>
              <w:pStyle w:val="Naslov1"/>
              <w:keepNext w:val="0"/>
              <w:widowControl w:val="0"/>
              <w:tabs>
                <w:tab w:val="left" w:pos="2340"/>
              </w:tabs>
              <w:spacing w:before="0" w:after="0"/>
              <w:ind w:left="142" w:hanging="142"/>
              <w:rPr>
                <w:sz w:val="20"/>
                <w:szCs w:val="20"/>
              </w:rPr>
            </w:pPr>
            <w:proofErr w:type="spellStart"/>
            <w:r>
              <w:rPr>
                <w:sz w:val="20"/>
                <w:szCs w:val="20"/>
              </w:rPr>
              <w:t>II.a</w:t>
            </w:r>
            <w:proofErr w:type="spellEnd"/>
            <w:r w:rsidRPr="008D1759">
              <w:rPr>
                <w:sz w:val="20"/>
                <w:szCs w:val="20"/>
              </w:rPr>
              <w:t xml:space="preserve"> Pravice porabe za izvedbo predlaganih rešitev </w:t>
            </w:r>
            <w:r>
              <w:rPr>
                <w:sz w:val="20"/>
                <w:szCs w:val="20"/>
              </w:rPr>
              <w:t>so zagotovljene</w:t>
            </w:r>
            <w:r w:rsidRPr="00697AD9">
              <w:rPr>
                <w:sz w:val="20"/>
                <w:szCs w:val="20"/>
              </w:rPr>
              <w:t>:</w:t>
            </w:r>
          </w:p>
        </w:tc>
      </w:tr>
      <w:tr w:rsidR="00F02B4B" w:rsidRPr="008D1759"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Šifra</w:t>
            </w:r>
            <w:r>
              <w:rPr>
                <w:rFonts w:ascii="Arial" w:hAnsi="Arial" w:cs="Arial"/>
                <w:sz w:val="20"/>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F02B4B" w:rsidRPr="008D1759" w:rsidTr="003F712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r>
      <w:tr w:rsidR="00F02B4B" w:rsidRPr="008D1759"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r>
      <w:tr w:rsidR="00F02B4B" w:rsidRPr="008D1759"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r w:rsidRPr="008D1759">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p>
        </w:tc>
      </w:tr>
      <w:tr w:rsidR="00F02B4B" w:rsidRPr="008D1759" w:rsidTr="003F712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8D1759" w:rsidRDefault="00F02B4B" w:rsidP="003F712A">
            <w:pPr>
              <w:pStyle w:val="Naslov1"/>
              <w:keepNext w:val="0"/>
              <w:widowControl w:val="0"/>
              <w:tabs>
                <w:tab w:val="left" w:pos="2340"/>
              </w:tabs>
              <w:spacing w:before="0" w:after="0"/>
              <w:rPr>
                <w:sz w:val="20"/>
                <w:szCs w:val="20"/>
              </w:rPr>
            </w:pPr>
            <w:proofErr w:type="spellStart"/>
            <w:r>
              <w:rPr>
                <w:sz w:val="20"/>
                <w:szCs w:val="20"/>
              </w:rPr>
              <w:t>II.b</w:t>
            </w:r>
            <w:proofErr w:type="spellEnd"/>
            <w:r w:rsidRPr="008D1759">
              <w:rPr>
                <w:sz w:val="20"/>
                <w:szCs w:val="20"/>
              </w:rPr>
              <w:t xml:space="preserve"> Manjkajoče pravice porabe bodo za</w:t>
            </w:r>
            <w:r>
              <w:rPr>
                <w:sz w:val="20"/>
                <w:szCs w:val="20"/>
              </w:rPr>
              <w:t>gotovljene s prerazporeditvijo</w:t>
            </w:r>
            <w:r w:rsidRPr="00697AD9">
              <w:rPr>
                <w:sz w:val="20"/>
                <w:szCs w:val="20"/>
              </w:rPr>
              <w:t>:</w:t>
            </w:r>
          </w:p>
        </w:tc>
      </w:tr>
      <w:tr w:rsidR="00F02B4B" w:rsidRPr="008D1759"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Pr>
                <w:rFonts w:ascii="Arial" w:hAnsi="Arial" w:cs="Arial"/>
                <w:sz w:val="20"/>
                <w:szCs w:val="20"/>
              </w:rPr>
              <w:t>Šifra in naziv proračunske postavke</w:t>
            </w:r>
            <w:r w:rsidRPr="008D1759">
              <w:rPr>
                <w:rFonts w:ascii="Arial" w:hAnsi="Arial" w:cs="Arial"/>
                <w:sz w:val="20"/>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 xml:space="preserve">1 </w:t>
            </w:r>
          </w:p>
        </w:tc>
      </w:tr>
      <w:tr w:rsidR="00F02B4B" w:rsidRPr="008D1759"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r>
      <w:tr w:rsidR="00F02B4B" w:rsidRPr="008D1759"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r>
      <w:tr w:rsidR="00F02B4B" w:rsidRPr="008D1759"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r w:rsidRPr="008D1759">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p>
        </w:tc>
      </w:tr>
      <w:tr w:rsidR="00F02B4B" w:rsidRPr="008D1759" w:rsidTr="003F712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02B4B" w:rsidRPr="008D1759" w:rsidRDefault="00F02B4B" w:rsidP="003F712A">
            <w:pPr>
              <w:pStyle w:val="Naslov1"/>
              <w:keepNext w:val="0"/>
              <w:widowControl w:val="0"/>
              <w:tabs>
                <w:tab w:val="left" w:pos="2340"/>
              </w:tabs>
              <w:spacing w:before="0" w:after="0"/>
              <w:rPr>
                <w:sz w:val="20"/>
                <w:szCs w:val="20"/>
              </w:rPr>
            </w:pPr>
            <w:proofErr w:type="spellStart"/>
            <w:r>
              <w:rPr>
                <w:sz w:val="20"/>
                <w:szCs w:val="20"/>
              </w:rPr>
              <w:t>II.c</w:t>
            </w:r>
            <w:proofErr w:type="spellEnd"/>
            <w:r w:rsidRPr="008D1759">
              <w:rPr>
                <w:sz w:val="20"/>
                <w:szCs w:val="20"/>
              </w:rPr>
              <w:t xml:space="preserve"> Načrtovana nad</w:t>
            </w:r>
            <w:r>
              <w:rPr>
                <w:sz w:val="20"/>
                <w:szCs w:val="20"/>
              </w:rPr>
              <w:t>omestitev zmanjšanih prihodkov in povečanih odhodkov proračuna</w:t>
            </w:r>
            <w:r w:rsidRPr="00697AD9">
              <w:rPr>
                <w:sz w:val="20"/>
                <w:szCs w:val="20"/>
              </w:rPr>
              <w:t>:</w:t>
            </w:r>
          </w:p>
        </w:tc>
      </w:tr>
      <w:tr w:rsidR="00F02B4B" w:rsidRPr="008D1759" w:rsidTr="003F712A">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ind w:left="-122" w:right="-112"/>
              <w:jc w:val="center"/>
              <w:rPr>
                <w:rFonts w:ascii="Arial" w:hAnsi="Arial" w:cs="Arial"/>
                <w:sz w:val="20"/>
                <w:szCs w:val="20"/>
              </w:rPr>
            </w:pPr>
            <w:r w:rsidRPr="008D1759">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ind w:left="-122" w:right="-112"/>
              <w:jc w:val="center"/>
              <w:rPr>
                <w:rFonts w:ascii="Arial" w:hAnsi="Arial" w:cs="Arial"/>
                <w:sz w:val="20"/>
                <w:szCs w:val="20"/>
              </w:rPr>
            </w:pPr>
            <w:r w:rsidRPr="008D1759">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ind w:left="-122" w:right="-112"/>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F02B4B" w:rsidRPr="008D1759"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r>
      <w:tr w:rsidR="00F02B4B" w:rsidRPr="008D1759"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r>
      <w:tr w:rsidR="00F02B4B" w:rsidRPr="008D1759"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r>
      <w:tr w:rsidR="00F02B4B" w:rsidRPr="008D1759"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r w:rsidRPr="008D1759">
              <w:rPr>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F02B4B" w:rsidRPr="008D1759" w:rsidRDefault="00F02B4B" w:rsidP="003F712A">
            <w:pPr>
              <w:widowControl w:val="0"/>
              <w:spacing w:line="260" w:lineRule="exact"/>
              <w:rPr>
                <w:rFonts w:ascii="Arial" w:hAnsi="Arial" w:cs="Arial"/>
                <w:b/>
                <w:sz w:val="20"/>
                <w:szCs w:val="20"/>
              </w:rPr>
            </w:pPr>
          </w:p>
          <w:p w:rsidR="00F02B4B" w:rsidRPr="008D1759" w:rsidRDefault="00F02B4B" w:rsidP="003F712A">
            <w:pPr>
              <w:widowControl w:val="0"/>
              <w:spacing w:line="260" w:lineRule="exact"/>
              <w:rPr>
                <w:rFonts w:ascii="Arial" w:hAnsi="Arial" w:cs="Arial"/>
                <w:b/>
                <w:sz w:val="20"/>
                <w:szCs w:val="20"/>
              </w:rPr>
            </w:pPr>
            <w:r w:rsidRPr="008D1759">
              <w:rPr>
                <w:rFonts w:ascii="Arial" w:hAnsi="Arial" w:cs="Arial"/>
                <w:b/>
                <w:sz w:val="20"/>
                <w:szCs w:val="20"/>
              </w:rPr>
              <w:t>OBRAZLOŽITEV:</w:t>
            </w:r>
          </w:p>
          <w:p w:rsidR="00F02B4B" w:rsidRPr="008D1759" w:rsidRDefault="00F02B4B" w:rsidP="00F02B4B">
            <w:pPr>
              <w:widowControl w:val="0"/>
              <w:numPr>
                <w:ilvl w:val="0"/>
                <w:numId w:val="12"/>
              </w:numPr>
              <w:spacing w:line="260" w:lineRule="exact"/>
              <w:ind w:left="284" w:hanging="284"/>
              <w:jc w:val="both"/>
              <w:rPr>
                <w:rFonts w:ascii="Arial" w:hAnsi="Arial" w:cs="Arial"/>
                <w:b/>
                <w:sz w:val="20"/>
                <w:szCs w:val="20"/>
                <w:lang w:eastAsia="sl-SI"/>
              </w:rPr>
            </w:pPr>
            <w:r w:rsidRPr="008D1759">
              <w:rPr>
                <w:rFonts w:ascii="Arial" w:hAnsi="Arial" w:cs="Arial"/>
                <w:b/>
                <w:sz w:val="20"/>
                <w:szCs w:val="20"/>
                <w:lang w:eastAsia="sl-SI"/>
              </w:rPr>
              <w:t>Ocena finančnih posledic, ki niso načrtovane v sprejetem proračunu</w:t>
            </w:r>
          </w:p>
          <w:p w:rsidR="00F02B4B" w:rsidRPr="008D1759" w:rsidRDefault="00F02B4B" w:rsidP="003F712A">
            <w:pPr>
              <w:widowControl w:val="0"/>
              <w:spacing w:line="260" w:lineRule="exact"/>
              <w:ind w:left="360" w:hanging="76"/>
              <w:jc w:val="both"/>
              <w:rPr>
                <w:rFonts w:ascii="Arial" w:hAnsi="Arial" w:cs="Arial"/>
                <w:sz w:val="20"/>
                <w:szCs w:val="20"/>
                <w:lang w:eastAsia="sl-SI"/>
              </w:rPr>
            </w:pPr>
            <w:r>
              <w:rPr>
                <w:rFonts w:ascii="Arial" w:hAnsi="Arial" w:cs="Arial"/>
                <w:sz w:val="20"/>
                <w:szCs w:val="20"/>
                <w:lang w:eastAsia="sl-SI"/>
              </w:rPr>
              <w:t>V zvezi</w:t>
            </w:r>
            <w:r w:rsidRPr="008D1759">
              <w:rPr>
                <w:rFonts w:ascii="Arial" w:hAnsi="Arial" w:cs="Arial"/>
                <w:sz w:val="20"/>
                <w:szCs w:val="20"/>
                <w:lang w:eastAsia="sl-SI"/>
              </w:rPr>
              <w:t xml:space="preserve"> s predlaganim vladnim gradivom se navedejo predvidene spremembe (povečanje, zmanjšanje):</w:t>
            </w:r>
          </w:p>
          <w:p w:rsidR="00F02B4B" w:rsidRPr="008D1759" w:rsidRDefault="00F02B4B" w:rsidP="00F02B4B">
            <w:pPr>
              <w:widowControl w:val="0"/>
              <w:numPr>
                <w:ilvl w:val="0"/>
                <w:numId w:val="18"/>
              </w:numPr>
              <w:spacing w:line="260" w:lineRule="exact"/>
              <w:jc w:val="both"/>
              <w:rPr>
                <w:rFonts w:ascii="Arial" w:hAnsi="Arial" w:cs="Arial"/>
                <w:sz w:val="20"/>
                <w:szCs w:val="20"/>
              </w:rPr>
            </w:pPr>
            <w:r w:rsidRPr="008D1759">
              <w:rPr>
                <w:rFonts w:ascii="Arial" w:hAnsi="Arial" w:cs="Arial"/>
                <w:sz w:val="20"/>
                <w:szCs w:val="20"/>
                <w:lang w:eastAsia="sl-SI"/>
              </w:rPr>
              <w:t>prihodko</w:t>
            </w:r>
            <w:r>
              <w:rPr>
                <w:rFonts w:ascii="Arial" w:hAnsi="Arial" w:cs="Arial"/>
                <w:sz w:val="20"/>
                <w:szCs w:val="20"/>
                <w:lang w:eastAsia="sl-SI"/>
              </w:rPr>
              <w:t>v državnega proračuna in</w:t>
            </w:r>
            <w:r w:rsidRPr="008D1759">
              <w:rPr>
                <w:rFonts w:ascii="Arial" w:hAnsi="Arial" w:cs="Arial"/>
                <w:sz w:val="20"/>
                <w:szCs w:val="20"/>
                <w:lang w:eastAsia="sl-SI"/>
              </w:rPr>
              <w:t xml:space="preserve"> občinskih proračunov</w:t>
            </w:r>
            <w:r>
              <w:rPr>
                <w:rFonts w:ascii="Arial" w:hAnsi="Arial" w:cs="Arial"/>
                <w:sz w:val="20"/>
                <w:szCs w:val="20"/>
                <w:lang w:eastAsia="sl-SI"/>
              </w:rPr>
              <w:t>,</w:t>
            </w:r>
          </w:p>
          <w:p w:rsidR="00F02B4B" w:rsidRPr="008D1759" w:rsidRDefault="00F02B4B" w:rsidP="00F02B4B">
            <w:pPr>
              <w:widowControl w:val="0"/>
              <w:numPr>
                <w:ilvl w:val="0"/>
                <w:numId w:val="18"/>
              </w:numPr>
              <w:spacing w:line="260" w:lineRule="exact"/>
              <w:jc w:val="both"/>
              <w:rPr>
                <w:rFonts w:ascii="Arial" w:hAnsi="Arial" w:cs="Arial"/>
                <w:sz w:val="20"/>
                <w:szCs w:val="20"/>
              </w:rPr>
            </w:pPr>
            <w:r w:rsidRPr="008D1759">
              <w:rPr>
                <w:rFonts w:ascii="Arial" w:hAnsi="Arial" w:cs="Arial"/>
                <w:sz w:val="20"/>
                <w:szCs w:val="20"/>
                <w:lang w:eastAsia="sl-SI"/>
              </w:rPr>
              <w:t>odhodkov državnega proračuna</w:t>
            </w:r>
            <w:r>
              <w:rPr>
                <w:rFonts w:ascii="Arial" w:hAnsi="Arial" w:cs="Arial"/>
                <w:sz w:val="20"/>
                <w:szCs w:val="20"/>
                <w:lang w:eastAsia="sl-SI"/>
              </w:rPr>
              <w:t xml:space="preserve">, ki niso načrtovani </w:t>
            </w:r>
            <w:r w:rsidRPr="00697AD9">
              <w:rPr>
                <w:rFonts w:ascii="Arial" w:hAnsi="Arial" w:cs="Arial"/>
                <w:sz w:val="20"/>
                <w:szCs w:val="20"/>
                <w:lang w:eastAsia="sl-SI"/>
              </w:rPr>
              <w:t>na</w:t>
            </w:r>
            <w:r>
              <w:rPr>
                <w:rFonts w:ascii="Arial" w:hAnsi="Arial" w:cs="Arial"/>
                <w:sz w:val="20"/>
                <w:szCs w:val="20"/>
                <w:lang w:eastAsia="sl-SI"/>
              </w:rPr>
              <w:t xml:space="preserve"> ukrepih oziroma </w:t>
            </w:r>
            <w:r w:rsidRPr="008D1759">
              <w:rPr>
                <w:rFonts w:ascii="Arial" w:hAnsi="Arial" w:cs="Arial"/>
                <w:sz w:val="20"/>
                <w:szCs w:val="20"/>
                <w:lang w:eastAsia="sl-SI"/>
              </w:rPr>
              <w:t>projektih sprejetih proračunov</w:t>
            </w:r>
            <w:r>
              <w:rPr>
                <w:rFonts w:ascii="Arial" w:hAnsi="Arial" w:cs="Arial"/>
                <w:sz w:val="20"/>
                <w:szCs w:val="20"/>
                <w:lang w:eastAsia="sl-SI"/>
              </w:rPr>
              <w:t>,</w:t>
            </w:r>
          </w:p>
          <w:p w:rsidR="00F02B4B" w:rsidRPr="008D1759" w:rsidRDefault="00F02B4B" w:rsidP="00F02B4B">
            <w:pPr>
              <w:widowControl w:val="0"/>
              <w:numPr>
                <w:ilvl w:val="0"/>
                <w:numId w:val="18"/>
              </w:numPr>
              <w:spacing w:line="260" w:lineRule="exact"/>
              <w:jc w:val="both"/>
              <w:rPr>
                <w:rFonts w:ascii="Arial" w:hAnsi="Arial" w:cs="Arial"/>
                <w:sz w:val="20"/>
                <w:szCs w:val="20"/>
              </w:rPr>
            </w:pPr>
            <w:r w:rsidRPr="008D1759">
              <w:rPr>
                <w:rFonts w:ascii="Arial" w:hAnsi="Arial" w:cs="Arial"/>
                <w:sz w:val="20"/>
                <w:szCs w:val="20"/>
                <w:lang w:eastAsia="sl-SI"/>
              </w:rPr>
              <w:t>obveznosti za druga javno</w:t>
            </w:r>
            <w:r>
              <w:rPr>
                <w:rFonts w:ascii="Arial" w:hAnsi="Arial" w:cs="Arial"/>
                <w:sz w:val="20"/>
                <w:szCs w:val="20"/>
                <w:lang w:eastAsia="sl-SI"/>
              </w:rPr>
              <w:t>finančna sredstva (drugi</w:t>
            </w:r>
            <w:r w:rsidRPr="008D1759">
              <w:rPr>
                <w:rFonts w:ascii="Arial" w:hAnsi="Arial" w:cs="Arial"/>
                <w:sz w:val="20"/>
                <w:szCs w:val="20"/>
                <w:lang w:eastAsia="sl-SI"/>
              </w:rPr>
              <w:t xml:space="preserve"> viri), ki niso načrtovan</w:t>
            </w:r>
            <w:r>
              <w:rPr>
                <w:rFonts w:ascii="Arial" w:hAnsi="Arial" w:cs="Arial"/>
                <w:sz w:val="20"/>
                <w:szCs w:val="20"/>
                <w:lang w:eastAsia="sl-SI"/>
              </w:rPr>
              <w:t>a</w:t>
            </w:r>
            <w:r w:rsidRPr="008D1759">
              <w:rPr>
                <w:rFonts w:ascii="Arial" w:hAnsi="Arial" w:cs="Arial"/>
                <w:sz w:val="20"/>
                <w:szCs w:val="20"/>
                <w:lang w:eastAsia="sl-SI"/>
              </w:rPr>
              <w:t xml:space="preserve"> </w:t>
            </w:r>
            <w:r w:rsidRPr="00697AD9">
              <w:rPr>
                <w:rFonts w:ascii="Arial" w:hAnsi="Arial" w:cs="Arial"/>
                <w:sz w:val="20"/>
                <w:szCs w:val="20"/>
                <w:lang w:eastAsia="sl-SI"/>
              </w:rPr>
              <w:t>na</w:t>
            </w:r>
            <w:r w:rsidRPr="008D1759">
              <w:rPr>
                <w:rFonts w:ascii="Arial" w:hAnsi="Arial" w:cs="Arial"/>
                <w:sz w:val="20"/>
                <w:szCs w:val="20"/>
                <w:lang w:eastAsia="sl-SI"/>
              </w:rPr>
              <w:t xml:space="preserve"> </w:t>
            </w:r>
            <w:r>
              <w:rPr>
                <w:rFonts w:ascii="Arial" w:hAnsi="Arial" w:cs="Arial"/>
                <w:sz w:val="20"/>
                <w:szCs w:val="20"/>
                <w:lang w:eastAsia="sl-SI"/>
              </w:rPr>
              <w:t xml:space="preserve">ukrepih oziroma </w:t>
            </w:r>
            <w:r w:rsidRPr="008D1759">
              <w:rPr>
                <w:rFonts w:ascii="Arial" w:hAnsi="Arial" w:cs="Arial"/>
                <w:sz w:val="20"/>
                <w:szCs w:val="20"/>
                <w:lang w:eastAsia="sl-SI"/>
              </w:rPr>
              <w:t>projektih sprejetih proračunov</w:t>
            </w:r>
            <w:r>
              <w:rPr>
                <w:rFonts w:ascii="Arial" w:hAnsi="Arial" w:cs="Arial"/>
                <w:sz w:val="20"/>
                <w:szCs w:val="20"/>
                <w:lang w:eastAsia="sl-SI"/>
              </w:rPr>
              <w:t>.</w:t>
            </w:r>
          </w:p>
          <w:p w:rsidR="00F02B4B" w:rsidRPr="008D1759" w:rsidRDefault="00F02B4B" w:rsidP="003F712A">
            <w:pPr>
              <w:widowControl w:val="0"/>
              <w:spacing w:line="260" w:lineRule="exact"/>
              <w:ind w:left="284"/>
              <w:rPr>
                <w:rFonts w:ascii="Arial" w:hAnsi="Arial" w:cs="Arial"/>
                <w:sz w:val="20"/>
                <w:szCs w:val="20"/>
                <w:lang w:eastAsia="sl-SI"/>
              </w:rPr>
            </w:pPr>
          </w:p>
          <w:p w:rsidR="00F02B4B" w:rsidRPr="008D1759" w:rsidRDefault="00F02B4B" w:rsidP="00F02B4B">
            <w:pPr>
              <w:widowControl w:val="0"/>
              <w:numPr>
                <w:ilvl w:val="0"/>
                <w:numId w:val="12"/>
              </w:numPr>
              <w:spacing w:line="260" w:lineRule="exact"/>
              <w:ind w:left="284" w:hanging="284"/>
              <w:jc w:val="both"/>
              <w:rPr>
                <w:rFonts w:ascii="Arial" w:hAnsi="Arial" w:cs="Arial"/>
                <w:b/>
                <w:sz w:val="20"/>
                <w:szCs w:val="20"/>
                <w:lang w:eastAsia="sl-SI"/>
              </w:rPr>
            </w:pPr>
            <w:r w:rsidRPr="008D1759">
              <w:rPr>
                <w:rFonts w:ascii="Arial" w:hAnsi="Arial" w:cs="Arial"/>
                <w:b/>
                <w:sz w:val="20"/>
                <w:szCs w:val="20"/>
                <w:lang w:eastAsia="sl-SI"/>
              </w:rPr>
              <w:t>Finan</w:t>
            </w:r>
            <w:r>
              <w:rPr>
                <w:rFonts w:ascii="Arial" w:hAnsi="Arial" w:cs="Arial"/>
                <w:b/>
                <w:sz w:val="20"/>
                <w:szCs w:val="20"/>
                <w:lang w:eastAsia="sl-SI"/>
              </w:rPr>
              <w:t xml:space="preserve">čne posledice </w:t>
            </w:r>
            <w:r w:rsidRPr="008D1759">
              <w:rPr>
                <w:rFonts w:ascii="Arial" w:hAnsi="Arial" w:cs="Arial"/>
                <w:b/>
                <w:sz w:val="20"/>
                <w:szCs w:val="20"/>
                <w:lang w:eastAsia="sl-SI"/>
              </w:rPr>
              <w:t>za državni proračun</w:t>
            </w:r>
          </w:p>
          <w:p w:rsidR="00F02B4B" w:rsidRPr="008D1759" w:rsidRDefault="00F02B4B" w:rsidP="003F712A">
            <w:pPr>
              <w:widowControl w:val="0"/>
              <w:spacing w:line="260" w:lineRule="exact"/>
              <w:ind w:left="284"/>
              <w:jc w:val="both"/>
              <w:rPr>
                <w:rFonts w:ascii="Arial" w:hAnsi="Arial" w:cs="Arial"/>
                <w:sz w:val="20"/>
                <w:szCs w:val="20"/>
                <w:lang w:eastAsia="sl-SI"/>
              </w:rPr>
            </w:pPr>
            <w:r w:rsidRPr="008D1759">
              <w:rPr>
                <w:rFonts w:ascii="Arial" w:hAnsi="Arial" w:cs="Arial"/>
                <w:sz w:val="20"/>
                <w:szCs w:val="20"/>
                <w:lang w:eastAsia="sl-SI"/>
              </w:rPr>
              <w:lastRenderedPageBreak/>
              <w:t>Prikazane morajo biti finančne posledice za državni proračun, ki so na proračunskih postavkah načrtovane v dinamiki projektov oziroma ukrepov:</w:t>
            </w:r>
          </w:p>
          <w:p w:rsidR="00F02B4B" w:rsidRPr="008D1759" w:rsidRDefault="00F02B4B" w:rsidP="003F712A">
            <w:pPr>
              <w:widowControl w:val="0"/>
              <w:spacing w:line="260" w:lineRule="exact"/>
              <w:ind w:left="720"/>
              <w:jc w:val="both"/>
              <w:rPr>
                <w:rFonts w:ascii="Arial" w:hAnsi="Arial" w:cs="Arial"/>
                <w:b/>
                <w:sz w:val="20"/>
                <w:szCs w:val="20"/>
                <w:lang w:eastAsia="sl-SI"/>
              </w:rPr>
            </w:pPr>
            <w:proofErr w:type="spellStart"/>
            <w:r>
              <w:rPr>
                <w:rFonts w:ascii="Arial" w:hAnsi="Arial" w:cs="Arial"/>
                <w:b/>
                <w:sz w:val="20"/>
                <w:szCs w:val="20"/>
                <w:lang w:eastAsia="sl-SI"/>
              </w:rPr>
              <w:t>II.a</w:t>
            </w:r>
            <w:proofErr w:type="spellEnd"/>
            <w:r w:rsidRPr="008D1759">
              <w:rPr>
                <w:rFonts w:ascii="Arial" w:hAnsi="Arial" w:cs="Arial"/>
                <w:b/>
                <w:sz w:val="20"/>
                <w:szCs w:val="20"/>
                <w:lang w:eastAsia="sl-SI"/>
              </w:rPr>
              <w:t xml:space="preserve"> Pravice porabe za izvedbo predlaganih rešite</w:t>
            </w:r>
            <w:r>
              <w:rPr>
                <w:rFonts w:ascii="Arial" w:hAnsi="Arial" w:cs="Arial"/>
                <w:b/>
                <w:sz w:val="20"/>
                <w:szCs w:val="20"/>
                <w:lang w:eastAsia="sl-SI"/>
              </w:rPr>
              <w:t>v so zagotovljene</w:t>
            </w:r>
            <w:r w:rsidRPr="00697AD9">
              <w:rPr>
                <w:rFonts w:ascii="Arial" w:hAnsi="Arial" w:cs="Arial"/>
                <w:b/>
                <w:sz w:val="20"/>
                <w:szCs w:val="20"/>
                <w:lang w:eastAsia="sl-SI"/>
              </w:rPr>
              <w:t>:</w:t>
            </w:r>
          </w:p>
          <w:p w:rsidR="00F02B4B" w:rsidRPr="008D1759" w:rsidRDefault="00F02B4B" w:rsidP="003F712A">
            <w:pPr>
              <w:widowControl w:val="0"/>
              <w:spacing w:line="260" w:lineRule="exact"/>
              <w:ind w:left="284"/>
              <w:jc w:val="both"/>
              <w:rPr>
                <w:rFonts w:ascii="Arial" w:hAnsi="Arial" w:cs="Arial"/>
                <w:sz w:val="20"/>
                <w:szCs w:val="20"/>
                <w:lang w:eastAsia="sl-SI"/>
              </w:rPr>
            </w:pPr>
            <w:r w:rsidRPr="008D1759">
              <w:rPr>
                <w:rFonts w:ascii="Arial" w:hAnsi="Arial" w:cs="Arial"/>
                <w:sz w:val="20"/>
                <w:szCs w:val="20"/>
                <w:lang w:eastAsia="sl-SI"/>
              </w:rPr>
              <w:t>Navede</w:t>
            </w:r>
            <w:r>
              <w:rPr>
                <w:rFonts w:ascii="Arial" w:hAnsi="Arial" w:cs="Arial"/>
                <w:sz w:val="20"/>
                <w:szCs w:val="20"/>
                <w:lang w:eastAsia="sl-SI"/>
              </w:rPr>
              <w:t>jo</w:t>
            </w:r>
            <w:r w:rsidRPr="008D1759">
              <w:rPr>
                <w:rFonts w:ascii="Arial" w:hAnsi="Arial" w:cs="Arial"/>
                <w:sz w:val="20"/>
                <w:szCs w:val="20"/>
                <w:lang w:eastAsia="sl-SI"/>
              </w:rPr>
              <w:t xml:space="preserve"> se proračunski upo</w:t>
            </w:r>
            <w:r>
              <w:rPr>
                <w:rFonts w:ascii="Arial" w:hAnsi="Arial" w:cs="Arial"/>
                <w:sz w:val="20"/>
                <w:szCs w:val="20"/>
                <w:lang w:eastAsia="sl-SI"/>
              </w:rPr>
              <w:t>rabnik, ki financira projekt oziroma</w:t>
            </w:r>
            <w:r w:rsidRPr="008D1759">
              <w:rPr>
                <w:rFonts w:ascii="Arial" w:hAnsi="Arial" w:cs="Arial"/>
                <w:sz w:val="20"/>
                <w:szCs w:val="20"/>
                <w:lang w:eastAsia="sl-SI"/>
              </w:rPr>
              <w:t xml:space="preserve"> ukrep; proje</w:t>
            </w:r>
            <w:r>
              <w:rPr>
                <w:rFonts w:ascii="Arial" w:hAnsi="Arial" w:cs="Arial"/>
                <w:sz w:val="20"/>
                <w:szCs w:val="20"/>
                <w:lang w:eastAsia="sl-SI"/>
              </w:rPr>
              <w:t>kt oziroma ukrep, s katerim se bodo dosegli</w:t>
            </w:r>
            <w:r w:rsidRPr="008D1759">
              <w:rPr>
                <w:rFonts w:ascii="Arial" w:hAnsi="Arial" w:cs="Arial"/>
                <w:sz w:val="20"/>
                <w:szCs w:val="20"/>
                <w:lang w:eastAsia="sl-SI"/>
              </w:rPr>
              <w:t xml:space="preserve"> cilji vladnega gradiva</w:t>
            </w:r>
            <w:r>
              <w:rPr>
                <w:rFonts w:ascii="Arial" w:hAnsi="Arial" w:cs="Arial"/>
                <w:sz w:val="20"/>
                <w:szCs w:val="20"/>
                <w:lang w:eastAsia="sl-SI"/>
              </w:rPr>
              <w:t>,</w:t>
            </w:r>
            <w:r w:rsidRPr="008D1759">
              <w:rPr>
                <w:rFonts w:ascii="Arial" w:hAnsi="Arial" w:cs="Arial"/>
                <w:sz w:val="20"/>
                <w:szCs w:val="20"/>
                <w:lang w:eastAsia="sl-SI"/>
              </w:rPr>
              <w:t xml:space="preserve"> </w:t>
            </w:r>
            <w:r>
              <w:rPr>
                <w:rFonts w:ascii="Arial" w:hAnsi="Arial" w:cs="Arial"/>
                <w:sz w:val="20"/>
                <w:szCs w:val="20"/>
                <w:lang w:eastAsia="sl-SI"/>
              </w:rPr>
              <w:t>in</w:t>
            </w:r>
            <w:r w:rsidRPr="008D1759">
              <w:rPr>
                <w:rFonts w:ascii="Arial" w:hAnsi="Arial" w:cs="Arial"/>
                <w:sz w:val="20"/>
                <w:szCs w:val="20"/>
                <w:lang w:eastAsia="sl-SI"/>
              </w:rPr>
              <w:t xml:space="preserve"> proračunske postavke (kot proračunski vir financiranja), na katerih so v celoti ali delno zagotovljene pravice porabe (v tem primeru</w:t>
            </w:r>
            <w:r>
              <w:rPr>
                <w:rFonts w:ascii="Arial" w:hAnsi="Arial" w:cs="Arial"/>
                <w:sz w:val="20"/>
                <w:szCs w:val="20"/>
                <w:lang w:eastAsia="sl-SI"/>
              </w:rPr>
              <w:t xml:space="preserve"> je nujna povezava s točko </w:t>
            </w:r>
            <w:proofErr w:type="spellStart"/>
            <w:r>
              <w:rPr>
                <w:rFonts w:ascii="Arial" w:hAnsi="Arial" w:cs="Arial"/>
                <w:sz w:val="20"/>
                <w:szCs w:val="20"/>
                <w:lang w:eastAsia="sl-SI"/>
              </w:rPr>
              <w:t>II.b</w:t>
            </w:r>
            <w:proofErr w:type="spellEnd"/>
            <w:r w:rsidRPr="008D1759">
              <w:rPr>
                <w:rFonts w:ascii="Arial" w:hAnsi="Arial" w:cs="Arial"/>
                <w:sz w:val="20"/>
                <w:szCs w:val="20"/>
                <w:lang w:eastAsia="sl-SI"/>
              </w:rPr>
              <w:t xml:space="preserve">). </w:t>
            </w:r>
            <w:r>
              <w:rPr>
                <w:rFonts w:ascii="Arial" w:hAnsi="Arial" w:cs="Arial"/>
                <w:sz w:val="20"/>
                <w:szCs w:val="20"/>
                <w:lang w:eastAsia="sl-SI"/>
              </w:rPr>
              <w:t>Pri uvrstitvi</w:t>
            </w:r>
            <w:r w:rsidRPr="008D1759">
              <w:rPr>
                <w:rFonts w:ascii="Arial" w:hAnsi="Arial" w:cs="Arial"/>
                <w:sz w:val="20"/>
                <w:szCs w:val="20"/>
                <w:lang w:eastAsia="sl-SI"/>
              </w:rPr>
              <w:t xml:space="preserve"> no</w:t>
            </w:r>
            <w:r>
              <w:rPr>
                <w:rFonts w:ascii="Arial" w:hAnsi="Arial" w:cs="Arial"/>
                <w:sz w:val="20"/>
                <w:szCs w:val="20"/>
                <w:lang w:eastAsia="sl-SI"/>
              </w:rPr>
              <w:t>vega projekta oziroma ukrepa v n</w:t>
            </w:r>
            <w:r w:rsidRPr="008D1759">
              <w:rPr>
                <w:rFonts w:ascii="Arial" w:hAnsi="Arial" w:cs="Arial"/>
                <w:sz w:val="20"/>
                <w:szCs w:val="20"/>
                <w:lang w:eastAsia="sl-SI"/>
              </w:rPr>
              <w:t>ačrt razvojnih programov se navede</w:t>
            </w:r>
            <w:r>
              <w:rPr>
                <w:rFonts w:ascii="Arial" w:hAnsi="Arial" w:cs="Arial"/>
                <w:sz w:val="20"/>
                <w:szCs w:val="20"/>
                <w:lang w:eastAsia="sl-SI"/>
              </w:rPr>
              <w:t>jo</w:t>
            </w:r>
            <w:r w:rsidRPr="008D1759">
              <w:rPr>
                <w:rFonts w:ascii="Arial" w:hAnsi="Arial" w:cs="Arial"/>
                <w:sz w:val="20"/>
                <w:szCs w:val="20"/>
                <w:lang w:eastAsia="sl-SI"/>
              </w:rPr>
              <w:t>:</w:t>
            </w:r>
          </w:p>
          <w:p w:rsidR="00F02B4B" w:rsidRPr="008D1759" w:rsidRDefault="00F02B4B" w:rsidP="00F02B4B">
            <w:pPr>
              <w:widowControl w:val="0"/>
              <w:numPr>
                <w:ilvl w:val="0"/>
                <w:numId w:val="19"/>
              </w:numPr>
              <w:spacing w:line="260" w:lineRule="exact"/>
              <w:jc w:val="both"/>
              <w:rPr>
                <w:rFonts w:ascii="Arial" w:hAnsi="Arial" w:cs="Arial"/>
                <w:sz w:val="20"/>
                <w:szCs w:val="20"/>
                <w:lang w:eastAsia="sl-SI"/>
              </w:rPr>
            </w:pPr>
            <w:r>
              <w:rPr>
                <w:rFonts w:ascii="Arial" w:hAnsi="Arial" w:cs="Arial"/>
                <w:sz w:val="20"/>
                <w:szCs w:val="20"/>
                <w:lang w:eastAsia="sl-SI"/>
              </w:rPr>
              <w:t>proračunski uporabnik</w:t>
            </w:r>
            <w:r w:rsidRPr="008D1759">
              <w:rPr>
                <w:rFonts w:ascii="Arial" w:hAnsi="Arial" w:cs="Arial"/>
                <w:sz w:val="20"/>
                <w:szCs w:val="20"/>
                <w:lang w:eastAsia="sl-SI"/>
              </w:rPr>
              <w:t>, ki bo financiral nov</w:t>
            </w:r>
            <w:r>
              <w:rPr>
                <w:rFonts w:ascii="Arial" w:hAnsi="Arial" w:cs="Arial"/>
                <w:sz w:val="20"/>
                <w:szCs w:val="20"/>
                <w:lang w:eastAsia="sl-SI"/>
              </w:rPr>
              <w:t>i projekt oziroma ukrep,</w:t>
            </w:r>
          </w:p>
          <w:p w:rsidR="00F02B4B" w:rsidRPr="008D1759" w:rsidRDefault="00F02B4B" w:rsidP="00F02B4B">
            <w:pPr>
              <w:widowControl w:val="0"/>
              <w:numPr>
                <w:ilvl w:val="0"/>
                <w:numId w:val="19"/>
              </w:numPr>
              <w:spacing w:line="260" w:lineRule="exact"/>
              <w:jc w:val="both"/>
              <w:rPr>
                <w:rFonts w:ascii="Arial" w:hAnsi="Arial" w:cs="Arial"/>
                <w:sz w:val="20"/>
                <w:szCs w:val="20"/>
                <w:lang w:eastAsia="sl-SI"/>
              </w:rPr>
            </w:pPr>
            <w:r w:rsidRPr="008D1759">
              <w:rPr>
                <w:rFonts w:ascii="Arial" w:hAnsi="Arial" w:cs="Arial"/>
                <w:sz w:val="20"/>
                <w:szCs w:val="20"/>
                <w:lang w:eastAsia="sl-SI"/>
              </w:rPr>
              <w:t xml:space="preserve">projekt oziroma ukrep, </w:t>
            </w:r>
            <w:r>
              <w:rPr>
                <w:rFonts w:ascii="Arial" w:hAnsi="Arial" w:cs="Arial"/>
                <w:sz w:val="20"/>
                <w:szCs w:val="20"/>
                <w:lang w:eastAsia="sl-SI"/>
              </w:rPr>
              <w:t>s katerim se bodo dosegli</w:t>
            </w:r>
            <w:r w:rsidRPr="008D1759">
              <w:rPr>
                <w:rFonts w:ascii="Arial" w:hAnsi="Arial" w:cs="Arial"/>
                <w:sz w:val="20"/>
                <w:szCs w:val="20"/>
                <w:lang w:eastAsia="sl-SI"/>
              </w:rPr>
              <w:t xml:space="preserve"> cilji vladnega gradiva</w:t>
            </w:r>
            <w:r>
              <w:rPr>
                <w:rFonts w:ascii="Arial" w:hAnsi="Arial" w:cs="Arial"/>
                <w:sz w:val="20"/>
                <w:szCs w:val="20"/>
                <w:lang w:eastAsia="sl-SI"/>
              </w:rPr>
              <w:t>, in</w:t>
            </w:r>
            <w:r w:rsidRPr="008D1759">
              <w:rPr>
                <w:rFonts w:ascii="Arial" w:hAnsi="Arial" w:cs="Arial"/>
                <w:sz w:val="20"/>
                <w:szCs w:val="20"/>
                <w:lang w:eastAsia="sl-SI"/>
              </w:rPr>
              <w:t xml:space="preserve"> </w:t>
            </w:r>
          </w:p>
          <w:p w:rsidR="00F02B4B" w:rsidRPr="008D1759" w:rsidRDefault="00F02B4B" w:rsidP="00F02B4B">
            <w:pPr>
              <w:widowControl w:val="0"/>
              <w:numPr>
                <w:ilvl w:val="0"/>
                <w:numId w:val="19"/>
              </w:numPr>
              <w:spacing w:line="260" w:lineRule="exact"/>
              <w:jc w:val="both"/>
              <w:rPr>
                <w:rFonts w:ascii="Arial" w:hAnsi="Arial" w:cs="Arial"/>
                <w:sz w:val="20"/>
                <w:szCs w:val="20"/>
                <w:lang w:eastAsia="sl-SI"/>
              </w:rPr>
            </w:pPr>
            <w:r w:rsidRPr="008D1759">
              <w:rPr>
                <w:rFonts w:ascii="Arial" w:hAnsi="Arial" w:cs="Arial"/>
                <w:sz w:val="20"/>
                <w:szCs w:val="20"/>
                <w:lang w:eastAsia="sl-SI"/>
              </w:rPr>
              <w:t>proračunske postavke.</w:t>
            </w:r>
          </w:p>
          <w:p w:rsidR="00F02B4B" w:rsidRPr="008D1759" w:rsidRDefault="00F02B4B" w:rsidP="003F712A">
            <w:pPr>
              <w:widowControl w:val="0"/>
              <w:spacing w:line="260" w:lineRule="exact"/>
              <w:ind w:left="284"/>
              <w:jc w:val="both"/>
              <w:rPr>
                <w:rFonts w:ascii="Arial" w:hAnsi="Arial" w:cs="Arial"/>
                <w:sz w:val="20"/>
                <w:szCs w:val="20"/>
                <w:lang w:eastAsia="sl-SI"/>
              </w:rPr>
            </w:pPr>
            <w:r w:rsidRPr="008D1759">
              <w:rPr>
                <w:rFonts w:ascii="Arial" w:hAnsi="Arial" w:cs="Arial"/>
                <w:sz w:val="20"/>
                <w:szCs w:val="20"/>
                <w:lang w:eastAsia="sl-SI"/>
              </w:rPr>
              <w:t>Za zagotovitev pravic porabe na</w:t>
            </w:r>
            <w:r>
              <w:rPr>
                <w:rFonts w:ascii="Arial" w:hAnsi="Arial" w:cs="Arial"/>
                <w:sz w:val="20"/>
                <w:szCs w:val="20"/>
                <w:lang w:eastAsia="sl-SI"/>
              </w:rPr>
              <w:t xml:space="preserve"> proračunskih postavkah, s katerih se bo financiral</w:t>
            </w:r>
            <w:r w:rsidRPr="008D1759">
              <w:rPr>
                <w:rFonts w:ascii="Arial" w:hAnsi="Arial" w:cs="Arial"/>
                <w:sz w:val="20"/>
                <w:szCs w:val="20"/>
                <w:lang w:eastAsia="sl-SI"/>
              </w:rPr>
              <w:t xml:space="preserve"> nov</w:t>
            </w:r>
            <w:r>
              <w:rPr>
                <w:rFonts w:ascii="Arial" w:hAnsi="Arial" w:cs="Arial"/>
                <w:sz w:val="20"/>
                <w:szCs w:val="20"/>
                <w:lang w:eastAsia="sl-SI"/>
              </w:rPr>
              <w:t>i</w:t>
            </w:r>
            <w:r w:rsidRPr="008D1759">
              <w:rPr>
                <w:rFonts w:ascii="Arial" w:hAnsi="Arial" w:cs="Arial"/>
                <w:sz w:val="20"/>
                <w:szCs w:val="20"/>
                <w:lang w:eastAsia="sl-SI"/>
              </w:rPr>
              <w:t xml:space="preserve"> projekt oziroma ukrep</w:t>
            </w:r>
            <w:r>
              <w:rPr>
                <w:rFonts w:ascii="Arial" w:hAnsi="Arial" w:cs="Arial"/>
                <w:sz w:val="20"/>
                <w:szCs w:val="20"/>
                <w:lang w:eastAsia="sl-SI"/>
              </w:rPr>
              <w:t xml:space="preserve">, je treba izpolniti tudi točko </w:t>
            </w:r>
            <w:proofErr w:type="spellStart"/>
            <w:r>
              <w:rPr>
                <w:rFonts w:ascii="Arial" w:hAnsi="Arial" w:cs="Arial"/>
                <w:sz w:val="20"/>
                <w:szCs w:val="20"/>
                <w:lang w:eastAsia="sl-SI"/>
              </w:rPr>
              <w:t>II.b</w:t>
            </w:r>
            <w:proofErr w:type="spellEnd"/>
            <w:r w:rsidRPr="008D1759">
              <w:rPr>
                <w:rFonts w:ascii="Arial" w:hAnsi="Arial" w:cs="Arial"/>
                <w:sz w:val="20"/>
                <w:szCs w:val="20"/>
                <w:lang w:eastAsia="sl-SI"/>
              </w:rPr>
              <w:t>, saj je za nov</w:t>
            </w:r>
            <w:r>
              <w:rPr>
                <w:rFonts w:ascii="Arial" w:hAnsi="Arial" w:cs="Arial"/>
                <w:sz w:val="20"/>
                <w:szCs w:val="20"/>
                <w:lang w:eastAsia="sl-SI"/>
              </w:rPr>
              <w:t>i</w:t>
            </w:r>
            <w:r w:rsidRPr="008D1759">
              <w:rPr>
                <w:rFonts w:ascii="Arial" w:hAnsi="Arial" w:cs="Arial"/>
                <w:sz w:val="20"/>
                <w:szCs w:val="20"/>
                <w:lang w:eastAsia="sl-SI"/>
              </w:rPr>
              <w:t xml:space="preserve"> projekt </w:t>
            </w:r>
            <w:r>
              <w:rPr>
                <w:rFonts w:ascii="Arial" w:hAnsi="Arial" w:cs="Arial"/>
                <w:sz w:val="20"/>
                <w:szCs w:val="20"/>
                <w:lang w:eastAsia="sl-SI"/>
              </w:rPr>
              <w:t>oziroma ukrep mogoče</w:t>
            </w:r>
            <w:r w:rsidRPr="008D1759">
              <w:rPr>
                <w:rFonts w:ascii="Arial" w:hAnsi="Arial" w:cs="Arial"/>
                <w:sz w:val="20"/>
                <w:szCs w:val="20"/>
                <w:lang w:eastAsia="sl-SI"/>
              </w:rPr>
              <w:t xml:space="preserve"> zagotoviti pravice</w:t>
            </w:r>
            <w:r>
              <w:rPr>
                <w:rFonts w:ascii="Arial" w:hAnsi="Arial" w:cs="Arial"/>
                <w:sz w:val="20"/>
                <w:szCs w:val="20"/>
                <w:lang w:eastAsia="sl-SI"/>
              </w:rPr>
              <w:t xml:space="preserve"> porabe le s prerazporeditvijo s</w:t>
            </w:r>
            <w:r w:rsidRPr="008D1759">
              <w:rPr>
                <w:rFonts w:ascii="Arial" w:hAnsi="Arial" w:cs="Arial"/>
                <w:sz w:val="20"/>
                <w:szCs w:val="20"/>
                <w:lang w:eastAsia="sl-SI"/>
              </w:rPr>
              <w:t xml:space="preserve"> proračunskih postavk</w:t>
            </w:r>
            <w:r>
              <w:rPr>
                <w:rFonts w:ascii="Arial" w:hAnsi="Arial" w:cs="Arial"/>
                <w:sz w:val="20"/>
                <w:szCs w:val="20"/>
                <w:lang w:eastAsia="sl-SI"/>
              </w:rPr>
              <w:t>, s katerih se financirajo že sprejeti oziroma veljavni projekti</w:t>
            </w:r>
            <w:r w:rsidRPr="008D1759">
              <w:rPr>
                <w:rFonts w:ascii="Arial" w:hAnsi="Arial" w:cs="Arial"/>
                <w:sz w:val="20"/>
                <w:szCs w:val="20"/>
                <w:lang w:eastAsia="sl-SI"/>
              </w:rPr>
              <w:t xml:space="preserve"> in ukrep</w:t>
            </w:r>
            <w:r>
              <w:rPr>
                <w:rFonts w:ascii="Arial" w:hAnsi="Arial" w:cs="Arial"/>
                <w:sz w:val="20"/>
                <w:szCs w:val="20"/>
                <w:lang w:eastAsia="sl-SI"/>
              </w:rPr>
              <w:t>i</w:t>
            </w:r>
            <w:r w:rsidRPr="008D1759">
              <w:rPr>
                <w:rFonts w:ascii="Arial" w:hAnsi="Arial" w:cs="Arial"/>
                <w:sz w:val="20"/>
                <w:szCs w:val="20"/>
                <w:lang w:eastAsia="sl-SI"/>
              </w:rPr>
              <w:t>.</w:t>
            </w:r>
          </w:p>
          <w:p w:rsidR="00F02B4B" w:rsidRPr="008D1759" w:rsidRDefault="00F02B4B" w:rsidP="003F712A">
            <w:pPr>
              <w:widowControl w:val="0"/>
              <w:spacing w:line="260" w:lineRule="exact"/>
              <w:ind w:left="714"/>
              <w:jc w:val="both"/>
              <w:rPr>
                <w:rFonts w:ascii="Arial" w:hAnsi="Arial" w:cs="Arial"/>
                <w:b/>
                <w:sz w:val="20"/>
                <w:szCs w:val="20"/>
                <w:lang w:eastAsia="sl-SI"/>
              </w:rPr>
            </w:pPr>
            <w:proofErr w:type="spellStart"/>
            <w:r>
              <w:rPr>
                <w:rFonts w:ascii="Arial" w:hAnsi="Arial" w:cs="Arial"/>
                <w:b/>
                <w:sz w:val="20"/>
                <w:szCs w:val="20"/>
                <w:lang w:eastAsia="sl-SI"/>
              </w:rPr>
              <w:t>II.b</w:t>
            </w:r>
            <w:proofErr w:type="spellEnd"/>
            <w:r w:rsidRPr="008D1759">
              <w:rPr>
                <w:rFonts w:ascii="Arial" w:hAnsi="Arial" w:cs="Arial"/>
                <w:b/>
                <w:sz w:val="20"/>
                <w:szCs w:val="20"/>
                <w:lang w:eastAsia="sl-SI"/>
              </w:rPr>
              <w:t xml:space="preserve"> Manjkajoče pravice porabe bodo z</w:t>
            </w:r>
            <w:r>
              <w:rPr>
                <w:rFonts w:ascii="Arial" w:hAnsi="Arial" w:cs="Arial"/>
                <w:b/>
                <w:sz w:val="20"/>
                <w:szCs w:val="20"/>
                <w:lang w:eastAsia="sl-SI"/>
              </w:rPr>
              <w:t>agotovljene s prerazporeditvijo</w:t>
            </w:r>
            <w:r w:rsidRPr="00697AD9">
              <w:rPr>
                <w:rFonts w:ascii="Arial" w:hAnsi="Arial" w:cs="Arial"/>
                <w:b/>
                <w:sz w:val="20"/>
                <w:szCs w:val="20"/>
                <w:lang w:eastAsia="sl-SI"/>
              </w:rPr>
              <w:t>:</w:t>
            </w:r>
          </w:p>
          <w:p w:rsidR="00F02B4B" w:rsidRPr="008D1759" w:rsidRDefault="00F02B4B" w:rsidP="003F712A">
            <w:pPr>
              <w:widowControl w:val="0"/>
              <w:spacing w:line="260" w:lineRule="exact"/>
              <w:ind w:left="284"/>
              <w:jc w:val="both"/>
              <w:rPr>
                <w:rFonts w:ascii="Arial" w:hAnsi="Arial" w:cs="Arial"/>
                <w:sz w:val="20"/>
                <w:szCs w:val="20"/>
                <w:lang w:eastAsia="sl-SI"/>
              </w:rPr>
            </w:pPr>
            <w:r w:rsidRPr="008D1759">
              <w:rPr>
                <w:rFonts w:ascii="Arial" w:hAnsi="Arial" w:cs="Arial"/>
                <w:sz w:val="20"/>
                <w:szCs w:val="20"/>
                <w:lang w:eastAsia="sl-SI"/>
              </w:rPr>
              <w:t>Navede</w:t>
            </w:r>
            <w:r>
              <w:rPr>
                <w:rFonts w:ascii="Arial" w:hAnsi="Arial" w:cs="Arial"/>
                <w:sz w:val="20"/>
                <w:szCs w:val="20"/>
                <w:lang w:eastAsia="sl-SI"/>
              </w:rPr>
              <w:t>jo se proračunski</w:t>
            </w:r>
            <w:r w:rsidRPr="008D1759">
              <w:rPr>
                <w:rFonts w:ascii="Arial" w:hAnsi="Arial" w:cs="Arial"/>
                <w:sz w:val="20"/>
                <w:szCs w:val="20"/>
                <w:lang w:eastAsia="sl-SI"/>
              </w:rPr>
              <w:t xml:space="preserve"> upo</w:t>
            </w:r>
            <w:r>
              <w:rPr>
                <w:rFonts w:ascii="Arial" w:hAnsi="Arial" w:cs="Arial"/>
                <w:sz w:val="20"/>
                <w:szCs w:val="20"/>
                <w:lang w:eastAsia="sl-SI"/>
              </w:rPr>
              <w:t>rabniki, sprejeti (veljavni) ukrepi oziroma projekti</w:t>
            </w:r>
            <w:r w:rsidRPr="008D1759">
              <w:rPr>
                <w:rFonts w:ascii="Arial" w:hAnsi="Arial" w:cs="Arial"/>
                <w:sz w:val="20"/>
                <w:szCs w:val="20"/>
                <w:lang w:eastAsia="sl-SI"/>
              </w:rPr>
              <w:t>, ki jih proračunski uporabnik izvaja</w:t>
            </w:r>
            <w:r>
              <w:rPr>
                <w:rFonts w:ascii="Arial" w:hAnsi="Arial" w:cs="Arial"/>
                <w:sz w:val="20"/>
                <w:szCs w:val="20"/>
                <w:lang w:eastAsia="sl-SI"/>
              </w:rPr>
              <w:t>, in</w:t>
            </w:r>
            <w:r w:rsidRPr="008D1759">
              <w:rPr>
                <w:rFonts w:ascii="Arial" w:hAnsi="Arial" w:cs="Arial"/>
                <w:sz w:val="20"/>
                <w:szCs w:val="20"/>
                <w:lang w:eastAsia="sl-SI"/>
              </w:rPr>
              <w:t xml:space="preserve"> proračunske postavke </w:t>
            </w:r>
            <w:r>
              <w:rPr>
                <w:rFonts w:ascii="Arial" w:hAnsi="Arial" w:cs="Arial"/>
                <w:sz w:val="20"/>
                <w:szCs w:val="20"/>
                <w:lang w:eastAsia="sl-SI"/>
              </w:rPr>
              <w:t>tega proračunskega uporabnika, ki</w:t>
            </w:r>
            <w:r w:rsidRPr="008D1759">
              <w:rPr>
                <w:rFonts w:ascii="Arial" w:hAnsi="Arial" w:cs="Arial"/>
                <w:sz w:val="20"/>
                <w:szCs w:val="20"/>
                <w:lang w:eastAsia="sl-SI"/>
              </w:rPr>
              <w:t xml:space="preserve"> so v dinamik</w:t>
            </w:r>
            <w:r>
              <w:rPr>
                <w:rFonts w:ascii="Arial" w:hAnsi="Arial" w:cs="Arial"/>
                <w:sz w:val="20"/>
                <w:szCs w:val="20"/>
                <w:lang w:eastAsia="sl-SI"/>
              </w:rPr>
              <w:t>i teh projektov oziroma ukrepov ter s</w:t>
            </w:r>
            <w:r w:rsidRPr="008D1759">
              <w:rPr>
                <w:rFonts w:ascii="Arial" w:hAnsi="Arial" w:cs="Arial"/>
                <w:sz w:val="20"/>
                <w:szCs w:val="20"/>
                <w:lang w:eastAsia="sl-SI"/>
              </w:rPr>
              <w:t xml:space="preserve"> katerih se bodo s prerazporeditvijo zagotovile pravice porabe za dodatne aktivnosti </w:t>
            </w:r>
            <w:r>
              <w:rPr>
                <w:rFonts w:ascii="Arial" w:hAnsi="Arial" w:cs="Arial"/>
                <w:sz w:val="20"/>
                <w:szCs w:val="20"/>
                <w:lang w:eastAsia="sl-SI"/>
              </w:rPr>
              <w:t>pri</w:t>
            </w:r>
            <w:r w:rsidRPr="008D1759">
              <w:rPr>
                <w:rFonts w:ascii="Arial" w:hAnsi="Arial" w:cs="Arial"/>
                <w:sz w:val="20"/>
                <w:szCs w:val="20"/>
                <w:lang w:eastAsia="sl-SI"/>
              </w:rPr>
              <w:t xml:space="preserve"> obstoječih projektih oziroma ukrepih</w:t>
            </w:r>
            <w:r>
              <w:rPr>
                <w:rFonts w:ascii="Arial" w:hAnsi="Arial" w:cs="Arial"/>
                <w:sz w:val="20"/>
                <w:szCs w:val="20"/>
                <w:lang w:eastAsia="sl-SI"/>
              </w:rPr>
              <w:t xml:space="preserve"> </w:t>
            </w:r>
            <w:r w:rsidRPr="008D1759">
              <w:rPr>
                <w:rFonts w:ascii="Arial" w:hAnsi="Arial" w:cs="Arial"/>
                <w:sz w:val="20"/>
                <w:szCs w:val="20"/>
                <w:lang w:eastAsia="sl-SI"/>
              </w:rPr>
              <w:t>ali novih projektih oziroma ukrepih</w:t>
            </w:r>
            <w:r>
              <w:rPr>
                <w:rFonts w:ascii="Arial" w:hAnsi="Arial" w:cs="Arial"/>
                <w:sz w:val="20"/>
                <w:szCs w:val="20"/>
                <w:lang w:eastAsia="sl-SI"/>
              </w:rPr>
              <w:t>, navedenih</w:t>
            </w:r>
            <w:r w:rsidRPr="008D1759">
              <w:rPr>
                <w:rFonts w:ascii="Arial" w:hAnsi="Arial" w:cs="Arial"/>
                <w:sz w:val="20"/>
                <w:szCs w:val="20"/>
                <w:lang w:eastAsia="sl-SI"/>
              </w:rPr>
              <w:t xml:space="preserve"> v točki II.a.</w:t>
            </w:r>
          </w:p>
          <w:p w:rsidR="00F02B4B" w:rsidRPr="008D1759" w:rsidRDefault="00F02B4B" w:rsidP="003F712A">
            <w:pPr>
              <w:widowControl w:val="0"/>
              <w:spacing w:line="260" w:lineRule="exact"/>
              <w:ind w:left="714"/>
              <w:jc w:val="both"/>
              <w:rPr>
                <w:rFonts w:ascii="Arial" w:hAnsi="Arial" w:cs="Arial"/>
                <w:b/>
                <w:sz w:val="20"/>
                <w:szCs w:val="20"/>
                <w:lang w:eastAsia="sl-SI"/>
              </w:rPr>
            </w:pPr>
            <w:proofErr w:type="spellStart"/>
            <w:r>
              <w:rPr>
                <w:rFonts w:ascii="Arial" w:hAnsi="Arial" w:cs="Arial"/>
                <w:b/>
                <w:sz w:val="20"/>
                <w:szCs w:val="20"/>
                <w:lang w:eastAsia="sl-SI"/>
              </w:rPr>
              <w:t>II.c</w:t>
            </w:r>
            <w:proofErr w:type="spellEnd"/>
            <w:r w:rsidRPr="008D1759">
              <w:rPr>
                <w:rFonts w:ascii="Arial" w:hAnsi="Arial" w:cs="Arial"/>
                <w:b/>
                <w:sz w:val="20"/>
                <w:szCs w:val="20"/>
                <w:lang w:eastAsia="sl-SI"/>
              </w:rPr>
              <w:t xml:space="preserve"> Načrtovana nad</w:t>
            </w:r>
            <w:r>
              <w:rPr>
                <w:rFonts w:ascii="Arial" w:hAnsi="Arial" w:cs="Arial"/>
                <w:b/>
                <w:sz w:val="20"/>
                <w:szCs w:val="20"/>
                <w:lang w:eastAsia="sl-SI"/>
              </w:rPr>
              <w:t>omestitev zmanjšanih prihodkov in povečanih odhodkov proračuna</w:t>
            </w:r>
            <w:r w:rsidRPr="00697AD9">
              <w:rPr>
                <w:rFonts w:ascii="Arial" w:hAnsi="Arial" w:cs="Arial"/>
                <w:b/>
                <w:sz w:val="20"/>
                <w:szCs w:val="20"/>
                <w:lang w:eastAsia="sl-SI"/>
              </w:rPr>
              <w:t>:</w:t>
            </w:r>
          </w:p>
          <w:p w:rsidR="00F02B4B" w:rsidRPr="008D1759" w:rsidRDefault="00F02B4B" w:rsidP="003F712A">
            <w:pPr>
              <w:widowControl w:val="0"/>
              <w:spacing w:line="260" w:lineRule="exact"/>
              <w:ind w:left="284"/>
              <w:jc w:val="both"/>
              <w:rPr>
                <w:rFonts w:ascii="Arial" w:hAnsi="Arial" w:cs="Arial"/>
                <w:sz w:val="20"/>
                <w:szCs w:val="20"/>
                <w:lang w:eastAsia="sl-SI"/>
              </w:rPr>
            </w:pPr>
            <w:r>
              <w:rPr>
                <w:rFonts w:ascii="Arial" w:hAnsi="Arial" w:cs="Arial"/>
                <w:sz w:val="20"/>
                <w:szCs w:val="20"/>
                <w:lang w:eastAsia="sl-SI"/>
              </w:rPr>
              <w:t>Če</w:t>
            </w:r>
            <w:r w:rsidRPr="008D1759">
              <w:rPr>
                <w:rFonts w:ascii="Arial" w:hAnsi="Arial" w:cs="Arial"/>
                <w:sz w:val="20"/>
                <w:szCs w:val="20"/>
                <w:lang w:eastAsia="sl-SI"/>
              </w:rPr>
              <w:t xml:space="preserve"> se povečani odhodki (pravice porabe) ne bodo zagotovili </w:t>
            </w:r>
            <w:r>
              <w:rPr>
                <w:rFonts w:ascii="Arial" w:hAnsi="Arial" w:cs="Arial"/>
                <w:sz w:val="20"/>
                <w:szCs w:val="20"/>
                <w:lang w:eastAsia="sl-SI"/>
              </w:rPr>
              <w:t xml:space="preserve">tako, kot je določeno v točkah </w:t>
            </w:r>
            <w:proofErr w:type="spellStart"/>
            <w:r>
              <w:rPr>
                <w:rFonts w:ascii="Arial" w:hAnsi="Arial" w:cs="Arial"/>
                <w:sz w:val="20"/>
                <w:szCs w:val="20"/>
                <w:lang w:eastAsia="sl-SI"/>
              </w:rPr>
              <w:t>II.a</w:t>
            </w:r>
            <w:proofErr w:type="spellEnd"/>
            <w:r>
              <w:rPr>
                <w:rFonts w:ascii="Arial" w:hAnsi="Arial" w:cs="Arial"/>
                <w:sz w:val="20"/>
                <w:szCs w:val="20"/>
                <w:lang w:eastAsia="sl-SI"/>
              </w:rPr>
              <w:t xml:space="preserve"> in </w:t>
            </w:r>
            <w:proofErr w:type="spellStart"/>
            <w:r>
              <w:rPr>
                <w:rFonts w:ascii="Arial" w:hAnsi="Arial" w:cs="Arial"/>
                <w:sz w:val="20"/>
                <w:szCs w:val="20"/>
                <w:lang w:eastAsia="sl-SI"/>
              </w:rPr>
              <w:t>II.b</w:t>
            </w:r>
            <w:proofErr w:type="spellEnd"/>
            <w:r>
              <w:rPr>
                <w:rFonts w:ascii="Arial" w:hAnsi="Arial" w:cs="Arial"/>
                <w:sz w:val="20"/>
                <w:szCs w:val="20"/>
                <w:lang w:eastAsia="sl-SI"/>
              </w:rPr>
              <w:t>, je</w:t>
            </w:r>
            <w:r w:rsidRPr="008D1759">
              <w:rPr>
                <w:rFonts w:ascii="Arial" w:hAnsi="Arial" w:cs="Arial"/>
                <w:sz w:val="20"/>
                <w:szCs w:val="20"/>
                <w:lang w:eastAsia="sl-SI"/>
              </w:rPr>
              <w:t xml:space="preserve"> povečanje odhodkov in izdatkov proračuna</w:t>
            </w:r>
            <w:r>
              <w:rPr>
                <w:rFonts w:ascii="Arial" w:hAnsi="Arial" w:cs="Arial"/>
                <w:sz w:val="20"/>
                <w:szCs w:val="20"/>
                <w:lang w:eastAsia="sl-SI"/>
              </w:rPr>
              <w:t xml:space="preserve"> mogoče na podlagi </w:t>
            </w:r>
            <w:r w:rsidRPr="008D1759">
              <w:rPr>
                <w:rFonts w:ascii="Arial" w:hAnsi="Arial" w:cs="Arial"/>
                <w:sz w:val="20"/>
                <w:szCs w:val="20"/>
                <w:lang w:eastAsia="sl-SI"/>
              </w:rPr>
              <w:t xml:space="preserve">zakona, ki ureja izvrševanje državnega proračuna (npr. </w:t>
            </w:r>
            <w:r>
              <w:rPr>
                <w:rFonts w:ascii="Arial" w:hAnsi="Arial" w:cs="Arial"/>
                <w:sz w:val="20"/>
                <w:szCs w:val="20"/>
                <w:lang w:eastAsia="sl-SI"/>
              </w:rPr>
              <w:t>priliv</w:t>
            </w:r>
            <w:r w:rsidRPr="008D1759">
              <w:rPr>
                <w:rFonts w:ascii="Arial" w:hAnsi="Arial" w:cs="Arial"/>
                <w:sz w:val="20"/>
                <w:szCs w:val="20"/>
                <w:lang w:eastAsia="sl-SI"/>
              </w:rPr>
              <w:t xml:space="preserve"> namenskih sredstev EU). Ukrepanje </w:t>
            </w:r>
            <w:r>
              <w:rPr>
                <w:rFonts w:ascii="Arial" w:hAnsi="Arial" w:cs="Arial"/>
                <w:sz w:val="20"/>
                <w:szCs w:val="20"/>
                <w:lang w:eastAsia="sl-SI"/>
              </w:rPr>
              <w:t>ob zmanjšanju</w:t>
            </w:r>
            <w:r w:rsidRPr="008D1759">
              <w:rPr>
                <w:rFonts w:ascii="Arial" w:hAnsi="Arial" w:cs="Arial"/>
                <w:sz w:val="20"/>
                <w:szCs w:val="20"/>
                <w:lang w:eastAsia="sl-SI"/>
              </w:rPr>
              <w:t xml:space="preserve"> prihodkov in prejemkov proračuna je določeno z zakonom, ki ureja javne finance</w:t>
            </w:r>
            <w:r>
              <w:rPr>
                <w:rFonts w:ascii="Arial" w:hAnsi="Arial" w:cs="Arial"/>
                <w:sz w:val="20"/>
                <w:szCs w:val="20"/>
                <w:lang w:eastAsia="sl-SI"/>
              </w:rPr>
              <w:t>,</w:t>
            </w:r>
            <w:r w:rsidRPr="008D1759">
              <w:rPr>
                <w:rFonts w:ascii="Arial" w:hAnsi="Arial" w:cs="Arial"/>
                <w:sz w:val="20"/>
                <w:szCs w:val="20"/>
                <w:lang w:eastAsia="sl-SI"/>
              </w:rPr>
              <w:t xml:space="preserve"> in zakonom, ki ureja i</w:t>
            </w:r>
            <w:r>
              <w:rPr>
                <w:rFonts w:ascii="Arial" w:hAnsi="Arial" w:cs="Arial"/>
                <w:sz w:val="20"/>
                <w:szCs w:val="20"/>
                <w:lang w:eastAsia="sl-SI"/>
              </w:rPr>
              <w:t>zvrševanje državnega proračuna.</w:t>
            </w:r>
          </w:p>
          <w:p w:rsidR="00F02B4B" w:rsidRPr="008D1759" w:rsidRDefault="00F02B4B" w:rsidP="003F712A">
            <w:pPr>
              <w:pStyle w:val="Vrstapredpisa"/>
              <w:widowControl w:val="0"/>
              <w:spacing w:before="0" w:line="260" w:lineRule="exact"/>
              <w:jc w:val="both"/>
              <w:rPr>
                <w:color w:val="auto"/>
                <w:sz w:val="20"/>
                <w:szCs w:val="20"/>
              </w:rPr>
            </w:pP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F02B4B" w:rsidRPr="008D1759" w:rsidRDefault="00F02B4B" w:rsidP="003F712A">
            <w:pPr>
              <w:pStyle w:val="Oddelek"/>
              <w:widowControl w:val="0"/>
              <w:numPr>
                <w:ilvl w:val="0"/>
                <w:numId w:val="0"/>
              </w:numPr>
              <w:spacing w:before="0" w:after="0" w:line="260" w:lineRule="exact"/>
              <w:jc w:val="left"/>
              <w:rPr>
                <w:sz w:val="20"/>
                <w:szCs w:val="20"/>
              </w:rPr>
            </w:pPr>
            <w:proofErr w:type="spellStart"/>
            <w:r>
              <w:rPr>
                <w:sz w:val="20"/>
                <w:szCs w:val="20"/>
              </w:rPr>
              <w:lastRenderedPageBreak/>
              <w:t>7</w:t>
            </w:r>
            <w:r w:rsidRPr="008D1759">
              <w:rPr>
                <w:sz w:val="20"/>
                <w:szCs w:val="20"/>
              </w:rPr>
              <w:t>.b</w:t>
            </w:r>
            <w:proofErr w:type="spellEnd"/>
            <w:r w:rsidRPr="008D1759">
              <w:rPr>
                <w:sz w:val="20"/>
                <w:szCs w:val="20"/>
              </w:rPr>
              <w:t xml:space="preserve"> Predstavitev ocene finančnih posledic</w:t>
            </w:r>
            <w:r>
              <w:rPr>
                <w:sz w:val="20"/>
                <w:szCs w:val="20"/>
              </w:rPr>
              <w:t xml:space="preserve"> pod 40.</w:t>
            </w:r>
            <w:r w:rsidRPr="008D1759">
              <w:rPr>
                <w:sz w:val="20"/>
                <w:szCs w:val="20"/>
              </w:rPr>
              <w:t>000 EUR</w:t>
            </w:r>
            <w:r>
              <w:rPr>
                <w:sz w:val="20"/>
                <w:szCs w:val="20"/>
              </w:rPr>
              <w:t>:</w:t>
            </w:r>
          </w:p>
          <w:p w:rsidR="002475D6" w:rsidRPr="002475D6" w:rsidRDefault="002475D6" w:rsidP="002475D6">
            <w:pPr>
              <w:pStyle w:val="Oddelek"/>
              <w:widowControl w:val="0"/>
              <w:numPr>
                <w:ilvl w:val="0"/>
                <w:numId w:val="0"/>
              </w:numPr>
              <w:spacing w:before="0" w:after="0" w:line="260" w:lineRule="exact"/>
              <w:jc w:val="left"/>
              <w:rPr>
                <w:b w:val="0"/>
                <w:sz w:val="20"/>
                <w:szCs w:val="20"/>
              </w:rPr>
            </w:pPr>
            <w:r w:rsidRPr="002475D6">
              <w:rPr>
                <w:b w:val="0"/>
                <w:sz w:val="20"/>
                <w:szCs w:val="20"/>
              </w:rPr>
              <w:t>Zaradi sprejema nove uredbe ne bo nobenih finančnih posledic za proračun.</w:t>
            </w:r>
          </w:p>
          <w:p w:rsidR="00F02B4B" w:rsidRPr="008D1759" w:rsidRDefault="00F02B4B" w:rsidP="003F712A">
            <w:pPr>
              <w:pStyle w:val="Oddelek"/>
              <w:widowControl w:val="0"/>
              <w:numPr>
                <w:ilvl w:val="0"/>
                <w:numId w:val="0"/>
              </w:numPr>
              <w:spacing w:before="0" w:after="0" w:line="260" w:lineRule="exact"/>
              <w:jc w:val="left"/>
              <w:rPr>
                <w:b w:val="0"/>
                <w:sz w:val="20"/>
                <w:szCs w:val="20"/>
              </w:rPr>
            </w:pP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F02B4B" w:rsidRPr="008D1759" w:rsidRDefault="00F02B4B" w:rsidP="003F712A">
            <w:pPr>
              <w:pStyle w:val="Oddelek"/>
              <w:widowControl w:val="0"/>
              <w:numPr>
                <w:ilvl w:val="0"/>
                <w:numId w:val="0"/>
              </w:numPr>
              <w:spacing w:before="0" w:after="0" w:line="260" w:lineRule="exact"/>
              <w:jc w:val="left"/>
              <w:rPr>
                <w:sz w:val="20"/>
                <w:szCs w:val="20"/>
              </w:rPr>
            </w:pPr>
            <w:r>
              <w:rPr>
                <w:sz w:val="20"/>
                <w:szCs w:val="20"/>
              </w:rPr>
              <w:t>8</w:t>
            </w:r>
            <w:r w:rsidRPr="008D1759">
              <w:rPr>
                <w:sz w:val="20"/>
                <w:szCs w:val="20"/>
              </w:rPr>
              <w:t>. Predstavitev sodelovanja javnosti</w:t>
            </w:r>
            <w:r>
              <w:rPr>
                <w:sz w:val="20"/>
                <w:szCs w:val="20"/>
              </w:rPr>
              <w:t>:</w:t>
            </w: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F02B4B" w:rsidRPr="008D1759" w:rsidRDefault="00F02B4B" w:rsidP="003F712A">
            <w:pPr>
              <w:pStyle w:val="Neotevilenodstavek"/>
              <w:widowControl w:val="0"/>
              <w:spacing w:before="0" w:after="0" w:line="260" w:lineRule="exact"/>
              <w:rPr>
                <w:sz w:val="20"/>
                <w:szCs w:val="20"/>
              </w:rPr>
            </w:pPr>
            <w:r w:rsidRPr="008D1759">
              <w:rPr>
                <w:iCs/>
                <w:sz w:val="20"/>
                <w:szCs w:val="20"/>
              </w:rPr>
              <w:t>Gradivo je bilo predhodno objavljeno na spletni strani predlagatelja</w:t>
            </w:r>
            <w:r>
              <w:rPr>
                <w:iCs/>
                <w:sz w:val="20"/>
                <w:szCs w:val="20"/>
              </w:rPr>
              <w:t>:</w:t>
            </w:r>
          </w:p>
        </w:tc>
        <w:tc>
          <w:tcPr>
            <w:tcW w:w="2431" w:type="dxa"/>
            <w:gridSpan w:val="2"/>
          </w:tcPr>
          <w:p w:rsidR="00F02B4B" w:rsidRPr="008D1759" w:rsidRDefault="00F02B4B" w:rsidP="003F712A">
            <w:pPr>
              <w:pStyle w:val="Neotevilenodstavek"/>
              <w:widowControl w:val="0"/>
              <w:spacing w:before="0" w:after="0" w:line="260" w:lineRule="exact"/>
              <w:jc w:val="center"/>
              <w:rPr>
                <w:iCs/>
                <w:sz w:val="20"/>
                <w:szCs w:val="20"/>
              </w:rPr>
            </w:pPr>
            <w:r w:rsidRPr="002475D6">
              <w:rPr>
                <w:b/>
                <w:sz w:val="20"/>
                <w:szCs w:val="20"/>
              </w:rPr>
              <w:t>DA</w:t>
            </w:r>
            <w:r w:rsidRPr="008D1759">
              <w:rPr>
                <w:sz w:val="20"/>
                <w:szCs w:val="20"/>
              </w:rPr>
              <w:t>/NE</w:t>
            </w: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F02B4B" w:rsidRPr="00F02B4B" w:rsidRDefault="00F02B4B" w:rsidP="003F712A">
            <w:pPr>
              <w:pStyle w:val="Neotevilenodstavek"/>
              <w:widowControl w:val="0"/>
              <w:spacing w:before="0" w:after="0" w:line="260" w:lineRule="exact"/>
              <w:rPr>
                <w:iCs/>
                <w:color w:val="FF0000"/>
                <w:sz w:val="20"/>
                <w:szCs w:val="20"/>
              </w:rPr>
            </w:pP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1703C8" w:rsidRDefault="00F02B4B" w:rsidP="003F712A">
            <w:pPr>
              <w:pStyle w:val="Neotevilenodstavek"/>
              <w:widowControl w:val="0"/>
              <w:spacing w:before="0" w:after="0" w:line="260" w:lineRule="exact"/>
              <w:rPr>
                <w:iCs/>
                <w:sz w:val="20"/>
                <w:szCs w:val="20"/>
              </w:rPr>
            </w:pPr>
            <w:r w:rsidRPr="0068465E">
              <w:rPr>
                <w:iCs/>
                <w:sz w:val="20"/>
                <w:szCs w:val="20"/>
              </w:rPr>
              <w:t xml:space="preserve">Datum objave: </w:t>
            </w:r>
            <w:r w:rsidR="001703C8">
              <w:rPr>
                <w:iCs/>
                <w:sz w:val="20"/>
                <w:szCs w:val="20"/>
              </w:rPr>
              <w:t>19.3.2014</w:t>
            </w:r>
          </w:p>
          <w:p w:rsidR="00F02B4B" w:rsidRPr="00345F62" w:rsidRDefault="00F02B4B" w:rsidP="003F712A">
            <w:pPr>
              <w:pStyle w:val="Neotevilenodstavek"/>
              <w:widowControl w:val="0"/>
              <w:spacing w:before="0" w:after="0" w:line="260" w:lineRule="exact"/>
              <w:rPr>
                <w:iCs/>
                <w:sz w:val="20"/>
                <w:szCs w:val="20"/>
              </w:rPr>
            </w:pPr>
            <w:r w:rsidRPr="00345F62">
              <w:rPr>
                <w:iCs/>
                <w:sz w:val="20"/>
                <w:szCs w:val="20"/>
              </w:rPr>
              <w:t xml:space="preserve">V razpravo so bili vključeni: </w:t>
            </w:r>
          </w:p>
          <w:p w:rsidR="00F02B4B" w:rsidRPr="00345F62" w:rsidRDefault="00F02B4B" w:rsidP="00F02B4B">
            <w:pPr>
              <w:pStyle w:val="Neotevilenodstavek"/>
              <w:widowControl w:val="0"/>
              <w:numPr>
                <w:ilvl w:val="0"/>
                <w:numId w:val="20"/>
              </w:numPr>
              <w:spacing w:before="0" w:after="0" w:line="260" w:lineRule="exact"/>
              <w:rPr>
                <w:iCs/>
                <w:sz w:val="20"/>
                <w:szCs w:val="20"/>
              </w:rPr>
            </w:pPr>
            <w:r w:rsidRPr="00345F62">
              <w:rPr>
                <w:iCs/>
                <w:sz w:val="20"/>
                <w:szCs w:val="20"/>
              </w:rPr>
              <w:t xml:space="preserve">nevladne organizacije, </w:t>
            </w:r>
          </w:p>
          <w:p w:rsidR="00F02B4B" w:rsidRPr="00345F62" w:rsidRDefault="00F02B4B" w:rsidP="00F02B4B">
            <w:pPr>
              <w:pStyle w:val="Neotevilenodstavek"/>
              <w:widowControl w:val="0"/>
              <w:numPr>
                <w:ilvl w:val="0"/>
                <w:numId w:val="20"/>
              </w:numPr>
              <w:spacing w:before="0" w:after="0" w:line="260" w:lineRule="exact"/>
              <w:rPr>
                <w:iCs/>
                <w:sz w:val="20"/>
                <w:szCs w:val="20"/>
              </w:rPr>
            </w:pPr>
            <w:r w:rsidRPr="00345F62">
              <w:rPr>
                <w:iCs/>
                <w:sz w:val="20"/>
                <w:szCs w:val="20"/>
              </w:rPr>
              <w:t>predstavniki zainteresirane javnosti,</w:t>
            </w:r>
          </w:p>
          <w:p w:rsidR="00F02B4B" w:rsidRPr="00345F62" w:rsidRDefault="00F02B4B" w:rsidP="00F02B4B">
            <w:pPr>
              <w:pStyle w:val="Neotevilenodstavek"/>
              <w:widowControl w:val="0"/>
              <w:numPr>
                <w:ilvl w:val="0"/>
                <w:numId w:val="20"/>
              </w:numPr>
              <w:spacing w:before="0" w:after="0" w:line="260" w:lineRule="exact"/>
              <w:rPr>
                <w:iCs/>
                <w:sz w:val="20"/>
                <w:szCs w:val="20"/>
              </w:rPr>
            </w:pPr>
            <w:r w:rsidRPr="00345F62">
              <w:rPr>
                <w:iCs/>
                <w:sz w:val="20"/>
                <w:szCs w:val="20"/>
              </w:rPr>
              <w:t xml:space="preserve">predstavniki strokovne javnosti, </w:t>
            </w:r>
          </w:p>
          <w:p w:rsidR="00F02B4B" w:rsidRPr="00345F62" w:rsidRDefault="00F02B4B" w:rsidP="00F02B4B">
            <w:pPr>
              <w:pStyle w:val="Neotevilenodstavek"/>
              <w:widowControl w:val="0"/>
              <w:numPr>
                <w:ilvl w:val="0"/>
                <w:numId w:val="20"/>
              </w:numPr>
              <w:spacing w:before="0" w:after="0" w:line="260" w:lineRule="exact"/>
              <w:rPr>
                <w:iCs/>
                <w:sz w:val="20"/>
                <w:szCs w:val="20"/>
              </w:rPr>
            </w:pPr>
            <w:r w:rsidRPr="00345F62">
              <w:rPr>
                <w:iCs/>
                <w:sz w:val="20"/>
                <w:szCs w:val="20"/>
              </w:rPr>
              <w:t>občine in združenja občin ali pa navedite, da se gradivo ne nanaša nanje.</w:t>
            </w:r>
          </w:p>
          <w:p w:rsidR="00F02B4B" w:rsidRPr="00345F62" w:rsidRDefault="00F02B4B" w:rsidP="003F712A">
            <w:pPr>
              <w:pStyle w:val="Neotevilenodstavek"/>
              <w:widowControl w:val="0"/>
              <w:spacing w:before="0" w:after="0" w:line="260" w:lineRule="exact"/>
              <w:rPr>
                <w:iCs/>
                <w:sz w:val="20"/>
                <w:szCs w:val="20"/>
              </w:rPr>
            </w:pPr>
            <w:r w:rsidRPr="00345F62">
              <w:rPr>
                <w:iCs/>
                <w:sz w:val="20"/>
                <w:szCs w:val="20"/>
              </w:rPr>
              <w:t>Mnenja, predlogi in pri</w:t>
            </w:r>
            <w:r>
              <w:rPr>
                <w:iCs/>
                <w:sz w:val="20"/>
                <w:szCs w:val="20"/>
              </w:rPr>
              <w:t xml:space="preserve">pombe z navedbo predlagateljev </w:t>
            </w:r>
            <w:r w:rsidRPr="00345F62">
              <w:rPr>
                <w:color w:val="000000"/>
                <w:sz w:val="20"/>
                <w:szCs w:val="20"/>
              </w:rPr>
              <w:t>(imen in priimkov fizičnih oseb, ki niso poslovni subjekti, ne navajajte</w:t>
            </w:r>
            <w:r w:rsidRPr="00345F62">
              <w:rPr>
                <w:iCs/>
                <w:sz w:val="20"/>
                <w:szCs w:val="20"/>
              </w:rPr>
              <w:t>):</w:t>
            </w:r>
          </w:p>
          <w:p w:rsidR="00F02B4B" w:rsidRPr="00345F62" w:rsidRDefault="00F02B4B" w:rsidP="003F712A">
            <w:pPr>
              <w:pStyle w:val="Neotevilenodstavek"/>
              <w:widowControl w:val="0"/>
              <w:spacing w:before="0" w:after="0" w:line="260" w:lineRule="exact"/>
              <w:rPr>
                <w:iCs/>
                <w:sz w:val="20"/>
                <w:szCs w:val="20"/>
              </w:rPr>
            </w:pPr>
          </w:p>
          <w:p w:rsidR="00F02B4B" w:rsidRPr="00345F62" w:rsidRDefault="00F02B4B" w:rsidP="003F712A">
            <w:pPr>
              <w:pStyle w:val="Neotevilenodstavek"/>
              <w:widowControl w:val="0"/>
              <w:spacing w:before="0" w:after="0" w:line="260" w:lineRule="exact"/>
              <w:rPr>
                <w:iCs/>
                <w:sz w:val="20"/>
                <w:szCs w:val="20"/>
              </w:rPr>
            </w:pPr>
          </w:p>
          <w:p w:rsidR="00F02B4B" w:rsidRPr="00345F62" w:rsidRDefault="00F02B4B" w:rsidP="003F712A">
            <w:pPr>
              <w:pStyle w:val="Neotevilenodstavek"/>
              <w:widowControl w:val="0"/>
              <w:spacing w:before="0" w:after="0" w:line="260" w:lineRule="exact"/>
              <w:rPr>
                <w:iCs/>
                <w:sz w:val="20"/>
                <w:szCs w:val="20"/>
              </w:rPr>
            </w:pPr>
            <w:r w:rsidRPr="00345F62">
              <w:rPr>
                <w:iCs/>
                <w:sz w:val="20"/>
                <w:szCs w:val="20"/>
              </w:rPr>
              <w:t>Upoštevani so bili:</w:t>
            </w:r>
          </w:p>
          <w:p w:rsidR="00F02B4B" w:rsidRPr="00345F62" w:rsidRDefault="00F02B4B" w:rsidP="00F02B4B">
            <w:pPr>
              <w:pStyle w:val="Neotevilenodstavek"/>
              <w:widowControl w:val="0"/>
              <w:numPr>
                <w:ilvl w:val="0"/>
                <w:numId w:val="21"/>
              </w:numPr>
              <w:spacing w:before="0" w:after="0" w:line="260" w:lineRule="exact"/>
              <w:rPr>
                <w:iCs/>
                <w:sz w:val="20"/>
                <w:szCs w:val="20"/>
              </w:rPr>
            </w:pPr>
            <w:r w:rsidRPr="00345F62">
              <w:rPr>
                <w:iCs/>
                <w:sz w:val="20"/>
                <w:szCs w:val="20"/>
              </w:rPr>
              <w:t>v celoti,</w:t>
            </w:r>
          </w:p>
          <w:p w:rsidR="00F02B4B" w:rsidRPr="00345F62" w:rsidRDefault="00F02B4B" w:rsidP="00F02B4B">
            <w:pPr>
              <w:pStyle w:val="Neotevilenodstavek"/>
              <w:widowControl w:val="0"/>
              <w:numPr>
                <w:ilvl w:val="0"/>
                <w:numId w:val="21"/>
              </w:numPr>
              <w:spacing w:before="0" w:after="0" w:line="260" w:lineRule="exact"/>
              <w:rPr>
                <w:iCs/>
                <w:sz w:val="20"/>
                <w:szCs w:val="20"/>
              </w:rPr>
            </w:pPr>
            <w:r w:rsidRPr="00345F62">
              <w:rPr>
                <w:iCs/>
                <w:sz w:val="20"/>
                <w:szCs w:val="20"/>
              </w:rPr>
              <w:t>večinoma,</w:t>
            </w:r>
          </w:p>
          <w:p w:rsidR="00F02B4B" w:rsidRPr="00345F62" w:rsidRDefault="00F02B4B" w:rsidP="00F02B4B">
            <w:pPr>
              <w:pStyle w:val="Neotevilenodstavek"/>
              <w:widowControl w:val="0"/>
              <w:numPr>
                <w:ilvl w:val="0"/>
                <w:numId w:val="21"/>
              </w:numPr>
              <w:spacing w:before="0" w:after="0" w:line="260" w:lineRule="exact"/>
              <w:rPr>
                <w:iCs/>
                <w:sz w:val="20"/>
                <w:szCs w:val="20"/>
              </w:rPr>
            </w:pPr>
            <w:r w:rsidRPr="00345F62">
              <w:rPr>
                <w:iCs/>
                <w:sz w:val="20"/>
                <w:szCs w:val="20"/>
              </w:rPr>
              <w:t>delno,</w:t>
            </w:r>
          </w:p>
          <w:p w:rsidR="00F02B4B" w:rsidRPr="00345F62" w:rsidRDefault="00F02B4B" w:rsidP="00F02B4B">
            <w:pPr>
              <w:pStyle w:val="Neotevilenodstavek"/>
              <w:widowControl w:val="0"/>
              <w:numPr>
                <w:ilvl w:val="0"/>
                <w:numId w:val="21"/>
              </w:numPr>
              <w:spacing w:before="0" w:after="0" w:line="260" w:lineRule="exact"/>
              <w:rPr>
                <w:iCs/>
                <w:sz w:val="20"/>
                <w:szCs w:val="20"/>
              </w:rPr>
            </w:pPr>
            <w:r w:rsidRPr="00345F62">
              <w:rPr>
                <w:iCs/>
                <w:sz w:val="20"/>
                <w:szCs w:val="20"/>
              </w:rPr>
              <w:t>niso bili upoštevani.</w:t>
            </w:r>
          </w:p>
          <w:p w:rsidR="00F02B4B" w:rsidRPr="00345F62" w:rsidRDefault="00F02B4B" w:rsidP="003F712A">
            <w:pPr>
              <w:pStyle w:val="Neotevilenodstavek"/>
              <w:widowControl w:val="0"/>
              <w:spacing w:before="0" w:after="0" w:line="260" w:lineRule="exact"/>
              <w:rPr>
                <w:iCs/>
                <w:sz w:val="20"/>
                <w:szCs w:val="20"/>
              </w:rPr>
            </w:pPr>
          </w:p>
          <w:p w:rsidR="00F02B4B" w:rsidRPr="00345F62" w:rsidRDefault="00F02B4B" w:rsidP="003F712A">
            <w:pPr>
              <w:pStyle w:val="Neotevilenodstavek"/>
              <w:widowControl w:val="0"/>
              <w:spacing w:before="0" w:after="0" w:line="260" w:lineRule="exact"/>
              <w:rPr>
                <w:iCs/>
                <w:sz w:val="20"/>
                <w:szCs w:val="20"/>
              </w:rPr>
            </w:pPr>
            <w:r w:rsidRPr="00345F62">
              <w:rPr>
                <w:iCs/>
                <w:sz w:val="20"/>
                <w:szCs w:val="20"/>
              </w:rPr>
              <w:t>Bistvena mnenja, predlogi in pripombe, ki niso bili upoštevani, ter razlogi za neupoštevanje:</w:t>
            </w:r>
          </w:p>
          <w:p w:rsidR="00F02B4B" w:rsidRPr="00345F62" w:rsidRDefault="00F02B4B" w:rsidP="003F712A">
            <w:pPr>
              <w:pStyle w:val="Neotevilenodstavek"/>
              <w:widowControl w:val="0"/>
              <w:spacing w:before="0" w:after="0" w:line="260" w:lineRule="exact"/>
              <w:rPr>
                <w:iCs/>
                <w:sz w:val="20"/>
                <w:szCs w:val="20"/>
              </w:rPr>
            </w:pPr>
          </w:p>
          <w:p w:rsidR="00F02B4B" w:rsidRPr="0068465E" w:rsidRDefault="00F02B4B" w:rsidP="003F712A">
            <w:pPr>
              <w:pStyle w:val="Neotevilenodstavek"/>
              <w:widowControl w:val="0"/>
              <w:spacing w:before="0" w:after="0" w:line="260" w:lineRule="exact"/>
              <w:rPr>
                <w:iCs/>
                <w:sz w:val="20"/>
                <w:szCs w:val="20"/>
              </w:rPr>
            </w:pPr>
            <w:r w:rsidRPr="00345F62">
              <w:rPr>
                <w:iCs/>
                <w:sz w:val="20"/>
                <w:szCs w:val="20"/>
              </w:rPr>
              <w:t>Poročilo je bilo dano ……………..</w:t>
            </w:r>
          </w:p>
          <w:p w:rsidR="00F02B4B" w:rsidRPr="0068465E" w:rsidRDefault="00F02B4B" w:rsidP="003F712A">
            <w:pPr>
              <w:pStyle w:val="Neotevilenodstavek"/>
              <w:widowControl w:val="0"/>
              <w:spacing w:before="0" w:after="0" w:line="260" w:lineRule="exact"/>
              <w:rPr>
                <w:iCs/>
                <w:sz w:val="20"/>
                <w:szCs w:val="20"/>
              </w:rPr>
            </w:pPr>
          </w:p>
          <w:p w:rsidR="00F02B4B" w:rsidRDefault="00F02B4B" w:rsidP="003F712A">
            <w:pPr>
              <w:pStyle w:val="Neotevilenodstavek"/>
              <w:widowControl w:val="0"/>
              <w:spacing w:before="0" w:after="0" w:line="260" w:lineRule="exact"/>
              <w:rPr>
                <w:iCs/>
                <w:sz w:val="20"/>
                <w:szCs w:val="20"/>
              </w:rPr>
            </w:pPr>
            <w:r w:rsidRPr="0068465E">
              <w:rPr>
                <w:iCs/>
                <w:sz w:val="20"/>
                <w:szCs w:val="20"/>
              </w:rPr>
              <w:lastRenderedPageBreak/>
              <w:t>Javnost je bila vključena v pripravo gradiva v skladu z Zakonom o …, kar je navedeno v predlogu predpisa.)</w:t>
            </w:r>
          </w:p>
          <w:p w:rsidR="00F02B4B" w:rsidRDefault="00F02B4B" w:rsidP="003F712A">
            <w:pPr>
              <w:pStyle w:val="Neotevilenodstavek"/>
              <w:widowControl w:val="0"/>
              <w:spacing w:before="0" w:after="0" w:line="260" w:lineRule="exact"/>
              <w:rPr>
                <w:iCs/>
                <w:sz w:val="20"/>
                <w:szCs w:val="20"/>
              </w:rPr>
            </w:pP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F02B4B" w:rsidRPr="008D1759" w:rsidRDefault="00F02B4B" w:rsidP="003F712A">
            <w:pPr>
              <w:pStyle w:val="Neotevilenodstavek"/>
              <w:widowControl w:val="0"/>
              <w:spacing w:before="0" w:after="0" w:line="260" w:lineRule="exact"/>
              <w:jc w:val="left"/>
              <w:rPr>
                <w:sz w:val="20"/>
                <w:szCs w:val="20"/>
              </w:rPr>
            </w:pPr>
            <w:r>
              <w:rPr>
                <w:b/>
                <w:sz w:val="20"/>
                <w:szCs w:val="20"/>
              </w:rPr>
              <w:lastRenderedPageBreak/>
              <w:t>9</w:t>
            </w:r>
            <w:r w:rsidRPr="00D43F59">
              <w:rPr>
                <w:b/>
                <w:sz w:val="20"/>
                <w:szCs w:val="20"/>
              </w:rPr>
              <w:t>. Pri pripravi gradiva so bile upoštevane zahteve iz Resolucije o normativni dejavnosti</w:t>
            </w:r>
            <w:r>
              <w:rPr>
                <w:b/>
                <w:sz w:val="20"/>
                <w:szCs w:val="20"/>
              </w:rPr>
              <w:t>:</w:t>
            </w:r>
          </w:p>
        </w:tc>
        <w:tc>
          <w:tcPr>
            <w:tcW w:w="2431" w:type="dxa"/>
            <w:gridSpan w:val="2"/>
            <w:vAlign w:val="center"/>
          </w:tcPr>
          <w:p w:rsidR="00F02B4B" w:rsidRPr="008D1759" w:rsidRDefault="00F02B4B" w:rsidP="003F712A">
            <w:pPr>
              <w:pStyle w:val="Neotevilenodstavek"/>
              <w:widowControl w:val="0"/>
              <w:spacing w:before="0" w:after="0" w:line="260" w:lineRule="exact"/>
              <w:jc w:val="center"/>
              <w:rPr>
                <w:iCs/>
                <w:sz w:val="20"/>
                <w:szCs w:val="20"/>
              </w:rPr>
            </w:pPr>
            <w:r w:rsidRPr="002475D6">
              <w:rPr>
                <w:b/>
                <w:sz w:val="20"/>
                <w:szCs w:val="20"/>
              </w:rPr>
              <w:t>DA</w:t>
            </w:r>
            <w:r w:rsidRPr="008D1759">
              <w:rPr>
                <w:sz w:val="20"/>
                <w:szCs w:val="20"/>
              </w:rPr>
              <w:t>/NE</w:t>
            </w: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F02B4B" w:rsidRDefault="00F02B4B" w:rsidP="003F712A">
            <w:pPr>
              <w:pStyle w:val="Neotevilenodstavek"/>
              <w:widowControl w:val="0"/>
              <w:spacing w:before="0" w:after="0" w:line="260" w:lineRule="exact"/>
              <w:jc w:val="left"/>
              <w:rPr>
                <w:b/>
                <w:sz w:val="20"/>
                <w:szCs w:val="20"/>
              </w:rPr>
            </w:pPr>
            <w:r>
              <w:rPr>
                <w:b/>
                <w:sz w:val="20"/>
                <w:szCs w:val="20"/>
              </w:rPr>
              <w:t>10</w:t>
            </w:r>
            <w:r w:rsidRPr="00D43F59">
              <w:rPr>
                <w:b/>
                <w:sz w:val="20"/>
                <w:szCs w:val="20"/>
              </w:rPr>
              <w:t>. Gradivo je uvrščeno v delovni program vlade</w:t>
            </w:r>
            <w:r>
              <w:rPr>
                <w:b/>
                <w:sz w:val="20"/>
                <w:szCs w:val="20"/>
              </w:rPr>
              <w:t>:</w:t>
            </w:r>
          </w:p>
        </w:tc>
        <w:tc>
          <w:tcPr>
            <w:tcW w:w="2431" w:type="dxa"/>
            <w:gridSpan w:val="2"/>
            <w:vAlign w:val="center"/>
          </w:tcPr>
          <w:p w:rsidR="00F02B4B" w:rsidRDefault="00F02B4B" w:rsidP="003F712A">
            <w:pPr>
              <w:pStyle w:val="Neotevilenodstavek"/>
              <w:widowControl w:val="0"/>
              <w:spacing w:before="0" w:after="0" w:line="260" w:lineRule="exact"/>
              <w:jc w:val="center"/>
              <w:rPr>
                <w:sz w:val="20"/>
                <w:szCs w:val="20"/>
              </w:rPr>
            </w:pPr>
            <w:r w:rsidRPr="002475D6">
              <w:rPr>
                <w:b/>
                <w:sz w:val="20"/>
                <w:szCs w:val="20"/>
              </w:rPr>
              <w:t>DA</w:t>
            </w:r>
            <w:r w:rsidRPr="008D1759">
              <w:rPr>
                <w:sz w:val="20"/>
                <w:szCs w:val="20"/>
              </w:rPr>
              <w:t>/NE</w:t>
            </w: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F02B4B" w:rsidRPr="008D1759" w:rsidRDefault="00F02B4B" w:rsidP="003F712A">
            <w:pPr>
              <w:pStyle w:val="Poglavje"/>
              <w:widowControl w:val="0"/>
              <w:spacing w:before="0" w:after="0" w:line="260" w:lineRule="exact"/>
              <w:ind w:left="3400"/>
              <w:jc w:val="left"/>
              <w:rPr>
                <w:sz w:val="20"/>
                <w:szCs w:val="20"/>
              </w:rPr>
            </w:pPr>
          </w:p>
          <w:p w:rsidR="00F02B4B" w:rsidRDefault="00F02B4B" w:rsidP="003F712A">
            <w:pPr>
              <w:pStyle w:val="Poglavje"/>
              <w:widowControl w:val="0"/>
              <w:spacing w:before="0" w:after="0" w:line="260" w:lineRule="exact"/>
              <w:ind w:left="5662" w:firstLine="284"/>
              <w:jc w:val="left"/>
              <w:rPr>
                <w:b w:val="0"/>
                <w:sz w:val="20"/>
                <w:szCs w:val="20"/>
              </w:rPr>
            </w:pPr>
            <w:r>
              <w:rPr>
                <w:b w:val="0"/>
                <w:sz w:val="20"/>
                <w:szCs w:val="20"/>
              </w:rPr>
              <w:t xml:space="preserve"> Samo Omerzel</w:t>
            </w:r>
          </w:p>
          <w:p w:rsidR="00F02B4B" w:rsidRPr="00F80081" w:rsidRDefault="00F02B4B" w:rsidP="003F712A">
            <w:pPr>
              <w:pStyle w:val="Poglavje"/>
              <w:widowControl w:val="0"/>
              <w:spacing w:before="0" w:after="0" w:line="260" w:lineRule="exact"/>
              <w:ind w:left="5946" w:firstLine="284"/>
              <w:jc w:val="left"/>
              <w:rPr>
                <w:b w:val="0"/>
                <w:sz w:val="20"/>
                <w:szCs w:val="20"/>
              </w:rPr>
            </w:pPr>
            <w:r>
              <w:rPr>
                <w:b w:val="0"/>
                <w:sz w:val="20"/>
                <w:szCs w:val="20"/>
              </w:rPr>
              <w:t>MINISTER</w:t>
            </w:r>
          </w:p>
          <w:p w:rsidR="00F02B4B" w:rsidRPr="008D1759" w:rsidRDefault="00F02B4B" w:rsidP="003F712A">
            <w:pPr>
              <w:pStyle w:val="Poglavje"/>
              <w:widowControl w:val="0"/>
              <w:spacing w:before="0" w:after="0" w:line="260" w:lineRule="exact"/>
              <w:ind w:left="3400"/>
              <w:jc w:val="left"/>
              <w:rPr>
                <w:sz w:val="20"/>
                <w:szCs w:val="20"/>
              </w:rPr>
            </w:pPr>
          </w:p>
        </w:tc>
      </w:tr>
    </w:tbl>
    <w:p w:rsidR="000E138A" w:rsidRDefault="000E138A"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CE55EE" w:rsidRDefault="00CE55EE" w:rsidP="002D5BE3">
      <w:pPr>
        <w:overflowPunct w:val="0"/>
        <w:autoSpaceDE w:val="0"/>
        <w:autoSpaceDN w:val="0"/>
        <w:adjustRightInd w:val="0"/>
        <w:spacing w:line="260" w:lineRule="exact"/>
        <w:jc w:val="both"/>
        <w:textAlignment w:val="baseline"/>
        <w:rPr>
          <w:rFonts w:ascii="Arial" w:hAnsi="Arial" w:cs="Arial"/>
          <w:b/>
          <w:sz w:val="20"/>
          <w:szCs w:val="20"/>
          <w:lang w:eastAsia="sl-SI"/>
        </w:rPr>
      </w:pPr>
    </w:p>
    <w:p w:rsidR="002D5BE3" w:rsidRPr="002D5BE3" w:rsidRDefault="002D5BE3" w:rsidP="002D5BE3">
      <w:pPr>
        <w:overflowPunct w:val="0"/>
        <w:autoSpaceDE w:val="0"/>
        <w:autoSpaceDN w:val="0"/>
        <w:adjustRightInd w:val="0"/>
        <w:spacing w:line="260" w:lineRule="exact"/>
        <w:jc w:val="both"/>
        <w:textAlignment w:val="baseline"/>
        <w:rPr>
          <w:rFonts w:ascii="Arial" w:hAnsi="Arial" w:cs="Arial"/>
          <w:b/>
          <w:sz w:val="20"/>
          <w:szCs w:val="20"/>
          <w:lang w:eastAsia="sl-SI"/>
        </w:rPr>
      </w:pPr>
      <w:r w:rsidRPr="002D5BE3">
        <w:rPr>
          <w:rFonts w:ascii="Arial" w:hAnsi="Arial" w:cs="Arial"/>
          <w:b/>
          <w:sz w:val="20"/>
          <w:szCs w:val="20"/>
          <w:lang w:eastAsia="sl-SI"/>
        </w:rPr>
        <w:lastRenderedPageBreak/>
        <w:t>PRILOGA 3 (jedro gradiva):</w:t>
      </w:r>
    </w:p>
    <w:p w:rsidR="002D5BE3" w:rsidRPr="002D5BE3" w:rsidRDefault="002D5BE3" w:rsidP="002D5BE3">
      <w:pPr>
        <w:overflowPunct w:val="0"/>
        <w:autoSpaceDE w:val="0"/>
        <w:autoSpaceDN w:val="0"/>
        <w:adjustRightInd w:val="0"/>
        <w:spacing w:line="260" w:lineRule="exact"/>
        <w:jc w:val="right"/>
        <w:textAlignment w:val="baseline"/>
        <w:rPr>
          <w:rFonts w:ascii="Arial" w:hAnsi="Arial" w:cs="Arial"/>
          <w:b/>
          <w:sz w:val="20"/>
          <w:szCs w:val="20"/>
          <w:lang w:eastAsia="sl-SI"/>
        </w:rPr>
      </w:pPr>
      <w:r w:rsidRPr="002D5BE3">
        <w:rPr>
          <w:rFonts w:ascii="Arial" w:hAnsi="Arial" w:cs="Arial"/>
          <w:b/>
          <w:sz w:val="20"/>
          <w:szCs w:val="20"/>
          <w:lang w:eastAsia="sl-SI"/>
        </w:rPr>
        <w:t>PREDLOG</w:t>
      </w:r>
    </w:p>
    <w:p w:rsidR="002D5BE3" w:rsidRPr="002D5BE3" w:rsidRDefault="002D5BE3" w:rsidP="002D5BE3">
      <w:pPr>
        <w:overflowPunct w:val="0"/>
        <w:autoSpaceDE w:val="0"/>
        <w:autoSpaceDN w:val="0"/>
        <w:adjustRightInd w:val="0"/>
        <w:spacing w:line="260" w:lineRule="exact"/>
        <w:jc w:val="right"/>
        <w:textAlignment w:val="baseline"/>
        <w:rPr>
          <w:rFonts w:ascii="Arial" w:hAnsi="Arial" w:cs="Arial"/>
          <w:b/>
          <w:sz w:val="20"/>
          <w:szCs w:val="20"/>
          <w:lang w:eastAsia="sl-SI"/>
        </w:rPr>
      </w:pPr>
      <w:r w:rsidRPr="002D5BE3">
        <w:rPr>
          <w:rFonts w:ascii="Arial" w:hAnsi="Arial" w:cs="Arial"/>
          <w:b/>
          <w:sz w:val="20"/>
          <w:szCs w:val="20"/>
          <w:lang w:eastAsia="sl-SI"/>
        </w:rPr>
        <w:t>(EVA</w:t>
      </w:r>
      <w:r w:rsidRPr="002D5BE3">
        <w:rPr>
          <w:sz w:val="20"/>
          <w:szCs w:val="20"/>
        </w:rPr>
        <w:t xml:space="preserve"> </w:t>
      </w:r>
      <w:r w:rsidRPr="002D5BE3">
        <w:rPr>
          <w:rFonts w:ascii="Arial" w:hAnsi="Arial" w:cs="Arial"/>
          <w:b/>
          <w:sz w:val="20"/>
          <w:szCs w:val="20"/>
          <w:lang w:eastAsia="sl-SI"/>
        </w:rPr>
        <w:t>2014-2430-0045)</w:t>
      </w:r>
    </w:p>
    <w:p w:rsidR="002D5BE3" w:rsidRPr="002D5BE3" w:rsidRDefault="002D5BE3" w:rsidP="002D5BE3">
      <w:pPr>
        <w:suppressAutoHyphens w:val="0"/>
        <w:spacing w:after="210"/>
        <w:ind w:firstLine="240"/>
        <w:jc w:val="both"/>
        <w:rPr>
          <w:rFonts w:ascii="Arial" w:hAnsi="Arial" w:cs="Arial"/>
          <w:color w:val="333333"/>
          <w:sz w:val="20"/>
          <w:szCs w:val="20"/>
          <w:lang w:eastAsia="sl-SI"/>
        </w:rPr>
      </w:pP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Na podlagi prvega odstavka 378. člena Energetskega zakona (Uradni list RS, št. 17/14) Vlada Republike Slovenije izdaja</w:t>
      </w:r>
    </w:p>
    <w:p w:rsidR="002D5BE3" w:rsidRPr="002D5BE3" w:rsidRDefault="002D5BE3" w:rsidP="002D5BE3">
      <w:pPr>
        <w:suppressAutoHyphens w:val="0"/>
        <w:spacing w:after="210" w:line="360" w:lineRule="atLeast"/>
        <w:jc w:val="center"/>
        <w:rPr>
          <w:rFonts w:ascii="Arial" w:hAnsi="Arial" w:cs="Arial"/>
          <w:b/>
          <w:bCs/>
          <w:sz w:val="20"/>
          <w:szCs w:val="20"/>
          <w:lang w:eastAsia="sl-SI"/>
        </w:rPr>
      </w:pPr>
      <w:r w:rsidRPr="002D5BE3">
        <w:rPr>
          <w:rFonts w:ascii="Arial" w:hAnsi="Arial" w:cs="Arial"/>
          <w:b/>
          <w:bCs/>
          <w:sz w:val="20"/>
          <w:szCs w:val="20"/>
          <w:lang w:eastAsia="sl-SI"/>
        </w:rPr>
        <w:t xml:space="preserve">U R E D B O </w:t>
      </w:r>
      <w:r w:rsidRPr="002D5BE3">
        <w:rPr>
          <w:rFonts w:ascii="Arial" w:hAnsi="Arial" w:cs="Arial"/>
          <w:b/>
          <w:bCs/>
          <w:sz w:val="20"/>
          <w:szCs w:val="20"/>
          <w:lang w:eastAsia="sl-SI"/>
        </w:rPr>
        <w:br/>
        <w:t xml:space="preserve">o načinu določanja in obračunavanja prispevkov za zagotavljanje podpor proizvodnji električne energije v </w:t>
      </w:r>
      <w:proofErr w:type="spellStart"/>
      <w:r w:rsidRPr="002D5BE3">
        <w:rPr>
          <w:rFonts w:ascii="Arial" w:hAnsi="Arial" w:cs="Arial"/>
          <w:b/>
          <w:bCs/>
          <w:sz w:val="20"/>
          <w:szCs w:val="20"/>
          <w:lang w:eastAsia="sl-SI"/>
        </w:rPr>
        <w:t>soproizvodnji</w:t>
      </w:r>
      <w:proofErr w:type="spellEnd"/>
      <w:r w:rsidRPr="002D5BE3">
        <w:rPr>
          <w:rFonts w:ascii="Arial" w:hAnsi="Arial" w:cs="Arial"/>
          <w:b/>
          <w:bCs/>
          <w:sz w:val="20"/>
          <w:szCs w:val="20"/>
          <w:lang w:eastAsia="sl-SI"/>
        </w:rPr>
        <w:t xml:space="preserve"> z visokim izkoristkom in iz obnovljivih virov energije</w:t>
      </w:r>
    </w:p>
    <w:p w:rsidR="002D5BE3" w:rsidRPr="002D5BE3" w:rsidRDefault="002D5BE3" w:rsidP="002D5BE3">
      <w:pPr>
        <w:suppressAutoHyphens w:val="0"/>
        <w:spacing w:after="210" w:line="360" w:lineRule="atLeast"/>
        <w:jc w:val="center"/>
        <w:rPr>
          <w:rFonts w:ascii="Arial" w:hAnsi="Arial" w:cs="Arial"/>
          <w:b/>
          <w:bCs/>
          <w:sz w:val="20"/>
          <w:szCs w:val="20"/>
          <w:lang w:eastAsia="sl-SI"/>
        </w:rPr>
      </w:pPr>
    </w:p>
    <w:p w:rsidR="002D5BE3" w:rsidRPr="002D5BE3" w:rsidRDefault="002D5BE3" w:rsidP="002D5BE3">
      <w:pPr>
        <w:suppressAutoHyphens w:val="0"/>
        <w:spacing w:after="210"/>
        <w:jc w:val="center"/>
        <w:rPr>
          <w:rFonts w:ascii="Arial" w:hAnsi="Arial" w:cs="Arial"/>
          <w:bCs/>
          <w:color w:val="333333"/>
          <w:sz w:val="20"/>
          <w:szCs w:val="20"/>
          <w:lang w:eastAsia="sl-SI"/>
        </w:rPr>
      </w:pPr>
      <w:r w:rsidRPr="002D5BE3">
        <w:rPr>
          <w:rFonts w:ascii="Arial" w:hAnsi="Arial" w:cs="Arial"/>
          <w:bCs/>
          <w:color w:val="333333"/>
          <w:sz w:val="20"/>
          <w:szCs w:val="20"/>
          <w:lang w:eastAsia="sl-SI"/>
        </w:rPr>
        <w:t>I. SPLOŠNE DOLOČBE</w:t>
      </w:r>
    </w:p>
    <w:p w:rsidR="002D5BE3" w:rsidRPr="002D5BE3" w:rsidRDefault="002D5BE3" w:rsidP="002D5BE3">
      <w:pPr>
        <w:suppressAutoHyphens w:val="0"/>
        <w:spacing w:after="210"/>
        <w:jc w:val="center"/>
        <w:rPr>
          <w:rFonts w:ascii="Arial" w:hAnsi="Arial" w:cs="Arial"/>
          <w:bCs/>
          <w:color w:val="333333"/>
          <w:sz w:val="20"/>
          <w:szCs w:val="20"/>
          <w:lang w:eastAsia="sl-SI"/>
        </w:rPr>
      </w:pPr>
      <w:r w:rsidRPr="002D5BE3">
        <w:rPr>
          <w:rFonts w:ascii="Arial" w:hAnsi="Arial" w:cs="Arial"/>
          <w:bCs/>
          <w:color w:val="333333"/>
          <w:sz w:val="20"/>
          <w:szCs w:val="20"/>
          <w:lang w:eastAsia="sl-SI"/>
        </w:rPr>
        <w:t>1. člen</w:t>
      </w:r>
    </w:p>
    <w:p w:rsidR="002D5BE3" w:rsidRPr="002D5BE3" w:rsidRDefault="002D5BE3" w:rsidP="002D5BE3">
      <w:pPr>
        <w:suppressAutoHyphens w:val="0"/>
        <w:spacing w:after="210"/>
        <w:jc w:val="center"/>
        <w:rPr>
          <w:rFonts w:ascii="Arial" w:hAnsi="Arial" w:cs="Arial"/>
          <w:bCs/>
          <w:color w:val="333333"/>
          <w:sz w:val="20"/>
          <w:szCs w:val="20"/>
          <w:lang w:eastAsia="sl-SI"/>
        </w:rPr>
      </w:pPr>
      <w:r w:rsidRPr="002D5BE3">
        <w:rPr>
          <w:rFonts w:ascii="Arial" w:hAnsi="Arial" w:cs="Arial"/>
          <w:bCs/>
          <w:color w:val="333333"/>
          <w:sz w:val="20"/>
          <w:szCs w:val="20"/>
          <w:lang w:eastAsia="sl-SI"/>
        </w:rPr>
        <w:t>(vsebina)</w:t>
      </w: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 xml:space="preserve">S to uredbo se določa način izračunavanja in obračunavanja prispevkov za zagotavljanje podpor proizvodnji električne energije v </w:t>
      </w:r>
      <w:proofErr w:type="spellStart"/>
      <w:r w:rsidRPr="002D5BE3">
        <w:rPr>
          <w:rFonts w:ascii="Arial" w:hAnsi="Arial" w:cs="Arial"/>
          <w:color w:val="333333"/>
          <w:sz w:val="20"/>
          <w:szCs w:val="20"/>
          <w:lang w:eastAsia="sl-SI"/>
        </w:rPr>
        <w:t>soproizvodnji</w:t>
      </w:r>
      <w:proofErr w:type="spellEnd"/>
      <w:r w:rsidRPr="002D5BE3">
        <w:rPr>
          <w:rFonts w:ascii="Arial" w:hAnsi="Arial" w:cs="Arial"/>
          <w:color w:val="333333"/>
          <w:sz w:val="20"/>
          <w:szCs w:val="20"/>
          <w:lang w:eastAsia="sl-SI"/>
        </w:rPr>
        <w:t xml:space="preserve"> z visokim izkoristkom in iz obnovljivih virov energije.</w:t>
      </w:r>
    </w:p>
    <w:p w:rsidR="002D5BE3" w:rsidRPr="002D5BE3" w:rsidRDefault="002D5BE3" w:rsidP="002D5BE3">
      <w:pPr>
        <w:suppressAutoHyphens w:val="0"/>
        <w:spacing w:after="210"/>
        <w:jc w:val="both"/>
        <w:rPr>
          <w:rFonts w:ascii="Arial" w:hAnsi="Arial" w:cs="Arial"/>
          <w:color w:val="333333"/>
          <w:sz w:val="20"/>
          <w:szCs w:val="20"/>
          <w:lang w:eastAsia="sl-SI"/>
        </w:rPr>
      </w:pPr>
    </w:p>
    <w:p w:rsidR="002D5BE3" w:rsidRPr="002D5BE3" w:rsidRDefault="002D5BE3" w:rsidP="002D5BE3">
      <w:pPr>
        <w:suppressAutoHyphens w:val="0"/>
        <w:spacing w:after="210"/>
        <w:jc w:val="center"/>
        <w:rPr>
          <w:rFonts w:ascii="Arial" w:hAnsi="Arial" w:cs="Arial"/>
          <w:bCs/>
          <w:color w:val="333333"/>
          <w:sz w:val="20"/>
          <w:szCs w:val="20"/>
          <w:lang w:eastAsia="sl-SI"/>
        </w:rPr>
      </w:pPr>
      <w:r w:rsidRPr="002D5BE3">
        <w:rPr>
          <w:rFonts w:ascii="Arial" w:hAnsi="Arial" w:cs="Arial"/>
          <w:bCs/>
          <w:color w:val="333333"/>
          <w:sz w:val="20"/>
          <w:szCs w:val="20"/>
          <w:lang w:eastAsia="sl-SI"/>
        </w:rPr>
        <w:t>2. člen</w:t>
      </w:r>
    </w:p>
    <w:p w:rsidR="002D5BE3" w:rsidRPr="002D5BE3" w:rsidRDefault="002D5BE3" w:rsidP="002D5BE3">
      <w:pPr>
        <w:suppressAutoHyphens w:val="0"/>
        <w:spacing w:after="210"/>
        <w:jc w:val="center"/>
        <w:rPr>
          <w:rFonts w:ascii="Arial" w:hAnsi="Arial" w:cs="Arial"/>
          <w:bCs/>
          <w:color w:val="333333"/>
          <w:sz w:val="20"/>
          <w:szCs w:val="20"/>
          <w:lang w:eastAsia="sl-SI"/>
        </w:rPr>
      </w:pPr>
      <w:r w:rsidRPr="002D5BE3">
        <w:rPr>
          <w:rFonts w:ascii="Arial" w:hAnsi="Arial" w:cs="Arial"/>
          <w:bCs/>
          <w:color w:val="333333"/>
          <w:sz w:val="20"/>
          <w:szCs w:val="20"/>
          <w:lang w:eastAsia="sl-SI"/>
        </w:rPr>
        <w:t>(pomen izrazov)</w:t>
      </w:r>
    </w:p>
    <w:p w:rsidR="002D5BE3" w:rsidRPr="002D5BE3" w:rsidRDefault="002D5BE3" w:rsidP="002D5BE3">
      <w:pPr>
        <w:suppressAutoHyphens w:val="0"/>
        <w:spacing w:after="210"/>
        <w:jc w:val="both"/>
        <w:rPr>
          <w:rFonts w:ascii="Arial" w:hAnsi="Arial" w:cs="Arial"/>
          <w:bCs/>
          <w:color w:val="333333"/>
          <w:sz w:val="20"/>
          <w:szCs w:val="20"/>
          <w:lang w:eastAsia="sl-SI"/>
        </w:rPr>
      </w:pPr>
      <w:r w:rsidRPr="002D5BE3">
        <w:rPr>
          <w:rFonts w:ascii="Arial" w:hAnsi="Arial" w:cs="Arial"/>
          <w:bCs/>
          <w:color w:val="333333"/>
          <w:sz w:val="20"/>
          <w:szCs w:val="20"/>
          <w:lang w:eastAsia="sl-SI"/>
        </w:rPr>
        <w:t>Izrazi, uporabljeni v tej uredbi, imajo enak pomen, kot je določen v Energetskem zakonu (Uradni list RS, št. 17/14).</w:t>
      </w:r>
    </w:p>
    <w:p w:rsidR="002D5BE3" w:rsidRPr="002D5BE3" w:rsidRDefault="002D5BE3" w:rsidP="002D5BE3">
      <w:pPr>
        <w:suppressAutoHyphens w:val="0"/>
        <w:spacing w:after="210"/>
        <w:jc w:val="center"/>
        <w:rPr>
          <w:rFonts w:ascii="Arial" w:hAnsi="Arial" w:cs="Arial"/>
          <w:bCs/>
          <w:color w:val="333333"/>
          <w:sz w:val="20"/>
          <w:szCs w:val="20"/>
          <w:lang w:eastAsia="sl-SI"/>
        </w:rPr>
      </w:pPr>
      <w:r w:rsidRPr="002D5BE3">
        <w:rPr>
          <w:rFonts w:ascii="Arial" w:hAnsi="Arial" w:cs="Arial"/>
          <w:bCs/>
          <w:color w:val="333333"/>
          <w:sz w:val="20"/>
          <w:szCs w:val="20"/>
          <w:lang w:eastAsia="sl-SI"/>
        </w:rPr>
        <w:t>3. člen</w:t>
      </w:r>
    </w:p>
    <w:p w:rsidR="002D5BE3" w:rsidRPr="002D5BE3" w:rsidRDefault="002D5BE3" w:rsidP="002D5BE3">
      <w:pPr>
        <w:suppressAutoHyphens w:val="0"/>
        <w:spacing w:after="210"/>
        <w:jc w:val="center"/>
        <w:rPr>
          <w:rFonts w:ascii="Arial" w:hAnsi="Arial" w:cs="Arial"/>
          <w:bCs/>
          <w:color w:val="333333"/>
          <w:sz w:val="20"/>
          <w:szCs w:val="20"/>
          <w:lang w:eastAsia="sl-SI"/>
        </w:rPr>
      </w:pPr>
      <w:r w:rsidRPr="002D5BE3">
        <w:rPr>
          <w:rFonts w:ascii="Arial" w:hAnsi="Arial" w:cs="Arial"/>
          <w:bCs/>
          <w:color w:val="333333"/>
          <w:sz w:val="20"/>
          <w:szCs w:val="20"/>
          <w:lang w:eastAsia="sl-SI"/>
        </w:rPr>
        <w:t>(zavezanci za plačevanje prispevkov)</w:t>
      </w: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 xml:space="preserve">(1) Zavezanci za plačevanje prispevkov za zagotavljanje podpor proizvodnji električne energije v </w:t>
      </w:r>
      <w:proofErr w:type="spellStart"/>
      <w:r w:rsidRPr="002D5BE3">
        <w:rPr>
          <w:rFonts w:ascii="Arial" w:hAnsi="Arial" w:cs="Arial"/>
          <w:color w:val="333333"/>
          <w:sz w:val="20"/>
          <w:szCs w:val="20"/>
          <w:lang w:eastAsia="sl-SI"/>
        </w:rPr>
        <w:t>soproizvodnji</w:t>
      </w:r>
      <w:proofErr w:type="spellEnd"/>
      <w:r w:rsidRPr="002D5BE3">
        <w:rPr>
          <w:rFonts w:ascii="Arial" w:hAnsi="Arial" w:cs="Arial"/>
          <w:color w:val="333333"/>
          <w:sz w:val="20"/>
          <w:szCs w:val="20"/>
          <w:lang w:eastAsia="sl-SI"/>
        </w:rPr>
        <w:t xml:space="preserve"> z visokim izkoristkom in iz obnovljivih virov energije so končni odjemalci električne energije in končni odjemalci trdnih, tekočih, plinastih fosilnih goriv ali daljinske toplote za končno rabo.</w:t>
      </w: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 xml:space="preserve">(2) Končni odjemalci električne energije morajo za vsako prevzemno-predajno mesto plačevati prispevek za zagotavljanje podpor proizvodnji električne energije iz obnovljivih virov energije in v </w:t>
      </w:r>
      <w:proofErr w:type="spellStart"/>
      <w:r w:rsidRPr="002D5BE3">
        <w:rPr>
          <w:rFonts w:ascii="Arial" w:hAnsi="Arial" w:cs="Arial"/>
          <w:color w:val="333333"/>
          <w:sz w:val="20"/>
          <w:szCs w:val="20"/>
          <w:lang w:eastAsia="sl-SI"/>
        </w:rPr>
        <w:t>soproizvodnji</w:t>
      </w:r>
      <w:proofErr w:type="spellEnd"/>
      <w:r w:rsidRPr="002D5BE3">
        <w:rPr>
          <w:rFonts w:ascii="Arial" w:hAnsi="Arial" w:cs="Arial"/>
          <w:color w:val="333333"/>
          <w:sz w:val="20"/>
          <w:szCs w:val="20"/>
          <w:lang w:eastAsia="sl-SI"/>
        </w:rPr>
        <w:t xml:space="preserve"> z visokim izkoristkom. Višina prispevka je odvisna od razvrstitve končnega odjemalca v odjemno skupino glede na moč, napetostno raven, kategorijo odjema in namen porabe električne energije.</w:t>
      </w: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 xml:space="preserve">(3) Končni odjemalci trdnih, tekočih, plinastih fosilnih goriv ali daljinske toplote morajo pri njihovem nakupu plačati prispevek za zagotavljanje podpor proizvodnji električne energije v </w:t>
      </w:r>
      <w:proofErr w:type="spellStart"/>
      <w:r w:rsidRPr="002D5BE3">
        <w:rPr>
          <w:rFonts w:ascii="Arial" w:hAnsi="Arial" w:cs="Arial"/>
          <w:color w:val="333333"/>
          <w:sz w:val="20"/>
          <w:szCs w:val="20"/>
          <w:lang w:eastAsia="sl-SI"/>
        </w:rPr>
        <w:t>soproizvodnji</w:t>
      </w:r>
      <w:proofErr w:type="spellEnd"/>
      <w:r w:rsidRPr="002D5BE3">
        <w:rPr>
          <w:rFonts w:ascii="Arial" w:hAnsi="Arial" w:cs="Arial"/>
          <w:color w:val="333333"/>
          <w:sz w:val="20"/>
          <w:szCs w:val="20"/>
          <w:lang w:eastAsia="sl-SI"/>
        </w:rPr>
        <w:t xml:space="preserve"> z visokim izkoristkom in iz obnovljivih virov energije. Višina prispevka je odvisna od energijske vrednosti dobavljenega goriva, ki izhaja iz objavljenih statističnih podatkov Statističnega urada Republike Slovenije. </w:t>
      </w:r>
    </w:p>
    <w:p w:rsidR="002D5BE3" w:rsidRPr="002D5BE3" w:rsidRDefault="002D5BE3" w:rsidP="002D5BE3">
      <w:pPr>
        <w:suppressAutoHyphens w:val="0"/>
        <w:spacing w:after="210"/>
        <w:jc w:val="both"/>
        <w:rPr>
          <w:rFonts w:ascii="Arial" w:hAnsi="Arial" w:cs="Arial"/>
          <w:color w:val="333333"/>
          <w:sz w:val="20"/>
          <w:szCs w:val="20"/>
          <w:lang w:eastAsia="sl-SI"/>
        </w:rPr>
      </w:pPr>
    </w:p>
    <w:p w:rsidR="002D5BE3" w:rsidRPr="002D5BE3" w:rsidRDefault="002D5BE3" w:rsidP="002D5BE3">
      <w:pPr>
        <w:suppressAutoHyphens w:val="0"/>
        <w:spacing w:after="210"/>
        <w:jc w:val="center"/>
        <w:rPr>
          <w:rFonts w:ascii="Arial" w:hAnsi="Arial" w:cs="Arial"/>
          <w:color w:val="333333"/>
          <w:sz w:val="20"/>
          <w:szCs w:val="20"/>
          <w:lang w:eastAsia="sl-SI"/>
        </w:rPr>
      </w:pPr>
      <w:r w:rsidRPr="002D5BE3">
        <w:rPr>
          <w:rFonts w:ascii="Arial" w:hAnsi="Arial" w:cs="Arial"/>
          <w:color w:val="333333"/>
          <w:sz w:val="20"/>
          <w:szCs w:val="20"/>
          <w:lang w:eastAsia="sl-SI"/>
        </w:rPr>
        <w:t>II. OCENA POTREBNEGA LETNEGA OBSEGA SREDSTEV IN NAČIN DOLOČITVE PRISPEVKOV</w:t>
      </w:r>
    </w:p>
    <w:p w:rsidR="002D5BE3" w:rsidRPr="002D5BE3" w:rsidRDefault="002D5BE3" w:rsidP="002D5BE3">
      <w:pPr>
        <w:suppressAutoHyphens w:val="0"/>
        <w:spacing w:after="210"/>
        <w:jc w:val="center"/>
        <w:rPr>
          <w:rFonts w:ascii="Arial" w:hAnsi="Arial" w:cs="Arial"/>
          <w:bCs/>
          <w:color w:val="333333"/>
          <w:sz w:val="20"/>
          <w:szCs w:val="20"/>
          <w:lang w:eastAsia="sl-SI"/>
        </w:rPr>
      </w:pPr>
      <w:r w:rsidRPr="002D5BE3">
        <w:rPr>
          <w:rFonts w:ascii="Arial" w:hAnsi="Arial" w:cs="Arial"/>
          <w:bCs/>
          <w:color w:val="333333"/>
          <w:sz w:val="20"/>
          <w:szCs w:val="20"/>
          <w:lang w:eastAsia="sl-SI"/>
        </w:rPr>
        <w:t>4. člen</w:t>
      </w:r>
    </w:p>
    <w:p w:rsidR="002D5BE3" w:rsidRPr="002D5BE3" w:rsidRDefault="002D5BE3" w:rsidP="002D5BE3">
      <w:pPr>
        <w:suppressAutoHyphens w:val="0"/>
        <w:spacing w:after="210"/>
        <w:jc w:val="center"/>
        <w:rPr>
          <w:rFonts w:ascii="Arial" w:hAnsi="Arial" w:cs="Arial"/>
          <w:bCs/>
          <w:color w:val="333333"/>
          <w:sz w:val="20"/>
          <w:szCs w:val="20"/>
          <w:lang w:eastAsia="sl-SI"/>
        </w:rPr>
      </w:pPr>
      <w:r w:rsidRPr="002D5BE3">
        <w:rPr>
          <w:rFonts w:ascii="Arial" w:hAnsi="Arial" w:cs="Arial"/>
          <w:bCs/>
          <w:color w:val="333333"/>
          <w:sz w:val="20"/>
          <w:szCs w:val="20"/>
          <w:lang w:eastAsia="sl-SI"/>
        </w:rPr>
        <w:t xml:space="preserve">(priprava ocene </w:t>
      </w:r>
      <w:r w:rsidRPr="002D5BE3">
        <w:rPr>
          <w:rFonts w:ascii="Arial" w:hAnsi="Arial" w:cs="Arial"/>
          <w:color w:val="333333"/>
          <w:sz w:val="20"/>
          <w:szCs w:val="20"/>
          <w:lang w:eastAsia="sl-SI"/>
        </w:rPr>
        <w:t>potrebnega letnega obsega sredstev)</w:t>
      </w: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 xml:space="preserve">(1) Center za podpore ob upoštevanju razpoložljivih virov sredstev iz sprejetega načrta za delovanje podporne sheme za naslednje koledarsko leto pripravi oceno potrebnega letnega obsega sredstev za zagotavljanje podpor za proizvodnjo električne energije iz obnovljivih virov energije in v </w:t>
      </w:r>
      <w:proofErr w:type="spellStart"/>
      <w:r w:rsidRPr="002D5BE3">
        <w:rPr>
          <w:rFonts w:ascii="Arial" w:hAnsi="Arial" w:cs="Arial"/>
          <w:color w:val="333333"/>
          <w:sz w:val="20"/>
          <w:szCs w:val="20"/>
          <w:lang w:eastAsia="sl-SI"/>
        </w:rPr>
        <w:t>soproizvodnji</w:t>
      </w:r>
      <w:proofErr w:type="spellEnd"/>
      <w:r w:rsidRPr="002D5BE3">
        <w:rPr>
          <w:rFonts w:ascii="Arial" w:hAnsi="Arial" w:cs="Arial"/>
          <w:color w:val="333333"/>
          <w:sz w:val="20"/>
          <w:szCs w:val="20"/>
          <w:lang w:eastAsia="sl-SI"/>
        </w:rPr>
        <w:t xml:space="preserve"> z </w:t>
      </w:r>
      <w:r w:rsidRPr="002D5BE3">
        <w:rPr>
          <w:rFonts w:ascii="Arial" w:hAnsi="Arial" w:cs="Arial"/>
          <w:color w:val="333333"/>
          <w:sz w:val="20"/>
          <w:szCs w:val="20"/>
          <w:lang w:eastAsia="sl-SI"/>
        </w:rPr>
        <w:lastRenderedPageBreak/>
        <w:t xml:space="preserve">visokim izkoristkom ter jo do 10. novembra v obliki poročila pošlje Javni agenciji Republike Slovenije za energijo (v nadaljnjem besedilu: agencija) in ministrstvu, pristojnemu za energijo.  </w:t>
      </w: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 xml:space="preserve">(2) V poročilu morajo biti izkazani rezultati poslovanja centra za podpore v predhodnem letu in stanje poslovanja v prvih devetih mesecih tekočega leta. Sestavni del poročila je tudi pregled izdanih deklaracij za proizvodne naprave. </w:t>
      </w: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 xml:space="preserve">(3) Ocena potrebnih letnih sredstev za zagotavljanje podpor za proizvodnjo električne energije iz obnovljivih virov energije in v </w:t>
      </w:r>
      <w:proofErr w:type="spellStart"/>
      <w:r w:rsidRPr="002D5BE3">
        <w:rPr>
          <w:rFonts w:ascii="Arial" w:hAnsi="Arial" w:cs="Arial"/>
          <w:color w:val="333333"/>
          <w:sz w:val="20"/>
          <w:szCs w:val="20"/>
          <w:lang w:eastAsia="sl-SI"/>
        </w:rPr>
        <w:t>soproizvodnji</w:t>
      </w:r>
      <w:proofErr w:type="spellEnd"/>
      <w:r w:rsidRPr="002D5BE3">
        <w:rPr>
          <w:rFonts w:ascii="Arial" w:hAnsi="Arial" w:cs="Arial"/>
          <w:color w:val="333333"/>
          <w:sz w:val="20"/>
          <w:szCs w:val="20"/>
          <w:lang w:eastAsia="sl-SI"/>
        </w:rPr>
        <w:t xml:space="preserve"> z visokim izkoristkom mora vsebovati tudi oceno prodaje električne energije, ki jo na podlagi pogodb o zagotovljenem odkupu odkupuje center za podpore. </w:t>
      </w:r>
    </w:p>
    <w:p w:rsidR="002D5BE3" w:rsidRPr="002D5BE3" w:rsidRDefault="002D5BE3" w:rsidP="002D5BE3">
      <w:pPr>
        <w:suppressAutoHyphens w:val="0"/>
        <w:spacing w:after="210"/>
        <w:jc w:val="both"/>
        <w:rPr>
          <w:rFonts w:ascii="Arial" w:hAnsi="Arial" w:cs="Arial"/>
          <w:color w:val="333333"/>
          <w:sz w:val="20"/>
          <w:szCs w:val="20"/>
          <w:lang w:eastAsia="sl-SI"/>
        </w:rPr>
      </w:pPr>
    </w:p>
    <w:p w:rsidR="002D5BE3" w:rsidRPr="002D5BE3" w:rsidRDefault="002D5BE3" w:rsidP="002D5BE3">
      <w:pPr>
        <w:suppressAutoHyphens w:val="0"/>
        <w:spacing w:after="210"/>
        <w:jc w:val="center"/>
        <w:rPr>
          <w:rFonts w:ascii="Arial" w:hAnsi="Arial" w:cs="Arial"/>
          <w:bCs/>
          <w:color w:val="333333"/>
          <w:sz w:val="20"/>
          <w:szCs w:val="20"/>
          <w:lang w:eastAsia="sl-SI"/>
        </w:rPr>
      </w:pPr>
      <w:r w:rsidRPr="002D5BE3">
        <w:rPr>
          <w:rFonts w:ascii="Arial" w:hAnsi="Arial" w:cs="Arial"/>
          <w:bCs/>
          <w:color w:val="333333"/>
          <w:sz w:val="20"/>
          <w:szCs w:val="20"/>
          <w:lang w:eastAsia="sl-SI"/>
        </w:rPr>
        <w:t>5. člen</w:t>
      </w:r>
    </w:p>
    <w:p w:rsidR="002D5BE3" w:rsidRPr="002D5BE3" w:rsidRDefault="002D5BE3" w:rsidP="002D5BE3">
      <w:pPr>
        <w:suppressAutoHyphens w:val="0"/>
        <w:spacing w:after="210"/>
        <w:jc w:val="center"/>
        <w:rPr>
          <w:rFonts w:ascii="Arial" w:hAnsi="Arial" w:cs="Arial"/>
          <w:bCs/>
          <w:color w:val="333333"/>
          <w:sz w:val="20"/>
          <w:szCs w:val="20"/>
          <w:lang w:eastAsia="sl-SI"/>
        </w:rPr>
      </w:pPr>
      <w:r w:rsidRPr="002D5BE3">
        <w:rPr>
          <w:rFonts w:ascii="Arial" w:hAnsi="Arial" w:cs="Arial"/>
          <w:bCs/>
          <w:color w:val="333333"/>
          <w:sz w:val="20"/>
          <w:szCs w:val="20"/>
          <w:lang w:eastAsia="sl-SI"/>
        </w:rPr>
        <w:t>(določitev prispevkov)</w:t>
      </w: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 xml:space="preserve">(1) Agencija na podlagi ocene potrebnih letnih sredstev pripravi izračun prispevkov za zagotavljanje podpor proizvodnji električne energije iz obnovljivih virov energije ter v </w:t>
      </w:r>
      <w:proofErr w:type="spellStart"/>
      <w:r w:rsidRPr="002D5BE3">
        <w:rPr>
          <w:rFonts w:ascii="Arial" w:hAnsi="Arial" w:cs="Arial"/>
          <w:color w:val="333333"/>
          <w:sz w:val="20"/>
          <w:szCs w:val="20"/>
          <w:lang w:eastAsia="sl-SI"/>
        </w:rPr>
        <w:t>soproizvodnji</w:t>
      </w:r>
      <w:proofErr w:type="spellEnd"/>
      <w:r w:rsidRPr="002D5BE3">
        <w:rPr>
          <w:rFonts w:ascii="Arial" w:hAnsi="Arial" w:cs="Arial"/>
          <w:color w:val="333333"/>
          <w:sz w:val="20"/>
          <w:szCs w:val="20"/>
          <w:lang w:eastAsia="sl-SI"/>
        </w:rPr>
        <w:t xml:space="preserve"> z visokim izkoristkom, pri čemer upošteva podatke iz napovedi glede stanja prevzemno-predajnih mest, ki jih morata agenciji do 30. septembra poslati sistemski in distribucijski operater, ter zadnjih objavljenih letnih podatkov Statističnega urada Republike Slovenije o končni porabi trdnih in tekočih fosilnih goriv, utekočinjenega naftnega in zemeljskega plina,</w:t>
      </w:r>
      <w:r w:rsidRPr="002D5BE3">
        <w:rPr>
          <w:rFonts w:ascii="Calibri" w:eastAsia="Calibri" w:hAnsi="Calibri"/>
          <w:sz w:val="20"/>
          <w:szCs w:val="20"/>
          <w:lang w:eastAsia="en-US"/>
        </w:rPr>
        <w:t xml:space="preserve"> </w:t>
      </w:r>
      <w:r w:rsidRPr="002D5BE3">
        <w:rPr>
          <w:rFonts w:ascii="Arial" w:hAnsi="Arial" w:cs="Arial"/>
          <w:color w:val="333333"/>
          <w:sz w:val="20"/>
          <w:szCs w:val="20"/>
          <w:lang w:eastAsia="sl-SI"/>
        </w:rPr>
        <w:t xml:space="preserve">zemeljskega plina in drugih energetskih plinov iz omrežja ter daljinske toplote. </w:t>
      </w: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 xml:space="preserve">(2) Agencija izda akt o prispevkih za zagotavljanje podpor za proizvodnjo električne energije iz obnovljivih virov energije in v </w:t>
      </w:r>
      <w:proofErr w:type="spellStart"/>
      <w:r w:rsidRPr="002D5BE3">
        <w:rPr>
          <w:rFonts w:ascii="Arial" w:hAnsi="Arial" w:cs="Arial"/>
          <w:color w:val="333333"/>
          <w:sz w:val="20"/>
          <w:szCs w:val="20"/>
          <w:lang w:eastAsia="sl-SI"/>
        </w:rPr>
        <w:t>soproizvodnji</w:t>
      </w:r>
      <w:proofErr w:type="spellEnd"/>
      <w:r w:rsidRPr="002D5BE3">
        <w:rPr>
          <w:rFonts w:ascii="Arial" w:hAnsi="Arial" w:cs="Arial"/>
          <w:color w:val="333333"/>
          <w:sz w:val="20"/>
          <w:szCs w:val="20"/>
          <w:lang w:eastAsia="sl-SI"/>
        </w:rPr>
        <w:t xml:space="preserve"> z visokim izkoristkom, ki ga po predhodnem soglasju vlade objavi v Uradnem listu Republike Slovenije.</w:t>
      </w: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 xml:space="preserve">(3) Če center za podpore med letom ne doseže načrtovanih mesečnih prilivov prispevkov zaradi odstopanj od napovedi glede stanja prevzemno-predajnih mest in končne porabe goriv ter zato ne more več izpolnjevati obveznosti iz sklenjenih pogodb o podporah, o tem obvesti agencijo, ki pripravi nov izračun prispevkov. </w:t>
      </w:r>
    </w:p>
    <w:p w:rsidR="002D5BE3" w:rsidRPr="002D5BE3" w:rsidRDefault="002D5BE3" w:rsidP="002D5BE3">
      <w:pPr>
        <w:suppressAutoHyphens w:val="0"/>
        <w:spacing w:after="210"/>
        <w:jc w:val="both"/>
        <w:rPr>
          <w:rFonts w:ascii="Arial" w:hAnsi="Arial" w:cs="Arial"/>
          <w:color w:val="333333"/>
          <w:sz w:val="20"/>
          <w:szCs w:val="20"/>
          <w:lang w:eastAsia="sl-SI"/>
        </w:rPr>
      </w:pPr>
    </w:p>
    <w:p w:rsidR="002D5BE3" w:rsidRPr="002D5BE3" w:rsidRDefault="002D5BE3" w:rsidP="002D5BE3">
      <w:pPr>
        <w:suppressAutoHyphens w:val="0"/>
        <w:spacing w:after="210"/>
        <w:jc w:val="center"/>
        <w:rPr>
          <w:rFonts w:ascii="Arial" w:hAnsi="Arial" w:cs="Arial"/>
          <w:color w:val="C00000"/>
          <w:sz w:val="20"/>
          <w:szCs w:val="20"/>
          <w:highlight w:val="yellow"/>
          <w:lang w:eastAsia="sl-SI"/>
        </w:rPr>
      </w:pPr>
      <w:r w:rsidRPr="002D5BE3">
        <w:rPr>
          <w:rFonts w:ascii="Arial" w:hAnsi="Arial" w:cs="Arial"/>
          <w:color w:val="333333"/>
          <w:sz w:val="20"/>
          <w:szCs w:val="20"/>
          <w:lang w:eastAsia="sl-SI"/>
        </w:rPr>
        <w:t>III. IZRAČUNAVANJE PRISPEVKA ZA KONČNE ODJEMALCE ELEKTRIČNE ENERGIJE</w:t>
      </w:r>
    </w:p>
    <w:p w:rsidR="002D5BE3" w:rsidRPr="002D5BE3" w:rsidRDefault="002D5BE3" w:rsidP="002D5BE3">
      <w:pPr>
        <w:suppressAutoHyphens w:val="0"/>
        <w:spacing w:after="210"/>
        <w:jc w:val="center"/>
        <w:rPr>
          <w:rFonts w:ascii="Arial" w:hAnsi="Arial" w:cs="Arial"/>
          <w:bCs/>
          <w:color w:val="333333"/>
          <w:sz w:val="20"/>
          <w:szCs w:val="20"/>
          <w:lang w:eastAsia="sl-SI"/>
        </w:rPr>
      </w:pPr>
      <w:r w:rsidRPr="002D5BE3">
        <w:rPr>
          <w:rFonts w:ascii="Arial" w:hAnsi="Arial" w:cs="Arial"/>
          <w:bCs/>
          <w:color w:val="333333"/>
          <w:sz w:val="20"/>
          <w:szCs w:val="20"/>
          <w:lang w:eastAsia="sl-SI"/>
        </w:rPr>
        <w:t>6. člen</w:t>
      </w:r>
    </w:p>
    <w:p w:rsidR="002D5BE3" w:rsidRPr="002D5BE3" w:rsidRDefault="002D5BE3" w:rsidP="002D5BE3">
      <w:pPr>
        <w:suppressAutoHyphens w:val="0"/>
        <w:spacing w:after="210"/>
        <w:jc w:val="center"/>
        <w:rPr>
          <w:rFonts w:ascii="Arial" w:hAnsi="Arial" w:cs="Arial"/>
          <w:bCs/>
          <w:color w:val="333333"/>
          <w:sz w:val="20"/>
          <w:szCs w:val="20"/>
          <w:lang w:eastAsia="sl-SI"/>
        </w:rPr>
      </w:pPr>
      <w:r w:rsidRPr="002D5BE3">
        <w:rPr>
          <w:rFonts w:ascii="Arial" w:hAnsi="Arial" w:cs="Arial"/>
          <w:bCs/>
          <w:color w:val="333333"/>
          <w:sz w:val="20"/>
          <w:szCs w:val="20"/>
          <w:lang w:eastAsia="sl-SI"/>
        </w:rPr>
        <w:t>(</w:t>
      </w:r>
      <w:proofErr w:type="spellStart"/>
      <w:r w:rsidRPr="002D5BE3">
        <w:rPr>
          <w:rFonts w:ascii="Arial" w:hAnsi="Arial" w:cs="Arial"/>
          <w:bCs/>
          <w:color w:val="333333"/>
          <w:sz w:val="20"/>
          <w:szCs w:val="20"/>
          <w:lang w:eastAsia="sl-SI"/>
        </w:rPr>
        <w:t>ponderji</w:t>
      </w:r>
      <w:proofErr w:type="spellEnd"/>
      <w:r w:rsidRPr="002D5BE3">
        <w:rPr>
          <w:rFonts w:ascii="Arial" w:hAnsi="Arial" w:cs="Arial"/>
          <w:bCs/>
          <w:color w:val="333333"/>
          <w:sz w:val="20"/>
          <w:szCs w:val="20"/>
          <w:lang w:eastAsia="sl-SI"/>
        </w:rPr>
        <w:t xml:space="preserve"> odjemnih skupin končnih odjemalcev električne energije)</w:t>
      </w: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 xml:space="preserve">(1) Za posamezne odjemne skupine končnih odjemalcev električne energije iz prejšnjega člena se določijo naslednje vrednosti </w:t>
      </w:r>
      <w:proofErr w:type="spellStart"/>
      <w:r w:rsidRPr="002D5BE3">
        <w:rPr>
          <w:rFonts w:ascii="Arial" w:hAnsi="Arial" w:cs="Arial"/>
          <w:color w:val="333333"/>
          <w:sz w:val="20"/>
          <w:szCs w:val="20"/>
          <w:lang w:eastAsia="sl-SI"/>
        </w:rPr>
        <w:t>ponderjev</w:t>
      </w:r>
      <w:proofErr w:type="spellEnd"/>
      <w:r w:rsidRPr="002D5BE3">
        <w:rPr>
          <w:rFonts w:ascii="Arial" w:hAnsi="Arial" w:cs="Arial"/>
          <w:color w:val="333333"/>
          <w:sz w:val="20"/>
          <w:szCs w:val="20"/>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4111"/>
      </w:tblGrid>
      <w:tr w:rsidR="002D5BE3" w:rsidRPr="002D5BE3" w:rsidTr="00234B1A">
        <w:tc>
          <w:tcPr>
            <w:tcW w:w="4361" w:type="dxa"/>
            <w:gridSpan w:val="2"/>
            <w:shd w:val="clear" w:color="auto" w:fill="auto"/>
          </w:tcPr>
          <w:p w:rsidR="002D5BE3" w:rsidRPr="002D5BE3" w:rsidRDefault="002D5BE3" w:rsidP="002D5BE3">
            <w:pPr>
              <w:suppressAutoHyphens w:val="0"/>
              <w:spacing w:after="200" w:line="276" w:lineRule="auto"/>
              <w:jc w:val="center"/>
              <w:rPr>
                <w:rFonts w:ascii="Arial" w:eastAsia="Calibri" w:hAnsi="Arial"/>
                <w:b/>
                <w:sz w:val="20"/>
                <w:szCs w:val="20"/>
                <w:lang w:eastAsia="en-US"/>
              </w:rPr>
            </w:pPr>
            <w:r w:rsidRPr="002D5BE3">
              <w:rPr>
                <w:rFonts w:ascii="Arial" w:eastAsia="Calibri" w:hAnsi="Arial"/>
                <w:b/>
                <w:sz w:val="20"/>
                <w:szCs w:val="20"/>
                <w:lang w:eastAsia="en-US"/>
              </w:rPr>
              <w:t>Odjemna skupina</w:t>
            </w:r>
          </w:p>
        </w:tc>
        <w:tc>
          <w:tcPr>
            <w:tcW w:w="4111" w:type="dxa"/>
            <w:shd w:val="clear" w:color="auto" w:fill="auto"/>
          </w:tcPr>
          <w:p w:rsidR="002D5BE3" w:rsidRPr="002D5BE3" w:rsidRDefault="002D5BE3" w:rsidP="002D5BE3">
            <w:pPr>
              <w:suppressAutoHyphens w:val="0"/>
              <w:spacing w:after="200" w:line="276" w:lineRule="auto"/>
              <w:rPr>
                <w:rFonts w:ascii="Arial" w:eastAsia="Calibri" w:hAnsi="Arial"/>
                <w:b/>
                <w:sz w:val="20"/>
                <w:szCs w:val="20"/>
                <w:vertAlign w:val="subscript"/>
                <w:lang w:eastAsia="en-US"/>
              </w:rPr>
            </w:pPr>
            <w:r w:rsidRPr="002D5BE3">
              <w:rPr>
                <w:rFonts w:ascii="Arial" w:eastAsia="Calibri" w:hAnsi="Arial"/>
                <w:b/>
                <w:sz w:val="20"/>
                <w:szCs w:val="20"/>
                <w:lang w:eastAsia="en-US"/>
              </w:rPr>
              <w:t xml:space="preserve">Vrednost </w:t>
            </w:r>
            <w:proofErr w:type="spellStart"/>
            <w:r w:rsidRPr="002D5BE3">
              <w:rPr>
                <w:rFonts w:ascii="Arial" w:eastAsia="Calibri" w:hAnsi="Arial"/>
                <w:b/>
                <w:sz w:val="20"/>
                <w:szCs w:val="20"/>
                <w:lang w:eastAsia="en-US"/>
              </w:rPr>
              <w:t>ponderja</w:t>
            </w:r>
            <w:proofErr w:type="spellEnd"/>
            <w:r w:rsidRPr="002D5BE3">
              <w:rPr>
                <w:rFonts w:ascii="Arial" w:eastAsia="Calibri" w:hAnsi="Arial"/>
                <w:b/>
                <w:sz w:val="20"/>
                <w:szCs w:val="20"/>
                <w:lang w:eastAsia="en-US"/>
              </w:rPr>
              <w:t xml:space="preserve"> odjemne skupine – </w:t>
            </w:r>
            <w:proofErr w:type="spellStart"/>
            <w:r w:rsidRPr="002D5BE3">
              <w:rPr>
                <w:rFonts w:ascii="Arial" w:eastAsia="Calibri" w:hAnsi="Arial"/>
                <w:b/>
                <w:sz w:val="20"/>
                <w:szCs w:val="20"/>
                <w:lang w:eastAsia="en-US"/>
              </w:rPr>
              <w:t>τ</w:t>
            </w:r>
            <w:r w:rsidRPr="002D5BE3">
              <w:rPr>
                <w:rFonts w:ascii="Arial" w:eastAsia="Calibri" w:hAnsi="Arial"/>
                <w:b/>
                <w:sz w:val="20"/>
                <w:szCs w:val="20"/>
                <w:vertAlign w:val="subscript"/>
                <w:lang w:eastAsia="en-US"/>
              </w:rPr>
              <w:t>ose</w:t>
            </w:r>
            <w:proofErr w:type="spellEnd"/>
          </w:p>
        </w:tc>
      </w:tr>
      <w:tr w:rsidR="002D5BE3" w:rsidRPr="002D5BE3" w:rsidTr="00234B1A">
        <w:tc>
          <w:tcPr>
            <w:tcW w:w="675" w:type="dxa"/>
            <w:shd w:val="clear" w:color="auto" w:fill="auto"/>
          </w:tcPr>
          <w:p w:rsidR="002D5BE3" w:rsidRPr="002D5BE3" w:rsidRDefault="002D5BE3" w:rsidP="002D5BE3">
            <w:pPr>
              <w:suppressAutoHyphens w:val="0"/>
              <w:spacing w:after="200" w:line="276" w:lineRule="auto"/>
              <w:rPr>
                <w:rFonts w:ascii="Arial" w:eastAsia="Calibri" w:hAnsi="Arial"/>
                <w:sz w:val="20"/>
                <w:szCs w:val="20"/>
                <w:lang w:eastAsia="en-US"/>
              </w:rPr>
            </w:pPr>
            <w:r w:rsidRPr="002D5BE3">
              <w:rPr>
                <w:rFonts w:ascii="Arial" w:eastAsia="Calibri" w:hAnsi="Arial"/>
                <w:sz w:val="20"/>
                <w:szCs w:val="20"/>
                <w:lang w:eastAsia="en-US"/>
              </w:rPr>
              <w:t>1.</w:t>
            </w:r>
          </w:p>
        </w:tc>
        <w:tc>
          <w:tcPr>
            <w:tcW w:w="3686" w:type="dxa"/>
            <w:shd w:val="clear" w:color="auto" w:fill="auto"/>
          </w:tcPr>
          <w:p w:rsidR="002D5BE3" w:rsidRPr="002D5BE3" w:rsidRDefault="002D5BE3" w:rsidP="002D5BE3">
            <w:pPr>
              <w:suppressAutoHyphens w:val="0"/>
              <w:spacing w:after="200" w:line="276" w:lineRule="auto"/>
              <w:rPr>
                <w:rFonts w:ascii="Arial" w:eastAsia="Calibri" w:hAnsi="Arial"/>
                <w:sz w:val="20"/>
                <w:szCs w:val="20"/>
                <w:lang w:eastAsia="en-US"/>
              </w:rPr>
            </w:pPr>
            <w:r w:rsidRPr="002D5BE3">
              <w:rPr>
                <w:rFonts w:ascii="Arial" w:eastAsia="Calibri" w:hAnsi="Arial"/>
                <w:sz w:val="20"/>
                <w:szCs w:val="20"/>
                <w:lang w:eastAsia="en-US"/>
              </w:rPr>
              <w:t xml:space="preserve">VN T &gt; / = 6000 – </w:t>
            </w:r>
            <w:proofErr w:type="spellStart"/>
            <w:r w:rsidRPr="002D5BE3">
              <w:rPr>
                <w:rFonts w:ascii="Arial" w:eastAsia="Calibri" w:hAnsi="Arial"/>
                <w:sz w:val="20"/>
                <w:szCs w:val="20"/>
                <w:lang w:eastAsia="en-US"/>
              </w:rPr>
              <w:t>PR.OMR</w:t>
            </w:r>
            <w:proofErr w:type="spellEnd"/>
          </w:p>
        </w:tc>
        <w:tc>
          <w:tcPr>
            <w:tcW w:w="4111" w:type="dxa"/>
            <w:shd w:val="clear" w:color="auto" w:fill="auto"/>
          </w:tcPr>
          <w:p w:rsidR="002D5BE3" w:rsidRPr="002D5BE3" w:rsidRDefault="002D5BE3" w:rsidP="002D5BE3">
            <w:pPr>
              <w:suppressAutoHyphens w:val="0"/>
              <w:spacing w:after="200" w:line="276" w:lineRule="auto"/>
              <w:jc w:val="center"/>
              <w:rPr>
                <w:rFonts w:ascii="Arial" w:eastAsia="Calibri" w:hAnsi="Arial"/>
                <w:sz w:val="20"/>
                <w:szCs w:val="20"/>
                <w:lang w:eastAsia="en-US"/>
              </w:rPr>
            </w:pPr>
            <w:r w:rsidRPr="002D5BE3">
              <w:rPr>
                <w:rFonts w:ascii="Arial" w:eastAsia="Calibri" w:hAnsi="Arial"/>
                <w:sz w:val="20"/>
                <w:szCs w:val="20"/>
                <w:lang w:eastAsia="en-US"/>
              </w:rPr>
              <w:t>2,78301</w:t>
            </w:r>
          </w:p>
        </w:tc>
      </w:tr>
      <w:tr w:rsidR="002D5BE3" w:rsidRPr="002D5BE3" w:rsidTr="00234B1A">
        <w:tc>
          <w:tcPr>
            <w:tcW w:w="675" w:type="dxa"/>
            <w:shd w:val="clear" w:color="auto" w:fill="auto"/>
          </w:tcPr>
          <w:p w:rsidR="002D5BE3" w:rsidRPr="002D5BE3" w:rsidRDefault="002D5BE3" w:rsidP="002D5BE3">
            <w:pPr>
              <w:suppressAutoHyphens w:val="0"/>
              <w:spacing w:after="200" w:line="276" w:lineRule="auto"/>
              <w:rPr>
                <w:rFonts w:ascii="Arial" w:eastAsia="Calibri" w:hAnsi="Arial"/>
                <w:sz w:val="20"/>
                <w:szCs w:val="20"/>
                <w:lang w:eastAsia="en-US"/>
              </w:rPr>
            </w:pPr>
            <w:r w:rsidRPr="002D5BE3">
              <w:rPr>
                <w:rFonts w:ascii="Arial" w:eastAsia="Calibri" w:hAnsi="Arial"/>
                <w:sz w:val="20"/>
                <w:szCs w:val="20"/>
                <w:lang w:eastAsia="en-US"/>
              </w:rPr>
              <w:t>2.</w:t>
            </w:r>
          </w:p>
        </w:tc>
        <w:tc>
          <w:tcPr>
            <w:tcW w:w="3686" w:type="dxa"/>
            <w:shd w:val="clear" w:color="auto" w:fill="auto"/>
          </w:tcPr>
          <w:p w:rsidR="002D5BE3" w:rsidRPr="002D5BE3" w:rsidRDefault="002D5BE3" w:rsidP="002D5BE3">
            <w:pPr>
              <w:suppressAutoHyphens w:val="0"/>
              <w:spacing w:after="200" w:line="276" w:lineRule="auto"/>
              <w:rPr>
                <w:rFonts w:ascii="Arial" w:eastAsia="Calibri" w:hAnsi="Arial"/>
                <w:sz w:val="20"/>
                <w:szCs w:val="20"/>
                <w:lang w:eastAsia="en-US"/>
              </w:rPr>
            </w:pPr>
            <w:r w:rsidRPr="002D5BE3">
              <w:rPr>
                <w:rFonts w:ascii="Arial" w:eastAsia="Calibri" w:hAnsi="Arial"/>
                <w:sz w:val="20"/>
                <w:szCs w:val="20"/>
                <w:lang w:eastAsia="en-US"/>
              </w:rPr>
              <w:t xml:space="preserve">VN T &gt; / = 6000 – </w:t>
            </w:r>
            <w:proofErr w:type="spellStart"/>
            <w:r w:rsidRPr="002D5BE3">
              <w:rPr>
                <w:rFonts w:ascii="Arial" w:eastAsia="Calibri" w:hAnsi="Arial"/>
                <w:sz w:val="20"/>
                <w:szCs w:val="20"/>
                <w:lang w:eastAsia="en-US"/>
              </w:rPr>
              <w:t>DIS.OMR</w:t>
            </w:r>
            <w:proofErr w:type="spellEnd"/>
          </w:p>
        </w:tc>
        <w:tc>
          <w:tcPr>
            <w:tcW w:w="4111" w:type="dxa"/>
            <w:shd w:val="clear" w:color="auto" w:fill="auto"/>
          </w:tcPr>
          <w:p w:rsidR="002D5BE3" w:rsidRPr="002D5BE3" w:rsidRDefault="002D5BE3" w:rsidP="002D5BE3">
            <w:pPr>
              <w:suppressAutoHyphens w:val="0"/>
              <w:spacing w:after="200" w:line="276" w:lineRule="auto"/>
              <w:jc w:val="center"/>
              <w:rPr>
                <w:rFonts w:ascii="Arial" w:eastAsia="Calibri" w:hAnsi="Arial"/>
                <w:sz w:val="20"/>
                <w:szCs w:val="20"/>
                <w:lang w:eastAsia="en-US"/>
              </w:rPr>
            </w:pPr>
            <w:r w:rsidRPr="002D5BE3">
              <w:rPr>
                <w:rFonts w:ascii="Arial" w:eastAsia="Calibri" w:hAnsi="Arial"/>
                <w:sz w:val="20"/>
                <w:szCs w:val="20"/>
                <w:lang w:eastAsia="en-US"/>
              </w:rPr>
              <w:t>3,31916</w:t>
            </w:r>
          </w:p>
        </w:tc>
      </w:tr>
      <w:tr w:rsidR="002D5BE3" w:rsidRPr="002D5BE3" w:rsidTr="00234B1A">
        <w:tc>
          <w:tcPr>
            <w:tcW w:w="675" w:type="dxa"/>
            <w:shd w:val="clear" w:color="auto" w:fill="auto"/>
          </w:tcPr>
          <w:p w:rsidR="002D5BE3" w:rsidRPr="002D5BE3" w:rsidRDefault="002D5BE3" w:rsidP="002D5BE3">
            <w:pPr>
              <w:suppressAutoHyphens w:val="0"/>
              <w:spacing w:after="200" w:line="276" w:lineRule="auto"/>
              <w:rPr>
                <w:rFonts w:ascii="Arial" w:eastAsia="Calibri" w:hAnsi="Arial"/>
                <w:sz w:val="20"/>
                <w:szCs w:val="20"/>
                <w:lang w:eastAsia="en-US"/>
              </w:rPr>
            </w:pPr>
            <w:r w:rsidRPr="002D5BE3">
              <w:rPr>
                <w:rFonts w:ascii="Arial" w:eastAsia="Calibri" w:hAnsi="Arial"/>
                <w:sz w:val="20"/>
                <w:szCs w:val="20"/>
                <w:lang w:eastAsia="en-US"/>
              </w:rPr>
              <w:t>3.</w:t>
            </w:r>
          </w:p>
        </w:tc>
        <w:tc>
          <w:tcPr>
            <w:tcW w:w="3686" w:type="dxa"/>
            <w:shd w:val="clear" w:color="auto" w:fill="auto"/>
          </w:tcPr>
          <w:p w:rsidR="002D5BE3" w:rsidRPr="002D5BE3" w:rsidRDefault="002D5BE3" w:rsidP="002D5BE3">
            <w:pPr>
              <w:suppressAutoHyphens w:val="0"/>
              <w:spacing w:after="200" w:line="276" w:lineRule="auto"/>
              <w:rPr>
                <w:rFonts w:ascii="Arial" w:eastAsia="Calibri" w:hAnsi="Arial"/>
                <w:sz w:val="20"/>
                <w:szCs w:val="20"/>
                <w:lang w:eastAsia="en-US"/>
              </w:rPr>
            </w:pPr>
            <w:r w:rsidRPr="002D5BE3">
              <w:rPr>
                <w:rFonts w:ascii="Arial" w:eastAsia="Calibri" w:hAnsi="Arial"/>
                <w:sz w:val="20"/>
                <w:szCs w:val="20"/>
                <w:lang w:eastAsia="en-US"/>
              </w:rPr>
              <w:t xml:space="preserve">VN 2500 &lt; / = T &lt; 6000 – </w:t>
            </w:r>
            <w:proofErr w:type="spellStart"/>
            <w:r w:rsidRPr="002D5BE3">
              <w:rPr>
                <w:rFonts w:ascii="Arial" w:eastAsia="Calibri" w:hAnsi="Arial"/>
                <w:sz w:val="20"/>
                <w:szCs w:val="20"/>
                <w:lang w:eastAsia="en-US"/>
              </w:rPr>
              <w:t>PR.OMR</w:t>
            </w:r>
            <w:proofErr w:type="spellEnd"/>
          </w:p>
        </w:tc>
        <w:tc>
          <w:tcPr>
            <w:tcW w:w="4111" w:type="dxa"/>
            <w:shd w:val="clear" w:color="auto" w:fill="auto"/>
          </w:tcPr>
          <w:p w:rsidR="002D5BE3" w:rsidRPr="002D5BE3" w:rsidRDefault="002D5BE3" w:rsidP="002D5BE3">
            <w:pPr>
              <w:suppressAutoHyphens w:val="0"/>
              <w:spacing w:after="200" w:line="276" w:lineRule="auto"/>
              <w:jc w:val="center"/>
              <w:rPr>
                <w:rFonts w:ascii="Arial" w:eastAsia="Calibri" w:hAnsi="Arial"/>
                <w:sz w:val="20"/>
                <w:szCs w:val="20"/>
                <w:lang w:eastAsia="en-US"/>
              </w:rPr>
            </w:pPr>
            <w:r w:rsidRPr="002D5BE3">
              <w:rPr>
                <w:rFonts w:ascii="Arial" w:eastAsia="Calibri" w:hAnsi="Arial"/>
                <w:sz w:val="20"/>
                <w:szCs w:val="20"/>
                <w:lang w:eastAsia="en-US"/>
              </w:rPr>
              <w:t>2,32985</w:t>
            </w:r>
          </w:p>
        </w:tc>
      </w:tr>
      <w:tr w:rsidR="002D5BE3" w:rsidRPr="002D5BE3" w:rsidTr="00234B1A">
        <w:tc>
          <w:tcPr>
            <w:tcW w:w="675" w:type="dxa"/>
            <w:shd w:val="clear" w:color="auto" w:fill="auto"/>
          </w:tcPr>
          <w:p w:rsidR="002D5BE3" w:rsidRPr="002D5BE3" w:rsidRDefault="002D5BE3" w:rsidP="002D5BE3">
            <w:pPr>
              <w:suppressAutoHyphens w:val="0"/>
              <w:spacing w:after="200" w:line="276" w:lineRule="auto"/>
              <w:rPr>
                <w:rFonts w:ascii="Arial" w:eastAsia="Calibri" w:hAnsi="Arial"/>
                <w:sz w:val="20"/>
                <w:szCs w:val="20"/>
                <w:lang w:eastAsia="en-US"/>
              </w:rPr>
            </w:pPr>
            <w:r w:rsidRPr="002D5BE3">
              <w:rPr>
                <w:rFonts w:ascii="Arial" w:eastAsia="Calibri" w:hAnsi="Arial"/>
                <w:sz w:val="20"/>
                <w:szCs w:val="20"/>
                <w:lang w:eastAsia="en-US"/>
              </w:rPr>
              <w:t>4.</w:t>
            </w:r>
          </w:p>
        </w:tc>
        <w:tc>
          <w:tcPr>
            <w:tcW w:w="3686" w:type="dxa"/>
            <w:shd w:val="clear" w:color="auto" w:fill="auto"/>
          </w:tcPr>
          <w:p w:rsidR="002D5BE3" w:rsidRPr="002D5BE3" w:rsidRDefault="002D5BE3" w:rsidP="002D5BE3">
            <w:pPr>
              <w:suppressAutoHyphens w:val="0"/>
              <w:spacing w:after="200" w:line="276" w:lineRule="auto"/>
              <w:rPr>
                <w:rFonts w:ascii="Arial" w:eastAsia="Calibri" w:hAnsi="Arial"/>
                <w:sz w:val="20"/>
                <w:szCs w:val="20"/>
                <w:lang w:eastAsia="en-US"/>
              </w:rPr>
            </w:pPr>
            <w:r w:rsidRPr="002D5BE3">
              <w:rPr>
                <w:rFonts w:ascii="Arial" w:eastAsia="Calibri" w:hAnsi="Arial"/>
                <w:sz w:val="20"/>
                <w:szCs w:val="20"/>
                <w:lang w:eastAsia="en-US"/>
              </w:rPr>
              <w:t xml:space="preserve">VN 2500 &lt; / = T &lt; 6000 – </w:t>
            </w:r>
            <w:proofErr w:type="spellStart"/>
            <w:r w:rsidRPr="002D5BE3">
              <w:rPr>
                <w:rFonts w:ascii="Arial" w:eastAsia="Calibri" w:hAnsi="Arial"/>
                <w:sz w:val="20"/>
                <w:szCs w:val="20"/>
                <w:lang w:eastAsia="en-US"/>
              </w:rPr>
              <w:t>DIS.OMR</w:t>
            </w:r>
            <w:proofErr w:type="spellEnd"/>
          </w:p>
        </w:tc>
        <w:tc>
          <w:tcPr>
            <w:tcW w:w="4111" w:type="dxa"/>
            <w:shd w:val="clear" w:color="auto" w:fill="auto"/>
          </w:tcPr>
          <w:p w:rsidR="002D5BE3" w:rsidRPr="002D5BE3" w:rsidRDefault="002D5BE3" w:rsidP="002D5BE3">
            <w:pPr>
              <w:suppressAutoHyphens w:val="0"/>
              <w:spacing w:after="200" w:line="276" w:lineRule="auto"/>
              <w:jc w:val="center"/>
              <w:rPr>
                <w:rFonts w:ascii="Arial" w:eastAsia="Calibri" w:hAnsi="Arial"/>
                <w:sz w:val="20"/>
                <w:szCs w:val="20"/>
                <w:lang w:eastAsia="en-US"/>
              </w:rPr>
            </w:pPr>
            <w:r w:rsidRPr="002D5BE3">
              <w:rPr>
                <w:rFonts w:ascii="Arial" w:eastAsia="Calibri" w:hAnsi="Arial"/>
                <w:sz w:val="20"/>
                <w:szCs w:val="20"/>
                <w:lang w:eastAsia="en-US"/>
              </w:rPr>
              <w:t xml:space="preserve">1,09051   </w:t>
            </w:r>
          </w:p>
        </w:tc>
      </w:tr>
      <w:tr w:rsidR="002D5BE3" w:rsidRPr="002D5BE3" w:rsidTr="00234B1A">
        <w:tc>
          <w:tcPr>
            <w:tcW w:w="675" w:type="dxa"/>
            <w:shd w:val="clear" w:color="auto" w:fill="auto"/>
          </w:tcPr>
          <w:p w:rsidR="002D5BE3" w:rsidRPr="002D5BE3" w:rsidRDefault="002D5BE3" w:rsidP="002D5BE3">
            <w:pPr>
              <w:suppressAutoHyphens w:val="0"/>
              <w:spacing w:after="200" w:line="276" w:lineRule="auto"/>
              <w:rPr>
                <w:rFonts w:ascii="Arial" w:eastAsia="Calibri" w:hAnsi="Arial"/>
                <w:sz w:val="20"/>
                <w:szCs w:val="20"/>
                <w:lang w:eastAsia="en-US"/>
              </w:rPr>
            </w:pPr>
            <w:r w:rsidRPr="002D5BE3">
              <w:rPr>
                <w:rFonts w:ascii="Arial" w:eastAsia="Calibri" w:hAnsi="Arial"/>
                <w:sz w:val="20"/>
                <w:szCs w:val="20"/>
                <w:lang w:eastAsia="en-US"/>
              </w:rPr>
              <w:t>5.</w:t>
            </w:r>
          </w:p>
        </w:tc>
        <w:tc>
          <w:tcPr>
            <w:tcW w:w="3686" w:type="dxa"/>
            <w:shd w:val="clear" w:color="auto" w:fill="auto"/>
          </w:tcPr>
          <w:p w:rsidR="002D5BE3" w:rsidRPr="002D5BE3" w:rsidRDefault="002D5BE3" w:rsidP="002D5BE3">
            <w:pPr>
              <w:suppressAutoHyphens w:val="0"/>
              <w:spacing w:after="200" w:line="276" w:lineRule="auto"/>
              <w:rPr>
                <w:rFonts w:ascii="Arial" w:eastAsia="Calibri" w:hAnsi="Arial"/>
                <w:sz w:val="20"/>
                <w:szCs w:val="20"/>
                <w:lang w:eastAsia="en-US"/>
              </w:rPr>
            </w:pPr>
            <w:r w:rsidRPr="002D5BE3">
              <w:rPr>
                <w:rFonts w:ascii="Arial" w:eastAsia="Calibri" w:hAnsi="Arial"/>
                <w:sz w:val="20"/>
                <w:szCs w:val="20"/>
                <w:lang w:eastAsia="en-US"/>
              </w:rPr>
              <w:t xml:space="preserve">VN T &lt; 2500 – </w:t>
            </w:r>
            <w:proofErr w:type="spellStart"/>
            <w:r w:rsidRPr="002D5BE3">
              <w:rPr>
                <w:rFonts w:ascii="Arial" w:eastAsia="Calibri" w:hAnsi="Arial"/>
                <w:sz w:val="20"/>
                <w:szCs w:val="20"/>
                <w:lang w:eastAsia="en-US"/>
              </w:rPr>
              <w:t>PR.OMR</w:t>
            </w:r>
            <w:proofErr w:type="spellEnd"/>
            <w:r w:rsidRPr="002D5BE3">
              <w:rPr>
                <w:rFonts w:ascii="Arial" w:eastAsia="Calibri" w:hAnsi="Arial"/>
                <w:sz w:val="20"/>
                <w:szCs w:val="20"/>
                <w:lang w:eastAsia="en-US"/>
              </w:rPr>
              <w:t xml:space="preserve">     </w:t>
            </w:r>
          </w:p>
        </w:tc>
        <w:tc>
          <w:tcPr>
            <w:tcW w:w="4111" w:type="dxa"/>
            <w:shd w:val="clear" w:color="auto" w:fill="auto"/>
          </w:tcPr>
          <w:p w:rsidR="002D5BE3" w:rsidRPr="002D5BE3" w:rsidRDefault="002D5BE3" w:rsidP="002D5BE3">
            <w:pPr>
              <w:suppressAutoHyphens w:val="0"/>
              <w:spacing w:after="200" w:line="276" w:lineRule="auto"/>
              <w:jc w:val="center"/>
              <w:rPr>
                <w:rFonts w:ascii="Arial" w:eastAsia="Calibri" w:hAnsi="Arial"/>
                <w:sz w:val="20"/>
                <w:szCs w:val="20"/>
                <w:lang w:eastAsia="en-US"/>
              </w:rPr>
            </w:pPr>
            <w:r w:rsidRPr="002D5BE3">
              <w:rPr>
                <w:rFonts w:ascii="Arial" w:eastAsia="Calibri" w:hAnsi="Arial"/>
                <w:sz w:val="20"/>
                <w:szCs w:val="20"/>
                <w:lang w:eastAsia="en-US"/>
              </w:rPr>
              <w:t xml:space="preserve">2,53830   </w:t>
            </w:r>
          </w:p>
        </w:tc>
      </w:tr>
      <w:tr w:rsidR="002D5BE3" w:rsidRPr="002D5BE3" w:rsidTr="00234B1A">
        <w:tc>
          <w:tcPr>
            <w:tcW w:w="675" w:type="dxa"/>
            <w:shd w:val="clear" w:color="auto" w:fill="auto"/>
          </w:tcPr>
          <w:p w:rsidR="002D5BE3" w:rsidRPr="002D5BE3" w:rsidRDefault="002D5BE3" w:rsidP="002D5BE3">
            <w:pPr>
              <w:suppressAutoHyphens w:val="0"/>
              <w:spacing w:after="200" w:line="276" w:lineRule="auto"/>
              <w:rPr>
                <w:rFonts w:ascii="Arial" w:eastAsia="Calibri" w:hAnsi="Arial"/>
                <w:sz w:val="20"/>
                <w:szCs w:val="20"/>
                <w:lang w:eastAsia="en-US"/>
              </w:rPr>
            </w:pPr>
            <w:r w:rsidRPr="002D5BE3">
              <w:rPr>
                <w:rFonts w:ascii="Arial" w:eastAsia="Calibri" w:hAnsi="Arial"/>
                <w:sz w:val="20"/>
                <w:szCs w:val="20"/>
                <w:lang w:eastAsia="en-US"/>
              </w:rPr>
              <w:t>6.</w:t>
            </w:r>
          </w:p>
        </w:tc>
        <w:tc>
          <w:tcPr>
            <w:tcW w:w="3686" w:type="dxa"/>
            <w:shd w:val="clear" w:color="auto" w:fill="auto"/>
          </w:tcPr>
          <w:p w:rsidR="002D5BE3" w:rsidRPr="002D5BE3" w:rsidRDefault="002D5BE3" w:rsidP="002D5BE3">
            <w:pPr>
              <w:suppressAutoHyphens w:val="0"/>
              <w:spacing w:after="200" w:line="276" w:lineRule="auto"/>
              <w:rPr>
                <w:rFonts w:ascii="Arial" w:eastAsia="Calibri" w:hAnsi="Arial"/>
                <w:sz w:val="20"/>
                <w:szCs w:val="20"/>
                <w:lang w:eastAsia="en-US"/>
              </w:rPr>
            </w:pPr>
            <w:r w:rsidRPr="002D5BE3">
              <w:rPr>
                <w:rFonts w:ascii="Arial" w:eastAsia="Calibri" w:hAnsi="Arial"/>
                <w:sz w:val="20"/>
                <w:szCs w:val="20"/>
                <w:lang w:eastAsia="en-US"/>
              </w:rPr>
              <w:t xml:space="preserve">VN T &lt; 2500 – </w:t>
            </w:r>
            <w:proofErr w:type="spellStart"/>
            <w:r w:rsidRPr="002D5BE3">
              <w:rPr>
                <w:rFonts w:ascii="Arial" w:eastAsia="Calibri" w:hAnsi="Arial"/>
                <w:sz w:val="20"/>
                <w:szCs w:val="20"/>
                <w:lang w:eastAsia="en-US"/>
              </w:rPr>
              <w:t>DIS.OMR</w:t>
            </w:r>
            <w:proofErr w:type="spellEnd"/>
          </w:p>
        </w:tc>
        <w:tc>
          <w:tcPr>
            <w:tcW w:w="4111" w:type="dxa"/>
            <w:shd w:val="clear" w:color="auto" w:fill="auto"/>
          </w:tcPr>
          <w:p w:rsidR="002D5BE3" w:rsidRPr="002D5BE3" w:rsidRDefault="002D5BE3" w:rsidP="002D5BE3">
            <w:pPr>
              <w:suppressAutoHyphens w:val="0"/>
              <w:spacing w:after="200" w:line="276" w:lineRule="auto"/>
              <w:jc w:val="center"/>
              <w:rPr>
                <w:rFonts w:ascii="Arial" w:eastAsia="Calibri" w:hAnsi="Arial"/>
                <w:sz w:val="20"/>
                <w:szCs w:val="20"/>
                <w:lang w:eastAsia="en-US"/>
              </w:rPr>
            </w:pPr>
            <w:r w:rsidRPr="002D5BE3">
              <w:rPr>
                <w:rFonts w:ascii="Arial" w:eastAsia="Calibri" w:hAnsi="Arial"/>
                <w:sz w:val="20"/>
                <w:szCs w:val="20"/>
                <w:lang w:eastAsia="en-US"/>
              </w:rPr>
              <w:t xml:space="preserve">1,60323   </w:t>
            </w:r>
          </w:p>
        </w:tc>
      </w:tr>
      <w:tr w:rsidR="002D5BE3" w:rsidRPr="002D5BE3" w:rsidTr="00234B1A">
        <w:tc>
          <w:tcPr>
            <w:tcW w:w="675" w:type="dxa"/>
            <w:shd w:val="clear" w:color="auto" w:fill="auto"/>
          </w:tcPr>
          <w:p w:rsidR="002D5BE3" w:rsidRPr="002D5BE3" w:rsidRDefault="002D5BE3" w:rsidP="002D5BE3">
            <w:pPr>
              <w:suppressAutoHyphens w:val="0"/>
              <w:spacing w:after="200" w:line="276" w:lineRule="auto"/>
              <w:rPr>
                <w:rFonts w:ascii="Arial" w:eastAsia="Calibri" w:hAnsi="Arial"/>
                <w:sz w:val="20"/>
                <w:szCs w:val="20"/>
                <w:lang w:eastAsia="en-US"/>
              </w:rPr>
            </w:pPr>
            <w:r w:rsidRPr="002D5BE3">
              <w:rPr>
                <w:rFonts w:ascii="Arial" w:eastAsia="Calibri" w:hAnsi="Arial"/>
                <w:sz w:val="20"/>
                <w:szCs w:val="20"/>
                <w:lang w:eastAsia="en-US"/>
              </w:rPr>
              <w:t>7.</w:t>
            </w:r>
          </w:p>
        </w:tc>
        <w:tc>
          <w:tcPr>
            <w:tcW w:w="3686" w:type="dxa"/>
            <w:shd w:val="clear" w:color="auto" w:fill="auto"/>
          </w:tcPr>
          <w:p w:rsidR="002D5BE3" w:rsidRPr="002D5BE3" w:rsidRDefault="002D5BE3" w:rsidP="002D5BE3">
            <w:pPr>
              <w:suppressAutoHyphens w:val="0"/>
              <w:spacing w:after="200" w:line="276" w:lineRule="auto"/>
              <w:rPr>
                <w:rFonts w:ascii="Arial" w:eastAsia="Calibri" w:hAnsi="Arial"/>
                <w:sz w:val="20"/>
                <w:szCs w:val="20"/>
                <w:lang w:eastAsia="en-US"/>
              </w:rPr>
            </w:pPr>
            <w:r w:rsidRPr="002D5BE3">
              <w:rPr>
                <w:rFonts w:ascii="Arial" w:eastAsia="Calibri" w:hAnsi="Arial"/>
                <w:sz w:val="20"/>
                <w:szCs w:val="20"/>
                <w:lang w:eastAsia="en-US"/>
              </w:rPr>
              <w:t>SN zbiralke T &gt; / = 2500</w:t>
            </w:r>
          </w:p>
        </w:tc>
        <w:tc>
          <w:tcPr>
            <w:tcW w:w="4111" w:type="dxa"/>
            <w:shd w:val="clear" w:color="auto" w:fill="auto"/>
          </w:tcPr>
          <w:p w:rsidR="002D5BE3" w:rsidRPr="002D5BE3" w:rsidRDefault="002D5BE3" w:rsidP="002D5BE3">
            <w:pPr>
              <w:suppressAutoHyphens w:val="0"/>
              <w:spacing w:after="200" w:line="276" w:lineRule="auto"/>
              <w:jc w:val="center"/>
              <w:rPr>
                <w:rFonts w:ascii="Arial" w:eastAsia="Calibri" w:hAnsi="Arial"/>
                <w:sz w:val="20"/>
                <w:szCs w:val="20"/>
                <w:lang w:eastAsia="en-US"/>
              </w:rPr>
            </w:pPr>
            <w:r w:rsidRPr="002D5BE3">
              <w:rPr>
                <w:rFonts w:ascii="Arial" w:eastAsia="Calibri" w:hAnsi="Arial"/>
                <w:sz w:val="20"/>
                <w:szCs w:val="20"/>
                <w:lang w:eastAsia="en-US"/>
              </w:rPr>
              <w:t xml:space="preserve">2,27953   </w:t>
            </w:r>
          </w:p>
        </w:tc>
      </w:tr>
      <w:tr w:rsidR="002D5BE3" w:rsidRPr="002D5BE3" w:rsidTr="00234B1A">
        <w:tc>
          <w:tcPr>
            <w:tcW w:w="675" w:type="dxa"/>
            <w:shd w:val="clear" w:color="auto" w:fill="auto"/>
          </w:tcPr>
          <w:p w:rsidR="002D5BE3" w:rsidRPr="002D5BE3" w:rsidRDefault="002D5BE3" w:rsidP="002D5BE3">
            <w:pPr>
              <w:suppressAutoHyphens w:val="0"/>
              <w:spacing w:after="200" w:line="276" w:lineRule="auto"/>
              <w:rPr>
                <w:rFonts w:ascii="Arial" w:eastAsia="Calibri" w:hAnsi="Arial"/>
                <w:sz w:val="20"/>
                <w:szCs w:val="20"/>
                <w:lang w:eastAsia="en-US"/>
              </w:rPr>
            </w:pPr>
            <w:r w:rsidRPr="002D5BE3">
              <w:rPr>
                <w:rFonts w:ascii="Arial" w:eastAsia="Calibri" w:hAnsi="Arial"/>
                <w:sz w:val="20"/>
                <w:szCs w:val="20"/>
                <w:lang w:eastAsia="en-US"/>
              </w:rPr>
              <w:t>8.</w:t>
            </w:r>
          </w:p>
        </w:tc>
        <w:tc>
          <w:tcPr>
            <w:tcW w:w="3686" w:type="dxa"/>
            <w:shd w:val="clear" w:color="auto" w:fill="auto"/>
          </w:tcPr>
          <w:p w:rsidR="002D5BE3" w:rsidRPr="002D5BE3" w:rsidRDefault="002D5BE3" w:rsidP="002D5BE3">
            <w:pPr>
              <w:suppressAutoHyphens w:val="0"/>
              <w:spacing w:after="200" w:line="276" w:lineRule="auto"/>
              <w:rPr>
                <w:rFonts w:ascii="Arial" w:eastAsia="Calibri" w:hAnsi="Arial"/>
                <w:sz w:val="20"/>
                <w:szCs w:val="20"/>
                <w:lang w:eastAsia="en-US"/>
              </w:rPr>
            </w:pPr>
            <w:r w:rsidRPr="002D5BE3">
              <w:rPr>
                <w:rFonts w:ascii="Arial" w:eastAsia="Calibri" w:hAnsi="Arial"/>
                <w:sz w:val="20"/>
                <w:szCs w:val="20"/>
                <w:lang w:eastAsia="en-US"/>
              </w:rPr>
              <w:t xml:space="preserve">SN zbiralke T &lt; 2500     </w:t>
            </w:r>
          </w:p>
        </w:tc>
        <w:tc>
          <w:tcPr>
            <w:tcW w:w="4111" w:type="dxa"/>
            <w:shd w:val="clear" w:color="auto" w:fill="auto"/>
          </w:tcPr>
          <w:p w:rsidR="002D5BE3" w:rsidRPr="002D5BE3" w:rsidRDefault="002D5BE3" w:rsidP="002D5BE3">
            <w:pPr>
              <w:suppressAutoHyphens w:val="0"/>
              <w:spacing w:after="200" w:line="276" w:lineRule="auto"/>
              <w:jc w:val="center"/>
              <w:rPr>
                <w:rFonts w:ascii="Arial" w:eastAsia="Calibri" w:hAnsi="Arial"/>
                <w:sz w:val="20"/>
                <w:szCs w:val="20"/>
                <w:lang w:eastAsia="en-US"/>
              </w:rPr>
            </w:pPr>
            <w:r w:rsidRPr="002D5BE3">
              <w:rPr>
                <w:rFonts w:ascii="Arial" w:eastAsia="Calibri" w:hAnsi="Arial"/>
                <w:sz w:val="20"/>
                <w:szCs w:val="20"/>
                <w:lang w:eastAsia="en-US"/>
              </w:rPr>
              <w:t xml:space="preserve">2,29017   </w:t>
            </w:r>
          </w:p>
        </w:tc>
      </w:tr>
      <w:tr w:rsidR="002D5BE3" w:rsidRPr="002D5BE3" w:rsidTr="00234B1A">
        <w:tc>
          <w:tcPr>
            <w:tcW w:w="675" w:type="dxa"/>
            <w:shd w:val="clear" w:color="auto" w:fill="auto"/>
          </w:tcPr>
          <w:p w:rsidR="002D5BE3" w:rsidRPr="002D5BE3" w:rsidRDefault="002D5BE3" w:rsidP="002D5BE3">
            <w:pPr>
              <w:suppressAutoHyphens w:val="0"/>
              <w:spacing w:after="200" w:line="276" w:lineRule="auto"/>
              <w:rPr>
                <w:rFonts w:ascii="Arial" w:eastAsia="Calibri" w:hAnsi="Arial"/>
                <w:sz w:val="20"/>
                <w:szCs w:val="20"/>
                <w:lang w:eastAsia="en-US"/>
              </w:rPr>
            </w:pPr>
            <w:r w:rsidRPr="002D5BE3">
              <w:rPr>
                <w:rFonts w:ascii="Arial" w:eastAsia="Calibri" w:hAnsi="Arial"/>
                <w:sz w:val="20"/>
                <w:szCs w:val="20"/>
                <w:lang w:eastAsia="en-US"/>
              </w:rPr>
              <w:lastRenderedPageBreak/>
              <w:t>9.</w:t>
            </w:r>
          </w:p>
        </w:tc>
        <w:tc>
          <w:tcPr>
            <w:tcW w:w="3686" w:type="dxa"/>
            <w:shd w:val="clear" w:color="auto" w:fill="auto"/>
          </w:tcPr>
          <w:p w:rsidR="002D5BE3" w:rsidRPr="002D5BE3" w:rsidRDefault="002D5BE3" w:rsidP="002D5BE3">
            <w:pPr>
              <w:suppressAutoHyphens w:val="0"/>
              <w:spacing w:after="200" w:line="276" w:lineRule="auto"/>
              <w:rPr>
                <w:rFonts w:ascii="Arial" w:eastAsia="Calibri" w:hAnsi="Arial"/>
                <w:sz w:val="20"/>
                <w:szCs w:val="20"/>
                <w:lang w:eastAsia="en-US"/>
              </w:rPr>
            </w:pPr>
            <w:r w:rsidRPr="002D5BE3">
              <w:rPr>
                <w:rFonts w:ascii="Arial" w:eastAsia="Calibri" w:hAnsi="Arial"/>
                <w:sz w:val="20"/>
                <w:szCs w:val="20"/>
                <w:lang w:eastAsia="en-US"/>
              </w:rPr>
              <w:t xml:space="preserve">SN T &gt; / = 2500          </w:t>
            </w:r>
          </w:p>
        </w:tc>
        <w:tc>
          <w:tcPr>
            <w:tcW w:w="4111" w:type="dxa"/>
            <w:shd w:val="clear" w:color="auto" w:fill="auto"/>
          </w:tcPr>
          <w:p w:rsidR="002D5BE3" w:rsidRPr="002D5BE3" w:rsidRDefault="002D5BE3" w:rsidP="002D5BE3">
            <w:pPr>
              <w:suppressAutoHyphens w:val="0"/>
              <w:spacing w:after="200" w:line="276" w:lineRule="auto"/>
              <w:jc w:val="center"/>
              <w:rPr>
                <w:rFonts w:ascii="Arial" w:eastAsia="Calibri" w:hAnsi="Arial"/>
                <w:sz w:val="20"/>
                <w:szCs w:val="20"/>
                <w:lang w:eastAsia="en-US"/>
              </w:rPr>
            </w:pPr>
            <w:r w:rsidRPr="002D5BE3">
              <w:rPr>
                <w:rFonts w:ascii="Arial" w:eastAsia="Calibri" w:hAnsi="Arial"/>
                <w:sz w:val="20"/>
                <w:szCs w:val="20"/>
                <w:lang w:eastAsia="en-US"/>
              </w:rPr>
              <w:t xml:space="preserve">1,72379   </w:t>
            </w:r>
          </w:p>
        </w:tc>
      </w:tr>
      <w:tr w:rsidR="002D5BE3" w:rsidRPr="002D5BE3" w:rsidTr="00234B1A">
        <w:tc>
          <w:tcPr>
            <w:tcW w:w="675" w:type="dxa"/>
            <w:shd w:val="clear" w:color="auto" w:fill="auto"/>
          </w:tcPr>
          <w:p w:rsidR="002D5BE3" w:rsidRPr="002D5BE3" w:rsidRDefault="002D5BE3" w:rsidP="002D5BE3">
            <w:pPr>
              <w:suppressAutoHyphens w:val="0"/>
              <w:spacing w:after="200" w:line="276" w:lineRule="auto"/>
              <w:rPr>
                <w:rFonts w:ascii="Arial" w:eastAsia="Calibri" w:hAnsi="Arial"/>
                <w:sz w:val="20"/>
                <w:szCs w:val="20"/>
                <w:lang w:eastAsia="en-US"/>
              </w:rPr>
            </w:pPr>
            <w:r w:rsidRPr="002D5BE3">
              <w:rPr>
                <w:rFonts w:ascii="Arial" w:eastAsia="Calibri" w:hAnsi="Arial"/>
                <w:sz w:val="20"/>
                <w:szCs w:val="20"/>
                <w:lang w:eastAsia="en-US"/>
              </w:rPr>
              <w:t>10.</w:t>
            </w:r>
          </w:p>
        </w:tc>
        <w:tc>
          <w:tcPr>
            <w:tcW w:w="3686" w:type="dxa"/>
            <w:shd w:val="clear" w:color="auto" w:fill="auto"/>
          </w:tcPr>
          <w:p w:rsidR="002D5BE3" w:rsidRPr="002D5BE3" w:rsidRDefault="002D5BE3" w:rsidP="002D5BE3">
            <w:pPr>
              <w:suppressAutoHyphens w:val="0"/>
              <w:spacing w:after="200" w:line="276" w:lineRule="auto"/>
              <w:rPr>
                <w:rFonts w:ascii="Arial" w:eastAsia="Calibri" w:hAnsi="Arial"/>
                <w:sz w:val="20"/>
                <w:szCs w:val="20"/>
                <w:lang w:eastAsia="en-US"/>
              </w:rPr>
            </w:pPr>
            <w:r w:rsidRPr="002D5BE3">
              <w:rPr>
                <w:rFonts w:ascii="Arial" w:eastAsia="Calibri" w:hAnsi="Arial"/>
                <w:sz w:val="20"/>
                <w:szCs w:val="20"/>
                <w:lang w:eastAsia="en-US"/>
              </w:rPr>
              <w:t xml:space="preserve">SN T &lt; 2500              </w:t>
            </w:r>
          </w:p>
        </w:tc>
        <w:tc>
          <w:tcPr>
            <w:tcW w:w="4111" w:type="dxa"/>
            <w:shd w:val="clear" w:color="auto" w:fill="auto"/>
          </w:tcPr>
          <w:p w:rsidR="002D5BE3" w:rsidRPr="002D5BE3" w:rsidRDefault="002D5BE3" w:rsidP="002D5BE3">
            <w:pPr>
              <w:suppressAutoHyphens w:val="0"/>
              <w:spacing w:after="200" w:line="276" w:lineRule="auto"/>
              <w:jc w:val="center"/>
              <w:rPr>
                <w:rFonts w:ascii="Arial" w:eastAsia="Calibri" w:hAnsi="Arial"/>
                <w:sz w:val="20"/>
                <w:szCs w:val="20"/>
                <w:lang w:eastAsia="en-US"/>
              </w:rPr>
            </w:pPr>
            <w:r w:rsidRPr="002D5BE3">
              <w:rPr>
                <w:rFonts w:ascii="Arial" w:eastAsia="Calibri" w:hAnsi="Arial"/>
                <w:sz w:val="20"/>
                <w:szCs w:val="20"/>
                <w:lang w:eastAsia="en-US"/>
              </w:rPr>
              <w:t xml:space="preserve">0,94563   </w:t>
            </w:r>
          </w:p>
        </w:tc>
      </w:tr>
      <w:tr w:rsidR="002D5BE3" w:rsidRPr="002D5BE3" w:rsidTr="00234B1A">
        <w:tc>
          <w:tcPr>
            <w:tcW w:w="675" w:type="dxa"/>
            <w:shd w:val="clear" w:color="auto" w:fill="auto"/>
          </w:tcPr>
          <w:p w:rsidR="002D5BE3" w:rsidRPr="002D5BE3" w:rsidRDefault="002D5BE3" w:rsidP="002D5BE3">
            <w:pPr>
              <w:suppressAutoHyphens w:val="0"/>
              <w:spacing w:after="200" w:line="276" w:lineRule="auto"/>
              <w:rPr>
                <w:rFonts w:ascii="Arial" w:eastAsia="Calibri" w:hAnsi="Arial"/>
                <w:sz w:val="20"/>
                <w:szCs w:val="20"/>
                <w:lang w:eastAsia="en-US"/>
              </w:rPr>
            </w:pPr>
            <w:r w:rsidRPr="002D5BE3">
              <w:rPr>
                <w:rFonts w:ascii="Arial" w:eastAsia="Calibri" w:hAnsi="Arial"/>
                <w:sz w:val="20"/>
                <w:szCs w:val="20"/>
                <w:lang w:eastAsia="en-US"/>
              </w:rPr>
              <w:t>11.</w:t>
            </w:r>
          </w:p>
        </w:tc>
        <w:tc>
          <w:tcPr>
            <w:tcW w:w="3686" w:type="dxa"/>
            <w:shd w:val="clear" w:color="auto" w:fill="auto"/>
          </w:tcPr>
          <w:p w:rsidR="002D5BE3" w:rsidRPr="002D5BE3" w:rsidRDefault="002D5BE3" w:rsidP="002D5BE3">
            <w:pPr>
              <w:suppressAutoHyphens w:val="0"/>
              <w:spacing w:after="200" w:line="276" w:lineRule="auto"/>
              <w:rPr>
                <w:rFonts w:ascii="Arial" w:eastAsia="Calibri" w:hAnsi="Arial"/>
                <w:sz w:val="20"/>
                <w:szCs w:val="20"/>
                <w:lang w:eastAsia="en-US"/>
              </w:rPr>
            </w:pPr>
            <w:r w:rsidRPr="002D5BE3">
              <w:rPr>
                <w:rFonts w:ascii="Arial" w:eastAsia="Calibri" w:hAnsi="Arial"/>
                <w:sz w:val="20"/>
                <w:szCs w:val="20"/>
                <w:lang w:eastAsia="en-US"/>
              </w:rPr>
              <w:t>NN zbiralke T &gt; / = 2500</w:t>
            </w:r>
          </w:p>
        </w:tc>
        <w:tc>
          <w:tcPr>
            <w:tcW w:w="4111" w:type="dxa"/>
            <w:shd w:val="clear" w:color="auto" w:fill="auto"/>
          </w:tcPr>
          <w:p w:rsidR="002D5BE3" w:rsidRPr="002D5BE3" w:rsidRDefault="002D5BE3" w:rsidP="002D5BE3">
            <w:pPr>
              <w:suppressAutoHyphens w:val="0"/>
              <w:spacing w:after="200" w:line="276" w:lineRule="auto"/>
              <w:jc w:val="center"/>
              <w:rPr>
                <w:rFonts w:ascii="Arial" w:eastAsia="Calibri" w:hAnsi="Arial"/>
                <w:sz w:val="20"/>
                <w:szCs w:val="20"/>
                <w:lang w:eastAsia="en-US"/>
              </w:rPr>
            </w:pPr>
            <w:r w:rsidRPr="002D5BE3">
              <w:rPr>
                <w:rFonts w:ascii="Arial" w:eastAsia="Calibri" w:hAnsi="Arial"/>
                <w:sz w:val="20"/>
                <w:szCs w:val="20"/>
                <w:lang w:eastAsia="en-US"/>
              </w:rPr>
              <w:t xml:space="preserve">3,08316   </w:t>
            </w:r>
          </w:p>
        </w:tc>
      </w:tr>
      <w:tr w:rsidR="002D5BE3" w:rsidRPr="002D5BE3" w:rsidTr="00234B1A">
        <w:tc>
          <w:tcPr>
            <w:tcW w:w="675" w:type="dxa"/>
            <w:shd w:val="clear" w:color="auto" w:fill="auto"/>
          </w:tcPr>
          <w:p w:rsidR="002D5BE3" w:rsidRPr="002D5BE3" w:rsidRDefault="002D5BE3" w:rsidP="002D5BE3">
            <w:pPr>
              <w:suppressAutoHyphens w:val="0"/>
              <w:spacing w:after="200" w:line="276" w:lineRule="auto"/>
              <w:rPr>
                <w:rFonts w:ascii="Arial" w:eastAsia="Calibri" w:hAnsi="Arial"/>
                <w:sz w:val="20"/>
                <w:szCs w:val="20"/>
                <w:lang w:eastAsia="en-US"/>
              </w:rPr>
            </w:pPr>
            <w:r w:rsidRPr="002D5BE3">
              <w:rPr>
                <w:rFonts w:ascii="Arial" w:eastAsia="Calibri" w:hAnsi="Arial"/>
                <w:sz w:val="20"/>
                <w:szCs w:val="20"/>
                <w:lang w:eastAsia="en-US"/>
              </w:rPr>
              <w:t>12.</w:t>
            </w:r>
          </w:p>
        </w:tc>
        <w:tc>
          <w:tcPr>
            <w:tcW w:w="3686" w:type="dxa"/>
            <w:shd w:val="clear" w:color="auto" w:fill="auto"/>
          </w:tcPr>
          <w:p w:rsidR="002D5BE3" w:rsidRPr="002D5BE3" w:rsidRDefault="002D5BE3" w:rsidP="002D5BE3">
            <w:pPr>
              <w:suppressAutoHyphens w:val="0"/>
              <w:spacing w:after="200" w:line="276" w:lineRule="auto"/>
              <w:rPr>
                <w:rFonts w:ascii="Arial" w:eastAsia="Calibri" w:hAnsi="Arial"/>
                <w:sz w:val="20"/>
                <w:szCs w:val="20"/>
                <w:lang w:eastAsia="en-US"/>
              </w:rPr>
            </w:pPr>
            <w:r w:rsidRPr="002D5BE3">
              <w:rPr>
                <w:rFonts w:ascii="Arial" w:eastAsia="Calibri" w:hAnsi="Arial"/>
                <w:sz w:val="20"/>
                <w:szCs w:val="20"/>
                <w:lang w:eastAsia="en-US"/>
              </w:rPr>
              <w:t>NN zbiralke T &lt; 2500</w:t>
            </w:r>
          </w:p>
        </w:tc>
        <w:tc>
          <w:tcPr>
            <w:tcW w:w="4111" w:type="dxa"/>
            <w:shd w:val="clear" w:color="auto" w:fill="auto"/>
          </w:tcPr>
          <w:p w:rsidR="002D5BE3" w:rsidRPr="002D5BE3" w:rsidRDefault="002D5BE3" w:rsidP="002D5BE3">
            <w:pPr>
              <w:suppressAutoHyphens w:val="0"/>
              <w:spacing w:after="200" w:line="276" w:lineRule="auto"/>
              <w:jc w:val="center"/>
              <w:rPr>
                <w:rFonts w:ascii="Arial" w:eastAsia="Calibri" w:hAnsi="Arial"/>
                <w:sz w:val="20"/>
                <w:szCs w:val="20"/>
                <w:lang w:eastAsia="en-US"/>
              </w:rPr>
            </w:pPr>
            <w:r w:rsidRPr="002D5BE3">
              <w:rPr>
                <w:rFonts w:ascii="Arial" w:eastAsia="Calibri" w:hAnsi="Arial"/>
                <w:sz w:val="20"/>
                <w:szCs w:val="20"/>
                <w:lang w:eastAsia="en-US"/>
              </w:rPr>
              <w:t xml:space="preserve">1,81535   </w:t>
            </w:r>
          </w:p>
        </w:tc>
      </w:tr>
      <w:tr w:rsidR="002D5BE3" w:rsidRPr="002D5BE3" w:rsidTr="00234B1A">
        <w:tc>
          <w:tcPr>
            <w:tcW w:w="675" w:type="dxa"/>
            <w:shd w:val="clear" w:color="auto" w:fill="auto"/>
          </w:tcPr>
          <w:p w:rsidR="002D5BE3" w:rsidRPr="002D5BE3" w:rsidRDefault="002D5BE3" w:rsidP="002D5BE3">
            <w:pPr>
              <w:suppressAutoHyphens w:val="0"/>
              <w:spacing w:after="200" w:line="276" w:lineRule="auto"/>
              <w:rPr>
                <w:rFonts w:ascii="Arial" w:eastAsia="Calibri" w:hAnsi="Arial"/>
                <w:sz w:val="20"/>
                <w:szCs w:val="20"/>
                <w:lang w:eastAsia="en-US"/>
              </w:rPr>
            </w:pPr>
            <w:r w:rsidRPr="002D5BE3">
              <w:rPr>
                <w:rFonts w:ascii="Arial" w:eastAsia="Calibri" w:hAnsi="Arial"/>
                <w:sz w:val="20"/>
                <w:szCs w:val="20"/>
                <w:lang w:eastAsia="en-US"/>
              </w:rPr>
              <w:t>13.</w:t>
            </w:r>
          </w:p>
        </w:tc>
        <w:tc>
          <w:tcPr>
            <w:tcW w:w="3686" w:type="dxa"/>
            <w:shd w:val="clear" w:color="auto" w:fill="auto"/>
          </w:tcPr>
          <w:p w:rsidR="002D5BE3" w:rsidRPr="002D5BE3" w:rsidRDefault="002D5BE3" w:rsidP="002D5BE3">
            <w:pPr>
              <w:suppressAutoHyphens w:val="0"/>
              <w:spacing w:after="200" w:line="276" w:lineRule="auto"/>
              <w:rPr>
                <w:rFonts w:ascii="Arial" w:eastAsia="Calibri" w:hAnsi="Arial"/>
                <w:sz w:val="20"/>
                <w:szCs w:val="20"/>
                <w:lang w:eastAsia="en-US"/>
              </w:rPr>
            </w:pPr>
            <w:r w:rsidRPr="002D5BE3">
              <w:rPr>
                <w:rFonts w:ascii="Arial" w:eastAsia="Calibri" w:hAnsi="Arial"/>
                <w:sz w:val="20"/>
                <w:szCs w:val="20"/>
                <w:lang w:eastAsia="en-US"/>
              </w:rPr>
              <w:t>NN T &gt; / = 2500</w:t>
            </w:r>
          </w:p>
        </w:tc>
        <w:tc>
          <w:tcPr>
            <w:tcW w:w="4111" w:type="dxa"/>
            <w:shd w:val="clear" w:color="auto" w:fill="auto"/>
          </w:tcPr>
          <w:p w:rsidR="002D5BE3" w:rsidRPr="002D5BE3" w:rsidRDefault="002D5BE3" w:rsidP="002D5BE3">
            <w:pPr>
              <w:suppressAutoHyphens w:val="0"/>
              <w:spacing w:after="200" w:line="276" w:lineRule="auto"/>
              <w:jc w:val="center"/>
              <w:rPr>
                <w:rFonts w:ascii="Arial" w:eastAsia="Calibri" w:hAnsi="Arial"/>
                <w:sz w:val="20"/>
                <w:szCs w:val="20"/>
                <w:lang w:eastAsia="en-US"/>
              </w:rPr>
            </w:pPr>
            <w:r w:rsidRPr="002D5BE3">
              <w:rPr>
                <w:rFonts w:ascii="Arial" w:eastAsia="Calibri" w:hAnsi="Arial"/>
                <w:sz w:val="20"/>
                <w:szCs w:val="20"/>
                <w:lang w:eastAsia="en-US"/>
              </w:rPr>
              <w:t xml:space="preserve">2,77780   </w:t>
            </w:r>
          </w:p>
        </w:tc>
      </w:tr>
      <w:tr w:rsidR="002D5BE3" w:rsidRPr="002D5BE3" w:rsidTr="00234B1A">
        <w:tc>
          <w:tcPr>
            <w:tcW w:w="675" w:type="dxa"/>
            <w:shd w:val="clear" w:color="auto" w:fill="auto"/>
          </w:tcPr>
          <w:p w:rsidR="002D5BE3" w:rsidRPr="002D5BE3" w:rsidRDefault="002D5BE3" w:rsidP="002D5BE3">
            <w:pPr>
              <w:suppressAutoHyphens w:val="0"/>
              <w:spacing w:after="200" w:line="276" w:lineRule="auto"/>
              <w:rPr>
                <w:rFonts w:ascii="Arial" w:eastAsia="Calibri" w:hAnsi="Arial"/>
                <w:sz w:val="20"/>
                <w:szCs w:val="20"/>
                <w:lang w:eastAsia="en-US"/>
              </w:rPr>
            </w:pPr>
            <w:r w:rsidRPr="002D5BE3">
              <w:rPr>
                <w:rFonts w:ascii="Arial" w:eastAsia="Calibri" w:hAnsi="Arial"/>
                <w:sz w:val="20"/>
                <w:szCs w:val="20"/>
                <w:lang w:eastAsia="en-US"/>
              </w:rPr>
              <w:t>14.</w:t>
            </w:r>
          </w:p>
        </w:tc>
        <w:tc>
          <w:tcPr>
            <w:tcW w:w="3686" w:type="dxa"/>
            <w:shd w:val="clear" w:color="auto" w:fill="auto"/>
          </w:tcPr>
          <w:p w:rsidR="002D5BE3" w:rsidRPr="002D5BE3" w:rsidRDefault="002D5BE3" w:rsidP="002D5BE3">
            <w:pPr>
              <w:suppressAutoHyphens w:val="0"/>
              <w:spacing w:after="200" w:line="276" w:lineRule="auto"/>
              <w:rPr>
                <w:rFonts w:ascii="Arial" w:eastAsia="Calibri" w:hAnsi="Arial"/>
                <w:sz w:val="20"/>
                <w:szCs w:val="20"/>
                <w:lang w:eastAsia="en-US"/>
              </w:rPr>
            </w:pPr>
            <w:r w:rsidRPr="002D5BE3">
              <w:rPr>
                <w:rFonts w:ascii="Arial" w:eastAsia="Calibri" w:hAnsi="Arial"/>
                <w:sz w:val="20"/>
                <w:szCs w:val="20"/>
                <w:lang w:eastAsia="en-US"/>
              </w:rPr>
              <w:t>NN T &lt; 2500</w:t>
            </w:r>
          </w:p>
        </w:tc>
        <w:tc>
          <w:tcPr>
            <w:tcW w:w="4111" w:type="dxa"/>
            <w:shd w:val="clear" w:color="auto" w:fill="auto"/>
          </w:tcPr>
          <w:p w:rsidR="002D5BE3" w:rsidRPr="002D5BE3" w:rsidRDefault="002D5BE3" w:rsidP="002D5BE3">
            <w:pPr>
              <w:suppressAutoHyphens w:val="0"/>
              <w:spacing w:after="200" w:line="276" w:lineRule="auto"/>
              <w:jc w:val="center"/>
              <w:rPr>
                <w:rFonts w:ascii="Arial" w:eastAsia="Calibri" w:hAnsi="Arial"/>
                <w:sz w:val="20"/>
                <w:szCs w:val="20"/>
                <w:lang w:eastAsia="en-US"/>
              </w:rPr>
            </w:pPr>
            <w:r w:rsidRPr="002D5BE3">
              <w:rPr>
                <w:rFonts w:ascii="Arial" w:eastAsia="Calibri" w:hAnsi="Arial"/>
                <w:sz w:val="20"/>
                <w:szCs w:val="20"/>
                <w:lang w:eastAsia="en-US"/>
              </w:rPr>
              <w:t xml:space="preserve">1,46400   </w:t>
            </w:r>
          </w:p>
        </w:tc>
      </w:tr>
      <w:tr w:rsidR="002D5BE3" w:rsidRPr="002D5BE3" w:rsidTr="00234B1A">
        <w:tc>
          <w:tcPr>
            <w:tcW w:w="675" w:type="dxa"/>
            <w:shd w:val="clear" w:color="auto" w:fill="auto"/>
          </w:tcPr>
          <w:p w:rsidR="002D5BE3" w:rsidRPr="002D5BE3" w:rsidRDefault="002D5BE3" w:rsidP="002D5BE3">
            <w:pPr>
              <w:suppressAutoHyphens w:val="0"/>
              <w:spacing w:after="200" w:line="276" w:lineRule="auto"/>
              <w:rPr>
                <w:rFonts w:ascii="Arial" w:eastAsia="Calibri" w:hAnsi="Arial"/>
                <w:sz w:val="20"/>
                <w:szCs w:val="20"/>
                <w:lang w:eastAsia="en-US"/>
              </w:rPr>
            </w:pPr>
            <w:r w:rsidRPr="002D5BE3">
              <w:rPr>
                <w:rFonts w:ascii="Arial" w:eastAsia="Calibri" w:hAnsi="Arial"/>
                <w:sz w:val="20"/>
                <w:szCs w:val="20"/>
                <w:lang w:eastAsia="en-US"/>
              </w:rPr>
              <w:t>15.</w:t>
            </w:r>
          </w:p>
        </w:tc>
        <w:tc>
          <w:tcPr>
            <w:tcW w:w="3686" w:type="dxa"/>
            <w:shd w:val="clear" w:color="auto" w:fill="auto"/>
          </w:tcPr>
          <w:p w:rsidR="002D5BE3" w:rsidRPr="002D5BE3" w:rsidRDefault="002D5BE3" w:rsidP="002D5BE3">
            <w:pPr>
              <w:suppressAutoHyphens w:val="0"/>
              <w:spacing w:after="200" w:line="276" w:lineRule="auto"/>
              <w:rPr>
                <w:rFonts w:ascii="Arial" w:eastAsia="Calibri" w:hAnsi="Arial"/>
                <w:sz w:val="20"/>
                <w:szCs w:val="20"/>
                <w:lang w:eastAsia="en-US"/>
              </w:rPr>
            </w:pPr>
            <w:r w:rsidRPr="002D5BE3">
              <w:rPr>
                <w:rFonts w:ascii="Arial" w:eastAsia="Calibri" w:hAnsi="Arial"/>
                <w:sz w:val="20"/>
                <w:szCs w:val="20"/>
                <w:lang w:eastAsia="en-US"/>
              </w:rPr>
              <w:t xml:space="preserve">NN brez merjenja moči    </w:t>
            </w:r>
          </w:p>
        </w:tc>
        <w:tc>
          <w:tcPr>
            <w:tcW w:w="4111" w:type="dxa"/>
            <w:shd w:val="clear" w:color="auto" w:fill="auto"/>
          </w:tcPr>
          <w:p w:rsidR="002D5BE3" w:rsidRPr="002D5BE3" w:rsidRDefault="002D5BE3" w:rsidP="002D5BE3">
            <w:pPr>
              <w:suppressAutoHyphens w:val="0"/>
              <w:spacing w:after="200" w:line="276" w:lineRule="auto"/>
              <w:jc w:val="center"/>
              <w:rPr>
                <w:rFonts w:ascii="Arial" w:eastAsia="Calibri" w:hAnsi="Arial"/>
                <w:sz w:val="20"/>
                <w:szCs w:val="20"/>
                <w:lang w:eastAsia="en-US"/>
              </w:rPr>
            </w:pPr>
            <w:r w:rsidRPr="002D5BE3">
              <w:rPr>
                <w:rFonts w:ascii="Arial" w:eastAsia="Calibri" w:hAnsi="Arial"/>
                <w:sz w:val="20"/>
                <w:szCs w:val="20"/>
                <w:lang w:eastAsia="en-US"/>
              </w:rPr>
              <w:t xml:space="preserve">0,66165   </w:t>
            </w:r>
          </w:p>
        </w:tc>
      </w:tr>
      <w:tr w:rsidR="002D5BE3" w:rsidRPr="002D5BE3" w:rsidTr="00234B1A">
        <w:tc>
          <w:tcPr>
            <w:tcW w:w="675" w:type="dxa"/>
            <w:shd w:val="clear" w:color="auto" w:fill="auto"/>
          </w:tcPr>
          <w:p w:rsidR="002D5BE3" w:rsidRPr="002D5BE3" w:rsidRDefault="002D5BE3" w:rsidP="002D5BE3">
            <w:pPr>
              <w:suppressAutoHyphens w:val="0"/>
              <w:spacing w:after="200" w:line="276" w:lineRule="auto"/>
              <w:rPr>
                <w:rFonts w:ascii="Arial" w:eastAsia="Calibri" w:hAnsi="Arial"/>
                <w:sz w:val="20"/>
                <w:szCs w:val="20"/>
                <w:lang w:eastAsia="en-US"/>
              </w:rPr>
            </w:pPr>
            <w:r w:rsidRPr="002D5BE3">
              <w:rPr>
                <w:rFonts w:ascii="Arial" w:eastAsia="Calibri" w:hAnsi="Arial"/>
                <w:sz w:val="20"/>
                <w:szCs w:val="20"/>
                <w:lang w:eastAsia="en-US"/>
              </w:rPr>
              <w:t>16.</w:t>
            </w:r>
          </w:p>
        </w:tc>
        <w:tc>
          <w:tcPr>
            <w:tcW w:w="3686" w:type="dxa"/>
            <w:shd w:val="clear" w:color="auto" w:fill="auto"/>
          </w:tcPr>
          <w:p w:rsidR="002D5BE3" w:rsidRPr="002D5BE3" w:rsidRDefault="002D5BE3" w:rsidP="002D5BE3">
            <w:pPr>
              <w:suppressAutoHyphens w:val="0"/>
              <w:spacing w:after="200" w:line="276" w:lineRule="auto"/>
              <w:rPr>
                <w:rFonts w:ascii="Arial" w:eastAsia="Calibri" w:hAnsi="Arial"/>
                <w:sz w:val="20"/>
                <w:szCs w:val="20"/>
                <w:lang w:eastAsia="en-US"/>
              </w:rPr>
            </w:pPr>
            <w:r w:rsidRPr="002D5BE3">
              <w:rPr>
                <w:rFonts w:ascii="Arial" w:eastAsia="Calibri" w:hAnsi="Arial"/>
                <w:sz w:val="20"/>
                <w:szCs w:val="20"/>
                <w:lang w:eastAsia="en-US"/>
              </w:rPr>
              <w:t>Gospodinjstva</w:t>
            </w:r>
          </w:p>
        </w:tc>
        <w:tc>
          <w:tcPr>
            <w:tcW w:w="4111" w:type="dxa"/>
            <w:shd w:val="clear" w:color="auto" w:fill="auto"/>
          </w:tcPr>
          <w:p w:rsidR="002D5BE3" w:rsidRPr="002D5BE3" w:rsidRDefault="002D5BE3" w:rsidP="002D5BE3">
            <w:pPr>
              <w:suppressAutoHyphens w:val="0"/>
              <w:spacing w:after="200" w:line="276" w:lineRule="auto"/>
              <w:jc w:val="center"/>
              <w:rPr>
                <w:rFonts w:ascii="Arial" w:eastAsia="Calibri" w:hAnsi="Arial"/>
                <w:sz w:val="20"/>
                <w:szCs w:val="20"/>
                <w:lang w:eastAsia="en-US"/>
              </w:rPr>
            </w:pPr>
            <w:r w:rsidRPr="002D5BE3">
              <w:rPr>
                <w:rFonts w:ascii="Arial" w:eastAsia="Calibri" w:hAnsi="Arial"/>
                <w:sz w:val="20"/>
                <w:szCs w:val="20"/>
                <w:lang w:eastAsia="en-US"/>
              </w:rPr>
              <w:t xml:space="preserve">0,48101   </w:t>
            </w:r>
          </w:p>
        </w:tc>
      </w:tr>
    </w:tbl>
    <w:p w:rsidR="002D5BE3" w:rsidRPr="002D5BE3" w:rsidRDefault="002D5BE3" w:rsidP="002D5BE3">
      <w:pPr>
        <w:suppressAutoHyphens w:val="0"/>
        <w:spacing w:after="210"/>
        <w:ind w:firstLine="240"/>
        <w:jc w:val="both"/>
        <w:rPr>
          <w:rFonts w:ascii="Arial" w:hAnsi="Arial" w:cs="Arial"/>
          <w:color w:val="333333"/>
          <w:sz w:val="20"/>
          <w:szCs w:val="20"/>
          <w:lang w:eastAsia="sl-SI"/>
        </w:rPr>
      </w:pPr>
    </w:p>
    <w:p w:rsidR="002D5BE3" w:rsidRPr="002D5BE3" w:rsidRDefault="002D5BE3" w:rsidP="002D5BE3">
      <w:pPr>
        <w:suppressAutoHyphens w:val="0"/>
        <w:spacing w:after="210"/>
        <w:ind w:firstLine="240"/>
        <w:jc w:val="both"/>
        <w:rPr>
          <w:rFonts w:ascii="Arial" w:hAnsi="Arial" w:cs="Arial"/>
          <w:color w:val="333333"/>
          <w:sz w:val="20"/>
          <w:szCs w:val="20"/>
          <w:lang w:eastAsia="sl-SI"/>
        </w:rPr>
      </w:pPr>
      <w:r w:rsidRPr="002D5BE3">
        <w:rPr>
          <w:rFonts w:ascii="Arial" w:hAnsi="Arial" w:cs="Arial"/>
          <w:color w:val="333333"/>
          <w:sz w:val="20"/>
          <w:szCs w:val="20"/>
          <w:lang w:eastAsia="sl-SI"/>
        </w:rPr>
        <w:t>kjer je:</w:t>
      </w:r>
    </w:p>
    <w:p w:rsidR="002D5BE3" w:rsidRPr="002D5BE3" w:rsidRDefault="002D5BE3" w:rsidP="002D5BE3">
      <w:pPr>
        <w:suppressAutoHyphens w:val="0"/>
        <w:spacing w:after="210"/>
        <w:ind w:firstLine="240"/>
        <w:jc w:val="both"/>
        <w:rPr>
          <w:rFonts w:ascii="Arial" w:hAnsi="Arial" w:cs="Arial"/>
          <w:color w:val="333333"/>
          <w:sz w:val="20"/>
          <w:szCs w:val="20"/>
          <w:lang w:eastAsia="sl-SI"/>
        </w:rPr>
      </w:pPr>
      <w:r w:rsidRPr="002D5BE3">
        <w:rPr>
          <w:rFonts w:ascii="Arial" w:hAnsi="Arial" w:cs="Arial"/>
          <w:color w:val="333333"/>
          <w:sz w:val="20"/>
          <w:szCs w:val="20"/>
          <w:lang w:eastAsia="sl-SI"/>
        </w:rPr>
        <w:t>VN – visokonapetostni nivoji nazivnih napetosti 400 kV, 220 kV in 110 kV</w:t>
      </w:r>
    </w:p>
    <w:p w:rsidR="002D5BE3" w:rsidRPr="002D5BE3" w:rsidRDefault="002D5BE3" w:rsidP="002D5BE3">
      <w:pPr>
        <w:suppressAutoHyphens w:val="0"/>
        <w:spacing w:after="210"/>
        <w:ind w:firstLine="240"/>
        <w:jc w:val="both"/>
        <w:rPr>
          <w:rFonts w:ascii="Arial" w:hAnsi="Arial" w:cs="Arial"/>
          <w:color w:val="333333"/>
          <w:sz w:val="20"/>
          <w:szCs w:val="20"/>
          <w:lang w:eastAsia="sl-SI"/>
        </w:rPr>
      </w:pPr>
      <w:r w:rsidRPr="002D5BE3">
        <w:rPr>
          <w:rFonts w:ascii="Arial" w:hAnsi="Arial" w:cs="Arial"/>
          <w:color w:val="333333"/>
          <w:sz w:val="20"/>
          <w:szCs w:val="20"/>
          <w:lang w:eastAsia="sl-SI"/>
        </w:rPr>
        <w:t xml:space="preserve">SN – </w:t>
      </w:r>
      <w:proofErr w:type="spellStart"/>
      <w:r w:rsidRPr="002D5BE3">
        <w:rPr>
          <w:rFonts w:ascii="Arial" w:hAnsi="Arial" w:cs="Arial"/>
          <w:color w:val="333333"/>
          <w:sz w:val="20"/>
          <w:szCs w:val="20"/>
          <w:lang w:eastAsia="sl-SI"/>
        </w:rPr>
        <w:t>srednjenapetostni</w:t>
      </w:r>
      <w:proofErr w:type="spellEnd"/>
      <w:r w:rsidRPr="002D5BE3">
        <w:rPr>
          <w:rFonts w:ascii="Arial" w:hAnsi="Arial" w:cs="Arial"/>
          <w:color w:val="333333"/>
          <w:sz w:val="20"/>
          <w:szCs w:val="20"/>
          <w:lang w:eastAsia="sl-SI"/>
        </w:rPr>
        <w:t xml:space="preserve"> nivoji nazivnih napetosti 35 kV, 20 kV in 10 kV</w:t>
      </w:r>
    </w:p>
    <w:p w:rsidR="002D5BE3" w:rsidRPr="002D5BE3" w:rsidRDefault="002D5BE3" w:rsidP="002D5BE3">
      <w:pPr>
        <w:suppressAutoHyphens w:val="0"/>
        <w:spacing w:after="210"/>
        <w:ind w:firstLine="240"/>
        <w:jc w:val="both"/>
        <w:rPr>
          <w:rFonts w:ascii="Arial" w:hAnsi="Arial" w:cs="Arial"/>
          <w:color w:val="333333"/>
          <w:sz w:val="20"/>
          <w:szCs w:val="20"/>
          <w:lang w:eastAsia="sl-SI"/>
        </w:rPr>
      </w:pPr>
      <w:r w:rsidRPr="002D5BE3">
        <w:rPr>
          <w:rFonts w:ascii="Arial" w:hAnsi="Arial" w:cs="Arial"/>
          <w:color w:val="333333"/>
          <w:sz w:val="20"/>
          <w:szCs w:val="20"/>
          <w:lang w:eastAsia="sl-SI"/>
        </w:rPr>
        <w:t>NN – nizkonapetostni nivo nazivne napetosti 400/230 V</w:t>
      </w:r>
    </w:p>
    <w:p w:rsidR="002D5BE3" w:rsidRPr="002D5BE3" w:rsidRDefault="002D5BE3" w:rsidP="002D5BE3">
      <w:pPr>
        <w:suppressAutoHyphens w:val="0"/>
        <w:spacing w:after="210"/>
        <w:ind w:firstLine="240"/>
        <w:jc w:val="both"/>
        <w:rPr>
          <w:rFonts w:ascii="Arial" w:hAnsi="Arial" w:cs="Arial"/>
          <w:color w:val="333333"/>
          <w:sz w:val="20"/>
          <w:szCs w:val="20"/>
          <w:lang w:eastAsia="sl-SI"/>
        </w:rPr>
      </w:pPr>
      <w:r w:rsidRPr="002D5BE3">
        <w:rPr>
          <w:rFonts w:ascii="Arial" w:hAnsi="Arial" w:cs="Arial"/>
          <w:color w:val="333333"/>
          <w:sz w:val="20"/>
          <w:szCs w:val="20"/>
          <w:lang w:eastAsia="sl-SI"/>
        </w:rPr>
        <w:t>T – letne obratovalne ure</w:t>
      </w:r>
    </w:p>
    <w:p w:rsidR="002D5BE3" w:rsidRPr="002D5BE3" w:rsidRDefault="002D5BE3" w:rsidP="002D5BE3">
      <w:pPr>
        <w:suppressAutoHyphens w:val="0"/>
        <w:spacing w:after="210"/>
        <w:ind w:firstLine="240"/>
        <w:jc w:val="both"/>
        <w:rPr>
          <w:rFonts w:ascii="Arial" w:hAnsi="Arial" w:cs="Arial"/>
          <w:color w:val="333333"/>
          <w:sz w:val="20"/>
          <w:szCs w:val="20"/>
          <w:lang w:eastAsia="sl-SI"/>
        </w:rPr>
      </w:pPr>
      <w:proofErr w:type="spellStart"/>
      <w:r w:rsidRPr="002D5BE3">
        <w:rPr>
          <w:rFonts w:ascii="Arial" w:hAnsi="Arial" w:cs="Arial"/>
          <w:color w:val="333333"/>
          <w:sz w:val="20"/>
          <w:szCs w:val="20"/>
          <w:lang w:eastAsia="sl-SI"/>
        </w:rPr>
        <w:t>PR.OMR</w:t>
      </w:r>
      <w:proofErr w:type="spellEnd"/>
      <w:r w:rsidRPr="002D5BE3">
        <w:rPr>
          <w:rFonts w:ascii="Arial" w:hAnsi="Arial" w:cs="Arial"/>
          <w:color w:val="333333"/>
          <w:sz w:val="20"/>
          <w:szCs w:val="20"/>
          <w:lang w:eastAsia="sl-SI"/>
        </w:rPr>
        <w:t xml:space="preserve"> – prenosno omrežje</w:t>
      </w:r>
    </w:p>
    <w:p w:rsidR="002D5BE3" w:rsidRPr="002D5BE3" w:rsidRDefault="002D5BE3" w:rsidP="002D5BE3">
      <w:pPr>
        <w:suppressAutoHyphens w:val="0"/>
        <w:spacing w:after="210"/>
        <w:ind w:firstLine="240"/>
        <w:jc w:val="both"/>
        <w:rPr>
          <w:rFonts w:ascii="Arial" w:hAnsi="Arial" w:cs="Arial"/>
          <w:color w:val="333333"/>
          <w:sz w:val="20"/>
          <w:szCs w:val="20"/>
          <w:lang w:eastAsia="sl-SI"/>
        </w:rPr>
      </w:pPr>
      <w:r w:rsidRPr="002D5BE3">
        <w:rPr>
          <w:rFonts w:ascii="Arial" w:hAnsi="Arial" w:cs="Arial"/>
          <w:color w:val="333333"/>
          <w:sz w:val="20"/>
          <w:szCs w:val="20"/>
          <w:lang w:eastAsia="sl-SI"/>
        </w:rPr>
        <w:t>DIS. OMR – distribucijsko omrežje</w:t>
      </w: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 xml:space="preserve">(2) </w:t>
      </w:r>
      <w:proofErr w:type="spellStart"/>
      <w:r w:rsidRPr="002D5BE3">
        <w:rPr>
          <w:rFonts w:ascii="Arial" w:hAnsi="Arial" w:cs="Arial"/>
          <w:color w:val="333333"/>
          <w:sz w:val="20"/>
          <w:szCs w:val="20"/>
          <w:lang w:eastAsia="sl-SI"/>
        </w:rPr>
        <w:t>Ponderji</w:t>
      </w:r>
      <w:proofErr w:type="spellEnd"/>
      <w:r w:rsidRPr="002D5BE3">
        <w:rPr>
          <w:rFonts w:ascii="Arial" w:hAnsi="Arial" w:cs="Arial"/>
          <w:color w:val="333333"/>
          <w:sz w:val="20"/>
          <w:szCs w:val="20"/>
          <w:lang w:eastAsia="sl-SI"/>
        </w:rPr>
        <w:t xml:space="preserve"> odjemnih skupin končnih odjemalcev električne energije določajo težo obremenitve posamezne odjemne skupine končnih odjemalcev s prispevkom za zagotavljanje podpor proizvodnje električne energije v </w:t>
      </w:r>
      <w:proofErr w:type="spellStart"/>
      <w:r w:rsidRPr="002D5BE3">
        <w:rPr>
          <w:rFonts w:ascii="Arial" w:hAnsi="Arial" w:cs="Arial"/>
          <w:color w:val="333333"/>
          <w:sz w:val="20"/>
          <w:szCs w:val="20"/>
          <w:lang w:eastAsia="sl-SI"/>
        </w:rPr>
        <w:t>soproizvodnji</w:t>
      </w:r>
      <w:proofErr w:type="spellEnd"/>
      <w:r w:rsidRPr="002D5BE3">
        <w:rPr>
          <w:rFonts w:ascii="Arial" w:hAnsi="Arial" w:cs="Arial"/>
          <w:color w:val="333333"/>
          <w:sz w:val="20"/>
          <w:szCs w:val="20"/>
          <w:lang w:eastAsia="sl-SI"/>
        </w:rPr>
        <w:t xml:space="preserve"> z visokim izkoristkom in iz obnovljivih virov energije. </w:t>
      </w:r>
    </w:p>
    <w:p w:rsidR="002D5BE3" w:rsidRPr="002D5BE3" w:rsidRDefault="002D5BE3" w:rsidP="002D5BE3">
      <w:pPr>
        <w:suppressAutoHyphens w:val="0"/>
        <w:spacing w:after="210"/>
        <w:jc w:val="both"/>
        <w:rPr>
          <w:rFonts w:ascii="Arial" w:hAnsi="Arial" w:cs="Arial"/>
          <w:color w:val="333333"/>
          <w:sz w:val="20"/>
          <w:szCs w:val="20"/>
          <w:lang w:eastAsia="sl-SI"/>
        </w:rPr>
      </w:pPr>
    </w:p>
    <w:p w:rsidR="002D5BE3" w:rsidRPr="002D5BE3" w:rsidRDefault="002D5BE3" w:rsidP="002D5BE3">
      <w:pPr>
        <w:suppressAutoHyphens w:val="0"/>
        <w:spacing w:after="210"/>
        <w:jc w:val="center"/>
        <w:rPr>
          <w:rFonts w:ascii="Arial" w:hAnsi="Arial" w:cs="Arial"/>
          <w:bCs/>
          <w:color w:val="333333"/>
          <w:sz w:val="20"/>
          <w:szCs w:val="20"/>
          <w:lang w:eastAsia="sl-SI"/>
        </w:rPr>
      </w:pPr>
      <w:r w:rsidRPr="002D5BE3">
        <w:rPr>
          <w:rFonts w:ascii="Arial" w:hAnsi="Arial" w:cs="Arial"/>
          <w:bCs/>
          <w:color w:val="333333"/>
          <w:sz w:val="20"/>
          <w:szCs w:val="20"/>
          <w:lang w:eastAsia="sl-SI"/>
        </w:rPr>
        <w:t>7. člen</w:t>
      </w:r>
    </w:p>
    <w:p w:rsidR="002D5BE3" w:rsidRPr="002D5BE3" w:rsidRDefault="002D5BE3" w:rsidP="002D5BE3">
      <w:pPr>
        <w:suppressAutoHyphens w:val="0"/>
        <w:spacing w:after="210"/>
        <w:jc w:val="center"/>
        <w:rPr>
          <w:rFonts w:ascii="Arial" w:hAnsi="Arial" w:cs="Arial"/>
          <w:bCs/>
          <w:color w:val="333333"/>
          <w:sz w:val="20"/>
          <w:szCs w:val="20"/>
          <w:lang w:eastAsia="sl-SI"/>
        </w:rPr>
      </w:pPr>
      <w:r w:rsidRPr="002D5BE3">
        <w:rPr>
          <w:rFonts w:ascii="Arial" w:hAnsi="Arial" w:cs="Arial"/>
          <w:bCs/>
          <w:color w:val="333333"/>
          <w:sz w:val="20"/>
          <w:szCs w:val="20"/>
          <w:lang w:eastAsia="sl-SI"/>
        </w:rPr>
        <w:t>(izračun povprečnega mesečnega prispevka na kW obračunske moči)</w:t>
      </w: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 xml:space="preserve">(1) Mesečni prispevek na kW obračunske moči se določi posebej za vsako odjemno skupino tako, da se zagotovi načrtovana količina sredstev za izvajanje podpor. Odvisen je od povprečnega prispevka na kW obračunske moči in vrednosti </w:t>
      </w:r>
      <w:proofErr w:type="spellStart"/>
      <w:r w:rsidRPr="002D5BE3">
        <w:rPr>
          <w:rFonts w:ascii="Arial" w:hAnsi="Arial" w:cs="Arial"/>
          <w:color w:val="333333"/>
          <w:sz w:val="20"/>
          <w:szCs w:val="20"/>
          <w:lang w:eastAsia="sl-SI"/>
        </w:rPr>
        <w:t>ponderja</w:t>
      </w:r>
      <w:proofErr w:type="spellEnd"/>
      <w:r w:rsidRPr="002D5BE3">
        <w:rPr>
          <w:rFonts w:ascii="Arial" w:hAnsi="Arial" w:cs="Arial"/>
          <w:color w:val="333333"/>
          <w:sz w:val="20"/>
          <w:szCs w:val="20"/>
          <w:lang w:eastAsia="sl-SI"/>
        </w:rPr>
        <w:t xml:space="preserve"> odjemne skupine</w:t>
      </w:r>
      <w:r w:rsidRPr="002D5BE3">
        <w:rPr>
          <w:rFonts w:ascii="Calibri" w:eastAsia="Calibri" w:hAnsi="Calibri"/>
          <w:sz w:val="20"/>
          <w:szCs w:val="20"/>
          <w:lang w:eastAsia="en-US"/>
        </w:rPr>
        <w:t xml:space="preserve"> (</w:t>
      </w:r>
      <w:proofErr w:type="spellStart"/>
      <w:r w:rsidRPr="002D5BE3">
        <w:rPr>
          <w:rFonts w:ascii="Calibri" w:hAnsi="Calibri" w:cs="Arial"/>
          <w:b/>
          <w:color w:val="333333"/>
          <w:sz w:val="20"/>
          <w:szCs w:val="20"/>
          <w:lang w:eastAsia="sl-SI"/>
        </w:rPr>
        <w:t>τ</w:t>
      </w:r>
      <w:r w:rsidRPr="002D5BE3">
        <w:rPr>
          <w:rFonts w:ascii="Arial" w:hAnsi="Arial" w:cs="Arial"/>
          <w:color w:val="333333"/>
          <w:sz w:val="20"/>
          <w:szCs w:val="20"/>
          <w:vertAlign w:val="subscript"/>
          <w:lang w:eastAsia="sl-SI"/>
        </w:rPr>
        <w:t>os</w:t>
      </w:r>
      <w:proofErr w:type="spellEnd"/>
      <w:r w:rsidRPr="002D5BE3">
        <w:rPr>
          <w:rFonts w:ascii="Arial" w:hAnsi="Arial" w:cs="Arial"/>
          <w:color w:val="333333"/>
          <w:sz w:val="20"/>
          <w:szCs w:val="20"/>
          <w:lang w:eastAsia="sl-SI"/>
        </w:rPr>
        <w:t>) ter se izračuna po naslednji enačbi:</w:t>
      </w:r>
    </w:p>
    <w:p w:rsidR="002D5BE3" w:rsidRPr="002D5BE3" w:rsidRDefault="00CE55EE" w:rsidP="002D5BE3">
      <w:pPr>
        <w:suppressAutoHyphens w:val="0"/>
        <w:spacing w:after="210"/>
        <w:jc w:val="both"/>
        <w:rPr>
          <w:rFonts w:ascii="Arial" w:hAnsi="Arial" w:cs="Arial"/>
          <w:color w:val="333333"/>
          <w:sz w:val="20"/>
          <w:szCs w:val="20"/>
          <w:lang w:eastAsia="sl-SI"/>
        </w:rPr>
      </w:pPr>
      <m:oMathPara>
        <m:oMathParaPr>
          <m:jc m:val="left"/>
        </m:oMathParaPr>
        <m:oMath>
          <m:borderBox>
            <m:borderBoxPr>
              <m:ctrlPr>
                <w:rPr>
                  <w:rFonts w:ascii="Cambria Math" w:hAnsi="Cambria Math" w:cs="Arial"/>
                  <w:i/>
                  <w:color w:val="333333"/>
                  <w:lang w:eastAsia="sl-SI"/>
                </w:rPr>
              </m:ctrlPr>
            </m:borderBoxPr>
            <m:e>
              <m:sSub>
                <m:sSubPr>
                  <m:ctrlPr>
                    <w:rPr>
                      <w:rFonts w:ascii="Cambria Math" w:hAnsi="Cambria Math" w:cs="Arial"/>
                      <w:i/>
                      <w:color w:val="333333"/>
                      <w:lang w:eastAsia="sl-SI"/>
                    </w:rPr>
                  </m:ctrlPr>
                </m:sSubPr>
                <m:e>
                  <m:r>
                    <w:rPr>
                      <w:rFonts w:ascii="Cambria Math" w:hAnsi="Cambria Math" w:cs="Arial"/>
                      <w:color w:val="333333"/>
                      <w:lang w:eastAsia="sl-SI"/>
                    </w:rPr>
                    <m:t>p</m:t>
                  </m:r>
                </m:e>
                <m:sub>
                  <m:r>
                    <w:rPr>
                      <w:rFonts w:ascii="Cambria Math" w:hAnsi="Cambria Math" w:cs="Arial"/>
                      <w:color w:val="333333"/>
                      <w:lang w:eastAsia="sl-SI"/>
                    </w:rPr>
                    <m:t>mes</m:t>
                  </m:r>
                </m:sub>
              </m:sSub>
              <m:r>
                <w:rPr>
                  <w:rFonts w:ascii="Cambria Math" w:hAnsi="Cambria Math" w:cs="Arial"/>
                  <w:color w:val="333333"/>
                  <w:lang w:eastAsia="sl-SI"/>
                </w:rPr>
                <m:t>=</m:t>
              </m:r>
              <m:sSub>
                <m:sSubPr>
                  <m:ctrlPr>
                    <w:rPr>
                      <w:rFonts w:ascii="Cambria Math" w:hAnsi="Cambria Math" w:cs="Arial"/>
                      <w:i/>
                      <w:color w:val="333333"/>
                      <w:lang w:eastAsia="sl-SI"/>
                    </w:rPr>
                  </m:ctrlPr>
                </m:sSubPr>
                <m:e>
                  <m:r>
                    <w:rPr>
                      <w:rFonts w:ascii="Cambria Math" w:hAnsi="Cambria Math" w:cs="Arial"/>
                      <w:color w:val="333333"/>
                      <w:lang w:eastAsia="sl-SI"/>
                    </w:rPr>
                    <m:t>p</m:t>
                  </m:r>
                </m:e>
                <m:sub>
                  <m:r>
                    <w:rPr>
                      <w:rFonts w:ascii="Cambria Math" w:hAnsi="Cambria Math" w:cs="Arial"/>
                      <w:color w:val="333333"/>
                      <w:lang w:eastAsia="sl-SI"/>
                    </w:rPr>
                    <m:t>pov</m:t>
                  </m:r>
                </m:sub>
              </m:sSub>
              <m:r>
                <w:rPr>
                  <w:rFonts w:ascii="Cambria Math" w:hAnsi="Cambria Math" w:cs="Arial"/>
                  <w:color w:val="333333"/>
                  <w:lang w:eastAsia="sl-SI"/>
                </w:rPr>
                <m:t xml:space="preserve">× </m:t>
              </m:r>
              <m:sSub>
                <m:sSubPr>
                  <m:ctrlPr>
                    <w:rPr>
                      <w:rFonts w:ascii="Cambria Math" w:hAnsi="Cambria Math" w:cs="Arial"/>
                      <w:i/>
                      <w:color w:val="333333"/>
                      <w:lang w:eastAsia="sl-SI"/>
                    </w:rPr>
                  </m:ctrlPr>
                </m:sSubPr>
                <m:e>
                  <m:r>
                    <w:rPr>
                      <w:rFonts w:ascii="Cambria Math" w:hAnsi="Cambria Math" w:cs="Arial"/>
                      <w:color w:val="333333"/>
                      <w:lang w:eastAsia="sl-SI"/>
                    </w:rPr>
                    <m:t>τ</m:t>
                  </m:r>
                </m:e>
                <m:sub>
                  <m:r>
                    <w:rPr>
                      <w:rFonts w:ascii="Cambria Math" w:hAnsi="Cambria Math" w:cs="Arial"/>
                      <w:color w:val="333333"/>
                      <w:lang w:eastAsia="sl-SI"/>
                    </w:rPr>
                    <m:t>ose</m:t>
                  </m:r>
                </m:sub>
              </m:sSub>
            </m:e>
          </m:borderBox>
        </m:oMath>
      </m:oMathPara>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pri čemer je:</w:t>
      </w:r>
    </w:p>
    <w:p w:rsidR="002D5BE3" w:rsidRPr="002D5BE3" w:rsidRDefault="002D5BE3" w:rsidP="002D5BE3">
      <w:pPr>
        <w:suppressAutoHyphens w:val="0"/>
        <w:spacing w:after="210"/>
        <w:jc w:val="both"/>
        <w:rPr>
          <w:rFonts w:ascii="Arial" w:hAnsi="Arial" w:cs="Arial"/>
          <w:color w:val="333333"/>
          <w:sz w:val="20"/>
          <w:szCs w:val="20"/>
          <w:lang w:eastAsia="sl-SI"/>
        </w:rPr>
      </w:pPr>
      <w:proofErr w:type="spellStart"/>
      <w:r w:rsidRPr="002D5BE3">
        <w:rPr>
          <w:rFonts w:ascii="Arial" w:hAnsi="Arial" w:cs="Arial"/>
          <w:i/>
          <w:color w:val="333333"/>
          <w:sz w:val="20"/>
          <w:szCs w:val="20"/>
          <w:lang w:eastAsia="sl-SI"/>
        </w:rPr>
        <w:t>p</w:t>
      </w:r>
      <w:r w:rsidRPr="002D5BE3">
        <w:rPr>
          <w:rFonts w:ascii="Arial" w:hAnsi="Arial" w:cs="Arial"/>
          <w:i/>
          <w:color w:val="333333"/>
          <w:sz w:val="20"/>
          <w:szCs w:val="20"/>
          <w:vertAlign w:val="subscript"/>
          <w:lang w:eastAsia="sl-SI"/>
        </w:rPr>
        <w:t>mes</w:t>
      </w:r>
      <w:proofErr w:type="spellEnd"/>
      <w:r w:rsidRPr="002D5BE3">
        <w:rPr>
          <w:rFonts w:ascii="Arial" w:hAnsi="Arial" w:cs="Arial"/>
          <w:i/>
          <w:color w:val="333333"/>
          <w:sz w:val="20"/>
          <w:szCs w:val="20"/>
          <w:vertAlign w:val="subscript"/>
          <w:lang w:eastAsia="sl-SI"/>
        </w:rPr>
        <w:t xml:space="preserve"> </w:t>
      </w:r>
      <w:r w:rsidRPr="002D5BE3">
        <w:rPr>
          <w:rFonts w:ascii="Arial" w:hAnsi="Arial" w:cs="Arial"/>
          <w:color w:val="333333"/>
          <w:sz w:val="20"/>
          <w:szCs w:val="20"/>
          <w:lang w:eastAsia="sl-SI"/>
        </w:rPr>
        <w:t>…….. mesečni prispevek odjemne skupine na kW obračunske moči</w:t>
      </w:r>
    </w:p>
    <w:p w:rsidR="002D5BE3" w:rsidRPr="002D5BE3" w:rsidRDefault="002D5BE3" w:rsidP="002D5BE3">
      <w:pPr>
        <w:suppressAutoHyphens w:val="0"/>
        <w:spacing w:after="210"/>
        <w:jc w:val="both"/>
        <w:rPr>
          <w:rFonts w:ascii="Arial" w:hAnsi="Arial" w:cs="Arial"/>
          <w:color w:val="333333"/>
          <w:sz w:val="20"/>
          <w:szCs w:val="20"/>
          <w:lang w:eastAsia="sl-SI"/>
        </w:rPr>
      </w:pPr>
      <w:proofErr w:type="spellStart"/>
      <w:r w:rsidRPr="002D5BE3">
        <w:rPr>
          <w:rFonts w:ascii="Arial" w:hAnsi="Arial" w:cs="Arial"/>
          <w:i/>
          <w:color w:val="333333"/>
          <w:sz w:val="20"/>
          <w:szCs w:val="20"/>
          <w:lang w:eastAsia="sl-SI"/>
        </w:rPr>
        <w:t>p</w:t>
      </w:r>
      <w:r w:rsidRPr="002D5BE3">
        <w:rPr>
          <w:rFonts w:ascii="Arial" w:hAnsi="Arial" w:cs="Arial"/>
          <w:i/>
          <w:color w:val="333333"/>
          <w:sz w:val="20"/>
          <w:szCs w:val="20"/>
          <w:vertAlign w:val="subscript"/>
          <w:lang w:eastAsia="sl-SI"/>
        </w:rPr>
        <w:t>pov</w:t>
      </w:r>
      <w:proofErr w:type="spellEnd"/>
      <w:r w:rsidRPr="002D5BE3">
        <w:rPr>
          <w:rFonts w:ascii="Arial" w:hAnsi="Arial" w:cs="Arial"/>
          <w:i/>
          <w:color w:val="333333"/>
          <w:sz w:val="20"/>
          <w:szCs w:val="20"/>
          <w:vertAlign w:val="subscript"/>
          <w:lang w:eastAsia="sl-SI"/>
        </w:rPr>
        <w:t xml:space="preserve"> </w:t>
      </w:r>
      <w:r w:rsidRPr="002D5BE3">
        <w:rPr>
          <w:rFonts w:ascii="Arial" w:hAnsi="Arial" w:cs="Arial"/>
          <w:color w:val="333333"/>
          <w:sz w:val="20"/>
          <w:szCs w:val="20"/>
          <w:lang w:eastAsia="sl-SI"/>
        </w:rPr>
        <w:t>……… povprečni prispevek na kW obračunske moči</w:t>
      </w:r>
    </w:p>
    <w:p w:rsidR="002D5BE3" w:rsidRPr="002D5BE3" w:rsidRDefault="002D5BE3" w:rsidP="002D5BE3">
      <w:pPr>
        <w:suppressAutoHyphens w:val="0"/>
        <w:spacing w:after="210"/>
        <w:jc w:val="both"/>
        <w:rPr>
          <w:rFonts w:ascii="Arial" w:hAnsi="Arial" w:cs="Arial"/>
          <w:color w:val="333333"/>
          <w:sz w:val="20"/>
          <w:szCs w:val="20"/>
          <w:lang w:eastAsia="sl-SI"/>
        </w:rPr>
      </w:pPr>
      <w:proofErr w:type="spellStart"/>
      <w:r w:rsidRPr="002D5BE3">
        <w:rPr>
          <w:rFonts w:ascii="Calibri" w:hAnsi="Calibri" w:cs="Arial"/>
          <w:b/>
          <w:color w:val="333333"/>
          <w:sz w:val="20"/>
          <w:szCs w:val="20"/>
          <w:lang w:eastAsia="sl-SI"/>
        </w:rPr>
        <w:t>τ</w:t>
      </w:r>
      <w:r w:rsidRPr="002D5BE3">
        <w:rPr>
          <w:rFonts w:ascii="Arial" w:hAnsi="Arial" w:cs="Arial"/>
          <w:color w:val="333333"/>
          <w:sz w:val="20"/>
          <w:szCs w:val="20"/>
          <w:vertAlign w:val="subscript"/>
          <w:lang w:eastAsia="sl-SI"/>
        </w:rPr>
        <w:t>os</w:t>
      </w:r>
      <w:proofErr w:type="spellEnd"/>
      <w:r w:rsidRPr="002D5BE3">
        <w:rPr>
          <w:rFonts w:ascii="Arial" w:hAnsi="Arial" w:cs="Arial"/>
          <w:color w:val="333333"/>
          <w:sz w:val="20"/>
          <w:szCs w:val="20"/>
          <w:vertAlign w:val="subscript"/>
          <w:lang w:eastAsia="sl-SI"/>
        </w:rPr>
        <w:t xml:space="preserve"> </w:t>
      </w:r>
      <w:r w:rsidRPr="002D5BE3">
        <w:rPr>
          <w:rFonts w:ascii="Arial" w:hAnsi="Arial" w:cs="Arial"/>
          <w:color w:val="333333"/>
          <w:sz w:val="20"/>
          <w:szCs w:val="20"/>
          <w:lang w:eastAsia="sl-SI"/>
        </w:rPr>
        <w:t xml:space="preserve">……….. </w:t>
      </w:r>
      <w:proofErr w:type="spellStart"/>
      <w:r w:rsidRPr="002D5BE3">
        <w:rPr>
          <w:rFonts w:ascii="Arial" w:hAnsi="Arial" w:cs="Arial"/>
          <w:color w:val="333333"/>
          <w:sz w:val="20"/>
          <w:szCs w:val="20"/>
          <w:lang w:eastAsia="sl-SI"/>
        </w:rPr>
        <w:t>ponder</w:t>
      </w:r>
      <w:proofErr w:type="spellEnd"/>
      <w:r w:rsidRPr="002D5BE3">
        <w:rPr>
          <w:rFonts w:ascii="Arial" w:hAnsi="Arial" w:cs="Arial"/>
          <w:color w:val="333333"/>
          <w:sz w:val="20"/>
          <w:szCs w:val="20"/>
          <w:lang w:eastAsia="sl-SI"/>
        </w:rPr>
        <w:t xml:space="preserve"> odjemne skupine</w:t>
      </w:r>
    </w:p>
    <w:p w:rsidR="002D5BE3" w:rsidRPr="002D5BE3" w:rsidRDefault="002D5BE3" w:rsidP="002D5BE3">
      <w:pPr>
        <w:suppressAutoHyphens w:val="0"/>
        <w:spacing w:after="210"/>
        <w:jc w:val="both"/>
        <w:rPr>
          <w:rFonts w:ascii="Arial" w:hAnsi="Arial" w:cs="Arial"/>
          <w:color w:val="333333"/>
          <w:sz w:val="20"/>
          <w:szCs w:val="20"/>
          <w:lang w:eastAsia="sl-SI"/>
        </w:rPr>
      </w:pP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(2) Povprečni prispevek na kW obračunske moči se določi na podlagi načrtovane količine sredstev za izvajanje podpor ter ocene letne obračunske moči po naslednji enačbi:</w:t>
      </w:r>
    </w:p>
    <w:p w:rsidR="002D5BE3" w:rsidRPr="002D5BE3" w:rsidRDefault="00CE55EE" w:rsidP="002D5BE3">
      <w:pPr>
        <w:suppressAutoHyphens w:val="0"/>
        <w:spacing w:after="210"/>
        <w:jc w:val="both"/>
        <w:rPr>
          <w:rFonts w:ascii="Arial" w:hAnsi="Arial" w:cs="Arial"/>
          <w:color w:val="333333"/>
          <w:sz w:val="20"/>
          <w:szCs w:val="20"/>
          <w:lang w:eastAsia="sl-SI"/>
        </w:rPr>
      </w:pPr>
      <m:oMathPara>
        <m:oMathParaPr>
          <m:jc m:val="left"/>
        </m:oMathParaPr>
        <m:oMath>
          <m:borderBox>
            <m:borderBoxPr>
              <m:ctrlPr>
                <w:rPr>
                  <w:rFonts w:ascii="Cambria Math" w:hAnsi="Cambria Math" w:cs="Arial"/>
                  <w:i/>
                  <w:color w:val="333333"/>
                  <w:lang w:eastAsia="sl-SI"/>
                </w:rPr>
              </m:ctrlPr>
            </m:borderBoxPr>
            <m:e>
              <m:sSub>
                <m:sSubPr>
                  <m:ctrlPr>
                    <w:rPr>
                      <w:rFonts w:ascii="Cambria Math" w:hAnsi="Cambria Math" w:cs="Arial"/>
                      <w:i/>
                      <w:color w:val="333333"/>
                      <w:lang w:eastAsia="sl-SI"/>
                    </w:rPr>
                  </m:ctrlPr>
                </m:sSubPr>
                <m:e>
                  <m:r>
                    <w:rPr>
                      <w:rFonts w:ascii="Cambria Math" w:hAnsi="Cambria Math" w:cs="Arial"/>
                      <w:color w:val="333333"/>
                      <w:lang w:eastAsia="sl-SI"/>
                    </w:rPr>
                    <m:t>p</m:t>
                  </m:r>
                </m:e>
                <m:sub>
                  <m:r>
                    <w:rPr>
                      <w:rFonts w:ascii="Cambria Math" w:hAnsi="Cambria Math" w:cs="Arial"/>
                      <w:color w:val="333333"/>
                      <w:lang w:eastAsia="sl-SI"/>
                    </w:rPr>
                    <m:t>pov</m:t>
                  </m:r>
                </m:sub>
              </m:sSub>
              <m:r>
                <w:rPr>
                  <w:rFonts w:ascii="Cambria Math" w:hAnsi="Cambria Math" w:cs="Arial"/>
                  <w:color w:val="333333"/>
                  <w:lang w:eastAsia="sl-SI"/>
                </w:rPr>
                <m:t>=</m:t>
              </m:r>
              <m:f>
                <m:fPr>
                  <m:ctrlPr>
                    <w:rPr>
                      <w:rFonts w:ascii="Cambria Math" w:hAnsi="Cambria Math" w:cs="Arial"/>
                      <w:i/>
                      <w:color w:val="333333"/>
                      <w:lang w:eastAsia="sl-SI"/>
                    </w:rPr>
                  </m:ctrlPr>
                </m:fPr>
                <m:num>
                  <m:sSub>
                    <m:sSubPr>
                      <m:ctrlPr>
                        <w:rPr>
                          <w:rFonts w:ascii="Cambria Math" w:hAnsi="Cambria Math" w:cs="Arial"/>
                          <w:i/>
                          <w:color w:val="333333"/>
                          <w:lang w:eastAsia="sl-SI"/>
                        </w:rPr>
                      </m:ctrlPr>
                    </m:sSubPr>
                    <m:e>
                      <m:r>
                        <w:rPr>
                          <w:rFonts w:ascii="Cambria Math" w:hAnsi="Cambria Math" w:cs="Arial"/>
                          <w:color w:val="333333"/>
                          <w:lang w:eastAsia="sl-SI"/>
                        </w:rPr>
                        <m:t>Sred</m:t>
                      </m:r>
                    </m:e>
                    <m:sub>
                      <m:r>
                        <w:rPr>
                          <w:rFonts w:ascii="Cambria Math" w:hAnsi="Cambria Math" w:cs="Arial"/>
                          <w:color w:val="333333"/>
                          <w:lang w:eastAsia="sl-SI"/>
                        </w:rPr>
                        <m:t>E</m:t>
                      </m:r>
                    </m:sub>
                  </m:sSub>
                </m:num>
                <m:den>
                  <m:nary>
                    <m:naryPr>
                      <m:chr m:val="∑"/>
                      <m:limLoc m:val="undOvr"/>
                      <m:subHide m:val="1"/>
                      <m:supHide m:val="1"/>
                      <m:ctrlPr>
                        <w:rPr>
                          <w:rFonts w:ascii="Cambria Math" w:hAnsi="Cambria Math" w:cs="Arial"/>
                          <w:i/>
                          <w:color w:val="333333"/>
                          <w:lang w:eastAsia="sl-SI"/>
                        </w:rPr>
                      </m:ctrlPr>
                    </m:naryPr>
                    <m:sub/>
                    <m:sup/>
                    <m:e>
                      <m:sSub>
                        <m:sSubPr>
                          <m:ctrlPr>
                            <w:rPr>
                              <w:rFonts w:ascii="Cambria Math" w:hAnsi="Cambria Math" w:cs="Arial"/>
                              <w:i/>
                              <w:color w:val="333333"/>
                              <w:lang w:eastAsia="sl-SI"/>
                            </w:rPr>
                          </m:ctrlPr>
                        </m:sSubPr>
                        <m:e>
                          <m:r>
                            <w:rPr>
                              <w:rFonts w:ascii="Cambria Math" w:hAnsi="Cambria Math" w:cs="Arial"/>
                              <w:color w:val="333333"/>
                              <w:lang w:eastAsia="sl-SI"/>
                            </w:rPr>
                            <m:t>P</m:t>
                          </m:r>
                        </m:e>
                        <m:sub>
                          <m:r>
                            <w:rPr>
                              <w:rFonts w:ascii="Cambria Math" w:hAnsi="Cambria Math" w:cs="Arial"/>
                              <w:color w:val="333333"/>
                              <w:lang w:eastAsia="sl-SI"/>
                            </w:rPr>
                            <m:t>oL</m:t>
                          </m:r>
                        </m:sub>
                      </m:sSub>
                    </m:e>
                  </m:nary>
                </m:den>
              </m:f>
            </m:e>
          </m:borderBox>
        </m:oMath>
      </m:oMathPara>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pri čemer je:</w:t>
      </w:r>
    </w:p>
    <w:p w:rsidR="002D5BE3" w:rsidRPr="002D5BE3" w:rsidRDefault="002D5BE3" w:rsidP="002D5BE3">
      <w:pPr>
        <w:suppressAutoHyphens w:val="0"/>
        <w:spacing w:after="210"/>
        <w:jc w:val="both"/>
        <w:rPr>
          <w:rFonts w:ascii="Arial" w:hAnsi="Arial" w:cs="Arial"/>
          <w:color w:val="333333"/>
          <w:sz w:val="20"/>
          <w:szCs w:val="20"/>
          <w:lang w:eastAsia="sl-SI"/>
        </w:rPr>
      </w:pPr>
      <w:proofErr w:type="spellStart"/>
      <w:r w:rsidRPr="002D5BE3">
        <w:rPr>
          <w:rFonts w:ascii="Arial" w:hAnsi="Arial" w:cs="Arial"/>
          <w:i/>
          <w:color w:val="333333"/>
          <w:sz w:val="20"/>
          <w:szCs w:val="20"/>
          <w:lang w:eastAsia="sl-SI"/>
        </w:rPr>
        <w:t>Sred</w:t>
      </w:r>
      <w:r w:rsidRPr="002D5BE3">
        <w:rPr>
          <w:rFonts w:ascii="Arial" w:hAnsi="Arial" w:cs="Arial"/>
          <w:i/>
          <w:color w:val="333333"/>
          <w:sz w:val="20"/>
          <w:szCs w:val="20"/>
          <w:vertAlign w:val="subscript"/>
          <w:lang w:eastAsia="sl-SI"/>
        </w:rPr>
        <w:t>E</w:t>
      </w:r>
      <w:proofErr w:type="spellEnd"/>
      <w:r w:rsidRPr="002D5BE3">
        <w:rPr>
          <w:rFonts w:ascii="Arial" w:hAnsi="Arial" w:cs="Arial"/>
          <w:i/>
          <w:color w:val="333333"/>
          <w:sz w:val="20"/>
          <w:szCs w:val="20"/>
          <w:vertAlign w:val="subscript"/>
          <w:lang w:eastAsia="sl-SI"/>
        </w:rPr>
        <w:t xml:space="preserve">  </w:t>
      </w:r>
      <w:r w:rsidRPr="002D5BE3">
        <w:rPr>
          <w:rFonts w:ascii="Arial" w:hAnsi="Arial" w:cs="Arial"/>
          <w:i/>
          <w:color w:val="333333"/>
          <w:sz w:val="20"/>
          <w:szCs w:val="20"/>
          <w:lang w:eastAsia="sl-SI"/>
        </w:rPr>
        <w:t xml:space="preserve">........  </w:t>
      </w:r>
      <w:r w:rsidRPr="002D5BE3">
        <w:rPr>
          <w:rFonts w:ascii="Arial" w:hAnsi="Arial" w:cs="Arial"/>
          <w:color w:val="333333"/>
          <w:sz w:val="20"/>
          <w:szCs w:val="20"/>
          <w:lang w:eastAsia="sl-SI"/>
        </w:rPr>
        <w:t>načrtovana količina sredstev, ki jo zagotavljajo končni odjemalci električne energije</w:t>
      </w: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w:t>
      </w:r>
      <w:r w:rsidRPr="002D5BE3">
        <w:rPr>
          <w:rFonts w:ascii="Arial" w:hAnsi="Arial" w:cs="Arial"/>
          <w:i/>
          <w:color w:val="333333"/>
          <w:sz w:val="20"/>
          <w:szCs w:val="20"/>
          <w:lang w:eastAsia="sl-SI"/>
        </w:rPr>
        <w:t>P</w:t>
      </w:r>
      <w:r w:rsidRPr="002D5BE3">
        <w:rPr>
          <w:rFonts w:ascii="Arial" w:hAnsi="Arial" w:cs="Arial"/>
          <w:i/>
          <w:color w:val="333333"/>
          <w:sz w:val="20"/>
          <w:szCs w:val="20"/>
          <w:vertAlign w:val="subscript"/>
          <w:lang w:eastAsia="sl-SI"/>
        </w:rPr>
        <w:t xml:space="preserve">oL  </w:t>
      </w:r>
      <w:r w:rsidRPr="002D5BE3">
        <w:rPr>
          <w:rFonts w:ascii="Arial" w:hAnsi="Arial" w:cs="Arial"/>
          <w:color w:val="333333"/>
          <w:sz w:val="20"/>
          <w:szCs w:val="20"/>
          <w:lang w:eastAsia="sl-SI"/>
        </w:rPr>
        <w:t>.........  ocenjena letna obračunska moč</w:t>
      </w:r>
    </w:p>
    <w:p w:rsidR="002D5BE3" w:rsidRPr="002D5BE3" w:rsidRDefault="002D5BE3" w:rsidP="002D5BE3">
      <w:pPr>
        <w:suppressAutoHyphens w:val="0"/>
        <w:spacing w:after="210"/>
        <w:jc w:val="both"/>
        <w:rPr>
          <w:rFonts w:ascii="Arial" w:hAnsi="Arial" w:cs="Arial"/>
          <w:color w:val="333333"/>
          <w:sz w:val="20"/>
          <w:szCs w:val="20"/>
          <w:lang w:eastAsia="sl-SI"/>
        </w:rPr>
      </w:pP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(3) Višina povprečnega prispevka na kW obračunske moči (brez DDV) in mesečnega prispevka na kW obračunske moči (brez DDV) za vsako odjemno skupino se zaokroži na 5 (pet) decimalk.</w:t>
      </w:r>
    </w:p>
    <w:p w:rsidR="002D5BE3" w:rsidRPr="002D5BE3" w:rsidRDefault="002D5BE3" w:rsidP="002D5BE3">
      <w:pPr>
        <w:suppressAutoHyphens w:val="0"/>
        <w:rPr>
          <w:rFonts w:ascii="Arial" w:hAnsi="Arial" w:cs="Arial"/>
          <w:sz w:val="20"/>
          <w:szCs w:val="20"/>
          <w:lang w:eastAsia="sl-SI"/>
        </w:rPr>
      </w:pPr>
    </w:p>
    <w:p w:rsidR="002D5BE3" w:rsidRPr="002D5BE3" w:rsidRDefault="002D5BE3" w:rsidP="002D5BE3">
      <w:pPr>
        <w:suppressAutoHyphens w:val="0"/>
        <w:spacing w:after="210"/>
        <w:jc w:val="center"/>
        <w:rPr>
          <w:rFonts w:ascii="Arial" w:hAnsi="Arial" w:cs="Arial"/>
          <w:bCs/>
          <w:color w:val="333333"/>
          <w:sz w:val="20"/>
          <w:szCs w:val="20"/>
          <w:lang w:eastAsia="sl-SI"/>
        </w:rPr>
      </w:pPr>
      <w:r w:rsidRPr="002D5BE3">
        <w:rPr>
          <w:rFonts w:ascii="Arial" w:hAnsi="Arial" w:cs="Arial"/>
          <w:bCs/>
          <w:color w:val="333333"/>
          <w:sz w:val="20"/>
          <w:szCs w:val="20"/>
          <w:lang w:eastAsia="sl-SI"/>
        </w:rPr>
        <w:t>8. člen</w:t>
      </w:r>
    </w:p>
    <w:p w:rsidR="002D5BE3" w:rsidRPr="002D5BE3" w:rsidRDefault="002D5BE3" w:rsidP="002D5BE3">
      <w:pPr>
        <w:suppressAutoHyphens w:val="0"/>
        <w:spacing w:after="210"/>
        <w:jc w:val="center"/>
        <w:rPr>
          <w:rFonts w:ascii="Arial" w:hAnsi="Arial" w:cs="Arial"/>
          <w:bCs/>
          <w:color w:val="333333"/>
          <w:sz w:val="20"/>
          <w:szCs w:val="20"/>
          <w:lang w:eastAsia="sl-SI"/>
        </w:rPr>
      </w:pPr>
      <w:r w:rsidRPr="002D5BE3">
        <w:rPr>
          <w:rFonts w:ascii="Arial" w:hAnsi="Arial" w:cs="Arial"/>
          <w:bCs/>
          <w:color w:val="333333"/>
          <w:sz w:val="20"/>
          <w:szCs w:val="20"/>
          <w:lang w:eastAsia="sl-SI"/>
        </w:rPr>
        <w:t>(obračunavanje mesečnega prispevka končnega odjemalca električne energije)</w:t>
      </w: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(1) Osnova za izračun mesečnega prispevka posameznega končnega odjemalca so podatki o obračunski moči.</w:t>
      </w: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 xml:space="preserve">(2) Za ugotavljanje obračunske moči in plačevanje mesečnega prispevka iz prejšnjega odstavka se smiselno uporabljajo metodologije za obračunavanje </w:t>
      </w:r>
      <w:proofErr w:type="spellStart"/>
      <w:r w:rsidRPr="002D5BE3">
        <w:rPr>
          <w:rFonts w:ascii="Arial" w:hAnsi="Arial" w:cs="Arial"/>
          <w:color w:val="333333"/>
          <w:sz w:val="20"/>
          <w:szCs w:val="20"/>
          <w:lang w:eastAsia="sl-SI"/>
        </w:rPr>
        <w:t>omrežnine</w:t>
      </w:r>
      <w:proofErr w:type="spellEnd"/>
      <w:r w:rsidRPr="002D5BE3">
        <w:rPr>
          <w:rFonts w:ascii="Arial" w:hAnsi="Arial" w:cs="Arial"/>
          <w:color w:val="333333"/>
          <w:sz w:val="20"/>
          <w:szCs w:val="20"/>
          <w:lang w:eastAsia="sl-SI"/>
        </w:rPr>
        <w:t xml:space="preserve"> ter metodologije za določitev </w:t>
      </w:r>
      <w:proofErr w:type="spellStart"/>
      <w:r w:rsidRPr="002D5BE3">
        <w:rPr>
          <w:rFonts w:ascii="Arial" w:hAnsi="Arial" w:cs="Arial"/>
          <w:color w:val="333333"/>
          <w:sz w:val="20"/>
          <w:szCs w:val="20"/>
          <w:lang w:eastAsia="sl-SI"/>
        </w:rPr>
        <w:t>omrežnine</w:t>
      </w:r>
      <w:proofErr w:type="spellEnd"/>
      <w:r w:rsidRPr="002D5BE3">
        <w:rPr>
          <w:rFonts w:ascii="Arial" w:hAnsi="Arial" w:cs="Arial"/>
          <w:color w:val="333333"/>
          <w:sz w:val="20"/>
          <w:szCs w:val="20"/>
          <w:lang w:eastAsia="sl-SI"/>
        </w:rPr>
        <w:t xml:space="preserve"> in kriteriji za ugotavljanje upravičenih stroškov za elektroenergetska omrežja. </w:t>
      </w: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(3) Mesečni prispevek končnega odjemalca je prikazan kot posebna postavka na računu za uporabo omrežja.</w:t>
      </w:r>
    </w:p>
    <w:p w:rsidR="002D5BE3" w:rsidRPr="002D5BE3" w:rsidRDefault="002D5BE3" w:rsidP="002D5BE3">
      <w:pPr>
        <w:suppressAutoHyphens w:val="0"/>
        <w:spacing w:after="210"/>
        <w:jc w:val="both"/>
        <w:rPr>
          <w:rFonts w:ascii="Arial" w:hAnsi="Arial" w:cs="Arial"/>
          <w:color w:val="333333"/>
          <w:sz w:val="20"/>
          <w:szCs w:val="20"/>
          <w:lang w:eastAsia="sl-SI"/>
        </w:rPr>
      </w:pPr>
    </w:p>
    <w:p w:rsidR="002D5BE3" w:rsidRPr="002D5BE3" w:rsidRDefault="002D5BE3" w:rsidP="002D5BE3">
      <w:pPr>
        <w:suppressAutoHyphens w:val="0"/>
        <w:spacing w:after="210"/>
        <w:jc w:val="center"/>
        <w:rPr>
          <w:rFonts w:ascii="Arial" w:hAnsi="Arial" w:cs="Arial"/>
          <w:bCs/>
          <w:color w:val="333333"/>
          <w:sz w:val="20"/>
          <w:szCs w:val="20"/>
          <w:lang w:eastAsia="sl-SI"/>
        </w:rPr>
      </w:pPr>
      <w:r w:rsidRPr="002D5BE3">
        <w:rPr>
          <w:rFonts w:ascii="Arial" w:hAnsi="Arial" w:cs="Arial"/>
          <w:bCs/>
          <w:color w:val="333333"/>
          <w:sz w:val="20"/>
          <w:szCs w:val="20"/>
          <w:lang w:eastAsia="sl-SI"/>
        </w:rPr>
        <w:t>9. člen</w:t>
      </w:r>
    </w:p>
    <w:p w:rsidR="002D5BE3" w:rsidRPr="002D5BE3" w:rsidRDefault="002D5BE3" w:rsidP="002D5BE3">
      <w:pPr>
        <w:suppressAutoHyphens w:val="0"/>
        <w:spacing w:after="210"/>
        <w:jc w:val="center"/>
        <w:rPr>
          <w:rFonts w:ascii="Arial" w:hAnsi="Arial" w:cs="Arial"/>
          <w:bCs/>
          <w:color w:val="333333"/>
          <w:sz w:val="20"/>
          <w:szCs w:val="20"/>
          <w:lang w:eastAsia="sl-SI"/>
        </w:rPr>
      </w:pPr>
      <w:r w:rsidRPr="002D5BE3">
        <w:rPr>
          <w:rFonts w:ascii="Arial" w:hAnsi="Arial" w:cs="Arial"/>
          <w:bCs/>
          <w:color w:val="333333"/>
          <w:sz w:val="20"/>
          <w:szCs w:val="20"/>
          <w:lang w:eastAsia="sl-SI"/>
        </w:rPr>
        <w:t>(</w:t>
      </w:r>
      <w:proofErr w:type="spellStart"/>
      <w:r w:rsidRPr="002D5BE3">
        <w:rPr>
          <w:rFonts w:ascii="Arial" w:hAnsi="Arial" w:cs="Arial"/>
          <w:bCs/>
          <w:color w:val="333333"/>
          <w:sz w:val="20"/>
          <w:szCs w:val="20"/>
          <w:lang w:eastAsia="sl-SI"/>
        </w:rPr>
        <w:t>akontativni</w:t>
      </w:r>
      <w:proofErr w:type="spellEnd"/>
      <w:r w:rsidRPr="002D5BE3">
        <w:rPr>
          <w:rFonts w:ascii="Arial" w:hAnsi="Arial" w:cs="Arial"/>
          <w:bCs/>
          <w:color w:val="333333"/>
          <w:sz w:val="20"/>
          <w:szCs w:val="20"/>
          <w:lang w:eastAsia="sl-SI"/>
        </w:rPr>
        <w:t xml:space="preserve"> računi za prispevek)</w:t>
      </w: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 xml:space="preserve">(1) Center za podpore izstavlja sistemskemu in distribucijskemu operaterju </w:t>
      </w:r>
      <w:proofErr w:type="spellStart"/>
      <w:r w:rsidRPr="002D5BE3">
        <w:rPr>
          <w:rFonts w:ascii="Arial" w:hAnsi="Arial" w:cs="Arial"/>
          <w:color w:val="333333"/>
          <w:sz w:val="20"/>
          <w:szCs w:val="20"/>
          <w:lang w:eastAsia="sl-SI"/>
        </w:rPr>
        <w:t>akontativne</w:t>
      </w:r>
      <w:proofErr w:type="spellEnd"/>
      <w:r w:rsidRPr="002D5BE3">
        <w:rPr>
          <w:rFonts w:ascii="Arial" w:hAnsi="Arial" w:cs="Arial"/>
          <w:color w:val="333333"/>
          <w:sz w:val="20"/>
          <w:szCs w:val="20"/>
          <w:lang w:eastAsia="sl-SI"/>
        </w:rPr>
        <w:t xml:space="preserve"> račune za prispevek za podpore na podlagi podatkov o planskih mesečnih količinah. Sistemski in distribucijski operater pošljeta centru za podpore prve ocene do 30. septembra, dokončne planske podatke, ki so podlaga za izdajo </w:t>
      </w:r>
      <w:proofErr w:type="spellStart"/>
      <w:r w:rsidRPr="002D5BE3">
        <w:rPr>
          <w:rFonts w:ascii="Arial" w:hAnsi="Arial" w:cs="Arial"/>
          <w:color w:val="333333"/>
          <w:sz w:val="20"/>
          <w:szCs w:val="20"/>
          <w:lang w:eastAsia="sl-SI"/>
        </w:rPr>
        <w:t>akontativnih</w:t>
      </w:r>
      <w:proofErr w:type="spellEnd"/>
      <w:r w:rsidRPr="002D5BE3">
        <w:rPr>
          <w:rFonts w:ascii="Arial" w:hAnsi="Arial" w:cs="Arial"/>
          <w:color w:val="333333"/>
          <w:sz w:val="20"/>
          <w:szCs w:val="20"/>
          <w:lang w:eastAsia="sl-SI"/>
        </w:rPr>
        <w:t xml:space="preserve"> računov za naslednje leto, pa do 15. decembra. Center za podpore </w:t>
      </w:r>
      <w:proofErr w:type="spellStart"/>
      <w:r w:rsidRPr="002D5BE3">
        <w:rPr>
          <w:rFonts w:ascii="Arial" w:hAnsi="Arial" w:cs="Arial"/>
          <w:color w:val="333333"/>
          <w:sz w:val="20"/>
          <w:szCs w:val="20"/>
          <w:lang w:eastAsia="sl-SI"/>
        </w:rPr>
        <w:t>akontativne</w:t>
      </w:r>
      <w:proofErr w:type="spellEnd"/>
      <w:r w:rsidRPr="002D5BE3">
        <w:rPr>
          <w:rFonts w:ascii="Arial" w:hAnsi="Arial" w:cs="Arial"/>
          <w:color w:val="333333"/>
          <w:sz w:val="20"/>
          <w:szCs w:val="20"/>
          <w:lang w:eastAsia="sl-SI"/>
        </w:rPr>
        <w:t xml:space="preserve"> račune izdaja do konca obračunskega meseca z rokom plačila 20 dni od izdaje računa. </w:t>
      </w: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 xml:space="preserve">(2) Podatki o obračunani obračunski moči po posameznih kategorijah prevzemno-predajnih mest se pripravijo iz podatkovnih baz sistemskega in distribucijskega operaterja. Sistemski in distribucijski operater zagotovita podatke centru za podpore o obračunani obračunski moči po posamezni kategoriji do 10. (desetega) delovnega dne v tekočem mesecu za pretekli mesec po elektronski in redni pošti. Na podlagi prejetih podatkov o obračunani obračunski moči center za podpore izstavi obračunski </w:t>
      </w:r>
      <w:proofErr w:type="spellStart"/>
      <w:r w:rsidRPr="002D5BE3">
        <w:rPr>
          <w:rFonts w:ascii="Arial" w:hAnsi="Arial" w:cs="Arial"/>
          <w:color w:val="333333"/>
          <w:sz w:val="20"/>
          <w:szCs w:val="20"/>
          <w:lang w:eastAsia="sl-SI"/>
        </w:rPr>
        <w:t>bremepis</w:t>
      </w:r>
      <w:proofErr w:type="spellEnd"/>
      <w:r w:rsidRPr="002D5BE3">
        <w:rPr>
          <w:rFonts w:ascii="Arial" w:hAnsi="Arial" w:cs="Arial"/>
          <w:color w:val="333333"/>
          <w:sz w:val="20"/>
          <w:szCs w:val="20"/>
          <w:lang w:eastAsia="sl-SI"/>
        </w:rPr>
        <w:t xml:space="preserve"> ali dobropis z rokom plačila 18 dni od izdaje. </w:t>
      </w: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 xml:space="preserve">(3) Če med letom </w:t>
      </w:r>
      <w:proofErr w:type="spellStart"/>
      <w:r w:rsidRPr="002D5BE3">
        <w:rPr>
          <w:rFonts w:ascii="Arial" w:hAnsi="Arial" w:cs="Arial"/>
          <w:color w:val="333333"/>
          <w:sz w:val="20"/>
          <w:szCs w:val="20"/>
          <w:lang w:eastAsia="sl-SI"/>
        </w:rPr>
        <w:t>akontativne</w:t>
      </w:r>
      <w:proofErr w:type="spellEnd"/>
      <w:r w:rsidRPr="002D5BE3">
        <w:rPr>
          <w:rFonts w:ascii="Arial" w:hAnsi="Arial" w:cs="Arial"/>
          <w:color w:val="333333"/>
          <w:sz w:val="20"/>
          <w:szCs w:val="20"/>
          <w:lang w:eastAsia="sl-SI"/>
        </w:rPr>
        <w:t xml:space="preserve"> količine odstopajo od dejanskih za več kot 10 %, lahko center za podpore od sistemskega in distribucijskega operaterja zahteva popravek </w:t>
      </w:r>
      <w:proofErr w:type="spellStart"/>
      <w:r w:rsidRPr="002D5BE3">
        <w:rPr>
          <w:rFonts w:ascii="Arial" w:hAnsi="Arial" w:cs="Arial"/>
          <w:color w:val="333333"/>
          <w:sz w:val="20"/>
          <w:szCs w:val="20"/>
          <w:lang w:eastAsia="sl-SI"/>
        </w:rPr>
        <w:t>akontativnih</w:t>
      </w:r>
      <w:proofErr w:type="spellEnd"/>
      <w:r w:rsidRPr="002D5BE3">
        <w:rPr>
          <w:rFonts w:ascii="Arial" w:hAnsi="Arial" w:cs="Arial"/>
          <w:color w:val="333333"/>
          <w:sz w:val="20"/>
          <w:szCs w:val="20"/>
          <w:lang w:eastAsia="sl-SI"/>
        </w:rPr>
        <w:t xml:space="preserve"> količin.</w:t>
      </w:r>
    </w:p>
    <w:p w:rsidR="002D5BE3" w:rsidRPr="002D5BE3" w:rsidRDefault="002D5BE3" w:rsidP="002D5BE3">
      <w:pPr>
        <w:suppressAutoHyphens w:val="0"/>
        <w:spacing w:after="210"/>
        <w:jc w:val="both"/>
        <w:rPr>
          <w:rFonts w:ascii="Arial" w:hAnsi="Arial" w:cs="Arial"/>
          <w:b/>
          <w:bCs/>
          <w:color w:val="333333"/>
          <w:sz w:val="20"/>
          <w:szCs w:val="20"/>
          <w:lang w:eastAsia="sl-SI"/>
        </w:rPr>
      </w:pPr>
    </w:p>
    <w:p w:rsidR="002D5BE3" w:rsidRPr="002D5BE3" w:rsidRDefault="002D5BE3" w:rsidP="002D5BE3">
      <w:pPr>
        <w:suppressAutoHyphens w:val="0"/>
        <w:spacing w:after="210"/>
        <w:jc w:val="center"/>
        <w:rPr>
          <w:rFonts w:ascii="Arial" w:hAnsi="Arial" w:cs="Arial"/>
          <w:b/>
          <w:bCs/>
          <w:color w:val="333333"/>
          <w:sz w:val="20"/>
          <w:szCs w:val="20"/>
          <w:lang w:eastAsia="sl-SI"/>
        </w:rPr>
      </w:pPr>
      <w:r w:rsidRPr="002D5BE3">
        <w:rPr>
          <w:rFonts w:ascii="Arial" w:hAnsi="Arial" w:cs="Arial"/>
          <w:color w:val="333333"/>
          <w:sz w:val="20"/>
          <w:szCs w:val="20"/>
          <w:lang w:eastAsia="sl-SI"/>
        </w:rPr>
        <w:t xml:space="preserve">IV. IZRAČUNAVANJE PRISPEVKA ZA KONČNE ODJEMALCE </w:t>
      </w:r>
      <w:r w:rsidR="002709AE" w:rsidRPr="002D5BE3">
        <w:rPr>
          <w:rFonts w:ascii="Arial" w:hAnsi="Arial" w:cs="Arial"/>
          <w:color w:val="333333"/>
          <w:sz w:val="20"/>
          <w:szCs w:val="20"/>
          <w:lang w:eastAsia="sl-SI"/>
        </w:rPr>
        <w:t xml:space="preserve">DALJINSKE TOPLOTE </w:t>
      </w:r>
      <w:r w:rsidRPr="002D5BE3">
        <w:rPr>
          <w:rFonts w:ascii="Arial" w:hAnsi="Arial" w:cs="Arial"/>
          <w:color w:val="333333"/>
          <w:sz w:val="20"/>
          <w:szCs w:val="20"/>
          <w:lang w:eastAsia="sl-SI"/>
        </w:rPr>
        <w:t xml:space="preserve">IN KUPCE FOSILNIH GORIV </w:t>
      </w:r>
    </w:p>
    <w:p w:rsidR="002D5BE3" w:rsidRPr="002D5BE3" w:rsidRDefault="002D5BE3" w:rsidP="002D5BE3">
      <w:pPr>
        <w:suppressAutoHyphens w:val="0"/>
        <w:spacing w:after="210"/>
        <w:jc w:val="center"/>
        <w:rPr>
          <w:rFonts w:ascii="Arial" w:hAnsi="Arial" w:cs="Arial"/>
          <w:bCs/>
          <w:color w:val="333333"/>
          <w:sz w:val="20"/>
          <w:szCs w:val="20"/>
          <w:lang w:eastAsia="sl-SI"/>
        </w:rPr>
      </w:pPr>
      <w:r w:rsidRPr="002D5BE3">
        <w:rPr>
          <w:rFonts w:ascii="Arial" w:hAnsi="Arial" w:cs="Arial"/>
          <w:bCs/>
          <w:color w:val="333333"/>
          <w:sz w:val="20"/>
          <w:szCs w:val="20"/>
          <w:lang w:eastAsia="sl-SI"/>
        </w:rPr>
        <w:t>10. člen</w:t>
      </w:r>
    </w:p>
    <w:p w:rsidR="002D5BE3" w:rsidRPr="002D5BE3" w:rsidRDefault="002D5BE3" w:rsidP="002D5BE3">
      <w:pPr>
        <w:suppressAutoHyphens w:val="0"/>
        <w:spacing w:after="210"/>
        <w:jc w:val="center"/>
        <w:rPr>
          <w:rFonts w:ascii="Arial" w:hAnsi="Arial" w:cs="Arial"/>
          <w:bCs/>
          <w:color w:val="333333"/>
          <w:sz w:val="20"/>
          <w:szCs w:val="20"/>
          <w:lang w:eastAsia="sl-SI"/>
        </w:rPr>
      </w:pPr>
      <w:r w:rsidRPr="002D5BE3">
        <w:rPr>
          <w:rFonts w:ascii="Arial" w:hAnsi="Arial" w:cs="Arial"/>
          <w:bCs/>
          <w:color w:val="333333"/>
          <w:sz w:val="20"/>
          <w:szCs w:val="20"/>
          <w:lang w:eastAsia="sl-SI"/>
        </w:rPr>
        <w:t>(določanje prispevka na MWh fosilnih goriv in daljinske toplote)</w:t>
      </w: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(1) Prispevek na MWh dobavljene energije od porabe</w:t>
      </w:r>
      <w:r w:rsidRPr="002D5BE3">
        <w:rPr>
          <w:rFonts w:ascii="Calibri" w:eastAsia="Calibri" w:hAnsi="Calibri"/>
          <w:sz w:val="20"/>
          <w:szCs w:val="20"/>
          <w:lang w:eastAsia="en-US"/>
        </w:rPr>
        <w:t xml:space="preserve"> </w:t>
      </w:r>
      <w:r w:rsidRPr="002D5BE3">
        <w:rPr>
          <w:rFonts w:ascii="Arial" w:hAnsi="Arial" w:cs="Arial"/>
          <w:color w:val="333333"/>
          <w:sz w:val="20"/>
          <w:szCs w:val="20"/>
          <w:lang w:eastAsia="sl-SI"/>
        </w:rPr>
        <w:t xml:space="preserve">trdnih in tekočih fosilnih goriv, utekočinjenega naftnega in zemeljskega plina ter daljinske toplote se določi na podlagi zadnjih objavljenih letnih podatkov Statističnega urada Republike Slovenije o skupni porabi te energije, tako da se zagotovi načrtovana količina </w:t>
      </w:r>
      <w:r w:rsidRPr="002D5BE3">
        <w:rPr>
          <w:rFonts w:ascii="Arial" w:hAnsi="Arial" w:cs="Arial"/>
          <w:color w:val="333333"/>
          <w:sz w:val="20"/>
          <w:szCs w:val="20"/>
          <w:lang w:eastAsia="sl-SI"/>
        </w:rPr>
        <w:lastRenderedPageBreak/>
        <w:t>sredstev za izvajanje podpor, ki jo morajo zagotoviti končni odjemalci energije na podlagi letnega načrta za izvajanje podporne sheme. Prispevek na MWh se izračuna po naslednji enačbi:</w:t>
      </w:r>
    </w:p>
    <w:p w:rsidR="002D5BE3" w:rsidRPr="002D5BE3" w:rsidRDefault="00CE55EE" w:rsidP="002D5BE3">
      <w:pPr>
        <w:suppressAutoHyphens w:val="0"/>
        <w:spacing w:after="210"/>
        <w:jc w:val="both"/>
        <w:rPr>
          <w:sz w:val="20"/>
          <w:szCs w:val="20"/>
        </w:rPr>
      </w:pPr>
      <m:oMathPara>
        <m:oMathParaPr>
          <m:jc m:val="left"/>
        </m:oMathParaPr>
        <m:oMath>
          <m:borderBox>
            <m:borderBoxPr>
              <m:ctrlPr>
                <w:rPr>
                  <w:rFonts w:ascii="Cambria Math" w:hAnsi="Cambria Math" w:cs="Arial"/>
                  <w:i/>
                  <w:color w:val="333333"/>
                  <w:lang w:eastAsia="sl-SI"/>
                </w:rPr>
              </m:ctrlPr>
            </m:borderBoxPr>
            <m:e>
              <m:sSub>
                <m:sSubPr>
                  <m:ctrlPr>
                    <w:rPr>
                      <w:rFonts w:ascii="Cambria Math" w:hAnsi="Cambria Math" w:cs="Arial"/>
                      <w:i/>
                      <w:color w:val="333333"/>
                      <w:lang w:eastAsia="sl-SI"/>
                    </w:rPr>
                  </m:ctrlPr>
                </m:sSubPr>
                <m:e>
                  <m:r>
                    <w:rPr>
                      <w:rFonts w:ascii="Cambria Math" w:hAnsi="Cambria Math" w:cs="Arial"/>
                      <w:color w:val="333333"/>
                      <w:lang w:eastAsia="sl-SI"/>
                    </w:rPr>
                    <m:t>p</m:t>
                  </m:r>
                </m:e>
                <m:sub>
                  <m:r>
                    <w:rPr>
                      <w:rFonts w:ascii="Cambria Math" w:hAnsi="Cambria Math" w:cs="Arial"/>
                      <w:color w:val="333333"/>
                      <w:lang w:eastAsia="sl-SI"/>
                    </w:rPr>
                    <m:t>MWh</m:t>
                  </m:r>
                </m:sub>
              </m:sSub>
              <m:r>
                <w:rPr>
                  <w:rFonts w:ascii="Cambria Math" w:hAnsi="Cambria Math" w:cs="Arial"/>
                  <w:color w:val="333333"/>
                  <w:lang w:eastAsia="sl-SI"/>
                </w:rPr>
                <m:t>=</m:t>
              </m:r>
              <m:f>
                <m:fPr>
                  <m:ctrlPr>
                    <w:rPr>
                      <w:rFonts w:ascii="Cambria Math" w:hAnsi="Cambria Math" w:cs="Arial"/>
                      <w:i/>
                      <w:color w:val="333333"/>
                      <w:lang w:eastAsia="sl-SI"/>
                    </w:rPr>
                  </m:ctrlPr>
                </m:fPr>
                <m:num>
                  <m:sSub>
                    <m:sSubPr>
                      <m:ctrlPr>
                        <w:rPr>
                          <w:rFonts w:ascii="Cambria Math" w:hAnsi="Cambria Math" w:cs="Arial"/>
                          <w:i/>
                          <w:color w:val="333333"/>
                          <w:lang w:eastAsia="sl-SI"/>
                        </w:rPr>
                      </m:ctrlPr>
                    </m:sSubPr>
                    <m:e>
                      <m:r>
                        <w:rPr>
                          <w:rFonts w:ascii="Cambria Math" w:hAnsi="Cambria Math" w:cs="Arial"/>
                          <w:color w:val="333333"/>
                          <w:lang w:eastAsia="sl-SI"/>
                        </w:rPr>
                        <m:t>Sred</m:t>
                      </m:r>
                    </m:e>
                    <m:sub>
                      <m:r>
                        <w:rPr>
                          <w:rFonts w:ascii="Cambria Math" w:hAnsi="Cambria Math" w:cs="Arial"/>
                          <w:color w:val="333333"/>
                          <w:lang w:eastAsia="sl-SI"/>
                        </w:rPr>
                        <m:t>F</m:t>
                      </m:r>
                    </m:sub>
                  </m:sSub>
                </m:num>
                <m:den>
                  <m:nary>
                    <m:naryPr>
                      <m:chr m:val="∑"/>
                      <m:limLoc m:val="undOvr"/>
                      <m:subHide m:val="1"/>
                      <m:supHide m:val="1"/>
                      <m:ctrlPr>
                        <w:rPr>
                          <w:rFonts w:ascii="Cambria Math" w:hAnsi="Cambria Math" w:cs="Arial"/>
                          <w:i/>
                          <w:color w:val="333333"/>
                          <w:lang w:eastAsia="sl-SI"/>
                        </w:rPr>
                      </m:ctrlPr>
                    </m:naryPr>
                    <m:sub/>
                    <m:sup/>
                    <m:e>
                      <m:sSub>
                        <m:sSubPr>
                          <m:ctrlPr>
                            <w:rPr>
                              <w:rFonts w:ascii="Cambria Math" w:hAnsi="Cambria Math" w:cs="Arial"/>
                              <w:i/>
                              <w:color w:val="333333"/>
                              <w:lang w:eastAsia="sl-SI"/>
                            </w:rPr>
                          </m:ctrlPr>
                        </m:sSubPr>
                        <m:e>
                          <m:r>
                            <w:rPr>
                              <w:rFonts w:ascii="Cambria Math" w:hAnsi="Cambria Math" w:cs="Arial"/>
                              <w:color w:val="333333"/>
                              <w:lang w:eastAsia="sl-SI"/>
                            </w:rPr>
                            <m:t>W</m:t>
                          </m:r>
                        </m:e>
                        <m:sub>
                          <m:r>
                            <w:rPr>
                              <w:rFonts w:ascii="Cambria Math" w:hAnsi="Cambria Math" w:cs="Arial"/>
                              <w:color w:val="333333"/>
                              <w:lang w:eastAsia="sl-SI"/>
                            </w:rPr>
                            <m:t>oL</m:t>
                          </m:r>
                        </m:sub>
                      </m:sSub>
                    </m:e>
                  </m:nary>
                </m:den>
              </m:f>
            </m:e>
          </m:borderBox>
        </m:oMath>
      </m:oMathPara>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pri čemer je:</w:t>
      </w:r>
    </w:p>
    <w:p w:rsidR="002D5BE3" w:rsidRPr="002D5BE3" w:rsidRDefault="002D5BE3" w:rsidP="002D5BE3">
      <w:pPr>
        <w:suppressAutoHyphens w:val="0"/>
        <w:spacing w:after="210"/>
        <w:jc w:val="both"/>
        <w:rPr>
          <w:rFonts w:ascii="Arial" w:hAnsi="Arial" w:cs="Arial"/>
          <w:color w:val="333333"/>
          <w:sz w:val="20"/>
          <w:szCs w:val="20"/>
          <w:lang w:eastAsia="sl-SI"/>
        </w:rPr>
      </w:pPr>
      <w:proofErr w:type="spellStart"/>
      <w:r w:rsidRPr="002D5BE3">
        <w:rPr>
          <w:rFonts w:ascii="Arial" w:hAnsi="Arial" w:cs="Arial"/>
          <w:i/>
          <w:color w:val="333333"/>
          <w:sz w:val="20"/>
          <w:szCs w:val="20"/>
          <w:lang w:eastAsia="sl-SI"/>
        </w:rPr>
        <w:t>SredF</w:t>
      </w:r>
      <w:proofErr w:type="spellEnd"/>
      <w:r w:rsidRPr="002D5BE3">
        <w:rPr>
          <w:rFonts w:ascii="Arial" w:hAnsi="Arial" w:cs="Arial"/>
          <w:i/>
          <w:color w:val="333333"/>
          <w:sz w:val="20"/>
          <w:szCs w:val="20"/>
          <w:lang w:eastAsia="sl-SI"/>
        </w:rPr>
        <w:t xml:space="preserve">  ........ </w:t>
      </w:r>
      <w:r w:rsidRPr="002D5BE3">
        <w:rPr>
          <w:rFonts w:ascii="Arial" w:hAnsi="Arial" w:cs="Arial"/>
          <w:color w:val="333333"/>
          <w:sz w:val="20"/>
          <w:szCs w:val="20"/>
          <w:lang w:eastAsia="sl-SI"/>
        </w:rPr>
        <w:t>načrtovana količina sredstev</w:t>
      </w: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∑W</w:t>
      </w:r>
      <w:r w:rsidRPr="002D5BE3">
        <w:rPr>
          <w:rFonts w:ascii="Arial" w:hAnsi="Arial" w:cs="Arial"/>
          <w:i/>
          <w:color w:val="333333"/>
          <w:sz w:val="20"/>
          <w:szCs w:val="20"/>
          <w:vertAlign w:val="subscript"/>
          <w:lang w:eastAsia="sl-SI"/>
        </w:rPr>
        <w:t xml:space="preserve">oL  </w:t>
      </w:r>
      <w:r w:rsidRPr="002D5BE3">
        <w:rPr>
          <w:rFonts w:ascii="Arial" w:hAnsi="Arial" w:cs="Arial"/>
          <w:color w:val="333333"/>
          <w:sz w:val="20"/>
          <w:szCs w:val="20"/>
          <w:lang w:eastAsia="sl-SI"/>
        </w:rPr>
        <w:t>......... ocenjena končna letna poraba energije iz trdnih in tekočih fosilnih goriv, utekočinjenega naftnega ter zemeljskega plina in toplote iz omrežja</w:t>
      </w:r>
    </w:p>
    <w:p w:rsidR="002D5BE3" w:rsidRPr="002D5BE3" w:rsidRDefault="002D5BE3" w:rsidP="002D5BE3">
      <w:pPr>
        <w:suppressAutoHyphens w:val="0"/>
        <w:spacing w:after="210"/>
        <w:jc w:val="center"/>
        <w:rPr>
          <w:rFonts w:ascii="Arial" w:hAnsi="Arial" w:cs="Arial"/>
          <w:bCs/>
          <w:color w:val="333333"/>
          <w:sz w:val="20"/>
          <w:szCs w:val="20"/>
          <w:lang w:eastAsia="sl-SI"/>
        </w:rPr>
      </w:pPr>
    </w:p>
    <w:p w:rsidR="002D5BE3" w:rsidRPr="002D5BE3" w:rsidRDefault="002D5BE3" w:rsidP="002D5BE3">
      <w:pPr>
        <w:suppressAutoHyphens w:val="0"/>
        <w:spacing w:after="210"/>
        <w:jc w:val="center"/>
        <w:rPr>
          <w:rFonts w:ascii="Arial" w:hAnsi="Arial" w:cs="Arial"/>
          <w:bCs/>
          <w:color w:val="333333"/>
          <w:sz w:val="20"/>
          <w:szCs w:val="20"/>
          <w:lang w:eastAsia="sl-SI"/>
        </w:rPr>
      </w:pPr>
      <w:r w:rsidRPr="002D5BE3">
        <w:rPr>
          <w:rFonts w:ascii="Arial" w:hAnsi="Arial" w:cs="Arial"/>
          <w:bCs/>
          <w:color w:val="333333"/>
          <w:sz w:val="20"/>
          <w:szCs w:val="20"/>
          <w:lang w:eastAsia="sl-SI"/>
        </w:rPr>
        <w:t>11. člen</w:t>
      </w:r>
    </w:p>
    <w:p w:rsidR="002D5BE3" w:rsidRPr="002D5BE3" w:rsidRDefault="002D5BE3" w:rsidP="002D5BE3">
      <w:pPr>
        <w:suppressAutoHyphens w:val="0"/>
        <w:spacing w:after="210"/>
        <w:jc w:val="center"/>
        <w:rPr>
          <w:rFonts w:ascii="Arial" w:hAnsi="Arial" w:cs="Arial"/>
          <w:bCs/>
          <w:color w:val="333333"/>
          <w:sz w:val="20"/>
          <w:szCs w:val="20"/>
          <w:lang w:eastAsia="sl-SI"/>
        </w:rPr>
      </w:pPr>
      <w:r w:rsidRPr="002D5BE3">
        <w:rPr>
          <w:rFonts w:ascii="Arial" w:hAnsi="Arial" w:cs="Arial"/>
          <w:bCs/>
          <w:color w:val="333333"/>
          <w:sz w:val="20"/>
          <w:szCs w:val="20"/>
          <w:lang w:eastAsia="sl-SI"/>
        </w:rPr>
        <w:t>(izračun prispevka na enoto posameznega goriva)</w:t>
      </w: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bCs/>
          <w:color w:val="333333"/>
          <w:sz w:val="20"/>
          <w:szCs w:val="20"/>
          <w:lang w:eastAsia="sl-SI"/>
        </w:rPr>
        <w:t>(1)</w:t>
      </w:r>
      <w:r w:rsidRPr="002D5BE3">
        <w:rPr>
          <w:rFonts w:ascii="Arial" w:hAnsi="Arial" w:cs="Arial"/>
          <w:b/>
          <w:bCs/>
          <w:color w:val="333333"/>
          <w:sz w:val="20"/>
          <w:szCs w:val="20"/>
          <w:lang w:eastAsia="sl-SI"/>
        </w:rPr>
        <w:t xml:space="preserve"> </w:t>
      </w:r>
      <w:r w:rsidRPr="002D5BE3">
        <w:rPr>
          <w:rFonts w:ascii="Arial" w:hAnsi="Arial" w:cs="Arial"/>
          <w:bCs/>
          <w:color w:val="333333"/>
          <w:sz w:val="20"/>
          <w:szCs w:val="20"/>
          <w:lang w:eastAsia="sl-SI"/>
        </w:rPr>
        <w:t>Za</w:t>
      </w:r>
      <w:r w:rsidRPr="002D5BE3">
        <w:rPr>
          <w:rFonts w:ascii="Arial" w:hAnsi="Arial" w:cs="Arial"/>
          <w:b/>
          <w:bCs/>
          <w:color w:val="333333"/>
          <w:sz w:val="20"/>
          <w:szCs w:val="20"/>
          <w:lang w:eastAsia="sl-SI"/>
        </w:rPr>
        <w:t xml:space="preserve"> </w:t>
      </w:r>
      <w:r w:rsidRPr="002D5BE3">
        <w:rPr>
          <w:rFonts w:ascii="Arial" w:hAnsi="Arial" w:cs="Arial"/>
          <w:color w:val="333333"/>
          <w:sz w:val="20"/>
          <w:szCs w:val="20"/>
          <w:lang w:eastAsia="sl-SI"/>
        </w:rPr>
        <w:t>goriva, ki se ne prodajajo po enotah, izraženih v MWh, se kot osnova za izračun prispevka uporabljajo energijske vrednosti, določene v spodnji tabeli:</w:t>
      </w:r>
    </w:p>
    <w:tbl>
      <w:tblPr>
        <w:tblW w:w="4253" w:type="dxa"/>
        <w:tblInd w:w="70" w:type="dxa"/>
        <w:tblCellMar>
          <w:left w:w="70" w:type="dxa"/>
          <w:right w:w="70" w:type="dxa"/>
        </w:tblCellMar>
        <w:tblLook w:val="04A0" w:firstRow="1" w:lastRow="0" w:firstColumn="1" w:lastColumn="0" w:noHBand="0" w:noVBand="1"/>
      </w:tblPr>
      <w:tblGrid>
        <w:gridCol w:w="2160"/>
        <w:gridCol w:w="975"/>
        <w:gridCol w:w="1610"/>
      </w:tblGrid>
      <w:tr w:rsidR="002D5BE3" w:rsidRPr="002D5BE3" w:rsidTr="00234B1A">
        <w:trPr>
          <w:trHeight w:val="25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BE3" w:rsidRPr="002D5BE3" w:rsidRDefault="002D5BE3" w:rsidP="002D5BE3">
            <w:pPr>
              <w:suppressAutoHyphens w:val="0"/>
              <w:rPr>
                <w:rFonts w:ascii="Arial" w:hAnsi="Arial" w:cs="Arial"/>
                <w:b/>
                <w:bCs/>
                <w:sz w:val="20"/>
                <w:szCs w:val="20"/>
                <w:lang w:eastAsia="sl-SI"/>
              </w:rPr>
            </w:pPr>
            <w:r w:rsidRPr="002D5BE3">
              <w:rPr>
                <w:rFonts w:ascii="Arial" w:hAnsi="Arial" w:cs="Arial"/>
                <w:b/>
                <w:bCs/>
                <w:sz w:val="20"/>
                <w:szCs w:val="20"/>
                <w:lang w:eastAsia="sl-SI"/>
              </w:rPr>
              <w:t>Energent</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5BE3" w:rsidRPr="002D5BE3" w:rsidRDefault="002D5BE3" w:rsidP="002D5BE3">
            <w:pPr>
              <w:suppressAutoHyphens w:val="0"/>
              <w:rPr>
                <w:rFonts w:ascii="Arial" w:hAnsi="Arial" w:cs="Arial"/>
                <w:b/>
                <w:sz w:val="20"/>
                <w:szCs w:val="20"/>
                <w:lang w:eastAsia="sl-SI"/>
              </w:rPr>
            </w:pPr>
            <w:r w:rsidRPr="002D5BE3">
              <w:rPr>
                <w:rFonts w:ascii="Arial" w:hAnsi="Arial" w:cs="Arial"/>
                <w:b/>
                <w:sz w:val="20"/>
                <w:szCs w:val="20"/>
                <w:lang w:eastAsia="sl-SI"/>
              </w:rPr>
              <w:t>Energetska vrednost na prodajno enoto – E</w:t>
            </w:r>
          </w:p>
        </w:tc>
      </w:tr>
      <w:tr w:rsidR="002D5BE3" w:rsidRPr="002D5BE3" w:rsidTr="00234B1A">
        <w:trPr>
          <w:trHeight w:val="25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BE3" w:rsidRPr="002D5BE3" w:rsidRDefault="002D5BE3" w:rsidP="002D5BE3">
            <w:pPr>
              <w:suppressAutoHyphens w:val="0"/>
              <w:rPr>
                <w:rFonts w:ascii="Arial" w:hAnsi="Arial" w:cs="Arial"/>
                <w:b/>
                <w:bCs/>
                <w:sz w:val="20"/>
                <w:szCs w:val="20"/>
                <w:lang w:eastAsia="sl-SI"/>
              </w:rPr>
            </w:pPr>
            <w:r w:rsidRPr="002D5BE3">
              <w:rPr>
                <w:rFonts w:ascii="Arial" w:hAnsi="Arial" w:cs="Arial"/>
                <w:b/>
                <w:bCs/>
                <w:sz w:val="20"/>
                <w:szCs w:val="20"/>
                <w:lang w:eastAsia="sl-SI"/>
              </w:rPr>
              <w:t xml:space="preserve">kurilno olje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BE3" w:rsidRPr="002D5BE3" w:rsidRDefault="002D5BE3" w:rsidP="002D5BE3">
            <w:pPr>
              <w:suppressAutoHyphens w:val="0"/>
              <w:jc w:val="right"/>
              <w:rPr>
                <w:rFonts w:ascii="Arial" w:hAnsi="Arial" w:cs="Arial"/>
                <w:sz w:val="20"/>
                <w:szCs w:val="20"/>
                <w:lang w:eastAsia="sl-SI"/>
              </w:rPr>
            </w:pPr>
            <w:r w:rsidRPr="002D5BE3">
              <w:rPr>
                <w:rFonts w:ascii="Arial" w:hAnsi="Arial" w:cs="Arial"/>
                <w:sz w:val="20"/>
                <w:szCs w:val="20"/>
                <w:lang w:eastAsia="sl-SI"/>
              </w:rPr>
              <w:t>0,011028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BE3" w:rsidRPr="002D5BE3" w:rsidRDefault="002D5BE3" w:rsidP="002D5BE3">
            <w:pPr>
              <w:suppressAutoHyphens w:val="0"/>
              <w:rPr>
                <w:rFonts w:ascii="Arial" w:hAnsi="Arial" w:cs="Arial"/>
                <w:sz w:val="20"/>
                <w:szCs w:val="20"/>
                <w:lang w:eastAsia="sl-SI"/>
              </w:rPr>
            </w:pPr>
            <w:r w:rsidRPr="002D5BE3">
              <w:rPr>
                <w:rFonts w:ascii="Arial" w:hAnsi="Arial" w:cs="Arial"/>
                <w:sz w:val="20"/>
                <w:szCs w:val="20"/>
                <w:lang w:eastAsia="sl-SI"/>
              </w:rPr>
              <w:t>[MWh/kg]</w:t>
            </w:r>
          </w:p>
        </w:tc>
      </w:tr>
      <w:tr w:rsidR="002D5BE3" w:rsidRPr="002D5BE3" w:rsidTr="00234B1A">
        <w:trPr>
          <w:trHeight w:val="25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BE3" w:rsidRPr="002D5BE3" w:rsidRDefault="002D5BE3" w:rsidP="002D5BE3">
            <w:pPr>
              <w:suppressAutoHyphens w:val="0"/>
              <w:rPr>
                <w:rFonts w:ascii="Arial" w:hAnsi="Arial" w:cs="Arial"/>
                <w:b/>
                <w:bCs/>
                <w:sz w:val="20"/>
                <w:szCs w:val="20"/>
                <w:lang w:eastAsia="sl-SI"/>
              </w:rPr>
            </w:pPr>
            <w:r w:rsidRPr="002D5BE3">
              <w:rPr>
                <w:rFonts w:ascii="Arial" w:hAnsi="Arial" w:cs="Arial"/>
                <w:b/>
                <w:bCs/>
                <w:sz w:val="20"/>
                <w:szCs w:val="20"/>
                <w:lang w:eastAsia="sl-SI"/>
              </w:rPr>
              <w:t xml:space="preserve">ELKO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BE3" w:rsidRPr="002D5BE3" w:rsidRDefault="002D5BE3" w:rsidP="002D5BE3">
            <w:pPr>
              <w:suppressAutoHyphens w:val="0"/>
              <w:jc w:val="right"/>
              <w:rPr>
                <w:rFonts w:ascii="Arial" w:hAnsi="Arial" w:cs="Arial"/>
                <w:sz w:val="20"/>
                <w:szCs w:val="20"/>
                <w:lang w:eastAsia="sl-SI"/>
              </w:rPr>
            </w:pPr>
            <w:r w:rsidRPr="002D5BE3">
              <w:rPr>
                <w:rFonts w:ascii="Arial" w:hAnsi="Arial" w:cs="Arial"/>
                <w:sz w:val="20"/>
                <w:szCs w:val="20"/>
                <w:lang w:eastAsia="sl-SI"/>
              </w:rPr>
              <w:t>0,014004</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BE3" w:rsidRPr="002D5BE3" w:rsidRDefault="002D5BE3" w:rsidP="002D5BE3">
            <w:pPr>
              <w:suppressAutoHyphens w:val="0"/>
              <w:rPr>
                <w:rFonts w:ascii="Arial" w:hAnsi="Arial" w:cs="Arial"/>
                <w:sz w:val="20"/>
                <w:szCs w:val="20"/>
                <w:lang w:eastAsia="sl-SI"/>
              </w:rPr>
            </w:pPr>
            <w:r w:rsidRPr="002D5BE3">
              <w:rPr>
                <w:rFonts w:ascii="Arial" w:hAnsi="Arial" w:cs="Arial"/>
                <w:sz w:val="20"/>
                <w:szCs w:val="20"/>
                <w:lang w:eastAsia="sl-SI"/>
              </w:rPr>
              <w:t>[MWh/l]</w:t>
            </w:r>
          </w:p>
        </w:tc>
      </w:tr>
      <w:tr w:rsidR="002D5BE3" w:rsidRPr="002D5BE3" w:rsidTr="00234B1A">
        <w:trPr>
          <w:trHeight w:val="25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BE3" w:rsidRPr="002D5BE3" w:rsidRDefault="002D5BE3" w:rsidP="002D5BE3">
            <w:pPr>
              <w:suppressAutoHyphens w:val="0"/>
              <w:rPr>
                <w:rFonts w:ascii="Arial" w:hAnsi="Arial" w:cs="Arial"/>
                <w:b/>
                <w:bCs/>
                <w:sz w:val="20"/>
                <w:szCs w:val="20"/>
                <w:lang w:eastAsia="sl-SI"/>
              </w:rPr>
            </w:pPr>
            <w:r w:rsidRPr="002D5BE3">
              <w:rPr>
                <w:rFonts w:ascii="Arial" w:hAnsi="Arial" w:cs="Arial"/>
                <w:b/>
                <w:bCs/>
                <w:sz w:val="20"/>
                <w:szCs w:val="20"/>
                <w:lang w:eastAsia="sl-SI"/>
              </w:rPr>
              <w:t>zemeljski plin</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BE3" w:rsidRPr="002D5BE3" w:rsidRDefault="002D5BE3" w:rsidP="002D5BE3">
            <w:pPr>
              <w:suppressAutoHyphens w:val="0"/>
              <w:jc w:val="right"/>
              <w:rPr>
                <w:rFonts w:ascii="Arial" w:hAnsi="Arial" w:cs="Arial"/>
                <w:sz w:val="20"/>
                <w:szCs w:val="20"/>
                <w:lang w:eastAsia="sl-SI"/>
              </w:rPr>
            </w:pPr>
            <w:r w:rsidRPr="002D5BE3">
              <w:rPr>
                <w:rFonts w:ascii="Arial" w:hAnsi="Arial" w:cs="Arial"/>
                <w:sz w:val="20"/>
                <w:szCs w:val="20"/>
                <w:lang w:eastAsia="sl-SI"/>
              </w:rPr>
              <w:t>0,009466</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BE3" w:rsidRPr="002D5BE3" w:rsidRDefault="002D5BE3" w:rsidP="002D5BE3">
            <w:pPr>
              <w:suppressAutoHyphens w:val="0"/>
              <w:rPr>
                <w:rFonts w:ascii="Arial" w:hAnsi="Arial" w:cs="Arial"/>
                <w:sz w:val="20"/>
                <w:szCs w:val="20"/>
                <w:lang w:eastAsia="sl-SI"/>
              </w:rPr>
            </w:pPr>
            <w:r w:rsidRPr="002D5BE3">
              <w:rPr>
                <w:rFonts w:ascii="Arial" w:hAnsi="Arial" w:cs="Arial"/>
                <w:sz w:val="20"/>
                <w:szCs w:val="20"/>
                <w:lang w:eastAsia="sl-SI"/>
              </w:rPr>
              <w:t>[MWh/Sm3]</w:t>
            </w:r>
          </w:p>
        </w:tc>
      </w:tr>
      <w:tr w:rsidR="002D5BE3" w:rsidRPr="002D5BE3" w:rsidTr="00234B1A">
        <w:trPr>
          <w:trHeight w:val="25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BE3" w:rsidRPr="002D5BE3" w:rsidRDefault="002D5BE3" w:rsidP="002D5BE3">
            <w:pPr>
              <w:suppressAutoHyphens w:val="0"/>
              <w:rPr>
                <w:rFonts w:ascii="Arial" w:hAnsi="Arial" w:cs="Arial"/>
                <w:b/>
                <w:bCs/>
                <w:sz w:val="20"/>
                <w:szCs w:val="20"/>
                <w:lang w:eastAsia="sl-SI"/>
              </w:rPr>
            </w:pPr>
            <w:r w:rsidRPr="002D5BE3">
              <w:rPr>
                <w:rFonts w:ascii="Arial" w:hAnsi="Arial" w:cs="Arial"/>
                <w:b/>
                <w:bCs/>
                <w:sz w:val="20"/>
                <w:szCs w:val="20"/>
                <w:lang w:eastAsia="sl-SI"/>
              </w:rPr>
              <w:t xml:space="preserve">UNP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BE3" w:rsidRPr="002D5BE3" w:rsidRDefault="002D5BE3" w:rsidP="002D5BE3">
            <w:pPr>
              <w:suppressAutoHyphens w:val="0"/>
              <w:jc w:val="right"/>
              <w:rPr>
                <w:rFonts w:ascii="Arial" w:hAnsi="Arial" w:cs="Arial"/>
                <w:sz w:val="20"/>
                <w:szCs w:val="20"/>
                <w:lang w:eastAsia="sl-SI"/>
              </w:rPr>
            </w:pPr>
            <w:r w:rsidRPr="002D5BE3">
              <w:rPr>
                <w:rFonts w:ascii="Arial" w:hAnsi="Arial" w:cs="Arial"/>
                <w:sz w:val="20"/>
                <w:szCs w:val="20"/>
                <w:lang w:eastAsia="sl-SI"/>
              </w:rPr>
              <w:t>0,012792</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BE3" w:rsidRPr="002D5BE3" w:rsidRDefault="002D5BE3" w:rsidP="002D5BE3">
            <w:pPr>
              <w:suppressAutoHyphens w:val="0"/>
              <w:rPr>
                <w:rFonts w:ascii="Arial" w:hAnsi="Arial" w:cs="Arial"/>
                <w:sz w:val="20"/>
                <w:szCs w:val="20"/>
                <w:lang w:eastAsia="sl-SI"/>
              </w:rPr>
            </w:pPr>
            <w:r w:rsidRPr="002D5BE3">
              <w:rPr>
                <w:rFonts w:ascii="Arial" w:hAnsi="Arial" w:cs="Arial"/>
                <w:sz w:val="20"/>
                <w:szCs w:val="20"/>
                <w:lang w:eastAsia="sl-SI"/>
              </w:rPr>
              <w:t>[MWh/kg]</w:t>
            </w:r>
          </w:p>
        </w:tc>
      </w:tr>
      <w:tr w:rsidR="002D5BE3" w:rsidRPr="002D5BE3" w:rsidTr="00234B1A">
        <w:trPr>
          <w:trHeight w:val="25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BE3" w:rsidRPr="002D5BE3" w:rsidRDefault="002D5BE3" w:rsidP="002D5BE3">
            <w:pPr>
              <w:suppressAutoHyphens w:val="0"/>
              <w:rPr>
                <w:rFonts w:ascii="Arial" w:hAnsi="Arial" w:cs="Arial"/>
                <w:b/>
                <w:bCs/>
                <w:sz w:val="20"/>
                <w:szCs w:val="20"/>
                <w:lang w:eastAsia="sl-SI"/>
              </w:rPr>
            </w:pPr>
            <w:proofErr w:type="spellStart"/>
            <w:r w:rsidRPr="002D5BE3">
              <w:rPr>
                <w:rFonts w:ascii="Arial" w:hAnsi="Arial" w:cs="Arial"/>
                <w:b/>
                <w:bCs/>
                <w:sz w:val="20"/>
                <w:szCs w:val="20"/>
                <w:lang w:eastAsia="sl-SI"/>
              </w:rPr>
              <w:t>avtoplin</w:t>
            </w:r>
            <w:proofErr w:type="spellEnd"/>
            <w:r w:rsidRPr="002D5BE3">
              <w:rPr>
                <w:rFonts w:ascii="Arial" w:hAnsi="Arial" w:cs="Arial"/>
                <w:b/>
                <w:bCs/>
                <w:sz w:val="20"/>
                <w:szCs w:val="20"/>
                <w:lang w:eastAsia="sl-SI"/>
              </w:rPr>
              <w:t xml:space="preserve"> (LPG)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BE3" w:rsidRPr="002D5BE3" w:rsidRDefault="002D5BE3" w:rsidP="002D5BE3">
            <w:pPr>
              <w:suppressAutoHyphens w:val="0"/>
              <w:jc w:val="right"/>
              <w:rPr>
                <w:rFonts w:ascii="Arial" w:hAnsi="Arial" w:cs="Arial"/>
                <w:sz w:val="20"/>
                <w:szCs w:val="20"/>
                <w:lang w:eastAsia="sl-SI"/>
              </w:rPr>
            </w:pPr>
            <w:r w:rsidRPr="002D5BE3">
              <w:rPr>
                <w:rFonts w:ascii="Arial" w:hAnsi="Arial" w:cs="Arial"/>
                <w:sz w:val="20"/>
                <w:szCs w:val="20"/>
                <w:lang w:eastAsia="sl-SI"/>
              </w:rPr>
              <w:t>0,012792</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BE3" w:rsidRPr="002D5BE3" w:rsidRDefault="002D5BE3" w:rsidP="002D5BE3">
            <w:pPr>
              <w:suppressAutoHyphens w:val="0"/>
              <w:rPr>
                <w:rFonts w:ascii="Arial" w:hAnsi="Arial" w:cs="Arial"/>
                <w:sz w:val="20"/>
                <w:szCs w:val="20"/>
                <w:lang w:eastAsia="sl-SI"/>
              </w:rPr>
            </w:pPr>
            <w:r w:rsidRPr="002D5BE3">
              <w:rPr>
                <w:rFonts w:ascii="Arial" w:hAnsi="Arial" w:cs="Arial"/>
                <w:sz w:val="20"/>
                <w:szCs w:val="20"/>
                <w:lang w:eastAsia="sl-SI"/>
              </w:rPr>
              <w:t>[MWh/kg]</w:t>
            </w:r>
          </w:p>
        </w:tc>
      </w:tr>
      <w:tr w:rsidR="002D5BE3" w:rsidRPr="002D5BE3" w:rsidTr="00234B1A">
        <w:trPr>
          <w:trHeight w:val="25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BE3" w:rsidRPr="002D5BE3" w:rsidRDefault="002D5BE3" w:rsidP="002D5BE3">
            <w:pPr>
              <w:suppressAutoHyphens w:val="0"/>
              <w:rPr>
                <w:rFonts w:ascii="Arial" w:hAnsi="Arial" w:cs="Arial"/>
                <w:b/>
                <w:bCs/>
                <w:sz w:val="20"/>
                <w:szCs w:val="20"/>
                <w:lang w:eastAsia="sl-SI"/>
              </w:rPr>
            </w:pPr>
            <w:r w:rsidRPr="002D5BE3">
              <w:rPr>
                <w:rFonts w:ascii="Arial" w:hAnsi="Arial" w:cs="Arial"/>
                <w:b/>
                <w:bCs/>
                <w:sz w:val="20"/>
                <w:szCs w:val="20"/>
                <w:lang w:eastAsia="sl-SI"/>
              </w:rPr>
              <w:t xml:space="preserve">motorni bencin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BE3" w:rsidRPr="002D5BE3" w:rsidRDefault="002D5BE3" w:rsidP="002D5BE3">
            <w:pPr>
              <w:suppressAutoHyphens w:val="0"/>
              <w:jc w:val="right"/>
              <w:rPr>
                <w:rFonts w:ascii="Arial" w:hAnsi="Arial" w:cs="Arial"/>
                <w:sz w:val="20"/>
                <w:szCs w:val="20"/>
                <w:lang w:eastAsia="sl-SI"/>
              </w:rPr>
            </w:pPr>
            <w:r w:rsidRPr="002D5BE3">
              <w:rPr>
                <w:rFonts w:ascii="Arial" w:hAnsi="Arial" w:cs="Arial"/>
                <w:sz w:val="20"/>
                <w:szCs w:val="20"/>
                <w:lang w:eastAsia="sl-SI"/>
              </w:rPr>
              <w:t>0,016133</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BE3" w:rsidRPr="002D5BE3" w:rsidRDefault="002D5BE3" w:rsidP="002D5BE3">
            <w:pPr>
              <w:suppressAutoHyphens w:val="0"/>
              <w:rPr>
                <w:rFonts w:ascii="Arial" w:hAnsi="Arial" w:cs="Arial"/>
                <w:sz w:val="20"/>
                <w:szCs w:val="20"/>
                <w:lang w:eastAsia="sl-SI"/>
              </w:rPr>
            </w:pPr>
            <w:r w:rsidRPr="002D5BE3">
              <w:rPr>
                <w:rFonts w:ascii="Arial" w:hAnsi="Arial" w:cs="Arial"/>
                <w:sz w:val="20"/>
                <w:szCs w:val="20"/>
                <w:lang w:eastAsia="sl-SI"/>
              </w:rPr>
              <w:t>[MWh/l]</w:t>
            </w:r>
          </w:p>
        </w:tc>
      </w:tr>
      <w:tr w:rsidR="002D5BE3" w:rsidRPr="002D5BE3" w:rsidTr="00234B1A">
        <w:trPr>
          <w:trHeight w:val="25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BE3" w:rsidRPr="002D5BE3" w:rsidRDefault="002D5BE3" w:rsidP="002D5BE3">
            <w:pPr>
              <w:suppressAutoHyphens w:val="0"/>
              <w:rPr>
                <w:rFonts w:ascii="Arial" w:hAnsi="Arial" w:cs="Arial"/>
                <w:b/>
                <w:bCs/>
                <w:sz w:val="20"/>
                <w:szCs w:val="20"/>
                <w:lang w:eastAsia="sl-SI"/>
              </w:rPr>
            </w:pPr>
            <w:r w:rsidRPr="002D5BE3">
              <w:rPr>
                <w:rFonts w:ascii="Arial" w:hAnsi="Arial" w:cs="Arial"/>
                <w:b/>
                <w:bCs/>
                <w:sz w:val="20"/>
                <w:szCs w:val="20"/>
                <w:lang w:eastAsia="sl-SI"/>
              </w:rPr>
              <w:t xml:space="preserve">dizel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BE3" w:rsidRPr="002D5BE3" w:rsidRDefault="002D5BE3" w:rsidP="002D5BE3">
            <w:pPr>
              <w:suppressAutoHyphens w:val="0"/>
              <w:jc w:val="right"/>
              <w:rPr>
                <w:rFonts w:ascii="Arial" w:hAnsi="Arial" w:cs="Arial"/>
                <w:sz w:val="20"/>
                <w:szCs w:val="20"/>
                <w:lang w:eastAsia="sl-SI"/>
              </w:rPr>
            </w:pPr>
            <w:r w:rsidRPr="002D5BE3">
              <w:rPr>
                <w:rFonts w:ascii="Arial" w:hAnsi="Arial" w:cs="Arial"/>
                <w:sz w:val="20"/>
                <w:szCs w:val="20"/>
                <w:lang w:eastAsia="sl-SI"/>
              </w:rPr>
              <w:t>0,014004</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BE3" w:rsidRPr="002D5BE3" w:rsidRDefault="002D5BE3" w:rsidP="002D5BE3">
            <w:pPr>
              <w:suppressAutoHyphens w:val="0"/>
              <w:rPr>
                <w:rFonts w:ascii="Arial" w:hAnsi="Arial" w:cs="Arial"/>
                <w:sz w:val="20"/>
                <w:szCs w:val="20"/>
                <w:lang w:eastAsia="sl-SI"/>
              </w:rPr>
            </w:pPr>
            <w:r w:rsidRPr="002D5BE3">
              <w:rPr>
                <w:rFonts w:ascii="Arial" w:hAnsi="Arial" w:cs="Arial"/>
                <w:sz w:val="20"/>
                <w:szCs w:val="20"/>
                <w:lang w:eastAsia="sl-SI"/>
              </w:rPr>
              <w:t>[MWh/l]</w:t>
            </w:r>
          </w:p>
        </w:tc>
      </w:tr>
      <w:tr w:rsidR="002D5BE3" w:rsidRPr="002D5BE3" w:rsidTr="00234B1A">
        <w:trPr>
          <w:trHeight w:val="25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BE3" w:rsidRPr="002D5BE3" w:rsidRDefault="002D5BE3" w:rsidP="002D5BE3">
            <w:pPr>
              <w:suppressAutoHyphens w:val="0"/>
              <w:rPr>
                <w:rFonts w:ascii="Arial" w:hAnsi="Arial" w:cs="Arial"/>
                <w:b/>
                <w:bCs/>
                <w:sz w:val="20"/>
                <w:szCs w:val="20"/>
                <w:lang w:eastAsia="sl-SI"/>
              </w:rPr>
            </w:pPr>
            <w:r w:rsidRPr="002D5BE3">
              <w:rPr>
                <w:rFonts w:ascii="Arial" w:hAnsi="Arial" w:cs="Arial"/>
                <w:b/>
                <w:bCs/>
                <w:sz w:val="20"/>
                <w:szCs w:val="20"/>
                <w:lang w:eastAsia="sl-SI"/>
              </w:rPr>
              <w:t xml:space="preserve">letalski bencin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BE3" w:rsidRPr="002D5BE3" w:rsidRDefault="002D5BE3" w:rsidP="002D5BE3">
            <w:pPr>
              <w:suppressAutoHyphens w:val="0"/>
              <w:jc w:val="right"/>
              <w:rPr>
                <w:rFonts w:ascii="Arial" w:hAnsi="Arial" w:cs="Arial"/>
                <w:sz w:val="20"/>
                <w:szCs w:val="20"/>
                <w:lang w:eastAsia="sl-SI"/>
              </w:rPr>
            </w:pPr>
            <w:r w:rsidRPr="002D5BE3">
              <w:rPr>
                <w:rFonts w:ascii="Arial" w:hAnsi="Arial" w:cs="Arial"/>
                <w:sz w:val="20"/>
                <w:szCs w:val="20"/>
                <w:lang w:eastAsia="sl-SI"/>
              </w:rPr>
              <w:t>0,016133</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BE3" w:rsidRPr="002D5BE3" w:rsidRDefault="002D5BE3" w:rsidP="002D5BE3">
            <w:pPr>
              <w:suppressAutoHyphens w:val="0"/>
              <w:rPr>
                <w:rFonts w:ascii="Arial" w:hAnsi="Arial" w:cs="Arial"/>
                <w:sz w:val="20"/>
                <w:szCs w:val="20"/>
                <w:lang w:eastAsia="sl-SI"/>
              </w:rPr>
            </w:pPr>
            <w:r w:rsidRPr="002D5BE3">
              <w:rPr>
                <w:rFonts w:ascii="Arial" w:hAnsi="Arial" w:cs="Arial"/>
                <w:sz w:val="20"/>
                <w:szCs w:val="20"/>
                <w:lang w:eastAsia="sl-SI"/>
              </w:rPr>
              <w:t>[MWh/l]</w:t>
            </w:r>
          </w:p>
        </w:tc>
      </w:tr>
      <w:tr w:rsidR="002D5BE3" w:rsidRPr="002D5BE3" w:rsidTr="00234B1A">
        <w:trPr>
          <w:trHeight w:val="25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BE3" w:rsidRPr="002D5BE3" w:rsidRDefault="002D5BE3" w:rsidP="002D5BE3">
            <w:pPr>
              <w:suppressAutoHyphens w:val="0"/>
              <w:rPr>
                <w:rFonts w:ascii="Arial" w:hAnsi="Arial" w:cs="Arial"/>
                <w:b/>
                <w:bCs/>
                <w:sz w:val="20"/>
                <w:szCs w:val="20"/>
                <w:lang w:eastAsia="sl-SI"/>
              </w:rPr>
            </w:pPr>
            <w:r w:rsidRPr="002D5BE3">
              <w:rPr>
                <w:rFonts w:ascii="Arial" w:hAnsi="Arial" w:cs="Arial"/>
                <w:b/>
                <w:bCs/>
                <w:sz w:val="20"/>
                <w:szCs w:val="20"/>
                <w:lang w:eastAsia="sl-SI"/>
              </w:rPr>
              <w:t>kerozin</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BE3" w:rsidRPr="002D5BE3" w:rsidRDefault="002D5BE3" w:rsidP="002D5BE3">
            <w:pPr>
              <w:suppressAutoHyphens w:val="0"/>
              <w:jc w:val="right"/>
              <w:rPr>
                <w:rFonts w:ascii="Arial" w:hAnsi="Arial" w:cs="Arial"/>
                <w:sz w:val="20"/>
                <w:szCs w:val="20"/>
                <w:lang w:eastAsia="sl-SI"/>
              </w:rPr>
            </w:pPr>
            <w:r w:rsidRPr="002D5BE3">
              <w:rPr>
                <w:rFonts w:ascii="Arial" w:hAnsi="Arial" w:cs="Arial"/>
                <w:sz w:val="20"/>
                <w:szCs w:val="20"/>
                <w:lang w:eastAsia="sl-SI"/>
              </w:rPr>
              <w:t>0,015872</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BE3" w:rsidRPr="002D5BE3" w:rsidRDefault="002D5BE3" w:rsidP="002D5BE3">
            <w:pPr>
              <w:suppressAutoHyphens w:val="0"/>
              <w:rPr>
                <w:rFonts w:ascii="Arial" w:hAnsi="Arial" w:cs="Arial"/>
                <w:sz w:val="20"/>
                <w:szCs w:val="20"/>
                <w:lang w:eastAsia="sl-SI"/>
              </w:rPr>
            </w:pPr>
            <w:r w:rsidRPr="002D5BE3">
              <w:rPr>
                <w:rFonts w:ascii="Arial" w:hAnsi="Arial" w:cs="Arial"/>
                <w:sz w:val="20"/>
                <w:szCs w:val="20"/>
                <w:lang w:eastAsia="sl-SI"/>
              </w:rPr>
              <w:t>[MWh/l]</w:t>
            </w:r>
          </w:p>
        </w:tc>
      </w:tr>
    </w:tbl>
    <w:p w:rsidR="002D5BE3" w:rsidRPr="002D5BE3" w:rsidRDefault="002D5BE3" w:rsidP="002D5BE3">
      <w:pPr>
        <w:suppressAutoHyphens w:val="0"/>
        <w:spacing w:after="210"/>
        <w:jc w:val="both"/>
        <w:rPr>
          <w:rFonts w:ascii="Arial" w:hAnsi="Arial" w:cs="Arial"/>
          <w:color w:val="333333"/>
          <w:sz w:val="20"/>
          <w:szCs w:val="20"/>
          <w:lang w:eastAsia="sl-SI"/>
        </w:rPr>
      </w:pP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(2) Prispevek na prodajno enoto za posamezno gorivo se določi po enačbi:</w:t>
      </w:r>
    </w:p>
    <w:p w:rsidR="002D5BE3" w:rsidRPr="002D5BE3" w:rsidRDefault="00CE55EE" w:rsidP="002D5BE3">
      <w:pPr>
        <w:suppressAutoHyphens w:val="0"/>
        <w:spacing w:after="210"/>
        <w:jc w:val="both"/>
        <w:rPr>
          <w:rFonts w:ascii="Arial" w:hAnsi="Arial" w:cs="Arial"/>
          <w:color w:val="333333"/>
          <w:sz w:val="20"/>
          <w:szCs w:val="20"/>
          <w:lang w:eastAsia="sl-SI"/>
        </w:rPr>
      </w:pPr>
      <m:oMathPara>
        <m:oMathParaPr>
          <m:jc m:val="left"/>
        </m:oMathParaPr>
        <m:oMath>
          <m:borderBox>
            <m:borderBoxPr>
              <m:ctrlPr>
                <w:rPr>
                  <w:rFonts w:ascii="Cambria Math" w:hAnsi="Cambria Math" w:cs="Arial"/>
                  <w:i/>
                  <w:color w:val="333333"/>
                  <w:lang w:eastAsia="sl-SI"/>
                </w:rPr>
              </m:ctrlPr>
            </m:borderBoxPr>
            <m:e>
              <m:sSub>
                <m:sSubPr>
                  <m:ctrlPr>
                    <w:rPr>
                      <w:rFonts w:ascii="Cambria Math" w:hAnsi="Cambria Math" w:cs="Arial"/>
                      <w:i/>
                      <w:color w:val="333333"/>
                      <w:lang w:eastAsia="sl-SI"/>
                    </w:rPr>
                  </m:ctrlPr>
                </m:sSubPr>
                <m:e>
                  <m:r>
                    <w:rPr>
                      <w:rFonts w:ascii="Cambria Math" w:hAnsi="Cambria Math" w:cs="Arial"/>
                      <w:color w:val="333333"/>
                      <w:lang w:eastAsia="sl-SI"/>
                    </w:rPr>
                    <m:t>p</m:t>
                  </m:r>
                </m:e>
                <m:sub>
                  <m:r>
                    <w:rPr>
                      <w:rFonts w:ascii="Cambria Math" w:hAnsi="Cambria Math" w:cs="Arial"/>
                      <w:color w:val="333333"/>
                      <w:lang w:eastAsia="sl-SI"/>
                    </w:rPr>
                    <m:t>egor</m:t>
                  </m:r>
                </m:sub>
              </m:sSub>
              <m:r>
                <w:rPr>
                  <w:rFonts w:ascii="Cambria Math" w:hAnsi="Cambria Math" w:cs="Arial"/>
                  <w:color w:val="333333"/>
                  <w:lang w:eastAsia="sl-SI"/>
                </w:rPr>
                <m:t xml:space="preserve">= </m:t>
              </m:r>
              <m:sSub>
                <m:sSubPr>
                  <m:ctrlPr>
                    <w:rPr>
                      <w:rFonts w:ascii="Cambria Math" w:hAnsi="Cambria Math" w:cs="Arial"/>
                      <w:i/>
                      <w:color w:val="333333"/>
                      <w:lang w:eastAsia="sl-SI"/>
                    </w:rPr>
                  </m:ctrlPr>
                </m:sSubPr>
                <m:e>
                  <m:r>
                    <w:rPr>
                      <w:rFonts w:ascii="Cambria Math" w:hAnsi="Cambria Math" w:cs="Arial"/>
                      <w:color w:val="333333"/>
                      <w:lang w:eastAsia="sl-SI"/>
                    </w:rPr>
                    <m:t>p</m:t>
                  </m:r>
                </m:e>
                <m:sub>
                  <m:r>
                    <w:rPr>
                      <w:rFonts w:ascii="Cambria Math" w:hAnsi="Cambria Math" w:cs="Arial"/>
                      <w:color w:val="333333"/>
                      <w:lang w:eastAsia="sl-SI"/>
                    </w:rPr>
                    <m:t xml:space="preserve">MWh </m:t>
                  </m:r>
                </m:sub>
              </m:sSub>
              <m:r>
                <m:rPr>
                  <m:sty m:val="p"/>
                </m:rPr>
                <w:rPr>
                  <w:rFonts w:ascii="Cambria Math" w:hAnsi="Cambria Math" w:cs="Arial"/>
                  <w:color w:val="333333"/>
                  <w:lang w:eastAsia="sl-SI"/>
                </w:rPr>
                <m:t>x E</m:t>
              </m:r>
              <m:r>
                <w:rPr>
                  <w:rFonts w:ascii="Cambria Math" w:hAnsi="Cambria Math" w:cs="Arial"/>
                  <w:color w:val="333333"/>
                  <w:lang w:eastAsia="sl-SI"/>
                </w:rPr>
                <m:t xml:space="preserve"> </m:t>
              </m:r>
            </m:e>
          </m:borderBox>
        </m:oMath>
      </m:oMathPara>
    </w:p>
    <w:p w:rsidR="002D5BE3" w:rsidRPr="002D5BE3" w:rsidRDefault="002D5BE3" w:rsidP="002D5BE3">
      <w:pPr>
        <w:suppressAutoHyphens w:val="0"/>
        <w:spacing w:after="210"/>
        <w:jc w:val="both"/>
        <w:rPr>
          <w:rFonts w:ascii="Arial" w:hAnsi="Arial" w:cs="Arial"/>
          <w:color w:val="333333"/>
          <w:sz w:val="20"/>
          <w:szCs w:val="20"/>
          <w:lang w:eastAsia="sl-SI"/>
        </w:rPr>
      </w:pP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(3) Za lignit, premog in koks se prispevek na prodajno enoto goriva izračuna tako, da se vrednost prispevka na MWh, ki ga določi agencija na podlagi 10. člena te uredbe, pomnoži s kalorično vrednostjo energenta v MJ, ki je deklarirana pri prodaji, in deli s faktorjem 3600 MJ/MWh po spodnji enačbi:</w:t>
      </w:r>
    </w:p>
    <w:p w:rsidR="002D5BE3" w:rsidRPr="002D5BE3" w:rsidRDefault="00CE55EE" w:rsidP="002D5BE3">
      <w:pPr>
        <w:suppressAutoHyphens w:val="0"/>
        <w:spacing w:after="210"/>
        <w:jc w:val="both"/>
        <w:rPr>
          <w:rFonts w:ascii="Arial" w:hAnsi="Arial" w:cs="Arial"/>
          <w:color w:val="333333"/>
          <w:sz w:val="20"/>
          <w:szCs w:val="20"/>
          <w:lang w:eastAsia="sl-SI"/>
        </w:rPr>
      </w:pPr>
      <m:oMathPara>
        <m:oMathParaPr>
          <m:jc m:val="left"/>
        </m:oMathParaPr>
        <m:oMath>
          <m:borderBox>
            <m:borderBoxPr>
              <m:ctrlPr>
                <w:rPr>
                  <w:rFonts w:ascii="Cambria Math" w:hAnsi="Cambria Math" w:cs="Arial"/>
                  <w:i/>
                  <w:color w:val="333333"/>
                  <w:lang w:eastAsia="sl-SI"/>
                </w:rPr>
              </m:ctrlPr>
            </m:borderBoxPr>
            <m:e>
              <m:sSub>
                <m:sSubPr>
                  <m:ctrlPr>
                    <w:rPr>
                      <w:rFonts w:ascii="Cambria Math" w:hAnsi="Cambria Math" w:cs="Arial"/>
                      <w:i/>
                      <w:color w:val="333333"/>
                      <w:lang w:eastAsia="sl-SI"/>
                    </w:rPr>
                  </m:ctrlPr>
                </m:sSubPr>
                <m:e>
                  <m:r>
                    <w:rPr>
                      <w:rFonts w:ascii="Cambria Math" w:hAnsi="Cambria Math" w:cs="Arial"/>
                      <w:color w:val="333333"/>
                      <w:lang w:eastAsia="sl-SI"/>
                    </w:rPr>
                    <m:t>p</m:t>
                  </m:r>
                </m:e>
                <m:sub>
                  <m:r>
                    <w:rPr>
                      <w:rFonts w:ascii="Cambria Math" w:hAnsi="Cambria Math" w:cs="Arial"/>
                      <w:color w:val="333333"/>
                      <w:lang w:eastAsia="sl-SI"/>
                    </w:rPr>
                    <m:t>egor=</m:t>
                  </m:r>
                  <m:f>
                    <m:fPr>
                      <m:ctrlPr>
                        <w:rPr>
                          <w:rFonts w:ascii="Cambria Math" w:hAnsi="Cambria Math" w:cs="Arial"/>
                          <w:i/>
                          <w:color w:val="333333"/>
                          <w:lang w:eastAsia="sl-SI"/>
                        </w:rPr>
                      </m:ctrlPr>
                    </m:fPr>
                    <m:num>
                      <m:sSub>
                        <m:sSubPr>
                          <m:ctrlPr>
                            <w:rPr>
                              <w:rFonts w:ascii="Cambria Math" w:hAnsi="Cambria Math" w:cs="Arial"/>
                              <w:i/>
                              <w:color w:val="333333"/>
                              <w:lang w:eastAsia="sl-SI"/>
                            </w:rPr>
                          </m:ctrlPr>
                        </m:sSubPr>
                        <m:e>
                          <m:r>
                            <w:rPr>
                              <w:rFonts w:ascii="Cambria Math" w:hAnsi="Cambria Math" w:cs="Arial"/>
                              <w:color w:val="333333"/>
                              <w:lang w:eastAsia="sl-SI"/>
                            </w:rPr>
                            <m:t>p</m:t>
                          </m:r>
                        </m:e>
                        <m:sub>
                          <m:r>
                            <w:rPr>
                              <w:rFonts w:ascii="Cambria Math" w:hAnsi="Cambria Math" w:cs="Arial"/>
                              <w:color w:val="333333"/>
                              <w:lang w:eastAsia="sl-SI"/>
                            </w:rPr>
                            <m:t>MWh</m:t>
                          </m:r>
                        </m:sub>
                      </m:sSub>
                      <m:r>
                        <w:rPr>
                          <w:rFonts w:ascii="Cambria Math" w:hAnsi="Cambria Math" w:cs="Arial"/>
                          <w:color w:val="333333"/>
                          <w:lang w:eastAsia="sl-SI"/>
                        </w:rPr>
                        <m:t>×</m:t>
                      </m:r>
                      <m:sSub>
                        <m:sSubPr>
                          <m:ctrlPr>
                            <w:rPr>
                              <w:rFonts w:ascii="Cambria Math" w:hAnsi="Cambria Math" w:cs="Arial"/>
                              <w:i/>
                              <w:color w:val="333333"/>
                              <w:lang w:eastAsia="sl-SI"/>
                            </w:rPr>
                          </m:ctrlPr>
                        </m:sSubPr>
                        <m:e>
                          <m:r>
                            <w:rPr>
                              <w:rFonts w:ascii="Cambria Math" w:hAnsi="Cambria Math" w:cs="Arial"/>
                              <w:color w:val="333333"/>
                              <w:lang w:eastAsia="sl-SI"/>
                            </w:rPr>
                            <m:t>H</m:t>
                          </m:r>
                        </m:e>
                        <m:sub>
                          <m:r>
                            <w:rPr>
                              <w:rFonts w:ascii="Cambria Math" w:hAnsi="Cambria Math" w:cs="Arial"/>
                              <w:color w:val="333333"/>
                              <w:lang w:eastAsia="sl-SI"/>
                            </w:rPr>
                            <m:t>s</m:t>
                          </m:r>
                        </m:sub>
                      </m:sSub>
                    </m:num>
                    <m:den>
                      <m:r>
                        <w:rPr>
                          <w:rFonts w:ascii="Cambria Math" w:hAnsi="Cambria Math" w:cs="Arial"/>
                          <w:color w:val="333333"/>
                          <w:lang w:eastAsia="sl-SI"/>
                        </w:rPr>
                        <m:t xml:space="preserve">3600 </m:t>
                      </m:r>
                    </m:den>
                  </m:f>
                </m:sub>
              </m:sSub>
            </m:e>
          </m:borderBox>
        </m:oMath>
      </m:oMathPara>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pri čemer je:</w:t>
      </w:r>
    </w:p>
    <w:p w:rsidR="002D5BE3" w:rsidRPr="002D5BE3" w:rsidRDefault="002D5BE3" w:rsidP="002D5BE3">
      <w:pPr>
        <w:suppressAutoHyphens w:val="0"/>
        <w:spacing w:after="210"/>
        <w:jc w:val="both"/>
        <w:rPr>
          <w:rFonts w:ascii="Arial" w:hAnsi="Arial" w:cs="Arial"/>
          <w:i/>
          <w:color w:val="333333"/>
          <w:sz w:val="20"/>
          <w:szCs w:val="20"/>
          <w:lang w:eastAsia="sl-SI"/>
        </w:rPr>
      </w:pPr>
      <w:proofErr w:type="spellStart"/>
      <w:r w:rsidRPr="002D5BE3">
        <w:rPr>
          <w:rFonts w:ascii="Arial" w:hAnsi="Arial" w:cs="Arial"/>
          <w:i/>
          <w:color w:val="333333"/>
          <w:sz w:val="20"/>
          <w:szCs w:val="20"/>
          <w:lang w:eastAsia="sl-SI"/>
        </w:rPr>
        <w:t>p</w:t>
      </w:r>
      <w:r w:rsidRPr="002D5BE3">
        <w:rPr>
          <w:rFonts w:ascii="Arial" w:hAnsi="Arial" w:cs="Arial"/>
          <w:i/>
          <w:color w:val="333333"/>
          <w:sz w:val="20"/>
          <w:szCs w:val="20"/>
          <w:vertAlign w:val="subscript"/>
          <w:lang w:eastAsia="sl-SI"/>
        </w:rPr>
        <w:t>egor</w:t>
      </w:r>
      <w:proofErr w:type="spellEnd"/>
      <w:r w:rsidRPr="002D5BE3">
        <w:rPr>
          <w:rFonts w:ascii="Arial" w:hAnsi="Arial" w:cs="Arial"/>
          <w:i/>
          <w:color w:val="333333"/>
          <w:sz w:val="20"/>
          <w:szCs w:val="20"/>
          <w:vertAlign w:val="subscript"/>
          <w:lang w:eastAsia="sl-SI"/>
        </w:rPr>
        <w:t xml:space="preserve">  </w:t>
      </w:r>
      <w:r w:rsidRPr="002D5BE3">
        <w:rPr>
          <w:rFonts w:ascii="Arial" w:hAnsi="Arial" w:cs="Arial"/>
          <w:i/>
          <w:color w:val="333333"/>
          <w:sz w:val="20"/>
          <w:szCs w:val="20"/>
          <w:lang w:eastAsia="sl-SI"/>
        </w:rPr>
        <w:t>………… prispevek v EUR /kg fosilnega goriva</w:t>
      </w:r>
    </w:p>
    <w:p w:rsidR="002D5BE3" w:rsidRPr="002D5BE3" w:rsidRDefault="002D5BE3" w:rsidP="002D5BE3">
      <w:pPr>
        <w:suppressAutoHyphens w:val="0"/>
        <w:spacing w:after="210"/>
        <w:jc w:val="both"/>
        <w:rPr>
          <w:rFonts w:ascii="Arial" w:hAnsi="Arial" w:cs="Arial"/>
          <w:i/>
          <w:color w:val="333333"/>
          <w:sz w:val="20"/>
          <w:szCs w:val="20"/>
          <w:lang w:eastAsia="sl-SI"/>
        </w:rPr>
      </w:pPr>
      <w:proofErr w:type="spellStart"/>
      <w:r w:rsidRPr="002D5BE3">
        <w:rPr>
          <w:rFonts w:ascii="Arial" w:hAnsi="Arial" w:cs="Arial"/>
          <w:i/>
          <w:color w:val="333333"/>
          <w:sz w:val="20"/>
          <w:szCs w:val="20"/>
          <w:lang w:eastAsia="sl-SI"/>
        </w:rPr>
        <w:t>H</w:t>
      </w:r>
      <w:r w:rsidRPr="002D5BE3">
        <w:rPr>
          <w:rFonts w:ascii="Arial" w:hAnsi="Arial" w:cs="Arial"/>
          <w:i/>
          <w:color w:val="333333"/>
          <w:sz w:val="20"/>
          <w:szCs w:val="20"/>
          <w:vertAlign w:val="subscript"/>
          <w:lang w:eastAsia="sl-SI"/>
        </w:rPr>
        <w:t>s</w:t>
      </w:r>
      <w:proofErr w:type="spellEnd"/>
      <w:r w:rsidRPr="002D5BE3">
        <w:rPr>
          <w:rFonts w:ascii="Arial" w:hAnsi="Arial" w:cs="Arial"/>
          <w:i/>
          <w:color w:val="333333"/>
          <w:sz w:val="20"/>
          <w:szCs w:val="20"/>
          <w:vertAlign w:val="subscript"/>
          <w:lang w:eastAsia="sl-SI"/>
        </w:rPr>
        <w:t xml:space="preserve">  </w:t>
      </w:r>
      <w:r w:rsidRPr="002D5BE3">
        <w:rPr>
          <w:rFonts w:ascii="Arial" w:hAnsi="Arial" w:cs="Arial"/>
          <w:i/>
          <w:color w:val="333333"/>
          <w:sz w:val="20"/>
          <w:szCs w:val="20"/>
          <w:lang w:eastAsia="sl-SI"/>
        </w:rPr>
        <w:t>…………. kurilna vrednost v MJ/kg goriva</w:t>
      </w: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(4) Prispevek po prejšnjem odstavku izračunajo dobavitelji goriva.</w:t>
      </w: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(5) Višina prispevka na MWh dobavljene energije od porabe fosilnih goriv in daljinske toplote (brez DDV) in prispevka na prodajno enoto goriva (brez DDV) se zaokroži na 5 (pet) decimalk.</w:t>
      </w:r>
    </w:p>
    <w:p w:rsidR="002D5BE3" w:rsidRPr="002D5BE3" w:rsidRDefault="002D5BE3" w:rsidP="002D5BE3">
      <w:pPr>
        <w:suppressAutoHyphens w:val="0"/>
        <w:spacing w:after="210"/>
        <w:jc w:val="both"/>
        <w:rPr>
          <w:rFonts w:ascii="Arial" w:hAnsi="Arial" w:cs="Arial"/>
          <w:color w:val="333333"/>
          <w:sz w:val="20"/>
          <w:szCs w:val="20"/>
          <w:lang w:eastAsia="sl-SI"/>
        </w:rPr>
      </w:pPr>
    </w:p>
    <w:p w:rsidR="002D5BE3" w:rsidRPr="002D5BE3" w:rsidRDefault="002D5BE3" w:rsidP="002D5BE3">
      <w:pPr>
        <w:suppressAutoHyphens w:val="0"/>
        <w:spacing w:after="210"/>
        <w:jc w:val="center"/>
        <w:rPr>
          <w:rFonts w:ascii="Arial" w:hAnsi="Arial" w:cs="Arial"/>
          <w:bCs/>
          <w:color w:val="333333"/>
          <w:sz w:val="20"/>
          <w:szCs w:val="20"/>
          <w:lang w:eastAsia="sl-SI"/>
        </w:rPr>
      </w:pPr>
      <w:r w:rsidRPr="002D5BE3">
        <w:rPr>
          <w:rFonts w:ascii="Arial" w:hAnsi="Arial" w:cs="Arial"/>
          <w:bCs/>
          <w:color w:val="333333"/>
          <w:sz w:val="20"/>
          <w:szCs w:val="20"/>
          <w:lang w:eastAsia="sl-SI"/>
        </w:rPr>
        <w:lastRenderedPageBreak/>
        <w:t>12. člen</w:t>
      </w:r>
    </w:p>
    <w:p w:rsidR="002D5BE3" w:rsidRPr="002D5BE3" w:rsidRDefault="002D5BE3" w:rsidP="002D5BE3">
      <w:pPr>
        <w:suppressAutoHyphens w:val="0"/>
        <w:spacing w:after="210"/>
        <w:jc w:val="center"/>
        <w:rPr>
          <w:rFonts w:ascii="Arial" w:hAnsi="Arial" w:cs="Arial"/>
          <w:bCs/>
          <w:color w:val="333333"/>
          <w:sz w:val="20"/>
          <w:szCs w:val="20"/>
          <w:lang w:eastAsia="sl-SI"/>
        </w:rPr>
      </w:pPr>
      <w:r w:rsidRPr="002D5BE3">
        <w:rPr>
          <w:rFonts w:ascii="Arial" w:hAnsi="Arial" w:cs="Arial"/>
          <w:bCs/>
          <w:color w:val="333333"/>
          <w:sz w:val="20"/>
          <w:szCs w:val="20"/>
          <w:lang w:eastAsia="sl-SI"/>
        </w:rPr>
        <w:t>(obračunavanje prispevka končnemu odjemalcu goriva)</w:t>
      </w: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 xml:space="preserve">(1) Prispevek končnega odjemalca je prikazan kot posebna postavka na računu za dobavo goriva. </w:t>
      </w: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(2) Dobavitelji goriv morajo mesečno poročati o višini obračunanih prispevkov in jih nakazovati centru za podpore.</w:t>
      </w: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(3) Dobavitelji goriv morajo vsako leto do 1. marca poročati centru za podpore o količini dobavljenih energentov v preteklem koledarskem letu.</w:t>
      </w: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(4) Podrobnejši način poročanja in zbiranja sredstev po tem členu določi center za podpore, ki ga objavi na svoji spletni strani.</w:t>
      </w:r>
    </w:p>
    <w:p w:rsidR="002D5BE3" w:rsidRPr="002D5BE3" w:rsidRDefault="002D5BE3" w:rsidP="002D5BE3">
      <w:pPr>
        <w:suppressAutoHyphens w:val="0"/>
        <w:spacing w:after="210"/>
        <w:jc w:val="both"/>
        <w:rPr>
          <w:rFonts w:ascii="Arial" w:hAnsi="Arial" w:cs="Arial"/>
          <w:color w:val="333333"/>
          <w:sz w:val="20"/>
          <w:szCs w:val="20"/>
          <w:lang w:eastAsia="sl-SI"/>
        </w:rPr>
      </w:pPr>
    </w:p>
    <w:p w:rsidR="002D5BE3" w:rsidRPr="002D5BE3" w:rsidRDefault="002D5BE3" w:rsidP="002D5BE3">
      <w:pPr>
        <w:suppressAutoHyphens w:val="0"/>
        <w:spacing w:after="210" w:line="276" w:lineRule="auto"/>
        <w:contextualSpacing/>
        <w:jc w:val="center"/>
        <w:rPr>
          <w:rFonts w:ascii="Arial" w:hAnsi="Arial" w:cs="Arial"/>
          <w:b/>
          <w:bCs/>
          <w:color w:val="333333"/>
          <w:sz w:val="20"/>
          <w:szCs w:val="20"/>
          <w:lang w:eastAsia="sl-SI"/>
        </w:rPr>
      </w:pPr>
      <w:r w:rsidRPr="002D5BE3">
        <w:rPr>
          <w:rFonts w:ascii="Arial" w:hAnsi="Arial" w:cs="Arial"/>
          <w:b/>
          <w:bCs/>
          <w:color w:val="333333"/>
          <w:sz w:val="20"/>
          <w:szCs w:val="20"/>
          <w:lang w:eastAsia="sl-SI"/>
        </w:rPr>
        <w:t>KONČNE DOLOČBE</w:t>
      </w:r>
    </w:p>
    <w:p w:rsidR="002D5BE3" w:rsidRPr="002D5BE3" w:rsidRDefault="002D5BE3" w:rsidP="002D5BE3">
      <w:pPr>
        <w:suppressAutoHyphens w:val="0"/>
        <w:spacing w:after="210"/>
        <w:ind w:left="1080"/>
        <w:contextualSpacing/>
        <w:rPr>
          <w:rFonts w:ascii="Arial" w:hAnsi="Arial" w:cs="Arial"/>
          <w:b/>
          <w:bCs/>
          <w:color w:val="333333"/>
          <w:sz w:val="20"/>
          <w:szCs w:val="20"/>
          <w:lang w:eastAsia="sl-SI"/>
        </w:rPr>
      </w:pPr>
    </w:p>
    <w:p w:rsidR="002D5BE3" w:rsidRPr="002D5BE3" w:rsidRDefault="002D5BE3" w:rsidP="002D5BE3">
      <w:pPr>
        <w:suppressAutoHyphens w:val="0"/>
        <w:spacing w:after="210"/>
        <w:jc w:val="center"/>
        <w:rPr>
          <w:rFonts w:ascii="Arial" w:hAnsi="Arial" w:cs="Arial"/>
          <w:bCs/>
          <w:color w:val="333333"/>
          <w:sz w:val="20"/>
          <w:szCs w:val="20"/>
          <w:lang w:eastAsia="sl-SI"/>
        </w:rPr>
      </w:pPr>
      <w:r w:rsidRPr="002D5BE3">
        <w:rPr>
          <w:rFonts w:ascii="Arial" w:hAnsi="Arial" w:cs="Arial"/>
          <w:bCs/>
          <w:color w:val="333333"/>
          <w:sz w:val="20"/>
          <w:szCs w:val="20"/>
          <w:lang w:eastAsia="sl-SI"/>
        </w:rPr>
        <w:t>13. člen</w:t>
      </w:r>
    </w:p>
    <w:p w:rsidR="002D5BE3" w:rsidRPr="002D5BE3" w:rsidRDefault="002D5BE3" w:rsidP="002D5BE3">
      <w:pPr>
        <w:suppressAutoHyphens w:val="0"/>
        <w:spacing w:after="210"/>
        <w:jc w:val="center"/>
        <w:rPr>
          <w:rFonts w:ascii="Arial" w:hAnsi="Arial" w:cs="Arial"/>
          <w:bCs/>
          <w:color w:val="333333"/>
          <w:sz w:val="20"/>
          <w:szCs w:val="20"/>
          <w:lang w:eastAsia="sl-SI"/>
        </w:rPr>
      </w:pPr>
      <w:r w:rsidRPr="002D5BE3">
        <w:rPr>
          <w:rFonts w:ascii="Arial" w:hAnsi="Arial" w:cs="Arial"/>
          <w:bCs/>
          <w:color w:val="333333"/>
          <w:sz w:val="20"/>
          <w:szCs w:val="20"/>
          <w:lang w:eastAsia="sl-SI"/>
        </w:rPr>
        <w:t>(prenehanje veljavnosti)</w:t>
      </w:r>
    </w:p>
    <w:p w:rsidR="002D5BE3" w:rsidRPr="002D5BE3" w:rsidRDefault="002D5BE3" w:rsidP="002D5BE3">
      <w:pPr>
        <w:suppressAutoHyphens w:val="0"/>
        <w:spacing w:after="210"/>
        <w:jc w:val="both"/>
        <w:rPr>
          <w:rFonts w:ascii="Arial" w:hAnsi="Arial" w:cs="Arial"/>
          <w:color w:val="333333"/>
          <w:sz w:val="20"/>
          <w:szCs w:val="20"/>
          <w:lang w:eastAsia="sl-SI"/>
        </w:rPr>
      </w:pPr>
      <w:r w:rsidRPr="002D5BE3">
        <w:rPr>
          <w:rFonts w:ascii="Arial" w:hAnsi="Arial" w:cs="Arial"/>
          <w:color w:val="333333"/>
          <w:sz w:val="20"/>
          <w:szCs w:val="20"/>
          <w:lang w:eastAsia="sl-SI"/>
        </w:rPr>
        <w:t xml:space="preserve">Z dnem uveljavite te uredbe preneha veljati Uredba o načinu določanja in obračunavanja prispevka za zagotavljanje podpor proizvodnji električne energije v </w:t>
      </w:r>
      <w:proofErr w:type="spellStart"/>
      <w:r w:rsidRPr="002D5BE3">
        <w:rPr>
          <w:rFonts w:ascii="Arial" w:hAnsi="Arial" w:cs="Arial"/>
          <w:color w:val="333333"/>
          <w:sz w:val="20"/>
          <w:szCs w:val="20"/>
          <w:lang w:eastAsia="sl-SI"/>
        </w:rPr>
        <w:t>soproizvodnji</w:t>
      </w:r>
      <w:proofErr w:type="spellEnd"/>
      <w:r w:rsidRPr="002D5BE3">
        <w:rPr>
          <w:rFonts w:ascii="Arial" w:hAnsi="Arial" w:cs="Arial"/>
          <w:color w:val="333333"/>
          <w:sz w:val="20"/>
          <w:szCs w:val="20"/>
          <w:lang w:eastAsia="sl-SI"/>
        </w:rPr>
        <w:t xml:space="preserve"> z visokim izkoristkom in iz obnovljivih virov energije (Uradni list RS, št. 2/09, 49/10, 61/13 in 64/13).</w:t>
      </w:r>
    </w:p>
    <w:p w:rsidR="002D5BE3" w:rsidRPr="002D5BE3" w:rsidRDefault="002D5BE3" w:rsidP="002D5BE3">
      <w:pPr>
        <w:suppressAutoHyphens w:val="0"/>
        <w:spacing w:after="210"/>
        <w:jc w:val="both"/>
        <w:rPr>
          <w:rFonts w:ascii="Arial" w:hAnsi="Arial" w:cs="Arial"/>
          <w:color w:val="333333"/>
          <w:sz w:val="20"/>
          <w:szCs w:val="20"/>
          <w:lang w:eastAsia="sl-SI"/>
        </w:rPr>
      </w:pPr>
    </w:p>
    <w:p w:rsidR="002D5BE3" w:rsidRPr="002D5BE3" w:rsidRDefault="002D5BE3" w:rsidP="002D5BE3">
      <w:pPr>
        <w:suppressAutoHyphens w:val="0"/>
        <w:spacing w:after="210"/>
        <w:jc w:val="center"/>
        <w:rPr>
          <w:rFonts w:ascii="Arial" w:hAnsi="Arial" w:cs="Arial"/>
          <w:bCs/>
          <w:color w:val="333333"/>
          <w:sz w:val="20"/>
          <w:szCs w:val="20"/>
          <w:lang w:eastAsia="sl-SI"/>
        </w:rPr>
      </w:pPr>
      <w:r w:rsidRPr="002D5BE3">
        <w:rPr>
          <w:rFonts w:ascii="Arial" w:hAnsi="Arial" w:cs="Arial"/>
          <w:bCs/>
          <w:color w:val="333333"/>
          <w:sz w:val="20"/>
          <w:szCs w:val="20"/>
          <w:lang w:eastAsia="sl-SI"/>
        </w:rPr>
        <w:t>14. člen</w:t>
      </w:r>
    </w:p>
    <w:p w:rsidR="002D5BE3" w:rsidRPr="002D5BE3" w:rsidRDefault="002D5BE3" w:rsidP="002D5BE3">
      <w:pPr>
        <w:suppressAutoHyphens w:val="0"/>
        <w:spacing w:after="210"/>
        <w:jc w:val="center"/>
        <w:rPr>
          <w:rFonts w:ascii="Arial" w:hAnsi="Arial" w:cs="Arial"/>
          <w:bCs/>
          <w:color w:val="333333"/>
          <w:sz w:val="20"/>
          <w:szCs w:val="20"/>
          <w:lang w:eastAsia="sl-SI"/>
        </w:rPr>
      </w:pPr>
      <w:r w:rsidRPr="002D5BE3">
        <w:rPr>
          <w:rFonts w:ascii="Arial" w:hAnsi="Arial" w:cs="Arial"/>
          <w:bCs/>
          <w:color w:val="333333"/>
          <w:sz w:val="20"/>
          <w:szCs w:val="20"/>
          <w:lang w:eastAsia="sl-SI"/>
        </w:rPr>
        <w:t>(uveljavitev uredbe)</w:t>
      </w:r>
    </w:p>
    <w:p w:rsidR="002D5BE3" w:rsidRPr="002D5BE3" w:rsidRDefault="002D5BE3" w:rsidP="002D5BE3">
      <w:pPr>
        <w:suppressAutoHyphens w:val="0"/>
        <w:spacing w:after="210"/>
        <w:jc w:val="both"/>
        <w:rPr>
          <w:rFonts w:ascii="Arial" w:hAnsi="Arial" w:cs="Arial"/>
          <w:color w:val="000000"/>
          <w:sz w:val="20"/>
          <w:szCs w:val="20"/>
        </w:rPr>
      </w:pPr>
      <w:r w:rsidRPr="002D5BE3">
        <w:rPr>
          <w:rFonts w:ascii="Arial" w:hAnsi="Arial" w:cs="Arial"/>
          <w:color w:val="333333"/>
          <w:sz w:val="20"/>
          <w:szCs w:val="20"/>
          <w:lang w:eastAsia="sl-SI"/>
        </w:rPr>
        <w:t>Ta uredba začne veljati naslednji dan po objavi v Uradnem listu Republike Slovenije.</w:t>
      </w:r>
    </w:p>
    <w:p w:rsidR="002D5BE3" w:rsidRPr="002D5BE3" w:rsidRDefault="002D5BE3" w:rsidP="002D5BE3">
      <w:pPr>
        <w:autoSpaceDE w:val="0"/>
        <w:autoSpaceDN w:val="0"/>
        <w:adjustRightInd w:val="0"/>
        <w:spacing w:line="240" w:lineRule="atLeast"/>
        <w:rPr>
          <w:rFonts w:ascii="Arial" w:hAnsi="Arial" w:cs="Arial"/>
          <w:color w:val="000000"/>
          <w:sz w:val="20"/>
          <w:szCs w:val="20"/>
        </w:rPr>
      </w:pPr>
    </w:p>
    <w:p w:rsidR="002D5BE3" w:rsidRPr="002D5BE3" w:rsidRDefault="002D5BE3" w:rsidP="002D5BE3">
      <w:pPr>
        <w:autoSpaceDE w:val="0"/>
        <w:autoSpaceDN w:val="0"/>
        <w:adjustRightInd w:val="0"/>
        <w:spacing w:line="240" w:lineRule="atLeast"/>
        <w:rPr>
          <w:rFonts w:ascii="Arial" w:hAnsi="Arial" w:cs="Arial"/>
          <w:color w:val="000000"/>
          <w:sz w:val="20"/>
          <w:szCs w:val="20"/>
        </w:rPr>
      </w:pPr>
    </w:p>
    <w:p w:rsidR="002D5BE3" w:rsidRPr="002D5BE3" w:rsidRDefault="002D5BE3" w:rsidP="002D5BE3">
      <w:pPr>
        <w:autoSpaceDE w:val="0"/>
        <w:autoSpaceDN w:val="0"/>
        <w:adjustRightInd w:val="0"/>
        <w:spacing w:line="240" w:lineRule="atLeast"/>
        <w:rPr>
          <w:rFonts w:ascii="Arial" w:hAnsi="Arial" w:cs="Arial"/>
          <w:color w:val="000000"/>
          <w:sz w:val="20"/>
          <w:szCs w:val="20"/>
        </w:rPr>
      </w:pPr>
    </w:p>
    <w:p w:rsidR="002D5BE3" w:rsidRPr="002D5BE3" w:rsidRDefault="002D5BE3" w:rsidP="002D5BE3">
      <w:pPr>
        <w:tabs>
          <w:tab w:val="left" w:pos="708"/>
        </w:tabs>
        <w:spacing w:line="260" w:lineRule="exact"/>
        <w:rPr>
          <w:rFonts w:ascii="Arial" w:hAnsi="Arial" w:cs="Arial"/>
          <w:color w:val="000000"/>
          <w:sz w:val="20"/>
          <w:szCs w:val="20"/>
        </w:rPr>
      </w:pPr>
      <w:r w:rsidRPr="002D5BE3">
        <w:rPr>
          <w:rFonts w:ascii="Arial" w:hAnsi="Arial" w:cs="Arial"/>
          <w:color w:val="000000"/>
          <w:sz w:val="20"/>
          <w:szCs w:val="20"/>
        </w:rPr>
        <w:t xml:space="preserve">Št. </w:t>
      </w:r>
    </w:p>
    <w:p w:rsidR="002D5BE3" w:rsidRPr="002D5BE3" w:rsidRDefault="002D5BE3" w:rsidP="002D5BE3">
      <w:pPr>
        <w:tabs>
          <w:tab w:val="left" w:pos="708"/>
        </w:tabs>
        <w:spacing w:line="260" w:lineRule="exact"/>
        <w:rPr>
          <w:rFonts w:ascii="Arial" w:hAnsi="Arial" w:cs="Arial"/>
          <w:color w:val="000000"/>
          <w:sz w:val="20"/>
          <w:szCs w:val="20"/>
        </w:rPr>
      </w:pPr>
      <w:r w:rsidRPr="002D5BE3">
        <w:rPr>
          <w:rFonts w:ascii="Arial" w:hAnsi="Arial" w:cs="Arial"/>
          <w:color w:val="000000"/>
          <w:sz w:val="20"/>
          <w:szCs w:val="20"/>
        </w:rPr>
        <w:t xml:space="preserve">Ljubljana, </w:t>
      </w:r>
      <w:r w:rsidR="002709AE">
        <w:rPr>
          <w:rFonts w:ascii="Arial" w:hAnsi="Arial" w:cs="Arial"/>
          <w:color w:val="000000"/>
          <w:sz w:val="20"/>
          <w:szCs w:val="20"/>
        </w:rPr>
        <w:t>dne</w:t>
      </w:r>
    </w:p>
    <w:p w:rsidR="002D5BE3" w:rsidRPr="002D5BE3" w:rsidRDefault="002D5BE3" w:rsidP="002D5BE3">
      <w:pPr>
        <w:suppressAutoHyphens w:val="0"/>
        <w:spacing w:after="200" w:line="276" w:lineRule="auto"/>
        <w:rPr>
          <w:rFonts w:ascii="Calibri" w:eastAsia="Calibri" w:hAnsi="Calibri"/>
          <w:sz w:val="20"/>
          <w:szCs w:val="20"/>
          <w:lang w:eastAsia="en-US"/>
        </w:rPr>
      </w:pPr>
      <w:r w:rsidRPr="002D5BE3">
        <w:rPr>
          <w:rFonts w:ascii="Arial" w:hAnsi="Arial" w:cs="Arial"/>
          <w:color w:val="000000"/>
          <w:sz w:val="20"/>
          <w:szCs w:val="20"/>
        </w:rPr>
        <w:t>EVA  2014-2430-0045</w:t>
      </w:r>
    </w:p>
    <w:p w:rsidR="00AD63E1" w:rsidRPr="007F309E" w:rsidRDefault="00AD63E1" w:rsidP="00AD63E1">
      <w:pPr>
        <w:tabs>
          <w:tab w:val="left" w:pos="708"/>
        </w:tabs>
        <w:spacing w:line="260" w:lineRule="exact"/>
        <w:rPr>
          <w:rFonts w:ascii="Arial" w:eastAsia="Calibri" w:hAnsi="Arial" w:cs="Arial"/>
          <w:b/>
          <w:sz w:val="20"/>
          <w:szCs w:val="20"/>
          <w:lang w:eastAsia="en-US"/>
        </w:rPr>
      </w:pPr>
      <w:r>
        <w:rPr>
          <w:rFonts w:ascii="Arial" w:hAnsi="Arial" w:cs="Arial"/>
          <w:color w:val="000000"/>
          <w:sz w:val="20"/>
          <w:szCs w:val="20"/>
        </w:rPr>
        <w:br w:type="page"/>
      </w:r>
      <w:r w:rsidRPr="007F309E">
        <w:rPr>
          <w:rFonts w:ascii="Arial" w:eastAsia="Calibri" w:hAnsi="Arial" w:cs="Arial"/>
          <w:b/>
          <w:sz w:val="20"/>
          <w:szCs w:val="20"/>
          <w:lang w:eastAsia="en-US"/>
        </w:rPr>
        <w:lastRenderedPageBreak/>
        <w:t>OBRAZLOŽITEV</w:t>
      </w:r>
    </w:p>
    <w:p w:rsidR="00AD63E1" w:rsidRPr="007F309E" w:rsidRDefault="00AD63E1" w:rsidP="00AD63E1">
      <w:pPr>
        <w:tabs>
          <w:tab w:val="left" w:pos="708"/>
        </w:tabs>
        <w:suppressAutoHyphens w:val="0"/>
        <w:spacing w:line="260" w:lineRule="exact"/>
        <w:rPr>
          <w:rFonts w:ascii="Arial" w:eastAsia="Calibri" w:hAnsi="Arial" w:cs="Arial"/>
          <w:b/>
          <w:sz w:val="20"/>
          <w:szCs w:val="20"/>
          <w:lang w:eastAsia="en-US"/>
        </w:rPr>
      </w:pPr>
    </w:p>
    <w:p w:rsidR="00AD63E1" w:rsidRPr="007F309E" w:rsidRDefault="00AD63E1" w:rsidP="00AD63E1">
      <w:pPr>
        <w:tabs>
          <w:tab w:val="left" w:pos="708"/>
        </w:tabs>
        <w:suppressAutoHyphens w:val="0"/>
        <w:spacing w:line="260" w:lineRule="exact"/>
        <w:rPr>
          <w:rFonts w:ascii="Arial" w:eastAsia="Calibri" w:hAnsi="Arial" w:cs="Arial"/>
          <w:sz w:val="20"/>
          <w:szCs w:val="20"/>
          <w:lang w:eastAsia="en-US"/>
        </w:rPr>
      </w:pPr>
      <w:r w:rsidRPr="007F309E">
        <w:rPr>
          <w:rFonts w:ascii="Arial" w:eastAsia="Calibri" w:hAnsi="Arial" w:cs="Arial"/>
          <w:sz w:val="20"/>
          <w:szCs w:val="20"/>
          <w:lang w:eastAsia="en-US"/>
        </w:rPr>
        <w:t>I. UVOD</w:t>
      </w:r>
    </w:p>
    <w:p w:rsidR="00AD63E1" w:rsidRPr="007F309E" w:rsidRDefault="00AD63E1" w:rsidP="00AD63E1">
      <w:pPr>
        <w:tabs>
          <w:tab w:val="left" w:pos="708"/>
        </w:tabs>
        <w:suppressAutoHyphens w:val="0"/>
        <w:spacing w:line="260" w:lineRule="exact"/>
        <w:ind w:left="720"/>
        <w:rPr>
          <w:rFonts w:ascii="Arial" w:eastAsia="Calibri" w:hAnsi="Arial" w:cs="Arial"/>
          <w:sz w:val="20"/>
          <w:szCs w:val="20"/>
          <w:lang w:eastAsia="en-US"/>
        </w:rPr>
      </w:pPr>
    </w:p>
    <w:p w:rsidR="00AD63E1" w:rsidRPr="007F309E" w:rsidRDefault="00AD63E1" w:rsidP="00AD63E1">
      <w:pPr>
        <w:numPr>
          <w:ilvl w:val="0"/>
          <w:numId w:val="6"/>
        </w:numPr>
        <w:tabs>
          <w:tab w:val="num" w:pos="-360"/>
        </w:tabs>
        <w:suppressAutoHyphens w:val="0"/>
        <w:spacing w:after="200" w:line="260" w:lineRule="exact"/>
        <w:ind w:left="360"/>
        <w:jc w:val="both"/>
        <w:rPr>
          <w:rFonts w:ascii="Arial" w:eastAsia="Calibri" w:hAnsi="Arial" w:cs="Arial"/>
          <w:sz w:val="20"/>
          <w:szCs w:val="20"/>
          <w:lang w:eastAsia="en-US"/>
        </w:rPr>
      </w:pPr>
      <w:r w:rsidRPr="007F309E">
        <w:rPr>
          <w:rFonts w:ascii="Arial" w:eastAsia="Calibri" w:hAnsi="Arial" w:cs="Arial"/>
          <w:sz w:val="20"/>
          <w:szCs w:val="20"/>
          <w:lang w:eastAsia="en-US"/>
        </w:rPr>
        <w:t>Pravna podlaga (besedilo, vsebina zakonske določbe, ki je podlaga za izdajo uredbe)</w:t>
      </w:r>
    </w:p>
    <w:p w:rsidR="00AD63E1" w:rsidRDefault="00AD63E1" w:rsidP="00AD63E1">
      <w:pPr>
        <w:tabs>
          <w:tab w:val="left" w:pos="708"/>
        </w:tabs>
        <w:suppressAutoHyphens w:val="0"/>
        <w:spacing w:line="260" w:lineRule="exact"/>
        <w:ind w:firstLine="708"/>
        <w:rPr>
          <w:rFonts w:ascii="Arial" w:eastAsia="Calibri" w:hAnsi="Arial" w:cs="Arial"/>
          <w:sz w:val="20"/>
          <w:szCs w:val="20"/>
          <w:lang w:eastAsia="en-US"/>
        </w:rPr>
      </w:pPr>
      <w:r>
        <w:rPr>
          <w:rFonts w:ascii="Arial" w:eastAsia="Calibri" w:hAnsi="Arial" w:cs="Arial"/>
          <w:sz w:val="20"/>
          <w:szCs w:val="20"/>
          <w:lang w:eastAsia="en-US"/>
        </w:rPr>
        <w:t xml:space="preserve">Prvi odstavek 378. člena Energetskega zakona (EZ-1) (Uradni list RS, </w:t>
      </w:r>
      <w:proofErr w:type="spellStart"/>
      <w:r>
        <w:rPr>
          <w:rFonts w:ascii="Arial" w:eastAsia="Calibri" w:hAnsi="Arial" w:cs="Arial"/>
          <w:sz w:val="20"/>
          <w:szCs w:val="20"/>
          <w:lang w:eastAsia="en-US"/>
        </w:rPr>
        <w:t>št.17/2014</w:t>
      </w:r>
      <w:proofErr w:type="spellEnd"/>
      <w:r>
        <w:rPr>
          <w:rFonts w:ascii="Arial" w:eastAsia="Calibri" w:hAnsi="Arial" w:cs="Arial"/>
          <w:sz w:val="20"/>
          <w:szCs w:val="20"/>
          <w:lang w:eastAsia="en-US"/>
        </w:rPr>
        <w:t>).</w:t>
      </w:r>
    </w:p>
    <w:p w:rsidR="00AD63E1" w:rsidRPr="007F309E" w:rsidRDefault="00AD63E1" w:rsidP="00AD63E1">
      <w:pPr>
        <w:tabs>
          <w:tab w:val="left" w:pos="708"/>
        </w:tabs>
        <w:suppressAutoHyphens w:val="0"/>
        <w:spacing w:line="260" w:lineRule="exact"/>
        <w:ind w:firstLine="708"/>
        <w:rPr>
          <w:rFonts w:ascii="Arial" w:eastAsia="Calibri" w:hAnsi="Arial" w:cs="Arial"/>
          <w:sz w:val="20"/>
          <w:szCs w:val="20"/>
          <w:lang w:eastAsia="en-US"/>
        </w:rPr>
      </w:pPr>
    </w:p>
    <w:p w:rsidR="00AD63E1" w:rsidRDefault="00AD63E1" w:rsidP="00AD63E1">
      <w:pPr>
        <w:numPr>
          <w:ilvl w:val="0"/>
          <w:numId w:val="6"/>
        </w:numPr>
        <w:tabs>
          <w:tab w:val="num" w:pos="-360"/>
        </w:tabs>
        <w:suppressAutoHyphens w:val="0"/>
        <w:spacing w:after="200" w:line="260" w:lineRule="exact"/>
        <w:ind w:left="360"/>
        <w:jc w:val="both"/>
        <w:rPr>
          <w:rFonts w:ascii="Arial" w:eastAsia="Calibri" w:hAnsi="Arial" w:cs="Arial"/>
          <w:sz w:val="20"/>
          <w:szCs w:val="20"/>
          <w:lang w:eastAsia="en-US"/>
        </w:rPr>
      </w:pPr>
      <w:r w:rsidRPr="007F309E">
        <w:rPr>
          <w:rFonts w:ascii="Arial" w:eastAsia="Calibri" w:hAnsi="Arial" w:cs="Arial"/>
          <w:sz w:val="20"/>
          <w:szCs w:val="20"/>
          <w:lang w:eastAsia="en-US"/>
        </w:rPr>
        <w:t>Rok za izdajo uredbe, določen z zakonom</w:t>
      </w:r>
    </w:p>
    <w:p w:rsidR="00AD63E1" w:rsidRPr="007F309E" w:rsidRDefault="00AD63E1" w:rsidP="00AD63E1">
      <w:pPr>
        <w:suppressAutoHyphens w:val="0"/>
        <w:spacing w:after="200" w:line="260" w:lineRule="exact"/>
        <w:ind w:firstLine="360"/>
        <w:jc w:val="both"/>
        <w:rPr>
          <w:rFonts w:ascii="Arial" w:eastAsia="Calibri" w:hAnsi="Arial" w:cs="Arial"/>
          <w:sz w:val="20"/>
          <w:szCs w:val="20"/>
          <w:lang w:eastAsia="en-US"/>
        </w:rPr>
      </w:pPr>
      <w:r>
        <w:rPr>
          <w:rFonts w:ascii="Arial" w:eastAsia="Calibri" w:hAnsi="Arial" w:cs="Arial"/>
          <w:sz w:val="20"/>
          <w:szCs w:val="20"/>
          <w:lang w:eastAsia="en-US"/>
        </w:rPr>
        <w:t>536. člen Energetskega zakona določa, da mora Vlada sprejeti uredbo na podlagi prvega odstavka 378. člena v roku treh mesecev od uveljavitve zakona.</w:t>
      </w:r>
    </w:p>
    <w:p w:rsidR="00AD63E1" w:rsidRPr="007F309E" w:rsidRDefault="00AD63E1" w:rsidP="00AD63E1">
      <w:pPr>
        <w:tabs>
          <w:tab w:val="left" w:pos="708"/>
        </w:tabs>
        <w:suppressAutoHyphens w:val="0"/>
        <w:spacing w:line="260" w:lineRule="exact"/>
        <w:rPr>
          <w:rFonts w:ascii="Arial" w:eastAsia="Calibri" w:hAnsi="Arial" w:cs="Arial"/>
          <w:sz w:val="20"/>
          <w:szCs w:val="20"/>
          <w:lang w:eastAsia="en-US"/>
        </w:rPr>
      </w:pPr>
    </w:p>
    <w:p w:rsidR="00AD63E1" w:rsidRDefault="00AD63E1" w:rsidP="00AD63E1">
      <w:pPr>
        <w:numPr>
          <w:ilvl w:val="0"/>
          <w:numId w:val="6"/>
        </w:numPr>
        <w:tabs>
          <w:tab w:val="num" w:pos="0"/>
        </w:tabs>
        <w:suppressAutoHyphens w:val="0"/>
        <w:spacing w:after="200" w:line="260" w:lineRule="exact"/>
        <w:ind w:left="360"/>
        <w:jc w:val="both"/>
        <w:rPr>
          <w:rFonts w:ascii="Arial" w:eastAsia="Calibri" w:hAnsi="Arial" w:cs="Arial"/>
          <w:sz w:val="20"/>
          <w:szCs w:val="20"/>
          <w:lang w:eastAsia="en-US"/>
        </w:rPr>
      </w:pPr>
      <w:r w:rsidRPr="007F309E">
        <w:rPr>
          <w:rFonts w:ascii="Arial" w:eastAsia="Calibri" w:hAnsi="Arial" w:cs="Arial"/>
          <w:sz w:val="20"/>
          <w:szCs w:val="20"/>
          <w:lang w:eastAsia="en-US"/>
        </w:rPr>
        <w:t>Splošna obrazložitev predloga uredbe, če je potrebna</w:t>
      </w:r>
    </w:p>
    <w:p w:rsidR="00AD63E1" w:rsidRPr="003E4145" w:rsidRDefault="00AD63E1" w:rsidP="00AD63E1">
      <w:pPr>
        <w:suppressAutoHyphens w:val="0"/>
        <w:spacing w:after="200" w:line="260" w:lineRule="exact"/>
        <w:ind w:firstLine="708"/>
        <w:jc w:val="both"/>
        <w:rPr>
          <w:rFonts w:ascii="Arial" w:eastAsia="Calibri" w:hAnsi="Arial" w:cs="Arial"/>
          <w:sz w:val="20"/>
          <w:szCs w:val="20"/>
          <w:lang w:eastAsia="en-US"/>
        </w:rPr>
      </w:pPr>
      <w:r>
        <w:rPr>
          <w:rFonts w:ascii="Arial" w:eastAsia="Calibri" w:hAnsi="Arial" w:cs="Arial"/>
          <w:sz w:val="20"/>
          <w:szCs w:val="20"/>
          <w:lang w:eastAsia="en-US"/>
        </w:rPr>
        <w:t xml:space="preserve">Prvi odstavek 378. člena Energetskega zakona (EZ-1) (Uradni list RS, št. 17/2014) </w:t>
      </w:r>
      <w:r w:rsidRPr="003E4145">
        <w:rPr>
          <w:rFonts w:ascii="Arial" w:eastAsia="Calibri" w:hAnsi="Arial" w:cs="Arial"/>
          <w:sz w:val="20"/>
          <w:szCs w:val="20"/>
          <w:lang w:eastAsia="en-US"/>
        </w:rPr>
        <w:t>določa, da Vlada podrobneje predpiše način določanja in obračunavanja prispevkov določenih v 377. členu zakona, pri čemer lahko pri določanju deleža posameznih skupin končnih odjemalcev upošteva tudi vpliv višine prispevkov na konkurenčnost, če takšna olajšava gospodarstvu ni v nasprotju s pravili za državne pomoči.</w:t>
      </w:r>
    </w:p>
    <w:p w:rsidR="00AD63E1" w:rsidRDefault="00AD63E1" w:rsidP="00AD63E1">
      <w:pPr>
        <w:suppressAutoHyphens w:val="0"/>
        <w:spacing w:after="200" w:line="260" w:lineRule="exact"/>
        <w:ind w:firstLine="708"/>
        <w:jc w:val="both"/>
        <w:rPr>
          <w:rFonts w:ascii="Arial" w:eastAsia="Calibri" w:hAnsi="Arial" w:cs="Arial"/>
          <w:sz w:val="20"/>
          <w:szCs w:val="20"/>
          <w:lang w:eastAsia="en-US"/>
        </w:rPr>
      </w:pPr>
      <w:r>
        <w:rPr>
          <w:rFonts w:ascii="Arial" w:eastAsia="Calibri" w:hAnsi="Arial" w:cs="Arial"/>
          <w:sz w:val="20"/>
          <w:szCs w:val="20"/>
          <w:lang w:eastAsia="en-US"/>
        </w:rPr>
        <w:t>Uredba določa, da mora vsak k</w:t>
      </w:r>
      <w:r w:rsidRPr="003E4145">
        <w:rPr>
          <w:rFonts w:ascii="Arial" w:eastAsia="Calibri" w:hAnsi="Arial" w:cs="Arial"/>
          <w:sz w:val="20"/>
          <w:szCs w:val="20"/>
          <w:lang w:eastAsia="en-US"/>
        </w:rPr>
        <w:t xml:space="preserve">ončni odjemalec, ki kupi fosilna goriva (trda, tekoča in plinasta) </w:t>
      </w:r>
      <w:r>
        <w:rPr>
          <w:rFonts w:ascii="Arial" w:eastAsia="Calibri" w:hAnsi="Arial" w:cs="Arial"/>
          <w:sz w:val="20"/>
          <w:szCs w:val="20"/>
          <w:lang w:eastAsia="en-US"/>
        </w:rPr>
        <w:t xml:space="preserve">ali </w:t>
      </w:r>
      <w:r w:rsidRPr="003E4145">
        <w:rPr>
          <w:rFonts w:ascii="Arial" w:eastAsia="Calibri" w:hAnsi="Arial" w:cs="Arial"/>
          <w:sz w:val="20"/>
          <w:szCs w:val="20"/>
          <w:lang w:eastAsia="en-US"/>
        </w:rPr>
        <w:t xml:space="preserve">daljinsko toploto proizvedeno iz fosilnih virov, plačati prispevek za zagotavljanje podpor proizvodnji električne energije v </w:t>
      </w:r>
      <w:proofErr w:type="spellStart"/>
      <w:r w:rsidRPr="003E4145">
        <w:rPr>
          <w:rFonts w:ascii="Arial" w:eastAsia="Calibri" w:hAnsi="Arial" w:cs="Arial"/>
          <w:sz w:val="20"/>
          <w:szCs w:val="20"/>
          <w:lang w:eastAsia="en-US"/>
        </w:rPr>
        <w:t>soproizvodnji</w:t>
      </w:r>
      <w:proofErr w:type="spellEnd"/>
      <w:r w:rsidRPr="003E4145">
        <w:rPr>
          <w:rFonts w:ascii="Arial" w:eastAsia="Calibri" w:hAnsi="Arial" w:cs="Arial"/>
          <w:sz w:val="20"/>
          <w:szCs w:val="20"/>
          <w:lang w:eastAsia="en-US"/>
        </w:rPr>
        <w:t xml:space="preserve"> z visokim izkoristkom in iz obnovljivih virov energije. </w:t>
      </w:r>
    </w:p>
    <w:p w:rsidR="00AD63E1" w:rsidRPr="003E4145" w:rsidRDefault="00AD63E1" w:rsidP="00AD63E1">
      <w:pPr>
        <w:suppressAutoHyphens w:val="0"/>
        <w:spacing w:after="200" w:line="260" w:lineRule="exact"/>
        <w:ind w:firstLine="708"/>
        <w:jc w:val="both"/>
        <w:rPr>
          <w:rFonts w:ascii="Arial" w:eastAsia="Calibri" w:hAnsi="Arial" w:cs="Arial"/>
          <w:sz w:val="20"/>
          <w:szCs w:val="20"/>
          <w:lang w:eastAsia="en-US"/>
        </w:rPr>
      </w:pPr>
      <w:r>
        <w:rPr>
          <w:rFonts w:ascii="Arial" w:eastAsia="Calibri" w:hAnsi="Arial" w:cs="Arial"/>
          <w:sz w:val="20"/>
          <w:szCs w:val="20"/>
          <w:lang w:eastAsia="en-US"/>
        </w:rPr>
        <w:t xml:space="preserve">Skladno z določbami </w:t>
      </w:r>
      <w:r w:rsidRPr="003E4145">
        <w:rPr>
          <w:rFonts w:ascii="Arial" w:eastAsia="Calibri" w:hAnsi="Arial" w:cs="Arial"/>
          <w:sz w:val="20"/>
          <w:szCs w:val="20"/>
          <w:lang w:eastAsia="en-US"/>
        </w:rPr>
        <w:t>Energetsk</w:t>
      </w:r>
      <w:r>
        <w:rPr>
          <w:rFonts w:ascii="Arial" w:eastAsia="Calibri" w:hAnsi="Arial" w:cs="Arial"/>
          <w:sz w:val="20"/>
          <w:szCs w:val="20"/>
          <w:lang w:eastAsia="en-US"/>
        </w:rPr>
        <w:t>ega</w:t>
      </w:r>
      <w:r w:rsidRPr="003E4145">
        <w:rPr>
          <w:rFonts w:ascii="Arial" w:eastAsia="Calibri" w:hAnsi="Arial" w:cs="Arial"/>
          <w:sz w:val="20"/>
          <w:szCs w:val="20"/>
          <w:lang w:eastAsia="en-US"/>
        </w:rPr>
        <w:t xml:space="preserve"> zakon</w:t>
      </w:r>
      <w:r>
        <w:rPr>
          <w:rFonts w:ascii="Arial" w:eastAsia="Calibri" w:hAnsi="Arial" w:cs="Arial"/>
          <w:sz w:val="20"/>
          <w:szCs w:val="20"/>
          <w:lang w:eastAsia="en-US"/>
        </w:rPr>
        <w:t>a</w:t>
      </w:r>
      <w:r w:rsidRPr="003E4145">
        <w:rPr>
          <w:rFonts w:ascii="Arial" w:eastAsia="Calibri" w:hAnsi="Arial" w:cs="Arial"/>
          <w:sz w:val="20"/>
          <w:szCs w:val="20"/>
          <w:lang w:eastAsia="en-US"/>
        </w:rPr>
        <w:t xml:space="preserve"> je višina prispevkov, ki jih plačujejo končni odjemalci odvisna od moči, in napetostne ravni prevzemni-predajnega mesta, kategorije odjemalca in namena porabe energije. Za dobavljeno fosilno gorivo in toploto se prispevek obračuna končnim odjema</w:t>
      </w:r>
      <w:r>
        <w:rPr>
          <w:rFonts w:ascii="Arial" w:eastAsia="Calibri" w:hAnsi="Arial" w:cs="Arial"/>
          <w:sz w:val="20"/>
          <w:szCs w:val="20"/>
          <w:lang w:eastAsia="en-US"/>
        </w:rPr>
        <w:t xml:space="preserve">lcem na MWh dobavljene energije in </w:t>
      </w:r>
      <w:r w:rsidRPr="003E4145">
        <w:rPr>
          <w:rFonts w:ascii="Arial" w:eastAsia="Calibri" w:hAnsi="Arial" w:cs="Arial"/>
          <w:sz w:val="20"/>
          <w:szCs w:val="20"/>
          <w:lang w:eastAsia="en-US"/>
        </w:rPr>
        <w:t xml:space="preserve">je odvisna od energijske vrednosti dobavljenega goriva, utekočinjenega naftnega ali zemeljskega plina ali toplote iz omrežja, ki se upošteva pri pripravi uradnih statističnih podatkov. </w:t>
      </w:r>
    </w:p>
    <w:p w:rsidR="00AD63E1" w:rsidRPr="003E4145" w:rsidRDefault="00AD63E1" w:rsidP="00AD63E1">
      <w:pPr>
        <w:suppressAutoHyphens w:val="0"/>
        <w:spacing w:after="200" w:line="260" w:lineRule="exact"/>
        <w:ind w:firstLine="708"/>
        <w:jc w:val="both"/>
        <w:rPr>
          <w:rFonts w:ascii="Arial" w:eastAsia="Calibri" w:hAnsi="Arial" w:cs="Arial"/>
          <w:sz w:val="20"/>
          <w:szCs w:val="20"/>
          <w:lang w:eastAsia="en-US"/>
        </w:rPr>
      </w:pPr>
      <w:r>
        <w:rPr>
          <w:rFonts w:ascii="Arial" w:eastAsia="Calibri" w:hAnsi="Arial" w:cs="Arial"/>
          <w:sz w:val="20"/>
          <w:szCs w:val="20"/>
          <w:lang w:eastAsia="en-US"/>
        </w:rPr>
        <w:t xml:space="preserve">Višina prispevkov je odvisna od </w:t>
      </w:r>
      <w:r w:rsidRPr="003E4145">
        <w:rPr>
          <w:rFonts w:ascii="Arial" w:eastAsia="Calibri" w:hAnsi="Arial" w:cs="Arial"/>
          <w:sz w:val="20"/>
          <w:szCs w:val="20"/>
          <w:lang w:eastAsia="en-US"/>
        </w:rPr>
        <w:t>o</w:t>
      </w:r>
      <w:r>
        <w:rPr>
          <w:rFonts w:ascii="Arial" w:eastAsia="Calibri" w:hAnsi="Arial" w:cs="Arial"/>
          <w:sz w:val="20"/>
          <w:szCs w:val="20"/>
          <w:lang w:eastAsia="en-US"/>
        </w:rPr>
        <w:t>cene</w:t>
      </w:r>
      <w:r w:rsidRPr="003E4145">
        <w:rPr>
          <w:rFonts w:ascii="Arial" w:eastAsia="Calibri" w:hAnsi="Arial" w:cs="Arial"/>
          <w:sz w:val="20"/>
          <w:szCs w:val="20"/>
          <w:lang w:eastAsia="en-US"/>
        </w:rPr>
        <w:t xml:space="preserve"> potrebnega letnega obsega sredstev za zagotavljanje podpor za proizvodnjo električne energije iz obnovljivih virov energije in v </w:t>
      </w:r>
      <w:proofErr w:type="spellStart"/>
      <w:r w:rsidRPr="003E4145">
        <w:rPr>
          <w:rFonts w:ascii="Arial" w:eastAsia="Calibri" w:hAnsi="Arial" w:cs="Arial"/>
          <w:sz w:val="20"/>
          <w:szCs w:val="20"/>
          <w:lang w:eastAsia="en-US"/>
        </w:rPr>
        <w:t>soproizvodnji</w:t>
      </w:r>
      <w:proofErr w:type="spellEnd"/>
      <w:r w:rsidRPr="003E4145">
        <w:rPr>
          <w:rFonts w:ascii="Arial" w:eastAsia="Calibri" w:hAnsi="Arial" w:cs="Arial"/>
          <w:sz w:val="20"/>
          <w:szCs w:val="20"/>
          <w:lang w:eastAsia="en-US"/>
        </w:rPr>
        <w:t xml:space="preserve"> z visokim izkoristkom za naslednje koledarsko leto</w:t>
      </w:r>
      <w:r>
        <w:rPr>
          <w:rFonts w:ascii="Arial" w:eastAsia="Calibri" w:hAnsi="Arial" w:cs="Arial"/>
          <w:sz w:val="20"/>
          <w:szCs w:val="20"/>
          <w:lang w:eastAsia="en-US"/>
        </w:rPr>
        <w:t xml:space="preserve"> ter  od</w:t>
      </w:r>
      <w:r w:rsidRPr="003E4145">
        <w:rPr>
          <w:rFonts w:ascii="Arial" w:eastAsia="Calibri" w:hAnsi="Arial" w:cs="Arial"/>
          <w:sz w:val="20"/>
          <w:szCs w:val="20"/>
          <w:lang w:eastAsia="en-US"/>
        </w:rPr>
        <w:t xml:space="preserve"> načrta za delovanje podporne sheme</w:t>
      </w:r>
      <w:r>
        <w:rPr>
          <w:rFonts w:ascii="Arial" w:eastAsia="Calibri" w:hAnsi="Arial" w:cs="Arial"/>
          <w:sz w:val="20"/>
          <w:szCs w:val="20"/>
          <w:lang w:eastAsia="en-US"/>
        </w:rPr>
        <w:t>, ki ga za vsako leto sprejme Vlada. Oceno potrebne višine sredstev</w:t>
      </w:r>
      <w:r w:rsidRPr="003E4145">
        <w:rPr>
          <w:rFonts w:ascii="Arial" w:eastAsia="Calibri" w:hAnsi="Arial" w:cs="Arial"/>
          <w:sz w:val="20"/>
          <w:szCs w:val="20"/>
          <w:lang w:eastAsia="en-US"/>
        </w:rPr>
        <w:t xml:space="preserve"> pripravita v obliki poročila in načrta agencija in center za podpore ter posredujeta ministrstvu, pristojnemu za energijo, ki preveri, če je bil pri pripravi ocene upoštevan  načrt za delovanje podporne sheme za električno energijo iz obnovljivih virov in iz </w:t>
      </w:r>
      <w:proofErr w:type="spellStart"/>
      <w:r w:rsidRPr="003E4145">
        <w:rPr>
          <w:rFonts w:ascii="Arial" w:eastAsia="Calibri" w:hAnsi="Arial" w:cs="Arial"/>
          <w:sz w:val="20"/>
          <w:szCs w:val="20"/>
          <w:lang w:eastAsia="en-US"/>
        </w:rPr>
        <w:t>soproizvodnje</w:t>
      </w:r>
      <w:proofErr w:type="spellEnd"/>
      <w:r w:rsidRPr="003E4145">
        <w:rPr>
          <w:rFonts w:ascii="Arial" w:eastAsia="Calibri" w:hAnsi="Arial" w:cs="Arial"/>
          <w:sz w:val="20"/>
          <w:szCs w:val="20"/>
          <w:lang w:eastAsia="en-US"/>
        </w:rPr>
        <w:t xml:space="preserve"> z visokim izkoristkom ter napoved razpoložljivih virov sredstev za doseganje predvidenih letnih ciljev podporne sheme, ki ga je potrdila Vlada.  </w:t>
      </w:r>
    </w:p>
    <w:p w:rsidR="00AD63E1" w:rsidRPr="003E4145" w:rsidRDefault="00AD63E1" w:rsidP="00AD63E1">
      <w:pPr>
        <w:suppressAutoHyphens w:val="0"/>
        <w:spacing w:after="200" w:line="260" w:lineRule="exact"/>
        <w:ind w:firstLine="708"/>
        <w:jc w:val="both"/>
        <w:rPr>
          <w:rFonts w:ascii="Arial" w:eastAsia="Calibri" w:hAnsi="Arial" w:cs="Arial"/>
          <w:sz w:val="20"/>
          <w:szCs w:val="20"/>
          <w:lang w:eastAsia="en-US"/>
        </w:rPr>
      </w:pPr>
      <w:r w:rsidRPr="003E4145">
        <w:rPr>
          <w:rFonts w:ascii="Arial" w:eastAsia="Calibri" w:hAnsi="Arial" w:cs="Arial"/>
          <w:sz w:val="20"/>
          <w:szCs w:val="20"/>
          <w:lang w:eastAsia="en-US"/>
        </w:rPr>
        <w:t xml:space="preserve">Agencija </w:t>
      </w:r>
      <w:r>
        <w:rPr>
          <w:rFonts w:ascii="Arial" w:eastAsia="Calibri" w:hAnsi="Arial" w:cs="Arial"/>
          <w:sz w:val="20"/>
          <w:szCs w:val="20"/>
          <w:lang w:eastAsia="en-US"/>
        </w:rPr>
        <w:t xml:space="preserve">mora </w:t>
      </w:r>
      <w:r w:rsidRPr="003E4145">
        <w:rPr>
          <w:rFonts w:ascii="Arial" w:eastAsia="Calibri" w:hAnsi="Arial" w:cs="Arial"/>
          <w:sz w:val="20"/>
          <w:szCs w:val="20"/>
          <w:lang w:eastAsia="en-US"/>
        </w:rPr>
        <w:t>priloži</w:t>
      </w:r>
      <w:r>
        <w:rPr>
          <w:rFonts w:ascii="Arial" w:eastAsia="Calibri" w:hAnsi="Arial" w:cs="Arial"/>
          <w:sz w:val="20"/>
          <w:szCs w:val="20"/>
          <w:lang w:eastAsia="en-US"/>
        </w:rPr>
        <w:t>ti</w:t>
      </w:r>
      <w:r w:rsidRPr="003E4145">
        <w:rPr>
          <w:rFonts w:ascii="Arial" w:eastAsia="Calibri" w:hAnsi="Arial" w:cs="Arial"/>
          <w:sz w:val="20"/>
          <w:szCs w:val="20"/>
          <w:lang w:eastAsia="en-US"/>
        </w:rPr>
        <w:t xml:space="preserve"> oceni potrebnih letnih sredstev izračun</w:t>
      </w:r>
      <w:r>
        <w:rPr>
          <w:rFonts w:ascii="Arial" w:eastAsia="Calibri" w:hAnsi="Arial" w:cs="Arial"/>
          <w:sz w:val="20"/>
          <w:szCs w:val="20"/>
          <w:lang w:eastAsia="en-US"/>
        </w:rPr>
        <w:t xml:space="preserve"> višine</w:t>
      </w:r>
      <w:r w:rsidRPr="003E4145">
        <w:rPr>
          <w:rFonts w:ascii="Arial" w:eastAsia="Calibri" w:hAnsi="Arial" w:cs="Arial"/>
          <w:sz w:val="20"/>
          <w:szCs w:val="20"/>
          <w:lang w:eastAsia="en-US"/>
        </w:rPr>
        <w:t xml:space="preserve"> prispevkov,  ki mora biti izveden na podlagi ocene potrebnega letnega obsega sredstev za podpore in podatkov iz napovedi glede stanja prevzemno-predajnih mest, ki jih Centru za podpore in </w:t>
      </w:r>
      <w:r>
        <w:rPr>
          <w:rFonts w:ascii="Arial" w:eastAsia="Calibri" w:hAnsi="Arial" w:cs="Arial"/>
          <w:sz w:val="20"/>
          <w:szCs w:val="20"/>
          <w:lang w:eastAsia="en-US"/>
        </w:rPr>
        <w:t>A</w:t>
      </w:r>
      <w:r w:rsidRPr="003E4145">
        <w:rPr>
          <w:rFonts w:ascii="Arial" w:eastAsia="Calibri" w:hAnsi="Arial" w:cs="Arial"/>
          <w:sz w:val="20"/>
          <w:szCs w:val="20"/>
          <w:lang w:eastAsia="en-US"/>
        </w:rPr>
        <w:t>genciji posredujeta sistemski in  distribucijski operater, ter  podatkov Statističnega urada Republike Slovenije o končni porabi trdih in tekočih fosilnih goriv, utekočinjenega naftnega in zemeljskega plina, zemeljskega plina in drugih energetskih plinov iz omrežja in daljinske toplote za preteklo leto oziroma zadnjega razpoložljivega koledarskega leta v trenutku izračuna.</w:t>
      </w:r>
    </w:p>
    <w:p w:rsidR="00AD63E1" w:rsidRPr="003E4145" w:rsidRDefault="00AD63E1" w:rsidP="00AD63E1">
      <w:pPr>
        <w:suppressAutoHyphens w:val="0"/>
        <w:spacing w:after="200" w:line="260" w:lineRule="exact"/>
        <w:ind w:firstLine="708"/>
        <w:jc w:val="both"/>
        <w:rPr>
          <w:rFonts w:ascii="Arial" w:eastAsia="Calibri" w:hAnsi="Arial" w:cs="Arial"/>
          <w:sz w:val="20"/>
          <w:szCs w:val="20"/>
          <w:lang w:eastAsia="en-US"/>
        </w:rPr>
      </w:pPr>
      <w:r w:rsidRPr="003E4145">
        <w:rPr>
          <w:rFonts w:ascii="Arial" w:eastAsia="Calibri" w:hAnsi="Arial" w:cs="Arial"/>
          <w:sz w:val="20"/>
          <w:szCs w:val="20"/>
          <w:lang w:eastAsia="en-US"/>
        </w:rPr>
        <w:t>Dokler vlada ne da soglasja k novi višini prispevkov, se uporabljajo višine prispevkov iz prejšnjega obdobja.</w:t>
      </w:r>
    </w:p>
    <w:p w:rsidR="00AD63E1" w:rsidRPr="007F309E" w:rsidRDefault="00AD63E1" w:rsidP="00AD63E1">
      <w:pPr>
        <w:suppressAutoHyphens w:val="0"/>
        <w:spacing w:after="200" w:line="260" w:lineRule="exact"/>
        <w:ind w:firstLine="708"/>
        <w:jc w:val="both"/>
        <w:rPr>
          <w:rFonts w:ascii="Arial" w:eastAsia="Calibri" w:hAnsi="Arial" w:cs="Arial"/>
          <w:sz w:val="20"/>
          <w:szCs w:val="20"/>
          <w:lang w:eastAsia="en-US"/>
        </w:rPr>
      </w:pPr>
      <w:r>
        <w:rPr>
          <w:rFonts w:ascii="Arial" w:eastAsia="Calibri" w:hAnsi="Arial" w:cs="Arial"/>
          <w:sz w:val="20"/>
          <w:szCs w:val="20"/>
          <w:lang w:eastAsia="en-US"/>
        </w:rPr>
        <w:t>Uredba še omogoča, da v</w:t>
      </w:r>
      <w:r w:rsidRPr="003E4145">
        <w:rPr>
          <w:rFonts w:ascii="Arial" w:eastAsia="Calibri" w:hAnsi="Arial" w:cs="Arial"/>
          <w:sz w:val="20"/>
          <w:szCs w:val="20"/>
          <w:lang w:eastAsia="en-US"/>
        </w:rPr>
        <w:t xml:space="preserve"> primeru, </w:t>
      </w:r>
      <w:r>
        <w:rPr>
          <w:rFonts w:ascii="Arial" w:eastAsia="Calibri" w:hAnsi="Arial" w:cs="Arial"/>
          <w:sz w:val="20"/>
          <w:szCs w:val="20"/>
          <w:lang w:eastAsia="en-US"/>
        </w:rPr>
        <w:t>če</w:t>
      </w:r>
      <w:r w:rsidRPr="003E4145">
        <w:rPr>
          <w:rFonts w:ascii="Arial" w:eastAsia="Calibri" w:hAnsi="Arial" w:cs="Arial"/>
          <w:sz w:val="20"/>
          <w:szCs w:val="20"/>
          <w:lang w:eastAsia="en-US"/>
        </w:rPr>
        <w:t xml:space="preserve"> na Centru za podpore med letom ugotovijo, da ni več zagotovljenih zadostnih prilivov prispevkov za zagotavljanje podpor in je zato onemogočeno njihovo normalno poslo</w:t>
      </w:r>
      <w:r>
        <w:rPr>
          <w:rFonts w:ascii="Arial" w:eastAsia="Calibri" w:hAnsi="Arial" w:cs="Arial"/>
          <w:sz w:val="20"/>
          <w:szCs w:val="20"/>
          <w:lang w:eastAsia="en-US"/>
        </w:rPr>
        <w:t>vanje, o tem obvestijo Agencijo, ki</w:t>
      </w:r>
      <w:r w:rsidRPr="003E4145">
        <w:rPr>
          <w:rFonts w:ascii="Arial" w:eastAsia="Calibri" w:hAnsi="Arial" w:cs="Arial"/>
          <w:sz w:val="20"/>
          <w:szCs w:val="20"/>
          <w:lang w:eastAsia="en-US"/>
        </w:rPr>
        <w:t xml:space="preserve"> pripravi nov izračun prispevkov in predlog</w:t>
      </w:r>
      <w:r w:rsidR="00A10FB5">
        <w:rPr>
          <w:rFonts w:ascii="Arial" w:eastAsia="Calibri" w:hAnsi="Arial" w:cs="Arial"/>
          <w:sz w:val="20"/>
          <w:szCs w:val="20"/>
          <w:lang w:eastAsia="en-US"/>
        </w:rPr>
        <w:t xml:space="preserve"> za spremembo akta o prispevkih, za katerega mora </w:t>
      </w:r>
      <w:r>
        <w:rPr>
          <w:rFonts w:ascii="Arial" w:eastAsia="Calibri" w:hAnsi="Arial" w:cs="Arial"/>
          <w:sz w:val="20"/>
          <w:szCs w:val="20"/>
          <w:lang w:eastAsia="en-US"/>
        </w:rPr>
        <w:t>pridobi</w:t>
      </w:r>
      <w:r w:rsidR="00A10FB5">
        <w:rPr>
          <w:rFonts w:ascii="Arial" w:eastAsia="Calibri" w:hAnsi="Arial" w:cs="Arial"/>
          <w:sz w:val="20"/>
          <w:szCs w:val="20"/>
          <w:lang w:eastAsia="en-US"/>
        </w:rPr>
        <w:t>ti</w:t>
      </w:r>
      <w:r>
        <w:rPr>
          <w:rFonts w:ascii="Arial" w:eastAsia="Calibri" w:hAnsi="Arial" w:cs="Arial"/>
          <w:sz w:val="20"/>
          <w:szCs w:val="20"/>
          <w:lang w:eastAsia="en-US"/>
        </w:rPr>
        <w:t xml:space="preserve"> soglasje</w:t>
      </w:r>
      <w:r w:rsidRPr="003E4145">
        <w:rPr>
          <w:rFonts w:ascii="Arial" w:eastAsia="Calibri" w:hAnsi="Arial" w:cs="Arial"/>
          <w:sz w:val="20"/>
          <w:szCs w:val="20"/>
          <w:lang w:eastAsia="en-US"/>
        </w:rPr>
        <w:t xml:space="preserve"> vlade.</w:t>
      </w:r>
    </w:p>
    <w:p w:rsidR="00AD63E1" w:rsidRPr="007F309E" w:rsidRDefault="00AD63E1" w:rsidP="00AD63E1">
      <w:pPr>
        <w:tabs>
          <w:tab w:val="left" w:pos="708"/>
        </w:tabs>
        <w:suppressAutoHyphens w:val="0"/>
        <w:spacing w:line="260" w:lineRule="exact"/>
        <w:rPr>
          <w:rFonts w:ascii="Arial" w:eastAsia="Calibri" w:hAnsi="Arial" w:cs="Arial"/>
          <w:sz w:val="20"/>
          <w:szCs w:val="20"/>
          <w:lang w:eastAsia="en-US"/>
        </w:rPr>
      </w:pPr>
    </w:p>
    <w:p w:rsidR="00AD63E1" w:rsidRDefault="00AD63E1" w:rsidP="00AD63E1">
      <w:pPr>
        <w:numPr>
          <w:ilvl w:val="0"/>
          <w:numId w:val="6"/>
        </w:numPr>
        <w:tabs>
          <w:tab w:val="num" w:pos="0"/>
        </w:tabs>
        <w:suppressAutoHyphens w:val="0"/>
        <w:spacing w:after="200" w:line="260" w:lineRule="exact"/>
        <w:ind w:left="360"/>
        <w:jc w:val="both"/>
        <w:rPr>
          <w:rFonts w:ascii="Arial" w:eastAsia="Calibri" w:hAnsi="Arial" w:cs="Arial"/>
          <w:sz w:val="20"/>
          <w:szCs w:val="20"/>
          <w:lang w:eastAsia="en-US"/>
        </w:rPr>
      </w:pPr>
      <w:r w:rsidRPr="007F309E">
        <w:rPr>
          <w:rFonts w:ascii="Arial" w:eastAsia="Calibri" w:hAnsi="Arial" w:cs="Arial"/>
          <w:sz w:val="20"/>
          <w:szCs w:val="20"/>
          <w:lang w:eastAsia="en-US"/>
        </w:rPr>
        <w:t>Predstavitev presoje posledic za posamezna področja, če te niso mogle biti cel</w:t>
      </w:r>
      <w:r>
        <w:rPr>
          <w:rFonts w:ascii="Arial" w:eastAsia="Calibri" w:hAnsi="Arial" w:cs="Arial"/>
          <w:sz w:val="20"/>
          <w:szCs w:val="20"/>
          <w:lang w:eastAsia="en-US"/>
        </w:rPr>
        <w:t>ovito predstavljene v predlogu uredbe.</w:t>
      </w:r>
    </w:p>
    <w:p w:rsidR="00AD63E1" w:rsidRPr="007F309E" w:rsidRDefault="00AD63E1" w:rsidP="00AD63E1">
      <w:pPr>
        <w:suppressAutoHyphens w:val="0"/>
        <w:spacing w:after="200" w:line="260" w:lineRule="exact"/>
        <w:ind w:left="360"/>
        <w:jc w:val="both"/>
        <w:rPr>
          <w:rFonts w:ascii="Arial" w:eastAsia="Calibri" w:hAnsi="Arial" w:cs="Arial"/>
          <w:sz w:val="20"/>
          <w:szCs w:val="20"/>
          <w:lang w:eastAsia="en-US"/>
        </w:rPr>
      </w:pPr>
      <w:r>
        <w:rPr>
          <w:rFonts w:ascii="Arial" w:eastAsia="Calibri" w:hAnsi="Arial" w:cs="Arial"/>
          <w:sz w:val="20"/>
          <w:szCs w:val="20"/>
          <w:lang w:eastAsia="en-US"/>
        </w:rPr>
        <w:lastRenderedPageBreak/>
        <w:t>Presoja posledic je podana v predlogu uredbe</w:t>
      </w:r>
    </w:p>
    <w:p w:rsidR="00AD63E1" w:rsidRPr="007F309E" w:rsidRDefault="00AD63E1" w:rsidP="00AD63E1">
      <w:pPr>
        <w:suppressAutoHyphens w:val="0"/>
        <w:spacing w:after="200" w:line="260" w:lineRule="exact"/>
        <w:contextualSpacing/>
        <w:jc w:val="both"/>
        <w:rPr>
          <w:rFonts w:ascii="Arial" w:hAnsi="Arial" w:cs="Arial"/>
          <w:sz w:val="20"/>
          <w:szCs w:val="20"/>
          <w:lang w:eastAsia="sl-SI"/>
        </w:rPr>
      </w:pPr>
    </w:p>
    <w:p w:rsidR="00AD63E1" w:rsidRPr="007F309E" w:rsidRDefault="00AD63E1" w:rsidP="00AD63E1">
      <w:pPr>
        <w:tabs>
          <w:tab w:val="left" w:pos="708"/>
        </w:tabs>
        <w:suppressAutoHyphens w:val="0"/>
        <w:spacing w:line="260" w:lineRule="exact"/>
        <w:rPr>
          <w:rFonts w:ascii="Arial" w:eastAsia="Calibri" w:hAnsi="Arial" w:cs="Arial"/>
          <w:sz w:val="20"/>
          <w:szCs w:val="20"/>
          <w:lang w:eastAsia="en-US"/>
        </w:rPr>
      </w:pPr>
      <w:r w:rsidRPr="007F309E">
        <w:rPr>
          <w:rFonts w:ascii="Arial" w:eastAsia="Calibri" w:hAnsi="Arial" w:cs="Arial"/>
          <w:sz w:val="20"/>
          <w:szCs w:val="20"/>
          <w:lang w:eastAsia="en-US"/>
        </w:rPr>
        <w:t>II. VSEBINSKA OBRAZLOŽITEV PREDLAGANIH REŠITEV</w:t>
      </w:r>
    </w:p>
    <w:p w:rsidR="00AD63E1" w:rsidRPr="007F309E" w:rsidRDefault="00AD63E1" w:rsidP="00AD63E1">
      <w:pPr>
        <w:tabs>
          <w:tab w:val="left" w:pos="708"/>
        </w:tabs>
        <w:suppressAutoHyphens w:val="0"/>
        <w:spacing w:line="260" w:lineRule="exact"/>
        <w:rPr>
          <w:rFonts w:ascii="Arial" w:eastAsia="Calibri" w:hAnsi="Arial" w:cs="Arial"/>
          <w:b/>
          <w:sz w:val="20"/>
          <w:szCs w:val="20"/>
          <w:lang w:eastAsia="en-US"/>
        </w:rPr>
      </w:pPr>
    </w:p>
    <w:p w:rsidR="00AD63E1" w:rsidRPr="007F309E" w:rsidRDefault="00AD63E1" w:rsidP="00AD63E1">
      <w:pPr>
        <w:suppressAutoHyphens w:val="0"/>
        <w:spacing w:line="260" w:lineRule="exact"/>
        <w:rPr>
          <w:rFonts w:ascii="Arial" w:eastAsia="Calibri" w:hAnsi="Arial" w:cs="Arial"/>
          <w:sz w:val="20"/>
          <w:szCs w:val="20"/>
          <w:lang w:eastAsia="en-US"/>
        </w:rPr>
      </w:pPr>
    </w:p>
    <w:p w:rsidR="00AD63E1" w:rsidRDefault="00AD63E1" w:rsidP="00AD63E1">
      <w:pPr>
        <w:suppressAutoHyphens w:val="0"/>
        <w:spacing w:line="260" w:lineRule="exact"/>
        <w:jc w:val="both"/>
        <w:rPr>
          <w:rFonts w:ascii="Arial" w:eastAsia="Calibri" w:hAnsi="Arial" w:cs="Arial"/>
          <w:sz w:val="20"/>
          <w:szCs w:val="20"/>
          <w:lang w:eastAsia="en-US"/>
        </w:rPr>
      </w:pPr>
      <w:r>
        <w:rPr>
          <w:rFonts w:ascii="Arial" w:eastAsia="Calibri" w:hAnsi="Arial" w:cs="Arial"/>
          <w:sz w:val="20"/>
          <w:szCs w:val="20"/>
          <w:lang w:eastAsia="en-US"/>
        </w:rPr>
        <w:t xml:space="preserve">Z novo uredbo se razveljavlja </w:t>
      </w:r>
      <w:r w:rsidRPr="000765B3">
        <w:rPr>
          <w:rFonts w:ascii="Arial" w:eastAsia="Calibri" w:hAnsi="Arial" w:cs="Arial"/>
          <w:sz w:val="20"/>
          <w:szCs w:val="20"/>
          <w:lang w:eastAsia="en-US"/>
        </w:rPr>
        <w:t xml:space="preserve">Uredba o načinu določanja in obračunavanja prispevka za zagotavljanje podpor proizvodnji električne energije v </w:t>
      </w:r>
      <w:proofErr w:type="spellStart"/>
      <w:r w:rsidRPr="000765B3">
        <w:rPr>
          <w:rFonts w:ascii="Arial" w:eastAsia="Calibri" w:hAnsi="Arial" w:cs="Arial"/>
          <w:sz w:val="20"/>
          <w:szCs w:val="20"/>
          <w:lang w:eastAsia="en-US"/>
        </w:rPr>
        <w:t>soproizvodnji</w:t>
      </w:r>
      <w:proofErr w:type="spellEnd"/>
      <w:r w:rsidRPr="000765B3">
        <w:rPr>
          <w:rFonts w:ascii="Arial" w:eastAsia="Calibri" w:hAnsi="Arial" w:cs="Arial"/>
          <w:sz w:val="20"/>
          <w:szCs w:val="20"/>
          <w:lang w:eastAsia="en-US"/>
        </w:rPr>
        <w:t xml:space="preserve"> z visokim izkoristkom in iz obnovljivih virov energije (Ur.l. RS, št.  2/2009,  49/2010,  61/2013 in  64/2013)</w:t>
      </w:r>
      <w:r>
        <w:rPr>
          <w:rFonts w:ascii="Arial" w:eastAsia="Calibri" w:hAnsi="Arial" w:cs="Arial"/>
          <w:sz w:val="20"/>
          <w:szCs w:val="20"/>
          <w:lang w:eastAsia="en-US"/>
        </w:rPr>
        <w:t xml:space="preserve">, s katero je Vlada julija lani znižala prispevek za podpiranje proizvodnje električne energije iz obnovljivih virov in v </w:t>
      </w:r>
      <w:proofErr w:type="spellStart"/>
      <w:r>
        <w:rPr>
          <w:rFonts w:ascii="Arial" w:eastAsia="Calibri" w:hAnsi="Arial" w:cs="Arial"/>
          <w:sz w:val="20"/>
          <w:szCs w:val="20"/>
          <w:lang w:eastAsia="en-US"/>
        </w:rPr>
        <w:t>soproizvodnji</w:t>
      </w:r>
      <w:proofErr w:type="spellEnd"/>
      <w:r>
        <w:rPr>
          <w:rFonts w:ascii="Arial" w:eastAsia="Calibri" w:hAnsi="Arial" w:cs="Arial"/>
          <w:sz w:val="20"/>
          <w:szCs w:val="20"/>
          <w:lang w:eastAsia="en-US"/>
        </w:rPr>
        <w:t xml:space="preserve"> z visokim izkoristkom za industrijske odjemalce, ki so priključeni na srednje napetostni in visokonapetostni nivo. </w:t>
      </w:r>
    </w:p>
    <w:p w:rsidR="00AD63E1" w:rsidRDefault="00AD63E1" w:rsidP="00AD63E1">
      <w:pPr>
        <w:suppressAutoHyphens w:val="0"/>
        <w:spacing w:line="260" w:lineRule="exact"/>
        <w:jc w:val="both"/>
        <w:rPr>
          <w:rFonts w:ascii="Arial" w:eastAsia="Calibri" w:hAnsi="Arial" w:cs="Arial"/>
          <w:sz w:val="20"/>
          <w:szCs w:val="20"/>
          <w:lang w:eastAsia="en-US"/>
        </w:rPr>
      </w:pPr>
    </w:p>
    <w:p w:rsidR="00AD63E1" w:rsidRDefault="00AD63E1" w:rsidP="00AD63E1">
      <w:pPr>
        <w:suppressAutoHyphens w:val="0"/>
        <w:spacing w:line="260" w:lineRule="exact"/>
        <w:jc w:val="both"/>
        <w:rPr>
          <w:rFonts w:ascii="Arial" w:hAnsi="Arial" w:cs="Arial"/>
          <w:sz w:val="20"/>
          <w:szCs w:val="20"/>
        </w:rPr>
      </w:pPr>
      <w:r w:rsidRPr="00CA4B96">
        <w:rPr>
          <w:rFonts w:ascii="Arial" w:hAnsi="Arial" w:cs="Arial"/>
          <w:sz w:val="20"/>
          <w:szCs w:val="20"/>
        </w:rPr>
        <w:t xml:space="preserve">Vlade Republike Slovenije </w:t>
      </w:r>
      <w:r>
        <w:rPr>
          <w:rFonts w:ascii="Arial" w:hAnsi="Arial" w:cs="Arial"/>
          <w:sz w:val="20"/>
          <w:szCs w:val="20"/>
        </w:rPr>
        <w:t xml:space="preserve">je </w:t>
      </w:r>
      <w:r w:rsidRPr="00CA4B96">
        <w:rPr>
          <w:rFonts w:ascii="Arial" w:hAnsi="Arial" w:cs="Arial"/>
          <w:sz w:val="20"/>
          <w:szCs w:val="20"/>
        </w:rPr>
        <w:t xml:space="preserve">dne 29.7.2013 s sklepom št. 00729-43/2013/4 </w:t>
      </w:r>
      <w:r>
        <w:rPr>
          <w:rFonts w:ascii="Arial" w:hAnsi="Arial" w:cs="Arial"/>
          <w:sz w:val="20"/>
          <w:szCs w:val="20"/>
        </w:rPr>
        <w:t xml:space="preserve">naložila Ministrstvu za infrastrukturo in prostor, da pripravi jasne usmeritve za izvajanje podporne sheme v prihodnjih letih. </w:t>
      </w:r>
      <w:r w:rsidRPr="00C8484D">
        <w:rPr>
          <w:rFonts w:ascii="Arial" w:hAnsi="Arial" w:cs="Arial"/>
          <w:sz w:val="20"/>
          <w:szCs w:val="20"/>
        </w:rPr>
        <w:t xml:space="preserve">Vlada se je </w:t>
      </w:r>
      <w:r>
        <w:rPr>
          <w:rFonts w:ascii="Arial" w:hAnsi="Arial" w:cs="Arial"/>
          <w:sz w:val="20"/>
          <w:szCs w:val="20"/>
        </w:rPr>
        <w:t xml:space="preserve">na svoji 36. redni seji dne 5.12.2013 </w:t>
      </w:r>
      <w:r w:rsidRPr="00C8484D">
        <w:rPr>
          <w:rFonts w:ascii="Arial" w:hAnsi="Arial" w:cs="Arial"/>
          <w:sz w:val="20"/>
          <w:szCs w:val="20"/>
        </w:rPr>
        <w:t>seznanila</w:t>
      </w:r>
      <w:r>
        <w:rPr>
          <w:rFonts w:ascii="Arial" w:hAnsi="Arial" w:cs="Arial"/>
          <w:sz w:val="20"/>
          <w:szCs w:val="20"/>
        </w:rPr>
        <w:t xml:space="preserve"> </w:t>
      </w:r>
      <w:r w:rsidRPr="00C8484D">
        <w:rPr>
          <w:rFonts w:ascii="Arial" w:hAnsi="Arial" w:cs="Arial"/>
          <w:sz w:val="20"/>
          <w:szCs w:val="20"/>
        </w:rPr>
        <w:t xml:space="preserve">z </w:t>
      </w:r>
      <w:r>
        <w:rPr>
          <w:rFonts w:ascii="Arial" w:hAnsi="Arial" w:cs="Arial"/>
          <w:sz w:val="20"/>
          <w:szCs w:val="20"/>
        </w:rPr>
        <w:t xml:space="preserve">informacijo glede </w:t>
      </w:r>
      <w:r w:rsidRPr="00C8484D">
        <w:rPr>
          <w:rFonts w:ascii="Arial" w:hAnsi="Arial" w:cs="Arial"/>
          <w:sz w:val="20"/>
          <w:szCs w:val="20"/>
        </w:rPr>
        <w:t xml:space="preserve">usmeritev za izvajanje podporne sheme za proizvodnjo električne energije iz obnovljivih virov energije in proizvedene v </w:t>
      </w:r>
      <w:proofErr w:type="spellStart"/>
      <w:r w:rsidRPr="00C8484D">
        <w:rPr>
          <w:rFonts w:ascii="Arial" w:hAnsi="Arial" w:cs="Arial"/>
          <w:sz w:val="20"/>
          <w:szCs w:val="20"/>
        </w:rPr>
        <w:t>soproizvodnji</w:t>
      </w:r>
      <w:proofErr w:type="spellEnd"/>
      <w:r w:rsidRPr="00C8484D">
        <w:rPr>
          <w:rFonts w:ascii="Arial" w:hAnsi="Arial" w:cs="Arial"/>
          <w:sz w:val="20"/>
          <w:szCs w:val="20"/>
        </w:rPr>
        <w:t xml:space="preserve"> z visoki</w:t>
      </w:r>
      <w:r>
        <w:rPr>
          <w:rFonts w:ascii="Arial" w:hAnsi="Arial" w:cs="Arial"/>
          <w:sz w:val="20"/>
          <w:szCs w:val="20"/>
        </w:rPr>
        <w:t xml:space="preserve">m izkoristkom za prihodnja leta. </w:t>
      </w:r>
    </w:p>
    <w:p w:rsidR="00AD63E1" w:rsidRDefault="00AD63E1" w:rsidP="00AD63E1">
      <w:pPr>
        <w:suppressAutoHyphens w:val="0"/>
        <w:spacing w:line="260" w:lineRule="exact"/>
        <w:jc w:val="both"/>
        <w:rPr>
          <w:rFonts w:ascii="Arial" w:hAnsi="Arial" w:cs="Arial"/>
          <w:sz w:val="20"/>
          <w:szCs w:val="20"/>
        </w:rPr>
      </w:pPr>
    </w:p>
    <w:p w:rsidR="00AD63E1" w:rsidRDefault="00AD63E1" w:rsidP="00AD63E1">
      <w:pPr>
        <w:suppressAutoHyphens w:val="0"/>
        <w:spacing w:line="260" w:lineRule="exact"/>
        <w:jc w:val="both"/>
        <w:rPr>
          <w:rFonts w:ascii="Arial" w:hAnsi="Arial" w:cs="Arial"/>
          <w:sz w:val="20"/>
          <w:szCs w:val="20"/>
        </w:rPr>
      </w:pPr>
      <w:r>
        <w:rPr>
          <w:rFonts w:ascii="Arial" w:hAnsi="Arial" w:cs="Arial"/>
          <w:sz w:val="20"/>
          <w:szCs w:val="20"/>
        </w:rPr>
        <w:t xml:space="preserve">Za Vlado </w:t>
      </w:r>
      <w:r w:rsidRPr="00C8484D">
        <w:rPr>
          <w:rFonts w:ascii="Arial" w:hAnsi="Arial" w:cs="Arial"/>
          <w:sz w:val="20"/>
          <w:szCs w:val="20"/>
        </w:rPr>
        <w:t>je</w:t>
      </w:r>
      <w:r>
        <w:rPr>
          <w:rFonts w:ascii="Arial" w:hAnsi="Arial" w:cs="Arial"/>
          <w:sz w:val="20"/>
          <w:szCs w:val="20"/>
        </w:rPr>
        <w:t xml:space="preserve"> bil na Ministrstvu za infrastrukturo in prostor pripravljen </w:t>
      </w:r>
      <w:r w:rsidRPr="00C8484D">
        <w:rPr>
          <w:rFonts w:ascii="Arial" w:hAnsi="Arial" w:cs="Arial"/>
          <w:sz w:val="20"/>
          <w:szCs w:val="20"/>
        </w:rPr>
        <w:t xml:space="preserve"> pregled, za koliko bi se lahko povečale instalirane kapacitete proizvodnih naprav in koliko bi se lahko povečala proizvodnja električne energije iz proizvodnih naprav OVE in SPTE na letnem nivoju, če bi vlada sprejela odločitev, da se lahko poveča obseg sredstev vsako leto za 10 mio </w:t>
      </w:r>
      <w:r>
        <w:rPr>
          <w:rFonts w:ascii="Arial" w:hAnsi="Arial" w:cs="Arial"/>
          <w:sz w:val="20"/>
          <w:szCs w:val="20"/>
        </w:rPr>
        <w:t>EUR</w:t>
      </w:r>
      <w:r w:rsidRPr="00C8484D">
        <w:rPr>
          <w:rFonts w:ascii="Arial" w:hAnsi="Arial" w:cs="Arial"/>
          <w:sz w:val="20"/>
          <w:szCs w:val="20"/>
        </w:rPr>
        <w:t xml:space="preserve">. </w:t>
      </w:r>
    </w:p>
    <w:p w:rsidR="00AD63E1" w:rsidRDefault="00AD63E1" w:rsidP="00AD63E1">
      <w:pPr>
        <w:suppressAutoHyphens w:val="0"/>
        <w:spacing w:line="260" w:lineRule="exact"/>
        <w:jc w:val="both"/>
        <w:rPr>
          <w:rFonts w:ascii="Arial" w:hAnsi="Arial" w:cs="Arial"/>
          <w:sz w:val="20"/>
          <w:szCs w:val="20"/>
        </w:rPr>
      </w:pPr>
    </w:p>
    <w:p w:rsidR="00AD63E1" w:rsidRDefault="00AD63E1" w:rsidP="00AD63E1">
      <w:pPr>
        <w:suppressAutoHyphens w:val="0"/>
        <w:spacing w:line="260" w:lineRule="exact"/>
        <w:jc w:val="both"/>
        <w:rPr>
          <w:rFonts w:ascii="Arial" w:hAnsi="Arial" w:cs="Arial"/>
          <w:color w:val="000000"/>
          <w:sz w:val="20"/>
          <w:szCs w:val="20"/>
        </w:rPr>
      </w:pPr>
      <w:r>
        <w:rPr>
          <w:rFonts w:ascii="Arial" w:eastAsia="Calibri" w:hAnsi="Arial" w:cs="Arial"/>
          <w:sz w:val="20"/>
          <w:szCs w:val="20"/>
          <w:lang w:eastAsia="en-US"/>
        </w:rPr>
        <w:t>Predstavljen je bil f</w:t>
      </w:r>
      <w:r w:rsidRPr="00450F7B">
        <w:rPr>
          <w:rFonts w:ascii="Arial" w:eastAsia="Calibri" w:hAnsi="Arial" w:cs="Arial"/>
          <w:sz w:val="20"/>
          <w:szCs w:val="20"/>
          <w:lang w:eastAsia="en-US"/>
        </w:rPr>
        <w:t xml:space="preserve">inančni načrt za izvajanje podporne sheme za spodbujanje proizvodnje električne energije v </w:t>
      </w:r>
      <w:proofErr w:type="spellStart"/>
      <w:r w:rsidRPr="00450F7B">
        <w:rPr>
          <w:rFonts w:ascii="Arial" w:eastAsia="Calibri" w:hAnsi="Arial" w:cs="Arial"/>
          <w:sz w:val="20"/>
          <w:szCs w:val="20"/>
          <w:lang w:eastAsia="en-US"/>
        </w:rPr>
        <w:t>soproizvodnji</w:t>
      </w:r>
      <w:proofErr w:type="spellEnd"/>
      <w:r w:rsidRPr="00450F7B">
        <w:rPr>
          <w:rFonts w:ascii="Arial" w:eastAsia="Calibri" w:hAnsi="Arial" w:cs="Arial"/>
          <w:sz w:val="20"/>
          <w:szCs w:val="20"/>
          <w:lang w:eastAsia="en-US"/>
        </w:rPr>
        <w:t xml:space="preserve"> z visokim izkoristkom in iz obnovljivih virov za naslednje </w:t>
      </w:r>
      <w:r>
        <w:rPr>
          <w:rFonts w:ascii="Arial" w:eastAsia="Calibri" w:hAnsi="Arial" w:cs="Arial"/>
          <w:sz w:val="20"/>
          <w:szCs w:val="20"/>
          <w:lang w:eastAsia="en-US"/>
        </w:rPr>
        <w:t>leta, ki je temeljil na  zavezi v koalicijski pogodbi</w:t>
      </w:r>
      <w:r w:rsidRPr="00A6742A">
        <w:rPr>
          <w:rFonts w:ascii="Arial" w:eastAsia="Calibri" w:hAnsi="Arial" w:cs="Arial"/>
          <w:sz w:val="20"/>
          <w:szCs w:val="20"/>
          <w:lang w:eastAsia="en-US"/>
        </w:rPr>
        <w:t xml:space="preserve">, da bo spremenjen sistem prispevkov za zagotavljanje podpor proizvodnji električne energije iz OVE s ciljem, da se z znižanjem cen električne energije razbremeni slovenska industrija. Zato je </w:t>
      </w:r>
      <w:r>
        <w:rPr>
          <w:rFonts w:ascii="Arial" w:eastAsia="Calibri" w:hAnsi="Arial" w:cs="Arial"/>
          <w:sz w:val="20"/>
          <w:szCs w:val="20"/>
          <w:lang w:eastAsia="en-US"/>
        </w:rPr>
        <w:t xml:space="preserve">bil skladno s tem podan predlog </w:t>
      </w:r>
      <w:r w:rsidRPr="00A6742A">
        <w:rPr>
          <w:rFonts w:ascii="Arial" w:eastAsia="Calibri" w:hAnsi="Arial" w:cs="Arial"/>
          <w:sz w:val="20"/>
          <w:szCs w:val="20"/>
          <w:lang w:eastAsia="en-US"/>
        </w:rPr>
        <w:t>po kat</w:t>
      </w:r>
      <w:r>
        <w:rPr>
          <w:rFonts w:ascii="Arial" w:eastAsia="Calibri" w:hAnsi="Arial" w:cs="Arial"/>
          <w:sz w:val="20"/>
          <w:szCs w:val="20"/>
          <w:lang w:eastAsia="en-US"/>
        </w:rPr>
        <w:t>erem</w:t>
      </w:r>
      <w:r w:rsidRPr="00A6742A">
        <w:rPr>
          <w:rFonts w:ascii="Arial" w:eastAsia="Calibri" w:hAnsi="Arial" w:cs="Arial"/>
          <w:sz w:val="20"/>
          <w:szCs w:val="20"/>
          <w:lang w:eastAsia="en-US"/>
        </w:rPr>
        <w:t xml:space="preserve"> se prispevki za podporo proizvodnje električne energije, ki jih plačujejo končni porabniki električne energije v naslednjih letih več ne dvigajo, vsa dodatna potrebna sredstva za podpore spodbujanje novih investicij pa se zagotovi iz novih virov, ki </w:t>
      </w:r>
      <w:r>
        <w:rPr>
          <w:rFonts w:ascii="Arial" w:eastAsia="Calibri" w:hAnsi="Arial" w:cs="Arial"/>
          <w:sz w:val="20"/>
          <w:szCs w:val="20"/>
          <w:lang w:eastAsia="en-US"/>
        </w:rPr>
        <w:t>so</w:t>
      </w:r>
      <w:r w:rsidRPr="00A6742A">
        <w:rPr>
          <w:rFonts w:ascii="Arial" w:eastAsia="Calibri" w:hAnsi="Arial" w:cs="Arial"/>
          <w:sz w:val="20"/>
          <w:szCs w:val="20"/>
          <w:lang w:eastAsia="en-US"/>
        </w:rPr>
        <w:t xml:space="preserve"> dobili zakonsko podlago, </w:t>
      </w:r>
      <w:r>
        <w:rPr>
          <w:rFonts w:ascii="Arial" w:eastAsia="Calibri" w:hAnsi="Arial" w:cs="Arial"/>
          <w:sz w:val="20"/>
          <w:szCs w:val="20"/>
          <w:lang w:eastAsia="en-US"/>
        </w:rPr>
        <w:t xml:space="preserve">s </w:t>
      </w:r>
      <w:r w:rsidRPr="00A6742A">
        <w:rPr>
          <w:rFonts w:ascii="Arial" w:eastAsia="Calibri" w:hAnsi="Arial" w:cs="Arial"/>
          <w:sz w:val="20"/>
          <w:szCs w:val="20"/>
          <w:lang w:eastAsia="en-US"/>
        </w:rPr>
        <w:t>spreje</w:t>
      </w:r>
      <w:r>
        <w:rPr>
          <w:rFonts w:ascii="Arial" w:eastAsia="Calibri" w:hAnsi="Arial" w:cs="Arial"/>
          <w:sz w:val="20"/>
          <w:szCs w:val="20"/>
          <w:lang w:eastAsia="en-US"/>
        </w:rPr>
        <w:t>mom</w:t>
      </w:r>
      <w:r w:rsidRPr="00A6742A">
        <w:rPr>
          <w:rFonts w:ascii="Arial" w:eastAsia="Calibri" w:hAnsi="Arial" w:cs="Arial"/>
          <w:sz w:val="20"/>
          <w:szCs w:val="20"/>
          <w:lang w:eastAsia="en-US"/>
        </w:rPr>
        <w:t xml:space="preserve"> Energetsk</w:t>
      </w:r>
      <w:r>
        <w:rPr>
          <w:rFonts w:ascii="Arial" w:eastAsia="Calibri" w:hAnsi="Arial" w:cs="Arial"/>
          <w:sz w:val="20"/>
          <w:szCs w:val="20"/>
          <w:lang w:eastAsia="en-US"/>
        </w:rPr>
        <w:t>ega</w:t>
      </w:r>
      <w:r w:rsidRPr="00A6742A">
        <w:rPr>
          <w:rFonts w:ascii="Arial" w:eastAsia="Calibri" w:hAnsi="Arial" w:cs="Arial"/>
          <w:sz w:val="20"/>
          <w:szCs w:val="20"/>
          <w:lang w:eastAsia="en-US"/>
        </w:rPr>
        <w:t xml:space="preserve"> zakon</w:t>
      </w:r>
      <w:r>
        <w:rPr>
          <w:rFonts w:ascii="Arial" w:eastAsia="Calibri" w:hAnsi="Arial" w:cs="Arial"/>
          <w:sz w:val="20"/>
          <w:szCs w:val="20"/>
          <w:lang w:eastAsia="en-US"/>
        </w:rPr>
        <w:t>a</w:t>
      </w:r>
      <w:r w:rsidRPr="00A6742A">
        <w:rPr>
          <w:rFonts w:ascii="Arial" w:eastAsia="Calibri" w:hAnsi="Arial" w:cs="Arial"/>
          <w:sz w:val="20"/>
          <w:szCs w:val="20"/>
          <w:lang w:eastAsia="en-US"/>
        </w:rPr>
        <w:t xml:space="preserve"> (EZ-1)</w:t>
      </w:r>
      <w:r>
        <w:rPr>
          <w:rFonts w:ascii="Arial" w:eastAsia="Calibri" w:hAnsi="Arial" w:cs="Arial"/>
          <w:sz w:val="20"/>
          <w:szCs w:val="20"/>
          <w:lang w:eastAsia="en-US"/>
        </w:rPr>
        <w:t xml:space="preserve"> v 377</w:t>
      </w:r>
      <w:r w:rsidRPr="00A6742A">
        <w:rPr>
          <w:rFonts w:ascii="Arial" w:eastAsia="Calibri" w:hAnsi="Arial" w:cs="Arial"/>
          <w:sz w:val="20"/>
          <w:szCs w:val="20"/>
          <w:lang w:eastAsia="en-US"/>
        </w:rPr>
        <w:t>.</w:t>
      </w:r>
      <w:r>
        <w:rPr>
          <w:rFonts w:ascii="Arial" w:eastAsia="Calibri" w:hAnsi="Arial" w:cs="Arial"/>
          <w:sz w:val="20"/>
          <w:szCs w:val="20"/>
          <w:lang w:eastAsia="en-US"/>
        </w:rPr>
        <w:t xml:space="preserve"> členu. </w:t>
      </w:r>
      <w:r>
        <w:rPr>
          <w:rFonts w:ascii="Arial" w:hAnsi="Arial" w:cs="Arial"/>
          <w:color w:val="000000"/>
          <w:sz w:val="20"/>
          <w:szCs w:val="20"/>
        </w:rPr>
        <w:t xml:space="preserve">Zato je </w:t>
      </w:r>
      <w:r w:rsidR="00F655E9">
        <w:rPr>
          <w:rFonts w:ascii="Arial" w:hAnsi="Arial" w:cs="Arial"/>
          <w:color w:val="000000"/>
          <w:sz w:val="20"/>
          <w:szCs w:val="20"/>
        </w:rPr>
        <w:t>predlog Vlade</w:t>
      </w:r>
      <w:r>
        <w:rPr>
          <w:rFonts w:ascii="Arial" w:hAnsi="Arial" w:cs="Arial"/>
          <w:color w:val="000000"/>
          <w:sz w:val="20"/>
          <w:szCs w:val="20"/>
        </w:rPr>
        <w:t xml:space="preserve">, da </w:t>
      </w:r>
      <w:r w:rsidRPr="00E76957">
        <w:rPr>
          <w:rFonts w:ascii="Arial" w:hAnsi="Arial" w:cs="Arial"/>
          <w:color w:val="000000"/>
          <w:sz w:val="20"/>
          <w:szCs w:val="20"/>
        </w:rPr>
        <w:t xml:space="preserve">se povprečni prispevek na kW obračunske moči za leto 2014 in 2015 </w:t>
      </w:r>
      <w:r w:rsidR="00F655E9">
        <w:rPr>
          <w:rFonts w:ascii="Arial" w:hAnsi="Arial" w:cs="Arial"/>
          <w:color w:val="000000"/>
          <w:sz w:val="20"/>
          <w:szCs w:val="20"/>
        </w:rPr>
        <w:t xml:space="preserve">še naprej ohrani </w:t>
      </w:r>
      <w:r w:rsidRPr="00E76957">
        <w:rPr>
          <w:rFonts w:ascii="Arial" w:hAnsi="Arial" w:cs="Arial"/>
          <w:color w:val="000000"/>
          <w:sz w:val="20"/>
          <w:szCs w:val="20"/>
        </w:rPr>
        <w:t xml:space="preserve"> v višini 1,22335 EUR/kW, ki je določena z</w:t>
      </w:r>
      <w:r>
        <w:rPr>
          <w:rFonts w:ascii="Arial" w:hAnsi="Arial" w:cs="Arial"/>
          <w:color w:val="000000"/>
          <w:sz w:val="20"/>
          <w:szCs w:val="20"/>
        </w:rPr>
        <w:t xml:space="preserve"> zadnjim </w:t>
      </w:r>
      <w:r w:rsidRPr="00E76957">
        <w:rPr>
          <w:rFonts w:ascii="Arial" w:hAnsi="Arial" w:cs="Arial"/>
          <w:color w:val="000000"/>
          <w:sz w:val="20"/>
          <w:szCs w:val="20"/>
        </w:rPr>
        <w:t xml:space="preserve"> Aktom o določitvi prispevka za zagotavljanje podpor proizvodnji električne energije v </w:t>
      </w:r>
      <w:proofErr w:type="spellStart"/>
      <w:r w:rsidRPr="00E76957">
        <w:rPr>
          <w:rFonts w:ascii="Arial" w:hAnsi="Arial" w:cs="Arial"/>
          <w:color w:val="000000"/>
          <w:sz w:val="20"/>
          <w:szCs w:val="20"/>
        </w:rPr>
        <w:t>soproizvodnji</w:t>
      </w:r>
      <w:proofErr w:type="spellEnd"/>
      <w:r w:rsidRPr="00E76957">
        <w:rPr>
          <w:rFonts w:ascii="Arial" w:hAnsi="Arial" w:cs="Arial"/>
          <w:color w:val="000000"/>
          <w:sz w:val="20"/>
          <w:szCs w:val="20"/>
        </w:rPr>
        <w:t xml:space="preserve"> z visokim izkoristkom in iz obnovljivih virov energije (Uradni list RS, št. 71/2013)</w:t>
      </w:r>
      <w:r>
        <w:rPr>
          <w:rFonts w:ascii="Arial" w:hAnsi="Arial" w:cs="Arial"/>
          <w:color w:val="000000"/>
          <w:sz w:val="20"/>
          <w:szCs w:val="20"/>
        </w:rPr>
        <w:t xml:space="preserve"> Agencije za energijo</w:t>
      </w:r>
      <w:r w:rsidRPr="00E76957">
        <w:rPr>
          <w:rFonts w:ascii="Arial" w:hAnsi="Arial" w:cs="Arial"/>
          <w:color w:val="000000"/>
          <w:sz w:val="20"/>
          <w:szCs w:val="20"/>
        </w:rPr>
        <w:t>.</w:t>
      </w:r>
    </w:p>
    <w:p w:rsidR="00AD63E1" w:rsidRDefault="00AD63E1" w:rsidP="00AD63E1">
      <w:pPr>
        <w:autoSpaceDE w:val="0"/>
        <w:autoSpaceDN w:val="0"/>
        <w:adjustRightInd w:val="0"/>
        <w:spacing w:line="240" w:lineRule="atLeast"/>
        <w:rPr>
          <w:rFonts w:ascii="Arial" w:hAnsi="Arial" w:cs="Arial"/>
          <w:color w:val="000000"/>
          <w:sz w:val="20"/>
          <w:szCs w:val="20"/>
        </w:rPr>
      </w:pPr>
    </w:p>
    <w:p w:rsidR="00AD63E1" w:rsidRDefault="00AD63E1" w:rsidP="00AD63E1">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 xml:space="preserve">V letu 2013 je bilo na podlagi dosedanje ureditve  in veljavnih Aktov </w:t>
      </w:r>
      <w:r w:rsidRPr="00E76957">
        <w:rPr>
          <w:rFonts w:ascii="Arial" w:hAnsi="Arial" w:cs="Arial"/>
          <w:color w:val="000000"/>
          <w:sz w:val="20"/>
          <w:szCs w:val="20"/>
        </w:rPr>
        <w:t xml:space="preserve">o določitvi prispevka za zagotavljanje podpor proizvodnji električne energije v </w:t>
      </w:r>
      <w:proofErr w:type="spellStart"/>
      <w:r w:rsidRPr="00E76957">
        <w:rPr>
          <w:rFonts w:ascii="Arial" w:hAnsi="Arial" w:cs="Arial"/>
          <w:color w:val="000000"/>
          <w:sz w:val="20"/>
          <w:szCs w:val="20"/>
        </w:rPr>
        <w:t>soproizvodnji</w:t>
      </w:r>
      <w:proofErr w:type="spellEnd"/>
      <w:r w:rsidRPr="00E76957">
        <w:rPr>
          <w:rFonts w:ascii="Arial" w:hAnsi="Arial" w:cs="Arial"/>
          <w:color w:val="000000"/>
          <w:sz w:val="20"/>
          <w:szCs w:val="20"/>
        </w:rPr>
        <w:t xml:space="preserve"> z visokim izkoristkom in iz obnovljivih virov energije (Uradni list RS, št.</w:t>
      </w:r>
      <w:r>
        <w:rPr>
          <w:rFonts w:ascii="Arial" w:hAnsi="Arial" w:cs="Arial"/>
          <w:color w:val="000000"/>
          <w:sz w:val="20"/>
          <w:szCs w:val="20"/>
        </w:rPr>
        <w:t xml:space="preserve"> 4</w:t>
      </w:r>
      <w:r w:rsidRPr="00E76957">
        <w:rPr>
          <w:rFonts w:ascii="Arial" w:hAnsi="Arial" w:cs="Arial"/>
          <w:color w:val="000000"/>
          <w:sz w:val="20"/>
          <w:szCs w:val="20"/>
        </w:rPr>
        <w:t>/2013)</w:t>
      </w:r>
      <w:r>
        <w:rPr>
          <w:rFonts w:ascii="Arial" w:hAnsi="Arial" w:cs="Arial"/>
          <w:color w:val="000000"/>
          <w:sz w:val="20"/>
          <w:szCs w:val="20"/>
        </w:rPr>
        <w:t xml:space="preserve"> </w:t>
      </w:r>
      <w:r w:rsidRPr="00E76957">
        <w:rPr>
          <w:rFonts w:ascii="Arial" w:hAnsi="Arial" w:cs="Arial"/>
          <w:color w:val="000000"/>
          <w:sz w:val="20"/>
          <w:szCs w:val="20"/>
        </w:rPr>
        <w:t xml:space="preserve"> </w:t>
      </w:r>
      <w:r>
        <w:rPr>
          <w:rFonts w:ascii="Arial" w:hAnsi="Arial" w:cs="Arial"/>
          <w:color w:val="000000"/>
          <w:sz w:val="20"/>
          <w:szCs w:val="20"/>
        </w:rPr>
        <w:t xml:space="preserve">in  </w:t>
      </w:r>
      <w:r w:rsidRPr="00E76957">
        <w:rPr>
          <w:rFonts w:ascii="Arial" w:hAnsi="Arial" w:cs="Arial"/>
          <w:color w:val="000000"/>
          <w:sz w:val="20"/>
          <w:szCs w:val="20"/>
        </w:rPr>
        <w:t>(Uradni list RS, št.</w:t>
      </w:r>
      <w:r>
        <w:rPr>
          <w:rFonts w:ascii="Arial" w:hAnsi="Arial" w:cs="Arial"/>
          <w:color w:val="000000"/>
          <w:sz w:val="20"/>
          <w:szCs w:val="20"/>
        </w:rPr>
        <w:t xml:space="preserve"> </w:t>
      </w:r>
      <w:r w:rsidRPr="00E76957">
        <w:rPr>
          <w:rFonts w:ascii="Arial" w:hAnsi="Arial" w:cs="Arial"/>
          <w:color w:val="000000"/>
          <w:sz w:val="20"/>
          <w:szCs w:val="20"/>
        </w:rPr>
        <w:t xml:space="preserve"> 71/2013)</w:t>
      </w:r>
      <w:r>
        <w:rPr>
          <w:rFonts w:ascii="Arial" w:hAnsi="Arial" w:cs="Arial"/>
          <w:color w:val="000000"/>
          <w:sz w:val="20"/>
          <w:szCs w:val="20"/>
        </w:rPr>
        <w:t xml:space="preserve"> zbranih samo od prispevkov končnih odjemalcev električne energije 112.758.887 EUR. Ker so se je z zadnjim aktom znižali </w:t>
      </w:r>
      <w:proofErr w:type="spellStart"/>
      <w:r>
        <w:rPr>
          <w:rFonts w:ascii="Arial" w:hAnsi="Arial" w:cs="Arial"/>
          <w:color w:val="000000"/>
          <w:sz w:val="20"/>
          <w:szCs w:val="20"/>
        </w:rPr>
        <w:t>ponderji</w:t>
      </w:r>
      <w:proofErr w:type="spellEnd"/>
      <w:r>
        <w:rPr>
          <w:rFonts w:ascii="Arial" w:hAnsi="Arial" w:cs="Arial"/>
          <w:color w:val="000000"/>
          <w:sz w:val="20"/>
          <w:szCs w:val="20"/>
        </w:rPr>
        <w:t xml:space="preserve"> za končne odjemalce električne energije, se ocenjuje, da bo z nespremenjenim povprečnim prispevkom na kW obračunske moči s prispevki končnih odjemalcev električne energije v letu zbranih 103,5 mio EUR.</w:t>
      </w:r>
    </w:p>
    <w:p w:rsidR="00AD63E1" w:rsidRDefault="00AD63E1" w:rsidP="00AD63E1">
      <w:pPr>
        <w:autoSpaceDE w:val="0"/>
        <w:autoSpaceDN w:val="0"/>
        <w:adjustRightInd w:val="0"/>
        <w:spacing w:line="240" w:lineRule="atLeast"/>
        <w:rPr>
          <w:rFonts w:ascii="Arial" w:hAnsi="Arial" w:cs="Arial"/>
          <w:color w:val="000000"/>
          <w:sz w:val="20"/>
          <w:szCs w:val="20"/>
        </w:rPr>
      </w:pPr>
    </w:p>
    <w:p w:rsidR="00AD63E1" w:rsidRPr="00E76957" w:rsidRDefault="00AD63E1" w:rsidP="00AD63E1">
      <w:pPr>
        <w:suppressAutoHyphens w:val="0"/>
        <w:spacing w:after="200" w:line="276" w:lineRule="auto"/>
        <w:rPr>
          <w:rFonts w:ascii="Arial" w:eastAsia="Calibri" w:hAnsi="Arial" w:cs="Arial"/>
          <w:sz w:val="20"/>
          <w:szCs w:val="20"/>
          <w:lang w:eastAsia="en-US"/>
        </w:rPr>
      </w:pPr>
      <w:r>
        <w:rPr>
          <w:rFonts w:ascii="Arial" w:eastAsia="Calibri" w:hAnsi="Arial" w:cs="Arial"/>
          <w:sz w:val="20"/>
          <w:szCs w:val="20"/>
          <w:lang w:eastAsia="en-US"/>
        </w:rPr>
        <w:t>Na podlagi z</w:t>
      </w:r>
      <w:r w:rsidRPr="00E76957">
        <w:rPr>
          <w:rFonts w:ascii="Arial" w:eastAsia="Calibri" w:hAnsi="Arial" w:cs="Arial"/>
          <w:sz w:val="20"/>
          <w:szCs w:val="20"/>
          <w:lang w:eastAsia="en-US"/>
        </w:rPr>
        <w:t>adnj</w:t>
      </w:r>
      <w:r>
        <w:rPr>
          <w:rFonts w:ascii="Arial" w:eastAsia="Calibri" w:hAnsi="Arial" w:cs="Arial"/>
          <w:sz w:val="20"/>
          <w:szCs w:val="20"/>
          <w:lang w:eastAsia="en-US"/>
        </w:rPr>
        <w:t>ih</w:t>
      </w:r>
      <w:r w:rsidRPr="00E76957">
        <w:rPr>
          <w:rFonts w:ascii="Arial" w:eastAsia="Calibri" w:hAnsi="Arial" w:cs="Arial"/>
          <w:sz w:val="20"/>
          <w:szCs w:val="20"/>
          <w:lang w:eastAsia="en-US"/>
        </w:rPr>
        <w:t xml:space="preserve"> usklajevanj</w:t>
      </w:r>
      <w:r>
        <w:rPr>
          <w:rFonts w:ascii="Arial" w:eastAsia="Calibri" w:hAnsi="Arial" w:cs="Arial"/>
          <w:sz w:val="20"/>
          <w:szCs w:val="20"/>
          <w:lang w:eastAsia="en-US"/>
        </w:rPr>
        <w:t xml:space="preserve"> </w:t>
      </w:r>
      <w:r w:rsidRPr="00E76957">
        <w:rPr>
          <w:rFonts w:ascii="Arial" w:eastAsia="Calibri" w:hAnsi="Arial" w:cs="Arial"/>
          <w:sz w:val="20"/>
          <w:szCs w:val="20"/>
          <w:lang w:eastAsia="en-US"/>
        </w:rPr>
        <w:t>podatkov</w:t>
      </w:r>
      <w:r>
        <w:rPr>
          <w:rFonts w:ascii="Arial" w:eastAsia="Calibri" w:hAnsi="Arial" w:cs="Arial"/>
          <w:sz w:val="20"/>
          <w:szCs w:val="20"/>
          <w:lang w:eastAsia="en-US"/>
        </w:rPr>
        <w:t xml:space="preserve"> </w:t>
      </w:r>
      <w:proofErr w:type="spellStart"/>
      <w:r>
        <w:rPr>
          <w:rFonts w:ascii="Arial" w:eastAsia="Calibri" w:hAnsi="Arial" w:cs="Arial"/>
          <w:sz w:val="20"/>
          <w:szCs w:val="20"/>
          <w:lang w:eastAsia="en-US"/>
        </w:rPr>
        <w:t>podatkov</w:t>
      </w:r>
      <w:proofErr w:type="spellEnd"/>
      <w:r>
        <w:rPr>
          <w:rFonts w:ascii="Arial" w:eastAsia="Calibri" w:hAnsi="Arial" w:cs="Arial"/>
          <w:sz w:val="20"/>
          <w:szCs w:val="20"/>
          <w:lang w:eastAsia="en-US"/>
        </w:rPr>
        <w:t xml:space="preserve"> za leto 2013 med Ministrstvom za infrastrukturo ter</w:t>
      </w:r>
      <w:r w:rsidRPr="00E76957">
        <w:rPr>
          <w:rFonts w:ascii="Arial" w:eastAsia="Calibri" w:hAnsi="Arial" w:cs="Arial"/>
          <w:sz w:val="20"/>
          <w:szCs w:val="20"/>
          <w:lang w:eastAsia="en-US"/>
        </w:rPr>
        <w:t xml:space="preserve"> </w:t>
      </w:r>
      <w:proofErr w:type="spellStart"/>
      <w:r w:rsidRPr="00E76957">
        <w:rPr>
          <w:rFonts w:ascii="Arial" w:eastAsia="Calibri" w:hAnsi="Arial" w:cs="Arial"/>
          <w:sz w:val="20"/>
          <w:szCs w:val="20"/>
          <w:lang w:eastAsia="en-US"/>
        </w:rPr>
        <w:t>Borzen</w:t>
      </w:r>
      <w:r>
        <w:rPr>
          <w:rFonts w:ascii="Arial" w:eastAsia="Calibri" w:hAnsi="Arial" w:cs="Arial"/>
          <w:sz w:val="20"/>
          <w:szCs w:val="20"/>
          <w:lang w:eastAsia="en-US"/>
        </w:rPr>
        <w:t>om</w:t>
      </w:r>
      <w:proofErr w:type="spellEnd"/>
      <w:r w:rsidRPr="00E76957">
        <w:rPr>
          <w:rFonts w:ascii="Arial" w:eastAsia="Calibri" w:hAnsi="Arial" w:cs="Arial"/>
          <w:sz w:val="20"/>
          <w:szCs w:val="20"/>
          <w:lang w:eastAsia="en-US"/>
        </w:rPr>
        <w:t xml:space="preserve"> in Agencije</w:t>
      </w:r>
      <w:r>
        <w:rPr>
          <w:rFonts w:ascii="Arial" w:eastAsia="Calibri" w:hAnsi="Arial" w:cs="Arial"/>
          <w:sz w:val="20"/>
          <w:szCs w:val="20"/>
          <w:lang w:eastAsia="en-US"/>
        </w:rPr>
        <w:t xml:space="preserve"> je pripravljena naslednja ocena potrebnih sredstev</w:t>
      </w:r>
      <w:r w:rsidRPr="00E76957">
        <w:rPr>
          <w:rFonts w:ascii="Arial" w:eastAsia="Calibri" w:hAnsi="Arial" w:cs="Arial"/>
          <w:sz w:val="20"/>
          <w:szCs w:val="20"/>
          <w:lang w:eastAsia="en-US"/>
        </w:rPr>
        <w:t xml:space="preserve"> za 2014:</w:t>
      </w: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850"/>
        <w:gridCol w:w="851"/>
      </w:tblGrid>
      <w:tr w:rsidR="00AD63E1" w:rsidRPr="00E76957" w:rsidTr="00C40A5E">
        <w:tc>
          <w:tcPr>
            <w:tcW w:w="5070" w:type="dxa"/>
            <w:shd w:val="clear" w:color="auto" w:fill="FF9966"/>
          </w:tcPr>
          <w:p w:rsidR="00AD63E1" w:rsidRPr="00E76957" w:rsidRDefault="00AD63E1" w:rsidP="00C40A5E">
            <w:pPr>
              <w:autoSpaceDE w:val="0"/>
              <w:autoSpaceDN w:val="0"/>
              <w:adjustRightInd w:val="0"/>
              <w:spacing w:line="240" w:lineRule="atLeast"/>
              <w:rPr>
                <w:rFonts w:ascii="Arial" w:hAnsi="Arial" w:cs="Arial"/>
                <w:color w:val="000000"/>
                <w:sz w:val="20"/>
                <w:szCs w:val="20"/>
              </w:rPr>
            </w:pPr>
            <w:r w:rsidRPr="00E76957">
              <w:rPr>
                <w:rFonts w:ascii="Arial" w:hAnsi="Arial" w:cs="Arial"/>
                <w:color w:val="000000"/>
                <w:sz w:val="20"/>
                <w:szCs w:val="20"/>
              </w:rPr>
              <w:t>Leto</w:t>
            </w:r>
          </w:p>
        </w:tc>
        <w:tc>
          <w:tcPr>
            <w:tcW w:w="850" w:type="dxa"/>
            <w:shd w:val="clear" w:color="auto" w:fill="FF9966"/>
          </w:tcPr>
          <w:p w:rsidR="00AD63E1" w:rsidRPr="00E76957" w:rsidRDefault="00AD63E1" w:rsidP="00C40A5E">
            <w:pPr>
              <w:autoSpaceDE w:val="0"/>
              <w:autoSpaceDN w:val="0"/>
              <w:adjustRightInd w:val="0"/>
              <w:spacing w:line="240" w:lineRule="atLeast"/>
              <w:rPr>
                <w:rFonts w:ascii="Arial" w:hAnsi="Arial" w:cs="Arial"/>
                <w:color w:val="000000"/>
                <w:sz w:val="20"/>
                <w:szCs w:val="20"/>
              </w:rPr>
            </w:pPr>
            <w:r w:rsidRPr="00E76957">
              <w:rPr>
                <w:rFonts w:ascii="Arial" w:hAnsi="Arial" w:cs="Arial"/>
                <w:color w:val="000000"/>
                <w:sz w:val="20"/>
                <w:szCs w:val="20"/>
              </w:rPr>
              <w:t>2013</w:t>
            </w:r>
          </w:p>
        </w:tc>
        <w:tc>
          <w:tcPr>
            <w:tcW w:w="851" w:type="dxa"/>
            <w:shd w:val="clear" w:color="auto" w:fill="FF9966"/>
          </w:tcPr>
          <w:p w:rsidR="00AD63E1" w:rsidRPr="00E76957" w:rsidRDefault="00AD63E1" w:rsidP="00C40A5E">
            <w:pPr>
              <w:autoSpaceDE w:val="0"/>
              <w:autoSpaceDN w:val="0"/>
              <w:adjustRightInd w:val="0"/>
              <w:spacing w:line="240" w:lineRule="atLeast"/>
              <w:rPr>
                <w:rFonts w:ascii="Arial" w:hAnsi="Arial" w:cs="Arial"/>
                <w:color w:val="000000"/>
                <w:sz w:val="20"/>
                <w:szCs w:val="20"/>
              </w:rPr>
            </w:pPr>
            <w:r w:rsidRPr="00E76957">
              <w:rPr>
                <w:rFonts w:ascii="Arial" w:hAnsi="Arial" w:cs="Arial"/>
                <w:color w:val="000000"/>
                <w:sz w:val="20"/>
                <w:szCs w:val="20"/>
              </w:rPr>
              <w:t>2014</w:t>
            </w:r>
          </w:p>
        </w:tc>
      </w:tr>
      <w:tr w:rsidR="00AD63E1" w:rsidRPr="00E76957" w:rsidTr="00C40A5E">
        <w:tc>
          <w:tcPr>
            <w:tcW w:w="5070" w:type="dxa"/>
            <w:shd w:val="clear" w:color="auto" w:fill="DAEEF3"/>
          </w:tcPr>
          <w:p w:rsidR="00AD63E1" w:rsidRPr="00E76957" w:rsidRDefault="00AD63E1" w:rsidP="00C40A5E">
            <w:pPr>
              <w:autoSpaceDE w:val="0"/>
              <w:autoSpaceDN w:val="0"/>
              <w:adjustRightInd w:val="0"/>
              <w:spacing w:line="240" w:lineRule="atLeast"/>
              <w:rPr>
                <w:rFonts w:ascii="Arial" w:hAnsi="Arial" w:cs="Arial"/>
                <w:color w:val="000000"/>
                <w:sz w:val="20"/>
                <w:szCs w:val="20"/>
              </w:rPr>
            </w:pPr>
            <w:r w:rsidRPr="00E76957">
              <w:rPr>
                <w:rFonts w:ascii="Arial" w:hAnsi="Arial" w:cs="Arial"/>
                <w:color w:val="000000"/>
                <w:sz w:val="20"/>
                <w:szCs w:val="20"/>
              </w:rPr>
              <w:t>Potrebna sredstva skupaj  (mio €)</w:t>
            </w:r>
          </w:p>
        </w:tc>
        <w:tc>
          <w:tcPr>
            <w:tcW w:w="850" w:type="dxa"/>
            <w:shd w:val="clear" w:color="auto" w:fill="auto"/>
          </w:tcPr>
          <w:p w:rsidR="00AD63E1" w:rsidRPr="00E76957" w:rsidRDefault="00AD63E1" w:rsidP="00C40A5E">
            <w:pPr>
              <w:autoSpaceDE w:val="0"/>
              <w:autoSpaceDN w:val="0"/>
              <w:adjustRightInd w:val="0"/>
              <w:spacing w:line="240" w:lineRule="atLeast"/>
              <w:jc w:val="right"/>
              <w:rPr>
                <w:rFonts w:ascii="Arial" w:hAnsi="Arial" w:cs="Arial"/>
                <w:color w:val="000000"/>
                <w:sz w:val="20"/>
                <w:szCs w:val="20"/>
              </w:rPr>
            </w:pPr>
            <w:r w:rsidRPr="00E76957">
              <w:rPr>
                <w:rFonts w:ascii="Arial" w:hAnsi="Arial" w:cs="Arial"/>
                <w:color w:val="000000"/>
                <w:sz w:val="20"/>
                <w:szCs w:val="20"/>
              </w:rPr>
              <w:t>122</w:t>
            </w:r>
          </w:p>
        </w:tc>
        <w:tc>
          <w:tcPr>
            <w:tcW w:w="851" w:type="dxa"/>
            <w:shd w:val="clear" w:color="auto" w:fill="auto"/>
          </w:tcPr>
          <w:p w:rsidR="00AD63E1" w:rsidRPr="00E76957" w:rsidRDefault="00AD63E1" w:rsidP="00C40A5E">
            <w:pPr>
              <w:autoSpaceDE w:val="0"/>
              <w:autoSpaceDN w:val="0"/>
              <w:adjustRightInd w:val="0"/>
              <w:spacing w:line="240" w:lineRule="atLeast"/>
              <w:jc w:val="right"/>
              <w:rPr>
                <w:rFonts w:ascii="Arial" w:hAnsi="Arial" w:cs="Arial"/>
                <w:color w:val="000000"/>
                <w:sz w:val="20"/>
                <w:szCs w:val="20"/>
              </w:rPr>
            </w:pPr>
            <w:r w:rsidRPr="00E76957">
              <w:rPr>
                <w:rFonts w:ascii="Arial" w:hAnsi="Arial" w:cs="Arial"/>
                <w:color w:val="000000"/>
                <w:sz w:val="20"/>
                <w:szCs w:val="20"/>
              </w:rPr>
              <w:t>135</w:t>
            </w:r>
          </w:p>
        </w:tc>
      </w:tr>
      <w:tr w:rsidR="00AD63E1" w:rsidRPr="00E76957" w:rsidTr="00C40A5E">
        <w:tc>
          <w:tcPr>
            <w:tcW w:w="5070" w:type="dxa"/>
            <w:shd w:val="clear" w:color="auto" w:fill="DAEEF3"/>
          </w:tcPr>
          <w:p w:rsidR="00AD63E1" w:rsidRPr="00E76957" w:rsidRDefault="00AD63E1" w:rsidP="00C40A5E">
            <w:pPr>
              <w:autoSpaceDE w:val="0"/>
              <w:autoSpaceDN w:val="0"/>
              <w:adjustRightInd w:val="0"/>
              <w:spacing w:line="240" w:lineRule="atLeast"/>
              <w:rPr>
                <w:rFonts w:ascii="Arial" w:hAnsi="Arial" w:cs="Arial"/>
                <w:color w:val="000000"/>
                <w:sz w:val="20"/>
                <w:szCs w:val="20"/>
              </w:rPr>
            </w:pPr>
            <w:r w:rsidRPr="00E76957">
              <w:rPr>
                <w:rFonts w:ascii="Arial" w:hAnsi="Arial" w:cs="Arial"/>
                <w:color w:val="000000"/>
                <w:sz w:val="20"/>
                <w:szCs w:val="20"/>
              </w:rPr>
              <w:t xml:space="preserve">Prispevki </w:t>
            </w:r>
            <w:proofErr w:type="spellStart"/>
            <w:r w:rsidRPr="00E76957">
              <w:rPr>
                <w:rFonts w:ascii="Arial" w:hAnsi="Arial" w:cs="Arial"/>
                <w:color w:val="000000"/>
                <w:sz w:val="20"/>
                <w:szCs w:val="20"/>
              </w:rPr>
              <w:t>konč</w:t>
            </w:r>
            <w:proofErr w:type="spellEnd"/>
            <w:r w:rsidRPr="00E76957">
              <w:rPr>
                <w:rFonts w:ascii="Arial" w:hAnsi="Arial" w:cs="Arial"/>
                <w:color w:val="000000"/>
                <w:sz w:val="20"/>
                <w:szCs w:val="20"/>
              </w:rPr>
              <w:t xml:space="preserve">. </w:t>
            </w:r>
            <w:proofErr w:type="spellStart"/>
            <w:r w:rsidRPr="00E76957">
              <w:rPr>
                <w:rFonts w:ascii="Arial" w:hAnsi="Arial" w:cs="Arial"/>
                <w:color w:val="000000"/>
                <w:sz w:val="20"/>
                <w:szCs w:val="20"/>
              </w:rPr>
              <w:t>odj</w:t>
            </w:r>
            <w:proofErr w:type="spellEnd"/>
            <w:r w:rsidRPr="00E76957">
              <w:rPr>
                <w:rFonts w:ascii="Arial" w:hAnsi="Arial" w:cs="Arial"/>
                <w:color w:val="000000"/>
                <w:sz w:val="20"/>
                <w:szCs w:val="20"/>
              </w:rPr>
              <w:t>. električne energije (mio €)</w:t>
            </w:r>
          </w:p>
        </w:tc>
        <w:tc>
          <w:tcPr>
            <w:tcW w:w="850" w:type="dxa"/>
            <w:shd w:val="clear" w:color="auto" w:fill="auto"/>
          </w:tcPr>
          <w:p w:rsidR="00AD63E1" w:rsidRPr="00E76957" w:rsidRDefault="00AD63E1" w:rsidP="00C40A5E">
            <w:pPr>
              <w:autoSpaceDE w:val="0"/>
              <w:autoSpaceDN w:val="0"/>
              <w:adjustRightInd w:val="0"/>
              <w:spacing w:line="240" w:lineRule="atLeast"/>
              <w:jc w:val="right"/>
              <w:rPr>
                <w:rFonts w:ascii="Arial" w:hAnsi="Arial" w:cs="Arial"/>
                <w:color w:val="000000"/>
                <w:sz w:val="20"/>
                <w:szCs w:val="20"/>
              </w:rPr>
            </w:pPr>
            <w:r w:rsidRPr="00E76957">
              <w:rPr>
                <w:rFonts w:ascii="Arial" w:hAnsi="Arial" w:cs="Arial"/>
                <w:color w:val="000000"/>
                <w:sz w:val="20"/>
                <w:szCs w:val="20"/>
              </w:rPr>
              <w:t>107</w:t>
            </w:r>
          </w:p>
        </w:tc>
        <w:tc>
          <w:tcPr>
            <w:tcW w:w="851" w:type="dxa"/>
            <w:shd w:val="clear" w:color="auto" w:fill="auto"/>
          </w:tcPr>
          <w:p w:rsidR="00AD63E1" w:rsidRPr="00E76957" w:rsidRDefault="00AD63E1" w:rsidP="00C40A5E">
            <w:pPr>
              <w:autoSpaceDE w:val="0"/>
              <w:autoSpaceDN w:val="0"/>
              <w:adjustRightInd w:val="0"/>
              <w:spacing w:line="240" w:lineRule="atLeast"/>
              <w:jc w:val="right"/>
              <w:rPr>
                <w:rFonts w:ascii="Arial" w:hAnsi="Arial" w:cs="Arial"/>
                <w:color w:val="000000"/>
                <w:sz w:val="20"/>
                <w:szCs w:val="20"/>
              </w:rPr>
            </w:pPr>
            <w:r w:rsidRPr="00E76957">
              <w:rPr>
                <w:rFonts w:ascii="Arial" w:hAnsi="Arial" w:cs="Arial"/>
                <w:color w:val="000000"/>
                <w:sz w:val="20"/>
                <w:szCs w:val="20"/>
              </w:rPr>
              <w:t>103,5</w:t>
            </w:r>
          </w:p>
        </w:tc>
      </w:tr>
      <w:tr w:rsidR="00AD63E1" w:rsidRPr="00E76957" w:rsidTr="00C40A5E">
        <w:tc>
          <w:tcPr>
            <w:tcW w:w="5070" w:type="dxa"/>
            <w:shd w:val="clear" w:color="auto" w:fill="DAEEF3"/>
          </w:tcPr>
          <w:p w:rsidR="00AD63E1" w:rsidRPr="00E76957" w:rsidRDefault="00AD63E1" w:rsidP="00C40A5E">
            <w:pPr>
              <w:autoSpaceDE w:val="0"/>
              <w:autoSpaceDN w:val="0"/>
              <w:adjustRightInd w:val="0"/>
              <w:spacing w:line="240" w:lineRule="atLeast"/>
              <w:rPr>
                <w:rFonts w:ascii="Arial" w:hAnsi="Arial" w:cs="Arial"/>
                <w:color w:val="000000"/>
                <w:sz w:val="20"/>
                <w:szCs w:val="20"/>
              </w:rPr>
            </w:pPr>
            <w:r w:rsidRPr="00E76957">
              <w:rPr>
                <w:rFonts w:ascii="Arial" w:hAnsi="Arial" w:cs="Arial"/>
                <w:color w:val="000000"/>
                <w:sz w:val="20"/>
                <w:szCs w:val="20"/>
              </w:rPr>
              <w:t>Prodaja elektrike EKO bilančne skupine (mio €)</w:t>
            </w:r>
          </w:p>
        </w:tc>
        <w:tc>
          <w:tcPr>
            <w:tcW w:w="850" w:type="dxa"/>
            <w:shd w:val="clear" w:color="auto" w:fill="auto"/>
          </w:tcPr>
          <w:p w:rsidR="00AD63E1" w:rsidRPr="00E76957" w:rsidRDefault="00AD63E1" w:rsidP="00C40A5E">
            <w:pPr>
              <w:autoSpaceDE w:val="0"/>
              <w:autoSpaceDN w:val="0"/>
              <w:adjustRightInd w:val="0"/>
              <w:spacing w:line="240" w:lineRule="atLeast"/>
              <w:jc w:val="right"/>
              <w:rPr>
                <w:rFonts w:ascii="Arial" w:hAnsi="Arial" w:cs="Arial"/>
                <w:color w:val="000000"/>
                <w:sz w:val="20"/>
                <w:szCs w:val="20"/>
              </w:rPr>
            </w:pPr>
            <w:r w:rsidRPr="00E76957">
              <w:rPr>
                <w:rFonts w:ascii="Arial" w:hAnsi="Arial" w:cs="Arial"/>
                <w:color w:val="000000"/>
                <w:sz w:val="20"/>
                <w:szCs w:val="20"/>
              </w:rPr>
              <w:t>15</w:t>
            </w:r>
          </w:p>
        </w:tc>
        <w:tc>
          <w:tcPr>
            <w:tcW w:w="851" w:type="dxa"/>
            <w:shd w:val="clear" w:color="auto" w:fill="auto"/>
          </w:tcPr>
          <w:p w:rsidR="00AD63E1" w:rsidRPr="00E76957" w:rsidRDefault="00AD63E1" w:rsidP="00C40A5E">
            <w:pPr>
              <w:autoSpaceDE w:val="0"/>
              <w:autoSpaceDN w:val="0"/>
              <w:adjustRightInd w:val="0"/>
              <w:spacing w:line="240" w:lineRule="atLeast"/>
              <w:jc w:val="right"/>
              <w:rPr>
                <w:rFonts w:ascii="Arial" w:hAnsi="Arial" w:cs="Arial"/>
                <w:color w:val="000000"/>
                <w:sz w:val="20"/>
                <w:szCs w:val="20"/>
              </w:rPr>
            </w:pPr>
            <w:r w:rsidRPr="00E76957">
              <w:rPr>
                <w:rFonts w:ascii="Arial" w:hAnsi="Arial" w:cs="Arial"/>
                <w:color w:val="000000"/>
                <w:sz w:val="20"/>
                <w:szCs w:val="20"/>
              </w:rPr>
              <w:t>8,5</w:t>
            </w:r>
          </w:p>
        </w:tc>
      </w:tr>
      <w:tr w:rsidR="00AD63E1" w:rsidRPr="00E76957" w:rsidTr="00C40A5E">
        <w:tc>
          <w:tcPr>
            <w:tcW w:w="5070" w:type="dxa"/>
            <w:shd w:val="clear" w:color="auto" w:fill="DAEEF3"/>
          </w:tcPr>
          <w:p w:rsidR="00AD63E1" w:rsidRPr="00E76957" w:rsidRDefault="00AD63E1" w:rsidP="00C40A5E">
            <w:pPr>
              <w:autoSpaceDE w:val="0"/>
              <w:autoSpaceDN w:val="0"/>
              <w:adjustRightInd w:val="0"/>
              <w:spacing w:line="240" w:lineRule="atLeast"/>
              <w:rPr>
                <w:rFonts w:ascii="Arial" w:hAnsi="Arial" w:cs="Arial"/>
                <w:color w:val="000000"/>
                <w:sz w:val="20"/>
                <w:szCs w:val="20"/>
              </w:rPr>
            </w:pPr>
            <w:r w:rsidRPr="00E76957">
              <w:rPr>
                <w:rFonts w:ascii="Arial" w:hAnsi="Arial" w:cs="Arial"/>
                <w:color w:val="000000"/>
                <w:sz w:val="20"/>
                <w:szCs w:val="20"/>
              </w:rPr>
              <w:t>Podnebni sklad (mio €)</w:t>
            </w:r>
          </w:p>
        </w:tc>
        <w:tc>
          <w:tcPr>
            <w:tcW w:w="850" w:type="dxa"/>
            <w:shd w:val="clear" w:color="auto" w:fill="auto"/>
          </w:tcPr>
          <w:p w:rsidR="00AD63E1" w:rsidRPr="00E76957" w:rsidRDefault="00AD63E1" w:rsidP="00C40A5E">
            <w:pPr>
              <w:autoSpaceDE w:val="0"/>
              <w:autoSpaceDN w:val="0"/>
              <w:adjustRightInd w:val="0"/>
              <w:spacing w:line="240" w:lineRule="atLeast"/>
              <w:jc w:val="right"/>
              <w:rPr>
                <w:rFonts w:ascii="Arial" w:hAnsi="Arial" w:cs="Arial"/>
                <w:color w:val="000000"/>
                <w:sz w:val="20"/>
                <w:szCs w:val="20"/>
              </w:rPr>
            </w:pPr>
            <w:r w:rsidRPr="00E76957">
              <w:rPr>
                <w:rFonts w:ascii="Arial" w:hAnsi="Arial" w:cs="Arial"/>
                <w:color w:val="000000"/>
                <w:sz w:val="20"/>
                <w:szCs w:val="20"/>
              </w:rPr>
              <w:t>0</w:t>
            </w:r>
          </w:p>
        </w:tc>
        <w:tc>
          <w:tcPr>
            <w:tcW w:w="851" w:type="dxa"/>
            <w:shd w:val="clear" w:color="auto" w:fill="auto"/>
          </w:tcPr>
          <w:p w:rsidR="00AD63E1" w:rsidRPr="00E76957" w:rsidRDefault="00AD63E1" w:rsidP="00C40A5E">
            <w:pPr>
              <w:autoSpaceDE w:val="0"/>
              <w:autoSpaceDN w:val="0"/>
              <w:adjustRightInd w:val="0"/>
              <w:spacing w:line="240" w:lineRule="atLeast"/>
              <w:jc w:val="right"/>
              <w:rPr>
                <w:rFonts w:ascii="Arial" w:hAnsi="Arial" w:cs="Arial"/>
                <w:color w:val="000000"/>
                <w:sz w:val="20"/>
                <w:szCs w:val="20"/>
              </w:rPr>
            </w:pPr>
            <w:r w:rsidRPr="00E76957">
              <w:rPr>
                <w:rFonts w:ascii="Arial" w:hAnsi="Arial" w:cs="Arial"/>
                <w:color w:val="000000"/>
                <w:sz w:val="20"/>
                <w:szCs w:val="20"/>
              </w:rPr>
              <w:t>0</w:t>
            </w:r>
          </w:p>
        </w:tc>
      </w:tr>
      <w:tr w:rsidR="00AD63E1" w:rsidRPr="00E76957" w:rsidTr="00C40A5E">
        <w:tc>
          <w:tcPr>
            <w:tcW w:w="5070" w:type="dxa"/>
            <w:shd w:val="clear" w:color="auto" w:fill="DAEEF3"/>
          </w:tcPr>
          <w:p w:rsidR="00AD63E1" w:rsidRPr="00E76957" w:rsidRDefault="00AD63E1" w:rsidP="00C40A5E">
            <w:pPr>
              <w:autoSpaceDE w:val="0"/>
              <w:autoSpaceDN w:val="0"/>
              <w:adjustRightInd w:val="0"/>
              <w:spacing w:line="240" w:lineRule="atLeast"/>
              <w:rPr>
                <w:rFonts w:ascii="Arial" w:hAnsi="Arial" w:cs="Arial"/>
                <w:color w:val="000000"/>
                <w:sz w:val="20"/>
                <w:szCs w:val="20"/>
              </w:rPr>
            </w:pPr>
            <w:r w:rsidRPr="00E76957">
              <w:rPr>
                <w:rFonts w:ascii="Arial" w:hAnsi="Arial" w:cs="Arial"/>
                <w:color w:val="000000"/>
                <w:sz w:val="20"/>
                <w:szCs w:val="20"/>
              </w:rPr>
              <w:t>Prispevki- fosilna goriva (mio €)</w:t>
            </w:r>
          </w:p>
        </w:tc>
        <w:tc>
          <w:tcPr>
            <w:tcW w:w="850" w:type="dxa"/>
            <w:shd w:val="clear" w:color="auto" w:fill="auto"/>
          </w:tcPr>
          <w:p w:rsidR="00AD63E1" w:rsidRPr="00E76957" w:rsidRDefault="00AD63E1" w:rsidP="00C40A5E">
            <w:pPr>
              <w:autoSpaceDE w:val="0"/>
              <w:autoSpaceDN w:val="0"/>
              <w:adjustRightInd w:val="0"/>
              <w:spacing w:line="240" w:lineRule="atLeast"/>
              <w:jc w:val="right"/>
              <w:rPr>
                <w:rFonts w:ascii="Arial" w:hAnsi="Arial" w:cs="Arial"/>
                <w:color w:val="000000"/>
                <w:sz w:val="20"/>
                <w:szCs w:val="20"/>
              </w:rPr>
            </w:pPr>
            <w:r w:rsidRPr="00E76957">
              <w:rPr>
                <w:rFonts w:ascii="Arial" w:hAnsi="Arial" w:cs="Arial"/>
                <w:color w:val="000000"/>
                <w:sz w:val="20"/>
                <w:szCs w:val="20"/>
              </w:rPr>
              <w:t>0</w:t>
            </w:r>
          </w:p>
        </w:tc>
        <w:tc>
          <w:tcPr>
            <w:tcW w:w="851" w:type="dxa"/>
            <w:shd w:val="clear" w:color="auto" w:fill="auto"/>
          </w:tcPr>
          <w:p w:rsidR="00AD63E1" w:rsidRPr="00E76957" w:rsidRDefault="00AD63E1" w:rsidP="00C40A5E">
            <w:pPr>
              <w:autoSpaceDE w:val="0"/>
              <w:autoSpaceDN w:val="0"/>
              <w:adjustRightInd w:val="0"/>
              <w:spacing w:line="240" w:lineRule="atLeast"/>
              <w:jc w:val="right"/>
              <w:rPr>
                <w:rFonts w:ascii="Arial" w:hAnsi="Arial" w:cs="Arial"/>
                <w:color w:val="000000"/>
                <w:sz w:val="20"/>
                <w:szCs w:val="20"/>
              </w:rPr>
            </w:pPr>
            <w:r w:rsidRPr="00E76957">
              <w:rPr>
                <w:rFonts w:ascii="Arial" w:hAnsi="Arial" w:cs="Arial"/>
                <w:color w:val="000000"/>
                <w:sz w:val="20"/>
                <w:szCs w:val="20"/>
              </w:rPr>
              <w:t>23</w:t>
            </w:r>
          </w:p>
        </w:tc>
      </w:tr>
    </w:tbl>
    <w:p w:rsidR="00AD63E1" w:rsidRPr="00E76957" w:rsidRDefault="00AD63E1" w:rsidP="00AD63E1">
      <w:pPr>
        <w:suppressAutoHyphens w:val="0"/>
        <w:spacing w:after="200" w:line="276" w:lineRule="auto"/>
        <w:rPr>
          <w:rFonts w:ascii="Calibri" w:eastAsia="Calibri" w:hAnsi="Calibri"/>
          <w:sz w:val="22"/>
          <w:szCs w:val="22"/>
          <w:lang w:eastAsia="en-US"/>
        </w:rPr>
      </w:pPr>
    </w:p>
    <w:p w:rsidR="00AD63E1" w:rsidRDefault="00AD63E1" w:rsidP="00AD63E1">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Po tej oceni je potrebno v letu 2014 od prvega maja do konca leta z novimi prispevki na fosilne energente in daljinsko toploto zagotoviti 23 mio EUR za normalno izvajanje podporne sheme. V naslednjem letu 2015 se višina prispevkov ne bi spremenila, ker pa bi se pobirali v celem letu, bi bilo dovolj sredstev tudi za delovanje podporne sheme v tem letu.</w:t>
      </w:r>
    </w:p>
    <w:p w:rsidR="00AD63E1" w:rsidRDefault="00AD63E1" w:rsidP="00AD63E1">
      <w:pPr>
        <w:autoSpaceDE w:val="0"/>
        <w:autoSpaceDN w:val="0"/>
        <w:adjustRightInd w:val="0"/>
        <w:spacing w:line="240" w:lineRule="atLeast"/>
        <w:rPr>
          <w:rFonts w:ascii="Arial" w:hAnsi="Arial" w:cs="Arial"/>
          <w:color w:val="000000"/>
          <w:sz w:val="20"/>
          <w:szCs w:val="20"/>
        </w:rPr>
      </w:pPr>
    </w:p>
    <w:p w:rsidR="00AD63E1" w:rsidRDefault="00AD63E1" w:rsidP="00AD63E1">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Podrobno višino prispevkov mora po izdaji te uredbe skladno z določbami tretjega odstavka 378. člena in določbami Uredbe</w:t>
      </w:r>
      <w:r w:rsidRPr="00250B85">
        <w:rPr>
          <w:rFonts w:ascii="Arial" w:hAnsi="Arial" w:cs="Arial"/>
          <w:color w:val="000000"/>
          <w:sz w:val="20"/>
          <w:szCs w:val="20"/>
        </w:rPr>
        <w:t xml:space="preserve"> o načinu določanja in obračunavanja prispevkov za zagotavljanje podpor proizvodnji električne energije v </w:t>
      </w:r>
      <w:proofErr w:type="spellStart"/>
      <w:r w:rsidRPr="00250B85">
        <w:rPr>
          <w:rFonts w:ascii="Arial" w:hAnsi="Arial" w:cs="Arial"/>
          <w:color w:val="000000"/>
          <w:sz w:val="20"/>
          <w:szCs w:val="20"/>
        </w:rPr>
        <w:t>soproizvodnji</w:t>
      </w:r>
      <w:proofErr w:type="spellEnd"/>
      <w:r w:rsidRPr="00250B85">
        <w:rPr>
          <w:rFonts w:ascii="Arial" w:hAnsi="Arial" w:cs="Arial"/>
          <w:color w:val="000000"/>
          <w:sz w:val="20"/>
          <w:szCs w:val="20"/>
        </w:rPr>
        <w:t xml:space="preserve"> z visokim izkoristkom in iz obnovljivih virov energije</w:t>
      </w:r>
      <w:r>
        <w:rPr>
          <w:rFonts w:ascii="Arial" w:hAnsi="Arial" w:cs="Arial"/>
          <w:color w:val="000000"/>
          <w:sz w:val="20"/>
          <w:szCs w:val="20"/>
        </w:rPr>
        <w:t xml:space="preserve"> določiti Agencija za energijo s svojim aktom in ga objaviti v uradnem listu. </w:t>
      </w:r>
    </w:p>
    <w:p w:rsidR="00AD63E1" w:rsidRDefault="00AD63E1" w:rsidP="00AD63E1">
      <w:pPr>
        <w:autoSpaceDE w:val="0"/>
        <w:autoSpaceDN w:val="0"/>
        <w:adjustRightInd w:val="0"/>
        <w:spacing w:line="240" w:lineRule="atLeast"/>
        <w:rPr>
          <w:rFonts w:ascii="Arial" w:hAnsi="Arial" w:cs="Arial"/>
          <w:color w:val="000000"/>
          <w:sz w:val="20"/>
          <w:szCs w:val="20"/>
        </w:rPr>
      </w:pPr>
    </w:p>
    <w:p w:rsidR="00AD63E1" w:rsidRDefault="00AD63E1" w:rsidP="00AD63E1">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Na Ministrstvu za infrastrukturo je bila pripravljena preliminarna ocena višine teh prispevkov in ocena vpliva na maloprodajno ceno energentov iz katere izhaja, da se bodo maloprodajne cene fosilnih goriv in toplote iz  omrežij zvišale med 0,6 in 2,74 odstotki</w:t>
      </w:r>
      <w:r>
        <w:rPr>
          <w:vertAlign w:val="subscript"/>
        </w:rPr>
        <w:t>.</w:t>
      </w:r>
    </w:p>
    <w:p w:rsidR="00AD63E1" w:rsidRDefault="00AD63E1" w:rsidP="00AD63E1">
      <w:pPr>
        <w:autoSpaceDE w:val="0"/>
        <w:autoSpaceDN w:val="0"/>
        <w:adjustRightInd w:val="0"/>
        <w:spacing w:line="240" w:lineRule="atLeast"/>
        <w:rPr>
          <w:rFonts w:ascii="Arial" w:hAnsi="Arial" w:cs="Arial"/>
          <w:color w:val="000000"/>
          <w:sz w:val="20"/>
          <w:szCs w:val="20"/>
        </w:rPr>
      </w:pPr>
    </w:p>
    <w:p w:rsidR="00AD63E1" w:rsidRDefault="00AD63E1" w:rsidP="00AD63E1">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 xml:space="preserve"> </w:t>
      </w:r>
    </w:p>
    <w:p w:rsidR="00AD63E1" w:rsidRDefault="00AD63E1" w:rsidP="00AD63E1">
      <w:pPr>
        <w:autoSpaceDE w:val="0"/>
        <w:autoSpaceDN w:val="0"/>
        <w:adjustRightInd w:val="0"/>
        <w:spacing w:line="240" w:lineRule="atLeast"/>
        <w:rPr>
          <w:rFonts w:ascii="Arial" w:hAnsi="Arial" w:cs="Arial"/>
          <w:color w:val="000000"/>
          <w:sz w:val="20"/>
          <w:szCs w:val="20"/>
        </w:rPr>
      </w:pPr>
    </w:p>
    <w:p w:rsidR="00AD63E1" w:rsidRDefault="00AD63E1" w:rsidP="00AD63E1">
      <w:pPr>
        <w:autoSpaceDE w:val="0"/>
        <w:autoSpaceDN w:val="0"/>
        <w:adjustRightInd w:val="0"/>
        <w:spacing w:line="240" w:lineRule="atLeast"/>
        <w:rPr>
          <w:rFonts w:ascii="Arial" w:hAnsi="Arial" w:cs="Arial"/>
          <w:color w:val="000000"/>
          <w:sz w:val="20"/>
          <w:szCs w:val="20"/>
        </w:rPr>
      </w:pPr>
    </w:p>
    <w:tbl>
      <w:tblPr>
        <w:tblW w:w="8140" w:type="dxa"/>
        <w:tblInd w:w="55" w:type="dxa"/>
        <w:tblCellMar>
          <w:left w:w="70" w:type="dxa"/>
          <w:right w:w="70" w:type="dxa"/>
        </w:tblCellMar>
        <w:tblLook w:val="04A0" w:firstRow="1" w:lastRow="0" w:firstColumn="1" w:lastColumn="0" w:noHBand="0" w:noVBand="1"/>
      </w:tblPr>
      <w:tblGrid>
        <w:gridCol w:w="2500"/>
        <w:gridCol w:w="1900"/>
        <w:gridCol w:w="1920"/>
        <w:gridCol w:w="1820"/>
      </w:tblGrid>
      <w:tr w:rsidR="00AD63E1" w:rsidRPr="001D0459" w:rsidTr="00C40A5E">
        <w:trPr>
          <w:trHeight w:val="330"/>
        </w:trPr>
        <w:tc>
          <w:tcPr>
            <w:tcW w:w="2500"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AD63E1" w:rsidRPr="001D0459" w:rsidRDefault="00AD63E1" w:rsidP="00C40A5E">
            <w:pPr>
              <w:suppressAutoHyphens w:val="0"/>
              <w:jc w:val="right"/>
              <w:rPr>
                <w:rFonts w:ascii="Calibri" w:hAnsi="Calibri"/>
                <w:color w:val="000000"/>
                <w:sz w:val="22"/>
                <w:szCs w:val="22"/>
                <w:lang w:eastAsia="sl-SI"/>
              </w:rPr>
            </w:pPr>
            <w:r w:rsidRPr="001D0459">
              <w:rPr>
                <w:rFonts w:ascii="Calibri" w:hAnsi="Calibri"/>
                <w:color w:val="000000"/>
                <w:sz w:val="22"/>
                <w:szCs w:val="22"/>
                <w:lang w:eastAsia="sl-SI"/>
              </w:rPr>
              <w:t>V-IX 2014</w:t>
            </w:r>
          </w:p>
        </w:tc>
        <w:tc>
          <w:tcPr>
            <w:tcW w:w="1900" w:type="dxa"/>
            <w:tcBorders>
              <w:top w:val="single" w:sz="12" w:space="0" w:color="auto"/>
              <w:left w:val="nil"/>
              <w:bottom w:val="single" w:sz="12" w:space="0" w:color="auto"/>
              <w:right w:val="single" w:sz="12" w:space="0" w:color="auto"/>
            </w:tcBorders>
            <w:shd w:val="clear" w:color="000000" w:fill="FFFF00"/>
            <w:noWrap/>
            <w:vAlign w:val="bottom"/>
            <w:hideMark/>
          </w:tcPr>
          <w:p w:rsidR="00AD63E1" w:rsidRPr="001D0459" w:rsidRDefault="00AD63E1" w:rsidP="00C40A5E">
            <w:pPr>
              <w:suppressAutoHyphens w:val="0"/>
              <w:rPr>
                <w:rFonts w:ascii="Calibri" w:hAnsi="Calibri"/>
                <w:color w:val="000000"/>
                <w:sz w:val="22"/>
                <w:szCs w:val="22"/>
                <w:lang w:eastAsia="sl-SI"/>
              </w:rPr>
            </w:pPr>
            <w:r w:rsidRPr="001D0459">
              <w:rPr>
                <w:rFonts w:ascii="Calibri" w:hAnsi="Calibri"/>
                <w:color w:val="000000"/>
                <w:sz w:val="22"/>
                <w:szCs w:val="22"/>
                <w:lang w:eastAsia="sl-SI"/>
              </w:rPr>
              <w:t>Prispevek na enoto</w:t>
            </w:r>
          </w:p>
        </w:tc>
        <w:tc>
          <w:tcPr>
            <w:tcW w:w="1920" w:type="dxa"/>
            <w:tcBorders>
              <w:top w:val="single" w:sz="12" w:space="0" w:color="auto"/>
              <w:left w:val="nil"/>
              <w:bottom w:val="single" w:sz="12" w:space="0" w:color="auto"/>
              <w:right w:val="single" w:sz="12" w:space="0" w:color="auto"/>
            </w:tcBorders>
            <w:shd w:val="clear" w:color="000000" w:fill="FFFF00"/>
            <w:vAlign w:val="bottom"/>
            <w:hideMark/>
          </w:tcPr>
          <w:p w:rsidR="00AD63E1" w:rsidRPr="001D0459" w:rsidRDefault="00AD63E1" w:rsidP="00C40A5E">
            <w:pPr>
              <w:suppressAutoHyphens w:val="0"/>
              <w:rPr>
                <w:rFonts w:ascii="Calibri" w:hAnsi="Calibri"/>
                <w:color w:val="000000"/>
                <w:sz w:val="22"/>
                <w:szCs w:val="22"/>
                <w:lang w:eastAsia="sl-SI"/>
              </w:rPr>
            </w:pPr>
            <w:r w:rsidRPr="001D0459">
              <w:rPr>
                <w:rFonts w:ascii="Calibri" w:hAnsi="Calibri"/>
                <w:color w:val="000000"/>
                <w:sz w:val="22"/>
                <w:szCs w:val="22"/>
                <w:lang w:eastAsia="sl-SI"/>
              </w:rPr>
              <w:t xml:space="preserve">Maloprodajna cena </w:t>
            </w:r>
          </w:p>
        </w:tc>
        <w:tc>
          <w:tcPr>
            <w:tcW w:w="1820" w:type="dxa"/>
            <w:tcBorders>
              <w:top w:val="single" w:sz="12" w:space="0" w:color="auto"/>
              <w:left w:val="nil"/>
              <w:bottom w:val="single" w:sz="12" w:space="0" w:color="auto"/>
              <w:right w:val="single" w:sz="12" w:space="0" w:color="auto"/>
            </w:tcBorders>
            <w:shd w:val="clear" w:color="000000" w:fill="FFFF00"/>
            <w:noWrap/>
            <w:vAlign w:val="bottom"/>
            <w:hideMark/>
          </w:tcPr>
          <w:p w:rsidR="00AD63E1" w:rsidRPr="001D0459" w:rsidRDefault="00AD63E1" w:rsidP="00C40A5E">
            <w:pPr>
              <w:suppressAutoHyphens w:val="0"/>
              <w:rPr>
                <w:rFonts w:ascii="Calibri" w:hAnsi="Calibri"/>
                <w:color w:val="000000"/>
                <w:sz w:val="22"/>
                <w:szCs w:val="22"/>
                <w:lang w:eastAsia="sl-SI"/>
              </w:rPr>
            </w:pPr>
            <w:r w:rsidRPr="001D0459">
              <w:rPr>
                <w:rFonts w:ascii="Calibri" w:hAnsi="Calibri"/>
                <w:color w:val="000000"/>
                <w:sz w:val="22"/>
                <w:szCs w:val="22"/>
                <w:lang w:eastAsia="sl-SI"/>
              </w:rPr>
              <w:t>Delež v ceni (%)</w:t>
            </w:r>
          </w:p>
        </w:tc>
      </w:tr>
      <w:tr w:rsidR="00AD63E1" w:rsidRPr="001D0459" w:rsidTr="00C40A5E">
        <w:trPr>
          <w:trHeight w:val="330"/>
        </w:trPr>
        <w:tc>
          <w:tcPr>
            <w:tcW w:w="2500" w:type="dxa"/>
            <w:tcBorders>
              <w:top w:val="nil"/>
              <w:left w:val="single" w:sz="12" w:space="0" w:color="auto"/>
              <w:bottom w:val="single" w:sz="12" w:space="0" w:color="auto"/>
              <w:right w:val="single" w:sz="12" w:space="0" w:color="auto"/>
            </w:tcBorders>
            <w:shd w:val="clear" w:color="000000" w:fill="00CCFF"/>
            <w:noWrap/>
            <w:vAlign w:val="bottom"/>
            <w:hideMark/>
          </w:tcPr>
          <w:p w:rsidR="00AD63E1" w:rsidRPr="001D0459" w:rsidRDefault="00AD63E1" w:rsidP="00C40A5E">
            <w:pPr>
              <w:suppressAutoHyphens w:val="0"/>
              <w:rPr>
                <w:rFonts w:ascii="Calibri" w:hAnsi="Calibri"/>
                <w:color w:val="000000"/>
                <w:sz w:val="22"/>
                <w:szCs w:val="22"/>
                <w:lang w:eastAsia="sl-SI"/>
              </w:rPr>
            </w:pPr>
            <w:proofErr w:type="spellStart"/>
            <w:r w:rsidRPr="001D0459">
              <w:rPr>
                <w:rFonts w:ascii="Calibri" w:hAnsi="Calibri"/>
                <w:color w:val="000000"/>
                <w:sz w:val="22"/>
                <w:szCs w:val="22"/>
                <w:lang w:eastAsia="sl-SI"/>
              </w:rPr>
              <w:t>Zem</w:t>
            </w:r>
            <w:proofErr w:type="spellEnd"/>
            <w:r w:rsidRPr="001D0459">
              <w:rPr>
                <w:rFonts w:ascii="Calibri" w:hAnsi="Calibri"/>
                <w:color w:val="000000"/>
                <w:sz w:val="22"/>
                <w:szCs w:val="22"/>
                <w:lang w:eastAsia="sl-SI"/>
              </w:rPr>
              <w:t>. plin (€/Sm3)</w:t>
            </w:r>
          </w:p>
        </w:tc>
        <w:tc>
          <w:tcPr>
            <w:tcW w:w="1900" w:type="dxa"/>
            <w:tcBorders>
              <w:top w:val="nil"/>
              <w:left w:val="nil"/>
              <w:bottom w:val="single" w:sz="12" w:space="0" w:color="auto"/>
              <w:right w:val="single" w:sz="12" w:space="0" w:color="auto"/>
            </w:tcBorders>
            <w:shd w:val="clear" w:color="auto" w:fill="auto"/>
            <w:noWrap/>
            <w:vAlign w:val="bottom"/>
            <w:hideMark/>
          </w:tcPr>
          <w:p w:rsidR="00AD63E1" w:rsidRPr="001D0459" w:rsidRDefault="00AD63E1" w:rsidP="00C40A5E">
            <w:pPr>
              <w:suppressAutoHyphens w:val="0"/>
              <w:jc w:val="center"/>
              <w:rPr>
                <w:rFonts w:ascii="Calibri" w:hAnsi="Calibri"/>
                <w:color w:val="000000"/>
                <w:sz w:val="22"/>
                <w:szCs w:val="22"/>
                <w:lang w:eastAsia="sl-SI"/>
              </w:rPr>
            </w:pPr>
            <w:r w:rsidRPr="001D0459">
              <w:rPr>
                <w:rFonts w:ascii="Calibri" w:hAnsi="Calibri"/>
                <w:color w:val="000000"/>
                <w:sz w:val="22"/>
                <w:szCs w:val="22"/>
                <w:lang w:eastAsia="sl-SI"/>
              </w:rPr>
              <w:t xml:space="preserve">                      0,0</w:t>
            </w:r>
            <w:r>
              <w:rPr>
                <w:rFonts w:ascii="Calibri" w:hAnsi="Calibri"/>
                <w:color w:val="000000"/>
                <w:sz w:val="22"/>
                <w:szCs w:val="22"/>
                <w:lang w:eastAsia="sl-SI"/>
              </w:rPr>
              <w:t>1334</w:t>
            </w:r>
            <w:r w:rsidRPr="001D0459">
              <w:rPr>
                <w:rFonts w:ascii="Calibri" w:hAnsi="Calibri"/>
                <w:color w:val="000000"/>
                <w:sz w:val="22"/>
                <w:szCs w:val="22"/>
                <w:lang w:eastAsia="sl-SI"/>
              </w:rPr>
              <w:t xml:space="preserve">   </w:t>
            </w:r>
          </w:p>
        </w:tc>
        <w:tc>
          <w:tcPr>
            <w:tcW w:w="1920" w:type="dxa"/>
            <w:tcBorders>
              <w:top w:val="nil"/>
              <w:left w:val="nil"/>
              <w:bottom w:val="single" w:sz="12" w:space="0" w:color="auto"/>
              <w:right w:val="single" w:sz="12" w:space="0" w:color="auto"/>
            </w:tcBorders>
            <w:shd w:val="clear" w:color="auto" w:fill="auto"/>
            <w:noWrap/>
            <w:vAlign w:val="bottom"/>
            <w:hideMark/>
          </w:tcPr>
          <w:p w:rsidR="00AD63E1" w:rsidRPr="001D0459" w:rsidRDefault="00AD63E1" w:rsidP="00C40A5E">
            <w:pPr>
              <w:suppressAutoHyphens w:val="0"/>
              <w:jc w:val="center"/>
              <w:rPr>
                <w:rFonts w:ascii="Calibri" w:hAnsi="Calibri"/>
                <w:color w:val="000000"/>
                <w:sz w:val="22"/>
                <w:szCs w:val="22"/>
                <w:lang w:eastAsia="sl-SI"/>
              </w:rPr>
            </w:pPr>
            <w:r w:rsidRPr="001D0459">
              <w:rPr>
                <w:rFonts w:ascii="Calibri" w:hAnsi="Calibri"/>
                <w:color w:val="000000"/>
                <w:sz w:val="22"/>
                <w:szCs w:val="22"/>
                <w:lang w:eastAsia="sl-SI"/>
              </w:rPr>
              <w:t xml:space="preserve">                      0,48630   </w:t>
            </w:r>
          </w:p>
        </w:tc>
        <w:tc>
          <w:tcPr>
            <w:tcW w:w="1820" w:type="dxa"/>
            <w:tcBorders>
              <w:top w:val="nil"/>
              <w:left w:val="nil"/>
              <w:bottom w:val="single" w:sz="12" w:space="0" w:color="auto"/>
              <w:right w:val="single" w:sz="12" w:space="0" w:color="auto"/>
            </w:tcBorders>
            <w:shd w:val="clear" w:color="auto" w:fill="auto"/>
            <w:noWrap/>
            <w:vAlign w:val="bottom"/>
            <w:hideMark/>
          </w:tcPr>
          <w:p w:rsidR="00AD63E1" w:rsidRPr="001D0459" w:rsidRDefault="00AD63E1" w:rsidP="00C40A5E">
            <w:pPr>
              <w:suppressAutoHyphens w:val="0"/>
              <w:jc w:val="center"/>
              <w:rPr>
                <w:rFonts w:ascii="Calibri" w:hAnsi="Calibri"/>
                <w:color w:val="000000"/>
                <w:sz w:val="22"/>
                <w:szCs w:val="22"/>
                <w:lang w:eastAsia="sl-SI"/>
              </w:rPr>
            </w:pPr>
            <w:r w:rsidRPr="001D0459">
              <w:rPr>
                <w:rFonts w:ascii="Calibri" w:hAnsi="Calibri"/>
                <w:color w:val="000000"/>
                <w:sz w:val="22"/>
                <w:szCs w:val="22"/>
                <w:lang w:eastAsia="sl-SI"/>
              </w:rPr>
              <w:t xml:space="preserve">                    </w:t>
            </w:r>
            <w:r>
              <w:rPr>
                <w:rFonts w:ascii="Calibri" w:hAnsi="Calibri"/>
                <w:color w:val="000000"/>
                <w:sz w:val="22"/>
                <w:szCs w:val="22"/>
                <w:lang w:eastAsia="sl-SI"/>
              </w:rPr>
              <w:t>2,74316</w:t>
            </w:r>
          </w:p>
        </w:tc>
      </w:tr>
      <w:tr w:rsidR="00AD63E1" w:rsidRPr="001D0459" w:rsidTr="00C40A5E">
        <w:trPr>
          <w:trHeight w:val="330"/>
        </w:trPr>
        <w:tc>
          <w:tcPr>
            <w:tcW w:w="2500" w:type="dxa"/>
            <w:tcBorders>
              <w:top w:val="nil"/>
              <w:left w:val="single" w:sz="12" w:space="0" w:color="auto"/>
              <w:bottom w:val="single" w:sz="12" w:space="0" w:color="auto"/>
              <w:right w:val="single" w:sz="12" w:space="0" w:color="auto"/>
            </w:tcBorders>
            <w:shd w:val="clear" w:color="000000" w:fill="00CCFF"/>
            <w:noWrap/>
            <w:vAlign w:val="bottom"/>
            <w:hideMark/>
          </w:tcPr>
          <w:p w:rsidR="00AD63E1" w:rsidRPr="001D0459" w:rsidRDefault="00AD63E1" w:rsidP="00C40A5E">
            <w:pPr>
              <w:suppressAutoHyphens w:val="0"/>
              <w:rPr>
                <w:rFonts w:ascii="Calibri" w:hAnsi="Calibri"/>
                <w:color w:val="000000"/>
                <w:sz w:val="22"/>
                <w:szCs w:val="22"/>
                <w:lang w:eastAsia="sl-SI"/>
              </w:rPr>
            </w:pPr>
            <w:r w:rsidRPr="001D0459">
              <w:rPr>
                <w:rFonts w:ascii="Calibri" w:hAnsi="Calibri"/>
                <w:color w:val="000000"/>
                <w:sz w:val="22"/>
                <w:szCs w:val="22"/>
                <w:lang w:eastAsia="sl-SI"/>
              </w:rPr>
              <w:t>ELKO (€/l)</w:t>
            </w:r>
          </w:p>
        </w:tc>
        <w:tc>
          <w:tcPr>
            <w:tcW w:w="1900" w:type="dxa"/>
            <w:tcBorders>
              <w:top w:val="nil"/>
              <w:left w:val="nil"/>
              <w:bottom w:val="single" w:sz="12" w:space="0" w:color="auto"/>
              <w:right w:val="single" w:sz="12" w:space="0" w:color="auto"/>
            </w:tcBorders>
            <w:shd w:val="clear" w:color="auto" w:fill="auto"/>
            <w:noWrap/>
            <w:vAlign w:val="bottom"/>
            <w:hideMark/>
          </w:tcPr>
          <w:p w:rsidR="00AD63E1" w:rsidRPr="001D0459" w:rsidRDefault="00AD63E1" w:rsidP="00C40A5E">
            <w:pPr>
              <w:suppressAutoHyphens w:val="0"/>
              <w:jc w:val="center"/>
              <w:rPr>
                <w:rFonts w:ascii="Calibri" w:hAnsi="Calibri"/>
                <w:color w:val="000000"/>
                <w:sz w:val="22"/>
                <w:szCs w:val="22"/>
                <w:lang w:eastAsia="sl-SI"/>
              </w:rPr>
            </w:pPr>
            <w:r w:rsidRPr="001D0459">
              <w:rPr>
                <w:rFonts w:ascii="Calibri" w:hAnsi="Calibri"/>
                <w:color w:val="000000"/>
                <w:sz w:val="22"/>
                <w:szCs w:val="22"/>
                <w:lang w:eastAsia="sl-SI"/>
              </w:rPr>
              <w:t xml:space="preserve">                      0,00945   </w:t>
            </w:r>
          </w:p>
        </w:tc>
        <w:tc>
          <w:tcPr>
            <w:tcW w:w="1920" w:type="dxa"/>
            <w:tcBorders>
              <w:top w:val="nil"/>
              <w:left w:val="nil"/>
              <w:bottom w:val="single" w:sz="12" w:space="0" w:color="auto"/>
              <w:right w:val="single" w:sz="12" w:space="0" w:color="auto"/>
            </w:tcBorders>
            <w:shd w:val="clear" w:color="auto" w:fill="auto"/>
            <w:noWrap/>
            <w:vAlign w:val="bottom"/>
            <w:hideMark/>
          </w:tcPr>
          <w:p w:rsidR="00AD63E1" w:rsidRPr="001D0459" w:rsidRDefault="00AD63E1" w:rsidP="00C40A5E">
            <w:pPr>
              <w:suppressAutoHyphens w:val="0"/>
              <w:jc w:val="center"/>
              <w:rPr>
                <w:rFonts w:ascii="Calibri" w:hAnsi="Calibri"/>
                <w:color w:val="000000"/>
                <w:sz w:val="22"/>
                <w:szCs w:val="22"/>
                <w:lang w:eastAsia="sl-SI"/>
              </w:rPr>
            </w:pPr>
            <w:r w:rsidRPr="001D0459">
              <w:rPr>
                <w:rFonts w:ascii="Calibri" w:hAnsi="Calibri"/>
                <w:color w:val="000000"/>
                <w:sz w:val="22"/>
                <w:szCs w:val="22"/>
                <w:lang w:eastAsia="sl-SI"/>
              </w:rPr>
              <w:t xml:space="preserve">                      1,01000   </w:t>
            </w:r>
          </w:p>
        </w:tc>
        <w:tc>
          <w:tcPr>
            <w:tcW w:w="1820" w:type="dxa"/>
            <w:tcBorders>
              <w:top w:val="nil"/>
              <w:left w:val="nil"/>
              <w:bottom w:val="single" w:sz="12" w:space="0" w:color="auto"/>
              <w:right w:val="single" w:sz="12" w:space="0" w:color="auto"/>
            </w:tcBorders>
            <w:shd w:val="clear" w:color="auto" w:fill="auto"/>
            <w:noWrap/>
            <w:vAlign w:val="bottom"/>
            <w:hideMark/>
          </w:tcPr>
          <w:p w:rsidR="00AD63E1" w:rsidRPr="001D0459" w:rsidRDefault="00AD63E1" w:rsidP="00C40A5E">
            <w:pPr>
              <w:suppressAutoHyphens w:val="0"/>
              <w:jc w:val="center"/>
              <w:rPr>
                <w:rFonts w:ascii="Calibri" w:hAnsi="Calibri"/>
                <w:color w:val="000000"/>
                <w:sz w:val="22"/>
                <w:szCs w:val="22"/>
                <w:lang w:eastAsia="sl-SI"/>
              </w:rPr>
            </w:pPr>
            <w:r w:rsidRPr="001D0459">
              <w:rPr>
                <w:rFonts w:ascii="Calibri" w:hAnsi="Calibri"/>
                <w:color w:val="000000"/>
                <w:sz w:val="22"/>
                <w:szCs w:val="22"/>
                <w:lang w:eastAsia="sl-SI"/>
              </w:rPr>
              <w:t xml:space="preserve">                    0,93535   </w:t>
            </w:r>
          </w:p>
        </w:tc>
      </w:tr>
      <w:tr w:rsidR="00AD63E1" w:rsidRPr="001D0459" w:rsidTr="00C40A5E">
        <w:trPr>
          <w:trHeight w:val="330"/>
        </w:trPr>
        <w:tc>
          <w:tcPr>
            <w:tcW w:w="2500" w:type="dxa"/>
            <w:tcBorders>
              <w:top w:val="nil"/>
              <w:left w:val="single" w:sz="12" w:space="0" w:color="auto"/>
              <w:bottom w:val="single" w:sz="12" w:space="0" w:color="auto"/>
              <w:right w:val="single" w:sz="12" w:space="0" w:color="auto"/>
            </w:tcBorders>
            <w:shd w:val="clear" w:color="000000" w:fill="00CCFF"/>
            <w:noWrap/>
            <w:vAlign w:val="bottom"/>
            <w:hideMark/>
          </w:tcPr>
          <w:p w:rsidR="00AD63E1" w:rsidRPr="001D0459" w:rsidRDefault="00AD63E1" w:rsidP="00C40A5E">
            <w:pPr>
              <w:suppressAutoHyphens w:val="0"/>
              <w:rPr>
                <w:rFonts w:ascii="Calibri" w:hAnsi="Calibri"/>
                <w:color w:val="000000"/>
                <w:sz w:val="22"/>
                <w:szCs w:val="22"/>
                <w:lang w:eastAsia="sl-SI"/>
              </w:rPr>
            </w:pPr>
            <w:r w:rsidRPr="001D0459">
              <w:rPr>
                <w:rFonts w:ascii="Calibri" w:hAnsi="Calibri"/>
                <w:color w:val="000000"/>
                <w:sz w:val="22"/>
                <w:szCs w:val="22"/>
                <w:lang w:eastAsia="sl-SI"/>
              </w:rPr>
              <w:t>Kurilno olje (€/l)</w:t>
            </w:r>
          </w:p>
        </w:tc>
        <w:tc>
          <w:tcPr>
            <w:tcW w:w="1900" w:type="dxa"/>
            <w:tcBorders>
              <w:top w:val="nil"/>
              <w:left w:val="nil"/>
              <w:bottom w:val="single" w:sz="12" w:space="0" w:color="auto"/>
              <w:right w:val="single" w:sz="12" w:space="0" w:color="auto"/>
            </w:tcBorders>
            <w:shd w:val="clear" w:color="auto" w:fill="auto"/>
            <w:noWrap/>
            <w:vAlign w:val="bottom"/>
            <w:hideMark/>
          </w:tcPr>
          <w:p w:rsidR="00AD63E1" w:rsidRPr="001D0459" w:rsidRDefault="00AD63E1" w:rsidP="00C40A5E">
            <w:pPr>
              <w:suppressAutoHyphens w:val="0"/>
              <w:jc w:val="center"/>
              <w:rPr>
                <w:rFonts w:ascii="Calibri" w:hAnsi="Calibri"/>
                <w:color w:val="000000"/>
                <w:sz w:val="22"/>
                <w:szCs w:val="22"/>
                <w:lang w:eastAsia="sl-SI"/>
              </w:rPr>
            </w:pPr>
            <w:r w:rsidRPr="001D0459">
              <w:rPr>
                <w:rFonts w:ascii="Calibri" w:hAnsi="Calibri"/>
                <w:color w:val="000000"/>
                <w:sz w:val="22"/>
                <w:szCs w:val="22"/>
                <w:lang w:eastAsia="sl-SI"/>
              </w:rPr>
              <w:t xml:space="preserve">                      0,00880   </w:t>
            </w:r>
          </w:p>
        </w:tc>
        <w:tc>
          <w:tcPr>
            <w:tcW w:w="1920" w:type="dxa"/>
            <w:tcBorders>
              <w:top w:val="nil"/>
              <w:left w:val="nil"/>
              <w:bottom w:val="single" w:sz="12" w:space="0" w:color="auto"/>
              <w:right w:val="single" w:sz="12" w:space="0" w:color="auto"/>
            </w:tcBorders>
            <w:shd w:val="clear" w:color="auto" w:fill="auto"/>
            <w:noWrap/>
            <w:vAlign w:val="bottom"/>
            <w:hideMark/>
          </w:tcPr>
          <w:p w:rsidR="00AD63E1" w:rsidRPr="001D0459" w:rsidRDefault="00AD63E1" w:rsidP="00C40A5E">
            <w:pPr>
              <w:suppressAutoHyphens w:val="0"/>
              <w:jc w:val="center"/>
              <w:rPr>
                <w:rFonts w:ascii="Calibri" w:hAnsi="Calibri"/>
                <w:color w:val="000000"/>
                <w:sz w:val="22"/>
                <w:szCs w:val="22"/>
                <w:lang w:eastAsia="sl-SI"/>
              </w:rPr>
            </w:pPr>
            <w:r w:rsidRPr="001D0459">
              <w:rPr>
                <w:rFonts w:ascii="Calibri" w:hAnsi="Calibri"/>
                <w:color w:val="000000"/>
                <w:sz w:val="22"/>
                <w:szCs w:val="22"/>
                <w:lang w:eastAsia="sl-SI"/>
              </w:rPr>
              <w:t xml:space="preserve">                      0,80000   </w:t>
            </w:r>
          </w:p>
        </w:tc>
        <w:tc>
          <w:tcPr>
            <w:tcW w:w="1820" w:type="dxa"/>
            <w:tcBorders>
              <w:top w:val="nil"/>
              <w:left w:val="nil"/>
              <w:bottom w:val="single" w:sz="12" w:space="0" w:color="auto"/>
              <w:right w:val="single" w:sz="12" w:space="0" w:color="auto"/>
            </w:tcBorders>
            <w:shd w:val="clear" w:color="auto" w:fill="auto"/>
            <w:noWrap/>
            <w:vAlign w:val="bottom"/>
            <w:hideMark/>
          </w:tcPr>
          <w:p w:rsidR="00AD63E1" w:rsidRPr="001D0459" w:rsidRDefault="00AD63E1" w:rsidP="00C40A5E">
            <w:pPr>
              <w:suppressAutoHyphens w:val="0"/>
              <w:jc w:val="center"/>
              <w:rPr>
                <w:rFonts w:ascii="Calibri" w:hAnsi="Calibri"/>
                <w:color w:val="000000"/>
                <w:sz w:val="22"/>
                <w:szCs w:val="22"/>
                <w:lang w:eastAsia="sl-SI"/>
              </w:rPr>
            </w:pPr>
            <w:r w:rsidRPr="001D0459">
              <w:rPr>
                <w:rFonts w:ascii="Calibri" w:hAnsi="Calibri"/>
                <w:color w:val="000000"/>
                <w:sz w:val="22"/>
                <w:szCs w:val="22"/>
                <w:lang w:eastAsia="sl-SI"/>
              </w:rPr>
              <w:t xml:space="preserve">                    1,10049   </w:t>
            </w:r>
          </w:p>
        </w:tc>
      </w:tr>
      <w:tr w:rsidR="00AD63E1" w:rsidRPr="001D0459" w:rsidTr="00C40A5E">
        <w:trPr>
          <w:trHeight w:val="330"/>
        </w:trPr>
        <w:tc>
          <w:tcPr>
            <w:tcW w:w="2500" w:type="dxa"/>
            <w:tcBorders>
              <w:top w:val="nil"/>
              <w:left w:val="single" w:sz="12" w:space="0" w:color="auto"/>
              <w:bottom w:val="single" w:sz="12" w:space="0" w:color="auto"/>
              <w:right w:val="single" w:sz="12" w:space="0" w:color="auto"/>
            </w:tcBorders>
            <w:shd w:val="clear" w:color="000000" w:fill="00CCFF"/>
            <w:noWrap/>
            <w:vAlign w:val="bottom"/>
            <w:hideMark/>
          </w:tcPr>
          <w:p w:rsidR="00AD63E1" w:rsidRPr="001D0459" w:rsidRDefault="00AD63E1" w:rsidP="00C40A5E">
            <w:pPr>
              <w:suppressAutoHyphens w:val="0"/>
              <w:rPr>
                <w:rFonts w:ascii="Calibri" w:hAnsi="Calibri"/>
                <w:color w:val="000000"/>
                <w:sz w:val="22"/>
                <w:szCs w:val="22"/>
                <w:lang w:eastAsia="sl-SI"/>
              </w:rPr>
            </w:pPr>
            <w:r w:rsidRPr="001D0459">
              <w:rPr>
                <w:rFonts w:ascii="Calibri" w:hAnsi="Calibri"/>
                <w:color w:val="000000"/>
                <w:sz w:val="22"/>
                <w:szCs w:val="22"/>
                <w:lang w:eastAsia="sl-SI"/>
              </w:rPr>
              <w:t>Daljinska toplota (€/MWh)</w:t>
            </w:r>
          </w:p>
        </w:tc>
        <w:tc>
          <w:tcPr>
            <w:tcW w:w="1900" w:type="dxa"/>
            <w:tcBorders>
              <w:top w:val="nil"/>
              <w:left w:val="nil"/>
              <w:bottom w:val="single" w:sz="12" w:space="0" w:color="auto"/>
              <w:right w:val="single" w:sz="12" w:space="0" w:color="auto"/>
            </w:tcBorders>
            <w:shd w:val="clear" w:color="auto" w:fill="auto"/>
            <w:noWrap/>
            <w:vAlign w:val="bottom"/>
            <w:hideMark/>
          </w:tcPr>
          <w:p w:rsidR="00AD63E1" w:rsidRPr="001D0459" w:rsidRDefault="00AD63E1" w:rsidP="00C40A5E">
            <w:pPr>
              <w:suppressAutoHyphens w:val="0"/>
              <w:jc w:val="center"/>
              <w:rPr>
                <w:rFonts w:ascii="Calibri" w:hAnsi="Calibri"/>
                <w:color w:val="000000"/>
                <w:sz w:val="22"/>
                <w:szCs w:val="22"/>
                <w:lang w:eastAsia="sl-SI"/>
              </w:rPr>
            </w:pPr>
            <w:r w:rsidRPr="001D0459">
              <w:rPr>
                <w:rFonts w:ascii="Calibri" w:hAnsi="Calibri"/>
                <w:color w:val="000000"/>
                <w:sz w:val="22"/>
                <w:szCs w:val="22"/>
                <w:lang w:eastAsia="sl-SI"/>
              </w:rPr>
              <w:t xml:space="preserve">                      0,95205   </w:t>
            </w:r>
          </w:p>
        </w:tc>
        <w:tc>
          <w:tcPr>
            <w:tcW w:w="1920" w:type="dxa"/>
            <w:tcBorders>
              <w:top w:val="nil"/>
              <w:left w:val="nil"/>
              <w:bottom w:val="single" w:sz="12" w:space="0" w:color="auto"/>
              <w:right w:val="single" w:sz="12" w:space="0" w:color="auto"/>
            </w:tcBorders>
            <w:shd w:val="clear" w:color="auto" w:fill="auto"/>
            <w:noWrap/>
            <w:vAlign w:val="bottom"/>
            <w:hideMark/>
          </w:tcPr>
          <w:p w:rsidR="00AD63E1" w:rsidRPr="001D0459" w:rsidRDefault="00AD63E1" w:rsidP="00C40A5E">
            <w:pPr>
              <w:suppressAutoHyphens w:val="0"/>
              <w:jc w:val="center"/>
              <w:rPr>
                <w:rFonts w:ascii="Calibri" w:hAnsi="Calibri"/>
                <w:color w:val="000000"/>
                <w:sz w:val="22"/>
                <w:szCs w:val="22"/>
                <w:lang w:eastAsia="sl-SI"/>
              </w:rPr>
            </w:pPr>
            <w:r w:rsidRPr="001D0459">
              <w:rPr>
                <w:rFonts w:ascii="Calibri" w:hAnsi="Calibri"/>
                <w:color w:val="000000"/>
                <w:sz w:val="22"/>
                <w:szCs w:val="22"/>
                <w:lang w:eastAsia="sl-SI"/>
              </w:rPr>
              <w:t xml:space="preserve">                    56,76560   </w:t>
            </w:r>
          </w:p>
        </w:tc>
        <w:tc>
          <w:tcPr>
            <w:tcW w:w="1820" w:type="dxa"/>
            <w:tcBorders>
              <w:top w:val="nil"/>
              <w:left w:val="nil"/>
              <w:bottom w:val="single" w:sz="12" w:space="0" w:color="auto"/>
              <w:right w:val="single" w:sz="12" w:space="0" w:color="auto"/>
            </w:tcBorders>
            <w:shd w:val="clear" w:color="auto" w:fill="auto"/>
            <w:noWrap/>
            <w:vAlign w:val="bottom"/>
            <w:hideMark/>
          </w:tcPr>
          <w:p w:rsidR="00AD63E1" w:rsidRPr="001D0459" w:rsidRDefault="00AD63E1" w:rsidP="00C40A5E">
            <w:pPr>
              <w:suppressAutoHyphens w:val="0"/>
              <w:jc w:val="center"/>
              <w:rPr>
                <w:rFonts w:ascii="Calibri" w:hAnsi="Calibri"/>
                <w:color w:val="000000"/>
                <w:sz w:val="22"/>
                <w:szCs w:val="22"/>
                <w:lang w:eastAsia="sl-SI"/>
              </w:rPr>
            </w:pPr>
            <w:r w:rsidRPr="001D0459">
              <w:rPr>
                <w:rFonts w:ascii="Calibri" w:hAnsi="Calibri"/>
                <w:color w:val="000000"/>
                <w:sz w:val="22"/>
                <w:szCs w:val="22"/>
                <w:lang w:eastAsia="sl-SI"/>
              </w:rPr>
              <w:t xml:space="preserve">                    1,67716   </w:t>
            </w:r>
          </w:p>
        </w:tc>
      </w:tr>
      <w:tr w:rsidR="00AD63E1" w:rsidRPr="001D0459" w:rsidTr="00C40A5E">
        <w:trPr>
          <w:trHeight w:val="330"/>
        </w:trPr>
        <w:tc>
          <w:tcPr>
            <w:tcW w:w="2500" w:type="dxa"/>
            <w:tcBorders>
              <w:top w:val="nil"/>
              <w:left w:val="single" w:sz="12" w:space="0" w:color="auto"/>
              <w:bottom w:val="single" w:sz="12" w:space="0" w:color="auto"/>
              <w:right w:val="single" w:sz="12" w:space="0" w:color="auto"/>
            </w:tcBorders>
            <w:shd w:val="clear" w:color="000000" w:fill="00CCFF"/>
            <w:noWrap/>
            <w:vAlign w:val="bottom"/>
            <w:hideMark/>
          </w:tcPr>
          <w:p w:rsidR="00AD63E1" w:rsidRPr="001D0459" w:rsidRDefault="00AD63E1" w:rsidP="00C40A5E">
            <w:pPr>
              <w:suppressAutoHyphens w:val="0"/>
              <w:rPr>
                <w:rFonts w:ascii="Calibri" w:hAnsi="Calibri"/>
                <w:color w:val="000000"/>
                <w:sz w:val="22"/>
                <w:szCs w:val="22"/>
                <w:lang w:eastAsia="sl-SI"/>
              </w:rPr>
            </w:pPr>
            <w:r w:rsidRPr="001D0459">
              <w:rPr>
                <w:rFonts w:ascii="Calibri" w:hAnsi="Calibri"/>
                <w:color w:val="000000"/>
                <w:sz w:val="22"/>
                <w:szCs w:val="22"/>
                <w:lang w:eastAsia="sl-SI"/>
              </w:rPr>
              <w:t>Premog (€/kg)</w:t>
            </w:r>
          </w:p>
        </w:tc>
        <w:tc>
          <w:tcPr>
            <w:tcW w:w="1900" w:type="dxa"/>
            <w:tcBorders>
              <w:top w:val="nil"/>
              <w:left w:val="nil"/>
              <w:bottom w:val="single" w:sz="12" w:space="0" w:color="auto"/>
              <w:right w:val="single" w:sz="12" w:space="0" w:color="auto"/>
            </w:tcBorders>
            <w:shd w:val="clear" w:color="auto" w:fill="auto"/>
            <w:noWrap/>
            <w:vAlign w:val="bottom"/>
            <w:hideMark/>
          </w:tcPr>
          <w:p w:rsidR="00AD63E1" w:rsidRPr="001D0459" w:rsidRDefault="00AD63E1" w:rsidP="00C40A5E">
            <w:pPr>
              <w:suppressAutoHyphens w:val="0"/>
              <w:jc w:val="center"/>
              <w:rPr>
                <w:rFonts w:ascii="Calibri" w:hAnsi="Calibri"/>
                <w:color w:val="000000"/>
                <w:sz w:val="22"/>
                <w:szCs w:val="22"/>
                <w:lang w:eastAsia="sl-SI"/>
              </w:rPr>
            </w:pPr>
            <w:r w:rsidRPr="001D0459">
              <w:rPr>
                <w:rFonts w:ascii="Calibri" w:hAnsi="Calibri"/>
                <w:color w:val="000000"/>
                <w:sz w:val="22"/>
                <w:szCs w:val="22"/>
                <w:lang w:eastAsia="sl-SI"/>
              </w:rPr>
              <w:t xml:space="preserve">                      0,00329   </w:t>
            </w:r>
          </w:p>
        </w:tc>
        <w:tc>
          <w:tcPr>
            <w:tcW w:w="1920" w:type="dxa"/>
            <w:tcBorders>
              <w:top w:val="nil"/>
              <w:left w:val="nil"/>
              <w:bottom w:val="single" w:sz="12" w:space="0" w:color="auto"/>
              <w:right w:val="single" w:sz="12" w:space="0" w:color="auto"/>
            </w:tcBorders>
            <w:shd w:val="clear" w:color="auto" w:fill="auto"/>
            <w:noWrap/>
            <w:vAlign w:val="bottom"/>
            <w:hideMark/>
          </w:tcPr>
          <w:p w:rsidR="00AD63E1" w:rsidRPr="001D0459" w:rsidRDefault="00AD63E1" w:rsidP="00C40A5E">
            <w:pPr>
              <w:suppressAutoHyphens w:val="0"/>
              <w:jc w:val="center"/>
              <w:rPr>
                <w:rFonts w:ascii="Calibri" w:hAnsi="Calibri"/>
                <w:color w:val="000000"/>
                <w:sz w:val="22"/>
                <w:szCs w:val="22"/>
                <w:lang w:eastAsia="sl-SI"/>
              </w:rPr>
            </w:pPr>
            <w:r w:rsidRPr="001D0459">
              <w:rPr>
                <w:rFonts w:ascii="Calibri" w:hAnsi="Calibri"/>
                <w:color w:val="000000"/>
                <w:sz w:val="22"/>
                <w:szCs w:val="22"/>
                <w:lang w:eastAsia="sl-SI"/>
              </w:rPr>
              <w:t xml:space="preserve">                      0,31960   </w:t>
            </w:r>
          </w:p>
        </w:tc>
        <w:tc>
          <w:tcPr>
            <w:tcW w:w="1820" w:type="dxa"/>
            <w:tcBorders>
              <w:top w:val="nil"/>
              <w:left w:val="nil"/>
              <w:bottom w:val="single" w:sz="12" w:space="0" w:color="auto"/>
              <w:right w:val="single" w:sz="12" w:space="0" w:color="auto"/>
            </w:tcBorders>
            <w:shd w:val="clear" w:color="auto" w:fill="auto"/>
            <w:noWrap/>
            <w:vAlign w:val="bottom"/>
            <w:hideMark/>
          </w:tcPr>
          <w:p w:rsidR="00AD63E1" w:rsidRPr="001D0459" w:rsidRDefault="00AD63E1" w:rsidP="00C40A5E">
            <w:pPr>
              <w:suppressAutoHyphens w:val="0"/>
              <w:jc w:val="center"/>
              <w:rPr>
                <w:rFonts w:ascii="Calibri" w:hAnsi="Calibri"/>
                <w:color w:val="000000"/>
                <w:sz w:val="22"/>
                <w:szCs w:val="22"/>
                <w:lang w:eastAsia="sl-SI"/>
              </w:rPr>
            </w:pPr>
            <w:r w:rsidRPr="001D0459">
              <w:rPr>
                <w:rFonts w:ascii="Calibri" w:hAnsi="Calibri"/>
                <w:color w:val="000000"/>
                <w:sz w:val="22"/>
                <w:szCs w:val="22"/>
                <w:lang w:eastAsia="sl-SI"/>
              </w:rPr>
              <w:t xml:space="preserve">                    1,02856   </w:t>
            </w:r>
          </w:p>
        </w:tc>
      </w:tr>
      <w:tr w:rsidR="00AD63E1" w:rsidRPr="001D0459" w:rsidTr="00C40A5E">
        <w:trPr>
          <w:trHeight w:val="330"/>
        </w:trPr>
        <w:tc>
          <w:tcPr>
            <w:tcW w:w="2500" w:type="dxa"/>
            <w:tcBorders>
              <w:top w:val="nil"/>
              <w:left w:val="single" w:sz="12" w:space="0" w:color="auto"/>
              <w:bottom w:val="single" w:sz="12" w:space="0" w:color="auto"/>
              <w:right w:val="single" w:sz="12" w:space="0" w:color="auto"/>
            </w:tcBorders>
            <w:shd w:val="clear" w:color="000000" w:fill="00CCFF"/>
            <w:noWrap/>
            <w:vAlign w:val="bottom"/>
            <w:hideMark/>
          </w:tcPr>
          <w:p w:rsidR="00AD63E1" w:rsidRPr="001D0459" w:rsidRDefault="00AD63E1" w:rsidP="00C40A5E">
            <w:pPr>
              <w:suppressAutoHyphens w:val="0"/>
              <w:rPr>
                <w:rFonts w:ascii="Calibri" w:hAnsi="Calibri"/>
                <w:color w:val="000000"/>
                <w:sz w:val="22"/>
                <w:szCs w:val="22"/>
                <w:lang w:eastAsia="sl-SI"/>
              </w:rPr>
            </w:pPr>
            <w:r w:rsidRPr="001D0459">
              <w:rPr>
                <w:rFonts w:ascii="Calibri" w:hAnsi="Calibri"/>
                <w:color w:val="000000"/>
                <w:sz w:val="22"/>
                <w:szCs w:val="22"/>
                <w:lang w:eastAsia="sl-SI"/>
              </w:rPr>
              <w:t>Bencin (€/l)</w:t>
            </w:r>
          </w:p>
        </w:tc>
        <w:tc>
          <w:tcPr>
            <w:tcW w:w="1900" w:type="dxa"/>
            <w:tcBorders>
              <w:top w:val="nil"/>
              <w:left w:val="nil"/>
              <w:bottom w:val="single" w:sz="12" w:space="0" w:color="auto"/>
              <w:right w:val="single" w:sz="12" w:space="0" w:color="auto"/>
            </w:tcBorders>
            <w:shd w:val="clear" w:color="auto" w:fill="auto"/>
            <w:noWrap/>
            <w:vAlign w:val="bottom"/>
            <w:hideMark/>
          </w:tcPr>
          <w:p w:rsidR="00AD63E1" w:rsidRPr="001D0459" w:rsidRDefault="00AD63E1" w:rsidP="00C40A5E">
            <w:pPr>
              <w:suppressAutoHyphens w:val="0"/>
              <w:jc w:val="center"/>
              <w:rPr>
                <w:rFonts w:ascii="Calibri" w:hAnsi="Calibri"/>
                <w:color w:val="000000"/>
                <w:sz w:val="22"/>
                <w:szCs w:val="22"/>
                <w:lang w:eastAsia="sl-SI"/>
              </w:rPr>
            </w:pPr>
            <w:r w:rsidRPr="001D0459">
              <w:rPr>
                <w:rFonts w:ascii="Calibri" w:hAnsi="Calibri"/>
                <w:color w:val="000000"/>
                <w:sz w:val="22"/>
                <w:szCs w:val="22"/>
                <w:lang w:eastAsia="sl-SI"/>
              </w:rPr>
              <w:t xml:space="preserve">                      0,00858   </w:t>
            </w:r>
          </w:p>
        </w:tc>
        <w:tc>
          <w:tcPr>
            <w:tcW w:w="1920" w:type="dxa"/>
            <w:tcBorders>
              <w:top w:val="nil"/>
              <w:left w:val="nil"/>
              <w:bottom w:val="single" w:sz="12" w:space="0" w:color="auto"/>
              <w:right w:val="single" w:sz="12" w:space="0" w:color="auto"/>
            </w:tcBorders>
            <w:shd w:val="clear" w:color="auto" w:fill="auto"/>
            <w:noWrap/>
            <w:vAlign w:val="bottom"/>
            <w:hideMark/>
          </w:tcPr>
          <w:p w:rsidR="00AD63E1" w:rsidRPr="001D0459" w:rsidRDefault="00AD63E1" w:rsidP="00C40A5E">
            <w:pPr>
              <w:suppressAutoHyphens w:val="0"/>
              <w:jc w:val="center"/>
              <w:rPr>
                <w:rFonts w:ascii="Calibri" w:hAnsi="Calibri"/>
                <w:color w:val="000000"/>
                <w:sz w:val="22"/>
                <w:szCs w:val="22"/>
                <w:lang w:eastAsia="sl-SI"/>
              </w:rPr>
            </w:pPr>
            <w:r w:rsidRPr="001D0459">
              <w:rPr>
                <w:rFonts w:ascii="Calibri" w:hAnsi="Calibri"/>
                <w:color w:val="000000"/>
                <w:sz w:val="22"/>
                <w:szCs w:val="22"/>
                <w:lang w:eastAsia="sl-SI"/>
              </w:rPr>
              <w:t xml:space="preserve">                      1,46300   </w:t>
            </w:r>
          </w:p>
        </w:tc>
        <w:tc>
          <w:tcPr>
            <w:tcW w:w="1820" w:type="dxa"/>
            <w:tcBorders>
              <w:top w:val="nil"/>
              <w:left w:val="nil"/>
              <w:bottom w:val="single" w:sz="12" w:space="0" w:color="auto"/>
              <w:right w:val="single" w:sz="12" w:space="0" w:color="auto"/>
            </w:tcBorders>
            <w:shd w:val="clear" w:color="auto" w:fill="auto"/>
            <w:noWrap/>
            <w:vAlign w:val="bottom"/>
            <w:hideMark/>
          </w:tcPr>
          <w:p w:rsidR="00AD63E1" w:rsidRPr="001D0459" w:rsidRDefault="00AD63E1" w:rsidP="00C40A5E">
            <w:pPr>
              <w:suppressAutoHyphens w:val="0"/>
              <w:jc w:val="center"/>
              <w:rPr>
                <w:rFonts w:ascii="Calibri" w:hAnsi="Calibri"/>
                <w:color w:val="000000"/>
                <w:sz w:val="22"/>
                <w:szCs w:val="22"/>
                <w:lang w:eastAsia="sl-SI"/>
              </w:rPr>
            </w:pPr>
            <w:r w:rsidRPr="001D0459">
              <w:rPr>
                <w:rFonts w:ascii="Calibri" w:hAnsi="Calibri"/>
                <w:color w:val="000000"/>
                <w:sz w:val="22"/>
                <w:szCs w:val="22"/>
                <w:lang w:eastAsia="sl-SI"/>
              </w:rPr>
              <w:t xml:space="preserve">                    0,58648   </w:t>
            </w:r>
          </w:p>
        </w:tc>
      </w:tr>
      <w:tr w:rsidR="00AD63E1" w:rsidRPr="001D0459" w:rsidTr="00C40A5E">
        <w:trPr>
          <w:trHeight w:val="330"/>
        </w:trPr>
        <w:tc>
          <w:tcPr>
            <w:tcW w:w="2500" w:type="dxa"/>
            <w:tcBorders>
              <w:top w:val="nil"/>
              <w:left w:val="single" w:sz="12" w:space="0" w:color="auto"/>
              <w:bottom w:val="single" w:sz="12" w:space="0" w:color="auto"/>
              <w:right w:val="single" w:sz="12" w:space="0" w:color="auto"/>
            </w:tcBorders>
            <w:shd w:val="clear" w:color="000000" w:fill="00CCFF"/>
            <w:noWrap/>
            <w:vAlign w:val="bottom"/>
            <w:hideMark/>
          </w:tcPr>
          <w:p w:rsidR="00AD63E1" w:rsidRPr="001D0459" w:rsidRDefault="00AD63E1" w:rsidP="00C40A5E">
            <w:pPr>
              <w:suppressAutoHyphens w:val="0"/>
              <w:rPr>
                <w:rFonts w:ascii="Calibri" w:hAnsi="Calibri"/>
                <w:color w:val="000000"/>
                <w:sz w:val="22"/>
                <w:szCs w:val="22"/>
                <w:lang w:eastAsia="sl-SI"/>
              </w:rPr>
            </w:pPr>
            <w:r w:rsidRPr="001D0459">
              <w:rPr>
                <w:rFonts w:ascii="Calibri" w:hAnsi="Calibri"/>
                <w:color w:val="000000"/>
                <w:sz w:val="22"/>
                <w:szCs w:val="22"/>
                <w:lang w:eastAsia="sl-SI"/>
              </w:rPr>
              <w:t>Diesel (€/l)</w:t>
            </w:r>
          </w:p>
        </w:tc>
        <w:tc>
          <w:tcPr>
            <w:tcW w:w="1900" w:type="dxa"/>
            <w:tcBorders>
              <w:top w:val="nil"/>
              <w:left w:val="nil"/>
              <w:bottom w:val="single" w:sz="12" w:space="0" w:color="auto"/>
              <w:right w:val="single" w:sz="12" w:space="0" w:color="auto"/>
            </w:tcBorders>
            <w:shd w:val="clear" w:color="auto" w:fill="auto"/>
            <w:noWrap/>
            <w:vAlign w:val="bottom"/>
            <w:hideMark/>
          </w:tcPr>
          <w:p w:rsidR="00AD63E1" w:rsidRPr="001D0459" w:rsidRDefault="00AD63E1" w:rsidP="00C40A5E">
            <w:pPr>
              <w:suppressAutoHyphens w:val="0"/>
              <w:jc w:val="center"/>
              <w:rPr>
                <w:rFonts w:ascii="Calibri" w:hAnsi="Calibri"/>
                <w:color w:val="000000"/>
                <w:sz w:val="22"/>
                <w:szCs w:val="22"/>
                <w:lang w:eastAsia="sl-SI"/>
              </w:rPr>
            </w:pPr>
            <w:r w:rsidRPr="001D0459">
              <w:rPr>
                <w:rFonts w:ascii="Calibri" w:hAnsi="Calibri"/>
                <w:color w:val="000000"/>
                <w:sz w:val="22"/>
                <w:szCs w:val="22"/>
                <w:lang w:eastAsia="sl-SI"/>
              </w:rPr>
              <w:t xml:space="preserve">                      0,00945   </w:t>
            </w:r>
          </w:p>
        </w:tc>
        <w:tc>
          <w:tcPr>
            <w:tcW w:w="1920" w:type="dxa"/>
            <w:tcBorders>
              <w:top w:val="nil"/>
              <w:left w:val="nil"/>
              <w:bottom w:val="single" w:sz="12" w:space="0" w:color="auto"/>
              <w:right w:val="single" w:sz="12" w:space="0" w:color="auto"/>
            </w:tcBorders>
            <w:shd w:val="clear" w:color="auto" w:fill="auto"/>
            <w:noWrap/>
            <w:vAlign w:val="bottom"/>
            <w:hideMark/>
          </w:tcPr>
          <w:p w:rsidR="00AD63E1" w:rsidRPr="001D0459" w:rsidRDefault="00AD63E1" w:rsidP="00C40A5E">
            <w:pPr>
              <w:suppressAutoHyphens w:val="0"/>
              <w:jc w:val="center"/>
              <w:rPr>
                <w:rFonts w:ascii="Calibri" w:hAnsi="Calibri"/>
                <w:color w:val="000000"/>
                <w:sz w:val="22"/>
                <w:szCs w:val="22"/>
                <w:lang w:eastAsia="sl-SI"/>
              </w:rPr>
            </w:pPr>
            <w:r w:rsidRPr="001D0459">
              <w:rPr>
                <w:rFonts w:ascii="Calibri" w:hAnsi="Calibri"/>
                <w:color w:val="000000"/>
                <w:sz w:val="22"/>
                <w:szCs w:val="22"/>
                <w:lang w:eastAsia="sl-SI"/>
              </w:rPr>
              <w:t xml:space="preserve">                      1,33200   </w:t>
            </w:r>
          </w:p>
        </w:tc>
        <w:tc>
          <w:tcPr>
            <w:tcW w:w="1820" w:type="dxa"/>
            <w:tcBorders>
              <w:top w:val="nil"/>
              <w:left w:val="nil"/>
              <w:bottom w:val="single" w:sz="12" w:space="0" w:color="auto"/>
              <w:right w:val="single" w:sz="12" w:space="0" w:color="auto"/>
            </w:tcBorders>
            <w:shd w:val="clear" w:color="auto" w:fill="auto"/>
            <w:noWrap/>
            <w:vAlign w:val="bottom"/>
            <w:hideMark/>
          </w:tcPr>
          <w:p w:rsidR="00AD63E1" w:rsidRPr="001D0459" w:rsidRDefault="00AD63E1" w:rsidP="00C40A5E">
            <w:pPr>
              <w:suppressAutoHyphens w:val="0"/>
              <w:jc w:val="center"/>
              <w:rPr>
                <w:rFonts w:ascii="Calibri" w:hAnsi="Calibri"/>
                <w:color w:val="000000"/>
                <w:sz w:val="22"/>
                <w:szCs w:val="22"/>
                <w:lang w:eastAsia="sl-SI"/>
              </w:rPr>
            </w:pPr>
            <w:r w:rsidRPr="001D0459">
              <w:rPr>
                <w:rFonts w:ascii="Calibri" w:hAnsi="Calibri"/>
                <w:color w:val="000000"/>
                <w:sz w:val="22"/>
                <w:szCs w:val="22"/>
                <w:lang w:eastAsia="sl-SI"/>
              </w:rPr>
              <w:t xml:space="preserve">                    0,70923   </w:t>
            </w:r>
          </w:p>
        </w:tc>
      </w:tr>
      <w:tr w:rsidR="00AD63E1" w:rsidRPr="001D0459" w:rsidTr="00C40A5E">
        <w:trPr>
          <w:trHeight w:val="330"/>
        </w:trPr>
        <w:tc>
          <w:tcPr>
            <w:tcW w:w="2500" w:type="dxa"/>
            <w:tcBorders>
              <w:top w:val="nil"/>
              <w:left w:val="single" w:sz="12" w:space="0" w:color="auto"/>
              <w:bottom w:val="single" w:sz="12" w:space="0" w:color="auto"/>
              <w:right w:val="single" w:sz="12" w:space="0" w:color="auto"/>
            </w:tcBorders>
            <w:shd w:val="clear" w:color="000000" w:fill="00CCFF"/>
            <w:noWrap/>
            <w:vAlign w:val="bottom"/>
            <w:hideMark/>
          </w:tcPr>
          <w:p w:rsidR="00AD63E1" w:rsidRPr="001D0459" w:rsidRDefault="00AD63E1" w:rsidP="00C40A5E">
            <w:pPr>
              <w:suppressAutoHyphens w:val="0"/>
              <w:rPr>
                <w:rFonts w:ascii="Calibri" w:hAnsi="Calibri"/>
                <w:color w:val="000000"/>
                <w:sz w:val="22"/>
                <w:szCs w:val="22"/>
                <w:lang w:eastAsia="sl-SI"/>
              </w:rPr>
            </w:pPr>
            <w:r w:rsidRPr="001D0459">
              <w:rPr>
                <w:rFonts w:ascii="Calibri" w:hAnsi="Calibri"/>
                <w:color w:val="000000"/>
                <w:sz w:val="22"/>
                <w:szCs w:val="22"/>
                <w:lang w:eastAsia="sl-SI"/>
              </w:rPr>
              <w:t>Letalski bencin (€/l)</w:t>
            </w:r>
          </w:p>
        </w:tc>
        <w:tc>
          <w:tcPr>
            <w:tcW w:w="1900" w:type="dxa"/>
            <w:tcBorders>
              <w:top w:val="nil"/>
              <w:left w:val="nil"/>
              <w:bottom w:val="single" w:sz="12" w:space="0" w:color="auto"/>
              <w:right w:val="single" w:sz="12" w:space="0" w:color="auto"/>
            </w:tcBorders>
            <w:shd w:val="clear" w:color="auto" w:fill="auto"/>
            <w:noWrap/>
            <w:vAlign w:val="bottom"/>
            <w:hideMark/>
          </w:tcPr>
          <w:p w:rsidR="00AD63E1" w:rsidRPr="001D0459" w:rsidRDefault="00AD63E1" w:rsidP="00C40A5E">
            <w:pPr>
              <w:suppressAutoHyphens w:val="0"/>
              <w:jc w:val="center"/>
              <w:rPr>
                <w:rFonts w:ascii="Calibri" w:hAnsi="Calibri"/>
                <w:color w:val="000000"/>
                <w:sz w:val="22"/>
                <w:szCs w:val="22"/>
                <w:lang w:eastAsia="sl-SI"/>
              </w:rPr>
            </w:pPr>
            <w:r w:rsidRPr="001D0459">
              <w:rPr>
                <w:rFonts w:ascii="Calibri" w:hAnsi="Calibri"/>
                <w:color w:val="000000"/>
                <w:sz w:val="22"/>
                <w:szCs w:val="22"/>
                <w:lang w:eastAsia="sl-SI"/>
              </w:rPr>
              <w:t xml:space="preserve">                      0,00855   </w:t>
            </w:r>
          </w:p>
        </w:tc>
        <w:tc>
          <w:tcPr>
            <w:tcW w:w="1920" w:type="dxa"/>
            <w:tcBorders>
              <w:top w:val="nil"/>
              <w:left w:val="nil"/>
              <w:bottom w:val="single" w:sz="12" w:space="0" w:color="auto"/>
              <w:right w:val="single" w:sz="12" w:space="0" w:color="auto"/>
            </w:tcBorders>
            <w:shd w:val="clear" w:color="auto" w:fill="auto"/>
            <w:noWrap/>
            <w:vAlign w:val="bottom"/>
            <w:hideMark/>
          </w:tcPr>
          <w:p w:rsidR="00AD63E1" w:rsidRPr="001D0459" w:rsidRDefault="00AD63E1" w:rsidP="00C40A5E">
            <w:pPr>
              <w:suppressAutoHyphens w:val="0"/>
              <w:jc w:val="center"/>
              <w:rPr>
                <w:rFonts w:ascii="Calibri" w:hAnsi="Calibri"/>
                <w:color w:val="000000"/>
                <w:sz w:val="22"/>
                <w:szCs w:val="22"/>
                <w:lang w:eastAsia="sl-SI"/>
              </w:rPr>
            </w:pPr>
            <w:r w:rsidRPr="001D0459">
              <w:rPr>
                <w:rFonts w:ascii="Calibri" w:hAnsi="Calibri"/>
                <w:color w:val="000000"/>
                <w:sz w:val="22"/>
                <w:szCs w:val="22"/>
                <w:lang w:eastAsia="sl-SI"/>
              </w:rPr>
              <w:t xml:space="preserve">                      1,43300   </w:t>
            </w:r>
          </w:p>
        </w:tc>
        <w:tc>
          <w:tcPr>
            <w:tcW w:w="1820" w:type="dxa"/>
            <w:tcBorders>
              <w:top w:val="nil"/>
              <w:left w:val="nil"/>
              <w:bottom w:val="single" w:sz="12" w:space="0" w:color="auto"/>
              <w:right w:val="single" w:sz="12" w:space="0" w:color="auto"/>
            </w:tcBorders>
            <w:shd w:val="clear" w:color="auto" w:fill="auto"/>
            <w:noWrap/>
            <w:vAlign w:val="bottom"/>
            <w:hideMark/>
          </w:tcPr>
          <w:p w:rsidR="00AD63E1" w:rsidRPr="001D0459" w:rsidRDefault="00AD63E1" w:rsidP="00C40A5E">
            <w:pPr>
              <w:suppressAutoHyphens w:val="0"/>
              <w:jc w:val="center"/>
              <w:rPr>
                <w:rFonts w:ascii="Calibri" w:hAnsi="Calibri"/>
                <w:color w:val="000000"/>
                <w:sz w:val="22"/>
                <w:szCs w:val="22"/>
                <w:lang w:eastAsia="sl-SI"/>
              </w:rPr>
            </w:pPr>
            <w:r w:rsidRPr="001D0459">
              <w:rPr>
                <w:rFonts w:ascii="Calibri" w:hAnsi="Calibri"/>
                <w:color w:val="000000"/>
                <w:sz w:val="22"/>
                <w:szCs w:val="22"/>
                <w:lang w:eastAsia="sl-SI"/>
              </w:rPr>
              <w:t xml:space="preserve">                    0,59690   </w:t>
            </w:r>
          </w:p>
        </w:tc>
      </w:tr>
      <w:tr w:rsidR="00AD63E1" w:rsidRPr="001D0459" w:rsidTr="00C40A5E">
        <w:trPr>
          <w:trHeight w:val="330"/>
        </w:trPr>
        <w:tc>
          <w:tcPr>
            <w:tcW w:w="2500" w:type="dxa"/>
            <w:tcBorders>
              <w:top w:val="nil"/>
              <w:left w:val="single" w:sz="12" w:space="0" w:color="auto"/>
              <w:bottom w:val="single" w:sz="12" w:space="0" w:color="auto"/>
              <w:right w:val="single" w:sz="12" w:space="0" w:color="auto"/>
            </w:tcBorders>
            <w:shd w:val="clear" w:color="000000" w:fill="00CCFF"/>
            <w:noWrap/>
            <w:vAlign w:val="bottom"/>
            <w:hideMark/>
          </w:tcPr>
          <w:p w:rsidR="00AD63E1" w:rsidRPr="001D0459" w:rsidRDefault="00AD63E1" w:rsidP="00C40A5E">
            <w:pPr>
              <w:suppressAutoHyphens w:val="0"/>
              <w:rPr>
                <w:rFonts w:ascii="Calibri" w:hAnsi="Calibri"/>
                <w:color w:val="000000"/>
                <w:sz w:val="22"/>
                <w:szCs w:val="22"/>
                <w:lang w:eastAsia="sl-SI"/>
              </w:rPr>
            </w:pPr>
            <w:r w:rsidRPr="001D0459">
              <w:rPr>
                <w:rFonts w:ascii="Calibri" w:hAnsi="Calibri"/>
                <w:color w:val="000000"/>
                <w:sz w:val="22"/>
                <w:szCs w:val="22"/>
                <w:lang w:eastAsia="sl-SI"/>
              </w:rPr>
              <w:t>Kerozin (€/l)</w:t>
            </w:r>
          </w:p>
        </w:tc>
        <w:tc>
          <w:tcPr>
            <w:tcW w:w="1900" w:type="dxa"/>
            <w:tcBorders>
              <w:top w:val="nil"/>
              <w:left w:val="nil"/>
              <w:bottom w:val="single" w:sz="12" w:space="0" w:color="auto"/>
              <w:right w:val="single" w:sz="12" w:space="0" w:color="auto"/>
            </w:tcBorders>
            <w:shd w:val="clear" w:color="auto" w:fill="auto"/>
            <w:noWrap/>
            <w:vAlign w:val="bottom"/>
            <w:hideMark/>
          </w:tcPr>
          <w:p w:rsidR="00AD63E1" w:rsidRPr="001D0459" w:rsidRDefault="00AD63E1" w:rsidP="00C40A5E">
            <w:pPr>
              <w:suppressAutoHyphens w:val="0"/>
              <w:jc w:val="center"/>
              <w:rPr>
                <w:rFonts w:ascii="Calibri" w:hAnsi="Calibri"/>
                <w:color w:val="000000"/>
                <w:sz w:val="22"/>
                <w:szCs w:val="22"/>
                <w:lang w:eastAsia="sl-SI"/>
              </w:rPr>
            </w:pPr>
            <w:r w:rsidRPr="001D0459">
              <w:rPr>
                <w:rFonts w:ascii="Calibri" w:hAnsi="Calibri"/>
                <w:color w:val="000000"/>
                <w:sz w:val="22"/>
                <w:szCs w:val="22"/>
                <w:lang w:eastAsia="sl-SI"/>
              </w:rPr>
              <w:t xml:space="preserve">                      0,00855   </w:t>
            </w:r>
          </w:p>
        </w:tc>
        <w:tc>
          <w:tcPr>
            <w:tcW w:w="1920" w:type="dxa"/>
            <w:tcBorders>
              <w:top w:val="nil"/>
              <w:left w:val="nil"/>
              <w:bottom w:val="single" w:sz="12" w:space="0" w:color="auto"/>
              <w:right w:val="single" w:sz="12" w:space="0" w:color="auto"/>
            </w:tcBorders>
            <w:shd w:val="clear" w:color="auto" w:fill="auto"/>
            <w:noWrap/>
            <w:vAlign w:val="bottom"/>
            <w:hideMark/>
          </w:tcPr>
          <w:p w:rsidR="00AD63E1" w:rsidRPr="001D0459" w:rsidRDefault="00AD63E1" w:rsidP="00C40A5E">
            <w:pPr>
              <w:suppressAutoHyphens w:val="0"/>
              <w:jc w:val="center"/>
              <w:rPr>
                <w:rFonts w:ascii="Calibri" w:hAnsi="Calibri"/>
                <w:color w:val="000000"/>
                <w:sz w:val="22"/>
                <w:szCs w:val="22"/>
                <w:lang w:eastAsia="sl-SI"/>
              </w:rPr>
            </w:pPr>
            <w:r w:rsidRPr="001D0459">
              <w:rPr>
                <w:rFonts w:ascii="Calibri" w:hAnsi="Calibri"/>
                <w:color w:val="000000"/>
                <w:sz w:val="22"/>
                <w:szCs w:val="22"/>
                <w:lang w:eastAsia="sl-SI"/>
              </w:rPr>
              <w:t xml:space="preserve">                      1,43300   </w:t>
            </w:r>
          </w:p>
        </w:tc>
        <w:tc>
          <w:tcPr>
            <w:tcW w:w="1820" w:type="dxa"/>
            <w:tcBorders>
              <w:top w:val="nil"/>
              <w:left w:val="nil"/>
              <w:bottom w:val="single" w:sz="12" w:space="0" w:color="auto"/>
              <w:right w:val="single" w:sz="12" w:space="0" w:color="auto"/>
            </w:tcBorders>
            <w:shd w:val="clear" w:color="auto" w:fill="auto"/>
            <w:noWrap/>
            <w:vAlign w:val="bottom"/>
            <w:hideMark/>
          </w:tcPr>
          <w:p w:rsidR="00AD63E1" w:rsidRPr="001D0459" w:rsidRDefault="00AD63E1" w:rsidP="00C40A5E">
            <w:pPr>
              <w:suppressAutoHyphens w:val="0"/>
              <w:jc w:val="center"/>
              <w:rPr>
                <w:rFonts w:ascii="Calibri" w:hAnsi="Calibri"/>
                <w:color w:val="000000"/>
                <w:sz w:val="22"/>
                <w:szCs w:val="22"/>
                <w:lang w:eastAsia="sl-SI"/>
              </w:rPr>
            </w:pPr>
            <w:r w:rsidRPr="001D0459">
              <w:rPr>
                <w:rFonts w:ascii="Calibri" w:hAnsi="Calibri"/>
                <w:color w:val="000000"/>
                <w:sz w:val="22"/>
                <w:szCs w:val="22"/>
                <w:lang w:eastAsia="sl-SI"/>
              </w:rPr>
              <w:t xml:space="preserve">                    0,59690   </w:t>
            </w:r>
          </w:p>
        </w:tc>
      </w:tr>
      <w:tr w:rsidR="00AD63E1" w:rsidRPr="001D0459" w:rsidTr="00C40A5E">
        <w:trPr>
          <w:trHeight w:val="330"/>
        </w:trPr>
        <w:tc>
          <w:tcPr>
            <w:tcW w:w="2500" w:type="dxa"/>
            <w:tcBorders>
              <w:top w:val="nil"/>
              <w:left w:val="single" w:sz="12" w:space="0" w:color="auto"/>
              <w:bottom w:val="single" w:sz="12" w:space="0" w:color="auto"/>
              <w:right w:val="single" w:sz="12" w:space="0" w:color="auto"/>
            </w:tcBorders>
            <w:shd w:val="clear" w:color="000000" w:fill="00CCFF"/>
            <w:noWrap/>
            <w:vAlign w:val="bottom"/>
            <w:hideMark/>
          </w:tcPr>
          <w:p w:rsidR="00AD63E1" w:rsidRPr="001D0459" w:rsidRDefault="00AD63E1" w:rsidP="00C40A5E">
            <w:pPr>
              <w:suppressAutoHyphens w:val="0"/>
              <w:rPr>
                <w:rFonts w:ascii="Calibri" w:hAnsi="Calibri"/>
                <w:color w:val="000000"/>
                <w:sz w:val="22"/>
                <w:szCs w:val="22"/>
                <w:lang w:eastAsia="sl-SI"/>
              </w:rPr>
            </w:pPr>
            <w:proofErr w:type="spellStart"/>
            <w:r w:rsidRPr="001D0459">
              <w:rPr>
                <w:rFonts w:ascii="Calibri" w:hAnsi="Calibri"/>
                <w:color w:val="000000"/>
                <w:sz w:val="22"/>
                <w:szCs w:val="22"/>
                <w:lang w:eastAsia="sl-SI"/>
              </w:rPr>
              <w:t>Avtoplin</w:t>
            </w:r>
            <w:proofErr w:type="spellEnd"/>
            <w:r w:rsidRPr="001D0459">
              <w:rPr>
                <w:rFonts w:ascii="Calibri" w:hAnsi="Calibri"/>
                <w:color w:val="000000"/>
                <w:sz w:val="22"/>
                <w:szCs w:val="22"/>
                <w:lang w:eastAsia="sl-SI"/>
              </w:rPr>
              <w:t>- LPG (€/l)</w:t>
            </w:r>
          </w:p>
        </w:tc>
        <w:tc>
          <w:tcPr>
            <w:tcW w:w="1900" w:type="dxa"/>
            <w:tcBorders>
              <w:top w:val="nil"/>
              <w:left w:val="nil"/>
              <w:bottom w:val="single" w:sz="12" w:space="0" w:color="auto"/>
              <w:right w:val="single" w:sz="12" w:space="0" w:color="auto"/>
            </w:tcBorders>
            <w:shd w:val="clear" w:color="auto" w:fill="auto"/>
            <w:noWrap/>
            <w:vAlign w:val="bottom"/>
            <w:hideMark/>
          </w:tcPr>
          <w:p w:rsidR="00AD63E1" w:rsidRPr="001D0459" w:rsidRDefault="00AD63E1" w:rsidP="00C40A5E">
            <w:pPr>
              <w:suppressAutoHyphens w:val="0"/>
              <w:jc w:val="center"/>
              <w:rPr>
                <w:rFonts w:ascii="Calibri" w:hAnsi="Calibri"/>
                <w:color w:val="000000"/>
                <w:sz w:val="22"/>
                <w:szCs w:val="22"/>
                <w:lang w:eastAsia="sl-SI"/>
              </w:rPr>
            </w:pPr>
            <w:r w:rsidRPr="001D0459">
              <w:rPr>
                <w:rFonts w:ascii="Calibri" w:hAnsi="Calibri"/>
                <w:color w:val="000000"/>
                <w:sz w:val="22"/>
                <w:szCs w:val="22"/>
                <w:lang w:eastAsia="sl-SI"/>
              </w:rPr>
              <w:t xml:space="preserve">                      0,00601   </w:t>
            </w:r>
          </w:p>
        </w:tc>
        <w:tc>
          <w:tcPr>
            <w:tcW w:w="1920" w:type="dxa"/>
            <w:tcBorders>
              <w:top w:val="nil"/>
              <w:left w:val="nil"/>
              <w:bottom w:val="single" w:sz="12" w:space="0" w:color="auto"/>
              <w:right w:val="single" w:sz="12" w:space="0" w:color="auto"/>
            </w:tcBorders>
            <w:shd w:val="clear" w:color="auto" w:fill="auto"/>
            <w:noWrap/>
            <w:vAlign w:val="bottom"/>
            <w:hideMark/>
          </w:tcPr>
          <w:p w:rsidR="00AD63E1" w:rsidRPr="001D0459" w:rsidRDefault="00AD63E1" w:rsidP="00C40A5E">
            <w:pPr>
              <w:suppressAutoHyphens w:val="0"/>
              <w:jc w:val="center"/>
              <w:rPr>
                <w:rFonts w:ascii="Calibri" w:hAnsi="Calibri"/>
                <w:color w:val="000000"/>
                <w:sz w:val="22"/>
                <w:szCs w:val="22"/>
                <w:lang w:eastAsia="sl-SI"/>
              </w:rPr>
            </w:pPr>
            <w:r w:rsidRPr="001D0459">
              <w:rPr>
                <w:rFonts w:ascii="Calibri" w:hAnsi="Calibri"/>
                <w:color w:val="000000"/>
                <w:sz w:val="22"/>
                <w:szCs w:val="22"/>
                <w:lang w:eastAsia="sl-SI"/>
              </w:rPr>
              <w:t xml:space="preserve">                      0,77900   </w:t>
            </w:r>
          </w:p>
        </w:tc>
        <w:tc>
          <w:tcPr>
            <w:tcW w:w="1820" w:type="dxa"/>
            <w:tcBorders>
              <w:top w:val="nil"/>
              <w:left w:val="nil"/>
              <w:bottom w:val="single" w:sz="12" w:space="0" w:color="auto"/>
              <w:right w:val="single" w:sz="12" w:space="0" w:color="auto"/>
            </w:tcBorders>
            <w:shd w:val="clear" w:color="auto" w:fill="auto"/>
            <w:noWrap/>
            <w:vAlign w:val="bottom"/>
            <w:hideMark/>
          </w:tcPr>
          <w:p w:rsidR="00AD63E1" w:rsidRPr="001D0459" w:rsidRDefault="00AD63E1" w:rsidP="00C40A5E">
            <w:pPr>
              <w:suppressAutoHyphens w:val="0"/>
              <w:jc w:val="center"/>
              <w:rPr>
                <w:rFonts w:ascii="Calibri" w:hAnsi="Calibri"/>
                <w:color w:val="000000"/>
                <w:sz w:val="22"/>
                <w:szCs w:val="22"/>
                <w:lang w:eastAsia="sl-SI"/>
              </w:rPr>
            </w:pPr>
            <w:r w:rsidRPr="001D0459">
              <w:rPr>
                <w:rFonts w:ascii="Calibri" w:hAnsi="Calibri"/>
                <w:color w:val="000000"/>
                <w:sz w:val="22"/>
                <w:szCs w:val="22"/>
                <w:lang w:eastAsia="sl-SI"/>
              </w:rPr>
              <w:t xml:space="preserve">                    0,77113   </w:t>
            </w:r>
          </w:p>
        </w:tc>
      </w:tr>
      <w:tr w:rsidR="00AD63E1" w:rsidRPr="001D0459" w:rsidTr="00C40A5E">
        <w:trPr>
          <w:trHeight w:val="330"/>
        </w:trPr>
        <w:tc>
          <w:tcPr>
            <w:tcW w:w="2500" w:type="dxa"/>
            <w:tcBorders>
              <w:top w:val="nil"/>
              <w:left w:val="single" w:sz="12" w:space="0" w:color="auto"/>
              <w:bottom w:val="single" w:sz="12" w:space="0" w:color="auto"/>
              <w:right w:val="single" w:sz="12" w:space="0" w:color="auto"/>
            </w:tcBorders>
            <w:shd w:val="clear" w:color="000000" w:fill="00CCFF"/>
            <w:noWrap/>
            <w:vAlign w:val="bottom"/>
            <w:hideMark/>
          </w:tcPr>
          <w:p w:rsidR="00AD63E1" w:rsidRPr="001D0459" w:rsidRDefault="00AD63E1" w:rsidP="00C40A5E">
            <w:pPr>
              <w:suppressAutoHyphens w:val="0"/>
              <w:rPr>
                <w:rFonts w:ascii="Calibri" w:hAnsi="Calibri"/>
                <w:color w:val="000000"/>
                <w:sz w:val="22"/>
                <w:szCs w:val="22"/>
                <w:lang w:eastAsia="sl-SI"/>
              </w:rPr>
            </w:pPr>
            <w:r w:rsidRPr="001D0459">
              <w:rPr>
                <w:rFonts w:ascii="Calibri" w:hAnsi="Calibri"/>
                <w:color w:val="000000"/>
                <w:sz w:val="22"/>
                <w:szCs w:val="22"/>
                <w:lang w:eastAsia="sl-SI"/>
              </w:rPr>
              <w:t>UNP(€/l)</w:t>
            </w:r>
          </w:p>
        </w:tc>
        <w:tc>
          <w:tcPr>
            <w:tcW w:w="1900" w:type="dxa"/>
            <w:tcBorders>
              <w:top w:val="nil"/>
              <w:left w:val="nil"/>
              <w:bottom w:val="single" w:sz="12" w:space="0" w:color="auto"/>
              <w:right w:val="single" w:sz="12" w:space="0" w:color="auto"/>
            </w:tcBorders>
            <w:shd w:val="clear" w:color="auto" w:fill="auto"/>
            <w:noWrap/>
            <w:vAlign w:val="bottom"/>
            <w:hideMark/>
          </w:tcPr>
          <w:p w:rsidR="00AD63E1" w:rsidRPr="001D0459" w:rsidRDefault="00AD63E1" w:rsidP="00C40A5E">
            <w:pPr>
              <w:suppressAutoHyphens w:val="0"/>
              <w:jc w:val="center"/>
              <w:rPr>
                <w:rFonts w:ascii="Calibri" w:hAnsi="Calibri"/>
                <w:color w:val="000000"/>
                <w:sz w:val="22"/>
                <w:szCs w:val="22"/>
                <w:lang w:eastAsia="sl-SI"/>
              </w:rPr>
            </w:pPr>
            <w:r w:rsidRPr="001D0459">
              <w:rPr>
                <w:rFonts w:ascii="Calibri" w:hAnsi="Calibri"/>
                <w:color w:val="000000"/>
                <w:sz w:val="22"/>
                <w:szCs w:val="22"/>
                <w:lang w:eastAsia="sl-SI"/>
              </w:rPr>
              <w:t xml:space="preserve">                      0,00601   </w:t>
            </w:r>
          </w:p>
        </w:tc>
        <w:tc>
          <w:tcPr>
            <w:tcW w:w="1920" w:type="dxa"/>
            <w:tcBorders>
              <w:top w:val="nil"/>
              <w:left w:val="nil"/>
              <w:bottom w:val="single" w:sz="12" w:space="0" w:color="auto"/>
              <w:right w:val="single" w:sz="12" w:space="0" w:color="auto"/>
            </w:tcBorders>
            <w:shd w:val="clear" w:color="auto" w:fill="auto"/>
            <w:noWrap/>
            <w:vAlign w:val="bottom"/>
            <w:hideMark/>
          </w:tcPr>
          <w:p w:rsidR="00AD63E1" w:rsidRPr="001D0459" w:rsidRDefault="00AD63E1" w:rsidP="00C40A5E">
            <w:pPr>
              <w:suppressAutoHyphens w:val="0"/>
              <w:jc w:val="center"/>
              <w:rPr>
                <w:rFonts w:ascii="Calibri" w:hAnsi="Calibri"/>
                <w:color w:val="000000"/>
                <w:sz w:val="22"/>
                <w:szCs w:val="22"/>
                <w:lang w:eastAsia="sl-SI"/>
              </w:rPr>
            </w:pPr>
            <w:r w:rsidRPr="001D0459">
              <w:rPr>
                <w:rFonts w:ascii="Calibri" w:hAnsi="Calibri"/>
                <w:color w:val="000000"/>
                <w:sz w:val="22"/>
                <w:szCs w:val="22"/>
                <w:lang w:eastAsia="sl-SI"/>
              </w:rPr>
              <w:t xml:space="preserve">                      0,96600   </w:t>
            </w:r>
          </w:p>
        </w:tc>
        <w:tc>
          <w:tcPr>
            <w:tcW w:w="1820" w:type="dxa"/>
            <w:tcBorders>
              <w:top w:val="nil"/>
              <w:left w:val="nil"/>
              <w:bottom w:val="single" w:sz="12" w:space="0" w:color="auto"/>
              <w:right w:val="single" w:sz="12" w:space="0" w:color="auto"/>
            </w:tcBorders>
            <w:shd w:val="clear" w:color="auto" w:fill="auto"/>
            <w:noWrap/>
            <w:vAlign w:val="bottom"/>
            <w:hideMark/>
          </w:tcPr>
          <w:p w:rsidR="00AD63E1" w:rsidRPr="001D0459" w:rsidRDefault="00AD63E1" w:rsidP="00C40A5E">
            <w:pPr>
              <w:suppressAutoHyphens w:val="0"/>
              <w:jc w:val="center"/>
              <w:rPr>
                <w:rFonts w:ascii="Calibri" w:hAnsi="Calibri"/>
                <w:color w:val="000000"/>
                <w:sz w:val="22"/>
                <w:szCs w:val="22"/>
                <w:lang w:eastAsia="sl-SI"/>
              </w:rPr>
            </w:pPr>
            <w:r w:rsidRPr="001D0459">
              <w:rPr>
                <w:rFonts w:ascii="Calibri" w:hAnsi="Calibri"/>
                <w:color w:val="000000"/>
                <w:sz w:val="22"/>
                <w:szCs w:val="22"/>
                <w:lang w:eastAsia="sl-SI"/>
              </w:rPr>
              <w:t xml:space="preserve">                    0,62185   </w:t>
            </w:r>
          </w:p>
        </w:tc>
      </w:tr>
    </w:tbl>
    <w:p w:rsidR="00AD63E1" w:rsidRDefault="00AD63E1" w:rsidP="00AD63E1">
      <w:pPr>
        <w:autoSpaceDE w:val="0"/>
        <w:autoSpaceDN w:val="0"/>
        <w:adjustRightInd w:val="0"/>
        <w:spacing w:line="240" w:lineRule="atLeast"/>
        <w:rPr>
          <w:rFonts w:ascii="Arial" w:hAnsi="Arial" w:cs="Arial"/>
          <w:color w:val="000000"/>
          <w:sz w:val="20"/>
          <w:szCs w:val="20"/>
        </w:rPr>
      </w:pPr>
    </w:p>
    <w:p w:rsidR="00AD63E1" w:rsidRDefault="00AD63E1" w:rsidP="00AD63E1">
      <w:pPr>
        <w:autoSpaceDE w:val="0"/>
        <w:autoSpaceDN w:val="0"/>
        <w:adjustRightInd w:val="0"/>
        <w:spacing w:line="240" w:lineRule="atLeast"/>
        <w:rPr>
          <w:rFonts w:ascii="Arial" w:hAnsi="Arial" w:cs="Arial"/>
          <w:color w:val="000000"/>
          <w:sz w:val="20"/>
          <w:szCs w:val="20"/>
        </w:rPr>
      </w:pPr>
    </w:p>
    <w:p w:rsidR="00AD63E1" w:rsidRDefault="00AD63E1" w:rsidP="00AD63E1">
      <w:pPr>
        <w:autoSpaceDE w:val="0"/>
        <w:autoSpaceDN w:val="0"/>
        <w:adjustRightInd w:val="0"/>
        <w:spacing w:line="240" w:lineRule="atLeast"/>
        <w:rPr>
          <w:rFonts w:ascii="Arial" w:hAnsi="Arial" w:cs="Arial"/>
          <w:color w:val="000000"/>
          <w:sz w:val="20"/>
          <w:szCs w:val="20"/>
        </w:rPr>
      </w:pPr>
    </w:p>
    <w:p w:rsidR="00AD63E1" w:rsidRDefault="00AD63E1" w:rsidP="00AD63E1">
      <w:pPr>
        <w:autoSpaceDE w:val="0"/>
        <w:autoSpaceDN w:val="0"/>
        <w:adjustRightInd w:val="0"/>
        <w:spacing w:line="240" w:lineRule="atLeast"/>
        <w:rPr>
          <w:rFonts w:ascii="Arial" w:hAnsi="Arial" w:cs="Arial"/>
          <w:color w:val="000000"/>
          <w:sz w:val="20"/>
          <w:szCs w:val="20"/>
        </w:rPr>
      </w:pPr>
    </w:p>
    <w:p w:rsidR="00AD63E1" w:rsidRDefault="00AD63E1" w:rsidP="00AD63E1">
      <w:pPr>
        <w:autoSpaceDE w:val="0"/>
        <w:autoSpaceDN w:val="0"/>
        <w:adjustRightInd w:val="0"/>
        <w:spacing w:line="240" w:lineRule="atLeast"/>
        <w:rPr>
          <w:rFonts w:ascii="Arial" w:hAnsi="Arial" w:cs="Arial"/>
          <w:color w:val="000000"/>
          <w:sz w:val="20"/>
          <w:szCs w:val="20"/>
        </w:rPr>
      </w:pPr>
    </w:p>
    <w:p w:rsidR="00AD63E1" w:rsidRDefault="00AD63E1" w:rsidP="00AD63E1">
      <w:pPr>
        <w:autoSpaceDE w:val="0"/>
        <w:autoSpaceDN w:val="0"/>
        <w:adjustRightInd w:val="0"/>
        <w:spacing w:line="240" w:lineRule="atLeast"/>
        <w:rPr>
          <w:rFonts w:ascii="Arial" w:hAnsi="Arial" w:cs="Arial"/>
          <w:color w:val="000000"/>
          <w:sz w:val="20"/>
          <w:szCs w:val="20"/>
        </w:rPr>
      </w:pPr>
    </w:p>
    <w:p w:rsidR="00AD63E1" w:rsidRDefault="00AD63E1" w:rsidP="00AD63E1">
      <w:pPr>
        <w:autoSpaceDE w:val="0"/>
        <w:autoSpaceDN w:val="0"/>
        <w:adjustRightInd w:val="0"/>
        <w:spacing w:line="240" w:lineRule="atLeast"/>
        <w:rPr>
          <w:rFonts w:ascii="Arial" w:hAnsi="Arial" w:cs="Arial"/>
          <w:color w:val="000000"/>
          <w:sz w:val="20"/>
          <w:szCs w:val="20"/>
        </w:rPr>
      </w:pPr>
    </w:p>
    <w:p w:rsidR="00AD63E1" w:rsidRDefault="00AD63E1" w:rsidP="00AD63E1">
      <w:pPr>
        <w:autoSpaceDE w:val="0"/>
        <w:autoSpaceDN w:val="0"/>
        <w:adjustRightInd w:val="0"/>
        <w:spacing w:line="240" w:lineRule="atLeast"/>
        <w:rPr>
          <w:rFonts w:ascii="Arial" w:hAnsi="Arial" w:cs="Arial"/>
          <w:color w:val="000000"/>
          <w:sz w:val="20"/>
          <w:szCs w:val="20"/>
        </w:rPr>
      </w:pPr>
    </w:p>
    <w:p w:rsidR="00AD63E1" w:rsidRDefault="00AD63E1" w:rsidP="00AD63E1">
      <w:pPr>
        <w:autoSpaceDE w:val="0"/>
        <w:autoSpaceDN w:val="0"/>
        <w:adjustRightInd w:val="0"/>
        <w:spacing w:line="240" w:lineRule="atLeast"/>
        <w:rPr>
          <w:rFonts w:ascii="Arial" w:hAnsi="Arial" w:cs="Arial"/>
          <w:color w:val="000000"/>
          <w:sz w:val="20"/>
          <w:szCs w:val="20"/>
        </w:rPr>
      </w:pPr>
    </w:p>
    <w:p w:rsidR="00AD63E1" w:rsidRDefault="00AD63E1" w:rsidP="00AD63E1">
      <w:pPr>
        <w:autoSpaceDE w:val="0"/>
        <w:autoSpaceDN w:val="0"/>
        <w:adjustRightInd w:val="0"/>
        <w:spacing w:line="240" w:lineRule="atLeast"/>
        <w:rPr>
          <w:rFonts w:ascii="Arial" w:hAnsi="Arial" w:cs="Arial"/>
          <w:color w:val="000000"/>
          <w:sz w:val="20"/>
          <w:szCs w:val="20"/>
        </w:rPr>
      </w:pPr>
    </w:p>
    <w:p w:rsidR="00AD63E1" w:rsidRDefault="00AD63E1" w:rsidP="00AD63E1">
      <w:pPr>
        <w:autoSpaceDE w:val="0"/>
        <w:autoSpaceDN w:val="0"/>
        <w:adjustRightInd w:val="0"/>
        <w:spacing w:line="240" w:lineRule="atLeast"/>
        <w:rPr>
          <w:rFonts w:ascii="Arial" w:hAnsi="Arial" w:cs="Arial"/>
          <w:color w:val="000000"/>
          <w:sz w:val="20"/>
          <w:szCs w:val="20"/>
        </w:rPr>
      </w:pPr>
    </w:p>
    <w:p w:rsidR="00AD63E1" w:rsidRDefault="00AD63E1" w:rsidP="00AD63E1">
      <w:pPr>
        <w:autoSpaceDE w:val="0"/>
        <w:autoSpaceDN w:val="0"/>
        <w:adjustRightInd w:val="0"/>
        <w:spacing w:line="240" w:lineRule="atLeast"/>
        <w:rPr>
          <w:rFonts w:ascii="Arial" w:hAnsi="Arial" w:cs="Arial"/>
          <w:color w:val="000000"/>
          <w:sz w:val="20"/>
          <w:szCs w:val="20"/>
        </w:rPr>
      </w:pPr>
    </w:p>
    <w:p w:rsidR="00AD63E1" w:rsidRDefault="00AD63E1" w:rsidP="00AD63E1">
      <w:pPr>
        <w:autoSpaceDE w:val="0"/>
        <w:autoSpaceDN w:val="0"/>
        <w:adjustRightInd w:val="0"/>
        <w:spacing w:line="240" w:lineRule="atLeast"/>
        <w:rPr>
          <w:rFonts w:ascii="Arial" w:hAnsi="Arial" w:cs="Arial"/>
          <w:color w:val="000000"/>
          <w:sz w:val="20"/>
          <w:szCs w:val="20"/>
        </w:rPr>
      </w:pPr>
    </w:p>
    <w:p w:rsidR="00AD63E1" w:rsidRDefault="00AD63E1" w:rsidP="00AD63E1">
      <w:pPr>
        <w:autoSpaceDE w:val="0"/>
        <w:autoSpaceDN w:val="0"/>
        <w:adjustRightInd w:val="0"/>
        <w:spacing w:line="240" w:lineRule="atLeast"/>
        <w:rPr>
          <w:rFonts w:ascii="Arial" w:hAnsi="Arial" w:cs="Arial"/>
          <w:color w:val="000000"/>
          <w:sz w:val="20"/>
          <w:szCs w:val="20"/>
        </w:rPr>
      </w:pPr>
    </w:p>
    <w:p w:rsidR="007F309E" w:rsidRPr="008401C9" w:rsidRDefault="007F309E" w:rsidP="000E138A">
      <w:pPr>
        <w:autoSpaceDE w:val="0"/>
        <w:autoSpaceDN w:val="0"/>
        <w:adjustRightInd w:val="0"/>
        <w:spacing w:line="240" w:lineRule="atLeast"/>
        <w:rPr>
          <w:rFonts w:ascii="Arial" w:hAnsi="Arial" w:cs="Arial"/>
          <w:color w:val="000000"/>
          <w:sz w:val="20"/>
          <w:szCs w:val="20"/>
        </w:rPr>
      </w:pPr>
      <w:bookmarkStart w:id="1" w:name="_GoBack"/>
      <w:bookmarkEnd w:id="1"/>
    </w:p>
    <w:sectPr w:rsidR="007F309E" w:rsidRPr="008401C9" w:rsidSect="004E0EBF">
      <w:headerReference w:type="default" r:id="rId11"/>
      <w:footerReference w:type="default" r:id="rId12"/>
      <w:headerReference w:type="first" r:id="rId13"/>
      <w:footerReference w:type="first" r:id="rId14"/>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D13" w:rsidRDefault="00421D13">
      <w:r>
        <w:separator/>
      </w:r>
    </w:p>
  </w:endnote>
  <w:endnote w:type="continuationSeparator" w:id="0">
    <w:p w:rsidR="00421D13" w:rsidRDefault="0042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Trajan Pro">
    <w:altName w:val="Times New Roman"/>
    <w:panose1 w:val="00000000000000000000"/>
    <w:charset w:val="00"/>
    <w:family w:val="roman"/>
    <w:notTrueType/>
    <w:pitch w:val="variable"/>
    <w:sig w:usb0="00000087" w:usb1="00000000"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1A" w:rsidRPr="008A57C5" w:rsidRDefault="00234B1A">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CE55EE">
      <w:rPr>
        <w:rFonts w:ascii="Arial" w:hAnsi="Arial" w:cs="Arial"/>
        <w:bCs/>
        <w:noProof/>
        <w:sz w:val="20"/>
        <w:szCs w:val="20"/>
      </w:rPr>
      <w:t>14</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CE55EE">
      <w:rPr>
        <w:rFonts w:ascii="Arial" w:hAnsi="Arial" w:cs="Arial"/>
        <w:bCs/>
        <w:noProof/>
        <w:sz w:val="20"/>
        <w:szCs w:val="20"/>
      </w:rPr>
      <w:t>14</w:t>
    </w:r>
    <w:r w:rsidRPr="008A57C5">
      <w:rPr>
        <w:rFonts w:ascii="Arial" w:hAnsi="Arial" w:cs="Arial"/>
        <w:bCs/>
        <w:sz w:val="20"/>
        <w:szCs w:val="20"/>
      </w:rPr>
      <w:fldChar w:fldCharType="end"/>
    </w:r>
  </w:p>
  <w:p w:rsidR="00234B1A" w:rsidRDefault="00234B1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1A" w:rsidRDefault="00234B1A" w:rsidP="004E0EBF">
    <w:pPr>
      <w:pStyle w:val="Nog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D13" w:rsidRDefault="00421D13">
      <w:r>
        <w:separator/>
      </w:r>
    </w:p>
  </w:footnote>
  <w:footnote w:type="continuationSeparator" w:id="0">
    <w:p w:rsidR="00421D13" w:rsidRDefault="00421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1A" w:rsidRPr="001B1D79" w:rsidRDefault="00234B1A">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1A" w:rsidRPr="00125A68" w:rsidRDefault="00234B1A" w:rsidP="004E0EBF">
    <w:pPr>
      <w:spacing w:before="40"/>
      <w:ind w:right="-3"/>
      <w:rPr>
        <w:sz w:val="22"/>
        <w:szCs w:val="22"/>
      </w:rPr>
    </w:pPr>
    <w:r>
      <w:rPr>
        <w:noProof/>
        <w:sz w:val="22"/>
        <w:szCs w:val="22"/>
        <w:lang w:eastAsia="sl-SI"/>
      </w:rPr>
      <mc:AlternateContent>
        <mc:Choice Requires="wps">
          <w:drawing>
            <wp:anchor distT="0" distB="0" distL="0" distR="0" simplePos="0" relativeHeight="251657728" behindDoc="0" locked="0" layoutInCell="1" allowOverlap="1">
              <wp:simplePos x="0" y="0"/>
              <wp:positionH relativeFrom="column">
                <wp:posOffset>1493520</wp:posOffset>
              </wp:positionH>
              <wp:positionV relativeFrom="paragraph">
                <wp:posOffset>54610</wp:posOffset>
              </wp:positionV>
              <wp:extent cx="4702175" cy="394335"/>
              <wp:effectExtent l="0" t="0" r="3175"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B1A" w:rsidRPr="00106C6A" w:rsidRDefault="00234B1A"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234B1A" w:rsidRPr="00106C6A" w:rsidRDefault="00234B1A"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MSqwIAAKk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" filled="f" stroked="f">
              <v:textbox inset="0,0,0,0">
                <w:txbxContent>
                  <w:p w:rsidR="00234B1A" w:rsidRPr="00106C6A" w:rsidRDefault="00234B1A"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234B1A" w:rsidRPr="00106C6A" w:rsidRDefault="00234B1A"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447E6AF6"/>
    <w:multiLevelType w:val="hybridMultilevel"/>
    <w:tmpl w:val="53926D94"/>
    <w:lvl w:ilvl="0" w:tplc="D0E8F596">
      <w:start w:val="3"/>
      <w:numFmt w:val="bullet"/>
      <w:lvlText w:val="–"/>
      <w:lvlJc w:val="left"/>
      <w:pPr>
        <w:ind w:left="720" w:hanging="360"/>
      </w:pPr>
      <w:rPr>
        <w:rFonts w:ascii="Palatino Linotype" w:eastAsia="Times New Roman" w:hAnsi="Palatino Linotype"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5037E5B"/>
    <w:multiLevelType w:val="hybridMultilevel"/>
    <w:tmpl w:val="EB2EE4A2"/>
    <w:lvl w:ilvl="0" w:tplc="5A04CFE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EE10A1A"/>
    <w:multiLevelType w:val="hybridMultilevel"/>
    <w:tmpl w:val="6E9842C4"/>
    <w:lvl w:ilvl="0" w:tplc="427CF90E">
      <w:start w:val="31"/>
      <w:numFmt w:val="bullet"/>
      <w:lvlText w:val="-"/>
      <w:lvlJc w:val="left"/>
      <w:pPr>
        <w:tabs>
          <w:tab w:val="num" w:pos="720"/>
        </w:tabs>
        <w:ind w:left="720" w:hanging="360"/>
      </w:pPr>
      <w:rPr>
        <w:rFonts w:ascii="Verdana" w:eastAsia="Trebuchet MS" w:hAnsi="Verdana"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6"/>
  </w:num>
  <w:num w:numId="5">
    <w:abstractNumId w:val="9"/>
    <w:lvlOverride w:ilvl="0">
      <w:startOverride w:val="1"/>
    </w:lvlOverride>
  </w:num>
  <w:num w:numId="6">
    <w:abstractNumId w:val="10"/>
  </w:num>
  <w:num w:numId="7">
    <w:abstractNumId w:val="6"/>
  </w:num>
  <w:num w:numId="8">
    <w:abstractNumId w:val="1"/>
  </w:num>
  <w:num w:numId="9">
    <w:abstractNumId w:val="15"/>
  </w:num>
  <w:num w:numId="10">
    <w:abstractNumId w:val="18"/>
  </w:num>
  <w:num w:numId="11">
    <w:abstractNumId w:val="3"/>
  </w:num>
  <w:num w:numId="12">
    <w:abstractNumId w:val="5"/>
  </w:num>
  <w:num w:numId="13">
    <w:abstractNumId w:val="0"/>
  </w:num>
  <w:num w:numId="14">
    <w:abstractNumId w:val="8"/>
  </w:num>
  <w:num w:numId="15">
    <w:abstractNumId w:val="4"/>
  </w:num>
  <w:num w:numId="16">
    <w:abstractNumId w:val="19"/>
  </w:num>
  <w:num w:numId="17">
    <w:abstractNumId w:val="17"/>
  </w:num>
  <w:num w:numId="18">
    <w:abstractNumId w:val="21"/>
  </w:num>
  <w:num w:numId="19">
    <w:abstractNumId w:val="23"/>
  </w:num>
  <w:num w:numId="20">
    <w:abstractNumId w:val="11"/>
  </w:num>
  <w:num w:numId="21">
    <w:abstractNumId w:val="7"/>
  </w:num>
  <w:num w:numId="22">
    <w:abstractNumId w:val="13"/>
  </w:num>
  <w:num w:numId="23">
    <w:abstractNumId w:val="22"/>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BB"/>
    <w:rsid w:val="000025D6"/>
    <w:rsid w:val="00007AAD"/>
    <w:rsid w:val="00024150"/>
    <w:rsid w:val="000355C4"/>
    <w:rsid w:val="0005295E"/>
    <w:rsid w:val="000610D0"/>
    <w:rsid w:val="000765B3"/>
    <w:rsid w:val="00082E63"/>
    <w:rsid w:val="000B436C"/>
    <w:rsid w:val="000B7246"/>
    <w:rsid w:val="000C6A05"/>
    <w:rsid w:val="000E138A"/>
    <w:rsid w:val="00106100"/>
    <w:rsid w:val="00106F61"/>
    <w:rsid w:val="0011603A"/>
    <w:rsid w:val="00136598"/>
    <w:rsid w:val="001703C8"/>
    <w:rsid w:val="00170450"/>
    <w:rsid w:val="00172D6F"/>
    <w:rsid w:val="001B716B"/>
    <w:rsid w:val="001D0459"/>
    <w:rsid w:val="001D62F2"/>
    <w:rsid w:val="001D708A"/>
    <w:rsid w:val="001F3974"/>
    <w:rsid w:val="001F606E"/>
    <w:rsid w:val="00213EFE"/>
    <w:rsid w:val="00227E2F"/>
    <w:rsid w:val="00234B1A"/>
    <w:rsid w:val="002475D6"/>
    <w:rsid w:val="00250B85"/>
    <w:rsid w:val="00255CC0"/>
    <w:rsid w:val="002709AE"/>
    <w:rsid w:val="002A4EE8"/>
    <w:rsid w:val="002D5BE3"/>
    <w:rsid w:val="002E3983"/>
    <w:rsid w:val="002E4B67"/>
    <w:rsid w:val="003153E6"/>
    <w:rsid w:val="00333C95"/>
    <w:rsid w:val="0035489C"/>
    <w:rsid w:val="00376230"/>
    <w:rsid w:val="003A02B7"/>
    <w:rsid w:val="003B04D5"/>
    <w:rsid w:val="003C02C0"/>
    <w:rsid w:val="003E4145"/>
    <w:rsid w:val="003E63CE"/>
    <w:rsid w:val="003E7630"/>
    <w:rsid w:val="003F7101"/>
    <w:rsid w:val="003F712A"/>
    <w:rsid w:val="00421D13"/>
    <w:rsid w:val="00425109"/>
    <w:rsid w:val="004320FD"/>
    <w:rsid w:val="0044279C"/>
    <w:rsid w:val="00450F7B"/>
    <w:rsid w:val="0046118D"/>
    <w:rsid w:val="004634FC"/>
    <w:rsid w:val="00480178"/>
    <w:rsid w:val="00495CC4"/>
    <w:rsid w:val="004977FA"/>
    <w:rsid w:val="004A10C2"/>
    <w:rsid w:val="004A7613"/>
    <w:rsid w:val="004C708A"/>
    <w:rsid w:val="004E0EBF"/>
    <w:rsid w:val="004F165B"/>
    <w:rsid w:val="0053002D"/>
    <w:rsid w:val="0055219B"/>
    <w:rsid w:val="005536BB"/>
    <w:rsid w:val="00563FAF"/>
    <w:rsid w:val="005659A4"/>
    <w:rsid w:val="0056745F"/>
    <w:rsid w:val="00585C93"/>
    <w:rsid w:val="0058728C"/>
    <w:rsid w:val="005B7499"/>
    <w:rsid w:val="005F7105"/>
    <w:rsid w:val="0060621C"/>
    <w:rsid w:val="00610D50"/>
    <w:rsid w:val="006163F3"/>
    <w:rsid w:val="00617207"/>
    <w:rsid w:val="0062029B"/>
    <w:rsid w:val="00626AE4"/>
    <w:rsid w:val="00635C49"/>
    <w:rsid w:val="00640DBB"/>
    <w:rsid w:val="0065000A"/>
    <w:rsid w:val="00667828"/>
    <w:rsid w:val="006B1864"/>
    <w:rsid w:val="006B54B0"/>
    <w:rsid w:val="006C6635"/>
    <w:rsid w:val="00762D85"/>
    <w:rsid w:val="007649C8"/>
    <w:rsid w:val="007654C2"/>
    <w:rsid w:val="007740AD"/>
    <w:rsid w:val="00787072"/>
    <w:rsid w:val="00795B5B"/>
    <w:rsid w:val="007E331C"/>
    <w:rsid w:val="007E44E8"/>
    <w:rsid w:val="007F309E"/>
    <w:rsid w:val="00820E25"/>
    <w:rsid w:val="008214A7"/>
    <w:rsid w:val="0082284D"/>
    <w:rsid w:val="00826516"/>
    <w:rsid w:val="008401C9"/>
    <w:rsid w:val="008440D0"/>
    <w:rsid w:val="008444D2"/>
    <w:rsid w:val="0088172E"/>
    <w:rsid w:val="008865A5"/>
    <w:rsid w:val="008A4458"/>
    <w:rsid w:val="008A57C5"/>
    <w:rsid w:val="008F00D8"/>
    <w:rsid w:val="00931933"/>
    <w:rsid w:val="0093313C"/>
    <w:rsid w:val="00937690"/>
    <w:rsid w:val="00981297"/>
    <w:rsid w:val="00984DC7"/>
    <w:rsid w:val="009C7E42"/>
    <w:rsid w:val="009D7319"/>
    <w:rsid w:val="00A06FFF"/>
    <w:rsid w:val="00A10FB5"/>
    <w:rsid w:val="00A30636"/>
    <w:rsid w:val="00A37BB5"/>
    <w:rsid w:val="00A41EF1"/>
    <w:rsid w:val="00A4461D"/>
    <w:rsid w:val="00A56EE3"/>
    <w:rsid w:val="00A6742A"/>
    <w:rsid w:val="00A73CA2"/>
    <w:rsid w:val="00A92602"/>
    <w:rsid w:val="00A949B7"/>
    <w:rsid w:val="00AA11A4"/>
    <w:rsid w:val="00AA216E"/>
    <w:rsid w:val="00AA5EBF"/>
    <w:rsid w:val="00AC43DA"/>
    <w:rsid w:val="00AD63E1"/>
    <w:rsid w:val="00AE6D2A"/>
    <w:rsid w:val="00B02565"/>
    <w:rsid w:val="00B1698A"/>
    <w:rsid w:val="00B62DC6"/>
    <w:rsid w:val="00B71572"/>
    <w:rsid w:val="00BA6CD3"/>
    <w:rsid w:val="00BD4DFB"/>
    <w:rsid w:val="00BE55B3"/>
    <w:rsid w:val="00C01928"/>
    <w:rsid w:val="00C040ED"/>
    <w:rsid w:val="00C22788"/>
    <w:rsid w:val="00C2477F"/>
    <w:rsid w:val="00C36588"/>
    <w:rsid w:val="00C40A5E"/>
    <w:rsid w:val="00C70095"/>
    <w:rsid w:val="00C8484D"/>
    <w:rsid w:val="00C90706"/>
    <w:rsid w:val="00C956D4"/>
    <w:rsid w:val="00CB1854"/>
    <w:rsid w:val="00CD1BFC"/>
    <w:rsid w:val="00CD504D"/>
    <w:rsid w:val="00CE55EE"/>
    <w:rsid w:val="00D11434"/>
    <w:rsid w:val="00D34F7E"/>
    <w:rsid w:val="00D35E11"/>
    <w:rsid w:val="00D50956"/>
    <w:rsid w:val="00D65680"/>
    <w:rsid w:val="00D77E07"/>
    <w:rsid w:val="00D82BDF"/>
    <w:rsid w:val="00D91EA6"/>
    <w:rsid w:val="00D95876"/>
    <w:rsid w:val="00DC3F9B"/>
    <w:rsid w:val="00DE377C"/>
    <w:rsid w:val="00DE39FD"/>
    <w:rsid w:val="00DE63D9"/>
    <w:rsid w:val="00E0086A"/>
    <w:rsid w:val="00E24608"/>
    <w:rsid w:val="00E50485"/>
    <w:rsid w:val="00E76957"/>
    <w:rsid w:val="00E96DB5"/>
    <w:rsid w:val="00EB748D"/>
    <w:rsid w:val="00F008B0"/>
    <w:rsid w:val="00F02B4B"/>
    <w:rsid w:val="00F360A1"/>
    <w:rsid w:val="00F5111D"/>
    <w:rsid w:val="00F655E9"/>
    <w:rsid w:val="00F67C93"/>
    <w:rsid w:val="00F87EDC"/>
    <w:rsid w:val="00FC1EC0"/>
    <w:rsid w:val="00FE2404"/>
    <w:rsid w:val="00FF7C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E138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3"/>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lang w:val="sl-SI" w:eastAsia="sl-SI" w:bidi="ar-SA"/>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eastAsia="sl-SI" w:bidi="ar-SA"/>
    </w:rPr>
  </w:style>
  <w:style w:type="paragraph" w:customStyle="1" w:styleId="rkovnatokazaodstavkom">
    <w:name w:val="Črkovna točka_za odstavkom"/>
    <w:basedOn w:val="Navaden"/>
    <w:link w:val="rkovnatokazaodstavkomZnak"/>
    <w:qFormat/>
    <w:rsid w:val="000E138A"/>
    <w:pPr>
      <w:numPr>
        <w:numId w:val="5"/>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lang w:val="sl-SI" w:eastAsia="sl-SI" w:bidi="ar-SA"/>
    </w:rPr>
  </w:style>
  <w:style w:type="table" w:styleId="Tabelamrea">
    <w:name w:val="Table Grid"/>
    <w:basedOn w:val="Navadnatabela"/>
    <w:rsid w:val="000E138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semiHidden/>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Telobesedila">
    <w:name w:val="Body Text"/>
    <w:basedOn w:val="Navaden"/>
    <w:link w:val="TelobesedilaZnak"/>
    <w:rsid w:val="00480178"/>
    <w:pPr>
      <w:suppressAutoHyphens w:val="0"/>
      <w:spacing w:after="120" w:line="260" w:lineRule="exact"/>
    </w:pPr>
    <w:rPr>
      <w:rFonts w:ascii="Arial" w:hAnsi="Arial"/>
      <w:sz w:val="20"/>
      <w:lang w:val="en-US" w:eastAsia="en-US"/>
    </w:rPr>
  </w:style>
  <w:style w:type="character" w:customStyle="1" w:styleId="TelobesedilaZnak">
    <w:name w:val="Telo besedila Znak"/>
    <w:link w:val="Telobesedila"/>
    <w:rsid w:val="00480178"/>
    <w:rPr>
      <w:rFonts w:ascii="Arial" w:hAnsi="Arial"/>
      <w:szCs w:val="24"/>
      <w:lang w:val="en-US" w:eastAsia="en-US"/>
    </w:rPr>
  </w:style>
  <w:style w:type="character" w:styleId="Pripombasklic">
    <w:name w:val="annotation reference"/>
    <w:rsid w:val="0082284D"/>
    <w:rPr>
      <w:sz w:val="16"/>
      <w:szCs w:val="16"/>
    </w:rPr>
  </w:style>
  <w:style w:type="paragraph" w:styleId="Pripombabesedilo">
    <w:name w:val="annotation text"/>
    <w:basedOn w:val="Navaden"/>
    <w:link w:val="PripombabesediloZnak"/>
    <w:rsid w:val="0082284D"/>
    <w:rPr>
      <w:sz w:val="20"/>
      <w:szCs w:val="20"/>
    </w:rPr>
  </w:style>
  <w:style w:type="character" w:customStyle="1" w:styleId="PripombabesediloZnak">
    <w:name w:val="Pripomba – besedilo Znak"/>
    <w:link w:val="Pripombabesedilo"/>
    <w:rsid w:val="0082284D"/>
    <w:rPr>
      <w:lang w:eastAsia="ar-SA"/>
    </w:rPr>
  </w:style>
  <w:style w:type="paragraph" w:styleId="Zadevapripombe">
    <w:name w:val="annotation subject"/>
    <w:basedOn w:val="Pripombabesedilo"/>
    <w:next w:val="Pripombabesedilo"/>
    <w:link w:val="ZadevapripombeZnak"/>
    <w:rsid w:val="0082284D"/>
    <w:rPr>
      <w:b/>
      <w:bCs/>
    </w:rPr>
  </w:style>
  <w:style w:type="character" w:customStyle="1" w:styleId="ZadevapripombeZnak">
    <w:name w:val="Zadeva pripombe Znak"/>
    <w:link w:val="Zadevapripombe"/>
    <w:rsid w:val="0082284D"/>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E138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3"/>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lang w:val="sl-SI" w:eastAsia="sl-SI" w:bidi="ar-SA"/>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eastAsia="sl-SI" w:bidi="ar-SA"/>
    </w:rPr>
  </w:style>
  <w:style w:type="paragraph" w:customStyle="1" w:styleId="rkovnatokazaodstavkom">
    <w:name w:val="Črkovna točka_za odstavkom"/>
    <w:basedOn w:val="Navaden"/>
    <w:link w:val="rkovnatokazaodstavkomZnak"/>
    <w:qFormat/>
    <w:rsid w:val="000E138A"/>
    <w:pPr>
      <w:numPr>
        <w:numId w:val="5"/>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lang w:val="sl-SI" w:eastAsia="sl-SI" w:bidi="ar-SA"/>
    </w:rPr>
  </w:style>
  <w:style w:type="table" w:styleId="Tabelamrea">
    <w:name w:val="Table Grid"/>
    <w:basedOn w:val="Navadnatabela"/>
    <w:rsid w:val="000E138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semiHidden/>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Telobesedila">
    <w:name w:val="Body Text"/>
    <w:basedOn w:val="Navaden"/>
    <w:link w:val="TelobesedilaZnak"/>
    <w:rsid w:val="00480178"/>
    <w:pPr>
      <w:suppressAutoHyphens w:val="0"/>
      <w:spacing w:after="120" w:line="260" w:lineRule="exact"/>
    </w:pPr>
    <w:rPr>
      <w:rFonts w:ascii="Arial" w:hAnsi="Arial"/>
      <w:sz w:val="20"/>
      <w:lang w:val="en-US" w:eastAsia="en-US"/>
    </w:rPr>
  </w:style>
  <w:style w:type="character" w:customStyle="1" w:styleId="TelobesedilaZnak">
    <w:name w:val="Telo besedila Znak"/>
    <w:link w:val="Telobesedila"/>
    <w:rsid w:val="00480178"/>
    <w:rPr>
      <w:rFonts w:ascii="Arial" w:hAnsi="Arial"/>
      <w:szCs w:val="24"/>
      <w:lang w:val="en-US" w:eastAsia="en-US"/>
    </w:rPr>
  </w:style>
  <w:style w:type="character" w:styleId="Pripombasklic">
    <w:name w:val="annotation reference"/>
    <w:rsid w:val="0082284D"/>
    <w:rPr>
      <w:sz w:val="16"/>
      <w:szCs w:val="16"/>
    </w:rPr>
  </w:style>
  <w:style w:type="paragraph" w:styleId="Pripombabesedilo">
    <w:name w:val="annotation text"/>
    <w:basedOn w:val="Navaden"/>
    <w:link w:val="PripombabesediloZnak"/>
    <w:rsid w:val="0082284D"/>
    <w:rPr>
      <w:sz w:val="20"/>
      <w:szCs w:val="20"/>
    </w:rPr>
  </w:style>
  <w:style w:type="character" w:customStyle="1" w:styleId="PripombabesediloZnak">
    <w:name w:val="Pripomba – besedilo Znak"/>
    <w:link w:val="Pripombabesedilo"/>
    <w:rsid w:val="0082284D"/>
    <w:rPr>
      <w:lang w:eastAsia="ar-SA"/>
    </w:rPr>
  </w:style>
  <w:style w:type="paragraph" w:styleId="Zadevapripombe">
    <w:name w:val="annotation subject"/>
    <w:basedOn w:val="Pripombabesedilo"/>
    <w:next w:val="Pripombabesedilo"/>
    <w:link w:val="ZadevapripombeZnak"/>
    <w:rsid w:val="0082284D"/>
    <w:rPr>
      <w:b/>
      <w:bCs/>
    </w:rPr>
  </w:style>
  <w:style w:type="character" w:customStyle="1" w:styleId="ZadevapripombeZnak">
    <w:name w:val="Zadeva pripombe Znak"/>
    <w:link w:val="Zadevapripombe"/>
    <w:rsid w:val="0082284D"/>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65379">
      <w:bodyDiv w:val="1"/>
      <w:marLeft w:val="0"/>
      <w:marRight w:val="0"/>
      <w:marTop w:val="0"/>
      <w:marBottom w:val="0"/>
      <w:divBdr>
        <w:top w:val="none" w:sz="0" w:space="0" w:color="auto"/>
        <w:left w:val="none" w:sz="0" w:space="0" w:color="auto"/>
        <w:bottom w:val="none" w:sz="0" w:space="0" w:color="auto"/>
        <w:right w:val="none" w:sz="0" w:space="0" w:color="auto"/>
      </w:divBdr>
    </w:div>
    <w:div w:id="794367335">
      <w:bodyDiv w:val="1"/>
      <w:marLeft w:val="0"/>
      <w:marRight w:val="0"/>
      <w:marTop w:val="0"/>
      <w:marBottom w:val="0"/>
      <w:divBdr>
        <w:top w:val="none" w:sz="0" w:space="0" w:color="auto"/>
        <w:left w:val="none" w:sz="0" w:space="0" w:color="auto"/>
        <w:bottom w:val="none" w:sz="0" w:space="0" w:color="auto"/>
        <w:right w:val="none" w:sz="0" w:space="0" w:color="auto"/>
      </w:divBdr>
    </w:div>
    <w:div w:id="1770390999">
      <w:bodyDiv w:val="1"/>
      <w:marLeft w:val="0"/>
      <w:marRight w:val="0"/>
      <w:marTop w:val="0"/>
      <w:marBottom w:val="0"/>
      <w:divBdr>
        <w:top w:val="none" w:sz="0" w:space="0" w:color="auto"/>
        <w:left w:val="none" w:sz="0" w:space="0" w:color="auto"/>
        <w:bottom w:val="none" w:sz="0" w:space="0" w:color="auto"/>
        <w:right w:val="none" w:sz="0" w:space="0" w:color="auto"/>
      </w:divBdr>
    </w:div>
    <w:div w:id="177347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67C2C-8CC6-486A-B63A-16AF3AD6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4103</Words>
  <Characters>25837</Characters>
  <Application>Microsoft Office Word</Application>
  <DocSecurity>0</DocSecurity>
  <Lines>215</Lines>
  <Paragraphs>59</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29881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Bojanovič</dc:creator>
  <cp:lastModifiedBy>Vesna Bojanovič</cp:lastModifiedBy>
  <cp:revision>3</cp:revision>
  <cp:lastPrinted>2014-03-28T11:39:00Z</cp:lastPrinted>
  <dcterms:created xsi:type="dcterms:W3CDTF">2014-03-28T12:13:00Z</dcterms:created>
  <dcterms:modified xsi:type="dcterms:W3CDTF">2014-03-28T12:16:00Z</dcterms:modified>
</cp:coreProperties>
</file>