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F02B4B" w:rsidRDefault="007172C6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DB">
        <w:rPr>
          <w:rFonts w:ascii="Arial" w:hAnsi="Arial" w:cs="Arial"/>
          <w:sz w:val="20"/>
          <w:szCs w:val="20"/>
        </w:rPr>
        <w:t>360</w:t>
      </w:r>
    </w:p>
    <w:p w:rsidR="000E138A" w:rsidRPr="00F02B4B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F02B4B" w:rsidRDefault="007172C6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 xml:space="preserve">F: 01 478 81 39 </w:t>
      </w:r>
    </w:p>
    <w:p w:rsidR="003F478A" w:rsidRDefault="003F47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@gov.si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</w:r>
      <w:proofErr w:type="spellStart"/>
      <w:r w:rsidRPr="00F02B4B">
        <w:rPr>
          <w:rFonts w:cs="Arial"/>
          <w:szCs w:val="20"/>
          <w:lang w:val="sl-SI"/>
        </w:rPr>
        <w:t>www.mz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.gov.si</w:t>
      </w:r>
      <w:proofErr w:type="spellEnd"/>
    </w:p>
    <w:p w:rsidR="000E138A" w:rsidRDefault="000E138A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p w:rsidR="00B13DB9" w:rsidRDefault="00B13DB9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p w:rsidR="00B13DB9" w:rsidRPr="008401C9" w:rsidRDefault="00B13DB9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8D1759" w:rsidRDefault="00F02B4B" w:rsidP="003F478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00BB">
              <w:rPr>
                <w:sz w:val="20"/>
                <w:szCs w:val="20"/>
              </w:rPr>
              <w:t>Številka</w:t>
            </w:r>
            <w:r w:rsidR="00B400BB" w:rsidRPr="00B400BB">
              <w:rPr>
                <w:sz w:val="20"/>
                <w:szCs w:val="20"/>
              </w:rPr>
              <w:t xml:space="preserve">: </w:t>
            </w:r>
            <w:r w:rsidR="00BB1F7F" w:rsidRPr="00BB1F7F">
              <w:rPr>
                <w:sz w:val="20"/>
                <w:szCs w:val="20"/>
              </w:rPr>
              <w:t>007-16/2015/38-00921306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8D1759" w:rsidRDefault="00F02B4B" w:rsidP="003F478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BB1F7F">
              <w:rPr>
                <w:sz w:val="20"/>
                <w:szCs w:val="20"/>
              </w:rPr>
              <w:t>23. 9. 2016</w:t>
            </w:r>
          </w:p>
        </w:tc>
      </w:tr>
      <w:tr w:rsidR="00BA067C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BA067C" w:rsidRDefault="00BA067C" w:rsidP="003F478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EVA: 2014-2430-0023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3F478A" w:rsidRDefault="00F02B4B" w:rsidP="003F712A">
            <w:pPr>
              <w:spacing w:line="260" w:lineRule="exac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F478A">
              <w:rPr>
                <w:rFonts w:ascii="Arial" w:hAnsi="Arial" w:cs="Arial"/>
                <w:b/>
                <w:color w:val="002060"/>
                <w:sz w:val="20"/>
                <w:szCs w:val="20"/>
              </w:rPr>
              <w:t>GENERALNI SEKRETARIAT VLADE REPUBLIKE SLOVENIJE</w:t>
            </w:r>
          </w:p>
          <w:p w:rsidR="00F02B4B" w:rsidRPr="003F478A" w:rsidRDefault="00AC62FA" w:rsidP="003F712A">
            <w:pPr>
              <w:spacing w:line="260" w:lineRule="exac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hyperlink r:id="rId10" w:history="1">
              <w:r w:rsidR="00F02B4B" w:rsidRPr="003F478A">
                <w:rPr>
                  <w:rStyle w:val="Hiperpovezava"/>
                  <w:rFonts w:ascii="Arial" w:hAnsi="Arial" w:cs="Arial"/>
                  <w:b/>
                  <w:color w:val="002060"/>
                  <w:sz w:val="20"/>
                  <w:szCs w:val="20"/>
                </w:rPr>
                <w:t>Gp.gs@gov.si</w:t>
              </w:r>
            </w:hyperlink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8D1759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31B0">
            <w:pPr>
              <w:pStyle w:val="Odsek"/>
              <w:numPr>
                <w:ilvl w:val="0"/>
                <w:numId w:val="0"/>
              </w:numPr>
              <w:spacing w:before="0" w:after="0" w:line="288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BB1F7F" w:rsidRPr="00BB1F7F">
              <w:rPr>
                <w:sz w:val="20"/>
                <w:szCs w:val="20"/>
              </w:rPr>
              <w:t>Uredba o obnovljivih virih energije v prometu – predlog za obravnavo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Default="00F02B4B" w:rsidP="0080776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</w:p>
          <w:p w:rsidR="00643CC3" w:rsidRPr="006751F0" w:rsidRDefault="002D25BB" w:rsidP="00643CC3">
            <w:pPr>
              <w:spacing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5BB">
              <w:rPr>
                <w:rFonts w:ascii="Arial" w:hAnsi="Arial" w:cs="Arial"/>
                <w:sz w:val="20"/>
                <w:szCs w:val="20"/>
              </w:rPr>
              <w:t xml:space="preserve">Na podlagi drugega odstavka 380. člena  Energetskega zakona  (Uradni list RS, št. 17/14 in 81/15) je Vlada Republike Slovenije na ... </w:t>
            </w:r>
            <w:r w:rsidR="00643CC3" w:rsidRPr="006751F0">
              <w:rPr>
                <w:rFonts w:ascii="Arial" w:hAnsi="Arial" w:cs="Arial"/>
                <w:sz w:val="20"/>
                <w:szCs w:val="20"/>
              </w:rPr>
              <w:t xml:space="preserve">seji dne …. pod točko … sprejela naslednji </w:t>
            </w:r>
          </w:p>
          <w:p w:rsidR="00643CC3" w:rsidRDefault="00643CC3" w:rsidP="00643CC3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CC3" w:rsidRDefault="00643CC3" w:rsidP="00643CC3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SKLEP: </w:t>
            </w:r>
          </w:p>
          <w:p w:rsidR="002D25BB" w:rsidRPr="002D25BB" w:rsidRDefault="002D25BB" w:rsidP="002D25BB">
            <w:pPr>
              <w:spacing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5BB" w:rsidRDefault="002D25BB" w:rsidP="002D25BB">
            <w:pPr>
              <w:spacing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5BB">
              <w:rPr>
                <w:rFonts w:ascii="Arial" w:hAnsi="Arial" w:cs="Arial"/>
                <w:sz w:val="20"/>
                <w:szCs w:val="20"/>
              </w:rPr>
              <w:t>Vlada Republike Slovenije je izdala Uredbo o obnovljivih virih energije v prometu in jo objavi v Uradnem listu Republike Slovenije.</w:t>
            </w:r>
          </w:p>
          <w:p w:rsidR="002D25BB" w:rsidRDefault="002D25BB" w:rsidP="006751F0">
            <w:pPr>
              <w:spacing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31B0" w:rsidRDefault="003F31B0" w:rsidP="003F31B0">
            <w:pPr>
              <w:spacing w:line="240" w:lineRule="atLeast"/>
              <w:ind w:right="311"/>
              <w:rPr>
                <w:rFonts w:ascii="Arial" w:hAnsi="Arial" w:cs="Arial"/>
                <w:sz w:val="20"/>
                <w:szCs w:val="20"/>
              </w:rPr>
            </w:pPr>
          </w:p>
          <w:p w:rsidR="003F31B0" w:rsidRPr="007A1735" w:rsidRDefault="003F31B0" w:rsidP="003F31B0">
            <w:pPr>
              <w:spacing w:line="240" w:lineRule="exact"/>
              <w:ind w:right="-17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</w:t>
            </w:r>
            <w:r w:rsidRPr="007A17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mag. 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L</w:t>
            </w:r>
            <w:r w:rsidR="00B77079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ilijana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Kozlovič</w:t>
            </w:r>
            <w:r w:rsidRPr="007A17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  <w:p w:rsidR="003F31B0" w:rsidRPr="007A1735" w:rsidRDefault="003F31B0" w:rsidP="003F31B0">
            <w:pPr>
              <w:spacing w:line="240" w:lineRule="exact"/>
              <w:ind w:right="-17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A17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                                       Generaln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a</w:t>
            </w:r>
            <w:r w:rsidRPr="007A17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sekretar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ka</w:t>
            </w:r>
          </w:p>
          <w:p w:rsidR="003F31B0" w:rsidRDefault="003F31B0" w:rsidP="003F31B0">
            <w:pPr>
              <w:spacing w:line="240" w:lineRule="atLeast"/>
              <w:ind w:right="311"/>
              <w:rPr>
                <w:rFonts w:ascii="Arial" w:hAnsi="Arial" w:cs="Arial"/>
                <w:sz w:val="20"/>
                <w:szCs w:val="20"/>
              </w:rPr>
            </w:pPr>
          </w:p>
          <w:p w:rsidR="003F31B0" w:rsidRDefault="003F31B0" w:rsidP="003F31B0">
            <w:pPr>
              <w:spacing w:line="240" w:lineRule="atLeast"/>
              <w:ind w:right="311"/>
              <w:rPr>
                <w:rFonts w:ascii="Arial" w:hAnsi="Arial" w:cs="Arial"/>
                <w:sz w:val="20"/>
                <w:szCs w:val="20"/>
              </w:rPr>
            </w:pPr>
          </w:p>
          <w:p w:rsidR="003F31B0" w:rsidRDefault="003F31B0" w:rsidP="003F31B0">
            <w:pPr>
              <w:spacing w:line="240" w:lineRule="atLeast"/>
              <w:ind w:right="311"/>
              <w:rPr>
                <w:rFonts w:ascii="Arial" w:hAnsi="Arial" w:cs="Arial"/>
                <w:sz w:val="20"/>
                <w:szCs w:val="20"/>
              </w:rPr>
            </w:pPr>
          </w:p>
          <w:p w:rsidR="003F31B0" w:rsidRPr="00303F00" w:rsidRDefault="003F31B0" w:rsidP="003F31B0">
            <w:pPr>
              <w:spacing w:before="120" w:after="120" w:line="240" w:lineRule="atLeast"/>
              <w:ind w:right="312"/>
              <w:rPr>
                <w:rFonts w:ascii="Arial" w:hAnsi="Arial" w:cs="Arial"/>
                <w:sz w:val="20"/>
                <w:szCs w:val="20"/>
              </w:rPr>
            </w:pPr>
            <w:r w:rsidRPr="00303F00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:rsidR="00EA36A3" w:rsidRPr="00EA36A3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>Ministrstvo za finance, Župančičeva 3, Ljubljana;</w:t>
            </w:r>
          </w:p>
          <w:p w:rsidR="00EA36A3" w:rsidRPr="00EA36A3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>Ministrstvo za okolje in prostor, Dunajska cesta 47, Ljubljana;</w:t>
            </w:r>
          </w:p>
          <w:p w:rsidR="00EA36A3" w:rsidRPr="00EA36A3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>Ministrstvo za gospodarski razvoj in tehnologijo, Kotnikova 5, Ljubljana;</w:t>
            </w:r>
          </w:p>
          <w:p w:rsidR="00EA36A3" w:rsidRPr="00EA36A3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>Ministrstvo za javno upravo, Tržaška cesta 21, Ljubljana;</w:t>
            </w:r>
          </w:p>
          <w:p w:rsidR="00EA36A3" w:rsidRPr="00EA36A3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 xml:space="preserve">Statistični urad RS, </w:t>
            </w:r>
            <w:proofErr w:type="spellStart"/>
            <w:r w:rsidRPr="00EA36A3">
              <w:rPr>
                <w:rFonts w:ascii="Arial" w:hAnsi="Arial" w:cs="Arial"/>
                <w:sz w:val="20"/>
                <w:szCs w:val="20"/>
              </w:rPr>
              <w:t>Litostrojska</w:t>
            </w:r>
            <w:proofErr w:type="spellEnd"/>
            <w:r w:rsidRPr="00EA36A3">
              <w:rPr>
                <w:rFonts w:ascii="Arial" w:hAnsi="Arial" w:cs="Arial"/>
                <w:sz w:val="20"/>
                <w:szCs w:val="20"/>
              </w:rPr>
              <w:t xml:space="preserve"> cesta 54, Ljubljana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51F0" w:rsidRPr="00B13DB9" w:rsidRDefault="00EA36A3" w:rsidP="00AC62FA">
            <w:pPr>
              <w:numPr>
                <w:ilvl w:val="0"/>
                <w:numId w:val="9"/>
              </w:numPr>
              <w:suppressAutoHyphens w:val="0"/>
              <w:spacing w:line="240" w:lineRule="atLeast"/>
              <w:ind w:right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A3">
              <w:rPr>
                <w:rFonts w:ascii="Arial" w:hAnsi="Arial" w:cs="Arial"/>
                <w:sz w:val="20"/>
                <w:szCs w:val="20"/>
              </w:rPr>
              <w:t>Služba vlade Republike Slovenije za zako</w:t>
            </w:r>
            <w:r>
              <w:rPr>
                <w:rFonts w:ascii="Arial" w:hAnsi="Arial" w:cs="Arial"/>
                <w:sz w:val="20"/>
                <w:szCs w:val="20"/>
              </w:rPr>
              <w:t>nodajo, Mestni trg 4, Ljubljana;</w:t>
            </w:r>
          </w:p>
          <w:p w:rsidR="003F31B0" w:rsidRPr="00B13DB9" w:rsidRDefault="003F31B0" w:rsidP="00AC62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3DB9">
              <w:rPr>
                <w:rFonts w:ascii="Arial" w:hAnsi="Arial" w:cs="Arial"/>
                <w:sz w:val="20"/>
                <w:szCs w:val="20"/>
              </w:rPr>
              <w:t>Ministrstvo za infrastrukturo, Langusova 4, 1000 Ljubljana</w:t>
            </w:r>
          </w:p>
          <w:p w:rsidR="0080776D" w:rsidRPr="007A1735" w:rsidRDefault="0080776D" w:rsidP="0080776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F02B4B" w:rsidRDefault="00EA36A3" w:rsidP="003F712A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EA36A3" w:rsidRPr="00EA36A3" w:rsidRDefault="00EA36A3" w:rsidP="00EA36A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>- Danijel Levičar, generalni direktor Direktorata za energijo</w:t>
            </w:r>
          </w:p>
          <w:p w:rsidR="00EA36A3" w:rsidRPr="00EA36A3" w:rsidRDefault="00EA36A3" w:rsidP="00EA36A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>- mag. Tilen Smolnikar, vodja sektorja, Direktorat za energijo</w:t>
            </w:r>
          </w:p>
          <w:p w:rsidR="0080776D" w:rsidRPr="008D1759" w:rsidRDefault="00EA36A3" w:rsidP="00EA36A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>- Andreja Belavić Benedik, sekretarka, Direktorat za energijo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5F3DC6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EA36A3" w:rsidRDefault="00EA36A3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EA36A3" w:rsidRDefault="00EA36A3" w:rsidP="003F712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F02B4B" w:rsidRPr="00FD6093" w:rsidTr="003F712A">
        <w:tc>
          <w:tcPr>
            <w:tcW w:w="9163" w:type="dxa"/>
            <w:gridSpan w:val="4"/>
          </w:tcPr>
          <w:p w:rsidR="00EA36A3" w:rsidRPr="00EA36A3" w:rsidRDefault="00EA36A3" w:rsidP="00EA36A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 xml:space="preserve">Direktiva 2009/28/ES Evropskega Parlamenta in Sveta z dne 23. aprila 2009 o spodbujanju uporabe energije iz obnovljivih virov, spremembi in poznejši razveljavitvi direktiv 2001/77/ES in 2003/30/ES (v nadaljevanju Direktiva 2009/28/ES) določa, da mora vsaka država članica sprejeti nacionalni akcijski načrt za obnovljive vire energije za obdobje 2010-2020 (v nadaljevanju AN OVE). V teh načrtih je treba določiti letne nacionalne cilje držav članic za deleže energije iz obnovljivih virov, porabljene v prometu, elektroenergetiki ter za ogrevanje in hlajenje v letu 2020 in predvidene ukrepe s katerimi bodo države članice dosegle predpisan cilj v letu 2020. Direktiva 2009/28/ES določa cilje na področju obnovljivih virov energije, ki so za države članice pravno zavezujoči. Republika Slovenija mora do leta 2020 doseči najmanj 25% delež OVE v končni bruto uporabi energije. Poleg tega direktiva določa tudi poseben cilj za promet, ki je za vse države članice enak: do leta 2020 je potrebno doseči 10 % delež </w:t>
            </w:r>
            <w:proofErr w:type="spellStart"/>
            <w:r w:rsidRPr="00EA36A3">
              <w:rPr>
                <w:iCs/>
                <w:sz w:val="20"/>
                <w:szCs w:val="20"/>
              </w:rPr>
              <w:t>biogoriv</w:t>
            </w:r>
            <w:proofErr w:type="spellEnd"/>
            <w:r w:rsidRPr="00EA36A3">
              <w:rPr>
                <w:iCs/>
                <w:sz w:val="20"/>
                <w:szCs w:val="20"/>
              </w:rPr>
              <w:t xml:space="preserve"> in drugih obnovljivih virov energije v prometu. Z Direktivo (EU) 2015/1513 Evropskega parlamenta in Sveta z dne 9. septembra 2015 o spremembi Direktive 98/70/ES o kakovosti motornega bencina in dizelskega goriva ter spremembi Direktive 2009/28/ES o spodbujanju uporabe energije iz obnovljivih virov, se spreminjajo nekatera določila Direktive 2009/28/ES, kar je prav tako preneseno s predlogom te uredbe.</w:t>
            </w:r>
          </w:p>
          <w:p w:rsidR="00EA36A3" w:rsidRPr="00EA36A3" w:rsidRDefault="00EA36A3" w:rsidP="00EA36A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 xml:space="preserve">Energetski zakon (Uradni list RS, št. 17/14 in 81/15) v prvem odstavku 380. člena določa, da morajo distributerji plinastih in tekočih goriv za promet dati na trg </w:t>
            </w:r>
            <w:proofErr w:type="spellStart"/>
            <w:r w:rsidRPr="00EA36A3">
              <w:rPr>
                <w:iCs/>
                <w:sz w:val="20"/>
                <w:szCs w:val="20"/>
              </w:rPr>
              <w:t>biogoriva</w:t>
            </w:r>
            <w:proofErr w:type="spellEnd"/>
            <w:r w:rsidRPr="00EA36A3">
              <w:rPr>
                <w:iCs/>
                <w:sz w:val="20"/>
                <w:szCs w:val="20"/>
              </w:rPr>
              <w:t xml:space="preserve"> ali druge obnovljive vire energije za promet v deležu, kot je določen v AN OVE iz 28. člena  Energetskega zakona glede na količino goriv, ki jih dajo na trg v posameznem letu.  </w:t>
            </w:r>
          </w:p>
          <w:p w:rsidR="00F02B4B" w:rsidRDefault="00EA36A3" w:rsidP="00EA36A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A36A3">
              <w:rPr>
                <w:iCs/>
                <w:sz w:val="20"/>
                <w:szCs w:val="20"/>
              </w:rPr>
              <w:t>S tem predlogom uredbe se zavezuje distributerje k doseganju začrtanih ciljev, ki se jih bo preverjalo preko letnega poročanja. Prav tako je predpisana enačba za izračun deleža obnovljivih virov energije v prometu ter načini in mehanizmi, ki omogočajo zavezancem izpolnjevati predpisane deleže.</w:t>
            </w:r>
          </w:p>
          <w:p w:rsidR="00EA36A3" w:rsidRPr="00FD6093" w:rsidRDefault="00EA36A3" w:rsidP="00EA36A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02B4B" w:rsidRPr="008D1759" w:rsidRDefault="00EA36A3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02B4B" w:rsidRPr="00A24E98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02B4B" w:rsidRPr="008D1759" w:rsidRDefault="00EA36A3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F02B4B" w:rsidRPr="008D1759" w:rsidRDefault="00EA36A3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F02B4B" w:rsidRPr="008D1759" w:rsidRDefault="00F02B4B" w:rsidP="00AC62F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F02B4B" w:rsidRPr="008D1759" w:rsidRDefault="00F02B4B" w:rsidP="00AC62F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02B4B" w:rsidRDefault="00F02B4B" w:rsidP="00AC62F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  <w:p w:rsidR="00EA36A3" w:rsidRPr="008D1759" w:rsidRDefault="00EA36A3" w:rsidP="00EA36A3">
            <w:pPr>
              <w:pStyle w:val="Neotevilenodstavek"/>
              <w:spacing w:before="0" w:after="0" w:line="260" w:lineRule="exac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02B4B" w:rsidRPr="008D1759" w:rsidRDefault="00EA36A3" w:rsidP="0042255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B" w:rsidRPr="00AD50A2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  <w:r w:rsidR="0042255C">
              <w:rPr>
                <w:sz w:val="20"/>
                <w:szCs w:val="20"/>
              </w:rPr>
              <w:t>/</w:t>
            </w:r>
          </w:p>
        </w:tc>
      </w:tr>
    </w:tbl>
    <w:p w:rsidR="00F02B4B" w:rsidRPr="008D1759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02B4B" w:rsidRPr="008D1759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02B4B" w:rsidRPr="008D1759" w:rsidTr="003F712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 w:rsidRPr="008D1759">
              <w:rPr>
                <w:sz w:val="20"/>
                <w:szCs w:val="20"/>
              </w:rPr>
              <w:t xml:space="preserve"> Pravice porabe za izvedbo predlaganih rešitev </w:t>
            </w:r>
            <w:r>
              <w:rPr>
                <w:sz w:val="20"/>
                <w:szCs w:val="20"/>
              </w:rPr>
              <w:t>so zagotovljene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 w:rsidRPr="008D1759">
              <w:rPr>
                <w:sz w:val="20"/>
                <w:szCs w:val="20"/>
              </w:rPr>
              <w:t xml:space="preserve"> Manjkajoče pravice porabe bodo za</w:t>
            </w:r>
            <w:r>
              <w:rPr>
                <w:sz w:val="20"/>
                <w:szCs w:val="20"/>
              </w:rPr>
              <w:t>gotovljene s prerazporeditvijo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 w:rsidRPr="008D1759">
              <w:rPr>
                <w:sz w:val="20"/>
                <w:szCs w:val="20"/>
              </w:rPr>
              <w:t xml:space="preserve"> Načrtovana nad</w:t>
            </w:r>
            <w:r>
              <w:rPr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3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 zvezi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prihodko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 državnega proračuna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občinskih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5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finančna sredstva (drugi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viri), ki niso načrtovan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02B4B" w:rsidRPr="008D1759" w:rsidRDefault="00F02B4B" w:rsidP="00AC62FA">
            <w:pPr>
              <w:widowControl w:val="0"/>
              <w:numPr>
                <w:ilvl w:val="0"/>
                <w:numId w:val="3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Prikazane morajo biti finančne posledice za državni proračun, ki so na proračunskih postavkah načrtovane v dinamiki projektov oziroma ukrepov: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proračunski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rabnik, ki financira projekt oziroma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ukrep; proje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 uvrstitvi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vega projekta oziroma ukrepa v 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ačrt razvojnih programov se 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proračunski uporabnik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bo financiral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projekt oziroma ukrep,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F02B4B" w:rsidRPr="008D1759" w:rsidRDefault="00F02B4B" w:rsidP="00AC62FA">
            <w:pPr>
              <w:widowControl w:val="0"/>
              <w:numPr>
                <w:ilvl w:val="0"/>
                <w:numId w:val="6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oziroma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saj je za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oziroma ukrep mogoče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zagotoviti pravice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agotovljene s prerazporeditvijo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 se proračunski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jih proračunski uporabnik izvaja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tega proračunskega uporabnika, 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dinamik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ali novih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navedenih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točki II.a.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 je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namenskih sredstev EU). Ukrepanje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ob zmanjšanju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zakonom, ki ureja 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  <w:p w:rsidR="00F02B4B" w:rsidRPr="008D1759" w:rsidRDefault="00F02B4B" w:rsidP="003F712A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7</w:t>
            </w:r>
            <w:r w:rsidRPr="008D1759">
              <w:rPr>
                <w:sz w:val="20"/>
                <w:szCs w:val="20"/>
              </w:rPr>
              <w:t>.b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F02B4B" w:rsidRPr="00EA36A3" w:rsidRDefault="00EA36A3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A36A3">
              <w:rPr>
                <w:b w:val="0"/>
                <w:sz w:val="20"/>
                <w:szCs w:val="20"/>
              </w:rPr>
              <w:t>Gradivo, glede na trenutno stanje zakonodaje, nima vpliva na proračun.</w:t>
            </w:r>
          </w:p>
        </w:tc>
      </w:tr>
      <w:tr w:rsidR="004F22B5" w:rsidRPr="000D7F9E" w:rsidTr="002E51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B5" w:rsidRPr="000D7F9E" w:rsidRDefault="004F22B5" w:rsidP="002E51B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3A608D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F22B5" w:rsidRPr="000D7F9E" w:rsidTr="002E51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4F22B5" w:rsidRPr="000D7F9E" w:rsidRDefault="004F22B5" w:rsidP="002E51B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4F22B5" w:rsidRPr="000D7F9E" w:rsidRDefault="004F22B5" w:rsidP="00AC62FA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:rsidR="004F22B5" w:rsidRPr="000D7F9E" w:rsidRDefault="004F22B5" w:rsidP="00AC62FA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4F22B5" w:rsidRPr="000D7F9E" w:rsidRDefault="004F22B5" w:rsidP="00AC62FA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:rsidR="004F22B5" w:rsidRPr="000D7F9E" w:rsidRDefault="004F22B5" w:rsidP="002E51BD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4F22B5" w:rsidRPr="003F478A" w:rsidRDefault="004F22B5" w:rsidP="002E51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3F478A">
              <w:rPr>
                <w:b/>
                <w:sz w:val="20"/>
                <w:szCs w:val="20"/>
              </w:rPr>
              <w:t>NE</w:t>
            </w:r>
          </w:p>
        </w:tc>
      </w:tr>
      <w:tr w:rsidR="006E4FC6" w:rsidRPr="000D7F9E" w:rsidTr="00DA5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E4FC6" w:rsidRPr="003F1D43" w:rsidRDefault="006E4FC6" w:rsidP="006E4FC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Skupnosti občin Slovenije SOS: NE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Združenju občin Slovenije ZOS: NE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Združenju mestnih občin Slovenije ZMOS: NE</w:t>
            </w:r>
          </w:p>
          <w:p w:rsidR="006E4FC6" w:rsidRPr="003F1D43" w:rsidRDefault="006E4FC6" w:rsidP="006E4FC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E4FC6" w:rsidRPr="003F1D43" w:rsidRDefault="006E4FC6" w:rsidP="006E4FC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v celoti,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večinoma,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delno,</w:t>
            </w:r>
          </w:p>
          <w:p w:rsidR="006E4FC6" w:rsidRPr="003F1D43" w:rsidRDefault="006E4FC6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niso bili upoštevani.</w:t>
            </w:r>
          </w:p>
          <w:p w:rsidR="006E4FC6" w:rsidRPr="003F1D43" w:rsidRDefault="006E4FC6" w:rsidP="006E4FC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E4FC6" w:rsidRPr="003F1D43" w:rsidRDefault="006E4FC6" w:rsidP="006E4FC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F1D43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E4FC6" w:rsidRPr="000D7F9E" w:rsidRDefault="006E4FC6" w:rsidP="002E51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4F22B5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2B4B" w:rsidRPr="004F22B5">
              <w:rPr>
                <w:sz w:val="20"/>
                <w:szCs w:val="20"/>
              </w:rPr>
              <w:t>. Predstavitev sodelovanja javnosti: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</w:tcPr>
          <w:p w:rsidR="00F02B4B" w:rsidRPr="003F478A" w:rsidRDefault="00EA36A3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02B4B" w:rsidRPr="00875A73" w:rsidRDefault="00875A73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  <w:highlight w:val="lightGray"/>
              </w:rPr>
            </w:pPr>
            <w:r w:rsidRPr="00875A73">
              <w:rPr>
                <w:iCs/>
                <w:sz w:val="20"/>
                <w:szCs w:val="20"/>
              </w:rPr>
              <w:t>Gradivo ni take narave, da bi bila potrebna objava.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02B4B" w:rsidRPr="0068465E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 xml:space="preserve">Datum objave: </w:t>
            </w:r>
            <w:r w:rsidR="00EE7BB7" w:rsidRPr="00EE7BB7">
              <w:rPr>
                <w:iCs/>
                <w:sz w:val="20"/>
                <w:szCs w:val="20"/>
              </w:rPr>
              <w:t>30. 3. 2015</w:t>
            </w: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lastRenderedPageBreak/>
              <w:t xml:space="preserve">nevladne organizacije, 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predstavniki zainteresirane javnosti,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predstavniki strokovne javnosti, 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Mnenja, predlogi in pri</w:t>
            </w:r>
            <w:r>
              <w:rPr>
                <w:iCs/>
                <w:sz w:val="20"/>
                <w:szCs w:val="20"/>
              </w:rPr>
              <w:t xml:space="preserve">pombe z navedbo predlagateljev </w:t>
            </w:r>
            <w:r w:rsidRPr="00345F62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345F62">
              <w:rPr>
                <w:iCs/>
                <w:sz w:val="20"/>
                <w:szCs w:val="20"/>
              </w:rPr>
              <w:t>):</w:t>
            </w: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Upoštevani so bili: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v celoti,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E7BB7">
              <w:rPr>
                <w:b/>
                <w:iCs/>
                <w:sz w:val="20"/>
                <w:szCs w:val="20"/>
                <w:u w:val="single"/>
              </w:rPr>
              <w:t>večinoma</w:t>
            </w:r>
            <w:r w:rsidRPr="00345F62">
              <w:rPr>
                <w:iCs/>
                <w:sz w:val="20"/>
                <w:szCs w:val="20"/>
              </w:rPr>
              <w:t>,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delno,</w:t>
            </w:r>
          </w:p>
          <w:p w:rsidR="00F02B4B" w:rsidRPr="00345F62" w:rsidRDefault="00F02B4B" w:rsidP="00AC62FA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niso bili upoštevani.</w:t>
            </w: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68465E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Poročilo je bilo dano ……………..</w:t>
            </w:r>
          </w:p>
          <w:p w:rsidR="00F02B4B" w:rsidRPr="0068465E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F02B4B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4F7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8D1759" w:rsidRDefault="006C2517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F02B4B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F02B4B" w:rsidRPr="008D1759" w:rsidRDefault="00F02B4B" w:rsidP="00EE7BB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F72E8"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Default="00F02B4B" w:rsidP="006C251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2517">
              <w:rPr>
                <w:b/>
                <w:sz w:val="20"/>
                <w:szCs w:val="20"/>
              </w:rPr>
              <w:t>1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Default="00F02B4B" w:rsidP="00EE7BB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B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3F478A" w:rsidRPr="008D1759" w:rsidRDefault="003F478A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02B4B" w:rsidRDefault="00655EE5" w:rsidP="003F712A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dr. </w:t>
            </w:r>
            <w:r w:rsidR="00361FF1">
              <w:rPr>
                <w:b w:val="0"/>
                <w:sz w:val="20"/>
                <w:szCs w:val="20"/>
              </w:rPr>
              <w:t>Peter Gašperšič</w:t>
            </w:r>
          </w:p>
          <w:p w:rsidR="00F02B4B" w:rsidRPr="00F80081" w:rsidRDefault="00655EE5" w:rsidP="003F712A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F02B4B">
              <w:rPr>
                <w:b w:val="0"/>
                <w:sz w:val="20"/>
                <w:szCs w:val="20"/>
              </w:rPr>
              <w:t>MINISTER</w:t>
            </w:r>
          </w:p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F31B0" w:rsidRPr="00B13DB9" w:rsidRDefault="003F31B0" w:rsidP="003F31B0">
      <w:pPr>
        <w:spacing w:line="240" w:lineRule="atLeast"/>
        <w:ind w:right="311"/>
        <w:rPr>
          <w:rFonts w:ascii="Arial" w:hAnsi="Arial" w:cs="Arial"/>
          <w:sz w:val="20"/>
          <w:szCs w:val="20"/>
        </w:rPr>
      </w:pPr>
      <w:r w:rsidRPr="00B13DB9">
        <w:rPr>
          <w:rFonts w:ascii="Arial" w:hAnsi="Arial" w:cs="Arial"/>
          <w:sz w:val="20"/>
          <w:szCs w:val="20"/>
        </w:rPr>
        <w:t>Priloge:</w:t>
      </w:r>
    </w:p>
    <w:p w:rsidR="003F31B0" w:rsidRPr="00B13DB9" w:rsidRDefault="00EE7BB7" w:rsidP="00AC62FA">
      <w:pPr>
        <w:numPr>
          <w:ilvl w:val="0"/>
          <w:numId w:val="10"/>
        </w:numPr>
        <w:suppressAutoHyphens w:val="0"/>
        <w:spacing w:line="260" w:lineRule="exact"/>
        <w:ind w:right="3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jedro gradiva;</w:t>
      </w:r>
    </w:p>
    <w:p w:rsidR="003F478A" w:rsidRPr="00B13DB9" w:rsidRDefault="00EE7BB7" w:rsidP="00AC62FA">
      <w:pPr>
        <w:numPr>
          <w:ilvl w:val="0"/>
          <w:numId w:val="10"/>
        </w:numPr>
        <w:suppressAutoHyphens w:val="0"/>
        <w:spacing w:line="260" w:lineRule="exact"/>
        <w:ind w:right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obrazložitev;</w:t>
      </w:r>
    </w:p>
    <w:p w:rsidR="000B159A" w:rsidRDefault="00EE7BB7" w:rsidP="00AC62F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ind w:right="3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korelacijska tabela;</w:t>
      </w:r>
    </w:p>
    <w:p w:rsidR="00EE7BB7" w:rsidRPr="00B13DB9" w:rsidRDefault="00EE7BB7" w:rsidP="00AC62F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ind w:right="3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izjava o skladnosti.</w:t>
      </w: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0B159A" w:rsidRDefault="000B159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E7BB7" w:rsidRDefault="00EE7BB7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E7BB7" w:rsidRPr="00DB49B9" w:rsidRDefault="00EE7BB7" w:rsidP="00EE7BB7">
      <w:pPr>
        <w:pageBreakBefore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lastRenderedPageBreak/>
        <w:t>Priloga (jedro gradiva)</w:t>
      </w:r>
    </w:p>
    <w:p w:rsidR="00EE7BB7" w:rsidRPr="00DB49B9" w:rsidRDefault="00EE7BB7" w:rsidP="00EE7BB7">
      <w:pPr>
        <w:tabs>
          <w:tab w:val="left" w:pos="708"/>
        </w:tabs>
        <w:ind w:left="6372"/>
        <w:jc w:val="right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>PREDLOG</w:t>
      </w:r>
    </w:p>
    <w:p w:rsidR="00EE7BB7" w:rsidRDefault="00EE7BB7" w:rsidP="00EE7BB7">
      <w:pPr>
        <w:tabs>
          <w:tab w:val="left" w:pos="708"/>
        </w:tabs>
        <w:ind w:left="6372"/>
        <w:jc w:val="right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 xml:space="preserve">   (EVA 2014-2430-0023)</w:t>
      </w:r>
    </w:p>
    <w:p w:rsidR="00EE7BB7" w:rsidRPr="00DB49B9" w:rsidRDefault="00EE7BB7" w:rsidP="00EE7BB7">
      <w:pPr>
        <w:tabs>
          <w:tab w:val="left" w:pos="708"/>
        </w:tabs>
        <w:ind w:left="6372"/>
        <w:jc w:val="right"/>
        <w:rPr>
          <w:rFonts w:ascii="Arial" w:hAnsi="Arial" w:cs="Arial"/>
          <w:b/>
          <w:sz w:val="20"/>
          <w:szCs w:val="20"/>
        </w:rPr>
      </w:pPr>
    </w:p>
    <w:p w:rsidR="00EE7BB7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Na podlagi drugega odstavka 380. člena Energetskega zakona (Uradni list RS, št. 17/14 in 81/15) izdaja Vlada Republike Slovenije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jc w:val="center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 xml:space="preserve">Uredbo o </w:t>
      </w:r>
    </w:p>
    <w:p w:rsidR="00EE7BB7" w:rsidRDefault="00EE7BB7" w:rsidP="00EE7BB7">
      <w:pPr>
        <w:jc w:val="center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>obnovljivih virih energije v prometu</w:t>
      </w:r>
    </w:p>
    <w:p w:rsidR="00EE7BB7" w:rsidRDefault="00EE7BB7" w:rsidP="00EE7BB7">
      <w:pPr>
        <w:jc w:val="center"/>
        <w:rPr>
          <w:rFonts w:ascii="Arial" w:hAnsi="Arial" w:cs="Arial"/>
          <w:b/>
          <w:sz w:val="20"/>
          <w:szCs w:val="20"/>
        </w:rPr>
      </w:pPr>
    </w:p>
    <w:p w:rsidR="00EE7BB7" w:rsidRPr="00DB49B9" w:rsidRDefault="00EE7BB7" w:rsidP="00EE7BB7">
      <w:pPr>
        <w:jc w:val="center"/>
        <w:rPr>
          <w:rFonts w:ascii="Arial" w:hAnsi="Arial" w:cs="Arial"/>
          <w:b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1.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(vsebina in področje uporabe)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Ta uredba določa načine in ukrepe za izpolnjevanje ter preverjanje izpolnjevanja obveznosti distributerjev goriv </w:t>
      </w:r>
      <w:bookmarkStart w:id="1" w:name="OLE_LINK1"/>
      <w:r w:rsidRPr="00DB49B9">
        <w:rPr>
          <w:rFonts w:ascii="Arial" w:hAnsi="Arial" w:cs="Arial"/>
          <w:sz w:val="20"/>
          <w:szCs w:val="20"/>
        </w:rPr>
        <w:t xml:space="preserve">glede dajanja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obnovljivih virov energije za promet na trg</w:t>
      </w:r>
      <w:bookmarkEnd w:id="1"/>
      <w:r w:rsidRPr="00DB49B9">
        <w:rPr>
          <w:rFonts w:ascii="Arial" w:hAnsi="Arial" w:cs="Arial"/>
          <w:sz w:val="20"/>
          <w:szCs w:val="20"/>
        </w:rPr>
        <w:t xml:space="preserve">. </w:t>
      </w:r>
    </w:p>
    <w:p w:rsidR="00EE7BB7" w:rsidRPr="00DB49B9" w:rsidRDefault="00EE7BB7" w:rsidP="00EE7B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Ta uredba se ne uporablja za kerozin kot gorivo za zračna vozila in za goriva za plovila na morju.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2.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(prenos predpisov Evropske unije)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S to uredbo se v pravni red Republike Slovenije delno prenašata: </w:t>
      </w:r>
    </w:p>
    <w:p w:rsidR="00EE7BB7" w:rsidRPr="00DB49B9" w:rsidRDefault="00EE7BB7" w:rsidP="00AC62FA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Direktiva 2009/28/ES Evropskega parlamenta in Sveta z dne 23. aprila 2009 o spodbujanju uporabe energije iz obnovljivih virov, spremembi in poznejši razveljavitvi direktiv 2001/77/ES in 2003/30/ES (UL L  št. 140 z dne 5. 6. 2009, str. 16, v nadaljnjem besedilu: Direktiva 2009/28/ES) in</w:t>
      </w:r>
    </w:p>
    <w:p w:rsidR="00EE7BB7" w:rsidRPr="00DB49B9" w:rsidRDefault="00EE7BB7" w:rsidP="00AC62FA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Direktiva (EU) 2015/1513 Evropskega parlamenta in Sveta z dne 9. septembra 2015 o spremembi Direktive 98/70/ES o kakovosti motornega bencina in dizelskega goriva ter spremembi Direktive 2009/28/ES o spodbujanju uporabe energije iz obnovljivih virov (UL L št. 239 z dne 15. 9. 2015, str. 1, v nadaljnjem besedilu: Direktiva (EU) 2015/1513).</w:t>
      </w:r>
    </w:p>
    <w:p w:rsidR="00EE7BB7" w:rsidRPr="00DB49B9" w:rsidRDefault="00EE7BB7" w:rsidP="00EE7BB7">
      <w:pPr>
        <w:pStyle w:val="Brezrazmikov"/>
        <w:ind w:left="144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3.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(pomen izrazov)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bookmarkStart w:id="2" w:name="OLE_LINK2"/>
      <w:bookmarkStart w:id="3" w:name="OLE_LINK3"/>
      <w:r w:rsidRPr="00DB49B9">
        <w:rPr>
          <w:rFonts w:ascii="Arial" w:hAnsi="Arial" w:cs="Arial"/>
          <w:sz w:val="20"/>
          <w:szCs w:val="20"/>
        </w:rPr>
        <w:t xml:space="preserve">Izrazi, uporabljeni v tej uredbi, imajo naslednji pomen: 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a) »</w:t>
      </w:r>
      <w:proofErr w:type="spellStart"/>
      <w:r w:rsidRPr="00DB49B9">
        <w:rPr>
          <w:rFonts w:ascii="Arial" w:hAnsi="Arial" w:cs="Arial"/>
          <w:b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>« je tekoče ali plinasto gorivo, namenjeno uporabi v prometu in proizvedeno iz biomase;</w:t>
      </w:r>
    </w:p>
    <w:bookmarkEnd w:id="2"/>
    <w:bookmarkEnd w:id="3"/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b)</w:t>
      </w:r>
      <w:r w:rsidRPr="00DB49B9">
        <w:rPr>
          <w:rFonts w:ascii="Arial" w:hAnsi="Arial" w:cs="Arial"/>
          <w:b/>
          <w:sz w:val="20"/>
          <w:szCs w:val="20"/>
        </w:rPr>
        <w:t xml:space="preserve"> »biološki odpadki«</w:t>
      </w:r>
      <w:r w:rsidRPr="00DB49B9">
        <w:rPr>
          <w:rFonts w:ascii="Arial" w:hAnsi="Arial" w:cs="Arial"/>
          <w:sz w:val="20"/>
          <w:szCs w:val="20"/>
        </w:rPr>
        <w:t xml:space="preserve"> so biorazgradljivi odpadki z vrtov in iz parkov, živilski in kuhinjski odpadki iz gospodinjstev, restavracij, gostinske dejavnosti in trgovin na drobno ter primerljivi odpadki iz obratov za predelavo hrane;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c)</w:t>
      </w:r>
      <w:r w:rsidRPr="00DB49B9">
        <w:rPr>
          <w:rFonts w:ascii="Arial" w:hAnsi="Arial" w:cs="Arial"/>
          <w:b/>
          <w:sz w:val="20"/>
          <w:szCs w:val="20"/>
        </w:rPr>
        <w:t xml:space="preserve"> »biomasa«</w:t>
      </w:r>
      <w:r w:rsidRPr="00DB49B9">
        <w:rPr>
          <w:rFonts w:ascii="Arial" w:hAnsi="Arial" w:cs="Arial"/>
          <w:sz w:val="20"/>
          <w:szCs w:val="20"/>
        </w:rPr>
        <w:t xml:space="preserve"> je biološko razgradljiva frakcija proizvodov, ostankov in odpadkov biološkega izvora iz kmetijstva (vključno z rastlinskimi in živalskimi substancami), gozdarstva in z njim povezanih proizvodnih dejavnosti, vključno z ribištvom in ribogojstvom, ter biološko razgradljiva frakcija industrijskih in komunalnih odpadkov;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č)</w:t>
      </w:r>
      <w:r w:rsidRPr="00DB49B9">
        <w:rPr>
          <w:rFonts w:ascii="Arial" w:hAnsi="Arial" w:cs="Arial"/>
          <w:b/>
          <w:sz w:val="20"/>
          <w:szCs w:val="20"/>
        </w:rPr>
        <w:t xml:space="preserve"> »distributer goriv«</w:t>
      </w:r>
      <w:r w:rsidRPr="00DB49B9">
        <w:rPr>
          <w:rFonts w:ascii="Arial" w:hAnsi="Arial" w:cs="Arial"/>
          <w:sz w:val="20"/>
          <w:szCs w:val="20"/>
        </w:rPr>
        <w:t xml:space="preserve"> je pravna oseba ali samostojni podjetnik posameznik, ki proda končnemu uporabniku  gorivo, </w:t>
      </w:r>
      <w:proofErr w:type="spellStart"/>
      <w:r w:rsidRPr="00DB49B9">
        <w:rPr>
          <w:rFonts w:ascii="Arial" w:hAnsi="Arial" w:cs="Arial"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mešanico obeh vrst goriv, vodika iz obnovljivih virov ali električno energijo za uporabo v prometu. Za distributerja se štejejo tudi proizvajalec goriva, 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>, mešanice obeh vrst goriv, vodika iz obnovljivih virov ali električne energije, njihov uvoznik iz tretjih držav ali njihov pridobitelj v državah članicah Evropske unije, če ga uporabi sam kot končni uporabnik;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d)</w:t>
      </w:r>
      <w:r w:rsidRPr="00DB49B9">
        <w:rPr>
          <w:rFonts w:ascii="Arial" w:hAnsi="Arial" w:cs="Arial"/>
          <w:b/>
          <w:sz w:val="20"/>
          <w:szCs w:val="20"/>
        </w:rPr>
        <w:t xml:space="preserve"> »gorivo«</w:t>
      </w:r>
      <w:r w:rsidRPr="00DB49B9">
        <w:rPr>
          <w:rFonts w:ascii="Arial" w:hAnsi="Arial" w:cs="Arial"/>
          <w:sz w:val="20"/>
          <w:szCs w:val="20"/>
        </w:rPr>
        <w:t xml:space="preserve"> je tekoče ali plinasto gorivo fosilnega izvora, namenjeno uporabi v prometu;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e)</w:t>
      </w:r>
      <w:r w:rsidRPr="00DB49B9">
        <w:rPr>
          <w:rFonts w:ascii="Arial" w:hAnsi="Arial" w:cs="Arial"/>
          <w:b/>
          <w:sz w:val="20"/>
          <w:szCs w:val="20"/>
        </w:rPr>
        <w:t xml:space="preserve"> »lesna celuloza«</w:t>
      </w:r>
      <w:r w:rsidRPr="00DB49B9">
        <w:rPr>
          <w:rFonts w:ascii="Arial" w:hAnsi="Arial" w:cs="Arial"/>
          <w:sz w:val="20"/>
          <w:szCs w:val="20"/>
        </w:rPr>
        <w:t xml:space="preserve"> je material, sestavljen iz lignina, celuloze in </w:t>
      </w:r>
      <w:proofErr w:type="spellStart"/>
      <w:r w:rsidRPr="00DB49B9">
        <w:rPr>
          <w:rFonts w:ascii="Arial" w:hAnsi="Arial" w:cs="Arial"/>
          <w:sz w:val="20"/>
          <w:szCs w:val="20"/>
        </w:rPr>
        <w:t>hemiceluloze</w:t>
      </w:r>
      <w:proofErr w:type="spellEnd"/>
      <w:r w:rsidRPr="00DB49B9">
        <w:rPr>
          <w:rFonts w:ascii="Arial" w:hAnsi="Arial" w:cs="Arial"/>
          <w:sz w:val="20"/>
          <w:szCs w:val="20"/>
        </w:rPr>
        <w:t>, kot so biomasa, pridobljena iz gozdov, gozdne energijske poljščine ter ostanki in odpadki iz gozdarstva;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f)</w:t>
      </w:r>
      <w:r w:rsidRPr="00DB49B9">
        <w:rPr>
          <w:rFonts w:ascii="Arial" w:hAnsi="Arial" w:cs="Arial"/>
          <w:b/>
          <w:sz w:val="20"/>
          <w:szCs w:val="20"/>
        </w:rPr>
        <w:t xml:space="preserve"> »neskladno </w:t>
      </w:r>
      <w:proofErr w:type="spellStart"/>
      <w:r w:rsidRPr="00DB49B9">
        <w:rPr>
          <w:rFonts w:ascii="Arial" w:hAnsi="Arial" w:cs="Arial"/>
          <w:b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« je </w:t>
      </w:r>
      <w:proofErr w:type="spellStart"/>
      <w:r w:rsidRPr="00DB49B9">
        <w:rPr>
          <w:rFonts w:ascii="Arial" w:hAnsi="Arial" w:cs="Arial"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ki ne izpolnjuje trajnostnih meril, določenih s predpisom, ki ureja trajnostna merila za 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emisijo toplogrednih plinov v življenjskem ciklu goriv v prometu;</w:t>
      </w:r>
      <w:r w:rsidRPr="00DB49B9" w:rsidDel="0016760E">
        <w:rPr>
          <w:rFonts w:ascii="Arial" w:hAnsi="Arial" w:cs="Arial"/>
          <w:b/>
          <w:sz w:val="20"/>
          <w:szCs w:val="20"/>
        </w:rPr>
        <w:t xml:space="preserve"> 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g)</w:t>
      </w:r>
      <w:r w:rsidRPr="00DB49B9">
        <w:rPr>
          <w:rFonts w:ascii="Arial" w:hAnsi="Arial" w:cs="Arial"/>
          <w:b/>
          <w:sz w:val="20"/>
          <w:szCs w:val="20"/>
        </w:rPr>
        <w:t xml:space="preserve"> »neživilska celuloza«</w:t>
      </w:r>
      <w:r w:rsidRPr="00DB49B9">
        <w:rPr>
          <w:rFonts w:ascii="Arial" w:hAnsi="Arial" w:cs="Arial"/>
          <w:sz w:val="20"/>
          <w:szCs w:val="20"/>
        </w:rPr>
        <w:t xml:space="preserve"> pomeni surovine, ki so pretežno sestavljene iz celuloze in </w:t>
      </w:r>
      <w:proofErr w:type="spellStart"/>
      <w:r w:rsidRPr="00DB49B9">
        <w:rPr>
          <w:rFonts w:ascii="Arial" w:hAnsi="Arial" w:cs="Arial"/>
          <w:sz w:val="20"/>
          <w:szCs w:val="20"/>
        </w:rPr>
        <w:t>hemiceluloze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ter imajo nižjo vsebnost lignina kot lesna celuloza; vključuje ostanke poljščin, ki se uporabljajo za živila in krmo (kot so slama, koruzna stebla, ličje in lupine), travnate energijske poljščine z nizko vsebnostjo škroba (kot so ljuljka, proso, </w:t>
      </w:r>
      <w:proofErr w:type="spellStart"/>
      <w:r w:rsidRPr="00DB49B9">
        <w:rPr>
          <w:rFonts w:ascii="Arial" w:hAnsi="Arial" w:cs="Arial"/>
          <w:sz w:val="20"/>
          <w:szCs w:val="20"/>
        </w:rPr>
        <w:t>miskant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navadna kanela ter </w:t>
      </w:r>
      <w:proofErr w:type="spellStart"/>
      <w:r w:rsidRPr="00DB49B9">
        <w:rPr>
          <w:rFonts w:ascii="Arial" w:hAnsi="Arial" w:cs="Arial"/>
          <w:sz w:val="20"/>
          <w:szCs w:val="20"/>
        </w:rPr>
        <w:t>pokrovne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poljščine pred glavnimi poljščinami in za njimi), industrijske ostanke (vključno z ostanki poljščin, ki se uporabljajo za živila in krmo, potem ko so bili izločeni rastlinska olja, sladkorji, škrob in proteini) in materiale iz bioloških odpadkov;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lastRenderedPageBreak/>
        <w:t>h) »</w:t>
      </w:r>
      <w:r w:rsidRPr="00DB49B9">
        <w:rPr>
          <w:rFonts w:ascii="Arial" w:hAnsi="Arial" w:cs="Arial"/>
          <w:b/>
          <w:sz w:val="20"/>
          <w:szCs w:val="20"/>
        </w:rPr>
        <w:t>obnovljivo tekoče in plinasto gorivo nebiološkega izvora, namenjeno uporabi v prometu</w:t>
      </w:r>
      <w:r w:rsidRPr="00DB49B9">
        <w:rPr>
          <w:rFonts w:ascii="Arial" w:hAnsi="Arial" w:cs="Arial"/>
          <w:sz w:val="20"/>
          <w:szCs w:val="20"/>
        </w:rPr>
        <w:t xml:space="preserve">« je tekoče ali plinasto gorivo, ki ni </w:t>
      </w:r>
      <w:proofErr w:type="spellStart"/>
      <w:r w:rsidRPr="00DB49B9">
        <w:rPr>
          <w:rFonts w:ascii="Arial" w:hAnsi="Arial" w:cs="Arial"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katerega energijska vsebnost izhaja iz obnovljivih virov energije, ki ni biomasa, ter se uporablja v prometu;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i)</w:t>
      </w:r>
      <w:r w:rsidRPr="00DB49B9">
        <w:rPr>
          <w:rFonts w:ascii="Arial" w:hAnsi="Arial" w:cs="Arial"/>
          <w:b/>
          <w:sz w:val="20"/>
          <w:szCs w:val="20"/>
        </w:rPr>
        <w:t xml:space="preserve"> »obnovljivi viri energije v prometu« </w:t>
      </w:r>
      <w:r w:rsidRPr="00DB49B9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>, električna energija iz obnovljivih virov energije, vodik iz obnovljivih virov energije in drugi obnovljivi viri energije;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j)</w:t>
      </w:r>
      <w:r w:rsidRPr="00DB49B9">
        <w:rPr>
          <w:rFonts w:ascii="Arial" w:hAnsi="Arial" w:cs="Arial"/>
          <w:b/>
          <w:sz w:val="20"/>
          <w:szCs w:val="20"/>
        </w:rPr>
        <w:t xml:space="preserve"> »odpadki«</w:t>
      </w:r>
      <w:r w:rsidRPr="00DB49B9">
        <w:rPr>
          <w:rFonts w:ascii="Arial" w:hAnsi="Arial" w:cs="Arial"/>
          <w:sz w:val="20"/>
          <w:szCs w:val="20"/>
        </w:rPr>
        <w:t xml:space="preserve"> so odpadki, kot so opredeljeni v Uredbi o odpadkih (Uradni list RS, št. 37/15 in 69/15);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k)</w:t>
      </w:r>
      <w:r w:rsidRPr="00DB49B9">
        <w:rPr>
          <w:rFonts w:ascii="Arial" w:hAnsi="Arial" w:cs="Arial"/>
          <w:b/>
          <w:sz w:val="20"/>
          <w:szCs w:val="20"/>
        </w:rPr>
        <w:t xml:space="preserve"> »poljščine z visoko vsebnostjo škroba«</w:t>
      </w:r>
      <w:r w:rsidRPr="00DB49B9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DB49B9">
        <w:rPr>
          <w:rFonts w:ascii="Arial" w:hAnsi="Arial" w:cs="Arial"/>
          <w:sz w:val="20"/>
          <w:szCs w:val="20"/>
        </w:rPr>
        <w:t>žitarice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(ne glede na to, ali se uporabijo zrna ali cela rastlina, kot v primeru silažne koruze), gomoljnice in korenovke (kot so krompir, topinambur, sladki krompir, maniok in jam) ter stebelne gomoljnice (kot sta </w:t>
      </w:r>
      <w:proofErr w:type="spellStart"/>
      <w:r w:rsidRPr="00DB49B9">
        <w:rPr>
          <w:rFonts w:ascii="Arial" w:hAnsi="Arial" w:cs="Arial"/>
          <w:sz w:val="20"/>
          <w:szCs w:val="20"/>
        </w:rPr>
        <w:t>kolokazija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49B9">
        <w:rPr>
          <w:rFonts w:ascii="Arial" w:hAnsi="Arial" w:cs="Arial"/>
          <w:sz w:val="20"/>
          <w:szCs w:val="20"/>
        </w:rPr>
        <w:t>malanga</w:t>
      </w:r>
      <w:proofErr w:type="spellEnd"/>
      <w:r w:rsidRPr="00DB49B9">
        <w:rPr>
          <w:rFonts w:ascii="Arial" w:hAnsi="Arial" w:cs="Arial"/>
          <w:sz w:val="20"/>
          <w:szCs w:val="20"/>
        </w:rPr>
        <w:t>);</w:t>
      </w: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l)</w:t>
      </w:r>
      <w:r w:rsidRPr="00DB49B9">
        <w:rPr>
          <w:rFonts w:ascii="Arial" w:hAnsi="Arial" w:cs="Arial"/>
          <w:b/>
          <w:sz w:val="20"/>
          <w:szCs w:val="20"/>
        </w:rPr>
        <w:t xml:space="preserve"> »promet«</w:t>
      </w:r>
      <w:r w:rsidRPr="00DB49B9">
        <w:rPr>
          <w:rFonts w:ascii="Arial" w:hAnsi="Arial" w:cs="Arial"/>
          <w:sz w:val="20"/>
          <w:szCs w:val="20"/>
        </w:rPr>
        <w:t xml:space="preserve"> obsega vsa cestna vozila in </w:t>
      </w:r>
      <w:proofErr w:type="spellStart"/>
      <w:r w:rsidRPr="00DB49B9">
        <w:rPr>
          <w:rFonts w:ascii="Arial" w:hAnsi="Arial" w:cs="Arial"/>
          <w:sz w:val="20"/>
          <w:szCs w:val="20"/>
        </w:rPr>
        <w:t>necestno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mobilno mehanizacijo, vključno s tirnimi vozili, plovili za celinske plovne poti in plovili za rekreacijo, ko niso na morju, zračnimi vozili na letalski bencin ter kmetijskimi in gozdarskimi traktorji;</w:t>
      </w:r>
    </w:p>
    <w:p w:rsidR="00EE7BB7" w:rsidRPr="00DB49B9" w:rsidRDefault="00EE7BB7" w:rsidP="00EE7BB7">
      <w:pPr>
        <w:jc w:val="both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m)</w:t>
      </w:r>
      <w:r w:rsidRPr="00DB49B9">
        <w:rPr>
          <w:rFonts w:ascii="Arial" w:hAnsi="Arial" w:cs="Arial"/>
          <w:b/>
          <w:sz w:val="20"/>
          <w:szCs w:val="20"/>
        </w:rPr>
        <w:t xml:space="preserve"> »skladno </w:t>
      </w:r>
      <w:proofErr w:type="spellStart"/>
      <w:r w:rsidRPr="00DB49B9">
        <w:rPr>
          <w:rFonts w:ascii="Arial" w:hAnsi="Arial" w:cs="Arial"/>
          <w:b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b/>
          <w:sz w:val="20"/>
          <w:szCs w:val="20"/>
        </w:rPr>
        <w:t xml:space="preserve">« </w:t>
      </w:r>
      <w:r w:rsidRPr="00DB49B9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DB49B9">
        <w:rPr>
          <w:rFonts w:ascii="Arial" w:hAnsi="Arial" w:cs="Arial"/>
          <w:sz w:val="20"/>
          <w:szCs w:val="20"/>
        </w:rPr>
        <w:t>biogorivo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ki izpolnjuje trajnostna merila, določena s predpisom, ki ureja trajnostna merila za 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emisijo toplogrednih plinov v življenjskem ciklu goriv v prometu</w:t>
      </w:r>
      <w:r w:rsidRPr="002A3E1E">
        <w:rPr>
          <w:rFonts w:ascii="Arial" w:hAnsi="Arial" w:cs="Arial"/>
          <w:sz w:val="20"/>
          <w:szCs w:val="20"/>
        </w:rPr>
        <w:t>.</w:t>
      </w:r>
    </w:p>
    <w:p w:rsidR="00EE7BB7" w:rsidRDefault="00EE7BB7" w:rsidP="00EE7B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4.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(obveznosti distributerjev)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Distributer goriv mora pri prodaji goriv in električne energije za uporabo v prometu v posameznem koledarskem letu dosegati energijski delež obnovljivih virov energije v prometu, kot je določen z Akcijskim načrtom za obnovljive vire energije za obdobje 2010–2020, pri čemer so skupni energijski deleži obnovljivih virov energije v prometu po posameznih letih naslednji:</w:t>
      </w:r>
    </w:p>
    <w:p w:rsidR="00EE7BB7" w:rsidRPr="00DB49B9" w:rsidRDefault="00EE7BB7" w:rsidP="00AC62FA">
      <w:pPr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v letu 2017 – najmanj 6,20 %, </w:t>
      </w:r>
    </w:p>
    <w:p w:rsidR="00EE7BB7" w:rsidRPr="00DB49B9" w:rsidRDefault="00EE7BB7" w:rsidP="00AC62FA">
      <w:pPr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v letu 2018 – najmanj 7,00 %, </w:t>
      </w:r>
    </w:p>
    <w:p w:rsidR="00EE7BB7" w:rsidRPr="00DB49B9" w:rsidRDefault="00EE7BB7" w:rsidP="00AC62FA">
      <w:pPr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v letu 2019 – najmanj 8,40 %, </w:t>
      </w:r>
    </w:p>
    <w:p w:rsidR="00EE7BB7" w:rsidRPr="00DB49B9" w:rsidRDefault="00EE7BB7" w:rsidP="00AC62FA">
      <w:pPr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v letu 2020 – najmanj 10,00 %.</w:t>
      </w:r>
    </w:p>
    <w:p w:rsidR="00EE7BB7" w:rsidRPr="00DB49B9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5.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(načini za dosego energijskega deleža obnovljivih virov energije v prometu)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120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Energijski delež obnovljivih virov energije v prometu iz prejšnjega člena te uredbe distributer goriv doseže s prodajo:</w:t>
      </w:r>
    </w:p>
    <w:p w:rsidR="00EE7BB7" w:rsidRPr="00DB49B9" w:rsidRDefault="00EE7BB7" w:rsidP="00AC62FA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skladnih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>;</w:t>
      </w:r>
    </w:p>
    <w:p w:rsidR="00EE7BB7" w:rsidRPr="00DB49B9" w:rsidRDefault="00EE7BB7" w:rsidP="00AC62FA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električne energije iz obnovljivih virov;</w:t>
      </w:r>
    </w:p>
    <w:p w:rsidR="00EE7BB7" w:rsidRPr="00DB49B9" w:rsidRDefault="00EE7BB7" w:rsidP="00AC62FA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vodika iz obnovljivih virov in </w:t>
      </w:r>
    </w:p>
    <w:p w:rsidR="00EE7BB7" w:rsidRPr="00DB49B9" w:rsidRDefault="00EE7BB7" w:rsidP="00AC62FA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kombinacije goriv iz prejšnjih alinej.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6.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 (izračun energijskega deleža obnovljivih virov energije v prometu)</w:t>
      </w:r>
    </w:p>
    <w:p w:rsidR="00EE7BB7" w:rsidRPr="00DB49B9" w:rsidRDefault="00EE7BB7" w:rsidP="00EE7BB7">
      <w:pPr>
        <w:pStyle w:val="Brezrazmikov"/>
        <w:ind w:left="120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pStyle w:val="Brezrazmikov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Energijski delež obnovljivih virov energije v prometu (v nadaljnjem besedilu: OVE-P) se izračuna kot količnik med energijo iz obnovljivih virov energije (v nadaljnjem besedilu: OVE), porabljeno v prometu, in energijo, porabljeno v prometu, po naslednji enačbi:</w:t>
      </w:r>
    </w:p>
    <w:p w:rsidR="00EE7BB7" w:rsidRPr="00DB49B9" w:rsidRDefault="00EE7BB7" w:rsidP="00EE7BB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Odstavekseznama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708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Energija iz OVE, porabljena v prometu</w:t>
      </w:r>
    </w:p>
    <w:p w:rsidR="00EE7BB7" w:rsidRPr="00DB49B9" w:rsidRDefault="00EE7BB7" w:rsidP="00EE7BB7">
      <w:pPr>
        <w:ind w:left="120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OVE-P = ----------------------------------------------------- </w:t>
      </w:r>
    </w:p>
    <w:p w:rsidR="00EE7BB7" w:rsidRPr="00DB49B9" w:rsidRDefault="00EE7BB7" w:rsidP="00EE7BB7">
      <w:pPr>
        <w:ind w:left="120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Energija, porabljena v prometu</w:t>
      </w:r>
    </w:p>
    <w:p w:rsidR="00EE7BB7" w:rsidRPr="00DB49B9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pri čemer je:</w:t>
      </w:r>
    </w:p>
    <w:p w:rsidR="00EE7BB7" w:rsidRPr="00DB49B9" w:rsidRDefault="00EE7BB7" w:rsidP="00AC62FA">
      <w:pPr>
        <w:numPr>
          <w:ilvl w:val="1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»energija iz OVE, porabljena v prometu«, izražena v </w:t>
      </w:r>
      <w:proofErr w:type="spellStart"/>
      <w:r w:rsidRPr="00DB49B9">
        <w:rPr>
          <w:rFonts w:ascii="Arial" w:hAnsi="Arial" w:cs="Arial"/>
          <w:sz w:val="20"/>
          <w:szCs w:val="20"/>
        </w:rPr>
        <w:t>joulih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(J) oziroma desetiškem večkratniku in opredeljena kot vsota naslednjih elementov:</w:t>
      </w:r>
    </w:p>
    <w:p w:rsidR="00EE7BB7" w:rsidRPr="00DB49B9" w:rsidRDefault="00EE7BB7" w:rsidP="00AC62FA">
      <w:pPr>
        <w:numPr>
          <w:ilvl w:val="2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skladnih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porabljenih v prometu, </w:t>
      </w:r>
    </w:p>
    <w:p w:rsidR="00EE7BB7" w:rsidRPr="00DB49B9" w:rsidRDefault="00EE7BB7" w:rsidP="00AC62FA">
      <w:pPr>
        <w:numPr>
          <w:ilvl w:val="2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električne energije, proizvedene iz obnovljivih virov in porabljene v prometu,</w:t>
      </w:r>
    </w:p>
    <w:p w:rsidR="00EE7BB7" w:rsidRPr="00DB49B9" w:rsidRDefault="00EE7BB7" w:rsidP="00AC62FA">
      <w:pPr>
        <w:numPr>
          <w:ilvl w:val="2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vodika iz obnovljivih virov, porabljenega v prometu;</w:t>
      </w:r>
    </w:p>
    <w:p w:rsidR="00EE7BB7" w:rsidRPr="00DB49B9" w:rsidRDefault="00EE7BB7" w:rsidP="00AC62FA">
      <w:pPr>
        <w:numPr>
          <w:ilvl w:val="1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lastRenderedPageBreak/>
        <w:t xml:space="preserve">»energija, porabljena v prometu«, izražena v </w:t>
      </w:r>
      <w:proofErr w:type="spellStart"/>
      <w:r w:rsidRPr="00DB49B9">
        <w:rPr>
          <w:rFonts w:ascii="Arial" w:hAnsi="Arial" w:cs="Arial"/>
          <w:sz w:val="20"/>
          <w:szCs w:val="20"/>
        </w:rPr>
        <w:t>joulih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(J) oziroma desetiškem večkratniku in opredeljena kot vsota naslednjih elementov:</w:t>
      </w:r>
    </w:p>
    <w:p w:rsidR="00EE7BB7" w:rsidRPr="00DB49B9" w:rsidRDefault="00EE7BB7" w:rsidP="00AC62FA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motornega in letalskega bencina, porabljenega v prometu;</w:t>
      </w:r>
    </w:p>
    <w:p w:rsidR="00EE7BB7" w:rsidRPr="00DB49B9" w:rsidRDefault="00EE7BB7" w:rsidP="00AC62FA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dizla, porabljenega v cestnem in železniškem prometu;</w:t>
      </w:r>
    </w:p>
    <w:p w:rsidR="00EE7BB7" w:rsidRPr="00DB49B9" w:rsidRDefault="00EE7BB7" w:rsidP="00AC62FA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>, porabljenih v cestnem in železniškem prometu;</w:t>
      </w:r>
    </w:p>
    <w:p w:rsidR="00EE7BB7" w:rsidRPr="00DB49B9" w:rsidRDefault="00EE7BB7" w:rsidP="00AC62FA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vodika iz obnovljivih virov, porabljenega v prometu;</w:t>
      </w:r>
    </w:p>
    <w:p w:rsidR="00EE7BB7" w:rsidRPr="00DB49B9" w:rsidRDefault="00EE7BB7" w:rsidP="00AC62FA">
      <w:pPr>
        <w:numPr>
          <w:ilvl w:val="0"/>
          <w:numId w:val="14"/>
        </w:numPr>
        <w:suppressAutoHyphens w:val="0"/>
        <w:spacing w:after="200" w:line="276" w:lineRule="auto"/>
        <w:ind w:left="2127" w:hanging="147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električne energije, porabljene v prometu, vključno z električno energijo, porabljeno za proizvodnjo obnovljivih tekočih in plinastih goriv nebiološkega izvora, namenjenih uporabi v prometu.</w:t>
      </w:r>
    </w:p>
    <w:p w:rsidR="00EE7BB7" w:rsidRPr="00DB49B9" w:rsidRDefault="00EE7BB7" w:rsidP="00AC62FA">
      <w:pPr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Energija, porabljena v prometu, ne vključuje utekočinjenega naftnega plina (UNP), kerozina za letalski promet ali drugega goriva, ki se uporablja za mednarodno plovbo.</w:t>
      </w:r>
    </w:p>
    <w:p w:rsidR="00EE7BB7" w:rsidRPr="00DB49B9" w:rsidRDefault="00EE7BB7" w:rsidP="00AC62FA">
      <w:pPr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Pri izračunu energijskega deleža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goriv se uporabljajo energijske vrednosti, ki jih določa predpis, ki določa trajnostna merila za 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emisijo toplogrednih plinov v življenjskem ciklu goriv v prometu. 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7.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(ukrepi za dosego energijskega deleža obnovljivih virov energije v prometu)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Pri izračunu energijskega deleža električne energije, pridobljene iz obnovljivih virov energije in porabljene v prometu, se uporabi povprečni energijski delež električne energije iz obnovljivih virov v državi ali Evropski uniji, izmerjen v drugem letu pred letom, za katero se energijski delež določa. Pri izračunu energijskega deleža porabe električne energije iz obnovljivih virov v železniškem prometu se energijska vrednost dovedene električne energije iz obnovljivih virov energije množi s faktorjem 2,5. Pri izračunu energijskega deleža porabe električne energije iz obnovljivih virov energije v električnih cestnih vozilih se energijska vrednost dovedene električne energije iz obnovljivih virov energije množi s faktorjem 5. </w:t>
      </w:r>
    </w:p>
    <w:p w:rsidR="00EE7BB7" w:rsidRPr="00DB49B9" w:rsidRDefault="00EE7BB7" w:rsidP="00AC62FA">
      <w:pPr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Ne glede na prejšnji odstavek se lahko za izračun energijskega deleža električne energije, pridobljene iz obnovljivih virov energije in porabljene v prometu, upošteva količina električne energije, za katero so pridobljena potrdila o izvoru. </w:t>
      </w:r>
    </w:p>
    <w:p w:rsidR="00EE7BB7" w:rsidRPr="00DB49B9" w:rsidRDefault="00EE7BB7" w:rsidP="00AC62FA">
      <w:pPr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Pri izračunu energijskega deleža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se energijska vrednost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>, proizvedenih iz surovin, navedenih v Prilogi I, ki je sestavni del te uredbe, množi s faktorjem 2.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8.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</w:t>
      </w: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>, proizvedena na kmetijskih zemljiščih)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Največji skupni energijski delež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tekočih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proizvedenih iz </w:t>
      </w:r>
      <w:proofErr w:type="spellStart"/>
      <w:r w:rsidRPr="00DB49B9">
        <w:rPr>
          <w:rFonts w:ascii="Arial" w:hAnsi="Arial" w:cs="Arial"/>
          <w:sz w:val="20"/>
          <w:szCs w:val="20"/>
        </w:rPr>
        <w:t>žitaric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poljščin z visoko vsebnostjo škroba, rastlin za pridelavo sladkorja, oljnic ter iz poljščin, ki se na kmetijskih zemljiščih pridelujejo kot glavne poljščine predvsem za energetske namene, leta 2020 </w:t>
      </w:r>
      <w:bookmarkStart w:id="4" w:name="OLE_LINK4"/>
      <w:bookmarkStart w:id="5" w:name="OLE_LINK5"/>
      <w:r w:rsidRPr="00DB49B9">
        <w:rPr>
          <w:rFonts w:ascii="Arial" w:hAnsi="Arial" w:cs="Arial"/>
          <w:sz w:val="20"/>
          <w:szCs w:val="20"/>
        </w:rPr>
        <w:t>ne sme presegati 7 % končne porabe energije v državi v prometu</w:t>
      </w:r>
      <w:bookmarkEnd w:id="4"/>
      <w:bookmarkEnd w:id="5"/>
      <w:r w:rsidRPr="00DB49B9">
        <w:rPr>
          <w:rFonts w:ascii="Arial" w:hAnsi="Arial" w:cs="Arial"/>
          <w:sz w:val="20"/>
          <w:szCs w:val="20"/>
        </w:rPr>
        <w:t xml:space="preserve">. </w:t>
      </w:r>
    </w:p>
    <w:p w:rsidR="00EE7BB7" w:rsidRPr="00DB49B9" w:rsidRDefault="00EE7BB7" w:rsidP="00AC62FA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B49B9">
        <w:rPr>
          <w:rFonts w:ascii="Arial" w:hAnsi="Arial" w:cs="Arial"/>
          <w:sz w:val="20"/>
          <w:szCs w:val="20"/>
        </w:rPr>
        <w:t>Biogoriva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proizvedena iz surovin, navedenih v Prilogi I k tej uredbi, se ne štejejo v največji skupni energijski delež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tekočih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iz prejšnjega odstavka.</w:t>
      </w:r>
    </w:p>
    <w:p w:rsidR="00EE7BB7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lastRenderedPageBreak/>
        <w:t>9.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(poročanje in preverjanje izpolnjevanja obveznosti distributerjev)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Distributer goriv poroča ministrstvu, pristojnemu za energijo, skladno s predpisom, ki ureja vrste in način posredovanja podatkov, ki jih zagotavljajo izvajalci energetskih dejavnosti in drugi zavezanci. </w:t>
      </w:r>
    </w:p>
    <w:p w:rsidR="00EE7BB7" w:rsidRPr="00DB49B9" w:rsidRDefault="00EE7BB7" w:rsidP="00EE7B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color w:val="000000"/>
          <w:sz w:val="20"/>
          <w:szCs w:val="20"/>
          <w:lang w:eastAsia="sl-SI"/>
        </w:rPr>
        <w:t>Ministrstvo, pristojno za energijo, na podlagi poročila distributerja goriv iz prejšnjega odstavka tega člena</w:t>
      </w:r>
      <w:r w:rsidRPr="00DB49B9">
        <w:rPr>
          <w:rFonts w:ascii="Arial" w:hAnsi="Arial" w:cs="Arial"/>
          <w:sz w:val="20"/>
          <w:szCs w:val="20"/>
        </w:rPr>
        <w:t xml:space="preserve"> preverja izpolnjevanje obveznosti distributerjev glede doseganja energijskega deleža obnovljivih virov energije v prometu iz 4. člena te uredbe.</w:t>
      </w:r>
    </w:p>
    <w:p w:rsidR="00EE7BB7" w:rsidRPr="00DB49B9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10.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(prenehanje veljavnosti in ustavitev postopkov)</w:t>
      </w:r>
    </w:p>
    <w:p w:rsidR="00EE7BB7" w:rsidRPr="00DB49B9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Z dnem uveljavitve te uredbe preneha veljati Uredba o pospeševanju uporabe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74/11).</w:t>
      </w:r>
    </w:p>
    <w:p w:rsidR="00EE7BB7" w:rsidRPr="00DB49B9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AC62F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Z dnem uveljavitve te uredbe prenehajo veljati odločbe o ugotovitvi izpolnjevanja obveznosti dajanja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na trg, ki so bile izdane na podlagi 10. člena Uredbe o pospeševanju uporabe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obnovljivih goriv za pogon motornih vozil (</w:t>
      </w:r>
      <w:bookmarkStart w:id="6" w:name="OLE_LINK6"/>
      <w:bookmarkStart w:id="7" w:name="OLE_LINK7"/>
      <w:r w:rsidRPr="00DB49B9">
        <w:rPr>
          <w:rFonts w:ascii="Arial" w:hAnsi="Arial" w:cs="Arial"/>
          <w:sz w:val="20"/>
          <w:szCs w:val="20"/>
        </w:rPr>
        <w:t>Uradni list RS, št. 103/07, 92/10 in 74/11</w:t>
      </w:r>
      <w:bookmarkEnd w:id="6"/>
      <w:bookmarkEnd w:id="7"/>
      <w:r w:rsidRPr="00DB49B9">
        <w:rPr>
          <w:rFonts w:ascii="Arial" w:hAnsi="Arial" w:cs="Arial"/>
          <w:sz w:val="20"/>
          <w:szCs w:val="20"/>
        </w:rPr>
        <w:t xml:space="preserve">). </w:t>
      </w:r>
    </w:p>
    <w:p w:rsidR="00EE7BB7" w:rsidRPr="00DB49B9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Default="00EE7BB7" w:rsidP="00AC62F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Postopki ugotavljanja izpolnjevanja obveznosti dajanja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na trg, začeti v skladu z Uredbo o pospeševanju uporabe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74/11), se z dnem uveljavitve te uredbe ustavijo.</w:t>
      </w:r>
    </w:p>
    <w:p w:rsidR="00EE7BB7" w:rsidRDefault="00EE7BB7" w:rsidP="00EE7BB7">
      <w:pPr>
        <w:pStyle w:val="Odstavekseznama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ind w:left="480"/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11. člen</w:t>
      </w:r>
    </w:p>
    <w:p w:rsidR="00EE7BB7" w:rsidRPr="00DB49B9" w:rsidRDefault="00EE7BB7" w:rsidP="00EE7BB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(uveljavitev uredbe)</w:t>
      </w:r>
    </w:p>
    <w:p w:rsidR="00EE7BB7" w:rsidRPr="00DB49B9" w:rsidRDefault="00EE7BB7" w:rsidP="00EE7BB7">
      <w:pPr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Ta uredba začne veljati naslednji dan po objavi v Uradnem listu Republike Slovenije, uporabljati pa se začne 1. januarja 2017.</w:t>
      </w:r>
    </w:p>
    <w:p w:rsidR="00EE7BB7" w:rsidRPr="00DB49B9" w:rsidRDefault="00EE7BB7" w:rsidP="00EE7BB7">
      <w:pPr>
        <w:pStyle w:val="Brezrazmikov"/>
      </w:pPr>
    </w:p>
    <w:p w:rsidR="00EE7BB7" w:rsidRPr="00DB49B9" w:rsidRDefault="00EE7BB7" w:rsidP="00EE7BB7">
      <w:pPr>
        <w:pStyle w:val="Brezrazmikov"/>
      </w:pPr>
    </w:p>
    <w:p w:rsidR="00EE7BB7" w:rsidRPr="00DB49B9" w:rsidRDefault="00EE7BB7" w:rsidP="00EE7BB7">
      <w:pPr>
        <w:pStyle w:val="Brezrazmikov"/>
      </w:pPr>
    </w:p>
    <w:p w:rsidR="00EE7BB7" w:rsidRPr="00DB49B9" w:rsidRDefault="00EE7BB7" w:rsidP="00EE7BB7">
      <w:pPr>
        <w:pStyle w:val="Brezrazmikov"/>
      </w:pPr>
    </w:p>
    <w:p w:rsidR="00EE7BB7" w:rsidRPr="00DB49B9" w:rsidRDefault="00EE7BB7" w:rsidP="00EE7BB7">
      <w:pPr>
        <w:pStyle w:val="Brezrazmikov"/>
        <w:rPr>
          <w:rFonts w:ascii="Arial" w:hAnsi="Arial" w:cs="Arial"/>
          <w:sz w:val="20"/>
          <w:szCs w:val="20"/>
        </w:rPr>
      </w:pPr>
      <w:bookmarkStart w:id="8" w:name="OLE_LINK8"/>
      <w:bookmarkStart w:id="9" w:name="OLE_LINK9"/>
      <w:r w:rsidRPr="00DB49B9">
        <w:rPr>
          <w:rFonts w:ascii="Arial" w:hAnsi="Arial" w:cs="Arial"/>
          <w:sz w:val="20"/>
          <w:szCs w:val="20"/>
        </w:rPr>
        <w:t>Št. 007-16/2015</w:t>
      </w:r>
    </w:p>
    <w:p w:rsidR="00EE7BB7" w:rsidRPr="00DB49B9" w:rsidRDefault="00EE7BB7" w:rsidP="00EE7BB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Ljubljana, dne 23</w:t>
      </w:r>
      <w:r w:rsidRPr="00DB49B9">
        <w:rPr>
          <w:rFonts w:ascii="Arial" w:hAnsi="Arial" w:cs="Arial"/>
          <w:sz w:val="20"/>
          <w:szCs w:val="20"/>
        </w:rPr>
        <w:t>. septembra 2016</w:t>
      </w:r>
    </w:p>
    <w:p w:rsidR="00EE7BB7" w:rsidRPr="00DB49B9" w:rsidRDefault="00EE7BB7" w:rsidP="00EE7BB7">
      <w:pPr>
        <w:pStyle w:val="Brezrazmikov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EVA 2014-2430-0023</w:t>
      </w:r>
    </w:p>
    <w:p w:rsidR="00EE7BB7" w:rsidRPr="00DB49B9" w:rsidRDefault="00EE7BB7" w:rsidP="00EE7BB7">
      <w:pPr>
        <w:pStyle w:val="Brezrazmikov"/>
        <w:rPr>
          <w:sz w:val="20"/>
          <w:szCs w:val="20"/>
        </w:rPr>
      </w:pPr>
    </w:p>
    <w:p w:rsidR="00EE7BB7" w:rsidRPr="00DB49B9" w:rsidRDefault="00EE7BB7" w:rsidP="00EE7BB7">
      <w:pPr>
        <w:pStyle w:val="Brezrazmikov"/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ab/>
        <w:t>Vlada Republike Slovenije</w:t>
      </w:r>
    </w:p>
    <w:p w:rsidR="00EE7BB7" w:rsidRPr="00DB49B9" w:rsidRDefault="00EE7BB7" w:rsidP="00EE7BB7">
      <w:pPr>
        <w:pStyle w:val="Brezrazmikov"/>
        <w:tabs>
          <w:tab w:val="center" w:pos="6521"/>
        </w:tabs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 </w:t>
      </w:r>
      <w:r w:rsidRPr="00DB49B9">
        <w:rPr>
          <w:rFonts w:ascii="Arial" w:hAnsi="Arial" w:cs="Arial"/>
          <w:sz w:val="20"/>
          <w:szCs w:val="20"/>
        </w:rPr>
        <w:tab/>
        <w:t>dr. Miro Cerar</w:t>
      </w:r>
    </w:p>
    <w:p w:rsidR="00EE7BB7" w:rsidRPr="00DB49B9" w:rsidRDefault="00EE7BB7" w:rsidP="00EE7BB7">
      <w:pPr>
        <w:pStyle w:val="Brezrazmikov"/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DB49B9">
        <w:rPr>
          <w:rFonts w:ascii="Arial" w:hAnsi="Arial" w:cs="Arial"/>
          <w:b/>
          <w:sz w:val="20"/>
          <w:szCs w:val="20"/>
        </w:rPr>
        <w:tab/>
      </w:r>
      <w:r w:rsidRPr="00DB49B9">
        <w:rPr>
          <w:rFonts w:ascii="Arial" w:hAnsi="Arial" w:cs="Arial"/>
          <w:sz w:val="20"/>
          <w:szCs w:val="20"/>
        </w:rPr>
        <w:t>predsednik</w:t>
      </w:r>
    </w:p>
    <w:p w:rsidR="00EE7BB7" w:rsidRPr="00DB49B9" w:rsidRDefault="00EE7BB7" w:rsidP="00EE7BB7">
      <w:pPr>
        <w:ind w:left="360"/>
        <w:jc w:val="center"/>
        <w:rPr>
          <w:rFonts w:ascii="Arial" w:hAnsi="Arial" w:cs="Arial"/>
          <w:sz w:val="20"/>
          <w:szCs w:val="20"/>
        </w:rPr>
      </w:pPr>
    </w:p>
    <w:bookmarkEnd w:id="8"/>
    <w:bookmarkEnd w:id="9"/>
    <w:p w:rsidR="00EE7BB7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br w:type="page"/>
      </w:r>
      <w:r w:rsidRPr="00DB49B9">
        <w:rPr>
          <w:rFonts w:ascii="Arial" w:hAnsi="Arial" w:cs="Arial"/>
          <w:b/>
          <w:sz w:val="20"/>
          <w:szCs w:val="20"/>
        </w:rPr>
        <w:lastRenderedPageBreak/>
        <w:t>PRILOGA I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:rsidR="00EE7BB7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>Del A: Surovine, katerih prispevek k skupnemu deležu obnovljivih virov v prometu se šteje kot dvakratna vrednost njihove energijske vsebnosti: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(a) alge, če so gojene na zemljiščih v bazenih ali </w:t>
      </w:r>
      <w:proofErr w:type="spellStart"/>
      <w:r w:rsidRPr="00DB49B9">
        <w:rPr>
          <w:rFonts w:ascii="Arial" w:hAnsi="Arial" w:cs="Arial"/>
          <w:sz w:val="20"/>
          <w:szCs w:val="20"/>
        </w:rPr>
        <w:t>fotobioreaktorjih</w:t>
      </w:r>
      <w:proofErr w:type="spellEnd"/>
      <w:r w:rsidRPr="00DB49B9">
        <w:rPr>
          <w:rFonts w:ascii="Arial" w:hAnsi="Arial" w:cs="Arial"/>
          <w:sz w:val="20"/>
          <w:szCs w:val="20"/>
        </w:rPr>
        <w:t>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(b) </w:t>
      </w:r>
      <w:proofErr w:type="spellStart"/>
      <w:r w:rsidRPr="00DB49B9">
        <w:rPr>
          <w:rFonts w:ascii="Arial" w:hAnsi="Arial" w:cs="Arial"/>
          <w:sz w:val="20"/>
          <w:szCs w:val="20"/>
        </w:rPr>
        <w:t>biomasni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del mešanih komunalnih odpadkov, vendar ne ločenih gospodinjskih odpadkov, za katere veljajo cilji recikliranja iz Direktive 2008/98/ES;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(c) biološki odpadki iz gospodinjstev, za katere velja ločeno zbiranje, kot je opredeljeno v Uredbi o odpadkih (Uradni list RS, št. 37/15 in 69/15);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(č) </w:t>
      </w:r>
      <w:proofErr w:type="spellStart"/>
      <w:r w:rsidRPr="00DB49B9">
        <w:rPr>
          <w:rFonts w:ascii="Arial" w:hAnsi="Arial" w:cs="Arial"/>
          <w:sz w:val="20"/>
          <w:szCs w:val="20"/>
        </w:rPr>
        <w:t>biomasni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del industrijskih odpadkov, ki ni primeren za uporabo v prehranski ali krmni verigi, vključno z materialom iz malo- in veleprodaje ter živilskopredelovalne, ribiške in </w:t>
      </w:r>
      <w:proofErr w:type="spellStart"/>
      <w:r w:rsidRPr="00DB49B9">
        <w:rPr>
          <w:rFonts w:ascii="Arial" w:hAnsi="Arial" w:cs="Arial"/>
          <w:sz w:val="20"/>
          <w:szCs w:val="20"/>
        </w:rPr>
        <w:t>akvakulturne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industrije, razen surovin s seznama v delu B te priloge;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(d) slama;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(e) živalski gnoj in blato iz čistilnih naprav;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(f) odplake iz proizvodnje palmovega olja in prazni grozdi palmovih sadežev;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(g) smola </w:t>
      </w:r>
      <w:proofErr w:type="spellStart"/>
      <w:r w:rsidRPr="00DB49B9">
        <w:rPr>
          <w:rFonts w:ascii="Arial" w:hAnsi="Arial" w:cs="Arial"/>
          <w:sz w:val="20"/>
          <w:szCs w:val="20"/>
        </w:rPr>
        <w:t>talovega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olja;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(h) surovi glicerin;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(i) odpadki sladkornega trsa;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(j) grozdne tropine in vinske droži;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(k) orehove lupine;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(l) pleve in luske;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(m) koruzni storži brez jedra;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 xml:space="preserve">(n) </w:t>
      </w:r>
      <w:proofErr w:type="spellStart"/>
      <w:r w:rsidRPr="00DB49B9">
        <w:rPr>
          <w:rFonts w:ascii="Arial" w:hAnsi="Arial" w:cs="Arial"/>
          <w:sz w:val="20"/>
          <w:szCs w:val="20"/>
        </w:rPr>
        <w:t>biomasni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del odpadkov in ostankov iz gozdarstva in z njim povezanih panog, kot so lubje, veje, </w:t>
      </w:r>
      <w:proofErr w:type="spellStart"/>
      <w:r w:rsidRPr="00DB49B9">
        <w:rPr>
          <w:rFonts w:ascii="Arial" w:hAnsi="Arial" w:cs="Arial"/>
          <w:sz w:val="20"/>
          <w:szCs w:val="20"/>
        </w:rPr>
        <w:t>predtržno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redčenje, listje, iglice, krošnje, žagovina, oblanci, črna </w:t>
      </w:r>
      <w:proofErr w:type="spellStart"/>
      <w:r w:rsidRPr="00DB49B9">
        <w:rPr>
          <w:rFonts w:ascii="Arial" w:hAnsi="Arial" w:cs="Arial"/>
          <w:sz w:val="20"/>
          <w:szCs w:val="20"/>
        </w:rPr>
        <w:t>lužina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sulfitna </w:t>
      </w:r>
      <w:proofErr w:type="spellStart"/>
      <w:r w:rsidRPr="00DB49B9">
        <w:rPr>
          <w:rFonts w:ascii="Arial" w:hAnsi="Arial" w:cs="Arial"/>
          <w:sz w:val="20"/>
          <w:szCs w:val="20"/>
        </w:rPr>
        <w:t>lužina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49B9">
        <w:rPr>
          <w:rFonts w:ascii="Arial" w:hAnsi="Arial" w:cs="Arial"/>
          <w:sz w:val="20"/>
          <w:szCs w:val="20"/>
        </w:rPr>
        <w:t>mulji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, ki vsebujejo vlakna, lignin in </w:t>
      </w:r>
      <w:proofErr w:type="spellStart"/>
      <w:r w:rsidRPr="00DB49B9">
        <w:rPr>
          <w:rFonts w:ascii="Arial" w:hAnsi="Arial" w:cs="Arial"/>
          <w:sz w:val="20"/>
          <w:szCs w:val="20"/>
        </w:rPr>
        <w:t>talovo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olje;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(o) neživilska celuloza;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(p) lesna celuloza, razen žaganih in furnirskih hlodov;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(r) obnovljiva tekoča in plinasta goriva nebiološkega izvora, namenjena uporabi v prometu;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(s) zajemanje ogljika in njegova uporaba v prometu, če gre za obnovljiv vir energije v skladu s točko (a) drugega odstavka 2. člena Direktive (EU) 2015/1513;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(š) bakterije, če gre za obnovljiv vir energije v skladu s točko (a) drugega odstavka 2. člena Direktive (EU) 2015/1513.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DB49B9">
        <w:rPr>
          <w:rFonts w:ascii="Arial" w:hAnsi="Arial" w:cs="Arial"/>
          <w:b/>
          <w:sz w:val="20"/>
          <w:szCs w:val="20"/>
        </w:rPr>
        <w:t>Del B: Surovine, katerih prispevek k skupnemu deležu obnovljivih virov v prometu se šteje kot dvakratna vrednost njihove energijske vsebnosti: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(a) rabljeno olje za kuhanje;</w:t>
      </w:r>
    </w:p>
    <w:p w:rsidR="00EE7BB7" w:rsidRPr="00DB49B9" w:rsidRDefault="00EE7BB7" w:rsidP="00EE7BB7">
      <w:pPr>
        <w:tabs>
          <w:tab w:val="left" w:pos="708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B49B9">
        <w:rPr>
          <w:rFonts w:ascii="Arial" w:hAnsi="Arial" w:cs="Arial"/>
          <w:sz w:val="20"/>
          <w:szCs w:val="20"/>
        </w:rPr>
        <w:t>(b) živalske maščobe, ki so razvrščene kot kategoriji 1 in 2 po Uredbi (ES) št. 1069/2009 Evropskega parlamenta in Sveta z dne 21. oktobra 2009 o določitvi zdravstvenih pravil za živalske stranske proizvode in pridobljene proizvode, ki niso namenjeni prehrani ljudi, ter razveljavitvi Uredbe (ES) št. 1774/2002 (UL L št. 300, z dne 14. 11. 2009, str. 1).</w:t>
      </w:r>
    </w:p>
    <w:p w:rsidR="00EE7BB7" w:rsidRPr="00DB49B9" w:rsidRDefault="00EE7BB7" w:rsidP="00EE7BB7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EE7BB7" w:rsidRPr="00AB3296" w:rsidRDefault="00EE7BB7" w:rsidP="00EE7BB7">
      <w:pPr>
        <w:pStyle w:val="Brezrazmikov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EE7BB7" w:rsidRPr="00A70CC3" w:rsidRDefault="00EE7BB7" w:rsidP="00EE7BB7">
      <w:pPr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A70CC3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EE7BB7" w:rsidRPr="00A70CC3" w:rsidRDefault="00EE7BB7" w:rsidP="00EE7BB7">
      <w:pPr>
        <w:rPr>
          <w:rFonts w:ascii="Arial" w:hAnsi="Arial" w:cs="Arial"/>
          <w:b/>
          <w:sz w:val="20"/>
          <w:szCs w:val="20"/>
        </w:rPr>
      </w:pPr>
    </w:p>
    <w:p w:rsidR="00EE7BB7" w:rsidRDefault="00EE7BB7" w:rsidP="00EE7BB7">
      <w:pPr>
        <w:rPr>
          <w:rFonts w:ascii="Arial" w:hAnsi="Arial" w:cs="Arial"/>
          <w:b/>
          <w:sz w:val="20"/>
          <w:szCs w:val="20"/>
        </w:rPr>
      </w:pPr>
    </w:p>
    <w:p w:rsidR="00EE7BB7" w:rsidRDefault="00EE7BB7" w:rsidP="00EE7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A70CC3">
        <w:rPr>
          <w:rFonts w:ascii="Arial" w:hAnsi="Arial" w:cs="Arial"/>
          <w:b/>
          <w:sz w:val="20"/>
          <w:szCs w:val="20"/>
        </w:rPr>
        <w:t>UVOD</w:t>
      </w:r>
    </w:p>
    <w:p w:rsidR="00EE7BB7" w:rsidRPr="00A70CC3" w:rsidRDefault="00EE7BB7" w:rsidP="00EE7BB7">
      <w:pPr>
        <w:ind w:left="1080"/>
        <w:rPr>
          <w:rFonts w:ascii="Arial" w:hAnsi="Arial" w:cs="Arial"/>
          <w:b/>
          <w:sz w:val="20"/>
          <w:szCs w:val="20"/>
        </w:rPr>
      </w:pPr>
    </w:p>
    <w:p w:rsidR="00EE7BB7" w:rsidRPr="008376A5" w:rsidRDefault="00EE7BB7" w:rsidP="00AC62FA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8376A5">
        <w:rPr>
          <w:rFonts w:ascii="Arial" w:hAnsi="Arial" w:cs="Arial"/>
          <w:b/>
          <w:sz w:val="20"/>
          <w:szCs w:val="20"/>
        </w:rPr>
        <w:t>Pravna podlaga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>Energetski zakon (Uradni list RS, št. 17/14</w:t>
      </w:r>
      <w:r>
        <w:rPr>
          <w:rFonts w:ascii="Arial" w:hAnsi="Arial" w:cs="Arial"/>
          <w:sz w:val="20"/>
          <w:szCs w:val="20"/>
        </w:rPr>
        <w:t xml:space="preserve"> in 81/15; v nadaljnjem besedilu: EZ-1</w:t>
      </w:r>
      <w:r w:rsidRPr="00A70CC3">
        <w:rPr>
          <w:rFonts w:ascii="Arial" w:hAnsi="Arial" w:cs="Arial"/>
          <w:sz w:val="20"/>
          <w:szCs w:val="20"/>
        </w:rPr>
        <w:t>) v prvem odstavku 380. člena določ</w:t>
      </w:r>
      <w:r>
        <w:rPr>
          <w:rFonts w:ascii="Arial" w:hAnsi="Arial" w:cs="Arial"/>
          <w:sz w:val="20"/>
          <w:szCs w:val="20"/>
        </w:rPr>
        <w:t>a</w:t>
      </w:r>
      <w:r w:rsidRPr="00A70CC3">
        <w:rPr>
          <w:rFonts w:ascii="Arial" w:hAnsi="Arial" w:cs="Arial"/>
          <w:sz w:val="20"/>
          <w:szCs w:val="20"/>
        </w:rPr>
        <w:t xml:space="preserve">, da morajo distributerji plinastih in tekočih goriv za promet dati v posameznem letu na trg </w:t>
      </w:r>
      <w:proofErr w:type="spellStart"/>
      <w:r w:rsidRPr="00A70CC3">
        <w:rPr>
          <w:rFonts w:ascii="Arial" w:hAnsi="Arial" w:cs="Arial"/>
          <w:sz w:val="20"/>
          <w:szCs w:val="20"/>
        </w:rPr>
        <w:t>biogoriva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ali druge obnovljive vire energije za promet v deležu, kot je določen v A</w:t>
      </w:r>
      <w:r>
        <w:rPr>
          <w:rFonts w:ascii="Arial" w:hAnsi="Arial" w:cs="Arial"/>
          <w:sz w:val="20"/>
          <w:szCs w:val="20"/>
        </w:rPr>
        <w:t xml:space="preserve">kcijskem načrtu za </w:t>
      </w:r>
      <w:r w:rsidRPr="00B83449">
        <w:rPr>
          <w:rFonts w:ascii="Arial" w:hAnsi="Arial" w:cs="Arial"/>
          <w:sz w:val="20"/>
          <w:szCs w:val="20"/>
        </w:rPr>
        <w:t xml:space="preserve">obnovljive vire </w:t>
      </w:r>
      <w:r>
        <w:rPr>
          <w:rFonts w:ascii="Arial" w:hAnsi="Arial" w:cs="Arial"/>
          <w:sz w:val="20"/>
          <w:szCs w:val="20"/>
        </w:rPr>
        <w:t xml:space="preserve">energije za obdobje </w:t>
      </w:r>
      <w:r w:rsidRPr="00B83449">
        <w:rPr>
          <w:rFonts w:ascii="Arial" w:hAnsi="Arial" w:cs="Arial"/>
          <w:sz w:val="20"/>
          <w:szCs w:val="20"/>
        </w:rPr>
        <w:t>2010-2020 (</w:t>
      </w:r>
      <w:r>
        <w:rPr>
          <w:rFonts w:ascii="Arial" w:hAnsi="Arial" w:cs="Arial"/>
          <w:sz w:val="20"/>
          <w:szCs w:val="20"/>
        </w:rPr>
        <w:t xml:space="preserve">v nadaljnjem besedilu: </w:t>
      </w:r>
      <w:r w:rsidRPr="00B83449">
        <w:rPr>
          <w:rFonts w:ascii="Arial" w:hAnsi="Arial" w:cs="Arial"/>
          <w:sz w:val="20"/>
          <w:szCs w:val="20"/>
        </w:rPr>
        <w:t>AN OVE)</w:t>
      </w:r>
      <w:r w:rsidRPr="00A70CC3">
        <w:rPr>
          <w:rFonts w:ascii="Arial" w:hAnsi="Arial" w:cs="Arial"/>
          <w:sz w:val="20"/>
          <w:szCs w:val="20"/>
        </w:rPr>
        <w:t xml:space="preserve"> iz 28. člena EZ-1. Nadalje je v drugem odstavku določeno, da vlada z uredbo določi mehanizme in ukrepe za izpolnjevanje in preverjanje izpolnjevanja obveznosti iz prvega odstavka.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AC62FA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A70CC3">
        <w:rPr>
          <w:rFonts w:ascii="Arial" w:hAnsi="Arial" w:cs="Arial"/>
          <w:b/>
          <w:sz w:val="20"/>
          <w:szCs w:val="20"/>
        </w:rPr>
        <w:t>Rok za izdajo predpisa, ki ga je določil zakon</w:t>
      </w:r>
    </w:p>
    <w:p w:rsidR="00EE7BB7" w:rsidRPr="008376A5" w:rsidRDefault="00EE7BB7" w:rsidP="00EE7BB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>Rok za izdajo predpisa je 12 mesecev po uveljavitvi  EZ-1 (23. 3. 2015).</w:t>
      </w:r>
    </w:p>
    <w:p w:rsidR="00EE7BB7" w:rsidRDefault="00EE7BB7" w:rsidP="00EE7BB7">
      <w:pPr>
        <w:jc w:val="both"/>
        <w:rPr>
          <w:rFonts w:ascii="Arial" w:hAnsi="Arial" w:cs="Arial"/>
          <w:b/>
          <w:sz w:val="20"/>
          <w:szCs w:val="20"/>
        </w:rPr>
      </w:pPr>
    </w:p>
    <w:p w:rsidR="00EE7BB7" w:rsidRPr="005960A7" w:rsidRDefault="00EE7BB7" w:rsidP="00AC62FA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A70CC3">
        <w:rPr>
          <w:rFonts w:ascii="Arial" w:hAnsi="Arial" w:cs="Arial"/>
          <w:b/>
          <w:sz w:val="20"/>
          <w:szCs w:val="20"/>
        </w:rPr>
        <w:t>Splošna obrazložitev</w:t>
      </w:r>
    </w:p>
    <w:p w:rsidR="00EE7BB7" w:rsidRPr="00A70CC3" w:rsidRDefault="00EE7BB7" w:rsidP="00EE7B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 xml:space="preserve">V AN OVE je določen </w:t>
      </w:r>
      <w:r>
        <w:rPr>
          <w:rFonts w:ascii="Arial" w:hAnsi="Arial" w:cs="Arial"/>
          <w:sz w:val="20"/>
          <w:szCs w:val="20"/>
        </w:rPr>
        <w:t>energijski delež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obnovljivih virov energije </w:t>
      </w:r>
      <w:r w:rsidRPr="00A70CC3">
        <w:rPr>
          <w:rFonts w:ascii="Arial" w:hAnsi="Arial" w:cs="Arial"/>
          <w:sz w:val="20"/>
          <w:szCs w:val="20"/>
        </w:rPr>
        <w:t>v prometu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virov energije</w:t>
      </w:r>
      <w:r>
        <w:rPr>
          <w:rFonts w:ascii="Arial" w:hAnsi="Arial" w:cs="Arial"/>
          <w:sz w:val="20"/>
          <w:szCs w:val="20"/>
        </w:rPr>
        <w:t>)</w:t>
      </w:r>
      <w:r w:rsidRPr="00A70CC3">
        <w:rPr>
          <w:rFonts w:ascii="Arial" w:hAnsi="Arial" w:cs="Arial"/>
          <w:sz w:val="20"/>
          <w:szCs w:val="20"/>
        </w:rPr>
        <w:t xml:space="preserve">, ki ga mora doseči </w:t>
      </w:r>
      <w:r>
        <w:rPr>
          <w:rFonts w:ascii="Arial" w:hAnsi="Arial" w:cs="Arial"/>
          <w:sz w:val="20"/>
          <w:szCs w:val="20"/>
        </w:rPr>
        <w:t>Republika Slovenija</w:t>
      </w:r>
      <w:r w:rsidRPr="00A70CC3">
        <w:rPr>
          <w:rFonts w:ascii="Arial" w:hAnsi="Arial" w:cs="Arial"/>
          <w:sz w:val="20"/>
          <w:szCs w:val="20"/>
        </w:rPr>
        <w:t xml:space="preserve">. S to uredbo je obveznost </w:t>
      </w:r>
      <w:r>
        <w:rPr>
          <w:rFonts w:ascii="Arial" w:hAnsi="Arial" w:cs="Arial"/>
          <w:sz w:val="20"/>
          <w:szCs w:val="20"/>
        </w:rPr>
        <w:t xml:space="preserve">doseganja energijskega deleža obnovljivih virov energije v prometu </w:t>
      </w:r>
      <w:r w:rsidRPr="00A70CC3">
        <w:rPr>
          <w:rFonts w:ascii="Arial" w:hAnsi="Arial" w:cs="Arial"/>
          <w:sz w:val="20"/>
          <w:szCs w:val="20"/>
        </w:rPr>
        <w:t>prenesena na distributerje tekočih goriv</w:t>
      </w:r>
      <w:r>
        <w:rPr>
          <w:rFonts w:ascii="Arial" w:hAnsi="Arial" w:cs="Arial"/>
          <w:sz w:val="20"/>
          <w:szCs w:val="20"/>
        </w:rPr>
        <w:t>, prav tako so v uredbi navedeni letni energijski deleži obnovljivih virov energije v prometu za leta od 2017 do 2020</w:t>
      </w:r>
      <w:r w:rsidRPr="00A70C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Energijski delež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obnovljivih virov energije v prometu</w:t>
      </w:r>
      <w:r w:rsidRPr="00A70CC3">
        <w:rPr>
          <w:rFonts w:ascii="Arial" w:hAnsi="Arial" w:cs="Arial"/>
          <w:sz w:val="20"/>
          <w:szCs w:val="20"/>
        </w:rPr>
        <w:t xml:space="preserve">, ki je za posamezna leta do 2020 določen v AN OVE je </w:t>
      </w:r>
      <w:r>
        <w:rPr>
          <w:rFonts w:ascii="Arial" w:hAnsi="Arial" w:cs="Arial"/>
          <w:sz w:val="20"/>
          <w:szCs w:val="20"/>
        </w:rPr>
        <w:t>nižji</w:t>
      </w:r>
      <w:r w:rsidRPr="00A70CC3">
        <w:rPr>
          <w:rFonts w:ascii="Arial" w:hAnsi="Arial" w:cs="Arial"/>
          <w:sz w:val="20"/>
          <w:szCs w:val="20"/>
        </w:rPr>
        <w:t xml:space="preserve">, kot je </w:t>
      </w:r>
      <w:r>
        <w:rPr>
          <w:rFonts w:ascii="Arial" w:hAnsi="Arial" w:cs="Arial"/>
          <w:sz w:val="20"/>
          <w:szCs w:val="20"/>
        </w:rPr>
        <w:t>določen za leto 2015 v trenutno še</w:t>
      </w:r>
      <w:r w:rsidRPr="00A70CC3">
        <w:rPr>
          <w:rFonts w:ascii="Arial" w:hAnsi="Arial" w:cs="Arial"/>
          <w:sz w:val="20"/>
          <w:szCs w:val="20"/>
        </w:rPr>
        <w:t xml:space="preserve"> veljavni Uredbi o pospeševanju uporabe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goriv za pogon motornih vozil (Ur. l. </w:t>
      </w:r>
      <w:r>
        <w:rPr>
          <w:rFonts w:ascii="Arial" w:hAnsi="Arial" w:cs="Arial"/>
          <w:sz w:val="20"/>
          <w:szCs w:val="20"/>
        </w:rPr>
        <w:t xml:space="preserve">RS, št. 103/07, 92/10 in 74/11), ki je za leto 2015 predvidevala 7,5 % energijski delež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glede na letno količino goriva, danega na trg za pogon motornih vozil. V predlogu nove uredbe je za leto 2017 predviden 6,20 % energijski delež obnovljivih virov energije v prometu.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predlogom uredbe se podrobneje določa zahteve 380. člena EZ-1, hkrati pa se delno prenaša določila Direktive 2009/28/ES </w:t>
      </w:r>
      <w:r w:rsidRPr="000C3DE3">
        <w:rPr>
          <w:rFonts w:ascii="Arial" w:hAnsi="Arial" w:cs="Arial"/>
          <w:sz w:val="20"/>
          <w:szCs w:val="20"/>
        </w:rPr>
        <w:t xml:space="preserve">Evropskega parlamenta in Sveta z dne 23. aprila 2009 o spodbujanju </w:t>
      </w:r>
      <w:r>
        <w:rPr>
          <w:rFonts w:ascii="Arial" w:hAnsi="Arial" w:cs="Arial"/>
          <w:sz w:val="20"/>
          <w:szCs w:val="20"/>
        </w:rPr>
        <w:t>uporabe energije iz obnovljivih virov, spremembi in poznejši razveljavitvi direktiv 2001/77/ES in 2003/30/ES (UL L št. 140 z dne 5. 6. 2009, str. 16, v</w:t>
      </w:r>
      <w:r w:rsidRPr="00F96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nadaljnjem besedilu: Direktiva 2009/28/ES) in  določila Direktive (EU) </w:t>
      </w:r>
      <w:r w:rsidRPr="00A70CC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</w:t>
      </w:r>
      <w:r w:rsidRPr="00A70CC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1516</w:t>
      </w:r>
      <w:r w:rsidRPr="00A70CC3">
        <w:rPr>
          <w:rFonts w:ascii="Arial" w:hAnsi="Arial" w:cs="Arial"/>
          <w:sz w:val="20"/>
          <w:szCs w:val="20"/>
        </w:rPr>
        <w:t xml:space="preserve"> Evrops</w:t>
      </w:r>
      <w:r>
        <w:rPr>
          <w:rFonts w:ascii="Arial" w:hAnsi="Arial" w:cs="Arial"/>
          <w:sz w:val="20"/>
          <w:szCs w:val="20"/>
        </w:rPr>
        <w:t>kega Parlamenta in Sveta z dne 9</w:t>
      </w:r>
      <w:r w:rsidRPr="00A70C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septembra</w:t>
      </w:r>
      <w:r w:rsidRPr="00A70CC3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15</w:t>
      </w:r>
      <w:r w:rsidRPr="00A70CC3">
        <w:rPr>
          <w:rFonts w:ascii="Arial" w:hAnsi="Arial" w:cs="Arial"/>
          <w:sz w:val="20"/>
          <w:szCs w:val="20"/>
        </w:rPr>
        <w:t xml:space="preserve"> o </w:t>
      </w:r>
      <w:r w:rsidRPr="00CD3F05">
        <w:rPr>
          <w:rFonts w:ascii="Arial" w:hAnsi="Arial" w:cs="Arial"/>
          <w:sz w:val="20"/>
          <w:szCs w:val="20"/>
        </w:rPr>
        <w:t>spremembi Direktive 98/70/ES o kakovosti motornega bencina in dizelskega goriva ter spremembi Direktive 2009/28/ES o spodbujanju uporabe energije iz obnovljivih virov</w:t>
      </w:r>
      <w:r>
        <w:rPr>
          <w:rFonts w:ascii="Arial" w:hAnsi="Arial" w:cs="Arial"/>
          <w:sz w:val="20"/>
          <w:szCs w:val="20"/>
        </w:rPr>
        <w:t xml:space="preserve"> (UL L št. 239 z dne 15. 9. 2015, str. 1, v nadaljnjem besedilu: Direktiva (EU) 2015/1513).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predlogom uredbe </w:t>
      </w:r>
      <w:r w:rsidRPr="00DA00CA">
        <w:rPr>
          <w:rFonts w:ascii="Arial" w:hAnsi="Arial" w:cs="Arial"/>
          <w:sz w:val="20"/>
          <w:szCs w:val="20"/>
        </w:rPr>
        <w:t xml:space="preserve">bo razveljavljena obstoječa Uredba o pospeševanju uporabe </w:t>
      </w:r>
      <w:proofErr w:type="spellStart"/>
      <w:r w:rsidRPr="00DA00CA">
        <w:rPr>
          <w:rFonts w:ascii="Arial" w:hAnsi="Arial" w:cs="Arial"/>
          <w:sz w:val="20"/>
          <w:szCs w:val="20"/>
        </w:rPr>
        <w:t>biogoriv</w:t>
      </w:r>
      <w:proofErr w:type="spellEnd"/>
      <w:r w:rsidRPr="00DA00CA"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</w:t>
      </w:r>
      <w:r>
        <w:rPr>
          <w:rFonts w:ascii="Arial" w:hAnsi="Arial" w:cs="Arial"/>
          <w:sz w:val="20"/>
          <w:szCs w:val="20"/>
        </w:rPr>
        <w:t xml:space="preserve">, ki je predpisovala obvezne energijske deleže letnih količin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do leta 2015</w:t>
      </w:r>
      <w:r w:rsidRPr="00DA00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Ministrstvo za okolje in prostor se strinja, da Ministrstvo za infrastrukturo s predlogom Uredbe o obnovljivih virih energije v prometu razveljavi Uredbo o pospeševanju uporabe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Predlagana uredba tudi ustavlja postopke, ki so bili pričeti na podlagi </w:t>
      </w:r>
      <w:r w:rsidRPr="00DA00CA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e</w:t>
      </w:r>
      <w:r w:rsidRPr="00DA00CA">
        <w:rPr>
          <w:rFonts w:ascii="Arial" w:hAnsi="Arial" w:cs="Arial"/>
          <w:sz w:val="20"/>
          <w:szCs w:val="20"/>
        </w:rPr>
        <w:t xml:space="preserve"> o pospeševanju uporabe </w:t>
      </w:r>
      <w:proofErr w:type="spellStart"/>
      <w:r w:rsidRPr="00DA00CA">
        <w:rPr>
          <w:rFonts w:ascii="Arial" w:hAnsi="Arial" w:cs="Arial"/>
          <w:sz w:val="20"/>
          <w:szCs w:val="20"/>
        </w:rPr>
        <w:t>biogoriv</w:t>
      </w:r>
      <w:proofErr w:type="spellEnd"/>
      <w:r w:rsidRPr="00DA00CA">
        <w:rPr>
          <w:rFonts w:ascii="Arial" w:hAnsi="Arial" w:cs="Arial"/>
          <w:sz w:val="20"/>
          <w:szCs w:val="20"/>
        </w:rPr>
        <w:t xml:space="preserve"> in drugih obnovljivih goriv za pogon motornih vozil</w:t>
      </w:r>
      <w:r>
        <w:rPr>
          <w:rFonts w:ascii="Arial" w:hAnsi="Arial" w:cs="Arial"/>
          <w:sz w:val="20"/>
          <w:szCs w:val="20"/>
        </w:rPr>
        <w:t xml:space="preserve"> in jih vodi Agencija RS za okolje. Prav tako prenehajo veljati odločbe o </w:t>
      </w:r>
      <w:r w:rsidRPr="00DB49B9">
        <w:rPr>
          <w:rFonts w:ascii="Arial" w:hAnsi="Arial" w:cs="Arial"/>
          <w:sz w:val="20"/>
          <w:szCs w:val="20"/>
        </w:rPr>
        <w:t xml:space="preserve">ugotovitvi izpolnjevanja obveznosti dajanja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na trg, ki so bile izdane na podlagi 10. člena Uredbe o pospeševanju uporabe </w:t>
      </w:r>
      <w:proofErr w:type="spellStart"/>
      <w:r w:rsidRPr="00DB49B9">
        <w:rPr>
          <w:rFonts w:ascii="Arial" w:hAnsi="Arial" w:cs="Arial"/>
          <w:sz w:val="20"/>
          <w:szCs w:val="20"/>
        </w:rPr>
        <w:t>biogoriv</w:t>
      </w:r>
      <w:proofErr w:type="spellEnd"/>
      <w:r w:rsidRPr="00DB49B9">
        <w:rPr>
          <w:rFonts w:ascii="Arial" w:hAnsi="Arial" w:cs="Arial"/>
          <w:sz w:val="20"/>
          <w:szCs w:val="20"/>
        </w:rPr>
        <w:t xml:space="preserve"> in drugih obnovljivih goriv za pogon motornih vozil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Pr="008376A5" w:rsidRDefault="00EE7BB7" w:rsidP="00AC62FA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8376A5">
        <w:rPr>
          <w:rFonts w:ascii="Arial" w:hAnsi="Arial" w:cs="Arial"/>
          <w:b/>
          <w:sz w:val="20"/>
          <w:szCs w:val="20"/>
        </w:rPr>
        <w:t>Predstavitev presoje posledic na posamezna področja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Predpisani energijski deleži OVE v prometu, ki jih mora Republika Slovenija doseči do leta 2020, in so določeni v AN OVE ter povzeti v 4. členu predloga uredbe, bodo imeli vpliv na prihodek distributerjev goriv. Vsebina predloga uredbe ne vpliva na državni proračun, saj v času sprejemanja uredbe ne bo nobenih olajšav pri obračunavanju trošarin na goriva, ki imajo primešana </w:t>
      </w:r>
      <w:proofErr w:type="spellStart"/>
      <w:r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 xml:space="preserve">. Nov Trošarinski zakon (Uradni list RS, št. 47/16) ne uvaja nobenih sprememb glede oprostitve plačevanja trošarine na primešana </w:t>
      </w:r>
      <w:proofErr w:type="spellStart"/>
      <w:r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3373">
        <w:rPr>
          <w:rFonts w:ascii="Arial" w:hAnsi="Arial" w:cs="Arial"/>
          <w:sz w:val="20"/>
          <w:szCs w:val="20"/>
        </w:rPr>
        <w:t xml:space="preserve">(vračilo trošarine za </w:t>
      </w:r>
      <w:proofErr w:type="spellStart"/>
      <w:r w:rsidRPr="00993373">
        <w:rPr>
          <w:rFonts w:ascii="Arial" w:hAnsi="Arial" w:cs="Arial"/>
          <w:sz w:val="20"/>
          <w:szCs w:val="20"/>
        </w:rPr>
        <w:t>biogoriva</w:t>
      </w:r>
      <w:proofErr w:type="spellEnd"/>
      <w:r w:rsidRPr="00993373">
        <w:rPr>
          <w:rFonts w:ascii="Arial" w:hAnsi="Arial" w:cs="Arial"/>
          <w:sz w:val="20"/>
          <w:szCs w:val="20"/>
        </w:rPr>
        <w:t xml:space="preserve"> je bilo za </w:t>
      </w:r>
      <w:r>
        <w:rPr>
          <w:rFonts w:ascii="Arial" w:hAnsi="Arial" w:cs="Arial"/>
          <w:sz w:val="20"/>
          <w:szCs w:val="20"/>
        </w:rPr>
        <w:t xml:space="preserve">goriva, ki imajo primešan delež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93373">
        <w:rPr>
          <w:rFonts w:ascii="Arial" w:hAnsi="Arial" w:cs="Arial"/>
          <w:sz w:val="20"/>
          <w:szCs w:val="20"/>
        </w:rPr>
        <w:t xml:space="preserve"> ukinjeno v </w:t>
      </w:r>
      <w:r>
        <w:rPr>
          <w:rFonts w:ascii="Arial" w:hAnsi="Arial" w:cs="Arial"/>
          <w:sz w:val="20"/>
          <w:szCs w:val="20"/>
        </w:rPr>
        <w:t xml:space="preserve">letu </w:t>
      </w:r>
      <w:r w:rsidRPr="00993373">
        <w:rPr>
          <w:rFonts w:ascii="Arial" w:hAnsi="Arial" w:cs="Arial"/>
          <w:sz w:val="20"/>
          <w:szCs w:val="20"/>
        </w:rPr>
        <w:t>2014)</w:t>
      </w:r>
      <w:r>
        <w:rPr>
          <w:rFonts w:ascii="Arial" w:hAnsi="Arial" w:cs="Arial"/>
          <w:sz w:val="20"/>
          <w:szCs w:val="20"/>
        </w:rPr>
        <w:t xml:space="preserve">. Prav </w:t>
      </w:r>
      <w:r>
        <w:rPr>
          <w:rFonts w:ascii="Arial" w:hAnsi="Arial" w:cs="Arial"/>
          <w:sz w:val="20"/>
          <w:szCs w:val="20"/>
        </w:rPr>
        <w:lastRenderedPageBreak/>
        <w:t xml:space="preserve">tako tudi ni sprejeta liberalizacija cen goriv, ki bi lahko povzročila dvig cen energentov in s tem posledično manjšo količino prodanih goriv oziroma manj prihodka od obračunanih trošarin na prodana goriva.  </w:t>
      </w:r>
    </w:p>
    <w:p w:rsidR="00EE7BB7" w:rsidRDefault="00EE7BB7" w:rsidP="00EE7BB7">
      <w:pPr>
        <w:ind w:left="66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 je trenutno</w:t>
      </w:r>
      <w:r w:rsidRPr="00993373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993373">
        <w:rPr>
          <w:rFonts w:ascii="Arial" w:hAnsi="Arial" w:cs="Arial"/>
          <w:sz w:val="20"/>
          <w:szCs w:val="20"/>
        </w:rPr>
        <w:t xml:space="preserve"> naftnih derivatov </w:t>
      </w:r>
      <w:r>
        <w:rPr>
          <w:rFonts w:ascii="Arial" w:hAnsi="Arial" w:cs="Arial"/>
          <w:sz w:val="20"/>
          <w:szCs w:val="20"/>
        </w:rPr>
        <w:t xml:space="preserve">še vedno </w:t>
      </w:r>
      <w:r w:rsidRPr="00993373">
        <w:rPr>
          <w:rFonts w:ascii="Arial" w:hAnsi="Arial" w:cs="Arial"/>
          <w:sz w:val="20"/>
          <w:szCs w:val="20"/>
        </w:rPr>
        <w:t>regul</w:t>
      </w:r>
      <w:r>
        <w:rPr>
          <w:rFonts w:ascii="Arial" w:hAnsi="Arial" w:cs="Arial"/>
          <w:sz w:val="20"/>
          <w:szCs w:val="20"/>
        </w:rPr>
        <w:t>irana</w:t>
      </w:r>
      <w:r w:rsidRPr="00993373">
        <w:rPr>
          <w:rFonts w:ascii="Arial" w:hAnsi="Arial" w:cs="Arial"/>
          <w:sz w:val="20"/>
          <w:szCs w:val="20"/>
        </w:rPr>
        <w:t xml:space="preserve"> in trošarinsk</w:t>
      </w:r>
      <w:r>
        <w:rPr>
          <w:rFonts w:ascii="Arial" w:hAnsi="Arial" w:cs="Arial"/>
          <w:sz w:val="20"/>
          <w:szCs w:val="20"/>
        </w:rPr>
        <w:t>a</w:t>
      </w:r>
      <w:r w:rsidRPr="00993373">
        <w:rPr>
          <w:rFonts w:ascii="Arial" w:hAnsi="Arial" w:cs="Arial"/>
          <w:sz w:val="20"/>
          <w:szCs w:val="20"/>
        </w:rPr>
        <w:t xml:space="preserve"> politik</w:t>
      </w:r>
      <w:r>
        <w:rPr>
          <w:rFonts w:ascii="Arial" w:hAnsi="Arial" w:cs="Arial"/>
          <w:sz w:val="20"/>
          <w:szCs w:val="20"/>
        </w:rPr>
        <w:t>a ostaja nespremenjena,</w:t>
      </w:r>
      <w:r w:rsidRPr="00993373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 xml:space="preserve">bo strošek </w:t>
      </w:r>
      <w:proofErr w:type="spellStart"/>
      <w:r>
        <w:rPr>
          <w:rFonts w:ascii="Arial" w:hAnsi="Arial" w:cs="Arial"/>
          <w:sz w:val="20"/>
          <w:szCs w:val="20"/>
        </w:rPr>
        <w:t>primešavanja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k fosilnim gorivom prenesel na </w:t>
      </w:r>
      <w:r w:rsidRPr="00993373">
        <w:rPr>
          <w:rFonts w:ascii="Arial" w:hAnsi="Arial" w:cs="Arial"/>
          <w:sz w:val="20"/>
          <w:szCs w:val="20"/>
        </w:rPr>
        <w:t xml:space="preserve">distributerje goriv. </w:t>
      </w:r>
      <w:r>
        <w:rPr>
          <w:rFonts w:ascii="Arial" w:hAnsi="Arial" w:cs="Arial"/>
          <w:sz w:val="20"/>
          <w:szCs w:val="20"/>
        </w:rPr>
        <w:t xml:space="preserve">Višina tega stroška bo predvidoma od 58 mio € v letu 2017 do 68 mio € v letu 2020, ko bo zahtevan energijski delež OVE v prometu 10 %, </w:t>
      </w:r>
      <w:r w:rsidRPr="00993373">
        <w:rPr>
          <w:rFonts w:ascii="Arial" w:hAnsi="Arial" w:cs="Arial"/>
          <w:sz w:val="20"/>
          <w:szCs w:val="20"/>
        </w:rPr>
        <w:t xml:space="preserve">ob predpostavki </w:t>
      </w:r>
      <w:r>
        <w:rPr>
          <w:rFonts w:ascii="Arial" w:hAnsi="Arial" w:cs="Arial"/>
          <w:sz w:val="20"/>
          <w:szCs w:val="20"/>
        </w:rPr>
        <w:t>da</w:t>
      </w:r>
      <w:r w:rsidRPr="00614548">
        <w:rPr>
          <w:rFonts w:ascii="Arial" w:hAnsi="Arial" w:cs="Arial"/>
          <w:sz w:val="20"/>
          <w:szCs w:val="20"/>
        </w:rPr>
        <w:t xml:space="preserve"> količin</w:t>
      </w:r>
      <w:r>
        <w:rPr>
          <w:rFonts w:ascii="Arial" w:hAnsi="Arial" w:cs="Arial"/>
          <w:sz w:val="20"/>
          <w:szCs w:val="20"/>
        </w:rPr>
        <w:t>a</w:t>
      </w:r>
      <w:r w:rsidRPr="00614548">
        <w:rPr>
          <w:rFonts w:ascii="Arial" w:hAnsi="Arial" w:cs="Arial"/>
          <w:sz w:val="20"/>
          <w:szCs w:val="20"/>
        </w:rPr>
        <w:t xml:space="preserve"> goriv pada 0,5 % vsako leto zaradi boljšega izkoristka goriv</w:t>
      </w:r>
      <w:r w:rsidRPr="00993373">
        <w:rPr>
          <w:rFonts w:ascii="Arial" w:hAnsi="Arial" w:cs="Arial"/>
          <w:sz w:val="20"/>
          <w:szCs w:val="20"/>
        </w:rPr>
        <w:t>. Ocena je narejena na predpostavki cen goriv na trgu v zadnji četrtini lanskega leta</w:t>
      </w:r>
      <w:r>
        <w:rPr>
          <w:rFonts w:ascii="Arial" w:hAnsi="Arial" w:cs="Arial"/>
          <w:sz w:val="20"/>
          <w:szCs w:val="20"/>
        </w:rPr>
        <w:t>,</w:t>
      </w:r>
      <w:r w:rsidRPr="00993373">
        <w:rPr>
          <w:rFonts w:ascii="Arial" w:hAnsi="Arial" w:cs="Arial"/>
          <w:sz w:val="20"/>
          <w:szCs w:val="20"/>
        </w:rPr>
        <w:t xml:space="preserve"> pri cenah </w:t>
      </w:r>
      <w:proofErr w:type="spellStart"/>
      <w:r w:rsidRPr="00993373">
        <w:rPr>
          <w:rFonts w:ascii="Arial" w:hAnsi="Arial" w:cs="Arial"/>
          <w:sz w:val="20"/>
          <w:szCs w:val="20"/>
        </w:rPr>
        <w:t>bioetanola</w:t>
      </w:r>
      <w:proofErr w:type="spellEnd"/>
      <w:r w:rsidRPr="009933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3373">
        <w:rPr>
          <w:rFonts w:ascii="Arial" w:hAnsi="Arial" w:cs="Arial"/>
          <w:sz w:val="20"/>
          <w:szCs w:val="20"/>
        </w:rPr>
        <w:t>biodizla</w:t>
      </w:r>
      <w:proofErr w:type="spellEnd"/>
      <w:r w:rsidRPr="00993373">
        <w:rPr>
          <w:rFonts w:ascii="Arial" w:hAnsi="Arial" w:cs="Arial"/>
          <w:sz w:val="20"/>
          <w:szCs w:val="20"/>
        </w:rPr>
        <w:t xml:space="preserve"> za 75 % višjih od cene bencina oz</w:t>
      </w:r>
      <w:r>
        <w:rPr>
          <w:rFonts w:ascii="Arial" w:hAnsi="Arial" w:cs="Arial"/>
          <w:sz w:val="20"/>
          <w:szCs w:val="20"/>
        </w:rPr>
        <w:t>iroma</w:t>
      </w:r>
      <w:r w:rsidRPr="00993373">
        <w:rPr>
          <w:rFonts w:ascii="Arial" w:hAnsi="Arial" w:cs="Arial"/>
          <w:sz w:val="20"/>
          <w:szCs w:val="20"/>
        </w:rPr>
        <w:t xml:space="preserve"> dizla.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EC6811">
        <w:rPr>
          <w:rFonts w:ascii="Arial" w:hAnsi="Arial" w:cs="Arial"/>
          <w:sz w:val="20"/>
          <w:szCs w:val="20"/>
        </w:rPr>
        <w:t xml:space="preserve">Narejena je tudi ocena zvišanja drobnoprodajnih cen pogonskih goriv zaradi </w:t>
      </w:r>
      <w:proofErr w:type="spellStart"/>
      <w:r w:rsidRPr="00EC6811">
        <w:rPr>
          <w:rFonts w:ascii="Arial" w:hAnsi="Arial" w:cs="Arial"/>
          <w:sz w:val="20"/>
          <w:szCs w:val="20"/>
        </w:rPr>
        <w:t>primešavanja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predpisanega energijskega deleža </w:t>
      </w:r>
      <w:proofErr w:type="spellStart"/>
      <w:r w:rsidRPr="00EC6811">
        <w:rPr>
          <w:rFonts w:ascii="Arial" w:hAnsi="Arial" w:cs="Arial"/>
          <w:sz w:val="20"/>
          <w:szCs w:val="20"/>
        </w:rPr>
        <w:t>biogoriv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k fosilnim gorivom v primeru liberalizacije cen goriv, kar je razvidno iz spodnjih tabel. Od aprila 2016 se prosto oblikujejo drobnoprodajne cene za neosvinčene bencine višjih oktanskih vrednosti, ki imajo </w:t>
      </w:r>
      <w:proofErr w:type="spellStart"/>
      <w:r w:rsidRPr="00EC6811">
        <w:rPr>
          <w:rFonts w:ascii="Arial" w:hAnsi="Arial" w:cs="Arial"/>
          <w:sz w:val="20"/>
          <w:szCs w:val="20"/>
        </w:rPr>
        <w:t>substitut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v 95-oktanskem bencinu. Zvišanje končne cene pogonskih goriv je povezano s stroškom </w:t>
      </w:r>
      <w:proofErr w:type="spellStart"/>
      <w:r w:rsidRPr="00EC6811">
        <w:rPr>
          <w:rFonts w:ascii="Arial" w:hAnsi="Arial" w:cs="Arial"/>
          <w:sz w:val="20"/>
          <w:szCs w:val="20"/>
        </w:rPr>
        <w:t>primešavanja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811">
        <w:rPr>
          <w:rFonts w:ascii="Arial" w:hAnsi="Arial" w:cs="Arial"/>
          <w:sz w:val="20"/>
          <w:szCs w:val="20"/>
        </w:rPr>
        <w:t>biogoriv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, ki ni enak za bencine in dizelsko gorivo. V primeru liberalizacije cene 95-oktanskega bencina in dizelskega goriva, bi se obveznost </w:t>
      </w:r>
      <w:proofErr w:type="spellStart"/>
      <w:r w:rsidRPr="00EC6811">
        <w:rPr>
          <w:rFonts w:ascii="Arial" w:hAnsi="Arial" w:cs="Arial"/>
          <w:sz w:val="20"/>
          <w:szCs w:val="20"/>
        </w:rPr>
        <w:t>primešavanja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811">
        <w:rPr>
          <w:rFonts w:ascii="Arial" w:hAnsi="Arial" w:cs="Arial"/>
          <w:sz w:val="20"/>
          <w:szCs w:val="20"/>
        </w:rPr>
        <w:t>biogoriv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odrazila v prihodkih državnega proračuna, saj bi se zaradi zvišanja drobnoprodajnih cen pogonskih goriv, zaradi vključitve stroška dodajanja </w:t>
      </w:r>
      <w:proofErr w:type="spellStart"/>
      <w:r w:rsidRPr="00EC6811">
        <w:rPr>
          <w:rFonts w:ascii="Arial" w:hAnsi="Arial" w:cs="Arial"/>
          <w:sz w:val="20"/>
          <w:szCs w:val="20"/>
        </w:rPr>
        <w:t>biogoriv</w:t>
      </w:r>
      <w:proofErr w:type="spellEnd"/>
      <w:r w:rsidRPr="00EC6811">
        <w:rPr>
          <w:rFonts w:ascii="Arial" w:hAnsi="Arial" w:cs="Arial"/>
          <w:sz w:val="20"/>
          <w:szCs w:val="20"/>
        </w:rPr>
        <w:t xml:space="preserve"> v fosilno gorivo, znižala potrošnja pogonskih goriv, s čimer bi se zmanjšali prihodki iz naslova  trošarin in okoljske dajatve za onesnaževanje zraka z emisijo ogljikovega dioksida. Hkrati bi to pomenilo tudi manj prihodkov iz naslova dodatka za zagotavljanje prihrankov energije in prispevka za zagotavljanje podpor proizvodnji električne energije.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5976620" cy="534035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935730" cy="81915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B7" w:rsidRDefault="00EE7BB7" w:rsidP="00EE7BB7">
      <w:pPr>
        <w:jc w:val="both"/>
        <w:rPr>
          <w:rFonts w:ascii="Arial" w:hAnsi="Arial" w:cs="Arial"/>
          <w:noProof/>
          <w:sz w:val="20"/>
          <w:szCs w:val="20"/>
          <w:lang w:eastAsia="sl-SI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5976620" cy="592455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 uredbe tudi poenostavlja poročanje za zavezance, saj bodo le-ti lahko vnesli zahtevane podatke v informacijski portal EPOS. Nadzor nad doseganjem predpisanih energijskih deležev bo na podlagi prejetih letnih poročil izvajalo Ministrstvo za infrastrukturo v povezavi z Inšpektoratom za infrastrukturo (</w:t>
      </w:r>
      <w:r w:rsidRPr="006A7520">
        <w:rPr>
          <w:rFonts w:ascii="Arial" w:hAnsi="Arial" w:cs="Arial"/>
          <w:sz w:val="20"/>
          <w:szCs w:val="20"/>
        </w:rPr>
        <w:t>prvi odstav</w:t>
      </w:r>
      <w:r>
        <w:rPr>
          <w:rFonts w:ascii="Arial" w:hAnsi="Arial" w:cs="Arial"/>
          <w:sz w:val="20"/>
          <w:szCs w:val="20"/>
        </w:rPr>
        <w:t>e</w:t>
      </w:r>
      <w:r w:rsidRPr="006A7520">
        <w:rPr>
          <w:rFonts w:ascii="Arial" w:hAnsi="Arial" w:cs="Arial"/>
          <w:sz w:val="20"/>
          <w:szCs w:val="20"/>
        </w:rPr>
        <w:t>k 451. člena EZ-1</w:t>
      </w:r>
      <w:r>
        <w:rPr>
          <w:rFonts w:ascii="Arial" w:hAnsi="Arial" w:cs="Arial"/>
          <w:sz w:val="20"/>
          <w:szCs w:val="20"/>
        </w:rPr>
        <w:t xml:space="preserve">), ki bo v primeru neizpolnjevanja predpisanih deležev uvedlo </w:t>
      </w:r>
      <w:proofErr w:type="spellStart"/>
      <w:r>
        <w:rPr>
          <w:rFonts w:ascii="Arial" w:hAnsi="Arial" w:cs="Arial"/>
          <w:sz w:val="20"/>
          <w:szCs w:val="20"/>
        </w:rPr>
        <w:t>prekrškovni</w:t>
      </w:r>
      <w:proofErr w:type="spellEnd"/>
      <w:r>
        <w:rPr>
          <w:rFonts w:ascii="Arial" w:hAnsi="Arial" w:cs="Arial"/>
          <w:sz w:val="20"/>
          <w:szCs w:val="20"/>
        </w:rPr>
        <w:t xml:space="preserve"> postopek po 493. členu EZ-1.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Nenazadnje</w:t>
      </w:r>
      <w:proofErr w:type="spellEnd"/>
      <w:r>
        <w:rPr>
          <w:rFonts w:ascii="Arial" w:hAnsi="Arial" w:cs="Arial"/>
          <w:sz w:val="20"/>
          <w:szCs w:val="20"/>
        </w:rPr>
        <w:t xml:space="preserve"> pa predpisovanje obveznega energijskega deleža obnovljivih virov energije v prometu, ki se vsako leto postopno povečuje, pripomore k zmanjšanju izpustov toplogrednih plinov in prispeva k trajnostnemu razvoju Republike Slovenije in doseganju ciljev, ki si jih je zadala.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b/>
          <w:sz w:val="20"/>
          <w:szCs w:val="20"/>
        </w:rPr>
      </w:pPr>
    </w:p>
    <w:p w:rsidR="00EE7BB7" w:rsidRPr="005960A7" w:rsidRDefault="00EE7BB7" w:rsidP="00AC62FA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8376A5">
        <w:rPr>
          <w:rFonts w:ascii="Arial" w:hAnsi="Arial" w:cs="Arial"/>
          <w:b/>
          <w:sz w:val="20"/>
          <w:szCs w:val="20"/>
        </w:rPr>
        <w:t>Izjava o skladnosti predloga predpisa s pravnimi akti EU in korelacijska tabela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Priloženi sta Izjava o skladnosti in korelacijska tabela za Direktivo (EU) 2015/1513 in Direktivo 2009/28/ES.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A70CC3">
        <w:rPr>
          <w:rFonts w:ascii="Arial" w:hAnsi="Arial" w:cs="Arial"/>
          <w:b/>
          <w:sz w:val="20"/>
          <w:szCs w:val="20"/>
        </w:rPr>
        <w:t>VSEBINSKA OBRAZLOŽITEV PREDLAGANIH REŠITEV</w:t>
      </w:r>
    </w:p>
    <w:p w:rsidR="00EE7BB7" w:rsidRPr="008376A5" w:rsidRDefault="00EE7BB7" w:rsidP="00EE7BB7">
      <w:pPr>
        <w:ind w:left="1080"/>
        <w:rPr>
          <w:rFonts w:ascii="Arial" w:hAnsi="Arial" w:cs="Arial"/>
          <w:b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 xml:space="preserve">EZ-1 v drugem odstavku 380. člena daje pravno podlago za sprejetje uredbe, ki bo </w:t>
      </w:r>
      <w:r>
        <w:rPr>
          <w:rFonts w:ascii="Arial" w:hAnsi="Arial" w:cs="Arial"/>
          <w:sz w:val="20"/>
          <w:szCs w:val="20"/>
        </w:rPr>
        <w:t>določila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način izvajanja ukrepov</w:t>
      </w:r>
      <w:r w:rsidRPr="00A70CC3">
        <w:rPr>
          <w:rFonts w:ascii="Arial" w:hAnsi="Arial" w:cs="Arial"/>
          <w:sz w:val="20"/>
          <w:szCs w:val="20"/>
        </w:rPr>
        <w:t xml:space="preserve"> določeni</w:t>
      </w:r>
      <w:r>
        <w:rPr>
          <w:rFonts w:ascii="Arial" w:hAnsi="Arial" w:cs="Arial"/>
          <w:sz w:val="20"/>
          <w:szCs w:val="20"/>
        </w:rPr>
        <w:t>h</w:t>
      </w:r>
      <w:r w:rsidRPr="00A70CC3">
        <w:rPr>
          <w:rFonts w:ascii="Arial" w:hAnsi="Arial" w:cs="Arial"/>
          <w:sz w:val="20"/>
          <w:szCs w:val="20"/>
        </w:rPr>
        <w:t xml:space="preserve"> v A</w:t>
      </w:r>
      <w:r>
        <w:rPr>
          <w:rFonts w:ascii="Arial" w:hAnsi="Arial" w:cs="Arial"/>
          <w:sz w:val="20"/>
          <w:szCs w:val="20"/>
        </w:rPr>
        <w:t>N OVE</w:t>
      </w:r>
      <w:r w:rsidRPr="00A70CC3">
        <w:rPr>
          <w:rFonts w:ascii="Arial" w:hAnsi="Arial" w:cs="Arial"/>
          <w:sz w:val="20"/>
          <w:szCs w:val="20"/>
        </w:rPr>
        <w:t>, ki ga j</w:t>
      </w:r>
      <w:r>
        <w:rPr>
          <w:rFonts w:ascii="Arial" w:hAnsi="Arial" w:cs="Arial"/>
          <w:sz w:val="20"/>
          <w:szCs w:val="20"/>
        </w:rPr>
        <w:t xml:space="preserve">e vlada RS sprejela julija 2010, in je </w:t>
      </w:r>
      <w:r w:rsidRPr="00A70CC3">
        <w:rPr>
          <w:rFonts w:ascii="Arial" w:hAnsi="Arial" w:cs="Arial"/>
          <w:sz w:val="20"/>
          <w:szCs w:val="20"/>
        </w:rPr>
        <w:t xml:space="preserve">bil sprejet na osnovi Direktive 2009/28/ES. </w:t>
      </w: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lastRenderedPageBreak/>
        <w:t xml:space="preserve">Direktiva 2009/28/ES določa, da mora vsaka država članica sprejeti nacionalni akcijski načrt za obnovljive vire energije za obdobje 2010-2020. V teh načrtih je treba določiti </w:t>
      </w:r>
      <w:r w:rsidRPr="00A70CC3">
        <w:rPr>
          <w:rFonts w:ascii="Arial" w:hAnsi="Arial" w:cs="Arial"/>
          <w:bCs/>
          <w:sz w:val="20"/>
          <w:szCs w:val="20"/>
        </w:rPr>
        <w:t>letne nacionalne cilje</w:t>
      </w:r>
      <w:r w:rsidRPr="00A70CC3">
        <w:rPr>
          <w:rFonts w:ascii="Arial" w:hAnsi="Arial" w:cs="Arial"/>
          <w:sz w:val="20"/>
          <w:szCs w:val="20"/>
        </w:rPr>
        <w:t xml:space="preserve"> držav članic za </w:t>
      </w:r>
      <w:r>
        <w:rPr>
          <w:rFonts w:ascii="Arial" w:hAnsi="Arial" w:cs="Arial"/>
          <w:sz w:val="20"/>
          <w:szCs w:val="20"/>
        </w:rPr>
        <w:t xml:space="preserve">energijske </w:t>
      </w:r>
      <w:r w:rsidRPr="00A70CC3">
        <w:rPr>
          <w:rFonts w:ascii="Arial" w:hAnsi="Arial" w:cs="Arial"/>
          <w:sz w:val="20"/>
          <w:szCs w:val="20"/>
        </w:rPr>
        <w:t xml:space="preserve">deleže obnovljivih virov, porabljene v prometu, elektroenergetiki ter za ogrevanje in hlajenje v letu 2020 in predvidene </w:t>
      </w:r>
      <w:r w:rsidRPr="00A70CC3">
        <w:rPr>
          <w:rFonts w:ascii="Arial" w:hAnsi="Arial" w:cs="Arial"/>
          <w:bCs/>
          <w:sz w:val="20"/>
          <w:szCs w:val="20"/>
        </w:rPr>
        <w:t>ukrepe</w:t>
      </w:r>
      <w:r>
        <w:rPr>
          <w:rFonts w:ascii="Arial" w:hAnsi="Arial" w:cs="Arial"/>
          <w:bCs/>
          <w:sz w:val="20"/>
          <w:szCs w:val="20"/>
        </w:rPr>
        <w:t>,</w:t>
      </w:r>
      <w:r w:rsidRPr="00A70CC3">
        <w:rPr>
          <w:rFonts w:ascii="Arial" w:hAnsi="Arial" w:cs="Arial"/>
          <w:sz w:val="20"/>
          <w:szCs w:val="20"/>
        </w:rPr>
        <w:t xml:space="preserve"> s katerimi bodo države članice dosegle predpisan cilj v letu 2020. </w:t>
      </w:r>
    </w:p>
    <w:p w:rsidR="00EE7BB7" w:rsidRDefault="00EE7BB7" w:rsidP="00EE7BB7">
      <w:pPr>
        <w:jc w:val="both"/>
        <w:rPr>
          <w:rFonts w:ascii="Arial" w:hAnsi="Arial" w:cs="Arial"/>
          <w:bCs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bCs/>
          <w:sz w:val="20"/>
          <w:szCs w:val="20"/>
        </w:rPr>
        <w:t xml:space="preserve">Direktiva </w:t>
      </w:r>
      <w:r w:rsidRPr="00A70CC3">
        <w:rPr>
          <w:rFonts w:ascii="Arial" w:hAnsi="Arial" w:cs="Arial"/>
          <w:sz w:val="20"/>
          <w:szCs w:val="20"/>
        </w:rPr>
        <w:t xml:space="preserve">2009/28/ES določa cilje na področju obnovljivih virov energije, ki so za države članice pravno zavezujoči. </w:t>
      </w:r>
      <w:r>
        <w:rPr>
          <w:rFonts w:ascii="Arial" w:hAnsi="Arial" w:cs="Arial"/>
          <w:sz w:val="20"/>
          <w:szCs w:val="20"/>
        </w:rPr>
        <w:t xml:space="preserve">Republika </w:t>
      </w:r>
      <w:r w:rsidRPr="00A70CC3">
        <w:rPr>
          <w:rFonts w:ascii="Arial" w:hAnsi="Arial" w:cs="Arial"/>
          <w:sz w:val="20"/>
          <w:szCs w:val="20"/>
        </w:rPr>
        <w:t xml:space="preserve">Slovenija mora do leta 2020 doseči najmanj 25% delež OVE v končni bruto uporabi energije. Poleg tega </w:t>
      </w:r>
      <w:r>
        <w:rPr>
          <w:rFonts w:ascii="Arial" w:hAnsi="Arial" w:cs="Arial"/>
          <w:sz w:val="20"/>
          <w:szCs w:val="20"/>
        </w:rPr>
        <w:t>D</w:t>
      </w:r>
      <w:r w:rsidRPr="00A70CC3">
        <w:rPr>
          <w:rFonts w:ascii="Arial" w:hAnsi="Arial" w:cs="Arial"/>
          <w:sz w:val="20"/>
          <w:szCs w:val="20"/>
        </w:rPr>
        <w:t xml:space="preserve">irektiva 2009/28/ES določa tudi poseben cilj za promet in sicer morajo vse države članice do leta 2020 doseči 10 % delež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virov energije v prometu.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Pr="00A70CC3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AN OVE</w:t>
      </w:r>
      <w:r w:rsidRPr="00A70CC3">
        <w:rPr>
          <w:rFonts w:ascii="Arial" w:hAnsi="Arial" w:cs="Arial"/>
          <w:sz w:val="20"/>
          <w:szCs w:val="20"/>
        </w:rPr>
        <w:t xml:space="preserve"> je določeno, da bo Vlada Republike Slovenije za dosego ciljev obnovljivih virov energije zagotovila ustrezno podpor</w:t>
      </w:r>
      <w:r>
        <w:rPr>
          <w:rFonts w:ascii="Arial" w:hAnsi="Arial" w:cs="Arial"/>
          <w:sz w:val="20"/>
          <w:szCs w:val="20"/>
        </w:rPr>
        <w:t>n</w:t>
      </w:r>
      <w:r w:rsidRPr="00A70CC3">
        <w:rPr>
          <w:rFonts w:ascii="Arial" w:hAnsi="Arial" w:cs="Arial"/>
          <w:sz w:val="20"/>
          <w:szCs w:val="20"/>
        </w:rPr>
        <w:t xml:space="preserve">o okolje za uvajanje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ostalih obnovljivih virov energije v prometu</w:t>
      </w:r>
      <w:r>
        <w:rPr>
          <w:rFonts w:ascii="Arial" w:hAnsi="Arial" w:cs="Arial"/>
          <w:sz w:val="20"/>
          <w:szCs w:val="20"/>
        </w:rPr>
        <w:t>, kakor tudi pospeševala</w:t>
      </w:r>
      <w:r w:rsidRPr="00A70CC3">
        <w:rPr>
          <w:rFonts w:ascii="Arial" w:hAnsi="Arial" w:cs="Arial"/>
          <w:sz w:val="20"/>
          <w:szCs w:val="20"/>
        </w:rPr>
        <w:t xml:space="preserve"> uvajanje električnih vozil. Nadalje sta določena tudi mehanizma za doseganje 10 % deleža </w:t>
      </w:r>
      <w:r>
        <w:rPr>
          <w:rFonts w:ascii="Arial" w:hAnsi="Arial" w:cs="Arial"/>
          <w:sz w:val="20"/>
          <w:szCs w:val="20"/>
        </w:rPr>
        <w:t>obnovljivih virov energije v prometu</w:t>
      </w:r>
      <w:r w:rsidRPr="00A70CC3">
        <w:rPr>
          <w:rFonts w:ascii="Arial" w:hAnsi="Arial" w:cs="Arial"/>
          <w:sz w:val="20"/>
          <w:szCs w:val="20"/>
        </w:rPr>
        <w:t xml:space="preserve">. To je obvezni </w:t>
      </w:r>
      <w:r>
        <w:rPr>
          <w:rFonts w:ascii="Arial" w:hAnsi="Arial" w:cs="Arial"/>
          <w:sz w:val="20"/>
          <w:szCs w:val="20"/>
        </w:rPr>
        <w:t xml:space="preserve">energijski </w:t>
      </w:r>
      <w:r w:rsidRPr="00A70CC3">
        <w:rPr>
          <w:rFonts w:ascii="Arial" w:hAnsi="Arial" w:cs="Arial"/>
          <w:sz w:val="20"/>
          <w:szCs w:val="20"/>
        </w:rPr>
        <w:t xml:space="preserve">delež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ostalih obnovljivih virov energije</w:t>
      </w:r>
      <w:r w:rsidRPr="00A70CC3">
        <w:rPr>
          <w:rFonts w:ascii="Arial" w:hAnsi="Arial" w:cs="Arial"/>
          <w:sz w:val="20"/>
          <w:szCs w:val="20"/>
        </w:rPr>
        <w:t>, ki ga morajo izpolnjevati vsi distributerji tekočih goriv</w:t>
      </w:r>
      <w:r>
        <w:rPr>
          <w:rFonts w:ascii="Arial" w:hAnsi="Arial" w:cs="Arial"/>
          <w:sz w:val="20"/>
          <w:szCs w:val="20"/>
        </w:rPr>
        <w:t>,</w:t>
      </w:r>
      <w:r w:rsidRPr="00A70CC3">
        <w:rPr>
          <w:rFonts w:ascii="Arial" w:hAnsi="Arial" w:cs="Arial"/>
          <w:sz w:val="20"/>
          <w:szCs w:val="20"/>
        </w:rPr>
        <w:t xml:space="preserve"> in </w:t>
      </w:r>
      <w:r w:rsidRPr="00DA00CA">
        <w:rPr>
          <w:rFonts w:ascii="Arial" w:hAnsi="Arial" w:cs="Arial"/>
          <w:sz w:val="20"/>
          <w:szCs w:val="20"/>
        </w:rPr>
        <w:t xml:space="preserve">oprostitev trošarine za </w:t>
      </w:r>
      <w:r>
        <w:rPr>
          <w:rFonts w:ascii="Arial" w:hAnsi="Arial" w:cs="Arial"/>
          <w:sz w:val="20"/>
          <w:szCs w:val="20"/>
        </w:rPr>
        <w:t xml:space="preserve">čista </w:t>
      </w:r>
      <w:proofErr w:type="spellStart"/>
      <w:r w:rsidRPr="00DA00CA">
        <w:rPr>
          <w:rFonts w:ascii="Arial" w:hAnsi="Arial" w:cs="Arial"/>
          <w:sz w:val="20"/>
          <w:szCs w:val="20"/>
        </w:rPr>
        <w:t>biogoriva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. Vsa </w:t>
      </w:r>
      <w:proofErr w:type="spellStart"/>
      <w:r w:rsidRPr="00A70CC3">
        <w:rPr>
          <w:rFonts w:ascii="Arial" w:hAnsi="Arial" w:cs="Arial"/>
          <w:sz w:val="20"/>
          <w:szCs w:val="20"/>
        </w:rPr>
        <w:t>biogoriva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mora</w:t>
      </w:r>
      <w:r>
        <w:rPr>
          <w:rFonts w:ascii="Arial" w:hAnsi="Arial" w:cs="Arial"/>
          <w:sz w:val="20"/>
          <w:szCs w:val="20"/>
        </w:rPr>
        <w:t>jo</w:t>
      </w:r>
      <w:r w:rsidRPr="00A70CC3">
        <w:rPr>
          <w:rFonts w:ascii="Arial" w:hAnsi="Arial" w:cs="Arial"/>
          <w:sz w:val="20"/>
          <w:szCs w:val="20"/>
        </w:rPr>
        <w:t xml:space="preserve"> izpolnjevati trajnostne kriterije za </w:t>
      </w:r>
      <w:proofErr w:type="spellStart"/>
      <w:r w:rsidRPr="00A70CC3"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>, električna energija uporabljena v prometu, pa mora imeti dokazilo o deležu OVE</w:t>
      </w:r>
      <w:r w:rsidRPr="00A70CC3">
        <w:rPr>
          <w:rFonts w:ascii="Arial" w:hAnsi="Arial" w:cs="Arial"/>
          <w:sz w:val="20"/>
          <w:szCs w:val="20"/>
        </w:rPr>
        <w:t>.</w:t>
      </w:r>
    </w:p>
    <w:p w:rsidR="00EE7BB7" w:rsidRDefault="00EE7BB7" w:rsidP="00EE7BB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>Letn</w:t>
      </w:r>
      <w:r>
        <w:rPr>
          <w:rFonts w:ascii="Arial" w:hAnsi="Arial" w:cs="Arial"/>
          <w:sz w:val="20"/>
          <w:szCs w:val="20"/>
        </w:rPr>
        <w:t>i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energijski delež</w:t>
      </w:r>
      <w:r w:rsidRPr="00A70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električne energije</w:t>
      </w:r>
      <w:r w:rsidRPr="00A70CC3">
        <w:rPr>
          <w:rFonts w:ascii="Arial" w:hAnsi="Arial" w:cs="Arial"/>
          <w:sz w:val="20"/>
          <w:szCs w:val="20"/>
        </w:rPr>
        <w:t xml:space="preserve">, ki jih mora distributer dati v promet v ciljnem letu 2020, </w:t>
      </w:r>
      <w:r>
        <w:rPr>
          <w:rFonts w:ascii="Arial" w:hAnsi="Arial" w:cs="Arial"/>
          <w:sz w:val="20"/>
          <w:szCs w:val="20"/>
        </w:rPr>
        <w:t>znaša 10 %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glede na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količino </w:t>
      </w:r>
      <w:r w:rsidRPr="00A70CC3"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>eh</w:t>
      </w:r>
      <w:r w:rsidRPr="00A70CC3">
        <w:rPr>
          <w:rFonts w:ascii="Arial" w:hAnsi="Arial" w:cs="Arial"/>
          <w:sz w:val="20"/>
          <w:szCs w:val="20"/>
        </w:rPr>
        <w:t xml:space="preserve"> prodanih pogonskih goriv (dizelskega goriva in motornih bencinov)</w:t>
      </w:r>
      <w:r>
        <w:rPr>
          <w:rFonts w:ascii="Arial" w:hAnsi="Arial" w:cs="Arial"/>
          <w:sz w:val="20"/>
          <w:szCs w:val="20"/>
        </w:rPr>
        <w:t xml:space="preserve"> ter električne energije za pogon električnih vozil</w:t>
      </w:r>
      <w:r w:rsidRPr="00A70C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Odstotek energijskega deleža</w:t>
      </w:r>
      <w:r w:rsidRPr="00A70C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obnovljivih virov energije d</w:t>
      </w:r>
      <w:r w:rsidRPr="00A70CC3">
        <w:rPr>
          <w:rFonts w:ascii="Arial" w:hAnsi="Arial" w:cs="Arial"/>
          <w:sz w:val="20"/>
          <w:szCs w:val="20"/>
        </w:rPr>
        <w:t>o leta 2020 mora</w:t>
      </w:r>
      <w:r>
        <w:rPr>
          <w:rFonts w:ascii="Arial" w:hAnsi="Arial" w:cs="Arial"/>
          <w:sz w:val="20"/>
          <w:szCs w:val="20"/>
        </w:rPr>
        <w:t xml:space="preserve"> po letih </w:t>
      </w:r>
      <w:r w:rsidRPr="00A70CC3">
        <w:rPr>
          <w:rFonts w:ascii="Arial" w:hAnsi="Arial" w:cs="Arial"/>
          <w:sz w:val="20"/>
          <w:szCs w:val="20"/>
        </w:rPr>
        <w:t xml:space="preserve">biti najmanj: </w:t>
      </w:r>
    </w:p>
    <w:p w:rsidR="00EE7BB7" w:rsidRPr="00A70CC3" w:rsidRDefault="00EE7BB7" w:rsidP="00EE7BB7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530" w:type="dxa"/>
        <w:tblLayout w:type="fixed"/>
        <w:tblLook w:val="0000" w:firstRow="0" w:lastRow="0" w:firstColumn="0" w:lastColumn="0" w:noHBand="0" w:noVBand="0"/>
      </w:tblPr>
      <w:tblGrid>
        <w:gridCol w:w="3642"/>
        <w:gridCol w:w="1176"/>
        <w:gridCol w:w="1080"/>
        <w:gridCol w:w="1104"/>
        <w:gridCol w:w="1236"/>
      </w:tblGrid>
      <w:tr w:rsidR="00EE7BB7" w:rsidRPr="00A70CC3" w:rsidTr="00CE1AC0">
        <w:trPr>
          <w:trHeight w:val="271"/>
          <w:jc w:val="center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 xml:space="preserve">Leto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E7BB7" w:rsidRPr="00A70CC3" w:rsidTr="00CE1AC0">
        <w:trPr>
          <w:trHeight w:val="471"/>
          <w:jc w:val="center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Odstotek energijskega deleža obnovljivih virov energije v prometu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BB7" w:rsidRPr="00A70CC3" w:rsidRDefault="00EE7BB7" w:rsidP="00CE1AC0">
            <w:pPr>
              <w:rPr>
                <w:rFonts w:ascii="Arial" w:hAnsi="Arial" w:cs="Arial"/>
                <w:sz w:val="20"/>
                <w:szCs w:val="20"/>
              </w:rPr>
            </w:pPr>
            <w:r w:rsidRPr="00A70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predlog uredbe razveljavlja </w:t>
      </w:r>
      <w:r w:rsidRPr="00A70CC3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o</w:t>
      </w:r>
      <w:r w:rsidRPr="00A70CC3">
        <w:rPr>
          <w:rFonts w:ascii="Arial" w:hAnsi="Arial" w:cs="Arial"/>
          <w:sz w:val="20"/>
          <w:szCs w:val="20"/>
        </w:rPr>
        <w:t xml:space="preserve"> o pospeševanju uporabe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</w:t>
      </w:r>
      <w:r>
        <w:rPr>
          <w:rFonts w:ascii="Arial" w:hAnsi="Arial" w:cs="Arial"/>
          <w:sz w:val="20"/>
          <w:szCs w:val="20"/>
        </w:rPr>
        <w:t xml:space="preserve">, je v 10.  členu, na predlog Ministrstva za okolje in prostor določeno, da </w:t>
      </w:r>
      <w:r w:rsidRPr="00CE65E3">
        <w:rPr>
          <w:rFonts w:ascii="Arial" w:hAnsi="Arial" w:cs="Arial"/>
          <w:sz w:val="20"/>
          <w:szCs w:val="20"/>
        </w:rPr>
        <w:t xml:space="preserve">prenehajo vse obveznosti dajanja </w:t>
      </w:r>
      <w:proofErr w:type="spellStart"/>
      <w:r w:rsidRPr="00CE65E3">
        <w:rPr>
          <w:rFonts w:ascii="Arial" w:hAnsi="Arial" w:cs="Arial"/>
          <w:sz w:val="20"/>
          <w:szCs w:val="20"/>
        </w:rPr>
        <w:t>biogoriv</w:t>
      </w:r>
      <w:proofErr w:type="spellEnd"/>
      <w:r w:rsidRPr="00CE65E3">
        <w:rPr>
          <w:rFonts w:ascii="Arial" w:hAnsi="Arial" w:cs="Arial"/>
          <w:sz w:val="20"/>
          <w:szCs w:val="20"/>
        </w:rPr>
        <w:t xml:space="preserve"> na trg za tiste zavezance, ki v </w:t>
      </w:r>
      <w:r>
        <w:rPr>
          <w:rFonts w:ascii="Arial" w:hAnsi="Arial" w:cs="Arial"/>
          <w:sz w:val="20"/>
          <w:szCs w:val="20"/>
        </w:rPr>
        <w:t>preteklem obdobju</w:t>
      </w:r>
      <w:r w:rsidRPr="00CE65E3">
        <w:rPr>
          <w:rFonts w:ascii="Arial" w:hAnsi="Arial" w:cs="Arial"/>
          <w:sz w:val="20"/>
          <w:szCs w:val="20"/>
        </w:rPr>
        <w:t xml:space="preserve"> niso izpolnili deležev </w:t>
      </w:r>
      <w:proofErr w:type="spellStart"/>
      <w:r w:rsidRPr="00CE65E3"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, kot je bilo določeno z </w:t>
      </w:r>
      <w:r w:rsidRPr="00A70CC3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o</w:t>
      </w:r>
      <w:r w:rsidRPr="00A70CC3">
        <w:rPr>
          <w:rFonts w:ascii="Arial" w:hAnsi="Arial" w:cs="Arial"/>
          <w:sz w:val="20"/>
          <w:szCs w:val="20"/>
        </w:rPr>
        <w:t xml:space="preserve"> o pospeševanju uporabe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goriv za pogon motornih vozil</w:t>
      </w:r>
      <w:r>
        <w:rPr>
          <w:rFonts w:ascii="Arial" w:hAnsi="Arial" w:cs="Arial"/>
          <w:sz w:val="20"/>
          <w:szCs w:val="20"/>
        </w:rPr>
        <w:t>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 w:rsidRPr="00A70CC3">
        <w:rPr>
          <w:rFonts w:ascii="Arial" w:hAnsi="Arial" w:cs="Arial"/>
          <w:sz w:val="20"/>
          <w:szCs w:val="20"/>
        </w:rPr>
        <w:t xml:space="preserve">Delež </w:t>
      </w:r>
      <w:r>
        <w:rPr>
          <w:rFonts w:ascii="Arial" w:hAnsi="Arial" w:cs="Arial"/>
          <w:sz w:val="20"/>
          <w:szCs w:val="20"/>
        </w:rPr>
        <w:t>obnovljivih virov energije</w:t>
      </w:r>
      <w:r w:rsidRPr="00A70CC3">
        <w:rPr>
          <w:rFonts w:ascii="Arial" w:hAnsi="Arial" w:cs="Arial"/>
          <w:sz w:val="20"/>
          <w:szCs w:val="20"/>
        </w:rPr>
        <w:t xml:space="preserve"> po posameznih letih je nižji, kot ga je določala Uredba o pospeševanju uporabe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goriv za pogon motornih vozil.</w:t>
      </w:r>
      <w:r>
        <w:rPr>
          <w:rFonts w:ascii="Arial" w:hAnsi="Arial" w:cs="Arial"/>
          <w:sz w:val="20"/>
          <w:szCs w:val="20"/>
        </w:rPr>
        <w:t xml:space="preserve"> Uredba o pospeševanju uporabe </w:t>
      </w:r>
      <w:proofErr w:type="spellStart"/>
      <w:r w:rsidRPr="00A70CC3">
        <w:rPr>
          <w:rFonts w:ascii="Arial" w:hAnsi="Arial" w:cs="Arial"/>
          <w:sz w:val="20"/>
          <w:szCs w:val="20"/>
        </w:rPr>
        <w:t>biogoriv</w:t>
      </w:r>
      <w:proofErr w:type="spellEnd"/>
      <w:r w:rsidRPr="00A70CC3">
        <w:rPr>
          <w:rFonts w:ascii="Arial" w:hAnsi="Arial" w:cs="Arial"/>
          <w:sz w:val="20"/>
          <w:szCs w:val="20"/>
        </w:rPr>
        <w:t xml:space="preserve"> in drugih obnovljivih goriv za pogon motornih vozil</w:t>
      </w:r>
      <w:r>
        <w:rPr>
          <w:rFonts w:ascii="Arial" w:hAnsi="Arial" w:cs="Arial"/>
          <w:sz w:val="20"/>
          <w:szCs w:val="20"/>
        </w:rPr>
        <w:t xml:space="preserve"> določa za leto 2015 najmanjši delež obnovljivih virov energije 7,5%, medtem ko je po predlogu uredbe takšen delež obvezen šele v letu 2019. Distributerji bodo lahko dosegali predpisane energijske deleže obnovljivih virov energije na načine in s pomočjo ukrepov določenih v 5. in 7. členu, s katerimi se raba električne energije in goriv iz odpadkov upošteva večkratno, in tudi zaradi bistveno širšega seznama goriv, ki so upravičena do korekcijskih faktorjev pri izračunu deleža.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ne bi zaradi izpolnjevanja teh ciljev prišlo do prekomernega izkoriščanja kmetijskih zemljišč za proizvodnjo pridelkov, katere bi uporabili kot </w:t>
      </w:r>
      <w:proofErr w:type="spellStart"/>
      <w:r>
        <w:rPr>
          <w:rFonts w:ascii="Arial" w:hAnsi="Arial" w:cs="Arial"/>
          <w:sz w:val="20"/>
          <w:szCs w:val="20"/>
        </w:rPr>
        <w:t>biogorivo</w:t>
      </w:r>
      <w:proofErr w:type="spellEnd"/>
      <w:r>
        <w:rPr>
          <w:rFonts w:ascii="Arial" w:hAnsi="Arial" w:cs="Arial"/>
          <w:sz w:val="20"/>
          <w:szCs w:val="20"/>
        </w:rPr>
        <w:t xml:space="preserve">, je predpisan največji skupni energijski delež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drugih </w:t>
      </w:r>
      <w:r w:rsidRPr="00EE2A35">
        <w:rPr>
          <w:rFonts w:ascii="Arial" w:hAnsi="Arial" w:cs="Arial"/>
          <w:sz w:val="20"/>
          <w:szCs w:val="20"/>
        </w:rPr>
        <w:t xml:space="preserve">tekočih </w:t>
      </w:r>
      <w:proofErr w:type="spellStart"/>
      <w:r w:rsidRPr="00EE2A35">
        <w:rPr>
          <w:rFonts w:ascii="Arial" w:hAnsi="Arial" w:cs="Arial"/>
          <w:sz w:val="20"/>
          <w:szCs w:val="20"/>
        </w:rPr>
        <w:t>biogoriv</w:t>
      </w:r>
      <w:proofErr w:type="spellEnd"/>
      <w:r w:rsidRPr="00EE2A35">
        <w:rPr>
          <w:rFonts w:ascii="Arial" w:hAnsi="Arial" w:cs="Arial"/>
          <w:sz w:val="20"/>
          <w:szCs w:val="20"/>
        </w:rPr>
        <w:t xml:space="preserve">, proizvedenih iz </w:t>
      </w:r>
      <w:proofErr w:type="spellStart"/>
      <w:r w:rsidRPr="00EE2A35">
        <w:rPr>
          <w:rFonts w:ascii="Arial" w:hAnsi="Arial" w:cs="Arial"/>
          <w:sz w:val="20"/>
          <w:szCs w:val="20"/>
        </w:rPr>
        <w:t>žitaric</w:t>
      </w:r>
      <w:proofErr w:type="spellEnd"/>
      <w:r w:rsidRPr="00EE2A35">
        <w:rPr>
          <w:rFonts w:ascii="Arial" w:hAnsi="Arial" w:cs="Arial"/>
          <w:sz w:val="20"/>
          <w:szCs w:val="20"/>
        </w:rPr>
        <w:t xml:space="preserve"> in drugih poljščin z visoko vsebnostjo škroba, rastlin za pridelavo sladkorja in oljnic ter iz poljščin, ki se na kmetijskih zemljiščih pridelujejo kot glavne poljščine predvsem za energetske namene, </w:t>
      </w:r>
      <w:r>
        <w:rPr>
          <w:rFonts w:ascii="Arial" w:hAnsi="Arial" w:cs="Arial"/>
          <w:sz w:val="20"/>
          <w:szCs w:val="20"/>
        </w:rPr>
        <w:t xml:space="preserve">ki v letu 2020 </w:t>
      </w:r>
      <w:r w:rsidRPr="003D754B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 xml:space="preserve">sme </w:t>
      </w:r>
      <w:r w:rsidRPr="003D754B">
        <w:rPr>
          <w:rFonts w:ascii="Arial" w:hAnsi="Arial" w:cs="Arial"/>
          <w:sz w:val="20"/>
          <w:szCs w:val="20"/>
        </w:rPr>
        <w:t>presega</w:t>
      </w:r>
      <w:r>
        <w:rPr>
          <w:rFonts w:ascii="Arial" w:hAnsi="Arial" w:cs="Arial"/>
          <w:sz w:val="20"/>
          <w:szCs w:val="20"/>
        </w:rPr>
        <w:t>ti</w:t>
      </w:r>
      <w:r w:rsidRPr="003D754B">
        <w:rPr>
          <w:rFonts w:ascii="Arial" w:hAnsi="Arial" w:cs="Arial"/>
          <w:sz w:val="20"/>
          <w:szCs w:val="20"/>
        </w:rPr>
        <w:t xml:space="preserve"> 7 % končne porabe energ</w:t>
      </w:r>
      <w:r>
        <w:rPr>
          <w:rFonts w:ascii="Arial" w:hAnsi="Arial" w:cs="Arial"/>
          <w:sz w:val="20"/>
          <w:szCs w:val="20"/>
        </w:rPr>
        <w:t>ije v državi v prometu.</w:t>
      </w:r>
      <w:r w:rsidRPr="00EE2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teh 7 % pa ne sodijo </w:t>
      </w:r>
      <w:proofErr w:type="spellStart"/>
      <w:r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 xml:space="preserve"> iz Priloge I.</w:t>
      </w:r>
    </w:p>
    <w:p w:rsidR="00EE7BB7" w:rsidRDefault="00EE7BB7" w:rsidP="00EE7BB7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Vsa </w:t>
      </w:r>
      <w:proofErr w:type="spellStart"/>
      <w:r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 xml:space="preserve"> morajo izpolnjevati trajnostna</w:t>
      </w:r>
      <w:r w:rsidRPr="00A57C29">
        <w:rPr>
          <w:rFonts w:ascii="Arial" w:hAnsi="Arial" w:cs="Arial"/>
          <w:sz w:val="20"/>
          <w:szCs w:val="20"/>
        </w:rPr>
        <w:t xml:space="preserve"> meril</w:t>
      </w:r>
      <w:r>
        <w:rPr>
          <w:rFonts w:ascii="Arial" w:hAnsi="Arial" w:cs="Arial"/>
          <w:sz w:val="20"/>
          <w:szCs w:val="20"/>
        </w:rPr>
        <w:t>a za</w:t>
      </w:r>
      <w:r w:rsidRPr="00A57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C29">
        <w:rPr>
          <w:rFonts w:ascii="Arial" w:hAnsi="Arial" w:cs="Arial"/>
          <w:sz w:val="20"/>
          <w:szCs w:val="20"/>
        </w:rPr>
        <w:t>biogoriv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kot jih določa Uredba o trajnostnih merilih </w:t>
      </w:r>
      <w:r w:rsidRPr="00A57C2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57C29">
        <w:rPr>
          <w:rFonts w:ascii="Arial" w:hAnsi="Arial" w:cs="Arial"/>
          <w:sz w:val="20"/>
          <w:szCs w:val="20"/>
        </w:rPr>
        <w:t>biogoriva</w:t>
      </w:r>
      <w:proofErr w:type="spellEnd"/>
      <w:r>
        <w:rPr>
          <w:rFonts w:ascii="Arial" w:hAnsi="Arial" w:cs="Arial"/>
          <w:sz w:val="20"/>
          <w:szCs w:val="20"/>
        </w:rPr>
        <w:t xml:space="preserve"> in emisiji toplogrednih plinov v življenjskem ciklu goriv v prometu (Uradni list RS, št. 35/12)</w:t>
      </w:r>
      <w:r w:rsidRPr="00A57C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 dokazilo o izpolnjevanju teh meril mora d</w:t>
      </w:r>
      <w:r w:rsidRPr="00A57C29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>ributer goriv pri poročanju po 9</w:t>
      </w:r>
      <w:r w:rsidRPr="00A57C29">
        <w:rPr>
          <w:rFonts w:ascii="Arial" w:hAnsi="Arial" w:cs="Arial"/>
          <w:sz w:val="20"/>
          <w:szCs w:val="20"/>
        </w:rPr>
        <w:t xml:space="preserve">. členu te uredbe priložiti dokazilo o izpolnjevanju trajnostnih meril za količino </w:t>
      </w:r>
      <w:proofErr w:type="spellStart"/>
      <w:r w:rsidRPr="00A57C29">
        <w:rPr>
          <w:rFonts w:ascii="Arial" w:hAnsi="Arial" w:cs="Arial"/>
          <w:sz w:val="20"/>
          <w:szCs w:val="20"/>
        </w:rPr>
        <w:t>biogori</w:t>
      </w:r>
      <w:r>
        <w:rPr>
          <w:rFonts w:ascii="Arial" w:hAnsi="Arial" w:cs="Arial"/>
          <w:sz w:val="20"/>
          <w:szCs w:val="20"/>
        </w:rPr>
        <w:t>v</w:t>
      </w:r>
      <w:proofErr w:type="spellEnd"/>
      <w:r>
        <w:rPr>
          <w:rFonts w:ascii="Arial" w:hAnsi="Arial" w:cs="Arial"/>
          <w:sz w:val="20"/>
          <w:szCs w:val="20"/>
        </w:rPr>
        <w:t>, prodanih končnemu uporabniku</w:t>
      </w:r>
      <w:r w:rsidRPr="00A57C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Poročanje distributerjev bo poenostavljeno in usklajeno s poročanjem po predpisu, ki določa </w:t>
      </w:r>
      <w:r w:rsidRPr="00380F8B">
        <w:rPr>
          <w:rFonts w:ascii="Arial" w:hAnsi="Arial" w:cs="Arial"/>
          <w:sz w:val="20"/>
          <w:szCs w:val="20"/>
        </w:rPr>
        <w:t>vrst</w:t>
      </w:r>
      <w:r>
        <w:rPr>
          <w:rFonts w:ascii="Arial" w:hAnsi="Arial" w:cs="Arial"/>
          <w:sz w:val="20"/>
          <w:szCs w:val="20"/>
        </w:rPr>
        <w:t>e</w:t>
      </w:r>
      <w:r w:rsidRPr="00380F8B">
        <w:rPr>
          <w:rFonts w:ascii="Arial" w:hAnsi="Arial" w:cs="Arial"/>
          <w:sz w:val="20"/>
          <w:szCs w:val="20"/>
        </w:rPr>
        <w:t xml:space="preserve"> podatkov, ki jih zagotavljajo izvajalci energetskih dejavnosti in drugi zavezanci</w:t>
      </w:r>
      <w:r>
        <w:rPr>
          <w:rFonts w:ascii="Arial" w:hAnsi="Arial" w:cs="Arial"/>
          <w:sz w:val="20"/>
          <w:szCs w:val="20"/>
        </w:rPr>
        <w:t xml:space="preserve">. Zavezanci za poročanje bodo za letno poročanje o predpisanem deležu obnovljivih virih energije v prometu lahko uporabili informacijski portal EPOS. 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to uredbo se z dovoljenjem Ministrstva za okolje in prostor razveljavlja Uredba o pospeševanju uporabe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drugih obnovljivih goriv za pogon motornih vozil (Uradni list RS, št. 103/07, 92/10 in 74/11). Prav tako z dnem uveljavitve te uredbe prenehajo veljati odločbe o ugotovitvi izpolnjevanja obveznosti dajanja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na trg, ki so bile izdane na podlagi 10. člena Uredbe o pospeševanju uporabe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drugih obnovljivih goriv za pogon motornih vozil, postopki ugotavljanja izpolnjevanja obveznosti dajanja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na trg, začeti v skladu z Uredbo o pospeševanju uporabe </w:t>
      </w:r>
      <w:proofErr w:type="spellStart"/>
      <w:r>
        <w:rPr>
          <w:rFonts w:ascii="Arial" w:hAnsi="Arial" w:cs="Arial"/>
          <w:sz w:val="20"/>
          <w:szCs w:val="20"/>
        </w:rPr>
        <w:t>biogoriv</w:t>
      </w:r>
      <w:proofErr w:type="spellEnd"/>
      <w:r>
        <w:rPr>
          <w:rFonts w:ascii="Arial" w:hAnsi="Arial" w:cs="Arial"/>
          <w:sz w:val="20"/>
          <w:szCs w:val="20"/>
        </w:rPr>
        <w:t xml:space="preserve"> in drugih obnovljivih goriv za pogon motornih vozil pa se ustavijo.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Pregled nad izpolnjevanjem predpisanih energijskih deležev po letih bo imelo na podlagi prejetih poročil zavezancev Ministrstvo za infrastrukturo, upravne in </w:t>
      </w:r>
      <w:proofErr w:type="spellStart"/>
      <w:r>
        <w:rPr>
          <w:rFonts w:ascii="Arial" w:hAnsi="Arial" w:cs="Arial"/>
          <w:sz w:val="20"/>
          <w:szCs w:val="20"/>
        </w:rPr>
        <w:t>prekrškovne</w:t>
      </w:r>
      <w:proofErr w:type="spellEnd"/>
      <w:r>
        <w:rPr>
          <w:rFonts w:ascii="Arial" w:hAnsi="Arial" w:cs="Arial"/>
          <w:sz w:val="20"/>
          <w:szCs w:val="20"/>
        </w:rPr>
        <w:t xml:space="preserve"> postopke pa bo vodila energetska inšpekcija skladno z ukrepi in sankcijami navedenimi v EZ-1.</w:t>
      </w:r>
    </w:p>
    <w:p w:rsidR="00EE7BB7" w:rsidRDefault="00EE7BB7" w:rsidP="00EE7BB7">
      <w:pPr>
        <w:jc w:val="both"/>
        <w:rPr>
          <w:rFonts w:ascii="Arial" w:hAnsi="Arial" w:cs="Arial"/>
          <w:sz w:val="20"/>
          <w:szCs w:val="20"/>
        </w:rPr>
      </w:pPr>
    </w:p>
    <w:sectPr w:rsidR="00EE7BB7" w:rsidSect="004E0EBF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FA" w:rsidRDefault="00AC62FA">
      <w:r>
        <w:separator/>
      </w:r>
    </w:p>
  </w:endnote>
  <w:endnote w:type="continuationSeparator" w:id="0">
    <w:p w:rsidR="00AC62FA" w:rsidRDefault="00A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BA067C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BA067C">
      <w:rPr>
        <w:rFonts w:ascii="Arial" w:hAnsi="Arial" w:cs="Arial"/>
        <w:bCs/>
        <w:noProof/>
        <w:sz w:val="20"/>
        <w:szCs w:val="20"/>
      </w:rPr>
      <w:t>14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FA" w:rsidRDefault="00AC62FA">
      <w:r>
        <w:separator/>
      </w:r>
    </w:p>
  </w:footnote>
  <w:footnote w:type="continuationSeparator" w:id="0">
    <w:p w:rsidR="00AC62FA" w:rsidRDefault="00AC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7172C6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D8B7E8" wp14:editId="11141CCC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EE8CF0E"/>
    <w:name w:val="WW8Num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0A53F7"/>
    <w:multiLevelType w:val="hybridMultilevel"/>
    <w:tmpl w:val="E9AE35BA"/>
    <w:lvl w:ilvl="0" w:tplc="76AC1A70">
      <w:start w:val="49"/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</w:lvl>
    <w:lvl w:ilvl="3" w:tplc="0424000F" w:tentative="1">
      <w:start w:val="1"/>
      <w:numFmt w:val="decimal"/>
      <w:lvlText w:val="%4."/>
      <w:lvlJc w:val="left"/>
      <w:pPr>
        <w:ind w:left="4500" w:hanging="360"/>
      </w:p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</w:lvl>
    <w:lvl w:ilvl="6" w:tplc="0424000F" w:tentative="1">
      <w:start w:val="1"/>
      <w:numFmt w:val="decimal"/>
      <w:lvlText w:val="%7."/>
      <w:lvlJc w:val="left"/>
      <w:pPr>
        <w:ind w:left="6660" w:hanging="360"/>
      </w:p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634"/>
    <w:multiLevelType w:val="hybridMultilevel"/>
    <w:tmpl w:val="F2F8BE96"/>
    <w:lvl w:ilvl="0" w:tplc="CFB83D14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B1404"/>
    <w:multiLevelType w:val="hybridMultilevel"/>
    <w:tmpl w:val="45D46B24"/>
    <w:lvl w:ilvl="0" w:tplc="860E6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11828"/>
    <w:multiLevelType w:val="hybridMultilevel"/>
    <w:tmpl w:val="EFC0575A"/>
    <w:lvl w:ilvl="0" w:tplc="5AE460B2">
      <w:start w:val="1"/>
      <w:numFmt w:val="decimal"/>
      <w:lvlText w:val="(%1)"/>
      <w:lvlJc w:val="left"/>
      <w:pPr>
        <w:tabs>
          <w:tab w:val="num" w:pos="0"/>
        </w:tabs>
        <w:ind w:left="480" w:hanging="360"/>
      </w:pPr>
      <w:rPr>
        <w:rFonts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76AC1A70">
      <w:start w:val="49"/>
      <w:numFmt w:val="bullet"/>
      <w:lvlText w:val="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ACD6114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74477"/>
    <w:multiLevelType w:val="hybridMultilevel"/>
    <w:tmpl w:val="693810B4"/>
    <w:lvl w:ilvl="0" w:tplc="3284478E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FA2F4A"/>
    <w:multiLevelType w:val="hybridMultilevel"/>
    <w:tmpl w:val="9F782DB6"/>
    <w:lvl w:ilvl="0" w:tplc="860E6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8A079C"/>
    <w:multiLevelType w:val="hybridMultilevel"/>
    <w:tmpl w:val="0818C9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F4AFB"/>
    <w:multiLevelType w:val="hybridMultilevel"/>
    <w:tmpl w:val="E306F262"/>
    <w:lvl w:ilvl="0" w:tplc="DAEAEFFA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F0DCD"/>
    <w:multiLevelType w:val="hybridMultilevel"/>
    <w:tmpl w:val="F594C33E"/>
    <w:lvl w:ilvl="0" w:tplc="0000000A">
      <w:start w:val="1"/>
      <w:numFmt w:val="decimal"/>
      <w:lvlText w:val="(%1)"/>
      <w:lvlJc w:val="left"/>
      <w:pPr>
        <w:tabs>
          <w:tab w:val="num" w:pos="0"/>
        </w:tabs>
        <w:ind w:left="480" w:hanging="360"/>
      </w:pPr>
      <w:rPr>
        <w:rFonts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E2680"/>
    <w:multiLevelType w:val="hybridMultilevel"/>
    <w:tmpl w:val="9F782DB6"/>
    <w:lvl w:ilvl="0" w:tplc="860E6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17C55"/>
    <w:multiLevelType w:val="multilevel"/>
    <w:tmpl w:val="5DBEB0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A351D01"/>
    <w:multiLevelType w:val="hybridMultilevel"/>
    <w:tmpl w:val="9F782DB6"/>
    <w:lvl w:ilvl="0" w:tplc="860E6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9"/>
  </w:num>
  <w:num w:numId="20">
    <w:abstractNumId w:val="1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61"/>
    <w:rsid w:val="000025D6"/>
    <w:rsid w:val="0002557F"/>
    <w:rsid w:val="0003675E"/>
    <w:rsid w:val="00044D7D"/>
    <w:rsid w:val="000B159A"/>
    <w:rsid w:val="000C46FB"/>
    <w:rsid w:val="000E001B"/>
    <w:rsid w:val="000E138A"/>
    <w:rsid w:val="000F5CC6"/>
    <w:rsid w:val="00106F61"/>
    <w:rsid w:val="001279B9"/>
    <w:rsid w:val="001511A2"/>
    <w:rsid w:val="00172D2F"/>
    <w:rsid w:val="00186850"/>
    <w:rsid w:val="0019152B"/>
    <w:rsid w:val="001943CE"/>
    <w:rsid w:val="001F3795"/>
    <w:rsid w:val="001F3974"/>
    <w:rsid w:val="001F54A6"/>
    <w:rsid w:val="00200D2A"/>
    <w:rsid w:val="00234CB6"/>
    <w:rsid w:val="00255CC0"/>
    <w:rsid w:val="002569DF"/>
    <w:rsid w:val="00266465"/>
    <w:rsid w:val="002B46CC"/>
    <w:rsid w:val="002B6BB9"/>
    <w:rsid w:val="002D25BB"/>
    <w:rsid w:val="002E4B67"/>
    <w:rsid w:val="002E4DE8"/>
    <w:rsid w:val="002E51BD"/>
    <w:rsid w:val="002F1537"/>
    <w:rsid w:val="002F67D8"/>
    <w:rsid w:val="00314750"/>
    <w:rsid w:val="00323A89"/>
    <w:rsid w:val="00361FF1"/>
    <w:rsid w:val="00363E4A"/>
    <w:rsid w:val="00371561"/>
    <w:rsid w:val="0037454E"/>
    <w:rsid w:val="00394ADE"/>
    <w:rsid w:val="003A608D"/>
    <w:rsid w:val="003C3972"/>
    <w:rsid w:val="003F31B0"/>
    <w:rsid w:val="003F478A"/>
    <w:rsid w:val="003F712A"/>
    <w:rsid w:val="003F7DDF"/>
    <w:rsid w:val="0042255C"/>
    <w:rsid w:val="00422FAC"/>
    <w:rsid w:val="00426C56"/>
    <w:rsid w:val="004320FD"/>
    <w:rsid w:val="00436301"/>
    <w:rsid w:val="004634FC"/>
    <w:rsid w:val="00466CCC"/>
    <w:rsid w:val="00474151"/>
    <w:rsid w:val="00482DDB"/>
    <w:rsid w:val="004977FA"/>
    <w:rsid w:val="004B0F6B"/>
    <w:rsid w:val="004C1B82"/>
    <w:rsid w:val="004E0EBF"/>
    <w:rsid w:val="004F22B5"/>
    <w:rsid w:val="004F4CF9"/>
    <w:rsid w:val="004F72E8"/>
    <w:rsid w:val="0054033C"/>
    <w:rsid w:val="00550FEF"/>
    <w:rsid w:val="005536BB"/>
    <w:rsid w:val="005632FA"/>
    <w:rsid w:val="0056745F"/>
    <w:rsid w:val="0058728C"/>
    <w:rsid w:val="005A389F"/>
    <w:rsid w:val="005B7499"/>
    <w:rsid w:val="005C35C5"/>
    <w:rsid w:val="006163F3"/>
    <w:rsid w:val="00617207"/>
    <w:rsid w:val="00624987"/>
    <w:rsid w:val="00626AE4"/>
    <w:rsid w:val="00635C49"/>
    <w:rsid w:val="00643CC3"/>
    <w:rsid w:val="0064599A"/>
    <w:rsid w:val="00655EE5"/>
    <w:rsid w:val="0065604A"/>
    <w:rsid w:val="00661EE7"/>
    <w:rsid w:val="00667828"/>
    <w:rsid w:val="006751F0"/>
    <w:rsid w:val="006C2517"/>
    <w:rsid w:val="006C6635"/>
    <w:rsid w:val="006D36A5"/>
    <w:rsid w:val="006E4FC6"/>
    <w:rsid w:val="00706817"/>
    <w:rsid w:val="007172C6"/>
    <w:rsid w:val="007543EA"/>
    <w:rsid w:val="007654C2"/>
    <w:rsid w:val="007A1735"/>
    <w:rsid w:val="007D2E87"/>
    <w:rsid w:val="007E44E8"/>
    <w:rsid w:val="007E6A28"/>
    <w:rsid w:val="007F4A15"/>
    <w:rsid w:val="0080776D"/>
    <w:rsid w:val="0082720B"/>
    <w:rsid w:val="008401C9"/>
    <w:rsid w:val="008440D0"/>
    <w:rsid w:val="00875A73"/>
    <w:rsid w:val="00885C02"/>
    <w:rsid w:val="008A4458"/>
    <w:rsid w:val="008A57C5"/>
    <w:rsid w:val="008B1A02"/>
    <w:rsid w:val="008B1A82"/>
    <w:rsid w:val="008C1F49"/>
    <w:rsid w:val="008F00D8"/>
    <w:rsid w:val="0092626F"/>
    <w:rsid w:val="0093313C"/>
    <w:rsid w:val="009347B2"/>
    <w:rsid w:val="00937690"/>
    <w:rsid w:val="00952C81"/>
    <w:rsid w:val="009636D4"/>
    <w:rsid w:val="009679B5"/>
    <w:rsid w:val="009A485C"/>
    <w:rsid w:val="009D497F"/>
    <w:rsid w:val="009D7319"/>
    <w:rsid w:val="00A35F06"/>
    <w:rsid w:val="00A41EF1"/>
    <w:rsid w:val="00A422CD"/>
    <w:rsid w:val="00A66AAA"/>
    <w:rsid w:val="00A74D90"/>
    <w:rsid w:val="00A85661"/>
    <w:rsid w:val="00AA11A4"/>
    <w:rsid w:val="00AA5EBF"/>
    <w:rsid w:val="00AC62FA"/>
    <w:rsid w:val="00AC76CE"/>
    <w:rsid w:val="00AD1A91"/>
    <w:rsid w:val="00AD3A85"/>
    <w:rsid w:val="00AD50A2"/>
    <w:rsid w:val="00AE6D2A"/>
    <w:rsid w:val="00AF7A0A"/>
    <w:rsid w:val="00B13DB9"/>
    <w:rsid w:val="00B202CC"/>
    <w:rsid w:val="00B26246"/>
    <w:rsid w:val="00B31E38"/>
    <w:rsid w:val="00B400BB"/>
    <w:rsid w:val="00B62176"/>
    <w:rsid w:val="00B62DC6"/>
    <w:rsid w:val="00B77079"/>
    <w:rsid w:val="00BA067C"/>
    <w:rsid w:val="00BA2793"/>
    <w:rsid w:val="00BB1F7F"/>
    <w:rsid w:val="00BB6734"/>
    <w:rsid w:val="00BD4DFB"/>
    <w:rsid w:val="00C053EB"/>
    <w:rsid w:val="00C200B8"/>
    <w:rsid w:val="00CA610D"/>
    <w:rsid w:val="00CC232F"/>
    <w:rsid w:val="00CD1BFC"/>
    <w:rsid w:val="00CD504D"/>
    <w:rsid w:val="00CF28F0"/>
    <w:rsid w:val="00D105FB"/>
    <w:rsid w:val="00D11434"/>
    <w:rsid w:val="00D501B6"/>
    <w:rsid w:val="00D6476F"/>
    <w:rsid w:val="00D65680"/>
    <w:rsid w:val="00D65BA6"/>
    <w:rsid w:val="00D95876"/>
    <w:rsid w:val="00DA3C77"/>
    <w:rsid w:val="00DB1656"/>
    <w:rsid w:val="00DC3F9B"/>
    <w:rsid w:val="00E26978"/>
    <w:rsid w:val="00E417ED"/>
    <w:rsid w:val="00E50485"/>
    <w:rsid w:val="00E66F3B"/>
    <w:rsid w:val="00E96DB5"/>
    <w:rsid w:val="00EA36A3"/>
    <w:rsid w:val="00EB269B"/>
    <w:rsid w:val="00ED067C"/>
    <w:rsid w:val="00ED273C"/>
    <w:rsid w:val="00EE7BB7"/>
    <w:rsid w:val="00EF22C1"/>
    <w:rsid w:val="00F01361"/>
    <w:rsid w:val="00F02B4B"/>
    <w:rsid w:val="00F03FDD"/>
    <w:rsid w:val="00F5111D"/>
    <w:rsid w:val="00FA3AE9"/>
    <w:rsid w:val="00FB35CD"/>
    <w:rsid w:val="00FC1EC0"/>
    <w:rsid w:val="00FD1024"/>
    <w:rsid w:val="00FD6093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val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2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x-none"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Header-PR,Header1"/>
    <w:basedOn w:val="Navaden"/>
    <w:link w:val="GlavaZnak"/>
    <w:uiPriority w:val="99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Natevanje1">
    <w:name w:val="Naštevanje1"/>
    <w:basedOn w:val="Navaden"/>
    <w:rsid w:val="0080776D"/>
    <w:pPr>
      <w:suppressAutoHyphens w:val="0"/>
      <w:ind w:left="454" w:hanging="454"/>
    </w:pPr>
    <w:rPr>
      <w:szCs w:val="20"/>
      <w:lang w:eastAsia="sl-SI"/>
    </w:rPr>
  </w:style>
  <w:style w:type="paragraph" w:styleId="Seznam">
    <w:name w:val="List"/>
    <w:basedOn w:val="Telobesedila"/>
    <w:rsid w:val="0080776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  <w:lang w:eastAsia="sl-SI"/>
    </w:rPr>
  </w:style>
  <w:style w:type="paragraph" w:styleId="Telobesedila">
    <w:name w:val="Body Text"/>
    <w:basedOn w:val="Navaden"/>
    <w:link w:val="TelobesedilaZnak"/>
    <w:rsid w:val="0080776D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80776D"/>
    <w:rPr>
      <w:sz w:val="24"/>
      <w:szCs w:val="24"/>
      <w:lang w:eastAsia="ar-SA"/>
    </w:rPr>
  </w:style>
  <w:style w:type="paragraph" w:customStyle="1" w:styleId="datumtevilka">
    <w:name w:val="datum številka"/>
    <w:basedOn w:val="Navaden"/>
    <w:qFormat/>
    <w:rsid w:val="000B159A"/>
    <w:pPr>
      <w:tabs>
        <w:tab w:val="left" w:pos="1701"/>
      </w:tabs>
      <w:suppressAutoHyphens w:val="0"/>
      <w:spacing w:line="260" w:lineRule="atLeast"/>
    </w:pPr>
    <w:rPr>
      <w:rFonts w:ascii="Arial" w:hAnsi="Arial"/>
      <w:sz w:val="20"/>
      <w:szCs w:val="20"/>
      <w:lang w:eastAsia="sl-SI"/>
    </w:rPr>
  </w:style>
  <w:style w:type="character" w:customStyle="1" w:styleId="GlavaZnak">
    <w:name w:val="Glava Znak"/>
    <w:aliases w:val="Header-PR Znak,Header1 Znak"/>
    <w:link w:val="Glava"/>
    <w:uiPriority w:val="99"/>
    <w:rsid w:val="00B31E38"/>
    <w:rPr>
      <w:rFonts w:ascii="Arial" w:hAnsi="Arial"/>
      <w:szCs w:val="24"/>
      <w:lang w:val="en-US" w:eastAsia="en-US"/>
    </w:rPr>
  </w:style>
  <w:style w:type="paragraph" w:customStyle="1" w:styleId="Preformatted">
    <w:name w:val="Preformatted"/>
    <w:basedOn w:val="Navaden"/>
    <w:rsid w:val="00B31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sl-SI"/>
    </w:rPr>
  </w:style>
  <w:style w:type="character" w:styleId="Pripombasklic">
    <w:name w:val="annotation reference"/>
    <w:rsid w:val="00172D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72D2F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rsid w:val="00172D2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172D2F"/>
    <w:rPr>
      <w:b/>
      <w:bCs/>
    </w:rPr>
  </w:style>
  <w:style w:type="character" w:customStyle="1" w:styleId="ZadevapripombeZnak">
    <w:name w:val="Zadeva pripombe Znak"/>
    <w:link w:val="Zadevapripombe"/>
    <w:rsid w:val="00172D2F"/>
    <w:rPr>
      <w:b/>
      <w:bCs/>
      <w:lang w:eastAsia="ar-SA"/>
    </w:rPr>
  </w:style>
  <w:style w:type="paragraph" w:customStyle="1" w:styleId="Default">
    <w:name w:val="Default"/>
    <w:rsid w:val="003F31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6751F0"/>
  </w:style>
  <w:style w:type="paragraph" w:styleId="Odstavekseznama">
    <w:name w:val="List Paragraph"/>
    <w:basedOn w:val="Navaden"/>
    <w:uiPriority w:val="34"/>
    <w:qFormat/>
    <w:rsid w:val="00EE7BB7"/>
    <w:pPr>
      <w:ind w:left="708"/>
    </w:pPr>
  </w:style>
  <w:style w:type="paragraph" w:styleId="Brezrazmikov">
    <w:name w:val="No Spacing"/>
    <w:uiPriority w:val="1"/>
    <w:qFormat/>
    <w:rsid w:val="00EE7B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val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2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x-none"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Header-PR,Header1"/>
    <w:basedOn w:val="Navaden"/>
    <w:link w:val="GlavaZnak"/>
    <w:uiPriority w:val="99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Natevanje1">
    <w:name w:val="Naštevanje1"/>
    <w:basedOn w:val="Navaden"/>
    <w:rsid w:val="0080776D"/>
    <w:pPr>
      <w:suppressAutoHyphens w:val="0"/>
      <w:ind w:left="454" w:hanging="454"/>
    </w:pPr>
    <w:rPr>
      <w:szCs w:val="20"/>
      <w:lang w:eastAsia="sl-SI"/>
    </w:rPr>
  </w:style>
  <w:style w:type="paragraph" w:styleId="Seznam">
    <w:name w:val="List"/>
    <w:basedOn w:val="Telobesedila"/>
    <w:rsid w:val="0080776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  <w:lang w:eastAsia="sl-SI"/>
    </w:rPr>
  </w:style>
  <w:style w:type="paragraph" w:styleId="Telobesedila">
    <w:name w:val="Body Text"/>
    <w:basedOn w:val="Navaden"/>
    <w:link w:val="TelobesedilaZnak"/>
    <w:rsid w:val="0080776D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80776D"/>
    <w:rPr>
      <w:sz w:val="24"/>
      <w:szCs w:val="24"/>
      <w:lang w:eastAsia="ar-SA"/>
    </w:rPr>
  </w:style>
  <w:style w:type="paragraph" w:customStyle="1" w:styleId="datumtevilka">
    <w:name w:val="datum številka"/>
    <w:basedOn w:val="Navaden"/>
    <w:qFormat/>
    <w:rsid w:val="000B159A"/>
    <w:pPr>
      <w:tabs>
        <w:tab w:val="left" w:pos="1701"/>
      </w:tabs>
      <w:suppressAutoHyphens w:val="0"/>
      <w:spacing w:line="260" w:lineRule="atLeast"/>
    </w:pPr>
    <w:rPr>
      <w:rFonts w:ascii="Arial" w:hAnsi="Arial"/>
      <w:sz w:val="20"/>
      <w:szCs w:val="20"/>
      <w:lang w:eastAsia="sl-SI"/>
    </w:rPr>
  </w:style>
  <w:style w:type="character" w:customStyle="1" w:styleId="GlavaZnak">
    <w:name w:val="Glava Znak"/>
    <w:aliases w:val="Header-PR Znak,Header1 Znak"/>
    <w:link w:val="Glava"/>
    <w:uiPriority w:val="99"/>
    <w:rsid w:val="00B31E38"/>
    <w:rPr>
      <w:rFonts w:ascii="Arial" w:hAnsi="Arial"/>
      <w:szCs w:val="24"/>
      <w:lang w:val="en-US" w:eastAsia="en-US"/>
    </w:rPr>
  </w:style>
  <w:style w:type="paragraph" w:customStyle="1" w:styleId="Preformatted">
    <w:name w:val="Preformatted"/>
    <w:basedOn w:val="Navaden"/>
    <w:rsid w:val="00B31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sl-SI"/>
    </w:rPr>
  </w:style>
  <w:style w:type="character" w:styleId="Pripombasklic">
    <w:name w:val="annotation reference"/>
    <w:rsid w:val="00172D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72D2F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rsid w:val="00172D2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172D2F"/>
    <w:rPr>
      <w:b/>
      <w:bCs/>
    </w:rPr>
  </w:style>
  <w:style w:type="character" w:customStyle="1" w:styleId="ZadevapripombeZnak">
    <w:name w:val="Zadeva pripombe Znak"/>
    <w:link w:val="Zadevapripombe"/>
    <w:rsid w:val="00172D2F"/>
    <w:rPr>
      <w:b/>
      <w:bCs/>
      <w:lang w:eastAsia="ar-SA"/>
    </w:rPr>
  </w:style>
  <w:style w:type="paragraph" w:customStyle="1" w:styleId="Default">
    <w:name w:val="Default"/>
    <w:rsid w:val="003F31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6751F0"/>
  </w:style>
  <w:style w:type="paragraph" w:styleId="Odstavekseznama">
    <w:name w:val="List Paragraph"/>
    <w:basedOn w:val="Navaden"/>
    <w:uiPriority w:val="34"/>
    <w:qFormat/>
    <w:rsid w:val="00EE7BB7"/>
    <w:pPr>
      <w:ind w:left="708"/>
    </w:pPr>
  </w:style>
  <w:style w:type="paragraph" w:styleId="Brezrazmikov">
    <w:name w:val="No Spacing"/>
    <w:uiPriority w:val="1"/>
    <w:qFormat/>
    <w:rsid w:val="00EE7B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p.gs@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37F-B081-414A-82C1-3253B28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36231</CharactersWithSpaces>
  <SharedDoc>false</SharedDoc>
  <HLinks>
    <vt:vector size="18" baseType="variant"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http://www.uradni-list.si/1/objava.jsp?sop=2014-01-0248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http://www.uradni-list.si/1/objava.jsp?sop=2012-01-2579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Plut</dc:creator>
  <cp:lastModifiedBy>Andreja Belavić Benedik</cp:lastModifiedBy>
  <cp:revision>3</cp:revision>
  <cp:lastPrinted>2016-09-28T09:07:00Z</cp:lastPrinted>
  <dcterms:created xsi:type="dcterms:W3CDTF">2016-09-28T08:18:00Z</dcterms:created>
  <dcterms:modified xsi:type="dcterms:W3CDTF">2016-09-28T14:50:00Z</dcterms:modified>
</cp:coreProperties>
</file>