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E" w:rsidRPr="002C431D" w:rsidRDefault="00CA678E">
      <w:pPr>
        <w:rPr>
          <w:szCs w:val="20"/>
          <w:lang w:val="sl-SI"/>
        </w:rPr>
      </w:pPr>
    </w:p>
    <w:p w:rsidR="00CA678E" w:rsidRPr="002C431D" w:rsidRDefault="00CA678E">
      <w:pPr>
        <w:rPr>
          <w:szCs w:val="20"/>
          <w:lang w:val="sl-SI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</w:tblGrid>
      <w:tr w:rsidR="00CA678E" w:rsidRPr="002C431D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CA678E" w:rsidRPr="002C431D" w:rsidRDefault="00CA678E" w:rsidP="001F3909">
            <w:pPr>
              <w:spacing w:line="240" w:lineRule="auto"/>
              <w:rPr>
                <w:rFonts w:cs="Arial"/>
                <w:bCs/>
                <w:noProof/>
                <w:color w:val="000000"/>
                <w:szCs w:val="20"/>
                <w:lang w:val="sl-SI"/>
              </w:rPr>
            </w:pPr>
            <w:r w:rsidRPr="002C431D">
              <w:rPr>
                <w:szCs w:val="20"/>
                <w:lang w:val="sl-SI"/>
              </w:rPr>
              <w:t xml:space="preserve">Številka: </w:t>
            </w:r>
            <w:r w:rsidR="001F3909" w:rsidRPr="002C431D">
              <w:rPr>
                <w:rFonts w:cs="Arial"/>
                <w:bCs/>
                <w:noProof/>
                <w:color w:val="000000"/>
                <w:szCs w:val="20"/>
                <w:lang w:val="sl-SI"/>
              </w:rPr>
              <w:t>007-172/2017</w:t>
            </w:r>
          </w:p>
        </w:tc>
      </w:tr>
      <w:tr w:rsidR="00CA678E" w:rsidRPr="002C431D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CA678E" w:rsidRPr="002C431D" w:rsidRDefault="00CA678E" w:rsidP="00E35A2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 xml:space="preserve">Ljubljana, </w:t>
            </w:r>
            <w:r w:rsidR="00E35A24">
              <w:rPr>
                <w:sz w:val="20"/>
                <w:szCs w:val="20"/>
              </w:rPr>
              <w:t>10</w:t>
            </w:r>
            <w:r w:rsidR="006C42B3" w:rsidRPr="002C431D">
              <w:rPr>
                <w:sz w:val="20"/>
                <w:szCs w:val="20"/>
              </w:rPr>
              <w:t>.</w:t>
            </w:r>
            <w:r w:rsidR="00C70B37">
              <w:rPr>
                <w:sz w:val="20"/>
                <w:szCs w:val="20"/>
              </w:rPr>
              <w:t xml:space="preserve"> </w:t>
            </w:r>
            <w:r w:rsidR="006762A7">
              <w:rPr>
                <w:sz w:val="20"/>
                <w:szCs w:val="20"/>
              </w:rPr>
              <w:t>7</w:t>
            </w:r>
            <w:r w:rsidR="006C3B9D">
              <w:rPr>
                <w:sz w:val="20"/>
                <w:szCs w:val="20"/>
              </w:rPr>
              <w:t>.</w:t>
            </w:r>
            <w:r w:rsidR="00F553FB">
              <w:rPr>
                <w:sz w:val="20"/>
                <w:szCs w:val="20"/>
              </w:rPr>
              <w:t xml:space="preserve"> </w:t>
            </w:r>
            <w:r w:rsidR="006C42B3" w:rsidRPr="002C431D">
              <w:rPr>
                <w:sz w:val="20"/>
                <w:szCs w:val="20"/>
              </w:rPr>
              <w:t>2017</w:t>
            </w:r>
          </w:p>
        </w:tc>
      </w:tr>
      <w:tr w:rsidR="00CA678E" w:rsidRPr="002C431D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CA678E" w:rsidRPr="002C431D" w:rsidRDefault="00CA678E" w:rsidP="00F553FB">
            <w:pPr>
              <w:suppressAutoHyphens/>
              <w:jc w:val="both"/>
              <w:rPr>
                <w:rFonts w:cs="Arial"/>
                <w:noProof/>
                <w:color w:val="00000A"/>
                <w:szCs w:val="20"/>
                <w:lang w:val="sl-SI"/>
              </w:rPr>
            </w:pPr>
            <w:r w:rsidRPr="002C431D">
              <w:rPr>
                <w:iCs/>
                <w:szCs w:val="20"/>
                <w:lang w:val="sl-SI"/>
              </w:rPr>
              <w:t xml:space="preserve">EVA </w:t>
            </w:r>
            <w:r w:rsidR="006C42B3" w:rsidRPr="002C431D">
              <w:rPr>
                <w:rFonts w:cs="Arial"/>
                <w:noProof/>
                <w:color w:val="00000A"/>
                <w:szCs w:val="20"/>
                <w:lang w:val="sl-SI"/>
              </w:rPr>
              <w:t>2017-2550-0045</w:t>
            </w:r>
          </w:p>
        </w:tc>
      </w:tr>
      <w:tr w:rsidR="00CA678E" w:rsidRPr="002C431D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CA678E" w:rsidRPr="002C431D" w:rsidRDefault="00CA678E" w:rsidP="00416654">
            <w:pPr>
              <w:rPr>
                <w:rFonts w:cs="Arial"/>
                <w:szCs w:val="20"/>
                <w:lang w:val="sl-SI"/>
              </w:rPr>
            </w:pPr>
          </w:p>
          <w:p w:rsidR="00CA678E" w:rsidRPr="002C431D" w:rsidRDefault="00CA678E" w:rsidP="00416654">
            <w:pPr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CA678E" w:rsidRPr="002C431D" w:rsidRDefault="00440747" w:rsidP="00416654">
            <w:pPr>
              <w:rPr>
                <w:rFonts w:cs="Arial"/>
                <w:szCs w:val="20"/>
                <w:lang w:val="sl-SI"/>
              </w:rPr>
            </w:pPr>
            <w:hyperlink r:id="rId8" w:history="1">
              <w:r w:rsidR="00CA678E" w:rsidRPr="002C431D">
                <w:rPr>
                  <w:rStyle w:val="Hiperpovezava"/>
                  <w:szCs w:val="20"/>
                  <w:lang w:val="sl-SI"/>
                </w:rPr>
                <w:t>Gp.gs@gov.si</w:t>
              </w:r>
            </w:hyperlink>
          </w:p>
          <w:p w:rsidR="00CA678E" w:rsidRPr="002C431D" w:rsidRDefault="00CA678E" w:rsidP="00416654">
            <w:pPr>
              <w:rPr>
                <w:rFonts w:cs="Arial"/>
                <w:szCs w:val="20"/>
                <w:lang w:val="sl-SI"/>
              </w:rPr>
            </w:pP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CA678E" w:rsidRPr="002C431D" w:rsidRDefault="00CA678E" w:rsidP="00E35A24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 xml:space="preserve">ZADEVA: </w:t>
            </w:r>
            <w:r w:rsidR="00E27591" w:rsidRPr="002C431D">
              <w:rPr>
                <w:sz w:val="20"/>
                <w:szCs w:val="20"/>
              </w:rPr>
              <w:t xml:space="preserve">Uredba o </w:t>
            </w:r>
            <w:r w:rsidR="00E35A24">
              <w:rPr>
                <w:sz w:val="20"/>
                <w:szCs w:val="20"/>
              </w:rPr>
              <w:t>d</w:t>
            </w:r>
            <w:r w:rsidR="0080575F">
              <w:rPr>
                <w:sz w:val="20"/>
                <w:szCs w:val="20"/>
              </w:rPr>
              <w:t xml:space="preserve">opolnitvah </w:t>
            </w:r>
            <w:r w:rsidR="00E27591" w:rsidRPr="002C431D">
              <w:rPr>
                <w:sz w:val="20"/>
                <w:szCs w:val="20"/>
              </w:rPr>
              <w:t>Uredbe o nacionalnih zgornjih mejah emisij onesnaževal zunanjega zraka</w:t>
            </w:r>
            <w:r w:rsidR="00F553FB">
              <w:rPr>
                <w:sz w:val="20"/>
                <w:szCs w:val="20"/>
              </w:rPr>
              <w:t xml:space="preserve"> </w:t>
            </w:r>
            <w:r w:rsidRPr="002C431D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1. Predlog sklepov vlade:</w:t>
            </w:r>
          </w:p>
        </w:tc>
      </w:tr>
      <w:tr w:rsidR="00CA678E" w:rsidRPr="00E35A24" w:rsidTr="00CA678E">
        <w:tc>
          <w:tcPr>
            <w:tcW w:w="9100" w:type="dxa"/>
            <w:gridSpan w:val="12"/>
          </w:tcPr>
          <w:p w:rsidR="00CA678E" w:rsidRPr="002C431D" w:rsidRDefault="00ED7AE3" w:rsidP="00ED7AE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Na podlagi tretjega odstavka 17. člena Zakona o varstvu okolja (Uradni list RS, št. 39/06 – uradno prečiščeno besedilo, 49/06 – ZMetD, 66/06 – odl. US, 33/07 – ZPNačrt, 57/08 – ZFO-1A, 70/08, 108/09, 108/09 – ZPNačrt-A, 48/12, 57/12, 92/13, 56/15, 102/15 in 30/16)</w:t>
            </w:r>
          </w:p>
          <w:p w:rsidR="00FA7EF9" w:rsidRPr="002C431D" w:rsidRDefault="00FA7EF9" w:rsidP="00FA7EF9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je Vlada Republike Slovenije na … seji dne … sprejela</w:t>
            </w:r>
          </w:p>
          <w:p w:rsidR="00FA7EF9" w:rsidRPr="002C431D" w:rsidRDefault="00FA7EF9" w:rsidP="00FA7EF9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</w:p>
          <w:p w:rsidR="00FA7EF9" w:rsidRPr="002C431D" w:rsidRDefault="00FA7EF9" w:rsidP="00A97C39">
            <w:pPr>
              <w:pStyle w:val="Neotevilenodstavek"/>
              <w:spacing w:line="260" w:lineRule="exact"/>
              <w:jc w:val="center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SKLEP:</w:t>
            </w:r>
          </w:p>
          <w:p w:rsidR="00FA7EF9" w:rsidRPr="002C431D" w:rsidRDefault="00FA7EF9" w:rsidP="00FA7EF9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</w:p>
          <w:p w:rsidR="00FA7EF9" w:rsidRPr="002C431D" w:rsidRDefault="00FA7EF9" w:rsidP="00FA7EF9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 xml:space="preserve">Vlada Republike Slovenije izdaja </w:t>
            </w:r>
            <w:r w:rsidR="00C76F20" w:rsidRPr="002C431D">
              <w:rPr>
                <w:sz w:val="20"/>
                <w:szCs w:val="20"/>
              </w:rPr>
              <w:t>Uredb</w:t>
            </w:r>
            <w:r w:rsidR="00F553FB">
              <w:rPr>
                <w:sz w:val="20"/>
                <w:szCs w:val="20"/>
              </w:rPr>
              <w:t>o</w:t>
            </w:r>
            <w:r w:rsidR="00C76F20" w:rsidRPr="002C431D">
              <w:rPr>
                <w:sz w:val="20"/>
                <w:szCs w:val="20"/>
              </w:rPr>
              <w:t xml:space="preserve"> o </w:t>
            </w:r>
            <w:r w:rsidR="0080575F">
              <w:rPr>
                <w:sz w:val="20"/>
                <w:szCs w:val="20"/>
              </w:rPr>
              <w:t xml:space="preserve">dopolnitvah </w:t>
            </w:r>
            <w:r w:rsidR="00C76F20" w:rsidRPr="002C431D">
              <w:rPr>
                <w:sz w:val="20"/>
                <w:szCs w:val="20"/>
              </w:rPr>
              <w:t>Uredbe o nacionalnih zgornjih mejah emisij onesnaževal zunanjega zraka</w:t>
            </w:r>
            <w:r w:rsidRPr="002C431D">
              <w:rPr>
                <w:sz w:val="20"/>
                <w:szCs w:val="20"/>
              </w:rPr>
              <w:t xml:space="preserve">, ki se objavi v Uradnem listu Republike Slovenije.  </w:t>
            </w:r>
          </w:p>
          <w:p w:rsidR="00FA7EF9" w:rsidRPr="002C431D" w:rsidRDefault="00FA7EF9" w:rsidP="00A97C39">
            <w:pPr>
              <w:pStyle w:val="Neotevilenodstavek"/>
              <w:spacing w:line="260" w:lineRule="exact"/>
              <w:ind w:left="5760"/>
              <w:rPr>
                <w:sz w:val="20"/>
                <w:szCs w:val="20"/>
              </w:rPr>
            </w:pPr>
          </w:p>
          <w:p w:rsidR="00FA7EF9" w:rsidRPr="002C431D" w:rsidRDefault="00FA7EF9" w:rsidP="00A97C39">
            <w:pPr>
              <w:pStyle w:val="Neotevilenodstavek"/>
              <w:spacing w:line="260" w:lineRule="exact"/>
              <w:ind w:left="5760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Mag. Lilijana Kozlovič</w:t>
            </w:r>
          </w:p>
          <w:p w:rsidR="00FA7EF9" w:rsidRPr="002C431D" w:rsidRDefault="00FA7EF9" w:rsidP="00A97C39">
            <w:pPr>
              <w:pStyle w:val="Neotevilenodstavek"/>
              <w:spacing w:line="260" w:lineRule="exact"/>
              <w:ind w:left="5760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GENERALNA SEKRETARKA</w:t>
            </w:r>
          </w:p>
          <w:p w:rsidR="00FA7EF9" w:rsidRPr="002C431D" w:rsidRDefault="00FA7EF9" w:rsidP="00FA7EF9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</w:p>
          <w:p w:rsidR="00FA7EF9" w:rsidRPr="002C431D" w:rsidRDefault="00FA7EF9" w:rsidP="00FA7EF9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</w:p>
          <w:p w:rsidR="00FA7EF9" w:rsidRPr="002C431D" w:rsidRDefault="00FA7EF9" w:rsidP="00FA7EF9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Priloge:</w:t>
            </w:r>
          </w:p>
          <w:p w:rsidR="002D729E" w:rsidRPr="002C431D" w:rsidRDefault="002D729E" w:rsidP="002D729E">
            <w:pPr>
              <w:pStyle w:val="Neotevilenodstavek"/>
              <w:numPr>
                <w:ilvl w:val="0"/>
                <w:numId w:val="23"/>
              </w:numPr>
              <w:spacing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 xml:space="preserve">Uredba o </w:t>
            </w:r>
            <w:r w:rsidR="00E35A24">
              <w:rPr>
                <w:sz w:val="20"/>
                <w:szCs w:val="20"/>
              </w:rPr>
              <w:t>dopolnitvah</w:t>
            </w:r>
            <w:r w:rsidRPr="002C431D">
              <w:rPr>
                <w:sz w:val="20"/>
                <w:szCs w:val="20"/>
              </w:rPr>
              <w:t xml:space="preserve"> Uredbe o nacionalnih zgornjih mejah emisij onesnaževal zunanjega zraka</w:t>
            </w:r>
            <w:r w:rsidR="00F553FB">
              <w:rPr>
                <w:sz w:val="20"/>
                <w:szCs w:val="20"/>
              </w:rPr>
              <w:t>,</w:t>
            </w:r>
            <w:r w:rsidRPr="002C431D">
              <w:rPr>
                <w:sz w:val="20"/>
                <w:szCs w:val="20"/>
              </w:rPr>
              <w:t xml:space="preserve"> </w:t>
            </w:r>
          </w:p>
          <w:p w:rsidR="00FA7EF9" w:rsidRPr="002C431D" w:rsidRDefault="00FA7EF9" w:rsidP="002D729E">
            <w:pPr>
              <w:pStyle w:val="Neotevilenodstavek"/>
              <w:numPr>
                <w:ilvl w:val="0"/>
                <w:numId w:val="23"/>
              </w:numPr>
              <w:spacing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obrazložitev</w:t>
            </w:r>
            <w:r w:rsidR="00F553FB">
              <w:rPr>
                <w:sz w:val="20"/>
                <w:szCs w:val="20"/>
              </w:rPr>
              <w:t>,</w:t>
            </w:r>
          </w:p>
          <w:p w:rsidR="00FA7EF9" w:rsidRPr="002C431D" w:rsidRDefault="00FA7EF9" w:rsidP="00FA7EF9">
            <w:pPr>
              <w:pStyle w:val="Neotevilenodstavek"/>
              <w:numPr>
                <w:ilvl w:val="0"/>
                <w:numId w:val="23"/>
              </w:numPr>
              <w:spacing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mnenja medresorskega usklajevanja</w:t>
            </w:r>
            <w:r w:rsidR="00F553FB">
              <w:rPr>
                <w:sz w:val="20"/>
                <w:szCs w:val="20"/>
              </w:rPr>
              <w:t>.</w:t>
            </w:r>
          </w:p>
          <w:p w:rsidR="00FA7EF9" w:rsidRPr="002C431D" w:rsidRDefault="00F553FB" w:rsidP="00FA7EF9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A7EF9" w:rsidRPr="002C431D">
              <w:rPr>
                <w:sz w:val="20"/>
                <w:szCs w:val="20"/>
              </w:rPr>
              <w:t>klep</w:t>
            </w:r>
            <w:r>
              <w:rPr>
                <w:sz w:val="20"/>
                <w:szCs w:val="20"/>
              </w:rPr>
              <w:t xml:space="preserve"> prejme</w:t>
            </w:r>
            <w:r w:rsidR="00FA7EF9" w:rsidRPr="002C431D">
              <w:rPr>
                <w:sz w:val="20"/>
                <w:szCs w:val="20"/>
              </w:rPr>
              <w:t>:</w:t>
            </w:r>
          </w:p>
          <w:p w:rsidR="00ED7AE3" w:rsidRPr="002C431D" w:rsidRDefault="00FA7EF9" w:rsidP="00FA7EF9">
            <w:pPr>
              <w:pStyle w:val="Neotevilenodstavek"/>
              <w:numPr>
                <w:ilvl w:val="0"/>
                <w:numId w:val="24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Ministrstvo za okolje in prostor, Dunajska 48, 1000 Ljubljana.</w:t>
            </w:r>
          </w:p>
          <w:p w:rsidR="00ED7AE3" w:rsidRPr="002C431D" w:rsidRDefault="00ED7AE3" w:rsidP="00ED7AE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7AE3" w:rsidRPr="002C431D" w:rsidRDefault="00ED7AE3" w:rsidP="00ED7AE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A678E" w:rsidRPr="00E35A24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C431D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CA678E" w:rsidRPr="002C431D" w:rsidRDefault="00E45F32" w:rsidP="004166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/</w:t>
            </w:r>
          </w:p>
        </w:tc>
      </w:tr>
      <w:tr w:rsidR="00CA678E" w:rsidRPr="00E35A24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C431D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E45F32" w:rsidRPr="002C431D" w:rsidRDefault="00E45F32" w:rsidP="00E45F32">
            <w:pPr>
              <w:numPr>
                <w:ilvl w:val="0"/>
                <w:numId w:val="25"/>
              </w:numPr>
              <w:spacing w:before="120" w:line="240" w:lineRule="auto"/>
              <w:ind w:left="357" w:hanging="357"/>
              <w:rPr>
                <w:szCs w:val="20"/>
                <w:lang w:val="sl-SI"/>
              </w:rPr>
            </w:pPr>
            <w:r w:rsidRPr="002C431D">
              <w:rPr>
                <w:szCs w:val="20"/>
                <w:lang w:val="sl-SI"/>
              </w:rPr>
              <w:t>mag. Tanja Bolte, generalna direktorica Direktorata za okolje</w:t>
            </w:r>
          </w:p>
          <w:p w:rsidR="00E45F32" w:rsidRPr="002C431D" w:rsidRDefault="00E45F32" w:rsidP="00E45F32">
            <w:pPr>
              <w:numPr>
                <w:ilvl w:val="0"/>
                <w:numId w:val="25"/>
              </w:numPr>
              <w:spacing w:line="240" w:lineRule="auto"/>
              <w:ind w:left="357" w:hanging="357"/>
              <w:rPr>
                <w:szCs w:val="20"/>
                <w:lang w:val="sl-SI"/>
              </w:rPr>
            </w:pPr>
            <w:r w:rsidRPr="002C431D">
              <w:rPr>
                <w:szCs w:val="20"/>
                <w:lang w:val="sl-SI"/>
              </w:rPr>
              <w:t>Tone Kvasič, vodja Oddelka za okolje v Direktoratu za okolje</w:t>
            </w:r>
          </w:p>
          <w:p w:rsidR="00CA678E" w:rsidRPr="002C431D" w:rsidRDefault="00E45F32" w:rsidP="00E45F32">
            <w:pPr>
              <w:numPr>
                <w:ilvl w:val="0"/>
                <w:numId w:val="25"/>
              </w:numPr>
              <w:spacing w:line="240" w:lineRule="auto"/>
              <w:ind w:left="357" w:hanging="357"/>
              <w:rPr>
                <w:szCs w:val="20"/>
                <w:lang w:val="sl-SI"/>
              </w:rPr>
            </w:pPr>
            <w:r w:rsidRPr="002C431D">
              <w:rPr>
                <w:szCs w:val="20"/>
                <w:lang w:val="sl-SI"/>
              </w:rPr>
              <w:t>Alenka Fritzel, sekretar</w:t>
            </w:r>
            <w:r w:rsidR="006B22DA" w:rsidRPr="002C431D">
              <w:rPr>
                <w:szCs w:val="20"/>
                <w:lang w:val="sl-SI"/>
              </w:rPr>
              <w:t>ka</w:t>
            </w:r>
          </w:p>
        </w:tc>
      </w:tr>
      <w:tr w:rsidR="00CA678E" w:rsidRPr="00E35A24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C431D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2C431D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CA678E" w:rsidRPr="002C431D" w:rsidRDefault="00F905A5" w:rsidP="004166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/</w:t>
            </w:r>
          </w:p>
        </w:tc>
      </w:tr>
      <w:tr w:rsidR="00CA678E" w:rsidRPr="00E35A24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C431D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CA678E" w:rsidRPr="002C431D" w:rsidRDefault="00F905A5" w:rsidP="00416654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5. Kratek povzetek gradiva:</w:t>
            </w:r>
          </w:p>
        </w:tc>
      </w:tr>
      <w:tr w:rsidR="00CA678E" w:rsidRPr="00E35A24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6. Presoja posledic za:</w:t>
            </w:r>
          </w:p>
        </w:tc>
      </w:tr>
      <w:tr w:rsidR="00CA678E" w:rsidRPr="002C431D" w:rsidTr="00CA678E">
        <w:tc>
          <w:tcPr>
            <w:tcW w:w="1448" w:type="dxa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NE</w:t>
            </w:r>
          </w:p>
        </w:tc>
      </w:tr>
      <w:tr w:rsidR="00CA678E" w:rsidRPr="002C431D" w:rsidTr="00CA678E">
        <w:tc>
          <w:tcPr>
            <w:tcW w:w="1448" w:type="dxa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2C431D" w:rsidRDefault="00CA678E" w:rsidP="002E225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DA</w:t>
            </w:r>
          </w:p>
        </w:tc>
      </w:tr>
      <w:tr w:rsidR="00CA678E" w:rsidRPr="002C431D" w:rsidTr="00CA678E">
        <w:tc>
          <w:tcPr>
            <w:tcW w:w="1448" w:type="dxa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2C431D" w:rsidRDefault="002E2257" w:rsidP="002E2257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NE</w:t>
            </w:r>
          </w:p>
        </w:tc>
      </w:tr>
      <w:tr w:rsidR="00CA678E" w:rsidRPr="002C431D" w:rsidTr="00CA678E">
        <w:tc>
          <w:tcPr>
            <w:tcW w:w="1448" w:type="dxa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gospodarstvo, zlasti</w:t>
            </w:r>
            <w:r w:rsidRPr="002C431D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NE</w:t>
            </w:r>
          </w:p>
        </w:tc>
      </w:tr>
      <w:tr w:rsidR="00CA678E" w:rsidRPr="002C431D" w:rsidTr="00CA678E">
        <w:tc>
          <w:tcPr>
            <w:tcW w:w="1448" w:type="dxa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C431D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2C431D" w:rsidRDefault="00CA678E" w:rsidP="002E225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DA</w:t>
            </w:r>
          </w:p>
        </w:tc>
      </w:tr>
      <w:tr w:rsidR="00CA678E" w:rsidRPr="002C431D" w:rsidTr="00CA678E">
        <w:tc>
          <w:tcPr>
            <w:tcW w:w="1448" w:type="dxa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C431D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NE</w:t>
            </w:r>
          </w:p>
        </w:tc>
      </w:tr>
      <w:tr w:rsidR="00CA678E" w:rsidRPr="002C431D" w:rsidTr="00CA678E">
        <w:tc>
          <w:tcPr>
            <w:tcW w:w="1448" w:type="dxa"/>
            <w:tcBorders>
              <w:bottom w:val="single" w:sz="4" w:space="0" w:color="auto"/>
            </w:tcBorders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C431D">
              <w:rPr>
                <w:bCs/>
                <w:sz w:val="20"/>
                <w:szCs w:val="20"/>
              </w:rPr>
              <w:t>dokumente razvojnega načrtovanja:</w:t>
            </w:r>
          </w:p>
          <w:p w:rsidR="00CA678E" w:rsidRPr="002C431D" w:rsidRDefault="00CA678E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C431D">
              <w:rPr>
                <w:bCs/>
                <w:sz w:val="20"/>
                <w:szCs w:val="20"/>
              </w:rPr>
              <w:t>nacionalne dokumente razvojnega načrtovanja</w:t>
            </w:r>
          </w:p>
          <w:p w:rsidR="00CA678E" w:rsidRPr="002C431D" w:rsidRDefault="00CA678E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C431D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CA678E" w:rsidRPr="002C431D" w:rsidRDefault="00CA678E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C431D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NE</w:t>
            </w:r>
          </w:p>
        </w:tc>
      </w:tr>
      <w:tr w:rsidR="00CA678E" w:rsidRPr="00E35A24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E" w:rsidRPr="002C431D" w:rsidRDefault="00CA678E" w:rsidP="004166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7.a Predstavitev ocene finančnih posledic nad 40.000 EUR:</w:t>
            </w:r>
          </w:p>
          <w:p w:rsidR="00CA678E" w:rsidRPr="002C431D" w:rsidRDefault="00CA678E" w:rsidP="004166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2C431D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CA678E" w:rsidRPr="00E35A24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E" w:rsidRPr="002C431D" w:rsidRDefault="00CA678E" w:rsidP="00CA678E">
            <w:pPr>
              <w:pStyle w:val="Oddelek"/>
              <w:spacing w:line="260" w:lineRule="exact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C431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C431D">
              <w:rPr>
                <w:b/>
                <w:szCs w:val="20"/>
                <w:lang w:val="sl-SI"/>
              </w:rPr>
              <w:t>–</w:t>
            </w:r>
            <w:r w:rsidRPr="002C431D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C431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C431D">
              <w:rPr>
                <w:b/>
                <w:szCs w:val="20"/>
                <w:lang w:val="sl-SI"/>
              </w:rPr>
              <w:t>–</w:t>
            </w:r>
            <w:r w:rsidRPr="002C431D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C431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C431D">
              <w:rPr>
                <w:b/>
                <w:szCs w:val="20"/>
                <w:lang w:val="sl-SI"/>
              </w:rPr>
              <w:t>–</w:t>
            </w:r>
            <w:r w:rsidRPr="002C431D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C431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C431D">
              <w:rPr>
                <w:b/>
                <w:szCs w:val="20"/>
                <w:lang w:val="sl-SI"/>
              </w:rPr>
              <w:t>–</w:t>
            </w:r>
            <w:r w:rsidRPr="002C431D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C431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C431D">
              <w:rPr>
                <w:b/>
                <w:szCs w:val="20"/>
                <w:lang w:val="sl-SI"/>
              </w:rPr>
              <w:t>–</w:t>
            </w:r>
            <w:r w:rsidRPr="002C431D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A678E" w:rsidRPr="00E35A24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2C431D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CA678E" w:rsidRPr="00E35A24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2C431D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2C431D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C431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C431D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lastRenderedPageBreak/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C431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C431D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2C431D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C431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2C431D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A678E" w:rsidRPr="002C431D" w:rsidTr="00CA678E">
        <w:trPr>
          <w:trHeight w:val="1910"/>
        </w:trPr>
        <w:tc>
          <w:tcPr>
            <w:tcW w:w="9100" w:type="dxa"/>
            <w:gridSpan w:val="12"/>
          </w:tcPr>
          <w:p w:rsidR="00CA678E" w:rsidRPr="002C431D" w:rsidRDefault="00CA678E" w:rsidP="00416654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CA678E" w:rsidRPr="002C431D" w:rsidRDefault="00CA678E" w:rsidP="00416654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2C431D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CA678E" w:rsidRPr="002C431D" w:rsidRDefault="00CA678E" w:rsidP="0035256D">
            <w:pPr>
              <w:widowControl w:val="0"/>
              <w:ind w:left="284"/>
              <w:jc w:val="both"/>
              <w:rPr>
                <w:szCs w:val="20"/>
                <w:lang w:val="sl-SI"/>
              </w:rPr>
            </w:pPr>
          </w:p>
        </w:tc>
      </w:tr>
      <w:tr w:rsidR="00CA678E" w:rsidRPr="002C431D" w:rsidTr="00CA678E">
        <w:trPr>
          <w:trHeight w:val="1152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E" w:rsidRPr="002C431D" w:rsidRDefault="00CA678E" w:rsidP="00416654">
            <w:pPr>
              <w:rPr>
                <w:rFonts w:cs="Arial"/>
                <w:b/>
                <w:szCs w:val="20"/>
                <w:lang w:val="sl-SI"/>
              </w:rPr>
            </w:pPr>
            <w:r w:rsidRPr="002C431D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:rsidR="00CA678E" w:rsidRPr="002C431D" w:rsidRDefault="00CA678E" w:rsidP="00416654">
            <w:pPr>
              <w:rPr>
                <w:rFonts w:cs="Arial"/>
                <w:szCs w:val="20"/>
                <w:lang w:val="sl-SI"/>
              </w:rPr>
            </w:pPr>
            <w:r w:rsidRPr="002C431D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:rsidR="00CA678E" w:rsidRPr="002C431D" w:rsidRDefault="00CA678E" w:rsidP="00416654">
            <w:pPr>
              <w:rPr>
                <w:rFonts w:cs="Arial"/>
                <w:b/>
                <w:szCs w:val="20"/>
                <w:lang w:val="sl-SI"/>
              </w:rPr>
            </w:pPr>
            <w:r w:rsidRPr="002C431D">
              <w:rPr>
                <w:rFonts w:cs="Arial"/>
                <w:b/>
                <w:szCs w:val="20"/>
                <w:lang w:val="sl-SI"/>
              </w:rPr>
              <w:t>Kratka obrazložitev</w:t>
            </w:r>
          </w:p>
          <w:p w:rsidR="00CA678E" w:rsidRPr="002C431D" w:rsidRDefault="00CA678E" w:rsidP="00416654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CA678E" w:rsidRPr="002C431D" w:rsidTr="00CA678E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E" w:rsidRPr="002C431D" w:rsidRDefault="00CA678E" w:rsidP="00416654">
            <w:pPr>
              <w:rPr>
                <w:rFonts w:cs="Arial"/>
                <w:b/>
                <w:szCs w:val="20"/>
                <w:lang w:val="sl-SI"/>
              </w:rPr>
            </w:pPr>
            <w:r w:rsidRPr="002C431D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CA678E" w:rsidRPr="002C431D" w:rsidTr="00CA678E">
        <w:tc>
          <w:tcPr>
            <w:tcW w:w="6669" w:type="dxa"/>
            <w:gridSpan w:val="9"/>
          </w:tcPr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pristojnosti občin,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delovanje občin,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financiranje občin.</w:t>
            </w:r>
          </w:p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CA678E" w:rsidRPr="002C431D" w:rsidRDefault="00CA678E" w:rsidP="002C431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NE</w:t>
            </w:r>
          </w:p>
        </w:tc>
      </w:tr>
      <w:tr w:rsidR="00CA678E" w:rsidRPr="00E35A24" w:rsidTr="00CA678E">
        <w:trPr>
          <w:trHeight w:val="274"/>
        </w:trPr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Skupnosti občin Slovenije SOS: NE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Združenju občin Slovenije ZOS</w:t>
            </w:r>
            <w:r w:rsidR="0035256D" w:rsidRPr="002C431D">
              <w:rPr>
                <w:iCs/>
                <w:sz w:val="20"/>
                <w:szCs w:val="20"/>
              </w:rPr>
              <w:t xml:space="preserve">: </w:t>
            </w:r>
            <w:r w:rsidRPr="002C431D">
              <w:rPr>
                <w:iCs/>
                <w:sz w:val="20"/>
                <w:szCs w:val="20"/>
              </w:rPr>
              <w:t>NE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Združenju mestnih občin Slovenije ZMOS: NE</w:t>
            </w:r>
          </w:p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v celoti,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večinoma,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delno,</w:t>
            </w:r>
          </w:p>
          <w:p w:rsidR="00CA678E" w:rsidRPr="002C431D" w:rsidRDefault="00CA678E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niso bili upoštevani.</w:t>
            </w:r>
          </w:p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A678E" w:rsidRPr="002C431D" w:rsidTr="00CA678E">
        <w:tc>
          <w:tcPr>
            <w:tcW w:w="9100" w:type="dxa"/>
            <w:gridSpan w:val="12"/>
            <w:vAlign w:val="center"/>
          </w:tcPr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C431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CA678E" w:rsidRPr="002C431D" w:rsidTr="00CA678E">
        <w:tc>
          <w:tcPr>
            <w:tcW w:w="6669" w:type="dxa"/>
            <w:gridSpan w:val="9"/>
          </w:tcPr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CA678E" w:rsidRPr="002C431D" w:rsidRDefault="00CA678E" w:rsidP="00293F7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DA</w:t>
            </w:r>
          </w:p>
        </w:tc>
      </w:tr>
      <w:tr w:rsidR="00CA678E" w:rsidRPr="002C431D" w:rsidTr="00CA678E">
        <w:tc>
          <w:tcPr>
            <w:tcW w:w="9100" w:type="dxa"/>
            <w:gridSpan w:val="12"/>
          </w:tcPr>
          <w:p w:rsidR="00CA678E" w:rsidRPr="002C431D" w:rsidRDefault="00293F72" w:rsidP="0041665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>/</w:t>
            </w:r>
          </w:p>
        </w:tc>
      </w:tr>
      <w:tr w:rsidR="00CA678E" w:rsidRPr="00E35A24" w:rsidTr="00CA678E">
        <w:tc>
          <w:tcPr>
            <w:tcW w:w="9100" w:type="dxa"/>
            <w:gridSpan w:val="12"/>
          </w:tcPr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C431D">
              <w:rPr>
                <w:iCs/>
                <w:sz w:val="20"/>
                <w:szCs w:val="20"/>
              </w:rPr>
              <w:t xml:space="preserve">Datum objave: </w:t>
            </w:r>
            <w:r w:rsidR="005C69EE" w:rsidRPr="002C431D">
              <w:rPr>
                <w:iCs/>
                <w:sz w:val="20"/>
                <w:szCs w:val="20"/>
              </w:rPr>
              <w:t>31.</w:t>
            </w:r>
            <w:r w:rsidR="00F553FB">
              <w:rPr>
                <w:iCs/>
                <w:sz w:val="20"/>
                <w:szCs w:val="20"/>
              </w:rPr>
              <w:t xml:space="preserve"> </w:t>
            </w:r>
            <w:r w:rsidR="005C69EE" w:rsidRPr="002C431D">
              <w:rPr>
                <w:iCs/>
                <w:sz w:val="20"/>
                <w:szCs w:val="20"/>
              </w:rPr>
              <w:t>5.</w:t>
            </w:r>
            <w:r w:rsidR="00F553FB">
              <w:rPr>
                <w:iCs/>
                <w:sz w:val="20"/>
                <w:szCs w:val="20"/>
              </w:rPr>
              <w:t xml:space="preserve"> </w:t>
            </w:r>
            <w:r w:rsidR="005C69EE" w:rsidRPr="002C431D">
              <w:rPr>
                <w:iCs/>
                <w:sz w:val="20"/>
                <w:szCs w:val="20"/>
              </w:rPr>
              <w:t>2017</w:t>
            </w:r>
          </w:p>
          <w:p w:rsidR="00FB7E35" w:rsidRPr="002C431D" w:rsidRDefault="00FB7E35" w:rsidP="00FB7E3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2C431D">
              <w:rPr>
                <w:rFonts w:cs="Arial"/>
                <w:iCs/>
                <w:szCs w:val="20"/>
                <w:lang w:val="sl-SI" w:eastAsia="sl-SI"/>
              </w:rPr>
              <w:t>V razpravo so bili vključeni: /</w:t>
            </w:r>
          </w:p>
          <w:p w:rsidR="00CA678E" w:rsidRPr="002C431D" w:rsidRDefault="00CA678E" w:rsidP="001228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22864" w:rsidRPr="002C431D" w:rsidRDefault="00122864" w:rsidP="001228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A678E" w:rsidRPr="002C431D" w:rsidTr="00CA678E">
        <w:tc>
          <w:tcPr>
            <w:tcW w:w="6669" w:type="dxa"/>
            <w:gridSpan w:val="9"/>
            <w:vAlign w:val="center"/>
          </w:tcPr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C431D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CA678E" w:rsidRPr="002C431D" w:rsidRDefault="00CA678E" w:rsidP="00FB7E3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DA</w:t>
            </w:r>
          </w:p>
        </w:tc>
      </w:tr>
      <w:tr w:rsidR="00CA678E" w:rsidRPr="002C431D" w:rsidTr="00CA678E">
        <w:tc>
          <w:tcPr>
            <w:tcW w:w="6669" w:type="dxa"/>
            <w:gridSpan w:val="9"/>
            <w:vAlign w:val="center"/>
          </w:tcPr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C431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CA678E" w:rsidRPr="002C431D" w:rsidRDefault="00CA678E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C431D">
              <w:rPr>
                <w:sz w:val="20"/>
                <w:szCs w:val="20"/>
              </w:rPr>
              <w:t>NE</w:t>
            </w:r>
          </w:p>
        </w:tc>
      </w:tr>
      <w:tr w:rsidR="00CA678E" w:rsidRPr="002C431D" w:rsidTr="00CA678E"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E" w:rsidRPr="002C431D" w:rsidRDefault="00CA678E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CA678E" w:rsidRPr="002C431D" w:rsidRDefault="000B4708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C431D">
              <w:rPr>
                <w:b w:val="0"/>
                <w:sz w:val="20"/>
                <w:szCs w:val="20"/>
              </w:rPr>
              <w:t xml:space="preserve">                                                       IRENA MAJCEN</w:t>
            </w:r>
          </w:p>
          <w:p w:rsidR="000B4708" w:rsidRPr="002C431D" w:rsidRDefault="000B4708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C431D">
              <w:rPr>
                <w:b w:val="0"/>
                <w:sz w:val="20"/>
                <w:szCs w:val="20"/>
              </w:rPr>
              <w:t xml:space="preserve">                                                          MIN</w:t>
            </w:r>
            <w:r w:rsidR="00F144FF" w:rsidRPr="002C431D">
              <w:rPr>
                <w:b w:val="0"/>
                <w:sz w:val="20"/>
                <w:szCs w:val="20"/>
              </w:rPr>
              <w:t>I</w:t>
            </w:r>
            <w:r w:rsidRPr="002C431D">
              <w:rPr>
                <w:b w:val="0"/>
                <w:sz w:val="20"/>
                <w:szCs w:val="20"/>
              </w:rPr>
              <w:t>STRICA</w:t>
            </w:r>
          </w:p>
          <w:p w:rsidR="00CA678E" w:rsidRPr="002C431D" w:rsidRDefault="00CA678E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976551" w:rsidRPr="002C431D" w:rsidRDefault="00976551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CA67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p w:rsidR="00CA678E" w:rsidRPr="002C431D" w:rsidRDefault="00D1013C" w:rsidP="00C57202">
      <w:pPr>
        <w:tabs>
          <w:tab w:val="left" w:pos="708"/>
        </w:tabs>
        <w:ind w:left="6732" w:firstLine="468"/>
        <w:rPr>
          <w:rFonts w:cs="Arial"/>
          <w:b/>
          <w:szCs w:val="20"/>
          <w:lang w:val="sl-SI"/>
        </w:rPr>
      </w:pPr>
      <w:r w:rsidRPr="002C431D">
        <w:rPr>
          <w:rFonts w:cs="Arial"/>
          <w:b/>
          <w:szCs w:val="20"/>
          <w:lang w:val="sl-SI"/>
        </w:rPr>
        <w:br w:type="page"/>
      </w:r>
      <w:r w:rsidR="00CA678E" w:rsidRPr="002C431D">
        <w:rPr>
          <w:rFonts w:cs="Arial"/>
          <w:b/>
          <w:szCs w:val="20"/>
          <w:lang w:val="sl-SI"/>
        </w:rPr>
        <w:lastRenderedPageBreak/>
        <w:t>PREDLOG</w:t>
      </w:r>
    </w:p>
    <w:p w:rsidR="00CA678E" w:rsidRPr="002C431D" w:rsidRDefault="00CA678E" w:rsidP="00CA678E">
      <w:pPr>
        <w:tabs>
          <w:tab w:val="left" w:pos="708"/>
        </w:tabs>
        <w:ind w:left="6012"/>
        <w:rPr>
          <w:rFonts w:cs="Arial"/>
          <w:b/>
          <w:szCs w:val="20"/>
          <w:lang w:val="sl-SI"/>
        </w:rPr>
      </w:pPr>
      <w:r w:rsidRPr="002C431D">
        <w:rPr>
          <w:rFonts w:cs="Arial"/>
          <w:b/>
          <w:szCs w:val="20"/>
          <w:lang w:val="sl-SI"/>
        </w:rPr>
        <w:t xml:space="preserve">   (EVA</w:t>
      </w:r>
      <w:r w:rsidR="00D0006F" w:rsidRPr="002C431D">
        <w:rPr>
          <w:rFonts w:cs="Arial"/>
          <w:b/>
          <w:szCs w:val="20"/>
          <w:lang w:val="sl-SI"/>
        </w:rPr>
        <w:t xml:space="preserve"> </w:t>
      </w:r>
      <w:r w:rsidR="00D0006F" w:rsidRPr="002C431D">
        <w:rPr>
          <w:rFonts w:cs="Arial"/>
          <w:b/>
          <w:noProof/>
          <w:color w:val="00000A"/>
          <w:szCs w:val="20"/>
          <w:lang w:val="sl-SI"/>
        </w:rPr>
        <w:t>2017-2550-0045</w:t>
      </w:r>
      <w:r w:rsidRPr="002C431D">
        <w:rPr>
          <w:rFonts w:cs="Arial"/>
          <w:b/>
          <w:szCs w:val="20"/>
          <w:lang w:val="sl-SI"/>
        </w:rPr>
        <w:t>)</w:t>
      </w:r>
    </w:p>
    <w:p w:rsidR="00CA678E" w:rsidRPr="002C431D" w:rsidRDefault="00CA678E" w:rsidP="00CA678E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97291" w:rsidRPr="002C431D" w:rsidRDefault="00E97291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CA678E" w:rsidRPr="002C431D" w:rsidRDefault="008937D3" w:rsidP="00CA678E">
      <w:pPr>
        <w:tabs>
          <w:tab w:val="left" w:pos="708"/>
        </w:tabs>
        <w:rPr>
          <w:rFonts w:cs="Arial"/>
          <w:szCs w:val="20"/>
          <w:lang w:val="sl-SI"/>
        </w:rPr>
      </w:pPr>
      <w:r w:rsidRPr="002C431D">
        <w:rPr>
          <w:rFonts w:cs="Arial"/>
          <w:szCs w:val="20"/>
          <w:lang w:val="sl-SI"/>
        </w:rPr>
        <w:t>Na podlagi tretjega odstavka 17. člena Zakona o varstvu okolja (Uradni list RS, št. 39/06 – uradno prečiščeno besedilo, 49/06 – ZMetD, 66/06 – odl. US, 33/07 – ZPNačrt, 57/08 – ZFO-1A, 70/08, 108/09, 108/09 – ZPNačrt-A, 48/12, 57/12, 92/13, 56/15, 102/15 in 30/16) izdaja Vlada Republike Slovenije</w:t>
      </w:r>
    </w:p>
    <w:p w:rsidR="00CA678E" w:rsidRPr="002C431D" w:rsidRDefault="00CA678E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C57202" w:rsidRPr="002C431D" w:rsidRDefault="00C57202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CA678E" w:rsidRPr="002C431D" w:rsidRDefault="00CA678E" w:rsidP="00CA678E">
      <w:pPr>
        <w:tabs>
          <w:tab w:val="left" w:pos="708"/>
        </w:tabs>
        <w:jc w:val="center"/>
        <w:rPr>
          <w:rFonts w:cs="Arial"/>
          <w:b/>
          <w:szCs w:val="20"/>
          <w:lang w:val="sl-SI"/>
        </w:rPr>
      </w:pPr>
      <w:r w:rsidRPr="002C431D">
        <w:rPr>
          <w:rFonts w:cs="Arial"/>
          <w:b/>
          <w:szCs w:val="20"/>
          <w:lang w:val="sl-SI"/>
        </w:rPr>
        <w:t>UREDBO</w:t>
      </w:r>
    </w:p>
    <w:p w:rsidR="00CA678E" w:rsidRPr="002C431D" w:rsidRDefault="008937D3" w:rsidP="00CA678E">
      <w:pPr>
        <w:tabs>
          <w:tab w:val="left" w:pos="708"/>
        </w:tabs>
        <w:rPr>
          <w:rFonts w:cs="Arial"/>
          <w:b/>
          <w:szCs w:val="20"/>
          <w:lang w:val="sl-SI"/>
        </w:rPr>
      </w:pPr>
      <w:r w:rsidRPr="002C431D">
        <w:rPr>
          <w:rFonts w:cs="Arial"/>
          <w:b/>
          <w:szCs w:val="20"/>
          <w:lang w:val="sl-SI"/>
        </w:rPr>
        <w:t xml:space="preserve">o </w:t>
      </w:r>
      <w:r w:rsidR="002C431D">
        <w:rPr>
          <w:rFonts w:cs="Arial"/>
          <w:b/>
          <w:szCs w:val="20"/>
          <w:lang w:val="sl-SI"/>
        </w:rPr>
        <w:t xml:space="preserve">dopolnitvah </w:t>
      </w:r>
      <w:r w:rsidRPr="002C431D">
        <w:rPr>
          <w:rFonts w:cs="Arial"/>
          <w:b/>
          <w:szCs w:val="20"/>
          <w:lang w:val="sl-SI"/>
        </w:rPr>
        <w:t>Uredbe o nacionalnih zgornjih mejah emisij onesnaževal zunanjega zraka</w:t>
      </w:r>
    </w:p>
    <w:p w:rsidR="00CA678E" w:rsidRPr="002C431D" w:rsidRDefault="00CA678E" w:rsidP="00CA678E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4A513A" w:rsidRPr="002C431D" w:rsidRDefault="004A513A" w:rsidP="004A513A">
      <w:pPr>
        <w:spacing w:after="200" w:line="276" w:lineRule="auto"/>
        <w:rPr>
          <w:rFonts w:eastAsia="Calibri" w:cs="Arial"/>
          <w:szCs w:val="20"/>
          <w:lang w:val="sl-SI"/>
        </w:rPr>
      </w:pPr>
    </w:p>
    <w:p w:rsidR="004A513A" w:rsidRPr="002C431D" w:rsidRDefault="004A513A" w:rsidP="004A513A">
      <w:pPr>
        <w:spacing w:after="200" w:line="276" w:lineRule="auto"/>
        <w:jc w:val="center"/>
        <w:rPr>
          <w:rFonts w:eastAsia="Calibri" w:cs="Arial"/>
          <w:szCs w:val="20"/>
          <w:lang w:val="sl-SI"/>
        </w:rPr>
      </w:pPr>
      <w:r w:rsidRPr="002C431D">
        <w:rPr>
          <w:rFonts w:eastAsia="Calibri" w:cs="Arial"/>
          <w:szCs w:val="20"/>
          <w:lang w:val="sl-SI"/>
        </w:rPr>
        <w:t>1. člen</w:t>
      </w:r>
    </w:p>
    <w:p w:rsidR="004A513A" w:rsidRPr="002C431D" w:rsidRDefault="004A513A" w:rsidP="004A513A">
      <w:pPr>
        <w:spacing w:after="200" w:line="276" w:lineRule="auto"/>
        <w:rPr>
          <w:rFonts w:eastAsia="Calibri" w:cs="Arial"/>
          <w:iCs/>
          <w:noProof/>
          <w:color w:val="000000"/>
          <w:szCs w:val="20"/>
          <w:lang w:val="sl-SI"/>
        </w:rPr>
      </w:pPr>
      <w:r w:rsidRPr="002C431D">
        <w:rPr>
          <w:rFonts w:eastAsia="Calibri" w:cs="Arial"/>
          <w:color w:val="000000"/>
          <w:szCs w:val="20"/>
          <w:lang w:val="sl-SI"/>
        </w:rPr>
        <w:t xml:space="preserve"> V Uredbi o nacionalnih zgornjih mejah emisij onesnaževal zunanjega zraka (Uradni list RS, št. 24/05</w:t>
      </w:r>
      <w:r w:rsidR="00AE7ECE">
        <w:rPr>
          <w:rFonts w:eastAsia="Calibri" w:cs="Arial"/>
          <w:color w:val="000000"/>
          <w:szCs w:val="20"/>
          <w:lang w:val="sl-SI"/>
        </w:rPr>
        <w:t>,</w:t>
      </w:r>
      <w:r w:rsidRPr="002C431D">
        <w:rPr>
          <w:rFonts w:eastAsia="Calibri" w:cs="Arial"/>
          <w:color w:val="000000"/>
          <w:szCs w:val="20"/>
          <w:lang w:val="sl-SI"/>
        </w:rPr>
        <w:t xml:space="preserve"> 92/07 in 10/14) </w:t>
      </w:r>
      <w:r w:rsidRPr="002C431D">
        <w:rPr>
          <w:rFonts w:eastAsia="Calibri" w:cs="Arial"/>
          <w:iCs/>
          <w:noProof/>
          <w:color w:val="000000"/>
          <w:szCs w:val="20"/>
          <w:lang w:val="sl-SI"/>
        </w:rPr>
        <w:t xml:space="preserve">se </w:t>
      </w:r>
      <w:r w:rsidRPr="002C431D">
        <w:rPr>
          <w:rFonts w:eastAsia="Calibri" w:cs="Arial"/>
          <w:color w:val="000000"/>
          <w:szCs w:val="20"/>
          <w:shd w:val="clear" w:color="auto" w:fill="FFFFFF"/>
          <w:lang w:val="sl-SI"/>
        </w:rPr>
        <w:t>za 8. členom </w:t>
      </w:r>
      <w:r w:rsidRPr="006C3B9D">
        <w:rPr>
          <w:rFonts w:eastAsia="Calibri" w:cs="Arial"/>
          <w:bCs/>
          <w:iCs/>
          <w:color w:val="000000"/>
          <w:szCs w:val="20"/>
          <w:shd w:val="clear" w:color="auto" w:fill="FFFFFF"/>
          <w:lang w:val="sl-SI"/>
        </w:rPr>
        <w:t>doda</w:t>
      </w:r>
      <w:r w:rsidRPr="002C431D">
        <w:rPr>
          <w:rFonts w:eastAsia="Calibri" w:cs="Arial"/>
          <w:color w:val="000000"/>
          <w:szCs w:val="20"/>
          <w:shd w:val="clear" w:color="auto" w:fill="FFFFFF"/>
          <w:lang w:val="sl-SI"/>
        </w:rPr>
        <w:t xml:space="preserve"> nov </w:t>
      </w:r>
      <w:proofErr w:type="spellStart"/>
      <w:r w:rsidRPr="002C431D">
        <w:rPr>
          <w:rFonts w:eastAsia="Calibri" w:cs="Arial"/>
          <w:color w:val="000000"/>
          <w:szCs w:val="20"/>
          <w:shd w:val="clear" w:color="auto" w:fill="FFFFFF"/>
          <w:lang w:val="sl-SI"/>
        </w:rPr>
        <w:t>8.a</w:t>
      </w:r>
      <w:proofErr w:type="spellEnd"/>
      <w:r w:rsidRPr="002C431D">
        <w:rPr>
          <w:rFonts w:eastAsia="Calibri" w:cs="Arial"/>
          <w:color w:val="000000"/>
          <w:szCs w:val="20"/>
          <w:shd w:val="clear" w:color="auto" w:fill="FFFFFF"/>
          <w:lang w:val="sl-SI"/>
        </w:rPr>
        <w:t> </w:t>
      </w:r>
      <w:r w:rsidRPr="002C431D">
        <w:rPr>
          <w:rFonts w:eastAsia="Calibri" w:cs="Arial"/>
          <w:bCs/>
          <w:iCs/>
          <w:color w:val="000000"/>
          <w:szCs w:val="20"/>
          <w:shd w:val="clear" w:color="auto" w:fill="FFFFFF"/>
          <w:lang w:val="sl-SI"/>
        </w:rPr>
        <w:t>člen</w:t>
      </w:r>
      <w:r w:rsidRPr="002C431D">
        <w:rPr>
          <w:rFonts w:eastAsia="Calibri" w:cs="Arial"/>
          <w:color w:val="000000"/>
          <w:szCs w:val="20"/>
          <w:shd w:val="clear" w:color="auto" w:fill="FFFFFF"/>
          <w:lang w:val="sl-SI"/>
        </w:rPr>
        <w:t>, ki </w:t>
      </w:r>
      <w:r w:rsidRPr="006C3B9D">
        <w:rPr>
          <w:rFonts w:eastAsia="Calibri" w:cs="Arial"/>
          <w:bCs/>
          <w:iCs/>
          <w:color w:val="000000"/>
          <w:szCs w:val="20"/>
          <w:shd w:val="clear" w:color="auto" w:fill="FFFFFF"/>
          <w:lang w:val="sl-SI"/>
        </w:rPr>
        <w:t>se</w:t>
      </w:r>
      <w:r w:rsidRPr="002C431D">
        <w:rPr>
          <w:rFonts w:eastAsia="Calibri" w:cs="Arial"/>
          <w:color w:val="000000"/>
          <w:szCs w:val="20"/>
          <w:shd w:val="clear" w:color="auto" w:fill="FFFFFF"/>
          <w:lang w:val="sl-SI"/>
        </w:rPr>
        <w:t> glasi</w:t>
      </w:r>
      <w:r w:rsidRPr="002C431D">
        <w:rPr>
          <w:rFonts w:eastAsia="Calibri" w:cs="Arial"/>
          <w:iCs/>
          <w:noProof/>
          <w:color w:val="000000"/>
          <w:szCs w:val="20"/>
          <w:lang w:val="sl-SI"/>
        </w:rPr>
        <w:t xml:space="preserve">: </w:t>
      </w:r>
    </w:p>
    <w:p w:rsidR="004A513A" w:rsidRPr="002C431D" w:rsidRDefault="004A513A" w:rsidP="004A513A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rPr>
          <w:rFonts w:cs="Arial"/>
          <w:iCs/>
          <w:noProof/>
          <w:szCs w:val="20"/>
          <w:lang w:val="sl-SI" w:eastAsia="x-none"/>
        </w:rPr>
      </w:pPr>
      <w:r w:rsidRPr="002C431D">
        <w:rPr>
          <w:rFonts w:cs="Arial"/>
          <w:iCs/>
          <w:noProof/>
          <w:szCs w:val="20"/>
          <w:lang w:val="sl-SI" w:eastAsia="x-none"/>
        </w:rPr>
        <w:t>»</w:t>
      </w:r>
      <w:proofErr w:type="spellStart"/>
      <w:r w:rsidRPr="002C431D">
        <w:rPr>
          <w:rFonts w:cs="Arial"/>
          <w:color w:val="000000"/>
          <w:szCs w:val="20"/>
          <w:shd w:val="clear" w:color="auto" w:fill="FFFFFF"/>
          <w:lang w:val="sl-SI" w:eastAsia="x-none"/>
        </w:rPr>
        <w:t>8.a</w:t>
      </w:r>
      <w:proofErr w:type="spellEnd"/>
      <w:r w:rsidRPr="002C431D">
        <w:rPr>
          <w:rFonts w:cs="Arial"/>
          <w:color w:val="000000"/>
          <w:szCs w:val="20"/>
          <w:shd w:val="clear" w:color="auto" w:fill="FFFFFF"/>
          <w:lang w:val="sl-SI" w:eastAsia="x-none"/>
        </w:rPr>
        <w:t xml:space="preserve"> člen</w:t>
      </w:r>
    </w:p>
    <w:p w:rsidR="004A513A" w:rsidRDefault="004A513A" w:rsidP="004A513A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rPr>
          <w:szCs w:val="20"/>
          <w:lang w:val="sl-SI" w:eastAsia="x-none"/>
        </w:rPr>
      </w:pPr>
      <w:r w:rsidRPr="002C431D">
        <w:rPr>
          <w:szCs w:val="20"/>
          <w:lang w:val="sl-SI" w:eastAsia="x-none"/>
        </w:rPr>
        <w:t>(poročanje v letih 2017 in 2018)</w:t>
      </w:r>
    </w:p>
    <w:p w:rsidR="00F553FB" w:rsidRPr="002C431D" w:rsidRDefault="00F553FB" w:rsidP="004A513A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rPr>
          <w:szCs w:val="20"/>
          <w:lang w:val="sl-SI" w:eastAsia="x-none"/>
        </w:rPr>
      </w:pPr>
    </w:p>
    <w:p w:rsidR="002C431D" w:rsidRPr="002C431D" w:rsidRDefault="002C431D" w:rsidP="002C431D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(1) </w:t>
      </w:r>
      <w:r w:rsidRPr="002C431D">
        <w:rPr>
          <w:rFonts w:eastAsia="Calibri" w:cs="Arial"/>
          <w:szCs w:val="20"/>
          <w:lang w:val="sl-SI"/>
        </w:rPr>
        <w:t>Ne glede na prv</w:t>
      </w:r>
      <w:r w:rsidR="006762A7">
        <w:rPr>
          <w:rFonts w:eastAsia="Calibri" w:cs="Arial"/>
          <w:szCs w:val="20"/>
          <w:lang w:val="sl-SI"/>
        </w:rPr>
        <w:t>i</w:t>
      </w:r>
      <w:r w:rsidRPr="002C431D">
        <w:rPr>
          <w:rFonts w:eastAsia="Calibri" w:cs="Arial"/>
          <w:szCs w:val="20"/>
          <w:lang w:val="sl-SI"/>
        </w:rPr>
        <w:t xml:space="preserve"> odstav</w:t>
      </w:r>
      <w:r w:rsidR="006762A7">
        <w:rPr>
          <w:rFonts w:eastAsia="Calibri" w:cs="Arial"/>
          <w:szCs w:val="20"/>
          <w:lang w:val="sl-SI"/>
        </w:rPr>
        <w:t>e</w:t>
      </w:r>
      <w:r w:rsidRPr="002C431D">
        <w:rPr>
          <w:rFonts w:eastAsia="Calibri" w:cs="Arial"/>
          <w:szCs w:val="20"/>
          <w:lang w:val="sl-SI"/>
        </w:rPr>
        <w:t>k</w:t>
      </w:r>
      <w:r w:rsidR="006762A7">
        <w:rPr>
          <w:rFonts w:eastAsia="Calibri" w:cs="Arial"/>
          <w:szCs w:val="20"/>
          <w:lang w:val="sl-SI"/>
        </w:rPr>
        <w:t xml:space="preserve"> prejšnjega </w:t>
      </w:r>
      <w:r w:rsidRPr="002C431D">
        <w:rPr>
          <w:rFonts w:eastAsia="Calibri" w:cs="Arial"/>
          <w:szCs w:val="20"/>
          <w:lang w:val="sl-SI"/>
        </w:rPr>
        <w:t xml:space="preserve">člena ministrstvo, pristojno za </w:t>
      </w:r>
      <w:r w:rsidR="006762A7">
        <w:rPr>
          <w:rFonts w:eastAsia="Calibri" w:cs="Arial"/>
          <w:szCs w:val="20"/>
          <w:lang w:val="sl-SI"/>
        </w:rPr>
        <w:t xml:space="preserve">varstvo </w:t>
      </w:r>
      <w:r w:rsidRPr="002C431D">
        <w:rPr>
          <w:rFonts w:eastAsia="Calibri" w:cs="Arial"/>
          <w:szCs w:val="20"/>
          <w:lang w:val="sl-SI"/>
        </w:rPr>
        <w:t>okolj</w:t>
      </w:r>
      <w:r w:rsidR="006762A7">
        <w:rPr>
          <w:rFonts w:eastAsia="Calibri" w:cs="Arial"/>
          <w:szCs w:val="20"/>
          <w:lang w:val="sl-SI"/>
        </w:rPr>
        <w:t>a</w:t>
      </w:r>
      <w:r w:rsidRPr="002C431D">
        <w:rPr>
          <w:rFonts w:eastAsia="Calibri" w:cs="Arial"/>
          <w:szCs w:val="20"/>
          <w:lang w:val="sl-SI"/>
        </w:rPr>
        <w:t>, za let</w:t>
      </w:r>
      <w:r w:rsidR="00AE7ECE">
        <w:rPr>
          <w:rFonts w:eastAsia="Calibri" w:cs="Arial"/>
          <w:szCs w:val="20"/>
          <w:lang w:val="sl-SI"/>
        </w:rPr>
        <w:t>i</w:t>
      </w:r>
      <w:r w:rsidRPr="002C431D">
        <w:rPr>
          <w:rFonts w:eastAsia="Calibri" w:cs="Arial"/>
          <w:szCs w:val="20"/>
          <w:lang w:val="sl-SI"/>
        </w:rPr>
        <w:t xml:space="preserve"> 2017 in 2018 pripravi nacionalne evidence in projekcije emisij, prostorsko razčlenjene nacionalne evidence emisij, evidence velikih točkovnih virov in informativna poročila o evidencah </w:t>
      </w:r>
      <w:r w:rsidR="00BE7F0C">
        <w:rPr>
          <w:rFonts w:eastAsia="Calibri" w:cs="Arial"/>
          <w:szCs w:val="20"/>
          <w:lang w:val="sl-SI"/>
        </w:rPr>
        <w:t xml:space="preserve">ter poroča o njih </w:t>
      </w:r>
      <w:r w:rsidRPr="002C431D">
        <w:rPr>
          <w:rFonts w:eastAsia="Calibri" w:cs="Arial"/>
          <w:szCs w:val="20"/>
          <w:lang w:val="sl-SI"/>
        </w:rPr>
        <w:t xml:space="preserve">v skladu z roki za poročanje in navodili iz tabel A, C in D </w:t>
      </w:r>
      <w:r w:rsidR="00C70B37">
        <w:rPr>
          <w:rFonts w:eastAsia="Calibri" w:cs="Arial"/>
          <w:szCs w:val="20"/>
          <w:lang w:val="sl-SI"/>
        </w:rPr>
        <w:t xml:space="preserve">iz </w:t>
      </w:r>
      <w:r w:rsidR="00AE7ECE">
        <w:rPr>
          <w:rFonts w:eastAsia="Calibri" w:cs="Arial"/>
          <w:szCs w:val="20"/>
          <w:lang w:val="sl-SI"/>
        </w:rPr>
        <w:t>p</w:t>
      </w:r>
      <w:r w:rsidRPr="002C431D">
        <w:rPr>
          <w:rFonts w:eastAsia="Calibri" w:cs="Arial"/>
          <w:szCs w:val="20"/>
          <w:lang w:val="sl-SI"/>
        </w:rPr>
        <w:t>riloge 4, ki je sestavni del te uredbe</w:t>
      </w:r>
      <w:r w:rsidR="00AE7ECE">
        <w:rPr>
          <w:rFonts w:eastAsia="Calibri" w:cs="Arial"/>
          <w:szCs w:val="20"/>
          <w:lang w:val="sl-SI"/>
        </w:rPr>
        <w:t>,</w:t>
      </w:r>
      <w:r w:rsidRPr="002C431D">
        <w:rPr>
          <w:rFonts w:eastAsia="Calibri" w:cs="Arial"/>
          <w:szCs w:val="20"/>
          <w:lang w:val="sl-SI"/>
        </w:rPr>
        <w:t xml:space="preserve"> ter metodologijo iz </w:t>
      </w:r>
      <w:r w:rsidR="00AE7ECE">
        <w:rPr>
          <w:rFonts w:eastAsia="Calibri" w:cs="Arial"/>
          <w:szCs w:val="20"/>
          <w:lang w:val="sl-SI"/>
        </w:rPr>
        <w:t>p</w:t>
      </w:r>
      <w:r w:rsidRPr="002C431D">
        <w:rPr>
          <w:rFonts w:eastAsia="Calibri" w:cs="Arial"/>
          <w:szCs w:val="20"/>
          <w:lang w:val="sl-SI"/>
        </w:rPr>
        <w:t>riloge 5, ki je sestavni del te uredbe.</w:t>
      </w:r>
    </w:p>
    <w:p w:rsidR="004A513A" w:rsidRPr="002C431D" w:rsidRDefault="002C431D" w:rsidP="002C431D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(2) </w:t>
      </w:r>
      <w:r w:rsidRPr="002C431D">
        <w:rPr>
          <w:rFonts w:eastAsia="Calibri" w:cs="Arial"/>
          <w:szCs w:val="20"/>
          <w:lang w:val="sl-SI"/>
        </w:rPr>
        <w:t xml:space="preserve">Ministrstvo, pristojno za </w:t>
      </w:r>
      <w:r w:rsidR="006762A7">
        <w:rPr>
          <w:rFonts w:eastAsia="Calibri" w:cs="Arial"/>
          <w:szCs w:val="20"/>
          <w:lang w:val="sl-SI"/>
        </w:rPr>
        <w:t xml:space="preserve">varstvo </w:t>
      </w:r>
      <w:r w:rsidRPr="002C431D">
        <w:rPr>
          <w:rFonts w:eastAsia="Calibri" w:cs="Arial"/>
          <w:szCs w:val="20"/>
          <w:lang w:val="sl-SI"/>
        </w:rPr>
        <w:t>okolj</w:t>
      </w:r>
      <w:r w:rsidR="006762A7">
        <w:rPr>
          <w:rFonts w:eastAsia="Calibri" w:cs="Arial"/>
          <w:szCs w:val="20"/>
          <w:lang w:val="sl-SI"/>
        </w:rPr>
        <w:t>a</w:t>
      </w:r>
      <w:r w:rsidRPr="002C431D">
        <w:rPr>
          <w:rFonts w:eastAsia="Calibri" w:cs="Arial"/>
          <w:szCs w:val="20"/>
          <w:lang w:val="sl-SI"/>
        </w:rPr>
        <w:t xml:space="preserve">, lahko pripravi tudi nacionalne evidence in projekcije emisij, prostorsko razčlenjene nacionalne evidence emisij, evidence velikih točkovnih virov in informativna poročila o evidencah </w:t>
      </w:r>
      <w:r w:rsidR="00BE7F0C">
        <w:rPr>
          <w:rFonts w:eastAsia="Calibri" w:cs="Arial"/>
          <w:szCs w:val="20"/>
          <w:lang w:val="sl-SI"/>
        </w:rPr>
        <w:t xml:space="preserve">ter poroča o njih </w:t>
      </w:r>
      <w:r w:rsidRPr="002C431D">
        <w:rPr>
          <w:rFonts w:eastAsia="Calibri" w:cs="Arial"/>
          <w:szCs w:val="20"/>
          <w:lang w:val="sl-SI"/>
        </w:rPr>
        <w:t xml:space="preserve">v skladu z roki za poročanje in navodili iz tabele B </w:t>
      </w:r>
      <w:r w:rsidR="00C70B37">
        <w:rPr>
          <w:rFonts w:eastAsia="Calibri" w:cs="Arial"/>
          <w:szCs w:val="20"/>
          <w:lang w:val="sl-SI"/>
        </w:rPr>
        <w:t xml:space="preserve">iz </w:t>
      </w:r>
      <w:r w:rsidRPr="002C431D">
        <w:rPr>
          <w:rFonts w:eastAsia="Calibri" w:cs="Arial"/>
          <w:szCs w:val="20"/>
          <w:lang w:val="sl-SI"/>
        </w:rPr>
        <w:t xml:space="preserve">priloge 4 </w:t>
      </w:r>
      <w:r w:rsidR="00AE7ECE">
        <w:rPr>
          <w:rFonts w:eastAsia="Calibri" w:cs="Arial"/>
          <w:szCs w:val="20"/>
          <w:lang w:val="sl-SI"/>
        </w:rPr>
        <w:t xml:space="preserve">k </w:t>
      </w:r>
      <w:r w:rsidRPr="002C431D">
        <w:rPr>
          <w:rFonts w:eastAsia="Calibri" w:cs="Arial"/>
          <w:szCs w:val="20"/>
          <w:lang w:val="sl-SI"/>
        </w:rPr>
        <w:t>te</w:t>
      </w:r>
      <w:r w:rsidR="00AE7ECE">
        <w:rPr>
          <w:rFonts w:eastAsia="Calibri" w:cs="Arial"/>
          <w:szCs w:val="20"/>
          <w:lang w:val="sl-SI"/>
        </w:rPr>
        <w:t>j</w:t>
      </w:r>
      <w:r w:rsidRPr="002C431D">
        <w:rPr>
          <w:rFonts w:eastAsia="Calibri" w:cs="Arial"/>
          <w:szCs w:val="20"/>
          <w:lang w:val="sl-SI"/>
        </w:rPr>
        <w:t xml:space="preserve"> uredb</w:t>
      </w:r>
      <w:r w:rsidR="00AE7ECE">
        <w:rPr>
          <w:rFonts w:eastAsia="Calibri" w:cs="Arial"/>
          <w:szCs w:val="20"/>
          <w:lang w:val="sl-SI"/>
        </w:rPr>
        <w:t>i</w:t>
      </w:r>
      <w:r w:rsidRPr="002C431D">
        <w:rPr>
          <w:rFonts w:eastAsia="Calibri" w:cs="Arial"/>
          <w:szCs w:val="20"/>
          <w:lang w:val="sl-SI"/>
        </w:rPr>
        <w:t>.</w:t>
      </w:r>
      <w:r>
        <w:rPr>
          <w:rFonts w:eastAsia="Calibri" w:cs="Arial"/>
          <w:szCs w:val="20"/>
          <w:lang w:val="sl-SI"/>
        </w:rPr>
        <w:t>«.</w:t>
      </w:r>
    </w:p>
    <w:p w:rsidR="004A513A" w:rsidRPr="002C431D" w:rsidRDefault="004A513A" w:rsidP="004A513A">
      <w:pPr>
        <w:spacing w:after="200" w:line="276" w:lineRule="auto"/>
        <w:jc w:val="center"/>
        <w:rPr>
          <w:rFonts w:eastAsia="Calibri" w:cs="Arial"/>
          <w:szCs w:val="20"/>
          <w:lang w:val="sl-SI"/>
        </w:rPr>
      </w:pPr>
      <w:r w:rsidRPr="002C431D">
        <w:rPr>
          <w:rFonts w:eastAsia="Calibri" w:cs="Arial"/>
          <w:szCs w:val="20"/>
          <w:lang w:val="sl-SI"/>
        </w:rPr>
        <w:t>2. člen</w:t>
      </w:r>
    </w:p>
    <w:p w:rsidR="004A513A" w:rsidRPr="002C431D" w:rsidRDefault="004A513A" w:rsidP="004A513A">
      <w:pPr>
        <w:spacing w:after="200" w:line="276" w:lineRule="auto"/>
        <w:rPr>
          <w:rFonts w:eastAsia="Calibri" w:cs="Arial"/>
          <w:szCs w:val="20"/>
          <w:lang w:val="sl-SI"/>
        </w:rPr>
      </w:pPr>
      <w:r w:rsidRPr="002C431D">
        <w:rPr>
          <w:rFonts w:eastAsia="Calibri" w:cs="Arial"/>
          <w:szCs w:val="20"/>
          <w:lang w:val="sl-SI"/>
        </w:rPr>
        <w:t xml:space="preserve">Za prilogo 3 se dodata novi priloga 4 in priloga 5, ki sta kot priloga sestavni del te uredbe. </w:t>
      </w:r>
    </w:p>
    <w:p w:rsidR="00E35A24" w:rsidRDefault="00E35A24" w:rsidP="00E35A24">
      <w:pPr>
        <w:spacing w:after="200" w:line="276" w:lineRule="auto"/>
        <w:jc w:val="center"/>
        <w:rPr>
          <w:rFonts w:eastAsia="Calibri" w:cs="Arial"/>
          <w:szCs w:val="20"/>
          <w:lang w:val="sl-SI"/>
        </w:rPr>
      </w:pPr>
    </w:p>
    <w:p w:rsidR="004A513A" w:rsidRPr="002C431D" w:rsidRDefault="00E35A24" w:rsidP="00E35A24">
      <w:pPr>
        <w:spacing w:after="200" w:line="276" w:lineRule="auto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Končna določba</w:t>
      </w:r>
    </w:p>
    <w:p w:rsidR="004A513A" w:rsidRDefault="004A513A" w:rsidP="004A513A">
      <w:pPr>
        <w:spacing w:after="200" w:line="276" w:lineRule="auto"/>
        <w:jc w:val="center"/>
        <w:rPr>
          <w:rFonts w:eastAsia="Calibri" w:cs="Arial"/>
          <w:szCs w:val="20"/>
          <w:lang w:val="sl-SI"/>
        </w:rPr>
      </w:pPr>
      <w:r w:rsidRPr="002C431D">
        <w:rPr>
          <w:rFonts w:eastAsia="Calibri" w:cs="Arial"/>
          <w:szCs w:val="20"/>
          <w:lang w:val="sl-SI"/>
        </w:rPr>
        <w:t>3. člen</w:t>
      </w:r>
    </w:p>
    <w:p w:rsidR="00E35A24" w:rsidRPr="002C431D" w:rsidRDefault="00E35A24" w:rsidP="004A513A">
      <w:pPr>
        <w:spacing w:after="200" w:line="276" w:lineRule="auto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(začetek veljavnosti)</w:t>
      </w:r>
    </w:p>
    <w:p w:rsidR="004A513A" w:rsidRPr="002C431D" w:rsidRDefault="004A513A" w:rsidP="004A513A">
      <w:pPr>
        <w:spacing w:after="200" w:line="276" w:lineRule="auto"/>
        <w:rPr>
          <w:rFonts w:eastAsia="Calibri" w:cs="Arial"/>
          <w:szCs w:val="20"/>
          <w:lang w:val="sl-SI"/>
        </w:rPr>
      </w:pPr>
      <w:r w:rsidRPr="002C431D">
        <w:rPr>
          <w:rFonts w:eastAsia="Calibri" w:cs="Arial"/>
          <w:szCs w:val="20"/>
          <w:lang w:val="sl-SI"/>
        </w:rPr>
        <w:t>Ta uredba začne veljati naslednji dan po objavi v Uradnem listu Republike Slovenije.</w:t>
      </w:r>
    </w:p>
    <w:p w:rsidR="004A513A" w:rsidRPr="002C431D" w:rsidRDefault="004A513A" w:rsidP="004A513A">
      <w:pPr>
        <w:suppressAutoHyphens/>
        <w:spacing w:line="276" w:lineRule="auto"/>
        <w:jc w:val="both"/>
        <w:rPr>
          <w:rFonts w:cs="Arial"/>
          <w:noProof/>
          <w:color w:val="00000A"/>
          <w:szCs w:val="20"/>
          <w:lang w:val="sl-SI"/>
        </w:rPr>
      </w:pPr>
    </w:p>
    <w:p w:rsidR="004A513A" w:rsidRPr="002C431D" w:rsidRDefault="004A513A" w:rsidP="004A513A">
      <w:pPr>
        <w:suppressAutoHyphens/>
        <w:spacing w:line="276" w:lineRule="auto"/>
        <w:jc w:val="both"/>
        <w:rPr>
          <w:rFonts w:cs="Arial"/>
          <w:noProof/>
          <w:color w:val="00000A"/>
          <w:szCs w:val="20"/>
          <w:lang w:val="sl-SI"/>
        </w:rPr>
      </w:pPr>
      <w:r w:rsidRPr="002C431D">
        <w:rPr>
          <w:rFonts w:cs="Arial"/>
          <w:noProof/>
          <w:color w:val="00000A"/>
          <w:szCs w:val="20"/>
          <w:lang w:val="sl-SI"/>
        </w:rPr>
        <w:t xml:space="preserve">Št. </w:t>
      </w:r>
    </w:p>
    <w:p w:rsidR="004A513A" w:rsidRPr="002C431D" w:rsidRDefault="004A513A" w:rsidP="004A513A">
      <w:pPr>
        <w:suppressAutoHyphens/>
        <w:spacing w:line="276" w:lineRule="auto"/>
        <w:jc w:val="both"/>
        <w:rPr>
          <w:rFonts w:cs="Arial"/>
          <w:noProof/>
          <w:color w:val="00000A"/>
          <w:szCs w:val="20"/>
          <w:lang w:val="sl-SI"/>
        </w:rPr>
      </w:pPr>
      <w:r w:rsidRPr="002C431D">
        <w:rPr>
          <w:rFonts w:cs="Arial"/>
          <w:noProof/>
          <w:color w:val="00000A"/>
          <w:szCs w:val="20"/>
          <w:lang w:val="sl-SI"/>
        </w:rPr>
        <w:t xml:space="preserve">Ljubljana, dne </w:t>
      </w:r>
    </w:p>
    <w:p w:rsidR="004A513A" w:rsidRPr="002C431D" w:rsidRDefault="004A513A" w:rsidP="004A513A">
      <w:pPr>
        <w:suppressAutoHyphens/>
        <w:spacing w:line="276" w:lineRule="auto"/>
        <w:jc w:val="both"/>
        <w:rPr>
          <w:rFonts w:cs="Arial"/>
          <w:noProof/>
          <w:color w:val="00000A"/>
          <w:szCs w:val="20"/>
          <w:lang w:val="sl-SI"/>
        </w:rPr>
      </w:pPr>
      <w:r w:rsidRPr="002C431D">
        <w:rPr>
          <w:rFonts w:cs="Arial"/>
          <w:noProof/>
          <w:color w:val="00000A"/>
          <w:szCs w:val="20"/>
          <w:lang w:val="sl-SI"/>
        </w:rPr>
        <w:t>EVA 2017-2550-0045</w:t>
      </w:r>
    </w:p>
    <w:p w:rsidR="00C57202" w:rsidRPr="002C431D" w:rsidRDefault="00C57202" w:rsidP="00C57202">
      <w:pPr>
        <w:suppressAutoHyphens/>
        <w:jc w:val="right"/>
        <w:rPr>
          <w:rFonts w:cs="Arial"/>
          <w:szCs w:val="20"/>
          <w:lang w:val="sl-SI" w:eastAsia="ar-SA"/>
        </w:rPr>
      </w:pPr>
      <w:r w:rsidRPr="002C431D">
        <w:rPr>
          <w:rFonts w:cs="Arial"/>
          <w:szCs w:val="20"/>
          <w:lang w:val="sl-SI" w:eastAsia="ar-SA"/>
        </w:rPr>
        <w:t>Vlada Republike Slovenije</w:t>
      </w:r>
    </w:p>
    <w:p w:rsidR="00C57202" w:rsidRPr="002C431D" w:rsidRDefault="00C57202" w:rsidP="00C57202">
      <w:pPr>
        <w:suppressAutoHyphens/>
        <w:ind w:left="6804"/>
        <w:jc w:val="center"/>
        <w:rPr>
          <w:rFonts w:cs="Arial"/>
          <w:szCs w:val="20"/>
          <w:lang w:val="sl-SI" w:eastAsia="ar-SA"/>
        </w:rPr>
      </w:pPr>
      <w:r w:rsidRPr="002C431D">
        <w:rPr>
          <w:rFonts w:cs="Arial"/>
          <w:szCs w:val="20"/>
          <w:lang w:val="sl-SI" w:eastAsia="ar-SA"/>
        </w:rPr>
        <w:t>dr. Miroslav Cerar</w:t>
      </w:r>
    </w:p>
    <w:p w:rsidR="00C57202" w:rsidRPr="002C431D" w:rsidRDefault="00C57202" w:rsidP="00C57202">
      <w:pPr>
        <w:suppressAutoHyphens/>
        <w:ind w:left="6804"/>
        <w:jc w:val="center"/>
        <w:rPr>
          <w:rFonts w:cs="Arial"/>
          <w:szCs w:val="20"/>
          <w:lang w:val="sl-SI" w:eastAsia="ar-SA"/>
        </w:rPr>
      </w:pPr>
      <w:r w:rsidRPr="002C431D">
        <w:rPr>
          <w:rFonts w:cs="Arial"/>
          <w:szCs w:val="20"/>
          <w:lang w:val="sl-SI" w:eastAsia="ar-SA"/>
        </w:rPr>
        <w:t>predsednik</w:t>
      </w:r>
    </w:p>
    <w:p w:rsidR="004A513A" w:rsidRPr="002C431D" w:rsidRDefault="004A513A" w:rsidP="004A513A">
      <w:pPr>
        <w:spacing w:after="200" w:line="276" w:lineRule="auto"/>
        <w:rPr>
          <w:rFonts w:eastAsia="Calibri" w:cs="Arial"/>
          <w:iCs/>
          <w:noProof/>
          <w:szCs w:val="20"/>
          <w:lang w:val="sl-SI"/>
        </w:rPr>
      </w:pPr>
    </w:p>
    <w:p w:rsidR="004A513A" w:rsidRPr="002C431D" w:rsidRDefault="004A513A" w:rsidP="004A513A">
      <w:pPr>
        <w:shd w:val="clear" w:color="auto" w:fill="FFFFFF"/>
        <w:spacing w:before="240" w:after="120"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lastRenderedPageBreak/>
        <w:t>P</w:t>
      </w:r>
      <w:bookmarkStart w:id="0" w:name="_GoBack"/>
      <w:bookmarkEnd w:id="0"/>
      <w:r w:rsidRPr="002C431D">
        <w:rPr>
          <w:rFonts w:cs="Arial"/>
          <w:b/>
          <w:bCs/>
          <w:szCs w:val="20"/>
          <w:lang w:val="sl-SI" w:eastAsia="sl-SI"/>
        </w:rPr>
        <w:t>RILOGA</w:t>
      </w:r>
    </w:p>
    <w:p w:rsidR="004A513A" w:rsidRPr="002C431D" w:rsidRDefault="004A513A" w:rsidP="004A513A">
      <w:pPr>
        <w:shd w:val="clear" w:color="auto" w:fill="FFFFFF"/>
        <w:spacing w:before="240" w:after="120" w:line="240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»PRILOGA 4</w:t>
      </w:r>
    </w:p>
    <w:p w:rsidR="004A513A" w:rsidRPr="002C431D" w:rsidRDefault="004A513A" w:rsidP="004A513A">
      <w:pPr>
        <w:shd w:val="clear" w:color="auto" w:fill="FFFFFF"/>
        <w:spacing w:before="240" w:after="120"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SPREMLJANJE IN SPOROČANJE EMISIJ ONESNAŽEVAL ZRAKA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i/>
          <w:iCs/>
          <w:szCs w:val="20"/>
          <w:lang w:val="sl-SI" w:eastAsia="sl-SI"/>
        </w:rPr>
        <w:t>Tabela A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Zahteve glede letnega poročanja o emisijah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3553"/>
        <w:gridCol w:w="1507"/>
        <w:gridCol w:w="1357"/>
      </w:tblGrid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Onesnaževala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Časovni okvir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1D63AB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Datum poročanja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Skupne nacionalne emisije po vrstah virov po NFR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1</w:t>
            </w:r>
            <w:r w:rsidRPr="002C431D">
              <w:rPr>
                <w:rFonts w:cs="Arial"/>
                <w:szCs w:val="20"/>
                <w:lang w:val="sl-SI" w:eastAsia="sl-SI"/>
              </w:rPr>
              <w:t>) 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2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3320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88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12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NMVOC, NH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CO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3320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88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12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težke kovine (Cd, Hg, Pb)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3411"/>
            </w:tblGrid>
            <w:tr w:rsidR="004A513A" w:rsidRPr="00E35A24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– 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POP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4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 (skupni PAH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5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), benzo(a)piren, benzo(b)fluoranten, benzo(k)fluoranten, indeno(1,2,3-cd)piren, dioksini/furani, PCB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6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), HCB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7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B37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 xml:space="preserve">Letno, od leta 1990 do leta poročanja minus 2 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februar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9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Skupne nacionalne emisije po vrstah virov po NFR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2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3320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88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12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10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 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8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  <w:r w:rsidR="001D63AB">
                    <w:rPr>
                      <w:rFonts w:cs="Arial"/>
                      <w:szCs w:val="20"/>
                      <w:lang w:val="sl-SI" w:eastAsia="sl-SI"/>
                    </w:rPr>
                    <w:t>,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 in če je na voljo, BC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B37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 xml:space="preserve">Letno, od leta 2000 do leta poročanja minus 2 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februar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9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</w:tr>
    </w:tbl>
    <w:p w:rsidR="004A513A" w:rsidRPr="002C431D" w:rsidRDefault="004A513A" w:rsidP="004A513A">
      <w:pPr>
        <w:shd w:val="clear" w:color="auto" w:fill="FFFFFF"/>
        <w:spacing w:before="100" w:beforeAutospacing="1" w:after="100" w:afterAutospacing="1" w:line="240" w:lineRule="auto"/>
        <w:rPr>
          <w:rFonts w:cs="Arial"/>
          <w:szCs w:val="20"/>
          <w:lang w:val="sl-SI" w:eastAsia="sl-SI"/>
        </w:rPr>
      </w:pP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i/>
          <w:iCs/>
          <w:szCs w:val="20"/>
          <w:lang w:val="sl-SI" w:eastAsia="sl-SI"/>
        </w:rPr>
        <w:t>Tabela B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Zahteve glede letnega poročanja o emisijah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995"/>
        <w:gridCol w:w="2086"/>
        <w:gridCol w:w="1370"/>
      </w:tblGrid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Element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Onesnaževala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Časovni okvir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Datum poročanja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Skupne nacionalne emisije po vrstah virov po NFR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10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53"/>
            </w:tblGrid>
            <w:tr w:rsidR="004A513A" w:rsidRPr="002C431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težke kovine (As, Cr, Cu, Ni, Se in Zn ter njihove spojine)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11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2774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322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678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TSP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12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Letno, od leta 1990 (2000 za TSP) do leta poročanja minus 2 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februar</w:t>
            </w:r>
          </w:p>
        </w:tc>
      </w:tr>
    </w:tbl>
    <w:p w:rsidR="004A513A" w:rsidRPr="002C431D" w:rsidRDefault="004A513A" w:rsidP="004A513A">
      <w:pPr>
        <w:shd w:val="clear" w:color="auto" w:fill="FFFFFF"/>
        <w:spacing w:before="100" w:beforeAutospacing="1" w:after="100" w:afterAutospacing="1" w:line="240" w:lineRule="auto"/>
        <w:rPr>
          <w:rFonts w:cs="Arial"/>
          <w:szCs w:val="20"/>
          <w:lang w:val="sl-SI" w:eastAsia="sl-SI"/>
        </w:rPr>
      </w:pP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i/>
          <w:iCs/>
          <w:szCs w:val="20"/>
          <w:lang w:val="sl-SI" w:eastAsia="sl-SI"/>
        </w:rPr>
        <w:t>Tabela C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Zahteve glede poročanja o emisijah in projekcijah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961"/>
        <w:gridCol w:w="2106"/>
        <w:gridCol w:w="1337"/>
      </w:tblGrid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Element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Onesnaževala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Časovni okvir/ciljna leta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1D63AB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Datum poročanja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Podatki o emisijah državne merilne mreže po vrstah virov (GNFR)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2C431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NMVOC, CO, NH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10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2775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66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34" w:type="pct"/>
                  <w:hideMark/>
                </w:tcPr>
                <w:p w:rsidR="004A513A" w:rsidRPr="002C431D" w:rsidRDefault="001D63AB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težke kovine (Cd, Hg, Pb)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E35A24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– 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POP (skupni PAH, HCB, PCB, dioksini/furani)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633"/>
            </w:tblGrid>
            <w:tr w:rsidR="004A513A" w:rsidRPr="00E35A24" w:rsidTr="006C3B9D">
              <w:trPr>
                <w:tblCellSpacing w:w="0" w:type="dxa"/>
              </w:trPr>
              <w:tc>
                <w:tcPr>
                  <w:tcW w:w="508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492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BC (če je na voljo)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3AB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 xml:space="preserve">Vsaka štiri leta za leto poročanja minus 2 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(X – 2)</w:t>
            </w:r>
            <w:r w:rsidR="001D63AB">
              <w:rPr>
                <w:rFonts w:cs="Arial"/>
                <w:szCs w:val="20"/>
                <w:lang w:val="sl-SI" w:eastAsia="sl-SI"/>
              </w:rPr>
              <w:t>;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1. maj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13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F47713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Veliki točkovni viri po viru kategorije (GNFR)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2C431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NMVOC, CO, NH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10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2775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66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lastRenderedPageBreak/>
                    <w:t>–</w:t>
                  </w:r>
                </w:p>
              </w:tc>
              <w:tc>
                <w:tcPr>
                  <w:tcW w:w="4734" w:type="pct"/>
                  <w:hideMark/>
                </w:tcPr>
                <w:p w:rsidR="004A513A" w:rsidRPr="002C431D" w:rsidRDefault="001D63AB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težke kovine (Cd, Hg, Pb)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E35A24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POP (skupni PAH, HCB, PCB, dioksini/furani)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633"/>
            </w:tblGrid>
            <w:tr w:rsidR="004A513A" w:rsidRPr="00E35A24" w:rsidTr="006C3B9D">
              <w:trPr>
                <w:tblCellSpacing w:w="0" w:type="dxa"/>
              </w:trPr>
              <w:tc>
                <w:tcPr>
                  <w:tcW w:w="508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492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BC (če je na voljo)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3AB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 xml:space="preserve">Vsaka štiri leta za leto poročanja minus 2 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>(X – 2)</w:t>
            </w:r>
            <w:r w:rsidR="001D63AB">
              <w:rPr>
                <w:rFonts w:cs="Arial"/>
                <w:szCs w:val="20"/>
                <w:lang w:val="sl-SI" w:eastAsia="sl-SI"/>
              </w:rPr>
              <w:t>;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>1. maj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13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>Projekcije emisij po združeni NFR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2C431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NH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NMVOC,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  <w:r w:rsidR="001D63AB">
                    <w:rPr>
                      <w:rFonts w:cs="Arial"/>
                      <w:szCs w:val="20"/>
                      <w:lang w:val="sl-SI" w:eastAsia="sl-SI"/>
                    </w:rPr>
                    <w:t>,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 in če je na voljo, BC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Vsaki dve leti za leta projekcij 2020, 2025, 2030</w:t>
            </w:r>
            <w:r w:rsidR="001D63AB">
              <w:rPr>
                <w:rFonts w:cs="Arial"/>
                <w:szCs w:val="20"/>
                <w:lang w:val="sl-SI" w:eastAsia="sl-SI"/>
              </w:rPr>
              <w:t>,</w:t>
            </w:r>
            <w:r w:rsidRPr="002C431D">
              <w:rPr>
                <w:rFonts w:cs="Arial"/>
                <w:szCs w:val="20"/>
                <w:lang w:val="sl-SI" w:eastAsia="sl-SI"/>
              </w:rPr>
              <w:t xml:space="preserve"> ter če so na voljo, za leti 2040 in 2050</w:t>
            </w:r>
            <w:r w:rsidR="001D63AB">
              <w:rPr>
                <w:rFonts w:cs="Arial"/>
                <w:szCs w:val="20"/>
                <w:lang w:val="sl-SI" w:eastAsia="sl-SI"/>
              </w:rPr>
              <w:t>;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marec</w:t>
            </w:r>
          </w:p>
        </w:tc>
      </w:tr>
    </w:tbl>
    <w:p w:rsidR="004A513A" w:rsidRPr="002C431D" w:rsidRDefault="004A513A" w:rsidP="004A513A">
      <w:pPr>
        <w:shd w:val="clear" w:color="auto" w:fill="FFFFFF"/>
        <w:spacing w:before="100" w:beforeAutospacing="1" w:after="100" w:afterAutospacing="1" w:line="240" w:lineRule="auto"/>
        <w:rPr>
          <w:rFonts w:cs="Arial"/>
          <w:szCs w:val="20"/>
          <w:lang w:val="sl-SI" w:eastAsia="sl-SI"/>
        </w:rPr>
      </w:pP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i/>
          <w:iCs/>
          <w:szCs w:val="20"/>
          <w:lang w:val="sl-SI" w:eastAsia="sl-SI"/>
        </w:rPr>
        <w:t>Tabela D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Zahteve glede letnega poročanja o informativnem poročilu o evidencah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897"/>
        <w:gridCol w:w="1757"/>
        <w:gridCol w:w="1329"/>
      </w:tblGrid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Onesnaževala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Časovni okvir/ciljna leta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1D63AB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Datum poročanja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Informativno poročilo o evidencah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3698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19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81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NMVOC, NH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CO,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10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3698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19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81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težke kovine (Cd, Hg, Pb) in BC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3755"/>
            </w:tblGrid>
            <w:tr w:rsidR="004A513A" w:rsidRPr="00E35A24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POP (skupni PAH, benzo(a)piren, benzo(b)fluoranten, benzo(k)fluoranten, indeno(1,2,3-cd)piren, dioksini/furani, PCB, HCB)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3755"/>
            </w:tblGrid>
            <w:tr w:rsidR="004A513A" w:rsidRPr="006C3B9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F47713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č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e je na voljo, težke kovine (As, Cr, Cu, Ni, Se in Zn ter njihove spojine) in TSP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Vsako leto</w:t>
            </w:r>
          </w:p>
          <w:p w:rsidR="004A513A" w:rsidRPr="002C431D" w:rsidRDefault="004A513A" w:rsidP="001D63AB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(kakor je prikazano v tabelah A</w:t>
            </w:r>
            <w:r w:rsidR="001D63AB">
              <w:rPr>
                <w:rFonts w:cs="Arial"/>
                <w:szCs w:val="20"/>
                <w:lang w:val="sl-SI" w:eastAsia="sl-SI"/>
              </w:rPr>
              <w:t xml:space="preserve">, </w:t>
            </w:r>
            <w:r w:rsidRPr="002C431D">
              <w:rPr>
                <w:rFonts w:cs="Arial"/>
                <w:szCs w:val="20"/>
                <w:lang w:val="sl-SI" w:eastAsia="sl-SI"/>
              </w:rPr>
              <w:t>B</w:t>
            </w:r>
            <w:r w:rsidR="001D63AB">
              <w:rPr>
                <w:rFonts w:cs="Arial"/>
                <w:szCs w:val="20"/>
                <w:lang w:val="sl-SI" w:eastAsia="sl-SI"/>
              </w:rPr>
              <w:t xml:space="preserve"> in </w:t>
            </w:r>
            <w:r w:rsidRPr="002C431D">
              <w:rPr>
                <w:rFonts w:cs="Arial"/>
                <w:szCs w:val="20"/>
                <w:lang w:val="sl-SI" w:eastAsia="sl-SI"/>
              </w:rPr>
              <w:t>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marec</w:t>
            </w:r>
          </w:p>
        </w:tc>
      </w:tr>
    </w:tbl>
    <w:p w:rsidR="004A513A" w:rsidRPr="002C431D" w:rsidRDefault="00440747" w:rsidP="004A513A">
      <w:pPr>
        <w:spacing w:before="240" w:after="60"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pict>
          <v:rect id="_x0000_i1025" style="width:241.65pt;height:.75pt" o:hrpct="0" o:hrstd="t" o:hrnoshade="t" o:hr="t" fillcolor="black" stroked="f"/>
        </w:pic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</w:t>
      </w:r>
      <w:r w:rsidRPr="002C431D">
        <w:rPr>
          <w:rFonts w:cs="Arial"/>
          <w:szCs w:val="20"/>
          <w:lang w:val="sl-SI" w:eastAsia="sl-SI"/>
        </w:rPr>
        <w:t>)  Nomenklatura za poročanje (NFR), kot je določena v Konvenciji LRTAP.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2</w:t>
      </w:r>
      <w:r w:rsidRPr="002C431D">
        <w:rPr>
          <w:rFonts w:cs="Arial"/>
          <w:szCs w:val="20"/>
          <w:lang w:val="sl-SI" w:eastAsia="sl-SI"/>
        </w:rPr>
        <w:t>)  Naravne emisije se sporočajo v skladu z metodologijami, določenimi v Konvenciji LRTAP in priročniku EMEP/EEA o evidencah emisij onesnaževal zraka. Ne vključijo se v skupne nacionalne vsote, sporočajo se ločeno.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3</w:t>
      </w:r>
      <w:r w:rsidRPr="002C431D">
        <w:rPr>
          <w:rFonts w:cs="Arial"/>
          <w:szCs w:val="20"/>
          <w:lang w:val="sl-SI" w:eastAsia="sl-SI"/>
        </w:rPr>
        <w:t>)  Cd (kadmij), Hg (živo srebro), Pb (svinec).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4</w:t>
      </w:r>
      <w:r w:rsidRPr="002C431D">
        <w:rPr>
          <w:rFonts w:cs="Arial"/>
          <w:szCs w:val="20"/>
          <w:lang w:val="sl-SI" w:eastAsia="sl-SI"/>
        </w:rPr>
        <w:t>)  POP (obstojna organska onesnaževala).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5</w:t>
      </w:r>
      <w:r w:rsidRPr="002C431D">
        <w:rPr>
          <w:rFonts w:cs="Arial"/>
          <w:szCs w:val="20"/>
          <w:lang w:val="sl-SI" w:eastAsia="sl-SI"/>
        </w:rPr>
        <w:t>)  PAH (policiklični aromatski ogljikovodiki).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6</w:t>
      </w:r>
      <w:r w:rsidRPr="002C431D">
        <w:rPr>
          <w:rFonts w:cs="Arial"/>
          <w:szCs w:val="20"/>
          <w:lang w:val="sl-SI" w:eastAsia="sl-SI"/>
        </w:rPr>
        <w:t>)  PCB (poliklorirani bifenili).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7</w:t>
      </w:r>
      <w:r w:rsidRPr="002C431D">
        <w:rPr>
          <w:rFonts w:cs="Arial"/>
          <w:szCs w:val="20"/>
          <w:lang w:val="sl-SI" w:eastAsia="sl-SI"/>
        </w:rPr>
        <w:t>)  HCB (heksaklorobenzen).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8</w:t>
      </w:r>
      <w:r w:rsidRPr="002C431D">
        <w:rPr>
          <w:rFonts w:cs="Arial"/>
          <w:szCs w:val="20"/>
          <w:lang w:val="sl-SI" w:eastAsia="sl-SI"/>
        </w:rPr>
        <w:t>)  </w:t>
      </w:r>
      <w:r w:rsidR="001D63AB">
        <w:rPr>
          <w:rFonts w:cs="Arial"/>
          <w:szCs w:val="20"/>
          <w:lang w:val="sl-SI" w:eastAsia="sl-SI"/>
        </w:rPr>
        <w:t>»</w:t>
      </w:r>
      <w:r w:rsidRPr="002C431D">
        <w:rPr>
          <w:rFonts w:cs="Arial"/>
          <w:szCs w:val="20"/>
          <w:lang w:val="sl-SI" w:eastAsia="sl-SI"/>
        </w:rPr>
        <w:t>PM</w:t>
      </w:r>
      <w:r w:rsidRPr="002C431D">
        <w:rPr>
          <w:rFonts w:cs="Arial"/>
          <w:szCs w:val="20"/>
          <w:vertAlign w:val="subscript"/>
          <w:lang w:val="sl-SI" w:eastAsia="sl-SI"/>
        </w:rPr>
        <w:t>10</w:t>
      </w:r>
      <w:r w:rsidR="001D63AB">
        <w:rPr>
          <w:rFonts w:cs="Arial"/>
          <w:szCs w:val="20"/>
          <w:lang w:val="sl-SI" w:eastAsia="sl-SI"/>
        </w:rPr>
        <w:t>«</w:t>
      </w:r>
      <w:r w:rsidRPr="002C431D">
        <w:rPr>
          <w:rFonts w:cs="Arial"/>
          <w:szCs w:val="20"/>
          <w:lang w:val="sl-SI" w:eastAsia="sl-SI"/>
        </w:rPr>
        <w:t xml:space="preserve"> pomeni delce z aerodinamičnim premerom 10 mikrometrov (μm) ali manj.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9</w:t>
      </w:r>
      <w:r w:rsidRPr="002C431D">
        <w:rPr>
          <w:rFonts w:cs="Arial"/>
          <w:szCs w:val="20"/>
          <w:lang w:val="sl-SI" w:eastAsia="sl-SI"/>
        </w:rPr>
        <w:t>)  Ponovne predložitve zaradi napak se opravijo najpozneje v štirih tednih in vključujejo jasno razlago sprememb.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10</w:t>
      </w:r>
      <w:r w:rsidRPr="002C431D">
        <w:rPr>
          <w:rFonts w:cs="Arial"/>
          <w:szCs w:val="20"/>
          <w:lang w:val="sl-SI" w:eastAsia="sl-SI"/>
        </w:rPr>
        <w:t>)  Naravne emisije se sporočajo v skladu z metodologijami, določenimi v Konvenciji LRTAP in priročniku EMEP/EEA o evidencah emisij onesnaževal zraka. Ne vključijo se v skupne nacionalne vsote, sporočajo se ločeno.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11</w:t>
      </w:r>
      <w:r w:rsidRPr="002C431D">
        <w:rPr>
          <w:rFonts w:cs="Arial"/>
          <w:szCs w:val="20"/>
          <w:lang w:val="sl-SI" w:eastAsia="sl-SI"/>
        </w:rPr>
        <w:t>)  As (arzen), Cr (krom), Cu (baker), Ni (nikelj), Se (selen)</w:t>
      </w:r>
      <w:r w:rsidR="001D63AB">
        <w:rPr>
          <w:rFonts w:cs="Arial"/>
          <w:szCs w:val="20"/>
          <w:lang w:val="sl-SI" w:eastAsia="sl-SI"/>
        </w:rPr>
        <w:t>,</w:t>
      </w:r>
      <w:r w:rsidRPr="002C431D">
        <w:rPr>
          <w:rFonts w:cs="Arial"/>
          <w:szCs w:val="20"/>
          <w:lang w:val="sl-SI" w:eastAsia="sl-SI"/>
        </w:rPr>
        <w:t xml:space="preserve"> Zn (cink).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12</w:t>
      </w:r>
      <w:r w:rsidRPr="002C431D">
        <w:rPr>
          <w:rFonts w:cs="Arial"/>
          <w:szCs w:val="20"/>
          <w:lang w:val="sl-SI" w:eastAsia="sl-SI"/>
        </w:rPr>
        <w:t>)  TSP (celotni prah).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13</w:t>
      </w:r>
      <w:r w:rsidRPr="002C431D">
        <w:rPr>
          <w:rFonts w:cs="Arial"/>
          <w:szCs w:val="20"/>
          <w:lang w:val="sl-SI" w:eastAsia="sl-SI"/>
        </w:rPr>
        <w:t>)  Ponovne predložitve zaradi napak se opravijo v štirih tednih in vključujejo jasno razlago sprememb.</w:t>
      </w:r>
    </w:p>
    <w:p w:rsidR="004A513A" w:rsidRPr="002C431D" w:rsidRDefault="004A513A" w:rsidP="004A513A">
      <w:pPr>
        <w:spacing w:after="200" w:line="276" w:lineRule="auto"/>
        <w:rPr>
          <w:rFonts w:eastAsia="Calibri" w:cs="Arial"/>
          <w:iCs/>
          <w:noProof/>
          <w:szCs w:val="20"/>
          <w:lang w:val="sl-SI"/>
        </w:rPr>
      </w:pPr>
    </w:p>
    <w:p w:rsidR="004A513A" w:rsidRPr="002C431D" w:rsidRDefault="004A513A" w:rsidP="004A513A">
      <w:pPr>
        <w:spacing w:after="200" w:line="276" w:lineRule="auto"/>
        <w:rPr>
          <w:rFonts w:eastAsia="Calibri" w:cs="Arial"/>
          <w:iCs/>
          <w:noProof/>
          <w:szCs w:val="20"/>
          <w:lang w:val="sl-SI"/>
        </w:rPr>
      </w:pPr>
      <w:r w:rsidRPr="002C431D">
        <w:rPr>
          <w:rFonts w:eastAsia="Calibri" w:cs="Arial"/>
          <w:iCs/>
          <w:noProof/>
          <w:szCs w:val="20"/>
          <w:lang w:val="sl-SI"/>
        </w:rPr>
        <w:lastRenderedPageBreak/>
        <w:br w:type="page"/>
      </w:r>
    </w:p>
    <w:p w:rsidR="004A513A" w:rsidRPr="002C431D" w:rsidRDefault="004A513A" w:rsidP="004A513A">
      <w:pPr>
        <w:spacing w:before="240" w:after="120" w:line="240" w:lineRule="auto"/>
        <w:jc w:val="center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lastRenderedPageBreak/>
        <w:t>PRILOGA 5</w:t>
      </w:r>
    </w:p>
    <w:p w:rsidR="004A513A" w:rsidRPr="002C431D" w:rsidRDefault="004A513A" w:rsidP="004A513A">
      <w:p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t>METODOLOGIJE ZA PRIPRAVO IN POSODABLJANJE NACIONALNIH EVIDENC IN PROJEKCIJ EMISIJ</w:t>
      </w:r>
      <w:r w:rsidR="00DE06DE">
        <w:rPr>
          <w:rFonts w:cs="Arial"/>
          <w:b/>
          <w:bCs/>
          <w:color w:val="000000"/>
          <w:szCs w:val="20"/>
          <w:lang w:val="sl-SI" w:eastAsia="sl-SI"/>
        </w:rPr>
        <w:t xml:space="preserve"> TER</w:t>
      </w:r>
      <w:r w:rsidRPr="002C431D">
        <w:rPr>
          <w:rFonts w:cs="Arial"/>
          <w:b/>
          <w:bCs/>
          <w:color w:val="000000"/>
          <w:szCs w:val="20"/>
          <w:lang w:val="sl-SI" w:eastAsia="sl-SI"/>
        </w:rPr>
        <w:t xml:space="preserve"> INFORMATIVNIH POROČIL O EVIDENCAH IZ </w:t>
      </w:r>
      <w:proofErr w:type="spellStart"/>
      <w:r w:rsidRPr="002C431D">
        <w:rPr>
          <w:rFonts w:cs="Arial"/>
          <w:b/>
          <w:bCs/>
          <w:color w:val="000000"/>
          <w:szCs w:val="20"/>
          <w:lang w:val="sl-SI" w:eastAsia="sl-SI"/>
        </w:rPr>
        <w:t>8</w:t>
      </w:r>
      <w:r w:rsidR="001D63AB">
        <w:rPr>
          <w:rFonts w:cs="Arial"/>
          <w:b/>
          <w:bCs/>
          <w:color w:val="000000"/>
          <w:szCs w:val="20"/>
          <w:lang w:val="sl-SI" w:eastAsia="sl-SI"/>
        </w:rPr>
        <w:t>.</w:t>
      </w:r>
      <w:r w:rsidRPr="002C431D">
        <w:rPr>
          <w:rFonts w:cs="Arial"/>
          <w:b/>
          <w:bCs/>
          <w:color w:val="000000"/>
          <w:szCs w:val="20"/>
          <w:lang w:val="sl-SI" w:eastAsia="sl-SI"/>
        </w:rPr>
        <w:t>a</w:t>
      </w:r>
      <w:proofErr w:type="spellEnd"/>
      <w:r w:rsidRPr="002C431D">
        <w:rPr>
          <w:rFonts w:cs="Arial"/>
          <w:b/>
          <w:bCs/>
          <w:color w:val="000000"/>
          <w:szCs w:val="20"/>
          <w:lang w:val="sl-SI" w:eastAsia="sl-SI"/>
        </w:rPr>
        <w:t xml:space="preserve"> ČLENA</w:t>
      </w:r>
    </w:p>
    <w:p w:rsidR="004A513A" w:rsidRPr="002C431D" w:rsidRDefault="004A513A" w:rsidP="004A513A">
      <w:pPr>
        <w:spacing w:before="120"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2C431D">
        <w:rPr>
          <w:rFonts w:cs="Arial"/>
          <w:color w:val="000000"/>
          <w:szCs w:val="20"/>
          <w:lang w:val="sl-SI" w:eastAsia="sl-SI"/>
        </w:rPr>
        <w:t xml:space="preserve">Za onesnaževala iz </w:t>
      </w:r>
      <w:r w:rsidR="00DE06DE">
        <w:rPr>
          <w:rFonts w:cs="Arial"/>
          <w:color w:val="000000"/>
          <w:szCs w:val="20"/>
          <w:lang w:val="sl-SI" w:eastAsia="sl-SI"/>
        </w:rPr>
        <w:t>p</w:t>
      </w:r>
      <w:r w:rsidRPr="002C431D">
        <w:rPr>
          <w:rFonts w:cs="Arial"/>
          <w:color w:val="000000"/>
          <w:szCs w:val="20"/>
          <w:lang w:val="sl-SI" w:eastAsia="sl-SI"/>
        </w:rPr>
        <w:t xml:space="preserve">riloge 4 se pripravijo nacionalne evidence emisij, nacionalne projekcije emisij, prostorsko razčlenjene nacionalne evidence emisij, evidence velikih točkovnih virov in informativna poročila o evidencah z uporabo metodologij, ki so jih sprejele pogodbenice Konvencije LRTAP (v nadaljnjem besedilu: smernice za poročanje v okviru EMEP), od njih pa se zahteva tudi uporaba priročnika EMEP/EEA o evidencah emisij onesnaževal zraka (v nadaljnjem besedilu: priročnik EMEP/EEA), navedenega v </w:t>
      </w:r>
      <w:r w:rsidR="00DE06DE">
        <w:rPr>
          <w:rFonts w:cs="Arial"/>
          <w:color w:val="000000"/>
          <w:szCs w:val="20"/>
          <w:lang w:val="sl-SI" w:eastAsia="sl-SI"/>
        </w:rPr>
        <w:t>k</w:t>
      </w:r>
      <w:r w:rsidRPr="002C431D">
        <w:rPr>
          <w:rFonts w:cs="Arial"/>
          <w:color w:val="000000"/>
          <w:szCs w:val="20"/>
          <w:lang w:val="sl-SI" w:eastAsia="sl-SI"/>
        </w:rPr>
        <w:t>onvenciji. Poleg tega se dodatne informacije, zlasti podatki o dejavnosti naprav, ki so potrebne za oceno nacionalnih evidenc in projekcij emisij, pripravijo v skladu z istimi smernicami.</w:t>
      </w:r>
    </w:p>
    <w:p w:rsidR="004A513A" w:rsidRPr="002C431D" w:rsidRDefault="004A513A" w:rsidP="004A513A">
      <w:pPr>
        <w:spacing w:before="120"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2C431D">
        <w:rPr>
          <w:rFonts w:cs="Arial"/>
          <w:color w:val="000000"/>
          <w:szCs w:val="20"/>
          <w:lang w:val="sl-SI" w:eastAsia="sl-SI"/>
        </w:rPr>
        <w:t xml:space="preserve">Zanašanje na smernice za poročanje v okviru EMEP ne posega v dodatne pogoje, določene v tej prilogi, niti v zahteve v zvezi z nomenklaturo za poročanje, časovnimi okviri in datumi poročanja, določenimi v </w:t>
      </w:r>
      <w:r w:rsidR="00DE06DE">
        <w:rPr>
          <w:rFonts w:cs="Arial"/>
          <w:color w:val="000000"/>
          <w:szCs w:val="20"/>
          <w:lang w:val="sl-SI" w:eastAsia="sl-SI"/>
        </w:rPr>
        <w:t>p</w:t>
      </w:r>
      <w:r w:rsidRPr="002C431D">
        <w:rPr>
          <w:rFonts w:cs="Arial"/>
          <w:color w:val="000000"/>
          <w:szCs w:val="20"/>
          <w:lang w:val="sl-SI" w:eastAsia="sl-SI"/>
        </w:rPr>
        <w:t>rilogi 4.</w:t>
      </w:r>
    </w:p>
    <w:p w:rsidR="004A513A" w:rsidRPr="006C3B9D" w:rsidRDefault="004A513A" w:rsidP="006C3B9D">
      <w:pPr>
        <w:pStyle w:val="Odstavekseznama"/>
        <w:numPr>
          <w:ilvl w:val="0"/>
          <w:numId w:val="27"/>
        </w:num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6C3B9D">
        <w:rPr>
          <w:rFonts w:cs="Arial"/>
          <w:b/>
          <w:bCs/>
          <w:color w:val="000000"/>
          <w:szCs w:val="20"/>
          <w:lang w:val="sl-SI" w:eastAsia="sl-SI"/>
        </w:rPr>
        <w:t xml:space="preserve">DEL </w:t>
      </w:r>
    </w:p>
    <w:p w:rsidR="004A513A" w:rsidRPr="002C431D" w:rsidRDefault="004A513A" w:rsidP="004A513A">
      <w:p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t>Nacionalne letne evidence emisij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73"/>
        <w:gridCol w:w="8318"/>
      </w:tblGrid>
      <w:tr w:rsidR="004A513A" w:rsidRPr="002C431D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Nacionalne evidence emisij morajo biti pregledne, usklajene, primerljive, popolne in točne.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E35A24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2.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Emisije iz </w:t>
            </w:r>
            <w:r>
              <w:rPr>
                <w:rFonts w:cs="Arial"/>
                <w:szCs w:val="20"/>
                <w:lang w:val="sl-SI" w:eastAsia="sl-SI"/>
              </w:rPr>
              <w:t>nekater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ih ključnih kategorij se izračunajo v skladu z metodologijami, določenimi v priročniku EMEP/EEA, pri čemer se uporabi metodologija stopnje 2 ali višja (podrobnejša) metodologija.</w:t>
            </w:r>
          </w:p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Lahko se uporabljajo druge znanstveno utemeljene in združljive metodologije za vzpostavitev nacionalnih evidenc emisij, kadar te metodologije zagotavljajo bolj točne ocene od privzetih metodologij iz priročnika EMEP/EEA.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E35A24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3.</w:t>
            </w:r>
          </w:p>
        </w:tc>
        <w:tc>
          <w:tcPr>
            <w:tcW w:w="0" w:type="auto"/>
            <w:hideMark/>
          </w:tcPr>
          <w:p w:rsidR="004A513A" w:rsidRPr="002C431D" w:rsidRDefault="00DE06DE" w:rsidP="00DE06DE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Emisije iz prometa se izračunajo in sporočijo v skladu z nacionalnimi energetskimi bilancami, sporočenimi </w:t>
            </w:r>
            <w:proofErr w:type="spellStart"/>
            <w:r w:rsidR="004A513A" w:rsidRPr="002C431D">
              <w:rPr>
                <w:rFonts w:cs="Arial"/>
                <w:szCs w:val="20"/>
                <w:lang w:val="sl-SI" w:eastAsia="sl-SI"/>
              </w:rPr>
              <w:t>E</w:t>
            </w:r>
            <w:r>
              <w:rPr>
                <w:rFonts w:cs="Arial"/>
                <w:szCs w:val="20"/>
                <w:lang w:val="sl-SI" w:eastAsia="sl-SI"/>
              </w:rPr>
              <w:t>v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rostatu</w:t>
            </w:r>
            <w:proofErr w:type="spellEnd"/>
            <w:r w:rsidR="004A513A" w:rsidRPr="002C431D">
              <w:rPr>
                <w:rFonts w:cs="Arial"/>
                <w:szCs w:val="20"/>
                <w:lang w:val="sl-SI" w:eastAsia="sl-SI"/>
              </w:rPr>
              <w:t>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E35A24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4.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Emisije iz cestnega prometa se izračunajo in sporočijo na podlagi goriv, prodanih v Republiki Sloveniji. Poleg tega se lahko sporočijo tudi emisije iz cestnega prometa na podlagi porabljenih goriv ali prevoženih kilometrov v Republiki Sloveniji.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E35A24" w:rsidTr="00CF1C7B">
        <w:trPr>
          <w:trHeight w:val="729"/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5.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Letne emisije se sporočajo izražene v veljavni enoti, opredeljeni v predlogi NFR za poročanje iz Konvencije LRTAP.</w:t>
            </w:r>
          </w:p>
        </w:tc>
      </w:tr>
    </w:tbl>
    <w:p w:rsidR="004A513A" w:rsidRPr="006C3B9D" w:rsidRDefault="004A513A" w:rsidP="006C3B9D">
      <w:pPr>
        <w:pStyle w:val="Odstavekseznama"/>
        <w:numPr>
          <w:ilvl w:val="0"/>
          <w:numId w:val="27"/>
        </w:num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6C3B9D">
        <w:rPr>
          <w:rFonts w:cs="Arial"/>
          <w:b/>
          <w:bCs/>
          <w:color w:val="000000"/>
          <w:szCs w:val="20"/>
          <w:lang w:val="sl-SI" w:eastAsia="sl-SI"/>
        </w:rPr>
        <w:t xml:space="preserve">DEL </w:t>
      </w:r>
    </w:p>
    <w:p w:rsidR="004A513A" w:rsidRPr="002C431D" w:rsidRDefault="004A513A" w:rsidP="004A513A">
      <w:p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t>Nacionalne projekcije emisij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E35A24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Nacionalne projekcije emisij so pregledne, usklajene, primerljive, popolne in točne, sporočene informacije pa vsebujejo </w:t>
            </w:r>
            <w:r w:rsidR="00485338">
              <w:rPr>
                <w:rFonts w:cs="Arial"/>
                <w:szCs w:val="20"/>
                <w:lang w:val="sl-SI" w:eastAsia="sl-SI"/>
              </w:rPr>
              <w:t>najmanj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8056"/>
            </w:tblGrid>
            <w:tr w:rsidR="004A513A" w:rsidRPr="00E35A24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(a)</w:t>
                  </w:r>
                  <w:r w:rsidR="00485338">
                    <w:rPr>
                      <w:rFonts w:cs="Arial"/>
                      <w:szCs w:val="20"/>
                      <w:lang w:val="sl-SI" w:eastAsia="sl-SI"/>
                    </w:rPr>
                    <w:t xml:space="preserve">  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jasno opredelitev sprejetih in načrtovanih politik ter ukrepov, vključenih v projekcije;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080"/>
            </w:tblGrid>
            <w:tr w:rsidR="004A513A" w:rsidRPr="00E35A24" w:rsidTr="00CF1C7B">
              <w:trPr>
                <w:tblCellSpacing w:w="0" w:type="dxa"/>
              </w:trPr>
              <w:tc>
                <w:tcPr>
                  <w:tcW w:w="133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(b)</w:t>
                  </w:r>
                </w:p>
              </w:tc>
              <w:tc>
                <w:tcPr>
                  <w:tcW w:w="4867" w:type="pct"/>
                  <w:hideMark/>
                </w:tcPr>
                <w:p w:rsidR="004A513A" w:rsidRPr="002C431D" w:rsidRDefault="00485338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po potrebi rezultate analize občutljivosti, izvedene za projekcije;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8091"/>
            </w:tblGrid>
            <w:tr w:rsidR="004A513A" w:rsidRPr="00E35A24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85338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opise metodologij, modelov, temeljnih predpostavk ter ključnih vhodnih in izhodnih parametrov.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E35A24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2.</w:t>
            </w:r>
          </w:p>
        </w:tc>
        <w:tc>
          <w:tcPr>
            <w:tcW w:w="0" w:type="auto"/>
            <w:hideMark/>
          </w:tcPr>
          <w:p w:rsidR="004A513A" w:rsidRPr="002C431D" w:rsidRDefault="00DE06DE" w:rsidP="00485338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Projekcije emisij se ocenijo in dodajo k zadevnim sektorjem, ki so viri onesnaževanja. V skladu s smernicami, določenimi v priročniku EMEP/EEA, se pripravijo projekcije </w:t>
            </w:r>
            <w:r w:rsidR="00485338">
              <w:rPr>
                <w:rFonts w:cs="Arial"/>
                <w:szCs w:val="20"/>
                <w:lang w:val="sl-SI" w:eastAsia="sl-SI"/>
              </w:rPr>
              <w:t>»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z ukrepi</w:t>
            </w:r>
            <w:r w:rsidR="00485338">
              <w:rPr>
                <w:rFonts w:cs="Arial"/>
                <w:szCs w:val="20"/>
                <w:lang w:val="sl-SI" w:eastAsia="sl-SI"/>
              </w:rPr>
              <w:t>«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 (sprejeti ukrepi) in po potrebi projekcije </w:t>
            </w:r>
            <w:r w:rsidR="00485338">
              <w:rPr>
                <w:rFonts w:cs="Arial"/>
                <w:szCs w:val="20"/>
                <w:lang w:val="sl-SI" w:eastAsia="sl-SI"/>
              </w:rPr>
              <w:t>»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z dodatnimi ukrepi</w:t>
            </w:r>
            <w:r w:rsidR="00485338">
              <w:rPr>
                <w:rFonts w:cs="Arial"/>
                <w:szCs w:val="20"/>
                <w:lang w:val="sl-SI" w:eastAsia="sl-SI"/>
              </w:rPr>
              <w:t>«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 (načrtovani ukrepi) za vsako onesnaževalo.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E35A24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3.</w:t>
            </w:r>
          </w:p>
        </w:tc>
        <w:tc>
          <w:tcPr>
            <w:tcW w:w="0" w:type="auto"/>
            <w:hideMark/>
          </w:tcPr>
          <w:p w:rsidR="004A513A" w:rsidRPr="002C431D" w:rsidRDefault="00DE06DE" w:rsidP="00485338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Nacionalne projekcije emisij so </w:t>
            </w:r>
            <w:r w:rsidR="00485338">
              <w:rPr>
                <w:rFonts w:cs="Arial"/>
                <w:szCs w:val="20"/>
                <w:lang w:val="sl-SI" w:eastAsia="sl-SI"/>
              </w:rPr>
              <w:t xml:space="preserve">v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sklad</w:t>
            </w:r>
            <w:r w:rsidR="00485338">
              <w:rPr>
                <w:rFonts w:cs="Arial"/>
                <w:szCs w:val="20"/>
                <w:lang w:val="sl-SI" w:eastAsia="sl-SI"/>
              </w:rPr>
              <w:t>u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 z nacionalno letno evidenco emisij za leto x – 3 in s projekcijami, sporočenimi po Uredbi (EU) št. 525/2013 Evropskega parlamenta in Sveta</w:t>
            </w:r>
            <w:r w:rsidR="004A513A" w:rsidRPr="002C431D">
              <w:rPr>
                <w:rFonts w:cs="Arial"/>
                <w:color w:val="000000"/>
                <w:szCs w:val="20"/>
                <w:lang w:val="sl-SI" w:eastAsia="sl-SI"/>
              </w:rPr>
              <w:t> (</w:t>
            </w:r>
            <w:r w:rsidR="004A513A" w:rsidRPr="002C431D">
              <w:rPr>
                <w:rFonts w:cs="Arial"/>
                <w:color w:val="000000"/>
                <w:szCs w:val="20"/>
                <w:vertAlign w:val="superscript"/>
                <w:lang w:val="sl-SI" w:eastAsia="sl-SI"/>
              </w:rPr>
              <w:t>1</w:t>
            </w:r>
            <w:r w:rsidR="004A513A" w:rsidRPr="002C431D">
              <w:rPr>
                <w:rFonts w:cs="Arial"/>
                <w:color w:val="000000"/>
                <w:szCs w:val="20"/>
                <w:lang w:val="sl-SI" w:eastAsia="sl-SI"/>
              </w:rPr>
              <w:t>)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.</w:t>
            </w:r>
          </w:p>
        </w:tc>
      </w:tr>
    </w:tbl>
    <w:p w:rsidR="004A513A" w:rsidRPr="006C3B9D" w:rsidRDefault="004A513A" w:rsidP="006C3B9D">
      <w:pPr>
        <w:pStyle w:val="Odstavekseznama"/>
        <w:numPr>
          <w:ilvl w:val="0"/>
          <w:numId w:val="27"/>
        </w:num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6C3B9D">
        <w:rPr>
          <w:rFonts w:cs="Arial"/>
          <w:b/>
          <w:bCs/>
          <w:color w:val="000000"/>
          <w:szCs w:val="20"/>
          <w:lang w:val="sl-SI" w:eastAsia="sl-SI"/>
        </w:rPr>
        <w:t xml:space="preserve">DEL </w:t>
      </w:r>
    </w:p>
    <w:p w:rsidR="004A513A" w:rsidRPr="002C431D" w:rsidRDefault="004A513A" w:rsidP="004A513A">
      <w:p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lastRenderedPageBreak/>
        <w:t>Informativno poročilo o evidencah</w:t>
      </w:r>
    </w:p>
    <w:p w:rsidR="004A513A" w:rsidRPr="002C431D" w:rsidRDefault="004A513A" w:rsidP="004A513A">
      <w:pPr>
        <w:spacing w:before="120"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2C431D">
        <w:rPr>
          <w:rFonts w:cs="Arial"/>
          <w:color w:val="000000"/>
          <w:szCs w:val="20"/>
          <w:lang w:val="sl-SI" w:eastAsia="sl-SI"/>
        </w:rPr>
        <w:t xml:space="preserve">Informativna poročila o evidencah se pripravijo v skladu s smernicami za poročanje v okviru EMEP, sporočajo pa se z uporabo predloge za poročila o evidencah, ki so v njih določene. Poročilo o evidencah vsebuje </w:t>
      </w:r>
      <w:r w:rsidR="00485338">
        <w:rPr>
          <w:rFonts w:cs="Arial"/>
          <w:color w:val="000000"/>
          <w:szCs w:val="20"/>
          <w:lang w:val="sl-SI" w:eastAsia="sl-SI"/>
        </w:rPr>
        <w:t>najman</w:t>
      </w:r>
      <w:r w:rsidRPr="002C431D">
        <w:rPr>
          <w:rFonts w:cs="Arial"/>
          <w:color w:val="000000"/>
          <w:szCs w:val="20"/>
          <w:lang w:val="sl-SI" w:eastAsia="sl-SI"/>
        </w:rPr>
        <w:t xml:space="preserve">j </w:t>
      </w:r>
      <w:r w:rsidR="00485338">
        <w:rPr>
          <w:rFonts w:cs="Arial"/>
          <w:color w:val="000000"/>
          <w:szCs w:val="20"/>
          <w:lang w:val="sl-SI" w:eastAsia="sl-SI"/>
        </w:rPr>
        <w:t>t</w:t>
      </w:r>
      <w:r w:rsidRPr="002C431D">
        <w:rPr>
          <w:rFonts w:cs="Arial"/>
          <w:color w:val="000000"/>
          <w:szCs w:val="20"/>
          <w:lang w:val="sl-SI" w:eastAsia="sl-SI"/>
        </w:rPr>
        <w:t>e podatke: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099"/>
      </w:tblGrid>
      <w:tr w:rsidR="004A513A" w:rsidRPr="00E35A24" w:rsidTr="00CF1C7B">
        <w:trPr>
          <w:tblCellSpacing w:w="0" w:type="dxa"/>
        </w:trPr>
        <w:tc>
          <w:tcPr>
            <w:tcW w:w="23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(a)</w:t>
            </w:r>
          </w:p>
        </w:tc>
        <w:tc>
          <w:tcPr>
            <w:tcW w:w="476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opise, sklice in vire informacij posebnih metodologij, predpostavke, faktorje emisij in podatke o dejavnostih, pa tudi temeljna načela za njihovo izbiro;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099"/>
      </w:tblGrid>
      <w:tr w:rsidR="004A513A" w:rsidRPr="002C431D" w:rsidTr="00CF1C7B">
        <w:trPr>
          <w:tblCellSpacing w:w="0" w:type="dxa"/>
        </w:trPr>
        <w:tc>
          <w:tcPr>
            <w:tcW w:w="23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(b)</w:t>
            </w:r>
          </w:p>
        </w:tc>
        <w:tc>
          <w:tcPr>
            <w:tcW w:w="476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opis nacionalnih ključnih vrst virov emisij;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099"/>
      </w:tblGrid>
      <w:tr w:rsidR="004A513A" w:rsidRPr="00E35A24" w:rsidTr="00CF1C7B">
        <w:trPr>
          <w:tblCellSpacing w:w="0" w:type="dxa"/>
        </w:trPr>
        <w:tc>
          <w:tcPr>
            <w:tcW w:w="23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(c)</w:t>
            </w:r>
          </w:p>
        </w:tc>
        <w:tc>
          <w:tcPr>
            <w:tcW w:w="476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informacije o negotovostih, zagotavljanju kakovosti in preverjanju;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056"/>
      </w:tblGrid>
      <w:tr w:rsidR="004A513A" w:rsidRPr="002C431D" w:rsidTr="00CF1C7B">
        <w:trPr>
          <w:tblCellSpacing w:w="0" w:type="dxa"/>
        </w:trPr>
        <w:tc>
          <w:tcPr>
            <w:tcW w:w="260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(d)</w:t>
            </w:r>
          </w:p>
        </w:tc>
        <w:tc>
          <w:tcPr>
            <w:tcW w:w="4740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opis institucionalnih ureditev za pripravo evidence;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099"/>
      </w:tblGrid>
      <w:tr w:rsidR="004A513A" w:rsidRPr="00E35A24" w:rsidTr="00CF1C7B">
        <w:trPr>
          <w:tblCellSpacing w:w="0" w:type="dxa"/>
        </w:trPr>
        <w:tc>
          <w:tcPr>
            <w:tcW w:w="23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(e)</w:t>
            </w:r>
          </w:p>
        </w:tc>
        <w:tc>
          <w:tcPr>
            <w:tcW w:w="476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ponovne izračune in načrtovane izboljšave;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410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6610"/>
      </w:tblGrid>
      <w:tr w:rsidR="004A513A" w:rsidRPr="002C431D" w:rsidTr="00CF1C7B">
        <w:trPr>
          <w:tblCellSpacing w:w="0" w:type="dxa"/>
        </w:trPr>
        <w:tc>
          <w:tcPr>
            <w:tcW w:w="263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(f)</w:t>
            </w: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povzetek.</w:t>
            </w:r>
          </w:p>
        </w:tc>
      </w:tr>
    </w:tbl>
    <w:p w:rsidR="004A513A" w:rsidRPr="002C431D" w:rsidRDefault="00440747" w:rsidP="004A513A">
      <w:pPr>
        <w:spacing w:before="240" w:after="60" w:line="240" w:lineRule="auto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pict>
          <v:rect id="_x0000_i1026" style="width:241.65pt;height:.75pt" o:hrpct="0" o:hrstd="t" o:hrnoshade="t" o:hr="t" fillcolor="black" stroked="f"/>
        </w:pict>
      </w:r>
    </w:p>
    <w:p w:rsidR="004A513A" w:rsidRPr="002C431D" w:rsidRDefault="004A513A" w:rsidP="004A513A">
      <w:pPr>
        <w:spacing w:before="60" w:after="60"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2C431D">
        <w:rPr>
          <w:rFonts w:cs="Arial"/>
          <w:color w:val="000000"/>
          <w:szCs w:val="20"/>
          <w:lang w:val="sl-SI" w:eastAsia="sl-SI"/>
        </w:rPr>
        <w:t>(</w:t>
      </w:r>
      <w:r w:rsidRPr="002C431D">
        <w:rPr>
          <w:rFonts w:cs="Arial"/>
          <w:color w:val="000000"/>
          <w:szCs w:val="20"/>
          <w:vertAlign w:val="superscript"/>
          <w:lang w:val="sl-SI" w:eastAsia="sl-SI"/>
        </w:rPr>
        <w:t>1</w:t>
      </w:r>
      <w:r w:rsidRPr="002C431D">
        <w:rPr>
          <w:rFonts w:cs="Arial"/>
          <w:color w:val="000000"/>
          <w:szCs w:val="20"/>
          <w:lang w:val="sl-SI" w:eastAsia="sl-SI"/>
        </w:rPr>
        <w:t>)  Uredba (EU) št. 525/2013 Evropskega parlamenta in Sveta z dne 21. maja 2013 o mehanizmu za spremljanje emisij toplogrednih plinov in poročanje o njih ter za sporočanje drugih informacij v zvezi s podnebnimi spremembami na nacionalni ravni in ravni Unije ter o razveljavitvi Sklepa št. 280/2004/ES (UL L </w:t>
      </w:r>
      <w:r w:rsidR="00485338">
        <w:rPr>
          <w:rFonts w:cs="Arial"/>
          <w:color w:val="000000"/>
          <w:szCs w:val="20"/>
          <w:lang w:val="sl-SI" w:eastAsia="sl-SI"/>
        </w:rPr>
        <w:t xml:space="preserve">št. </w:t>
      </w:r>
      <w:r w:rsidRPr="002C431D">
        <w:rPr>
          <w:rFonts w:cs="Arial"/>
          <w:color w:val="000000"/>
          <w:szCs w:val="20"/>
          <w:lang w:val="sl-SI" w:eastAsia="sl-SI"/>
        </w:rPr>
        <w:t>165</w:t>
      </w:r>
      <w:r w:rsidR="00485338">
        <w:rPr>
          <w:rFonts w:cs="Arial"/>
          <w:color w:val="000000"/>
          <w:szCs w:val="20"/>
          <w:lang w:val="sl-SI" w:eastAsia="sl-SI"/>
        </w:rPr>
        <w:t xml:space="preserve"> z dne</w:t>
      </w:r>
      <w:r w:rsidRPr="002C431D">
        <w:rPr>
          <w:rFonts w:cs="Arial"/>
          <w:color w:val="000000"/>
          <w:szCs w:val="20"/>
          <w:lang w:val="sl-SI" w:eastAsia="sl-SI"/>
        </w:rPr>
        <w:t xml:space="preserve"> 18.</w:t>
      </w:r>
      <w:r w:rsidR="00485338">
        <w:rPr>
          <w:rFonts w:cs="Arial"/>
          <w:color w:val="000000"/>
          <w:szCs w:val="20"/>
          <w:lang w:val="sl-SI" w:eastAsia="sl-SI"/>
        </w:rPr>
        <w:t> </w:t>
      </w:r>
      <w:r w:rsidRPr="002C431D">
        <w:rPr>
          <w:rFonts w:cs="Arial"/>
          <w:color w:val="000000"/>
          <w:szCs w:val="20"/>
          <w:lang w:val="sl-SI" w:eastAsia="sl-SI"/>
        </w:rPr>
        <w:t>6.</w:t>
      </w:r>
      <w:r w:rsidR="00485338">
        <w:rPr>
          <w:rFonts w:cs="Arial"/>
          <w:color w:val="000000"/>
          <w:szCs w:val="20"/>
          <w:lang w:val="sl-SI" w:eastAsia="sl-SI"/>
        </w:rPr>
        <w:t> </w:t>
      </w:r>
      <w:r w:rsidRPr="002C431D">
        <w:rPr>
          <w:rFonts w:cs="Arial"/>
          <w:color w:val="000000"/>
          <w:szCs w:val="20"/>
          <w:lang w:val="sl-SI" w:eastAsia="sl-SI"/>
        </w:rPr>
        <w:t>2013, str. 13).</w:t>
      </w:r>
    </w:p>
    <w:p w:rsidR="004A513A" w:rsidRPr="002C431D" w:rsidRDefault="004A513A" w:rsidP="004A513A">
      <w:pPr>
        <w:spacing w:after="200" w:line="276" w:lineRule="auto"/>
        <w:rPr>
          <w:rFonts w:eastAsia="Calibri" w:cs="Arial"/>
          <w:iCs/>
          <w:noProof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CA678E" w:rsidRPr="002C431D" w:rsidRDefault="007C32F4" w:rsidP="00CA678E">
      <w:pPr>
        <w:tabs>
          <w:tab w:val="left" w:pos="708"/>
        </w:tabs>
        <w:rPr>
          <w:rFonts w:cs="Arial"/>
          <w:b/>
          <w:szCs w:val="20"/>
          <w:lang w:val="sl-SI"/>
        </w:rPr>
      </w:pPr>
      <w:r w:rsidRPr="002C431D">
        <w:rPr>
          <w:rFonts w:cs="Arial"/>
          <w:b/>
          <w:szCs w:val="20"/>
          <w:lang w:val="sl-SI"/>
        </w:rPr>
        <w:br w:type="page"/>
      </w:r>
      <w:r w:rsidR="00CA678E" w:rsidRPr="002C431D">
        <w:rPr>
          <w:rFonts w:cs="Arial"/>
          <w:b/>
          <w:szCs w:val="20"/>
          <w:lang w:val="sl-SI"/>
        </w:rPr>
        <w:lastRenderedPageBreak/>
        <w:t>OBRAZLOŽITEV</w:t>
      </w:r>
    </w:p>
    <w:p w:rsidR="00CA678E" w:rsidRPr="002C431D" w:rsidRDefault="00CA678E" w:rsidP="00CA678E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CA678E" w:rsidRPr="002C431D" w:rsidRDefault="00CA678E" w:rsidP="00CA678E">
      <w:pPr>
        <w:tabs>
          <w:tab w:val="left" w:pos="708"/>
        </w:tabs>
        <w:rPr>
          <w:rFonts w:cs="Arial"/>
          <w:szCs w:val="20"/>
          <w:lang w:val="sl-SI"/>
        </w:rPr>
      </w:pPr>
      <w:r w:rsidRPr="002C431D">
        <w:rPr>
          <w:rFonts w:cs="Arial"/>
          <w:szCs w:val="20"/>
          <w:lang w:val="sl-SI"/>
        </w:rPr>
        <w:t>I. UVOD</w:t>
      </w:r>
    </w:p>
    <w:p w:rsidR="00CA678E" w:rsidRPr="002C431D" w:rsidRDefault="00CA678E" w:rsidP="00CA678E">
      <w:pPr>
        <w:tabs>
          <w:tab w:val="left" w:pos="708"/>
        </w:tabs>
        <w:ind w:left="720"/>
        <w:rPr>
          <w:rFonts w:cs="Arial"/>
          <w:szCs w:val="20"/>
          <w:lang w:val="sl-SI"/>
        </w:rPr>
      </w:pPr>
    </w:p>
    <w:p w:rsidR="00CA678E" w:rsidRPr="002C431D" w:rsidRDefault="00CA678E" w:rsidP="00CA678E">
      <w:pPr>
        <w:numPr>
          <w:ilvl w:val="0"/>
          <w:numId w:val="22"/>
        </w:numPr>
        <w:tabs>
          <w:tab w:val="clear" w:pos="720"/>
          <w:tab w:val="num" w:pos="-360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2C431D">
        <w:rPr>
          <w:rFonts w:cs="Arial"/>
          <w:szCs w:val="20"/>
          <w:lang w:val="sl-SI"/>
        </w:rPr>
        <w:t>Pravna podlaga (besedilo, vsebina zakonske določbe, ki je podlaga za izdajo uredbe)</w:t>
      </w:r>
    </w:p>
    <w:p w:rsidR="002C48E3" w:rsidRPr="002C431D" w:rsidRDefault="002C48E3" w:rsidP="002C48E3">
      <w:pPr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:rsidR="009E487A" w:rsidRPr="00C108E0" w:rsidRDefault="009E487A" w:rsidP="002C48E3">
      <w:pPr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C108E0">
        <w:rPr>
          <w:rFonts w:cs="Arial"/>
          <w:szCs w:val="20"/>
          <w:lang w:val="sl-SI"/>
        </w:rPr>
        <w:t>Tretj</w:t>
      </w:r>
      <w:r w:rsidR="00C108E0">
        <w:rPr>
          <w:rFonts w:cs="Arial"/>
          <w:szCs w:val="20"/>
          <w:lang w:val="sl-SI"/>
        </w:rPr>
        <w:t>i</w:t>
      </w:r>
      <w:r w:rsidRPr="00C108E0">
        <w:rPr>
          <w:rFonts w:cs="Arial"/>
          <w:szCs w:val="20"/>
          <w:lang w:val="sl-SI"/>
        </w:rPr>
        <w:t xml:space="preserve"> odstav</w:t>
      </w:r>
      <w:r w:rsidR="00C108E0">
        <w:rPr>
          <w:rFonts w:cs="Arial"/>
          <w:szCs w:val="20"/>
          <w:lang w:val="sl-SI"/>
        </w:rPr>
        <w:t>e</w:t>
      </w:r>
      <w:r w:rsidRPr="00C108E0">
        <w:rPr>
          <w:rFonts w:cs="Arial"/>
          <w:szCs w:val="20"/>
          <w:lang w:val="sl-SI"/>
        </w:rPr>
        <w:t xml:space="preserve">k 17. člena Zakona o varstvu okolja (Uradni list RS, št. 39/06 – uradno prečiščeno besedilo, 49/06 – ZMetD, 66/06 – odl. US, 33/07 – ZPNačrt, 57/08 – ZFO-1A, 70/08, 108/09, 108/09 – ZPNačrt-A, 48/12, 57/12, 92/13, 56/15, 102/15 in 30/16) </w:t>
      </w:r>
      <w:r w:rsidR="00C108E0">
        <w:rPr>
          <w:rFonts w:cs="Arial"/>
          <w:szCs w:val="20"/>
          <w:lang w:val="sl-SI"/>
        </w:rPr>
        <w:t>ter</w:t>
      </w:r>
      <w:r w:rsidR="00C108E0" w:rsidRPr="00C108E0">
        <w:rPr>
          <w:rFonts w:cs="Arial"/>
          <w:szCs w:val="20"/>
          <w:lang w:val="sl-SI"/>
        </w:rPr>
        <w:t xml:space="preserve"> </w:t>
      </w:r>
    </w:p>
    <w:p w:rsidR="00CA678E" w:rsidRPr="006C3B9D" w:rsidRDefault="009E487A" w:rsidP="002C48E3">
      <w:pPr>
        <w:tabs>
          <w:tab w:val="left" w:pos="8931"/>
        </w:tabs>
        <w:spacing w:after="200" w:line="276" w:lineRule="auto"/>
        <w:ind w:left="360" w:right="141"/>
        <w:jc w:val="both"/>
        <w:rPr>
          <w:rFonts w:eastAsia="Calibri" w:cs="Arial"/>
          <w:szCs w:val="20"/>
          <w:lang w:val="sl-SI"/>
        </w:rPr>
      </w:pPr>
      <w:r w:rsidRPr="006C3B9D">
        <w:rPr>
          <w:rFonts w:eastAsia="Calibri" w:cs="Arial"/>
          <w:szCs w:val="20"/>
          <w:lang w:val="sl-SI"/>
        </w:rPr>
        <w:t>d</w:t>
      </w:r>
      <w:r w:rsidR="002C48E3" w:rsidRPr="006C3B9D">
        <w:rPr>
          <w:rFonts w:eastAsia="Calibri" w:cs="Arial"/>
          <w:szCs w:val="20"/>
          <w:lang w:val="sl-SI"/>
        </w:rPr>
        <w:t xml:space="preserve">rugi odstavek 10. člena Direktive (EU) 2016/2284 Evropskega parlamenta in Sveta z dne 14. decembra 2016 o zmanjšanju nacionalnih emisij za nekatera onesnaževala zraka, spremembi Direktive 2003/35/ES in razveljavitvi Direktive 2001/81/ES </w:t>
      </w:r>
      <w:r w:rsidR="002C48E3" w:rsidRPr="00C108E0">
        <w:rPr>
          <w:rFonts w:cs="Arial"/>
          <w:szCs w:val="20"/>
          <w:lang w:val="sl-SI"/>
        </w:rPr>
        <w:t>(v nadaljevanju: nova Direktiva NEC)</w:t>
      </w:r>
      <w:r w:rsidR="002C48E3" w:rsidRPr="006C3B9D">
        <w:rPr>
          <w:rFonts w:eastAsia="Calibri" w:cs="Arial"/>
          <w:szCs w:val="20"/>
          <w:lang w:val="sl-SI"/>
        </w:rPr>
        <w:t>.</w:t>
      </w:r>
    </w:p>
    <w:p w:rsidR="00CA678E" w:rsidRPr="002C431D" w:rsidRDefault="00CA678E" w:rsidP="00CA678E">
      <w:pPr>
        <w:numPr>
          <w:ilvl w:val="0"/>
          <w:numId w:val="22"/>
        </w:numPr>
        <w:tabs>
          <w:tab w:val="clear" w:pos="720"/>
          <w:tab w:val="num" w:pos="-360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2C431D">
        <w:rPr>
          <w:rFonts w:cs="Arial"/>
          <w:szCs w:val="20"/>
          <w:lang w:val="sl-SI"/>
        </w:rPr>
        <w:t>Rok za izdajo uredbe, določen z zakonom</w:t>
      </w:r>
    </w:p>
    <w:p w:rsidR="002C48E3" w:rsidRPr="002C431D" w:rsidRDefault="002C48E3" w:rsidP="002C48E3">
      <w:pPr>
        <w:spacing w:line="260" w:lineRule="exact"/>
        <w:ind w:firstLine="360"/>
        <w:jc w:val="both"/>
        <w:rPr>
          <w:rFonts w:cs="Arial"/>
          <w:szCs w:val="20"/>
          <w:lang w:val="sl-SI"/>
        </w:rPr>
      </w:pPr>
      <w:r w:rsidRPr="002C431D">
        <w:rPr>
          <w:rFonts w:cs="Arial"/>
          <w:szCs w:val="20"/>
          <w:lang w:val="sl-SI"/>
        </w:rPr>
        <w:t>15.</w:t>
      </w:r>
      <w:r w:rsidR="00C108E0">
        <w:rPr>
          <w:rFonts w:cs="Arial"/>
          <w:szCs w:val="20"/>
          <w:lang w:val="sl-SI"/>
        </w:rPr>
        <w:t> </w:t>
      </w:r>
      <w:r w:rsidRPr="002C431D">
        <w:rPr>
          <w:rFonts w:cs="Arial"/>
          <w:szCs w:val="20"/>
          <w:lang w:val="sl-SI"/>
        </w:rPr>
        <w:t>2.</w:t>
      </w:r>
      <w:r w:rsidR="00C108E0">
        <w:rPr>
          <w:rFonts w:cs="Arial"/>
          <w:szCs w:val="20"/>
          <w:lang w:val="sl-SI"/>
        </w:rPr>
        <w:t> </w:t>
      </w:r>
      <w:r w:rsidRPr="002C431D">
        <w:rPr>
          <w:rFonts w:cs="Arial"/>
          <w:szCs w:val="20"/>
          <w:lang w:val="sl-SI"/>
        </w:rPr>
        <w:t>2017</w:t>
      </w:r>
      <w:r w:rsidR="00C108E0">
        <w:rPr>
          <w:rFonts w:cs="Arial"/>
          <w:szCs w:val="20"/>
          <w:lang w:val="sl-SI"/>
        </w:rPr>
        <w:t>,</w:t>
      </w:r>
      <w:r w:rsidRPr="002C431D">
        <w:rPr>
          <w:rFonts w:cs="Arial"/>
          <w:szCs w:val="20"/>
          <w:lang w:val="sl-SI"/>
        </w:rPr>
        <w:t xml:space="preserve"> v novi </w:t>
      </w:r>
      <w:r w:rsidR="00E67E20" w:rsidRPr="002C431D">
        <w:rPr>
          <w:rFonts w:cs="Arial"/>
          <w:lang w:val="sl-SI"/>
        </w:rPr>
        <w:t>Direktivi</w:t>
      </w:r>
      <w:r w:rsidRPr="002C431D">
        <w:rPr>
          <w:rFonts w:cs="Arial"/>
          <w:lang w:val="sl-SI"/>
        </w:rPr>
        <w:t xml:space="preserve"> NEC.</w:t>
      </w:r>
    </w:p>
    <w:p w:rsidR="00CA678E" w:rsidRPr="002C431D" w:rsidRDefault="00CA678E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CA678E" w:rsidRPr="002C431D" w:rsidRDefault="00CA678E" w:rsidP="00CA678E">
      <w:pPr>
        <w:numPr>
          <w:ilvl w:val="0"/>
          <w:numId w:val="22"/>
        </w:numPr>
        <w:tabs>
          <w:tab w:val="clear" w:pos="720"/>
          <w:tab w:val="num" w:pos="0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2C431D">
        <w:rPr>
          <w:rFonts w:cs="Arial"/>
          <w:szCs w:val="20"/>
          <w:lang w:val="sl-SI"/>
        </w:rPr>
        <w:t>Splošna obrazložitev predloga uredbe, če je potrebna</w:t>
      </w:r>
    </w:p>
    <w:p w:rsidR="002C48E3" w:rsidRPr="002C431D" w:rsidRDefault="002C48E3" w:rsidP="002C48E3">
      <w:pPr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:rsidR="002C48E3" w:rsidRPr="002C431D" w:rsidRDefault="002C48E3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CA678E" w:rsidRPr="002C431D" w:rsidRDefault="00CA678E" w:rsidP="00CA678E">
      <w:pPr>
        <w:numPr>
          <w:ilvl w:val="0"/>
          <w:numId w:val="22"/>
        </w:numPr>
        <w:tabs>
          <w:tab w:val="clear" w:pos="720"/>
          <w:tab w:val="num" w:pos="0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2C431D">
        <w:rPr>
          <w:rFonts w:cs="Arial"/>
          <w:szCs w:val="20"/>
          <w:lang w:val="sl-SI"/>
        </w:rPr>
        <w:t>Predstavitev presoje posledic za posamezna področja, če te niso mogle biti celovito predstavljene v predlogu zakona</w:t>
      </w:r>
    </w:p>
    <w:p w:rsidR="00CA678E" w:rsidRPr="002C431D" w:rsidRDefault="00CA678E" w:rsidP="00CA678E">
      <w:pPr>
        <w:rPr>
          <w:rFonts w:cs="Arial"/>
          <w:szCs w:val="20"/>
          <w:lang w:val="sl-SI" w:eastAsia="sl-SI"/>
        </w:rPr>
      </w:pPr>
    </w:p>
    <w:p w:rsidR="00CA678E" w:rsidRPr="002C431D" w:rsidRDefault="00CA678E" w:rsidP="00CA678E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CA678E" w:rsidRPr="002C431D" w:rsidRDefault="00CA678E" w:rsidP="00CA678E">
      <w:pPr>
        <w:tabs>
          <w:tab w:val="left" w:pos="708"/>
        </w:tabs>
        <w:rPr>
          <w:rFonts w:cs="Arial"/>
          <w:szCs w:val="20"/>
          <w:lang w:val="sl-SI"/>
        </w:rPr>
      </w:pPr>
      <w:r w:rsidRPr="002C431D">
        <w:rPr>
          <w:rFonts w:cs="Arial"/>
          <w:szCs w:val="20"/>
          <w:lang w:val="sl-SI"/>
        </w:rPr>
        <w:t>II. VSEBINSKA OBRAZLOŽITEV PREDLAGANIH REŠITEV</w:t>
      </w:r>
    </w:p>
    <w:p w:rsidR="00CA678E" w:rsidRPr="002C431D" w:rsidRDefault="00CA678E" w:rsidP="00CA678E">
      <w:pPr>
        <w:rPr>
          <w:rFonts w:cs="Arial"/>
          <w:szCs w:val="20"/>
          <w:lang w:val="sl-SI"/>
        </w:rPr>
      </w:pPr>
    </w:p>
    <w:p w:rsidR="00CB4725" w:rsidRPr="002C431D" w:rsidRDefault="00CB4725" w:rsidP="00CB4725">
      <w:pPr>
        <w:tabs>
          <w:tab w:val="left" w:pos="8931"/>
        </w:tabs>
        <w:ind w:left="360" w:right="141"/>
        <w:jc w:val="both"/>
        <w:rPr>
          <w:rFonts w:cs="Arial"/>
          <w:lang w:val="sl-SI"/>
        </w:rPr>
      </w:pPr>
      <w:r w:rsidRPr="002C431D">
        <w:rPr>
          <w:rFonts w:cs="Arial"/>
          <w:szCs w:val="20"/>
          <w:lang w:val="sl-SI"/>
        </w:rPr>
        <w:t xml:space="preserve">Sprememba uredbe predpisuje poročanje </w:t>
      </w:r>
      <w:r>
        <w:rPr>
          <w:rFonts w:cs="Arial"/>
          <w:szCs w:val="20"/>
          <w:lang w:val="sl-SI"/>
        </w:rPr>
        <w:t>o</w:t>
      </w:r>
      <w:r w:rsidRPr="002C431D">
        <w:rPr>
          <w:rFonts w:cs="Arial"/>
          <w:szCs w:val="20"/>
          <w:lang w:val="sl-SI"/>
        </w:rPr>
        <w:t xml:space="preserve"> nacionalnih evidenc</w:t>
      </w:r>
      <w:r>
        <w:rPr>
          <w:rFonts w:cs="Arial"/>
          <w:szCs w:val="20"/>
          <w:lang w:val="sl-SI"/>
        </w:rPr>
        <w:t>ah</w:t>
      </w:r>
      <w:r w:rsidRPr="002C431D">
        <w:rPr>
          <w:rFonts w:cs="Arial"/>
          <w:szCs w:val="20"/>
          <w:lang w:val="sl-SI"/>
        </w:rPr>
        <w:t xml:space="preserve"> in projekcij</w:t>
      </w:r>
      <w:r>
        <w:rPr>
          <w:rFonts w:cs="Arial"/>
          <w:szCs w:val="20"/>
          <w:lang w:val="sl-SI"/>
        </w:rPr>
        <w:t>ah</w:t>
      </w:r>
      <w:r w:rsidRPr="002C431D">
        <w:rPr>
          <w:rFonts w:cs="Arial"/>
          <w:szCs w:val="20"/>
          <w:lang w:val="sl-SI"/>
        </w:rPr>
        <w:t xml:space="preserve"> emisij, prostorsko razčlenjenih nacionalnih evidenc</w:t>
      </w:r>
      <w:r>
        <w:rPr>
          <w:rFonts w:cs="Arial"/>
          <w:szCs w:val="20"/>
          <w:lang w:val="sl-SI"/>
        </w:rPr>
        <w:t>ah</w:t>
      </w:r>
      <w:r w:rsidRPr="002C431D">
        <w:rPr>
          <w:rFonts w:cs="Arial"/>
          <w:szCs w:val="20"/>
          <w:lang w:val="sl-SI"/>
        </w:rPr>
        <w:t xml:space="preserve"> emisij, evidenc</w:t>
      </w:r>
      <w:r>
        <w:rPr>
          <w:rFonts w:cs="Arial"/>
          <w:szCs w:val="20"/>
          <w:lang w:val="sl-SI"/>
        </w:rPr>
        <w:t>ah</w:t>
      </w:r>
      <w:r w:rsidRPr="002C431D">
        <w:rPr>
          <w:rFonts w:cs="Arial"/>
          <w:szCs w:val="20"/>
          <w:lang w:val="sl-SI"/>
        </w:rPr>
        <w:t xml:space="preserve"> velikih točkovnih virov </w:t>
      </w:r>
      <w:r>
        <w:rPr>
          <w:rFonts w:cs="Arial"/>
          <w:szCs w:val="20"/>
          <w:lang w:val="sl-SI"/>
        </w:rPr>
        <w:t>ter</w:t>
      </w:r>
      <w:r w:rsidRPr="002C431D">
        <w:rPr>
          <w:rFonts w:cs="Arial"/>
          <w:szCs w:val="20"/>
          <w:lang w:val="sl-SI"/>
        </w:rPr>
        <w:t xml:space="preserve"> informativnih poročil</w:t>
      </w:r>
      <w:r>
        <w:rPr>
          <w:rFonts w:cs="Arial"/>
          <w:szCs w:val="20"/>
          <w:lang w:val="sl-SI"/>
        </w:rPr>
        <w:t>ih</w:t>
      </w:r>
      <w:r w:rsidRPr="002C431D">
        <w:rPr>
          <w:rFonts w:cs="Arial"/>
          <w:szCs w:val="20"/>
          <w:lang w:val="sl-SI"/>
        </w:rPr>
        <w:t xml:space="preserve"> o evidencah Evropski komisiji in Evropski agenciji za okolje za </w:t>
      </w:r>
      <w:r w:rsidRPr="002C431D">
        <w:rPr>
          <w:rFonts w:cs="Arial"/>
          <w:lang w:val="sl-SI"/>
        </w:rPr>
        <w:t>čas prehodnega obdobja</w:t>
      </w:r>
      <w:r>
        <w:rPr>
          <w:rFonts w:cs="Arial"/>
          <w:lang w:val="sl-SI"/>
        </w:rPr>
        <w:t>,</w:t>
      </w:r>
      <w:r w:rsidRPr="002C431D">
        <w:rPr>
          <w:rFonts w:cs="Arial"/>
          <w:lang w:val="sl-SI"/>
        </w:rPr>
        <w:t xml:space="preserve"> kot je to zahtevano v 20. členu nove Direktive NEC.</w:t>
      </w:r>
    </w:p>
    <w:p w:rsidR="00CA678E" w:rsidRPr="002C431D" w:rsidRDefault="00CA678E" w:rsidP="00CA678E">
      <w:pPr>
        <w:rPr>
          <w:rFonts w:cs="Arial"/>
          <w:szCs w:val="20"/>
          <w:lang w:val="sl-SI"/>
        </w:rPr>
      </w:pPr>
    </w:p>
    <w:p w:rsidR="00CA678E" w:rsidRPr="002C431D" w:rsidRDefault="00CA678E" w:rsidP="00CA678E">
      <w:pPr>
        <w:rPr>
          <w:rFonts w:cs="Arial"/>
          <w:szCs w:val="20"/>
          <w:lang w:val="sl-SI"/>
        </w:rPr>
      </w:pPr>
    </w:p>
    <w:p w:rsidR="00CA678E" w:rsidRPr="002C431D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  <w:szCs w:val="20"/>
        </w:rPr>
      </w:pPr>
    </w:p>
    <w:sectPr w:rsidR="00CA678E" w:rsidRPr="002C431D" w:rsidSect="00783310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47" w:rsidRDefault="00440747">
      <w:r>
        <w:separator/>
      </w:r>
    </w:p>
  </w:endnote>
  <w:endnote w:type="continuationSeparator" w:id="0">
    <w:p w:rsidR="00440747" w:rsidRDefault="004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B47611F4-9542-4680-83BE-CE0FA8860C5A}"/>
    <w:embedBold r:id="rId2" w:subsetted="1" w:fontKey="{C3E66125-2591-47E5-9CAF-51D72FB753EB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47" w:rsidRDefault="00440747">
      <w:r>
        <w:separator/>
      </w:r>
    </w:p>
  </w:footnote>
  <w:footnote w:type="continuationSeparator" w:id="0">
    <w:p w:rsidR="00440747" w:rsidRDefault="0044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AB" w:rsidRPr="00110CBD" w:rsidRDefault="001D63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D63AB" w:rsidRPr="008F3500" w:rsidTr="00B77473">
      <w:trPr>
        <w:cantSplit/>
        <w:trHeight w:hRule="exact" w:val="847"/>
      </w:trPr>
      <w:tc>
        <w:tcPr>
          <w:tcW w:w="649" w:type="dxa"/>
        </w:tcPr>
        <w:p w:rsidR="001D63AB" w:rsidRDefault="001D63A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63AB" w:rsidRPr="006D42D9" w:rsidRDefault="001D63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1D63AB" w:rsidRPr="00B95595" w:rsidRDefault="001D63AB" w:rsidP="00B7747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j0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T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PZoj0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:rsidR="001D63AB" w:rsidRPr="00B95595" w:rsidRDefault="001D63AB" w:rsidP="00B7747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1D63AB" w:rsidRDefault="001D63AB" w:rsidP="00B77473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48, 1000 Ljubljana</w:t>
    </w:r>
    <w:r>
      <w:rPr>
        <w:rFonts w:cs="Arial"/>
        <w:sz w:val="16"/>
        <w:lang w:val="sl-SI"/>
      </w:rPr>
      <w:tab/>
      <w:t>T: 01 478 70 00</w:t>
    </w:r>
  </w:p>
  <w:p w:rsidR="001D63AB" w:rsidRDefault="001D63AB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1D63AB" w:rsidRDefault="001D63AB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1D63AB" w:rsidRDefault="001D63AB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www.mop.gov.si</w:t>
    </w:r>
  </w:p>
  <w:p w:rsidR="001D63AB" w:rsidRPr="008F3500" w:rsidRDefault="001D63AB" w:rsidP="00B7747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6B8"/>
    <w:multiLevelType w:val="hybridMultilevel"/>
    <w:tmpl w:val="CF5A24C2"/>
    <w:lvl w:ilvl="0" w:tplc="7D26B820">
      <w:start w:val="1"/>
      <w:numFmt w:val="bullet"/>
      <w:pStyle w:val="Alineazaodstavko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B5618"/>
    <w:multiLevelType w:val="hybridMultilevel"/>
    <w:tmpl w:val="E9A6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C300D9"/>
    <w:multiLevelType w:val="hybridMultilevel"/>
    <w:tmpl w:val="B882E8A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0BA0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3677E"/>
    <w:multiLevelType w:val="hybridMultilevel"/>
    <w:tmpl w:val="34F06BB4"/>
    <w:lvl w:ilvl="0" w:tplc="84CE6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25070"/>
    <w:multiLevelType w:val="hybridMultilevel"/>
    <w:tmpl w:val="355A2534"/>
    <w:lvl w:ilvl="0" w:tplc="89B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C1C05"/>
    <w:multiLevelType w:val="hybridMultilevel"/>
    <w:tmpl w:val="4AAE71F0"/>
    <w:lvl w:ilvl="0" w:tplc="C01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C2083"/>
    <w:multiLevelType w:val="hybridMultilevel"/>
    <w:tmpl w:val="D79C2BAA"/>
    <w:lvl w:ilvl="0" w:tplc="C01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19"/>
  </w:num>
  <w:num w:numId="9">
    <w:abstractNumId w:val="17"/>
  </w:num>
  <w:num w:numId="10">
    <w:abstractNumId w:val="6"/>
  </w:num>
  <w:num w:numId="11">
    <w:abstractNumId w:val="21"/>
  </w:num>
  <w:num w:numId="12">
    <w:abstractNumId w:val="26"/>
  </w:num>
  <w:num w:numId="13">
    <w:abstractNumId w:val="14"/>
  </w:num>
  <w:num w:numId="14">
    <w:abstractNumId w:val="8"/>
  </w:num>
  <w:num w:numId="15">
    <w:abstractNumId w:val="11"/>
    <w:lvlOverride w:ilvl="0">
      <w:startOverride w:val="1"/>
    </w:lvlOverride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5"/>
  </w:num>
  <w:num w:numId="22">
    <w:abstractNumId w:val="12"/>
  </w:num>
  <w:num w:numId="23">
    <w:abstractNumId w:val="25"/>
  </w:num>
  <w:num w:numId="24">
    <w:abstractNumId w:val="24"/>
  </w:num>
  <w:num w:numId="25">
    <w:abstractNumId w:val="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45772"/>
    <w:rsid w:val="000A7238"/>
    <w:rsid w:val="000B4708"/>
    <w:rsid w:val="000D353D"/>
    <w:rsid w:val="000E2BE2"/>
    <w:rsid w:val="00122864"/>
    <w:rsid w:val="001313F1"/>
    <w:rsid w:val="001357B2"/>
    <w:rsid w:val="00171230"/>
    <w:rsid w:val="001C13F9"/>
    <w:rsid w:val="001D385C"/>
    <w:rsid w:val="001D63AB"/>
    <w:rsid w:val="001F3909"/>
    <w:rsid w:val="0020107F"/>
    <w:rsid w:val="00202A77"/>
    <w:rsid w:val="00231EB5"/>
    <w:rsid w:val="002532A5"/>
    <w:rsid w:val="00271CE5"/>
    <w:rsid w:val="00282020"/>
    <w:rsid w:val="00286920"/>
    <w:rsid w:val="00293F72"/>
    <w:rsid w:val="002C431D"/>
    <w:rsid w:val="002C48E3"/>
    <w:rsid w:val="002C4E06"/>
    <w:rsid w:val="002D729E"/>
    <w:rsid w:val="002E2257"/>
    <w:rsid w:val="002E4B1A"/>
    <w:rsid w:val="002F1CDD"/>
    <w:rsid w:val="0035256D"/>
    <w:rsid w:val="003636BF"/>
    <w:rsid w:val="0037479F"/>
    <w:rsid w:val="003845B4"/>
    <w:rsid w:val="0038754C"/>
    <w:rsid w:val="00387B1A"/>
    <w:rsid w:val="003E1C74"/>
    <w:rsid w:val="004124F5"/>
    <w:rsid w:val="00416654"/>
    <w:rsid w:val="00440747"/>
    <w:rsid w:val="00485338"/>
    <w:rsid w:val="004A513A"/>
    <w:rsid w:val="004C3DB8"/>
    <w:rsid w:val="00502F56"/>
    <w:rsid w:val="00526246"/>
    <w:rsid w:val="00540247"/>
    <w:rsid w:val="00567106"/>
    <w:rsid w:val="005C69EE"/>
    <w:rsid w:val="005E1D3C"/>
    <w:rsid w:val="00632253"/>
    <w:rsid w:val="00642714"/>
    <w:rsid w:val="006455CE"/>
    <w:rsid w:val="006762A7"/>
    <w:rsid w:val="00691BCB"/>
    <w:rsid w:val="006B22DA"/>
    <w:rsid w:val="006B5E54"/>
    <w:rsid w:val="006C3B9D"/>
    <w:rsid w:val="006C42B3"/>
    <w:rsid w:val="006D42D9"/>
    <w:rsid w:val="00730950"/>
    <w:rsid w:val="00733017"/>
    <w:rsid w:val="00783310"/>
    <w:rsid w:val="007A4A6D"/>
    <w:rsid w:val="007C32F4"/>
    <w:rsid w:val="007D1BCF"/>
    <w:rsid w:val="007D749F"/>
    <w:rsid w:val="007D75CF"/>
    <w:rsid w:val="007E491E"/>
    <w:rsid w:val="007E60F5"/>
    <w:rsid w:val="007E6DC5"/>
    <w:rsid w:val="0080575F"/>
    <w:rsid w:val="008501E8"/>
    <w:rsid w:val="00877334"/>
    <w:rsid w:val="0088043C"/>
    <w:rsid w:val="008906C9"/>
    <w:rsid w:val="008937D3"/>
    <w:rsid w:val="008C5738"/>
    <w:rsid w:val="008D04F0"/>
    <w:rsid w:val="008F3500"/>
    <w:rsid w:val="00924E3C"/>
    <w:rsid w:val="00944B9D"/>
    <w:rsid w:val="009612BB"/>
    <w:rsid w:val="00976551"/>
    <w:rsid w:val="009C5429"/>
    <w:rsid w:val="009E31E4"/>
    <w:rsid w:val="009E487A"/>
    <w:rsid w:val="00A05BC2"/>
    <w:rsid w:val="00A125C5"/>
    <w:rsid w:val="00A15628"/>
    <w:rsid w:val="00A20E8A"/>
    <w:rsid w:val="00A5039D"/>
    <w:rsid w:val="00A65EE7"/>
    <w:rsid w:val="00A70133"/>
    <w:rsid w:val="00A97C39"/>
    <w:rsid w:val="00AA36C6"/>
    <w:rsid w:val="00AA3AA2"/>
    <w:rsid w:val="00AE20B2"/>
    <w:rsid w:val="00AE7ECE"/>
    <w:rsid w:val="00B17141"/>
    <w:rsid w:val="00B31575"/>
    <w:rsid w:val="00B77473"/>
    <w:rsid w:val="00B8547D"/>
    <w:rsid w:val="00BA488B"/>
    <w:rsid w:val="00BD5F65"/>
    <w:rsid w:val="00BE7F0C"/>
    <w:rsid w:val="00C108E0"/>
    <w:rsid w:val="00C250D5"/>
    <w:rsid w:val="00C362DE"/>
    <w:rsid w:val="00C57202"/>
    <w:rsid w:val="00C70B37"/>
    <w:rsid w:val="00C75527"/>
    <w:rsid w:val="00C76F20"/>
    <w:rsid w:val="00C92898"/>
    <w:rsid w:val="00CA678E"/>
    <w:rsid w:val="00CB2576"/>
    <w:rsid w:val="00CB4725"/>
    <w:rsid w:val="00CE7514"/>
    <w:rsid w:val="00CF1C7B"/>
    <w:rsid w:val="00D0006F"/>
    <w:rsid w:val="00D04605"/>
    <w:rsid w:val="00D1013C"/>
    <w:rsid w:val="00D248DE"/>
    <w:rsid w:val="00D8542D"/>
    <w:rsid w:val="00DC6A71"/>
    <w:rsid w:val="00DE06DE"/>
    <w:rsid w:val="00DE5B46"/>
    <w:rsid w:val="00E0357D"/>
    <w:rsid w:val="00E22011"/>
    <w:rsid w:val="00E24EC2"/>
    <w:rsid w:val="00E27591"/>
    <w:rsid w:val="00E27A6F"/>
    <w:rsid w:val="00E35A24"/>
    <w:rsid w:val="00E45F32"/>
    <w:rsid w:val="00E660C3"/>
    <w:rsid w:val="00E67E20"/>
    <w:rsid w:val="00E97291"/>
    <w:rsid w:val="00EB4B5C"/>
    <w:rsid w:val="00EB6BC4"/>
    <w:rsid w:val="00ED7AE3"/>
    <w:rsid w:val="00F13584"/>
    <w:rsid w:val="00F144FF"/>
    <w:rsid w:val="00F240BB"/>
    <w:rsid w:val="00F43B4A"/>
    <w:rsid w:val="00F46724"/>
    <w:rsid w:val="00F47713"/>
    <w:rsid w:val="00F553FB"/>
    <w:rsid w:val="00F57FED"/>
    <w:rsid w:val="00F87DF8"/>
    <w:rsid w:val="00F905A5"/>
    <w:rsid w:val="00FA7EF9"/>
    <w:rsid w:val="00FB7E35"/>
    <w:rsid w:val="00FD356B"/>
    <w:rsid w:val="00FE3217"/>
    <w:rsid w:val="00FE438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Besedilooblaka">
    <w:name w:val="Balloon Text"/>
    <w:basedOn w:val="Navaden"/>
    <w:link w:val="BesedilooblakaZnak"/>
    <w:rsid w:val="002C4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C431D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BE7F0C"/>
    <w:pPr>
      <w:ind w:left="720"/>
      <w:contextualSpacing/>
    </w:pPr>
  </w:style>
  <w:style w:type="character" w:styleId="Pripombasklic">
    <w:name w:val="annotation reference"/>
    <w:basedOn w:val="Privzetapisavaodstavka"/>
    <w:rsid w:val="00C70B3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0B3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70B3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70B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0B3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C70B37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Besedilooblaka">
    <w:name w:val="Balloon Text"/>
    <w:basedOn w:val="Navaden"/>
    <w:link w:val="BesedilooblakaZnak"/>
    <w:rsid w:val="002C4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C431D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BE7F0C"/>
    <w:pPr>
      <w:ind w:left="720"/>
      <w:contextualSpacing/>
    </w:pPr>
  </w:style>
  <w:style w:type="character" w:styleId="Pripombasklic">
    <w:name w:val="annotation reference"/>
    <w:basedOn w:val="Privzetapisavaodstavka"/>
    <w:rsid w:val="00C70B3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0B3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70B3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70B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0B3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C70B3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15347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HK</cp:lastModifiedBy>
  <cp:revision>2</cp:revision>
  <cp:lastPrinted>2010-07-05T09:38:00Z</cp:lastPrinted>
  <dcterms:created xsi:type="dcterms:W3CDTF">2017-07-10T13:12:00Z</dcterms:created>
  <dcterms:modified xsi:type="dcterms:W3CDTF">2017-07-10T13:12:00Z</dcterms:modified>
</cp:coreProperties>
</file>