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73" w:rsidRPr="00861973" w:rsidRDefault="00861973" w:rsidP="008619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Dnevnik izpustov</w:t>
      </w: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670"/>
        <w:gridCol w:w="1692"/>
        <w:gridCol w:w="1867"/>
        <w:gridCol w:w="1716"/>
      </w:tblGrid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1040"/>
        </w:trPr>
        <w:tc>
          <w:tcPr>
            <w:tcW w:w="9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Urnik izpustov</w:t>
            </w: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Dan v tednu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Ponedeljek 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Sobota 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* Boksi iz katerih se prašiči izpustijo v izpust morajo biti označeni na način, da je mogoče spremljati katere živali so istočasno v izpustu.</w:t>
      </w:r>
    </w:p>
    <w:p w:rsidR="00861973" w:rsidRPr="00861973" w:rsidRDefault="00861973" w:rsidP="008619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  <w:sectPr w:rsidR="00861973" w:rsidRPr="00861973" w:rsidSect="00861973">
          <w:headerReference w:type="default" r:id="rId8"/>
          <w:footerReference w:type="default" r:id="rId9"/>
          <w:footerReference w:type="first" r:id="rId10"/>
          <w:pgSz w:w="11900" w:h="16840" w:code="9"/>
          <w:pgMar w:top="967" w:right="1701" w:bottom="1134" w:left="1701" w:header="964" w:footer="794" w:gutter="0"/>
          <w:cols w:space="708"/>
          <w:titlePg/>
          <w:docGrid w:linePitch="272"/>
        </w:sectPr>
      </w:pPr>
      <w:r w:rsidRPr="0086197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** Število prašičev v skupini je število živali, ki so istočasno v izpustu.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Priloga 2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t>Katalog zmanjšanj plačil in izključitev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t>Splošno:</w:t>
      </w: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61973" w:rsidRPr="00861973" w:rsidRDefault="00861973" w:rsidP="00E4615D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Če je v tekočem letu v okviru posamezne zahteve ukrepa DŽ – prašiči ugotovljenih več kršitev, se za to zahtevo uporabi najvišja stopnja zmanjšanja plačila.</w:t>
      </w:r>
    </w:p>
    <w:p w:rsidR="00861973" w:rsidRPr="00861973" w:rsidRDefault="00861973" w:rsidP="00E4615D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Če je v tekočem letu v okviru ukrepa DŽ – govedo ugotovljenih več kršitev, se za ta ukrep uporabi najvišja stopnja zmanjšanja plačila.</w:t>
      </w:r>
    </w:p>
    <w:p w:rsidR="00861973" w:rsidRPr="00861973" w:rsidRDefault="00861973" w:rsidP="00E4615D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Če je v tekočem letu v okviru ukrepa DŽ ugotovljenih več kršitev, za katera se uporabi zmanjšanja na nivoju celotnega ukrepa DŽ, se uporabi najvišja stopnja zmanjšanja plačila.</w:t>
      </w:r>
    </w:p>
    <w:p w:rsidR="00861973" w:rsidRPr="00861973" w:rsidRDefault="00861973" w:rsidP="00E4615D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Če je v okviru ukrepa DŽ ugotovljenih več kršitev, ki predvidevajo zmanjšanje plačila tako na ravni ukrepa DŽ – prašiči oziroma ukrepa DŽ – govedo kot na ravni celotnega ukrepa DŽ, se zmanjšanje plačila najprej opravi na ravni posameznega ukrepa nato pa na preostanku plačila celotnega ukrepa DŽ.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Kršitve zahtev in obveznosti iz 7., 8., 13. in 21. člena te uredbe: </w:t>
      </w: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Pri ugotovljeni kršitvi zahteve iz 7. člena te uredbe se plačilo zmanjša, kot sledi: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902"/>
        <w:gridCol w:w="1901"/>
        <w:gridCol w:w="1902"/>
      </w:tblGrid>
      <w:tr w:rsidR="00861973" w:rsidRPr="00861973" w:rsidTr="0055608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v obsegu najmanj štiri pedagoške ure letno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ni opravljeno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20 %.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20 %.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30%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40%</w:t>
            </w:r>
          </w:p>
        </w:tc>
      </w:tr>
    </w:tbl>
    <w:p w:rsidR="00861973" w:rsidRPr="00861973" w:rsidRDefault="00861973" w:rsidP="00E4615D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Ponavljanje kršitve se za ukrep DŽ – prašiči ugotavlja v obdobju od vključno leta 2014 naprej, za ukrep DŽ – govedo pa v obdobju od vključno leta 2016 naprej.</w:t>
      </w: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</w:rPr>
      </w:pPr>
      <w:r w:rsidRPr="00861973">
        <w:rPr>
          <w:rFonts w:ascii="Helv" w:eastAsia="Times New Roman" w:hAnsi="Helv" w:cs="Helv"/>
          <w:color w:val="000000"/>
          <w:sz w:val="20"/>
          <w:szCs w:val="20"/>
        </w:rPr>
        <w:t>Pri ugotovljeni kršitvi obveznosti iz tretjega odstavka 8. člena te uredbe se plačilo zmanjša, kot sledi: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</w:rPr>
      </w:pP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876"/>
        <w:gridCol w:w="1889"/>
        <w:gridCol w:w="1902"/>
      </w:tblGrid>
      <w:tr w:rsidR="00861973" w:rsidRPr="00861973" w:rsidTr="0055608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Informiranje in obveščanje javnosti o aktivnostih,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ki prejemajo podporo iz PRP 2014–2020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Informiranje in obveščanje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javnosti ni izvedeno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Izplačilo se zmanjša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za 1 %.</w:t>
            </w:r>
          </w:p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Izplačilo se zmanjša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za 1 %.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Izplačilo se zmanjša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za 2 %.</w:t>
            </w:r>
          </w:p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Izplačilo se zmanjša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za 2 %.</w:t>
            </w:r>
          </w:p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lastRenderedPageBreak/>
        <w:t>Ponavljanje kršitve se za ukrep DŽ – prašiči ugotavlja v obdobju od vključno leta 2014 naprej, za ukrep DŽ – govedo pa v obdobju od vključno leta 2016 naprej.</w:t>
      </w: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Pri ugotovljenih kršitvah pogojev za zahteve, ki so opredeljeni v 13. členu te uredbe, se plačilo zmanjša, kot sledi: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03"/>
        <w:gridCol w:w="2477"/>
        <w:gridCol w:w="1881"/>
        <w:gridCol w:w="1881"/>
        <w:gridCol w:w="1881"/>
        <w:gridCol w:w="1881"/>
      </w:tblGrid>
      <w:tr w:rsidR="00861973" w:rsidRPr="00861973" w:rsidTr="0055608C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Kategorija živali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Zahteva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Kršitev zahteve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Zmanjšanje plačila ob prvi kršitvi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prvi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drugi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tretji ponovitvi iste kršitve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Plemenske svinje in mladice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Skupinska reja z izpustom</w:t>
            </w:r>
          </w:p>
        </w:tc>
        <w:tc>
          <w:tcPr>
            <w:tcW w:w="24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do vključno 10 %manjša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več kot 10 %manjša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Boksi, iz katerih se živali izpustijo v izpust, niso označeni tako, da je mogoče spremljati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25%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25%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40%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B414BA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Do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Nad 10 % manjša površina na žival od zahtevane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Del="000C3B39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ažurno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</w:t>
            </w:r>
            <w:r w:rsidRPr="00861973" w:rsidDel="00B170B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40%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Dodatna ponudba voluminozne krme ali krme z visokim deležem vlaknine</w:t>
            </w: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Plemenske svinje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Skrb za toplotno ugodje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Tekači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Pitanci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Skupinska reja z izpustom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do vključno 10 %manjša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več kot 10 %manjša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Del="00EE5BE8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Boksi, iz katerih se živali izpustijo v izpust, niso označeni tako, da je mogoče spremljati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61973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25%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61973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25%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61973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40%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</w:tr>
      <w:tr w:rsidR="00861973" w:rsidRPr="00861973" w:rsidTr="0055608C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Do vključno 10 % manjša površina na žival od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zahtevane 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Nad 10 % manjša površina na žival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80472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80472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Del="00C605C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80472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Del="00C605C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bottom w:val="double" w:sz="4" w:space="0" w:color="auto"/>
            </w:tcBorders>
            <w:vAlign w:val="center"/>
          </w:tcPr>
          <w:p w:rsidR="00861973" w:rsidRPr="00861973" w:rsidDel="00E41CFD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ažurno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</w:t>
            </w:r>
            <w:r w:rsidRPr="00861973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40%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Ponavljanje kršitve se ugotavlja v obdobju od vključno leta 2014 naprej.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61973">
        <w:rPr>
          <w:rFonts w:ascii="Arial" w:eastAsia="Times New Roman" w:hAnsi="Arial" w:cs="Times New Roman"/>
          <w:sz w:val="20"/>
          <w:szCs w:val="24"/>
        </w:rPr>
        <w:t>Pri ugotovljenih kršitvah pogojev za zahtevo, ki so opredeljeni v 21. členu te uredbe, se plačilo zmanjša, kot sledi: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861973" w:rsidRPr="00861973" w:rsidTr="0055608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tretji ponovitvi iste kršitve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Koprološka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za teleta ni izdelana 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25%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Koprološka analiza za govedo starejše od 6 mesecev ni izdelana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25%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Koprološka analiza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20%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Tretiranje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Tretiranje na podlagi rezultatov koprološke analize ni izvedeno 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Dnevnik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80472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30%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Del="00E41CFD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Dnevnik se ne vodi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ažurno</w:t>
            </w:r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 xml:space="preserve">Zmanjšanje plačila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 xml:space="preserve">Zmanjšanje plačila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 xml:space="preserve">Zmanjšanje plačila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20%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Ni izplačila</w:t>
            </w:r>
          </w:p>
        </w:tc>
      </w:tr>
      <w:tr w:rsidR="00861973" w:rsidRPr="00861973" w:rsidTr="0055608C">
        <w:trPr>
          <w:trHeight w:val="13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Del="00E41CFD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Prepoved oziroma omejitev paše znotraj ekološko pomembnih območij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Živali se pasejo na območju kjer je paša prepovedana oziroma v času ko paša ni dovoljena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</w:tbl>
    <w:p w:rsidR="00861973" w:rsidRPr="00861973" w:rsidRDefault="00861973" w:rsidP="00861973">
      <w:pPr>
        <w:tabs>
          <w:tab w:val="left" w:pos="12191"/>
        </w:tabs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Ponavljanje kršitve se ugotavlja v obdobju od vključno leta 2016 naprej.</w:t>
      </w: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  <w:sectPr w:rsidR="00861973" w:rsidRPr="00861973" w:rsidSect="001855EF">
          <w:headerReference w:type="first" r:id="rId11"/>
          <w:pgSz w:w="16840" w:h="11900" w:orient="landscape" w:code="9"/>
          <w:pgMar w:top="1701" w:right="1701" w:bottom="1701" w:left="1134" w:header="964" w:footer="794" w:gutter="0"/>
          <w:cols w:space="708"/>
          <w:titlePg/>
          <w:docGrid w:linePitch="272"/>
        </w:sectPr>
      </w:pPr>
    </w:p>
    <w:p w:rsidR="00861973" w:rsidRPr="00861973" w:rsidRDefault="00861973" w:rsidP="00861973">
      <w:pPr>
        <w:keepNext/>
        <w:spacing w:before="240" w:after="60" w:line="260" w:lineRule="atLeast"/>
        <w:jc w:val="both"/>
        <w:outlineLvl w:val="1"/>
        <w:rPr>
          <w:rFonts w:ascii="Arial" w:eastAsia="Times New Roman" w:hAnsi="Arial" w:cs="Times New Roman"/>
          <w:b/>
          <w:sz w:val="20"/>
          <w:szCs w:val="24"/>
        </w:rPr>
      </w:pPr>
      <w:bookmarkStart w:id="0" w:name="_Toc256426437"/>
      <w:r w:rsidRPr="00861973">
        <w:rPr>
          <w:rFonts w:ascii="Arial" w:eastAsia="Times New Roman" w:hAnsi="Arial" w:cs="Times New Roman"/>
          <w:b/>
          <w:sz w:val="20"/>
          <w:szCs w:val="24"/>
        </w:rPr>
        <w:lastRenderedPageBreak/>
        <w:t>Priloga 3</w:t>
      </w:r>
    </w:p>
    <w:p w:rsidR="00861973" w:rsidRPr="00861973" w:rsidRDefault="00861973" w:rsidP="00861973">
      <w:pPr>
        <w:keepNext/>
        <w:spacing w:before="240" w:after="60" w:line="260" w:lineRule="atLeast"/>
        <w:jc w:val="both"/>
        <w:outlineLvl w:val="1"/>
        <w:rPr>
          <w:rFonts w:ascii="Arial" w:eastAsia="Times New Roman" w:hAnsi="Arial" w:cs="Times New Roman"/>
          <w:b/>
          <w:sz w:val="20"/>
          <w:szCs w:val="24"/>
        </w:rPr>
      </w:pPr>
      <w:r w:rsidRPr="00861973">
        <w:rPr>
          <w:rFonts w:ascii="Arial" w:eastAsia="Times New Roman" w:hAnsi="Arial" w:cs="Times New Roman"/>
          <w:b/>
          <w:sz w:val="20"/>
          <w:szCs w:val="24"/>
        </w:rPr>
        <w:t>Dnevnik paše</w:t>
      </w:r>
      <w:bookmarkEnd w:id="0"/>
      <w:r w:rsidRPr="00861973">
        <w:rPr>
          <w:rFonts w:ascii="Arial" w:eastAsia="Times New Roman" w:hAnsi="Arial" w:cs="Times New Roman"/>
          <w:b/>
          <w:sz w:val="20"/>
          <w:szCs w:val="24"/>
        </w:rPr>
        <w:t xml:space="preserve"> za ukrep DŽ – govedo za leto 2016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3936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6"/>
      </w:tblGrid>
      <w:tr w:rsidR="00861973" w:rsidRPr="00861973" w:rsidTr="0055608C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61973" w:rsidRPr="00861973" w:rsidRDefault="00861973" w:rsidP="00861973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253"/>
        <w:gridCol w:w="1780"/>
        <w:gridCol w:w="1780"/>
        <w:gridCol w:w="1126"/>
        <w:gridCol w:w="1126"/>
      </w:tblGrid>
      <w:tr w:rsidR="00861973" w:rsidRPr="00861973" w:rsidTr="0055608C">
        <w:trPr>
          <w:trHeight w:val="397"/>
        </w:trPr>
        <w:tc>
          <w:tcPr>
            <w:tcW w:w="1541" w:type="dxa"/>
            <w:vMerge w:val="restart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GERK PID</w:t>
            </w:r>
          </w:p>
        </w:tc>
        <w:tc>
          <w:tcPr>
            <w:tcW w:w="2253" w:type="dxa"/>
            <w:vMerge w:val="restart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Domače ime GERK-a</w:t>
            </w:r>
          </w:p>
        </w:tc>
        <w:tc>
          <w:tcPr>
            <w:tcW w:w="3560" w:type="dxa"/>
            <w:gridSpan w:val="2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Trajanje paše na GERK-u</w:t>
            </w:r>
          </w:p>
        </w:tc>
        <w:tc>
          <w:tcPr>
            <w:tcW w:w="1126" w:type="dxa"/>
            <w:vMerge w:val="restart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Število živali</w:t>
            </w:r>
          </w:p>
        </w:tc>
        <w:tc>
          <w:tcPr>
            <w:tcW w:w="1126" w:type="dxa"/>
            <w:vMerge w:val="restart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EPO</w:t>
            </w:r>
            <w:r w:rsidRPr="0086197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vMerge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Začetek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ind w:left="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Konec</w:t>
            </w:r>
          </w:p>
        </w:tc>
        <w:tc>
          <w:tcPr>
            <w:tcW w:w="1126" w:type="dxa"/>
            <w:vMerge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keepNext/>
              <w:spacing w:after="0" w:line="260" w:lineRule="atLeast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keepNext/>
              <w:spacing w:after="0" w:line="260" w:lineRule="atLeast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E4615D">
      <w:pPr>
        <w:spacing w:after="0" w:line="260" w:lineRule="atLeast"/>
        <w:ind w:left="112" w:hanging="112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861973">
        <w:rPr>
          <w:rFonts w:ascii="Arial" w:eastAsia="Times New Roman" w:hAnsi="Arial" w:cs="Arial"/>
          <w:b/>
          <w:bCs/>
          <w:iCs/>
          <w:sz w:val="20"/>
          <w:szCs w:val="20"/>
          <w:vertAlign w:val="superscript"/>
        </w:rPr>
        <w:t xml:space="preserve">1 </w:t>
      </w:r>
      <w:r w:rsidRPr="00861973">
        <w:rPr>
          <w:rFonts w:ascii="Arial" w:eastAsia="Times New Roman" w:hAnsi="Arial" w:cs="Arial"/>
          <w:bCs/>
          <w:iCs/>
          <w:sz w:val="20"/>
          <w:szCs w:val="20"/>
        </w:rPr>
        <w:t>Označite GERK-e, ki ležijo znotraj ekološko pomembnih območij, kjer je paša omejena ali prepovedana (deveti odstavek 21. člena te uredbe).</w:t>
      </w:r>
      <w:bookmarkStart w:id="1" w:name="_GoBack"/>
      <w:bookmarkEnd w:id="1"/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  <w:r w:rsidRPr="00861973">
        <w:rPr>
          <w:rFonts w:ascii="Arial" w:eastAsia="Times New Roman" w:hAnsi="Arial" w:cs="Arial"/>
          <w:bCs/>
          <w:iCs/>
          <w:sz w:val="20"/>
          <w:szCs w:val="20"/>
        </w:rPr>
        <w:t>Trajanje prekinitve obdobja paše in razlog za prekinitev (peti odstavek 21. člena te uredbe):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701"/>
        <w:gridCol w:w="803"/>
        <w:gridCol w:w="803"/>
        <w:gridCol w:w="804"/>
      </w:tblGrid>
      <w:tr w:rsidR="00861973" w:rsidRPr="00861973" w:rsidTr="0055608C">
        <w:trPr>
          <w:trHeight w:val="397"/>
        </w:trPr>
        <w:tc>
          <w:tcPr>
            <w:tcW w:w="3227" w:type="dxa"/>
            <w:gridSpan w:val="2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Identifikacijska številka živali</w:t>
            </w:r>
          </w:p>
        </w:tc>
        <w:tc>
          <w:tcPr>
            <w:tcW w:w="3402" w:type="dxa"/>
            <w:gridSpan w:val="2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Trajanje prekinitve paše</w:t>
            </w:r>
          </w:p>
        </w:tc>
        <w:tc>
          <w:tcPr>
            <w:tcW w:w="2410" w:type="dxa"/>
            <w:gridSpan w:val="3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Razlog za prekinitev paše</w:t>
            </w:r>
            <w:r w:rsidRPr="0086197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1973">
              <w:rPr>
                <w:rFonts w:ascii="Arial" w:eastAsia="Times New Roman" w:hAnsi="Arial" w:cs="Arial"/>
                <w:b/>
                <w:sz w:val="16"/>
                <w:szCs w:val="16"/>
              </w:rPr>
              <w:t>Koda drž.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Številka živali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Začetek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ind w:left="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Konec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61973">
        <w:rPr>
          <w:rFonts w:ascii="Arial" w:eastAsia="Times New Roman" w:hAnsi="Arial" w:cs="Arial"/>
          <w:b/>
          <w:sz w:val="20"/>
          <w:szCs w:val="20"/>
        </w:rPr>
        <w:t>Označite razlog za prekinitev paše</w:t>
      </w:r>
      <w:r w:rsidRPr="00861973">
        <w:rPr>
          <w:rFonts w:ascii="Arial" w:eastAsia="Times New Roman" w:hAnsi="Arial" w:cs="Arial"/>
          <w:b/>
          <w:sz w:val="20"/>
          <w:szCs w:val="20"/>
          <w:vertAlign w:val="superscript"/>
        </w:rPr>
        <w:t>1</w:t>
      </w:r>
      <w:r w:rsidRPr="00861973">
        <w:rPr>
          <w:rFonts w:ascii="Arial" w:eastAsia="Times New Roman" w:hAnsi="Arial" w:cs="Arial"/>
          <w:b/>
          <w:sz w:val="20"/>
          <w:szCs w:val="20"/>
        </w:rPr>
        <w:t>: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61973">
        <w:rPr>
          <w:rFonts w:ascii="Arial" w:eastAsia="Times New Roman" w:hAnsi="Arial" w:cs="Arial"/>
          <w:b/>
          <w:sz w:val="20"/>
          <w:szCs w:val="20"/>
        </w:rPr>
        <w:t>A – telitev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61973">
        <w:rPr>
          <w:rFonts w:ascii="Arial" w:eastAsia="Times New Roman" w:hAnsi="Arial" w:cs="Arial"/>
          <w:b/>
          <w:sz w:val="20"/>
          <w:szCs w:val="20"/>
        </w:rPr>
        <w:t>B – bolezen ali poškodba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61973">
        <w:rPr>
          <w:rFonts w:ascii="Arial" w:eastAsia="Times New Roman" w:hAnsi="Arial" w:cs="Arial"/>
          <w:b/>
          <w:sz w:val="20"/>
          <w:szCs w:val="20"/>
        </w:rPr>
        <w:t>C – izjemne vremenske razmere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Priloga 4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t>Ekološko pomembna območja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Default="00861973" w:rsidP="00E22C7E">
      <w:pPr>
        <w:numPr>
          <w:ilvl w:val="0"/>
          <w:numId w:val="2"/>
        </w:numPr>
        <w:spacing w:line="260" w:lineRule="atLeast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</w:t>
      </w:r>
    </w:p>
    <w:p w:rsidR="00861973" w:rsidRDefault="00861973" w:rsidP="00861973">
      <w:pPr>
        <w:spacing w:line="260" w:lineRule="atLeast"/>
        <w:ind w:left="714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Ličenca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SI3000088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Boletina – velikonočnica 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SI3000125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Kožbana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Radensko polje - Viršnica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SI3000189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Žejna dolina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SI3000290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Goriška brda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SI3000379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Vrhoveljska planina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SI3000234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Vrbina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SI3000296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Marindol</w:t>
            </w: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Default="00861973" w:rsidP="00E22C7E">
      <w:pPr>
        <w:numPr>
          <w:ilvl w:val="0"/>
          <w:numId w:val="2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 metuljev</w:t>
      </w:r>
    </w:p>
    <w:p w:rsidR="00861973" w:rsidRPr="00861973" w:rsidRDefault="00861973" w:rsidP="00861973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Goričko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Cerovec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Haloze – vinorodne 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SI3000142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Libanja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Volčeke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Ličenca pri Poljčanah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Mura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SI3000231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Javorniki - Snežnik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SI3000255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Trnovski gozd - Nanos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SI3000302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osrednje Slovenske gorice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SI3000306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Dravinja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Default="00861973" w:rsidP="00E22C7E">
      <w:pPr>
        <w:numPr>
          <w:ilvl w:val="0"/>
          <w:numId w:val="2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 xml:space="preserve">Ekološko pomembna območja, kjer je paša prepovedana </w:t>
      </w:r>
    </w:p>
    <w:p w:rsidR="00861973" w:rsidRPr="00861973" w:rsidRDefault="00861973" w:rsidP="00861973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SI3000168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Črna dolina pri Grosuplju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grad Brdo - Preddvor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SI3000297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Mišja dolina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SI3000154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Bled - Podhom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SI3000278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Pokljuška barja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SI3000256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Krimsko hribovje - Menišija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SI3000348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Bohinjska Bistrica in Jereka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SI5000008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Škocjanski zatok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SI3000169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Povirje vzhodno od Bodešč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SI3000141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Duplica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SI5000032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Dobrava - Jovsi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SI5000003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dolina Reke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SI5000016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Planinsko polje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Snežnik - Pivka</w:t>
            </w:r>
          </w:p>
        </w:tc>
      </w:tr>
    </w:tbl>
    <w:p w:rsidR="00C41209" w:rsidRDefault="00C41209" w:rsidP="00861973"/>
    <w:sectPr w:rsidR="00C4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B6" w:rsidRDefault="00B062B6" w:rsidP="00861973">
      <w:pPr>
        <w:spacing w:after="0" w:line="240" w:lineRule="auto"/>
      </w:pPr>
      <w:r>
        <w:separator/>
      </w:r>
    </w:p>
  </w:endnote>
  <w:endnote w:type="continuationSeparator" w:id="0">
    <w:p w:rsidR="00B062B6" w:rsidRDefault="00B062B6" w:rsidP="0086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8A" w:rsidRPr="00767988" w:rsidRDefault="00E22C7E" w:rsidP="00767988">
    <w:pPr>
      <w:pStyle w:val="Noga"/>
      <w:jc w:val="right"/>
      <w:rPr>
        <w:sz w:val="22"/>
      </w:rPr>
    </w:pPr>
    <w:r w:rsidRPr="00767988">
      <w:rPr>
        <w:sz w:val="22"/>
      </w:rPr>
      <w:t xml:space="preserve">Stran </w:t>
    </w:r>
    <w:r w:rsidRPr="00767988">
      <w:rPr>
        <w:sz w:val="22"/>
      </w:rPr>
      <w:fldChar w:fldCharType="begin"/>
    </w:r>
    <w:r w:rsidRPr="00767988">
      <w:rPr>
        <w:sz w:val="22"/>
      </w:rPr>
      <w:instrText>PAGE   \* MERGEFORMAT</w:instrText>
    </w:r>
    <w:r w:rsidRPr="00767988">
      <w:rPr>
        <w:sz w:val="22"/>
      </w:rPr>
      <w:fldChar w:fldCharType="separate"/>
    </w:r>
    <w:r w:rsidR="00E4615D" w:rsidRPr="00E4615D">
      <w:rPr>
        <w:noProof/>
        <w:sz w:val="22"/>
        <w:lang w:val="sl-SI"/>
      </w:rPr>
      <w:t>10</w:t>
    </w:r>
    <w:r w:rsidRPr="00767988">
      <w:rPr>
        <w:sz w:val="22"/>
      </w:rPr>
      <w:fldChar w:fldCharType="end"/>
    </w:r>
    <w:r w:rsidRPr="00767988">
      <w:rPr>
        <w:sz w:val="22"/>
      </w:rPr>
      <w:t xml:space="preserve"> od </w:t>
    </w:r>
    <w:r w:rsidRPr="00767988">
      <w:rPr>
        <w:sz w:val="22"/>
      </w:rPr>
      <w:fldChar w:fldCharType="begin"/>
    </w:r>
    <w:r w:rsidRPr="00767988">
      <w:rPr>
        <w:sz w:val="22"/>
      </w:rPr>
      <w:instrText xml:space="preserve"> NUMPAGES   \* MERGEFORMAT </w:instrText>
    </w:r>
    <w:r w:rsidRPr="00767988">
      <w:rPr>
        <w:sz w:val="22"/>
      </w:rPr>
      <w:fldChar w:fldCharType="separate"/>
    </w:r>
    <w:r w:rsidR="00E4615D">
      <w:rPr>
        <w:noProof/>
        <w:sz w:val="22"/>
      </w:rPr>
      <w:t>10</w:t>
    </w:r>
    <w:r w:rsidRPr="00767988">
      <w:rPr>
        <w:sz w:val="22"/>
      </w:rPr>
      <w:fldChar w:fldCharType="end"/>
    </w:r>
  </w:p>
  <w:p w:rsidR="007B3B8A" w:rsidRPr="00767988" w:rsidRDefault="00B062B6" w:rsidP="007679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8A" w:rsidRPr="00767988" w:rsidRDefault="00E22C7E">
    <w:pPr>
      <w:pStyle w:val="Noga"/>
      <w:jc w:val="right"/>
      <w:rPr>
        <w:sz w:val="22"/>
      </w:rPr>
    </w:pPr>
    <w:r w:rsidRPr="00767988">
      <w:rPr>
        <w:sz w:val="22"/>
      </w:rPr>
      <w:t xml:space="preserve">Stran </w:t>
    </w:r>
    <w:r w:rsidRPr="00767988">
      <w:rPr>
        <w:sz w:val="22"/>
      </w:rPr>
      <w:fldChar w:fldCharType="begin"/>
    </w:r>
    <w:r w:rsidRPr="00767988">
      <w:rPr>
        <w:sz w:val="22"/>
      </w:rPr>
      <w:instrText>PAGE   \* MERGEFORMAT</w:instrText>
    </w:r>
    <w:r w:rsidRPr="00767988">
      <w:rPr>
        <w:sz w:val="22"/>
      </w:rPr>
      <w:fldChar w:fldCharType="separate"/>
    </w:r>
    <w:r w:rsidR="00E4615D" w:rsidRPr="00E4615D">
      <w:rPr>
        <w:noProof/>
        <w:sz w:val="22"/>
        <w:lang w:val="sl-SI"/>
      </w:rPr>
      <w:t>2</w:t>
    </w:r>
    <w:r w:rsidRPr="00767988">
      <w:rPr>
        <w:sz w:val="22"/>
      </w:rPr>
      <w:fldChar w:fldCharType="end"/>
    </w:r>
    <w:r w:rsidRPr="00767988">
      <w:rPr>
        <w:sz w:val="22"/>
      </w:rPr>
      <w:t xml:space="preserve"> od </w:t>
    </w:r>
    <w:r w:rsidRPr="00767988">
      <w:rPr>
        <w:sz w:val="22"/>
      </w:rPr>
      <w:fldChar w:fldCharType="begin"/>
    </w:r>
    <w:r w:rsidRPr="00767988">
      <w:rPr>
        <w:sz w:val="22"/>
      </w:rPr>
      <w:instrText xml:space="preserve"> NUMPAGES   \* MERGEFORMAT </w:instrText>
    </w:r>
    <w:r w:rsidRPr="00767988">
      <w:rPr>
        <w:sz w:val="22"/>
      </w:rPr>
      <w:fldChar w:fldCharType="separate"/>
    </w:r>
    <w:r w:rsidR="00E4615D">
      <w:rPr>
        <w:noProof/>
        <w:sz w:val="22"/>
      </w:rPr>
      <w:t>10</w:t>
    </w:r>
    <w:r w:rsidRPr="00767988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B6" w:rsidRDefault="00B062B6" w:rsidP="00861973">
      <w:pPr>
        <w:spacing w:after="0" w:line="240" w:lineRule="auto"/>
      </w:pPr>
      <w:r>
        <w:separator/>
      </w:r>
    </w:p>
  </w:footnote>
  <w:footnote w:type="continuationSeparator" w:id="0">
    <w:p w:rsidR="00B062B6" w:rsidRDefault="00B062B6" w:rsidP="0086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8A" w:rsidRPr="00110CBD" w:rsidRDefault="00B062B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8A" w:rsidRPr="008F3500" w:rsidRDefault="00B062B6" w:rsidP="006F1B4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7B3B8A" w:rsidRPr="006F1B43" w:rsidRDefault="00B062B6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F75"/>
    <w:multiLevelType w:val="hybridMultilevel"/>
    <w:tmpl w:val="B6BAA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4F4F"/>
    <w:multiLevelType w:val="hybridMultilevel"/>
    <w:tmpl w:val="B44C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7ED4"/>
    <w:multiLevelType w:val="hybridMultilevel"/>
    <w:tmpl w:val="5F407530"/>
    <w:lvl w:ilvl="0" w:tplc="B60A4BB8">
      <w:start w:val="1"/>
      <w:numFmt w:val="decimal"/>
      <w:pStyle w:val="LEN"/>
      <w:lvlText w:val="%1."/>
      <w:lvlJc w:val="left"/>
      <w:pPr>
        <w:ind w:left="603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73"/>
    <w:rsid w:val="00295AE5"/>
    <w:rsid w:val="00861973"/>
    <w:rsid w:val="00B062B6"/>
    <w:rsid w:val="00C41209"/>
    <w:rsid w:val="00E22C7E"/>
    <w:rsid w:val="00E4615D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6197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1973"/>
    <w:pPr>
      <w:keepNext/>
      <w:spacing w:before="240" w:after="60" w:line="26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197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6197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197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61973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Brezseznama1">
    <w:name w:val="Brez seznama1"/>
    <w:next w:val="Brezseznama"/>
    <w:semiHidden/>
    <w:rsid w:val="00861973"/>
  </w:style>
  <w:style w:type="paragraph" w:styleId="Glava">
    <w:name w:val="header"/>
    <w:basedOn w:val="Navaden"/>
    <w:link w:val="GlavaZnak"/>
    <w:rsid w:val="0086197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86197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86197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61973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861973"/>
    <w:pPr>
      <w:spacing w:after="0" w:line="26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861973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basedOn w:val="Navadnatabela"/>
    <w:rsid w:val="0086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6197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6197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861973"/>
    <w:rPr>
      <w:color w:val="0000FF"/>
      <w:u w:val="single"/>
    </w:rPr>
  </w:style>
  <w:style w:type="paragraph" w:customStyle="1" w:styleId="podpisi">
    <w:name w:val="podpisi"/>
    <w:basedOn w:val="Navaden"/>
    <w:qFormat/>
    <w:rsid w:val="0086197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8619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97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973"/>
    <w:rPr>
      <w:rFonts w:ascii="Tahoma" w:eastAsia="Times New Roman" w:hAnsi="Tahoma" w:cs="Times New Roman"/>
      <w:sz w:val="16"/>
      <w:szCs w:val="16"/>
      <w:lang w:val="en-US"/>
    </w:rPr>
  </w:style>
  <w:style w:type="character" w:styleId="Pripombasklic">
    <w:name w:val="annotation reference"/>
    <w:uiPriority w:val="99"/>
    <w:semiHidden/>
    <w:unhideWhenUsed/>
    <w:rsid w:val="008619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197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1973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19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197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8619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rsid w:val="00861973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861973"/>
    <w:pPr>
      <w:numPr>
        <w:numId w:val="1"/>
      </w:numPr>
      <w:tabs>
        <w:tab w:val="left" w:pos="284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customStyle="1" w:styleId="LENZnak">
    <w:name w:val="ČLEN Znak"/>
    <w:link w:val="LEN"/>
    <w:rsid w:val="00861973"/>
    <w:rPr>
      <w:rFonts w:ascii="Arial" w:eastAsia="Times New Roman" w:hAnsi="Arial" w:cs="Times New Roman"/>
      <w:b/>
      <w:lang w:val="x-none" w:eastAsia="x-none"/>
    </w:rPr>
  </w:style>
  <w:style w:type="character" w:customStyle="1" w:styleId="apple-converted-space">
    <w:name w:val="apple-converted-space"/>
    <w:basedOn w:val="Privzetapisavaodstavka"/>
    <w:rsid w:val="00861973"/>
  </w:style>
  <w:style w:type="paragraph" w:customStyle="1" w:styleId="Znak1">
    <w:name w:val="Znak1"/>
    <w:basedOn w:val="Navaden"/>
    <w:rsid w:val="0086197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6197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1973"/>
    <w:pPr>
      <w:keepNext/>
      <w:spacing w:before="240" w:after="60" w:line="26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197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6197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197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61973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Brezseznama1">
    <w:name w:val="Brez seznama1"/>
    <w:next w:val="Brezseznama"/>
    <w:semiHidden/>
    <w:rsid w:val="00861973"/>
  </w:style>
  <w:style w:type="paragraph" w:styleId="Glava">
    <w:name w:val="header"/>
    <w:basedOn w:val="Navaden"/>
    <w:link w:val="GlavaZnak"/>
    <w:rsid w:val="0086197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86197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86197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61973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861973"/>
    <w:pPr>
      <w:spacing w:after="0" w:line="26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861973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basedOn w:val="Navadnatabela"/>
    <w:rsid w:val="0086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6197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6197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861973"/>
    <w:rPr>
      <w:color w:val="0000FF"/>
      <w:u w:val="single"/>
    </w:rPr>
  </w:style>
  <w:style w:type="paragraph" w:customStyle="1" w:styleId="podpisi">
    <w:name w:val="podpisi"/>
    <w:basedOn w:val="Navaden"/>
    <w:qFormat/>
    <w:rsid w:val="0086197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8619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97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973"/>
    <w:rPr>
      <w:rFonts w:ascii="Tahoma" w:eastAsia="Times New Roman" w:hAnsi="Tahoma" w:cs="Times New Roman"/>
      <w:sz w:val="16"/>
      <w:szCs w:val="16"/>
      <w:lang w:val="en-US"/>
    </w:rPr>
  </w:style>
  <w:style w:type="character" w:styleId="Pripombasklic">
    <w:name w:val="annotation reference"/>
    <w:uiPriority w:val="99"/>
    <w:semiHidden/>
    <w:unhideWhenUsed/>
    <w:rsid w:val="008619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197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1973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19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197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8619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rsid w:val="00861973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861973"/>
    <w:pPr>
      <w:numPr>
        <w:numId w:val="1"/>
      </w:numPr>
      <w:tabs>
        <w:tab w:val="left" w:pos="284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customStyle="1" w:styleId="LENZnak">
    <w:name w:val="ČLEN Znak"/>
    <w:link w:val="LEN"/>
    <w:rsid w:val="00861973"/>
    <w:rPr>
      <w:rFonts w:ascii="Arial" w:eastAsia="Times New Roman" w:hAnsi="Arial" w:cs="Times New Roman"/>
      <w:b/>
      <w:lang w:val="x-none" w:eastAsia="x-none"/>
    </w:rPr>
  </w:style>
  <w:style w:type="character" w:customStyle="1" w:styleId="apple-converted-space">
    <w:name w:val="apple-converted-space"/>
    <w:basedOn w:val="Privzetapisavaodstavka"/>
    <w:rsid w:val="00861973"/>
  </w:style>
  <w:style w:type="paragraph" w:customStyle="1" w:styleId="Znak1">
    <w:name w:val="Znak1"/>
    <w:basedOn w:val="Navaden"/>
    <w:rsid w:val="0086197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 RFele</cp:lastModifiedBy>
  <cp:revision>3</cp:revision>
  <dcterms:created xsi:type="dcterms:W3CDTF">2016-02-18T10:58:00Z</dcterms:created>
  <dcterms:modified xsi:type="dcterms:W3CDTF">2016-02-24T10:06:00Z</dcterms:modified>
</cp:coreProperties>
</file>