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4"/>
          <w:lang w:val="sl-SI" w:eastAsia="sl-SI"/>
        </w:rPr>
      </w:pPr>
      <w:bookmarkStart w:id="0" w:name="_GoBack"/>
      <w:bookmarkEnd w:id="0"/>
      <w:r w:rsidRPr="009134F3">
        <w:rPr>
          <w:rFonts w:cs="Arial"/>
          <w:b/>
          <w:bCs/>
          <w:color w:val="000000"/>
          <w:sz w:val="24"/>
          <w:lang w:val="sl-SI" w:eastAsia="sl-SI"/>
        </w:rPr>
        <w:t>PRILOGA 1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4"/>
          <w:lang w:val="sl-SI" w:eastAsia="sl-SI"/>
        </w:rPr>
      </w:pPr>
    </w:p>
    <w:p w:rsidR="007954A8" w:rsidRPr="009A4E52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4"/>
          <w:lang w:val="sl-SI" w:eastAsia="sl-SI"/>
        </w:rPr>
      </w:pPr>
      <w:r w:rsidRPr="009A4E52">
        <w:rPr>
          <w:rFonts w:cs="Arial"/>
          <w:b/>
          <w:bCs/>
          <w:color w:val="000000"/>
          <w:sz w:val="24"/>
          <w:lang w:val="sl-SI" w:eastAsia="sl-SI"/>
        </w:rPr>
        <w:t>SPREMLJANJE IN SPOROČANJE EMISIJ ONESNAŽEVAL ZRAKA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i/>
          <w:iCs/>
          <w:color w:val="000000"/>
          <w:sz w:val="22"/>
          <w:szCs w:val="22"/>
          <w:lang w:val="sl-SI" w:eastAsia="sl-SI"/>
        </w:rPr>
      </w:pPr>
    </w:p>
    <w:p w:rsidR="007954A8" w:rsidRPr="009A4E52" w:rsidRDefault="009F4C66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>Preglednica</w:t>
      </w:r>
      <w:r w:rsidR="007954A8"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 xml:space="preserve"> A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A4E52" w:rsidRDefault="007954A8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b/>
          <w:bCs/>
          <w:color w:val="000000"/>
          <w:sz w:val="22"/>
          <w:szCs w:val="22"/>
          <w:lang w:val="sl-SI" w:eastAsia="sl-SI"/>
        </w:rPr>
        <w:t>Zahteve glede letnega poročanja o emisijah iz prvega odstavka 7. člena te uredbe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3394"/>
        <w:gridCol w:w="1527"/>
        <w:gridCol w:w="1444"/>
      </w:tblGrid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A7B46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Poročilo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Časovni okvir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Datumi poročanja</w:t>
            </w:r>
          </w:p>
        </w:tc>
      </w:tr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A4078C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Skupne nacionalne emisije po vrstah virov po NFR</w:t>
            </w:r>
            <w:r w:rsidR="00AE66CA">
              <w:fldChar w:fldCharType="begin"/>
            </w:r>
            <w:r w:rsidR="00AE66CA" w:rsidRPr="00D27CAB">
              <w:rPr>
                <w:lang w:val="it-IT"/>
              </w:rPr>
              <w:instrText xml:space="preserve"> HYPERLINK "http://eur-lex.europa.eu/legal-content/SL/TXT/HTML/?uri=CELEX:32016L2284&amp;from=EN" \l "ntr2-L_2016344SL.01001701-E0002" </w:instrText>
            </w:r>
            <w:r w:rsidR="00AE66CA">
              <w:fldChar w:fldCharType="separate"/>
            </w:r>
            <w:r w:rsidR="00A4078C"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 (</w:t>
            </w:r>
            <w:r w:rsidR="00A4078C" w:rsidRPr="009A4E52">
              <w:rPr>
                <w:rFonts w:cs="Arial"/>
                <w:color w:val="0000FF"/>
                <w:sz w:val="22"/>
                <w:szCs w:val="22"/>
                <w:u w:val="single"/>
                <w:vertAlign w:val="superscript"/>
                <w:lang w:val="sl-SI" w:eastAsia="sl-SI"/>
              </w:rPr>
              <w:t>1</w:t>
            </w:r>
            <w:r w:rsidR="00AE66CA">
              <w:rPr>
                <w:rFonts w:cs="Arial"/>
                <w:color w:val="0000FF"/>
                <w:sz w:val="22"/>
                <w:szCs w:val="22"/>
                <w:u w:val="single"/>
                <w:vertAlign w:val="superscript"/>
                <w:lang w:val="sl-SI" w:eastAsia="sl-SI"/>
              </w:rPr>
              <w:fldChar w:fldCharType="end"/>
            </w:r>
            <w:r w:rsidR="00A4078C"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)</w:t>
            </w:r>
            <w:r w:rsidR="00AE66CA">
              <w:fldChar w:fldCharType="begin"/>
            </w:r>
            <w:r w:rsidR="00AE66CA" w:rsidRPr="00D27CAB">
              <w:rPr>
                <w:lang w:val="it-IT"/>
              </w:rPr>
              <w:instrText xml:space="preserve"> HYPERLINK "http://eur-lex.europa.eu/legal-content/SL/TXT/HTML/?uri=CELEX:32016L2284&amp;from=EN" \l "ntr2-L_2016344SL.01001701-E0002" </w:instrText>
            </w:r>
            <w:r w:rsidR="00AE66CA">
              <w:fldChar w:fldCharType="separate"/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 (</w:t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vertAlign w:val="superscript"/>
                <w:lang w:val="sl-SI" w:eastAsia="sl-SI"/>
              </w:rPr>
              <w:t>2</w:t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)</w:t>
            </w:r>
            <w:r w:rsidR="00AE66CA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3160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051727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051727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SO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X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NMVOC, NH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3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CO</w:t>
                  </w:r>
                </w:p>
              </w:tc>
            </w:tr>
          </w:tbl>
          <w:p w:rsidR="007954A8" w:rsidRPr="009A4E52" w:rsidRDefault="007954A8" w:rsidP="00051727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"/>
              <w:gridCol w:w="3156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051727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051727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težke kovine (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Cd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Hg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Pb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)</w:t>
                  </w:r>
                  <w:hyperlink r:id="rId9" w:anchor="ntr3-L_2016344SL.01001701-E0003" w:history="1">
                    <w:r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 (</w:t>
                    </w:r>
                    <w:r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vertAlign w:val="superscript"/>
                        <w:lang w:val="sl-SI" w:eastAsia="sl-SI"/>
                      </w:rPr>
                      <w:t>3</w:t>
                    </w:r>
                    <w:r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)</w:t>
                    </w:r>
                  </w:hyperlink>
                </w:p>
              </w:tc>
            </w:tr>
          </w:tbl>
          <w:p w:rsidR="007954A8" w:rsidRPr="009A4E52" w:rsidRDefault="007954A8" w:rsidP="00051727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58"/>
            </w:tblGrid>
            <w:tr w:rsidR="007954A8" w:rsidRPr="00D27CAB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051727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051727" w:rsidP="00051727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–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POP</w:t>
                  </w:r>
                  <w:r w:rsidR="00AE66CA">
                    <w:fldChar w:fldCharType="begin"/>
                  </w:r>
                  <w:r w:rsidR="00AE66CA" w:rsidRPr="00D27CAB">
                    <w:rPr>
                      <w:lang w:val="it-IT"/>
                    </w:rPr>
                    <w:instrText xml:space="preserve"> HYPERLINK "http://eur-lex.europa.eu/legal-content/SL/TXT/HTML/?uri=CELEX:32016L2284&amp;from=EN" \l "ntr4-L_2016344SL.01001701-E0004" </w:instrText>
                  </w:r>
                  <w:r w:rsidR="00AE66CA">
                    <w:fldChar w:fldCharType="separate"/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 (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vertAlign w:val="superscript"/>
                      <w:lang w:val="sl-SI" w:eastAsia="sl-SI"/>
                    </w:rPr>
                    <w:t>4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)</w:t>
                  </w:r>
                  <w:r w:rsidR="00AE66CA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fldChar w:fldCharType="end"/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 (skupni PAH</w:t>
                  </w:r>
                  <w:r w:rsidR="00AE66CA">
                    <w:fldChar w:fldCharType="begin"/>
                  </w:r>
                  <w:r w:rsidR="00AE66CA" w:rsidRPr="00D27CAB">
                    <w:rPr>
                      <w:lang w:val="it-IT"/>
                    </w:rPr>
                    <w:instrText xml:space="preserve"> HYPERLINK "http://eur-lex.europa.eu/legal-content/SL/TXT/HTML/?uri=CELEX:32016L2284&amp;from=EN" \l "ntr5-L_2</w:instrText>
                  </w:r>
                  <w:r w:rsidR="00AE66CA" w:rsidRPr="00D27CAB">
                    <w:rPr>
                      <w:lang w:val="it-IT"/>
                    </w:rPr>
                    <w:instrText xml:space="preserve">016344SL.01001701-E0005" </w:instrText>
                  </w:r>
                  <w:r w:rsidR="00AE66CA">
                    <w:fldChar w:fldCharType="separate"/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 (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vertAlign w:val="superscript"/>
                      <w:lang w:val="sl-SI" w:eastAsia="sl-SI"/>
                    </w:rPr>
                    <w:t>5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)</w:t>
                  </w:r>
                  <w:r w:rsidR="00AE66CA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fldChar w:fldCharType="end"/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benzo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(a)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piren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benzo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(b)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fluoranten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benzo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(k)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fluoranten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indeno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(1,2,3-cd)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piren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dioksini/furani, PCB</w:t>
                  </w:r>
                  <w:r w:rsidR="00AE66CA">
                    <w:fldChar w:fldCharType="begin"/>
                  </w:r>
                  <w:r w:rsidR="00AE66CA" w:rsidRPr="00D27CAB">
                    <w:rPr>
                      <w:lang w:val="it-IT"/>
                    </w:rPr>
                    <w:instrText xml:space="preserve"> HYPERLINK "http://eur-lex.europa.eu/legal-content/SL/TXT/HTML/?uri=CELEX:32016L2284&amp;from=EN" \l "ntr6-L_2016344SL.01001701-</w:instrText>
                  </w:r>
                  <w:r w:rsidR="00AE66CA" w:rsidRPr="00D27CAB">
                    <w:rPr>
                      <w:lang w:val="it-IT"/>
                    </w:rPr>
                    <w:instrText xml:space="preserve">E0006" </w:instrText>
                  </w:r>
                  <w:r w:rsidR="00AE66CA">
                    <w:fldChar w:fldCharType="separate"/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 (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vertAlign w:val="superscript"/>
                      <w:lang w:val="sl-SI" w:eastAsia="sl-SI"/>
                    </w:rPr>
                    <w:t>6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)</w:t>
                  </w:r>
                  <w:r w:rsidR="00AE66CA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fldChar w:fldCharType="end"/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HCB</w:t>
                  </w:r>
                  <w:r w:rsidR="00AE66CA">
                    <w:fldChar w:fldCharType="begin"/>
                  </w:r>
                  <w:r w:rsidR="00AE66CA" w:rsidRPr="00D27CAB">
                    <w:rPr>
                      <w:lang w:val="it-IT"/>
                    </w:rPr>
                    <w:instrText xml:space="preserve"> HYPERLINK "http://eur-lex.europa.eu/legal-content/SL/TXT/HTML/?uri=CELEX:32016L2284&amp;from=EN" \l "ntr7-L_2016344SL.01001701-E0007" </w:instrText>
                  </w:r>
                  <w:r w:rsidR="00AE66CA">
                    <w:fldChar w:fldCharType="separate"/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 (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vertAlign w:val="superscript"/>
                      <w:lang w:val="sl-SI" w:eastAsia="sl-SI"/>
                    </w:rPr>
                    <w:t>7</w:t>
                  </w:r>
                  <w:r w:rsidR="007954A8" w:rsidRPr="009A4E52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t>)</w:t>
                  </w:r>
                  <w:r w:rsidR="00AE66CA">
                    <w:rPr>
                      <w:rFonts w:cs="Arial"/>
                      <w:color w:val="0000FF"/>
                      <w:sz w:val="22"/>
                      <w:szCs w:val="22"/>
                      <w:u w:val="single"/>
                      <w:lang w:val="sl-SI" w:eastAsia="sl-SI"/>
                    </w:rPr>
                    <w:fldChar w:fldCharType="end"/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Letno, od leta 1990 do leta poročanja minus 2 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15. februar</w:t>
            </w:r>
            <w:hyperlink r:id="rId10" w:anchor="ntr9-L_2016344SL.01001701-E0009" w:history="1"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 (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vertAlign w:val="superscript"/>
                  <w:lang w:val="sl-SI" w:eastAsia="sl-SI"/>
                </w:rPr>
                <w:t>9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)</w:t>
              </w:r>
            </w:hyperlink>
          </w:p>
        </w:tc>
      </w:tr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Skupne nacionalne emisije po vrstah virov po NFR</w:t>
            </w:r>
            <w:r w:rsidR="00AE66CA">
              <w:fldChar w:fldCharType="begin"/>
            </w:r>
            <w:r w:rsidR="00AE66CA" w:rsidRPr="00D27CAB">
              <w:rPr>
                <w:lang w:val="it-IT"/>
              </w:rPr>
              <w:instrText xml:space="preserve"> HYPERLINK "http://eur-lex.europa.eu/legal-content/SL/TXT/HTML/?uri=CELEX:32016L2284&amp;from=EN" \l "ntr2-L_2016344SL.01001701-E0002" </w:instrText>
            </w:r>
            <w:r w:rsidR="00AE66CA">
              <w:fldChar w:fldCharType="separate"/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 (</w:t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vertAlign w:val="superscript"/>
                <w:lang w:val="sl-SI" w:eastAsia="sl-SI"/>
              </w:rPr>
              <w:t>2</w:t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)</w:t>
            </w:r>
            <w:r w:rsidR="00AE66CA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58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–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PM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2,5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PM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10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 </w:t>
                  </w:r>
                  <w:hyperlink r:id="rId11" w:anchor="ntr8-L_2016344SL.01001701-E0008" w:history="1"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 (</w:t>
                    </w:r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vertAlign w:val="superscript"/>
                        <w:lang w:val="sl-SI" w:eastAsia="sl-SI"/>
                      </w:rPr>
                      <w:t>8</w:t>
                    </w:r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)</w:t>
                    </w:r>
                  </w:hyperlink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 in, če je na voljo, BC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Letno, od leta 2000 do leta poročanja minus 2 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15. februar</w:t>
            </w:r>
            <w:hyperlink r:id="rId12" w:anchor="ntr9-L_2016344SL.01001701-E0009" w:history="1"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 (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vertAlign w:val="superscript"/>
                  <w:lang w:val="sl-SI" w:eastAsia="sl-SI"/>
                </w:rPr>
                <w:t>9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)</w:t>
              </w:r>
            </w:hyperlink>
          </w:p>
        </w:tc>
      </w:tr>
    </w:tbl>
    <w:p w:rsidR="007954A8" w:rsidRPr="009A4E52" w:rsidRDefault="007954A8" w:rsidP="007954A8">
      <w:pPr>
        <w:spacing w:line="240" w:lineRule="auto"/>
        <w:rPr>
          <w:rFonts w:ascii="inherit" w:hAnsi="inherit"/>
          <w:color w:val="000000"/>
          <w:sz w:val="24"/>
          <w:lang w:val="sl-SI" w:eastAsia="sl-SI"/>
        </w:rPr>
      </w:pPr>
    </w:p>
    <w:p w:rsidR="007954A8" w:rsidRPr="009A4E52" w:rsidRDefault="009F4C66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>Preglednica</w:t>
      </w:r>
      <w:r w:rsidR="007954A8"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 xml:space="preserve"> B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A4E52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b/>
          <w:bCs/>
          <w:color w:val="000000"/>
          <w:sz w:val="22"/>
          <w:szCs w:val="22"/>
          <w:lang w:val="sl-SI" w:eastAsia="sl-SI"/>
        </w:rPr>
        <w:t>Zahteve glede letnega poročanja o emisijah iz drugega odstavka 7. člena te uredbe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2674"/>
        <w:gridCol w:w="2423"/>
        <w:gridCol w:w="1278"/>
      </w:tblGrid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9F4C66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Poročilo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Časovni okvir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Datum poročanja</w:t>
            </w:r>
          </w:p>
        </w:tc>
      </w:tr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Skupne nacionalne emisije po vrstah virov po NFR</w:t>
            </w:r>
            <w:r w:rsidR="00AE66CA">
              <w:fldChar w:fldCharType="begin"/>
            </w:r>
            <w:r w:rsidR="00AE66CA" w:rsidRPr="00D27CAB">
              <w:rPr>
                <w:lang w:val="it-IT"/>
              </w:rPr>
              <w:instrText xml:space="preserve"> HYPERLINK "http://eur-lex.europa.eu/legal-content/SL/TXT/HTML/?uri=CELEX:32016L2284&amp;from=EN" \l "ntr10-L_2016344SL.01001701-E0010" </w:instrText>
            </w:r>
            <w:r w:rsidR="00AE66CA">
              <w:fldChar w:fldCharType="separate"/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 (</w:t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vertAlign w:val="superscript"/>
                <w:lang w:val="sl-SI" w:eastAsia="sl-SI"/>
              </w:rPr>
              <w:t>10</w:t>
            </w:r>
            <w:r w:rsidRPr="009A4E52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t>)</w:t>
            </w:r>
            <w:r w:rsidR="00AE66CA">
              <w:rPr>
                <w:rFonts w:cs="Arial"/>
                <w:color w:val="0000FF"/>
                <w:sz w:val="22"/>
                <w:szCs w:val="22"/>
                <w:u w:val="single"/>
                <w:lang w:val="sl-SI" w:eastAsia="sl-S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38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–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težke kovine (As,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Cr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Cu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Ni, Se in Zn ter njihove spojine)</w:t>
                  </w:r>
                  <w:hyperlink r:id="rId13" w:anchor="ntr11-L_2016344SL.01001701-E0011" w:history="1"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 (</w:t>
                    </w:r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vertAlign w:val="superscript"/>
                        <w:lang w:val="sl-SI" w:eastAsia="sl-SI"/>
                      </w:rPr>
                      <w:t>11</w:t>
                    </w:r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)</w:t>
                    </w:r>
                  </w:hyperlink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2629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 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–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TSP</w:t>
                  </w:r>
                  <w:hyperlink r:id="rId14" w:anchor="ntr12-L_2016344SL.01001701-E0012" w:history="1"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 (</w:t>
                    </w:r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vertAlign w:val="superscript"/>
                        <w:lang w:val="sl-SI" w:eastAsia="sl-SI"/>
                      </w:rPr>
                      <w:t>12</w:t>
                    </w:r>
                    <w:r w:rsidR="007954A8" w:rsidRPr="009A4E52">
                      <w:rPr>
                        <w:rFonts w:cs="Arial"/>
                        <w:color w:val="0000FF"/>
                        <w:sz w:val="22"/>
                        <w:szCs w:val="22"/>
                        <w:u w:val="single"/>
                        <w:lang w:val="sl-SI" w:eastAsia="sl-SI"/>
                      </w:rPr>
                      <w:t>)</w:t>
                    </w:r>
                  </w:hyperlink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Letno, od leta 1990 (2000 za TSP) do leta poročanja minus 2 (X – 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15. februar</w:t>
            </w:r>
          </w:p>
        </w:tc>
      </w:tr>
    </w:tbl>
    <w:p w:rsidR="007954A8" w:rsidRPr="009A4E52" w:rsidRDefault="007954A8" w:rsidP="007954A8">
      <w:pPr>
        <w:spacing w:line="240" w:lineRule="auto"/>
        <w:rPr>
          <w:rFonts w:ascii="inherit" w:hAnsi="inherit"/>
          <w:color w:val="000000"/>
          <w:sz w:val="24"/>
          <w:lang w:val="sl-SI" w:eastAsia="sl-SI"/>
        </w:rPr>
      </w:pPr>
    </w:p>
    <w:p w:rsidR="007954A8" w:rsidRPr="009A4E52" w:rsidRDefault="007A7B46" w:rsidP="007954A8">
      <w:pPr>
        <w:spacing w:line="240" w:lineRule="auto"/>
        <w:jc w:val="center"/>
        <w:rPr>
          <w:rFonts w:cs="Arial"/>
          <w:i/>
          <w:iCs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>Preglednica</w:t>
      </w:r>
      <w:r w:rsidR="007954A8"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 xml:space="preserve"> C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A4E52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b/>
          <w:bCs/>
          <w:color w:val="000000"/>
          <w:sz w:val="22"/>
          <w:szCs w:val="22"/>
          <w:lang w:val="sl-SI" w:eastAsia="sl-SI"/>
        </w:rPr>
        <w:t>Zahteve glede poročanja o emisijah in projekcijah iz tretjega odstavka 7. člena te uredbe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366"/>
        <w:gridCol w:w="2751"/>
        <w:gridCol w:w="1255"/>
      </w:tblGrid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A7B46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Poročilo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Časovni okvir/ciljna 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Datumi poročanja</w:t>
            </w:r>
          </w:p>
        </w:tc>
      </w:tr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Podatki o emisijah državne merilne mreže po vrstah virov (GNFR)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SO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X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NMVOC, CO, NH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3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PM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10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PM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2,5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težke kovine (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Cd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Hg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Pb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D27CAB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POP (skupni PAH, HCB, PCB, dioksini/furani)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86"/>
            </w:tblGrid>
            <w:tr w:rsidR="007954A8" w:rsidRPr="00D27CAB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BC (če je na voljo)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Vsaka štiri leta za leto poročanja minus 2 (X – 2)</w:t>
            </w:r>
          </w:p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1. maj</w:t>
            </w:r>
            <w:hyperlink r:id="rId15" w:anchor="ntr13-L_2016344SL.01001701-E0013" w:history="1"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 (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vertAlign w:val="superscript"/>
                  <w:lang w:val="sl-SI" w:eastAsia="sl-SI"/>
                </w:rPr>
                <w:t>13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)</w:t>
              </w:r>
            </w:hyperlink>
          </w:p>
        </w:tc>
      </w:tr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Veliki točkovni viri po viru kategorije (GNFR)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SO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X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NMVOC, CO, NH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3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PM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10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PM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2,5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težke kovine (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Cd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Hg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Pb</w:t>
                  </w:r>
                  <w:proofErr w:type="spellEnd"/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D27CAB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lastRenderedPageBreak/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POP (skupni PAH, HCB, PCB, dioksini/furani)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2186"/>
            </w:tblGrid>
            <w:tr w:rsidR="007954A8" w:rsidRPr="00D27CAB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BC (če je na voljo)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lastRenderedPageBreak/>
              <w:t>Vsaka štiri leta za leto poročanja minus 2 (X – 2)</w:t>
            </w:r>
          </w:p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1. maj</w:t>
            </w:r>
            <w:hyperlink r:id="rId16" w:anchor="ntr13-L_2016344SL.01001701-E0013" w:history="1"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 (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vertAlign w:val="superscript"/>
                  <w:lang w:val="sl-SI" w:eastAsia="sl-SI"/>
                </w:rPr>
                <w:t>13</w:t>
              </w:r>
              <w:r w:rsidRPr="009A4E52">
                <w:rPr>
                  <w:rFonts w:cs="Arial"/>
                  <w:color w:val="0000FF"/>
                  <w:sz w:val="22"/>
                  <w:szCs w:val="22"/>
                  <w:u w:val="single"/>
                  <w:lang w:val="sl-SI" w:eastAsia="sl-SI"/>
                </w:rPr>
                <w:t>)</w:t>
              </w:r>
            </w:hyperlink>
          </w:p>
        </w:tc>
      </w:tr>
      <w:tr w:rsidR="007954A8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lastRenderedPageBreak/>
              <w:t>Projekcije emisij po združeni NFR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2213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7954A8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SO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NO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X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NH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3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NMVOC, PM</w:t>
                  </w:r>
                  <w:r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2,5</w:t>
                  </w: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 in, če je na voljo, BC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Vsaki dve leti za leta projekcij 2020, 2025, 2030 ter, če so na voljo, za leti 2040 in 2050</w:t>
            </w:r>
          </w:p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od leta 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15. marec</w:t>
            </w:r>
          </w:p>
        </w:tc>
      </w:tr>
    </w:tbl>
    <w:p w:rsidR="007954A8" w:rsidRPr="009A4E52" w:rsidRDefault="007954A8" w:rsidP="007954A8">
      <w:pPr>
        <w:spacing w:line="240" w:lineRule="auto"/>
        <w:rPr>
          <w:rFonts w:ascii="inherit" w:hAnsi="inherit"/>
          <w:color w:val="000000"/>
          <w:sz w:val="24"/>
          <w:lang w:val="sl-SI" w:eastAsia="sl-SI"/>
        </w:rPr>
      </w:pPr>
    </w:p>
    <w:p w:rsidR="007954A8" w:rsidRPr="009A4E52" w:rsidRDefault="007954A8" w:rsidP="007954A8">
      <w:pPr>
        <w:spacing w:line="240" w:lineRule="auto"/>
        <w:jc w:val="center"/>
        <w:rPr>
          <w:rFonts w:cs="Arial"/>
          <w:i/>
          <w:iCs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i/>
          <w:iCs/>
          <w:color w:val="000000"/>
          <w:sz w:val="22"/>
          <w:szCs w:val="22"/>
          <w:lang w:val="sl-SI" w:eastAsia="sl-SI"/>
        </w:rPr>
        <w:t>Tabela D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A4E52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A4E52">
        <w:rPr>
          <w:rFonts w:cs="Arial"/>
          <w:b/>
          <w:bCs/>
          <w:color w:val="000000"/>
          <w:sz w:val="22"/>
          <w:szCs w:val="22"/>
          <w:lang w:val="sl-SI" w:eastAsia="sl-SI"/>
        </w:rPr>
        <w:t>Zahteve glede letnega poročanja o informativnem poročilu o evidencah iz četrtega odstavka 7. člena te uredbe </w:t>
      </w:r>
    </w:p>
    <w:p w:rsidR="007954A8" w:rsidRPr="009A4E52" w:rsidRDefault="007954A8" w:rsidP="007954A8">
      <w:pPr>
        <w:spacing w:line="240" w:lineRule="auto"/>
        <w:jc w:val="center"/>
        <w:rPr>
          <w:rFonts w:cs="Arial"/>
          <w:color w:val="000000"/>
          <w:sz w:val="22"/>
          <w:szCs w:val="22"/>
          <w:lang w:val="sl-SI" w:eastAsia="sl-SI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868"/>
        <w:gridCol w:w="1826"/>
        <w:gridCol w:w="1225"/>
      </w:tblGrid>
      <w:tr w:rsidR="00107EBE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107EBE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Poročilo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Onesnaževala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Časovni okvir/ciljna leta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Datumi poročanja</w:t>
            </w:r>
          </w:p>
        </w:tc>
      </w:tr>
      <w:tr w:rsidR="00107EBE" w:rsidRPr="009A4E52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Informativno poročilo o evidencah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3715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107EBE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SO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NO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X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NMVOC, NH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3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CO, PM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2,5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PM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vertAlign w:val="subscript"/>
                      <w:lang w:val="sl-SI" w:eastAsia="sl-SI"/>
                    </w:rPr>
                    <w:t>10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"/>
              <w:gridCol w:w="3695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107EBE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težke kovine (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Cd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Hg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Pb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) in BC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3715"/>
            </w:tblGrid>
            <w:tr w:rsidR="007954A8" w:rsidRPr="00051727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107EBE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POP (skupni PAH,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benzo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(a)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piren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benzo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(b)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fluoranten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benzo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(k)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fluoranten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indeno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(1,2,3-cd)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piren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dioksini/furani, PCB, HCB)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vanish/>
                <w:sz w:val="22"/>
                <w:szCs w:val="22"/>
                <w:lang w:val="sl-SI" w:eastAsia="sl-S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"/>
              <w:gridCol w:w="3715"/>
            </w:tblGrid>
            <w:tr w:rsidR="007954A8" w:rsidRPr="009A4E52" w:rsidTr="005230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954A8" w:rsidRPr="009A4E52" w:rsidRDefault="00051727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–</w:t>
                  </w:r>
                </w:p>
              </w:tc>
              <w:tc>
                <w:tcPr>
                  <w:tcW w:w="0" w:type="auto"/>
                  <w:hideMark/>
                </w:tcPr>
                <w:p w:rsidR="007954A8" w:rsidRPr="009A4E52" w:rsidRDefault="00107EBE" w:rsidP="007954A8">
                  <w:pPr>
                    <w:spacing w:line="240" w:lineRule="auto"/>
                    <w:jc w:val="both"/>
                    <w:rPr>
                      <w:rFonts w:cs="Arial"/>
                      <w:sz w:val="22"/>
                      <w:szCs w:val="22"/>
                      <w:lang w:val="sl-SI" w:eastAsia="sl-SI"/>
                    </w:rPr>
                  </w:pPr>
                  <w:r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 č</w:t>
                  </w:r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e je na voljo, težke kovine (As,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Cr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 xml:space="preserve">, </w:t>
                  </w:r>
                  <w:proofErr w:type="spellStart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Cu</w:t>
                  </w:r>
                  <w:proofErr w:type="spellEnd"/>
                  <w:r w:rsidR="007954A8" w:rsidRPr="009A4E52">
                    <w:rPr>
                      <w:rFonts w:cs="Arial"/>
                      <w:sz w:val="22"/>
                      <w:szCs w:val="22"/>
                      <w:lang w:val="sl-SI" w:eastAsia="sl-SI"/>
                    </w:rPr>
                    <w:t>, Ni, Se in Zn ter njihove spojine) in TSP</w:t>
                  </w:r>
                </w:p>
              </w:tc>
            </w:tr>
          </w:tbl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Vsako leto</w:t>
            </w:r>
          </w:p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 xml:space="preserve">(kakor je prikazano v </w:t>
            </w:r>
            <w:r w:rsidR="00107EBE" w:rsidRPr="009A4E52">
              <w:rPr>
                <w:rFonts w:cs="Arial"/>
                <w:sz w:val="22"/>
                <w:szCs w:val="22"/>
                <w:lang w:val="sl-SI" w:eastAsia="sl-SI"/>
              </w:rPr>
              <w:t>preglednicah</w:t>
            </w:r>
            <w:r w:rsidRPr="009A4E52">
              <w:rPr>
                <w:rFonts w:cs="Arial"/>
                <w:sz w:val="22"/>
                <w:szCs w:val="22"/>
                <w:lang w:val="sl-SI" w:eastAsia="sl-SI"/>
              </w:rPr>
              <w:t xml:space="preserve"> A</w:t>
            </w:r>
            <w:r w:rsidR="00107EBE" w:rsidRPr="009A4E52">
              <w:rPr>
                <w:rFonts w:cs="Arial"/>
                <w:sz w:val="22"/>
                <w:szCs w:val="22"/>
                <w:lang w:val="sl-SI" w:eastAsia="sl-SI"/>
              </w:rPr>
              <w:t>,</w:t>
            </w:r>
            <w:r w:rsidRPr="009A4E52">
              <w:rPr>
                <w:rFonts w:cs="Arial"/>
                <w:sz w:val="22"/>
                <w:szCs w:val="22"/>
                <w:lang w:val="sl-SI" w:eastAsia="sl-SI"/>
              </w:rPr>
              <w:t>B</w:t>
            </w:r>
            <w:r w:rsidR="00107EBE" w:rsidRPr="009A4E52">
              <w:rPr>
                <w:rFonts w:cs="Arial"/>
                <w:sz w:val="22"/>
                <w:szCs w:val="22"/>
                <w:lang w:val="sl-SI" w:eastAsia="sl-SI"/>
              </w:rPr>
              <w:t xml:space="preserve"> in </w:t>
            </w:r>
            <w:r w:rsidRPr="009A4E52">
              <w:rPr>
                <w:rFonts w:cs="Arial"/>
                <w:sz w:val="22"/>
                <w:szCs w:val="22"/>
                <w:lang w:val="sl-SI" w:eastAsia="sl-SI"/>
              </w:rPr>
              <w:t>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A4E52" w:rsidRDefault="007954A8" w:rsidP="007954A8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9A4E52">
              <w:rPr>
                <w:rFonts w:cs="Arial"/>
                <w:sz w:val="22"/>
                <w:szCs w:val="22"/>
                <w:lang w:val="sl-SI" w:eastAsia="sl-SI"/>
              </w:rPr>
              <w:t>15. marec</w:t>
            </w:r>
          </w:p>
        </w:tc>
      </w:tr>
    </w:tbl>
    <w:p w:rsidR="007954A8" w:rsidRPr="009A4E52" w:rsidRDefault="00AE66CA" w:rsidP="007954A8">
      <w:pPr>
        <w:spacing w:line="240" w:lineRule="auto"/>
        <w:rPr>
          <w:rFonts w:cs="Arial"/>
          <w:color w:val="000000"/>
          <w:sz w:val="18"/>
          <w:szCs w:val="18"/>
          <w:lang w:val="sl-SI" w:eastAsia="sl-SI"/>
        </w:rPr>
      </w:pPr>
      <w:r>
        <w:rPr>
          <w:rFonts w:cs="Arial"/>
          <w:color w:val="000000"/>
          <w:sz w:val="18"/>
          <w:szCs w:val="18"/>
          <w:lang w:val="sl-SI" w:eastAsia="sl-SI"/>
        </w:rPr>
        <w:pict>
          <v:rect id="_x0000_i1025" style="width:241.65pt;height:.75pt" o:hrpct="0" o:hrstd="t" o:hrnoshade="t" o:hr="t" fillcolor="black" stroked="f"/>
        </w:pic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17" w:anchor="ntc1-L_2016344SL.01001701-E0001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1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Nomenklatura za poročanje (NFR), kot je določena v Konvenciji LRTAP.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18" w:anchor="ntc2-L_2016344SL.01001701-E0002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2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Naravne emisije se sporočajo v skladu z metodologijami, določenimi v Konvenciji LRTAP in priročniku EMEP/EEA o evidencah emisij onesnaževal zraka. Ne vključijo se v skupne nacionalne vsote, sporočajo se ločeno.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19" w:anchor="ntc3-L_2016344SL.01001701-E0003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3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</w:t>
      </w:r>
      <w:proofErr w:type="spellStart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Cd</w:t>
      </w:r>
      <w:proofErr w:type="spellEnd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 xml:space="preserve"> (kadmij), </w:t>
      </w:r>
      <w:proofErr w:type="spellStart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Hg</w:t>
      </w:r>
      <w:proofErr w:type="spellEnd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 xml:space="preserve"> (živo srebro), </w:t>
      </w:r>
      <w:proofErr w:type="spellStart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Pb</w:t>
      </w:r>
      <w:proofErr w:type="spellEnd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 xml:space="preserve"> (svinec).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0" w:anchor="ntc4-L_2016344SL.01001701-E0004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4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POP (obstojna organska onesnaževala).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1" w:anchor="ntc5-L_2016344SL.01001701-E0005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5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PAH (policiklični aromatski ogljikovodiki).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2" w:anchor="ntc6-L_2016344SL.01001701-E0006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6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PCB (poliklorirani bifenili).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3" w:anchor="ntc7-L_2016344SL.01001701-E0007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7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HCB (</w:t>
      </w:r>
      <w:proofErr w:type="spellStart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heksaklorobenzen</w:t>
      </w:r>
      <w:proofErr w:type="spellEnd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4" w:anchor="ntc8-L_2016344SL.01001701-E0008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8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„PM</w:t>
      </w:r>
      <w:r w:rsidR="007954A8" w:rsidRPr="009A4E52">
        <w:rPr>
          <w:rFonts w:cs="Arial"/>
          <w:color w:val="000000"/>
          <w:sz w:val="18"/>
          <w:szCs w:val="18"/>
          <w:vertAlign w:val="subscript"/>
          <w:lang w:val="sl-SI" w:eastAsia="sl-SI"/>
        </w:rPr>
        <w:t>10</w:t>
      </w:r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“ pomeni delce z aerodinamičnim premerom 10 mikrometrov (μm) ali manj.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5" w:anchor="ntc9-L_2016344SL.01001701-E0009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9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Ponovne predložitve zaradi napak se opravijo najpozneje v štirih tednih in vključujejo jasno razlago sprememb.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6" w:anchor="ntc10-L_2016344SL.01001701-E0010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10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Naravne emisije se sporočajo v skladu z metodologijami, določenimi v Konvenciji LRTAP in priročniku EMEP/EEA o evidencah emisij onesnaževal zraka. Ne vključijo se v skupne nacionalne vsote, sporočajo se ločeno.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7" w:anchor="ntc11-L_2016344SL.01001701-E0011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11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 xml:space="preserve">  As (arzen), </w:t>
      </w:r>
      <w:proofErr w:type="spellStart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Cr</w:t>
      </w:r>
      <w:proofErr w:type="spellEnd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 xml:space="preserve"> (krom), </w:t>
      </w:r>
      <w:proofErr w:type="spellStart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Cu</w:t>
      </w:r>
      <w:proofErr w:type="spellEnd"/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 xml:space="preserve"> (baker), Ni (nikelj), Se (selen)</w:t>
      </w:r>
      <w:r w:rsidR="001D0E53">
        <w:rPr>
          <w:rFonts w:cs="Arial"/>
          <w:color w:val="000000"/>
          <w:sz w:val="18"/>
          <w:szCs w:val="18"/>
          <w:lang w:val="sl-SI" w:eastAsia="sl-SI"/>
        </w:rPr>
        <w:t xml:space="preserve">, </w:t>
      </w:r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Zn (cink).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8" w:anchor="ntc12-L_2016344SL.01001701-E0012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12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TSP (celotni prah).</w:t>
      </w:r>
    </w:p>
    <w:p w:rsidR="007954A8" w:rsidRPr="009A4E52" w:rsidRDefault="00AE66CA" w:rsidP="007954A8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hyperlink r:id="rId29" w:anchor="ntc13-L_2016344SL.01001701-E0013" w:history="1"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(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vertAlign w:val="superscript"/>
            <w:lang w:val="sl-SI" w:eastAsia="sl-SI"/>
          </w:rPr>
          <w:t>13</w:t>
        </w:r>
        <w:r w:rsidR="007954A8" w:rsidRPr="009A4E52">
          <w:rPr>
            <w:rFonts w:cs="Arial"/>
            <w:color w:val="0000FF"/>
            <w:sz w:val="18"/>
            <w:szCs w:val="18"/>
            <w:u w:val="single"/>
            <w:lang w:val="sl-SI" w:eastAsia="sl-SI"/>
          </w:rPr>
          <w:t>)</w:t>
        </w:r>
      </w:hyperlink>
      <w:r w:rsidR="007954A8" w:rsidRPr="009A4E52">
        <w:rPr>
          <w:rFonts w:cs="Arial"/>
          <w:color w:val="000000"/>
          <w:sz w:val="18"/>
          <w:szCs w:val="18"/>
          <w:lang w:val="sl-SI" w:eastAsia="sl-SI"/>
        </w:rPr>
        <w:t>  Ponovne predložitve zaradi napak se opravijo v štirih tednih in vključujejo jasno razlago sprememb.</w:t>
      </w:r>
    </w:p>
    <w:p w:rsidR="007954A8" w:rsidRPr="009A4E52" w:rsidRDefault="00AE66CA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  <w:r>
        <w:rPr>
          <w:rFonts w:ascii="Times New Roman" w:hAnsi="Times New Roman"/>
          <w:sz w:val="24"/>
          <w:lang w:val="sl-SI" w:eastAsia="sl-SI"/>
        </w:rPr>
        <w:pict>
          <v:rect id="_x0000_i1026" style="width:120.8pt;height:.75pt" o:hrpct="0" o:hralign="center" o:hrstd="t" o:hrnoshade="t" o:hr="t" fillcolor="black" stroked="f"/>
        </w:pict>
      </w: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br/>
      </w: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br w:type="page"/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lastRenderedPageBreak/>
        <w:t>PRILOGA 2</w:t>
      </w: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ind w:firstLine="284"/>
        <w:jc w:val="both"/>
        <w:textAlignment w:val="baseline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ind w:firstLine="284"/>
        <w:jc w:val="center"/>
        <w:textAlignment w:val="baseline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NACIONALNE OBVEZNOSTI ZMANJŠANJA EMISIJ</w:t>
      </w: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i/>
          <w:iCs/>
          <w:color w:val="000000"/>
          <w:sz w:val="22"/>
          <w:szCs w:val="22"/>
          <w:lang w:val="sl-SI" w:eastAsia="sl-SI"/>
        </w:rPr>
      </w:pPr>
    </w:p>
    <w:p w:rsidR="007954A8" w:rsidRPr="009134F3" w:rsidRDefault="007A7B46" w:rsidP="007954A8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i/>
          <w:iCs/>
          <w:color w:val="000000"/>
          <w:sz w:val="22"/>
          <w:szCs w:val="22"/>
          <w:lang w:val="sl-SI" w:eastAsia="sl-SI"/>
        </w:rPr>
        <w:t>Preglednica</w:t>
      </w:r>
      <w:r w:rsidR="007954A8" w:rsidRPr="009134F3">
        <w:rPr>
          <w:rFonts w:cs="Arial"/>
          <w:b/>
          <w:i/>
          <w:iCs/>
          <w:color w:val="000000"/>
          <w:sz w:val="22"/>
          <w:szCs w:val="22"/>
          <w:lang w:val="sl-SI" w:eastAsia="sl-SI"/>
        </w:rPr>
        <w:t xml:space="preserve"> A</w:t>
      </w: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Obveznosti zmanjšanja emisij za žveplov dioksid (SO</w:t>
      </w:r>
      <w:r w:rsidRPr="009134F3">
        <w:rPr>
          <w:rFonts w:cs="Arial"/>
          <w:color w:val="000000"/>
          <w:sz w:val="22"/>
          <w:szCs w:val="22"/>
          <w:vertAlign w:val="subscript"/>
          <w:lang w:val="sl-SI" w:eastAsia="sl-SI"/>
        </w:rPr>
        <w:t>2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), dušikove okside (</w:t>
      </w:r>
      <w:proofErr w:type="spellStart"/>
      <w:r w:rsidRPr="009134F3">
        <w:rPr>
          <w:rFonts w:cs="Arial"/>
          <w:color w:val="000000"/>
          <w:sz w:val="22"/>
          <w:szCs w:val="22"/>
          <w:lang w:val="sl-SI" w:eastAsia="sl-SI"/>
        </w:rPr>
        <w:t>NO</w:t>
      </w:r>
      <w:r w:rsidRPr="009134F3">
        <w:rPr>
          <w:rFonts w:cs="Arial"/>
          <w:color w:val="000000"/>
          <w:sz w:val="22"/>
          <w:szCs w:val="22"/>
          <w:vertAlign w:val="subscript"/>
          <w:lang w:val="sl-SI" w:eastAsia="sl-SI"/>
        </w:rPr>
        <w:t>x</w:t>
      </w:r>
      <w:proofErr w:type="spellEnd"/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) in </w:t>
      </w:r>
      <w:proofErr w:type="spellStart"/>
      <w:r w:rsidRPr="009134F3">
        <w:rPr>
          <w:rFonts w:cs="Arial"/>
          <w:color w:val="000000"/>
          <w:sz w:val="22"/>
          <w:szCs w:val="22"/>
          <w:lang w:val="sl-SI" w:eastAsia="sl-SI"/>
        </w:rPr>
        <w:t>nemetanske</w:t>
      </w:r>
      <w:proofErr w:type="spellEnd"/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hlapne organske spojine (NMVOC). </w:t>
      </w:r>
      <w:r w:rsidR="007A7B46" w:rsidRPr="009134F3">
        <w:rPr>
          <w:rFonts w:cs="Arial"/>
          <w:color w:val="000000"/>
          <w:sz w:val="22"/>
          <w:szCs w:val="22"/>
          <w:lang w:val="sl-SI" w:eastAsia="sl-SI"/>
        </w:rPr>
        <w:t>Za 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bveznosti zmanjšanja emisij </w:t>
      </w:r>
      <w:r w:rsidR="007A7B46" w:rsidRPr="009134F3">
        <w:rPr>
          <w:rFonts w:cs="Arial"/>
          <w:color w:val="000000"/>
          <w:sz w:val="22"/>
          <w:szCs w:val="22"/>
          <w:lang w:val="sl-SI" w:eastAsia="sl-SI"/>
        </w:rPr>
        <w:t xml:space="preserve">je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leto 2005 izhodiščno leto in za cestni promet veljajo za emisije, izračunane na podlagi prodanih goriv.</w:t>
      </w:r>
    </w:p>
    <w:p w:rsidR="007954A8" w:rsidRPr="009134F3" w:rsidRDefault="007954A8" w:rsidP="007954A8">
      <w:pPr>
        <w:spacing w:line="240" w:lineRule="auto"/>
        <w:rPr>
          <w:rFonts w:ascii="inherit" w:hAnsi="inherit"/>
          <w:color w:val="000000"/>
          <w:sz w:val="24"/>
          <w:lang w:val="sl-SI" w:eastAsia="sl-SI"/>
        </w:rPr>
      </w:pPr>
    </w:p>
    <w:tbl>
      <w:tblPr>
        <w:tblW w:w="4452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92"/>
        <w:gridCol w:w="1161"/>
        <w:gridCol w:w="1278"/>
        <w:gridCol w:w="92"/>
        <w:gridCol w:w="1161"/>
        <w:gridCol w:w="1278"/>
        <w:gridCol w:w="92"/>
        <w:gridCol w:w="1161"/>
      </w:tblGrid>
      <w:tr w:rsidR="007954A8" w:rsidRPr="00051727" w:rsidTr="0052303B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Zmanjšanje SO</w:t>
            </w:r>
            <w:r w:rsidRPr="009134F3">
              <w:rPr>
                <w:rFonts w:cs="Arial"/>
                <w:b/>
                <w:bCs/>
                <w:sz w:val="22"/>
                <w:szCs w:val="22"/>
                <w:vertAlign w:val="subscript"/>
                <w:lang w:val="sl-SI" w:eastAsia="sl-SI"/>
              </w:rPr>
              <w:t>2</w:t>
            </w: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 v primerjavi z letom 2005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 xml:space="preserve">Zmanjšanje </w:t>
            </w:r>
            <w:proofErr w:type="spellStart"/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NO</w:t>
            </w:r>
            <w:r w:rsidRPr="009134F3">
              <w:rPr>
                <w:rFonts w:cs="Arial"/>
                <w:b/>
                <w:bCs/>
                <w:sz w:val="22"/>
                <w:szCs w:val="22"/>
                <w:vertAlign w:val="subscript"/>
                <w:lang w:val="sl-SI" w:eastAsia="sl-SI"/>
              </w:rPr>
              <w:t>x</w:t>
            </w:r>
            <w:proofErr w:type="spellEnd"/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 v primerjavi z letom 2005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Zmanjšanje NMVOC v primerjavi z letom 2005</w:t>
            </w:r>
          </w:p>
        </w:tc>
      </w:tr>
      <w:tr w:rsidR="007954A8" w:rsidRPr="00051727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2020 do leta 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2020 do leta 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2020 do leta 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2030</w:t>
            </w:r>
          </w:p>
        </w:tc>
      </w:tr>
      <w:tr w:rsidR="007954A8" w:rsidRPr="009134F3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63 %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92 %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39 %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65 %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23 %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53 %</w:t>
            </w:r>
          </w:p>
        </w:tc>
      </w:tr>
    </w:tbl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i/>
          <w:sz w:val="22"/>
          <w:szCs w:val="22"/>
          <w:lang w:val="sl-SI"/>
        </w:rPr>
      </w:pPr>
    </w:p>
    <w:p w:rsidR="007954A8" w:rsidRPr="009134F3" w:rsidRDefault="000E209D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  <w:i/>
          <w:sz w:val="22"/>
          <w:szCs w:val="22"/>
          <w:lang w:val="sl-SI"/>
        </w:rPr>
      </w:pPr>
      <w:r w:rsidRPr="009134F3">
        <w:rPr>
          <w:b/>
          <w:i/>
          <w:sz w:val="22"/>
          <w:szCs w:val="22"/>
          <w:lang w:val="sl-SI"/>
        </w:rPr>
        <w:t>Preglednica</w:t>
      </w:r>
      <w:r w:rsidR="007954A8" w:rsidRPr="009134F3">
        <w:rPr>
          <w:b/>
          <w:i/>
          <w:sz w:val="22"/>
          <w:szCs w:val="22"/>
          <w:lang w:val="sl-SI"/>
        </w:rPr>
        <w:t xml:space="preserve"> B</w:t>
      </w: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Cs/>
          <w:sz w:val="22"/>
          <w:szCs w:val="22"/>
          <w:lang w:val="sl-SI"/>
        </w:rPr>
      </w:pPr>
      <w:r w:rsidRPr="009134F3">
        <w:rPr>
          <w:bCs/>
          <w:sz w:val="22"/>
          <w:szCs w:val="22"/>
          <w:lang w:val="sl-SI"/>
        </w:rPr>
        <w:t xml:space="preserve">Obveznosti zmanjšanja emisij za amonijak (NH3) in drobne delce (PM2,5). </w:t>
      </w:r>
      <w:r w:rsidR="000E209D" w:rsidRPr="009134F3">
        <w:rPr>
          <w:bCs/>
          <w:sz w:val="22"/>
          <w:szCs w:val="22"/>
          <w:lang w:val="sl-SI"/>
        </w:rPr>
        <w:t>Za o</w:t>
      </w:r>
      <w:r w:rsidRPr="009134F3">
        <w:rPr>
          <w:bCs/>
          <w:sz w:val="22"/>
          <w:szCs w:val="22"/>
          <w:lang w:val="sl-SI"/>
        </w:rPr>
        <w:t xml:space="preserve">bveznosti zmanjšanja emisij </w:t>
      </w:r>
      <w:r w:rsidR="000E209D" w:rsidRPr="009134F3">
        <w:rPr>
          <w:bCs/>
          <w:sz w:val="22"/>
          <w:szCs w:val="22"/>
          <w:lang w:val="sl-SI"/>
        </w:rPr>
        <w:t>je</w:t>
      </w:r>
      <w:r w:rsidRPr="009134F3">
        <w:rPr>
          <w:bCs/>
          <w:sz w:val="22"/>
          <w:szCs w:val="22"/>
          <w:lang w:val="sl-SI"/>
        </w:rPr>
        <w:t xml:space="preserve"> leto 2005 izhodiščno leto in za cestni promet veljajo za emisije, izračunane na podlagi prodanih goriv.</w:t>
      </w: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tbl>
      <w:tblPr>
        <w:tblW w:w="4375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92"/>
        <w:gridCol w:w="1625"/>
        <w:gridCol w:w="2014"/>
        <w:gridCol w:w="92"/>
        <w:gridCol w:w="1625"/>
      </w:tblGrid>
      <w:tr w:rsidR="007954A8" w:rsidRPr="00051727" w:rsidTr="0052303B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Zmanjšanje NH</w:t>
            </w:r>
            <w:r w:rsidRPr="009134F3">
              <w:rPr>
                <w:rFonts w:cs="Arial"/>
                <w:b/>
                <w:bCs/>
                <w:sz w:val="22"/>
                <w:szCs w:val="22"/>
                <w:vertAlign w:val="subscript"/>
                <w:lang w:val="sl-SI" w:eastAsia="sl-SI"/>
              </w:rPr>
              <w:t>3</w:t>
            </w: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 v primerjavi z letom 2005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Zmanjšanje PM</w:t>
            </w:r>
            <w:r w:rsidRPr="009134F3">
              <w:rPr>
                <w:rFonts w:cs="Arial"/>
                <w:b/>
                <w:bCs/>
                <w:sz w:val="22"/>
                <w:szCs w:val="22"/>
                <w:vertAlign w:val="subscript"/>
                <w:lang w:val="sl-SI" w:eastAsia="sl-SI"/>
              </w:rPr>
              <w:t>2,5</w:t>
            </w: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 v primerjavi z letom 2005</w:t>
            </w:r>
          </w:p>
        </w:tc>
      </w:tr>
      <w:tr w:rsidR="007954A8" w:rsidRPr="00051727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2020 do leta 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2020 do leta 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54A8" w:rsidRPr="009134F3" w:rsidRDefault="007954A8" w:rsidP="007954A8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sl-SI" w:eastAsia="sl-SI"/>
              </w:rPr>
            </w:pPr>
            <w:r w:rsidRPr="009134F3">
              <w:rPr>
                <w:rFonts w:cs="Arial"/>
                <w:b/>
                <w:bCs/>
                <w:sz w:val="22"/>
                <w:szCs w:val="22"/>
                <w:lang w:val="sl-SI" w:eastAsia="sl-SI"/>
              </w:rPr>
              <w:t>Za katero koli leto od leta 2030</w:t>
            </w:r>
          </w:p>
        </w:tc>
      </w:tr>
      <w:tr w:rsidR="007954A8" w:rsidRPr="009134F3" w:rsidTr="005230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2"/>
                <w:szCs w:val="16"/>
                <w:lang w:val="sl-SI" w:eastAsia="sl-SI"/>
              </w:rPr>
            </w:pPr>
            <w:r w:rsidRPr="009134F3">
              <w:rPr>
                <w:sz w:val="22"/>
                <w:szCs w:val="16"/>
                <w:lang w:val="sl-SI" w:eastAsia="sl-SI"/>
              </w:rPr>
              <w:t>1 %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2"/>
                <w:szCs w:val="16"/>
                <w:lang w:val="sl-SI" w:eastAsia="sl-SI"/>
              </w:rPr>
            </w:pPr>
            <w:r w:rsidRPr="009134F3">
              <w:rPr>
                <w:sz w:val="22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2"/>
                <w:szCs w:val="16"/>
                <w:lang w:val="sl-SI" w:eastAsia="sl-SI"/>
              </w:rPr>
            </w:pPr>
            <w:r w:rsidRPr="009134F3">
              <w:rPr>
                <w:sz w:val="22"/>
                <w:szCs w:val="16"/>
                <w:lang w:val="sl-SI" w:eastAsia="sl-SI"/>
              </w:rPr>
              <w:t>15 %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2"/>
                <w:szCs w:val="16"/>
                <w:lang w:val="sl-SI" w:eastAsia="sl-SI"/>
              </w:rPr>
            </w:pPr>
            <w:r w:rsidRPr="009134F3">
              <w:rPr>
                <w:sz w:val="22"/>
                <w:szCs w:val="16"/>
                <w:lang w:val="sl-SI" w:eastAsia="sl-SI"/>
              </w:rPr>
              <w:t>25 %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2"/>
                <w:szCs w:val="16"/>
                <w:lang w:val="sl-SI" w:eastAsia="sl-SI"/>
              </w:rPr>
            </w:pPr>
            <w:r w:rsidRPr="009134F3">
              <w:rPr>
                <w:sz w:val="22"/>
                <w:szCs w:val="16"/>
                <w:lang w:val="sl-SI"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4A8" w:rsidRPr="009134F3" w:rsidRDefault="007954A8" w:rsidP="007954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sz w:val="22"/>
                <w:szCs w:val="16"/>
                <w:lang w:val="sl-SI" w:eastAsia="sl-SI"/>
              </w:rPr>
            </w:pPr>
            <w:r w:rsidRPr="009134F3">
              <w:rPr>
                <w:sz w:val="22"/>
                <w:szCs w:val="16"/>
                <w:lang w:val="sl-SI" w:eastAsia="sl-SI"/>
              </w:rPr>
              <w:t>60 %</w:t>
            </w:r>
          </w:p>
        </w:tc>
      </w:tr>
    </w:tbl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br w:type="page"/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lastRenderedPageBreak/>
        <w:t>PRILOGA 3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METODOLOGIJE ZA PRIPRAVO IN POSODABLJANJE NACIONALNIH EVIDENC IN PROJEKCIJ EMISIJ, INFORMATIVNIH POROČIL O EVIDENCAH TER PRILAGOJENIH NACIONALNIH EVIDENC EMISIJ 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Za onesnaževala iz priloge 1</w:t>
      </w:r>
      <w:r w:rsidR="00B65F5D" w:rsidRPr="009134F3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te uredbe </w:t>
      </w:r>
      <w:r w:rsidR="00E1719D" w:rsidRPr="009134F3">
        <w:rPr>
          <w:rFonts w:cs="Arial"/>
          <w:color w:val="000000"/>
          <w:sz w:val="22"/>
          <w:szCs w:val="22"/>
          <w:lang w:val="sl-SI" w:eastAsia="sl-SI"/>
        </w:rPr>
        <w:t xml:space="preserve">ministrstvo v sodelovanju z drugimi pristojnimi ministrstvi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pripravi nacionalne evidence emisij, prilagojene nacionalne evidence emisij, če je to ustrezno, nacionalne projekcije emisij, prostorsko razčlenjene nacionalne evidence emisij, evidence velikih točkovnih virov in informativna poročila o evidencah z uporabo metodologij, ki so jih sprejele pogodbenice Konvencije LRTAP (v nadaljnjem besedilu: smernice za poročanje v okviru EMEP), od njih pa se zahteva tudi uporaba priročnika EMEP/EEA o evidencah emisij onesnaževal zraka (v nadaljnjem besedilu: priročnik EMEP/EEA), navedenega v Konvenciji</w:t>
      </w:r>
      <w:r w:rsidR="00E1719D" w:rsidRPr="009134F3">
        <w:rPr>
          <w:rFonts w:cs="Arial"/>
          <w:color w:val="000000"/>
          <w:sz w:val="22"/>
          <w:szCs w:val="22"/>
          <w:lang w:val="sl-SI" w:eastAsia="sl-SI"/>
        </w:rPr>
        <w:t xml:space="preserve"> LRTAP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. Poleg tega se dodatne informacije, zlasti podatki o dejavnosti naprav, ki so potrebne za oceno nacionalnih evidenc in projekcij emisij, pripravijo v skladu z istimi smernicami.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Zanašanje na smernice za poročanje v okviru EMEP ne posega v dodatne pogoje, določene v tej prilogi, niti v zahteve v zvezi z nomenklaturo za poročanje, časovnimi okviri in datumi poročanja, določenimi v prilogi 1 te uredbe.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DEL 1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Nacionalne letne evidence emisij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1.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Nacionalne evidence emisij morajo biti pregledne, usklajene, primerljive, popolne in točne.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2.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Emisije iz določenih ključnih kategorij se izračunajo v skladu z metodologijami, določenimi v priročniku EMEP/EEA, pri čemer se uporabi metodologija stopnje 2 ali višja (podrobnejša) metodologija.</w:t>
      </w:r>
    </w:p>
    <w:p w:rsidR="007954A8" w:rsidRPr="009134F3" w:rsidRDefault="007954A8" w:rsidP="001D0E53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Lahko se uporablja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druge znanstveno utemeljene in združljive metodologije za vzpostavitev nacionalnih evidenc emisij, kadar te metodologije zagotavljajo 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natančnejše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ocene od privzetih metodologij iz priročnika EMEP/EEA.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3.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Emisije iz prometa se izračuna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in sporoči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v skladu z nacionalnimi energetskimi bilancami, sporočenimi Eurostatu.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4.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 xml:space="preserve">Emisije iz cestnega prometa se izračunajo in sporočijo na podlagi goriv, prodanih v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Republiki Sloveniji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. Poleg tega se lahko sporočijo tudi emisije iz cestnega prometa na podlagi porabljenih goriv ali prevoženih kilometrov v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Republiki Sloveniji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5.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Letne emisije v Republiki Sloveniji se sporoča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izražene v veljavni enoti, 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določeni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v </w:t>
      </w:r>
      <w:r w:rsidR="00A06C82" w:rsidRPr="009134F3">
        <w:rPr>
          <w:rFonts w:cs="Arial"/>
          <w:color w:val="000000"/>
          <w:sz w:val="22"/>
          <w:szCs w:val="22"/>
          <w:lang w:val="sl-SI" w:eastAsia="sl-SI"/>
        </w:rPr>
        <w:t>vzorcu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NFR za poročanje iz Konvencije LRTAP.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DEL 2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Nacionalne projekcije emisij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1.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Nacionalne projekcije emisij so pregledne, usklajene, primerljive, popolne in točne. Ministrstvo v poročanje vključi vsaj naslednje informacije:</w:t>
      </w:r>
    </w:p>
    <w:p w:rsidR="007954A8" w:rsidRPr="009134F3" w:rsidRDefault="007954A8" w:rsidP="001D0E5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lastRenderedPageBreak/>
        <w:t>jasno opredelitev sprejetih in načrtovanih politik ter ukrepov, vključenih v projekcije;</w:t>
      </w:r>
    </w:p>
    <w:p w:rsidR="007954A8" w:rsidRPr="009134F3" w:rsidRDefault="007954A8" w:rsidP="001D0E5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po potrebi rezultate analize občutljivosti, izvedene za projekcije;</w:t>
      </w:r>
    </w:p>
    <w:p w:rsidR="007954A8" w:rsidRPr="009134F3" w:rsidRDefault="007954A8" w:rsidP="001D0E5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opise metodologij, modelov, temeljnih predpostavk ter ključnih vhodnih in izhodnih parametrov.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2.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 xml:space="preserve">Projekcije emisij se ocenijo in dodajo k zadevnim sektorjem, ki so viri onesnaževanja. Ministrstvo v skladu s smernicami, določenimi v priročniku EMEP/EEA, pripravi projekcije </w:t>
      </w:r>
      <w:r w:rsidR="001D0E53">
        <w:rPr>
          <w:rFonts w:cs="Arial"/>
          <w:color w:val="000000"/>
          <w:sz w:val="22"/>
          <w:szCs w:val="22"/>
          <w:lang w:val="sl-SI" w:eastAsia="sl-SI"/>
        </w:rPr>
        <w:t>»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z ukrepi</w:t>
      </w:r>
      <w:r w:rsidR="001D0E53">
        <w:rPr>
          <w:rFonts w:cs="Arial"/>
          <w:color w:val="000000"/>
          <w:sz w:val="22"/>
          <w:szCs w:val="22"/>
          <w:lang w:val="sl-SI" w:eastAsia="sl-SI"/>
        </w:rPr>
        <w:t>«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(sprejeti ukrepi) in po potrebi projekcije </w:t>
      </w:r>
      <w:r w:rsidR="001D0E53">
        <w:rPr>
          <w:rFonts w:cs="Arial"/>
          <w:color w:val="000000"/>
          <w:sz w:val="22"/>
          <w:szCs w:val="22"/>
          <w:lang w:val="sl-SI" w:eastAsia="sl-SI"/>
        </w:rPr>
        <w:t>»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z dodatnimi ukrepi</w:t>
      </w:r>
      <w:r w:rsidR="001D0E53">
        <w:rPr>
          <w:rFonts w:cs="Arial"/>
          <w:color w:val="000000"/>
          <w:sz w:val="22"/>
          <w:szCs w:val="22"/>
          <w:lang w:val="sl-SI" w:eastAsia="sl-SI"/>
        </w:rPr>
        <w:t>«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(načrtovani ukrepi) za vsako onesnaževalo.</w:t>
      </w: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1D0E53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3.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 xml:space="preserve">Nacionalne projekcije emisij so 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 xml:space="preserve">v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sklad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>u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z nacionalno letno evidenco emisij za leto x – 3 in s projekcijami, sporočenimi v skladu z Uredbo (EU) št. 525/2013 Evropskega parlamenta in Sveta z dne 21. maja 2013 o mehanizmu za spremljanje emisij toplogrednih plinov in poročanje o njih ter za sporočanje drugih informacij v zvezi s podnebnimi spremembami na nacionalni ravni in ravni Unije ter o razveljavitvi Sklepa št. 280/2004/ES (UL L št. 165 z dne 18.</w:t>
      </w:r>
      <w:r w:rsidR="001D0E53">
        <w:rPr>
          <w:rFonts w:cs="Arial"/>
          <w:color w:val="000000"/>
          <w:sz w:val="22"/>
          <w:szCs w:val="22"/>
          <w:lang w:val="sl-SI" w:eastAsia="sl-SI"/>
        </w:rPr>
        <w:t> 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6.</w:t>
      </w:r>
      <w:r w:rsidR="001D0E53">
        <w:rPr>
          <w:rFonts w:cs="Arial"/>
          <w:color w:val="000000"/>
          <w:sz w:val="22"/>
          <w:szCs w:val="22"/>
          <w:lang w:val="sl-SI" w:eastAsia="sl-SI"/>
        </w:rPr>
        <w:t> 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2013, str. 13). 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DEL 3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Informativno poročilo o evidencah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Informativna poročila o evidencah se pripravijo v skladu s smernicami za poročanje v okviru EMEP, sporočajo pa se z uporabo 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>vzorca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za poročila o evidencah, ki so v njih določene. 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Poročilo o evidencah vsebuje vsaj naslednje podatke: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opise, sklice in vire informacij posebnih metodologij, predpostavke, faktorje emisij in podatke o dejavnostih, pa tudi temeljna načela za njihovo izbiro;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opis nacionalnih ključnih vrst virov emisij;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informacije o negotovostih, zagotavljanju kakovosti in preverjanju;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opis institucionalnih ureditev za pripravo evidence;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ponovne izračune in načrtovane izboljšave;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če je to 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>ustrezno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, informacije o uporabi prilagoditev iz 5. člena te uredbe;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če je to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 xml:space="preserve"> ustrezno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, informacije o razlogih za odklon od krivulje zmanjševanja iz četrtega odstavka 4. člena te uredbe 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>in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ukrepe za ponovno približanje krivulji;</w:t>
      </w:r>
    </w:p>
    <w:p w:rsidR="007954A8" w:rsidRPr="009134F3" w:rsidRDefault="007954A8" w:rsidP="001D0E5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ind w:left="714" w:hanging="714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povzetek.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DEL 4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color w:val="000000"/>
          <w:sz w:val="22"/>
          <w:szCs w:val="22"/>
          <w:lang w:val="sl-SI" w:eastAsia="sl-SI"/>
        </w:rPr>
        <w:t>Prilagoditev nacionalnih evidenc emisij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1.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 xml:space="preserve">Ministrstvo v primeru iz prvega odstavka 5. člena te uredbe v predlog Evropski </w:t>
      </w:r>
      <w:r w:rsidR="00B7583C" w:rsidRPr="009134F3">
        <w:rPr>
          <w:rFonts w:cs="Arial"/>
          <w:color w:val="000000"/>
          <w:sz w:val="22"/>
          <w:szCs w:val="22"/>
          <w:lang w:val="sl-SI" w:eastAsia="sl-SI"/>
        </w:rPr>
        <w:t>k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omisiji vključi vsaj naslednja dokazila:</w:t>
      </w:r>
    </w:p>
    <w:p w:rsidR="007954A8" w:rsidRPr="009134F3" w:rsidRDefault="007954A8" w:rsidP="0028782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dokazilo, da je zadevna nacionalna obveznost zmanjšanja emisij presežena oziroma da so zadevne nacionalne obveznosti zmanjšanja emisij presežene;</w:t>
      </w:r>
    </w:p>
    <w:p w:rsidR="007954A8" w:rsidRPr="009134F3" w:rsidRDefault="007954A8" w:rsidP="0028782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dokazilo o obsegu, v katerem prilagoditev evidence emisij zmanjšuje preseganje in prispeva k izpolnjevanju zadevne nacionalne obveznosti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oziroma zadevnih nacionalnih obveznosti zmanjšanja emisij;</w:t>
      </w:r>
    </w:p>
    <w:p w:rsidR="007954A8" w:rsidRPr="009134F3" w:rsidRDefault="007954A8" w:rsidP="0028782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oceno, ali se pričakuje, da bo zadevna nacionalna obveznost oziroma da bodo zadevne nacionalne obveznosti zmanjšanja emisij izpolnjene in kdaj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lastRenderedPageBreak/>
        <w:t>naj bi bile izpolnjene, na podlagi nacionalnih projekcij emisij brez prilagoditve;</w:t>
      </w:r>
    </w:p>
    <w:p w:rsidR="007954A8" w:rsidRPr="009134F3" w:rsidRDefault="007954A8" w:rsidP="0028782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dokazilo, da je prilagoditev v skladu z 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okoliščino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ali več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 xml:space="preserve"> okoliščin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izmed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spodaj navedenih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treh. Po potrebi se je mogoče sklicevati tudi na ustrezne predhodne prilagoditve:</w:t>
      </w:r>
    </w:p>
    <w:p w:rsidR="007954A8" w:rsidRPr="009134F3" w:rsidRDefault="007954A8" w:rsidP="007954A8">
      <w:pPr>
        <w:spacing w:line="240" w:lineRule="auto"/>
        <w:ind w:left="360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28782B" w:rsidP="0028782B">
      <w:pPr>
        <w:spacing w:line="240" w:lineRule="auto"/>
        <w:ind w:left="1276" w:hanging="567"/>
        <w:jc w:val="both"/>
        <w:rPr>
          <w:rFonts w:cs="Arial"/>
          <w:color w:val="000000"/>
          <w:sz w:val="22"/>
          <w:szCs w:val="22"/>
          <w:lang w:val="sl-SI" w:eastAsia="sl-SI"/>
        </w:rPr>
      </w:pPr>
      <w:r>
        <w:rPr>
          <w:rFonts w:cs="Arial"/>
          <w:color w:val="000000"/>
          <w:sz w:val="22"/>
          <w:szCs w:val="22"/>
          <w:lang w:val="sl-SI" w:eastAsia="sl-SI"/>
        </w:rPr>
        <w:t>(i)</w:t>
      </w:r>
      <w:r>
        <w:rPr>
          <w:rFonts w:cs="Arial"/>
          <w:color w:val="000000"/>
          <w:sz w:val="22"/>
          <w:szCs w:val="22"/>
          <w:lang w:val="sl-SI" w:eastAsia="sl-SI"/>
        </w:rPr>
        <w:tab/>
      </w:r>
      <w:r w:rsidR="007954A8" w:rsidRPr="009134F3">
        <w:rPr>
          <w:rFonts w:cs="Arial"/>
          <w:color w:val="000000"/>
          <w:sz w:val="22"/>
          <w:szCs w:val="22"/>
          <w:lang w:val="sl-SI" w:eastAsia="sl-SI"/>
        </w:rPr>
        <w:t>v primeru nove vrste virov emisij:</w:t>
      </w:r>
    </w:p>
    <w:p w:rsidR="007954A8" w:rsidRPr="009134F3" w:rsidRDefault="007954A8" w:rsidP="0028782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dokazilo, da je nova vrsta virov emisij priznana v znanstveni literaturi in/ali priročniku EMEP/EEA,</w:t>
      </w:r>
    </w:p>
    <w:p w:rsidR="007954A8" w:rsidRPr="009134F3" w:rsidRDefault="007954A8" w:rsidP="0028782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dokazilo, da ta vrsta virov ni bila vključena v zadevne zgodovinske nacionalne evidence emisij ob določitvi obveznosti zmanjšanja emisij,</w:t>
      </w:r>
    </w:p>
    <w:p w:rsidR="007954A8" w:rsidRPr="009134F3" w:rsidRDefault="007954A8" w:rsidP="0028782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dokazilo, da emisije iz nove vrste virov Republiko Slovenijo ovirajo pri izpolnjevanju obveznosti 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 xml:space="preserve">glede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zmanjšanja emisij, ki je podprto s podrobnim opisom metodologije, podatkov in faktorjev emisij, na podlagi katerih je ministrstvo prišlo do t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ake ugotovitve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(</w:t>
      </w:r>
      <w:proofErr w:type="spellStart"/>
      <w:r w:rsidRPr="009134F3">
        <w:rPr>
          <w:rFonts w:cs="Arial"/>
          <w:color w:val="000000"/>
          <w:sz w:val="22"/>
          <w:szCs w:val="22"/>
          <w:lang w:val="sl-SI" w:eastAsia="sl-SI"/>
        </w:rPr>
        <w:t>ii</w:t>
      </w:r>
      <w:proofErr w:type="spellEnd"/>
      <w:r w:rsidRPr="009134F3">
        <w:rPr>
          <w:rFonts w:cs="Arial"/>
          <w:color w:val="000000"/>
          <w:sz w:val="22"/>
          <w:szCs w:val="22"/>
          <w:lang w:val="sl-SI" w:eastAsia="sl-SI"/>
        </w:rPr>
        <w:t>)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če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so za določanje emisij iz 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posebnih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vrst virov uporabljeni bistveno drugačni faktorji emisij:</w:t>
      </w:r>
    </w:p>
    <w:p w:rsidR="007954A8" w:rsidRPr="009134F3" w:rsidRDefault="007954A8" w:rsidP="0028782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opis prvotnih faktorjev emisij, vključno s podrobnim opisom znanstvene podlage, na kateri je bil faktor emisij pridobljen,</w:t>
      </w:r>
    </w:p>
    <w:p w:rsidR="007954A8" w:rsidRPr="009134F3" w:rsidRDefault="007954A8" w:rsidP="0028782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dokazila, da so bili v času določitve zmanjšanj</w:t>
      </w:r>
      <w:r w:rsidR="00650483" w:rsidRPr="009134F3">
        <w:rPr>
          <w:rFonts w:cs="Arial"/>
          <w:color w:val="000000"/>
          <w:sz w:val="22"/>
          <w:szCs w:val="22"/>
          <w:lang w:val="sl-SI" w:eastAsia="sl-SI"/>
        </w:rPr>
        <w:t>a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emisij uporabljeni prvotni faktorji,</w:t>
      </w:r>
    </w:p>
    <w:p w:rsidR="007954A8" w:rsidRPr="009134F3" w:rsidRDefault="007954A8" w:rsidP="0028782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opis posodobljenih faktorjev emisij, vključno s podrobnimi informacijami o znanstveni podlagi, na kateri je bil faktor emisij pridobljen,</w:t>
      </w:r>
    </w:p>
    <w:p w:rsidR="007954A8" w:rsidRPr="009134F3" w:rsidRDefault="007954A8" w:rsidP="0028782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primerjav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a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ocen emisij, opravljenih z uporabo prvotnih in posodobljenih faktorjev emisij, ki dokazuje, da sprememba faktorjev emisij prispeva k temu, da Republika Slovenija ne more izpolniti svojih obveznosti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 xml:space="preserve"> glede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zmanjšanja emisij,</w:t>
      </w:r>
    </w:p>
    <w:p w:rsidR="007954A8" w:rsidRPr="009134F3" w:rsidRDefault="007954A8" w:rsidP="0028782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razloge za odločitev, ali so spremembe faktorjev emisije bistvene;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(</w:t>
      </w:r>
      <w:proofErr w:type="spellStart"/>
      <w:r w:rsidRPr="009134F3">
        <w:rPr>
          <w:rFonts w:cs="Arial"/>
          <w:color w:val="000000"/>
          <w:sz w:val="22"/>
          <w:szCs w:val="22"/>
          <w:lang w:val="sl-SI" w:eastAsia="sl-SI"/>
        </w:rPr>
        <w:t>iii</w:t>
      </w:r>
      <w:proofErr w:type="spellEnd"/>
      <w:r w:rsidRPr="009134F3">
        <w:rPr>
          <w:rFonts w:cs="Arial"/>
          <w:color w:val="000000"/>
          <w:sz w:val="22"/>
          <w:szCs w:val="22"/>
          <w:lang w:val="sl-SI" w:eastAsia="sl-SI"/>
        </w:rPr>
        <w:t>)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če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so za določanje emisij iz 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posebnih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vrst virov uporabljene bistveno drugačne metodologije:</w:t>
      </w:r>
    </w:p>
    <w:p w:rsidR="007954A8" w:rsidRPr="009134F3" w:rsidRDefault="007954A8" w:rsidP="0028782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opis prvotnih uporabljenih metodologij, vključno s podrobnimi informacijami o znanstveni podlagi, na kateri je bil faktor emisij pridobljen,</w:t>
      </w:r>
    </w:p>
    <w:p w:rsidR="007954A8" w:rsidRPr="009134F3" w:rsidRDefault="007954A8" w:rsidP="0028782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dokazila, da je bila v času določitve zmanjšanj emisij uporabljena prvotna metodologija,</w:t>
      </w:r>
    </w:p>
    <w:p w:rsidR="007954A8" w:rsidRPr="009134F3" w:rsidRDefault="007954A8" w:rsidP="0028782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opis posodobljene metodologije, vključno s podrobnim opisom znanstvene podlage ali sklica, na podlagi katerega je bila pridobljena,</w:t>
      </w:r>
    </w:p>
    <w:p w:rsidR="007954A8" w:rsidRPr="009134F3" w:rsidRDefault="007954A8" w:rsidP="0028782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primerjav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a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ocen emisij, opravljenih z uporabo prvotnih in posodobljenih metodologij, ki dokazuje, da sprememba metodologije prispeva k temu, da Republika Slovenija ne more izpolniti svoje obveznosti 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 xml:space="preserve">glede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zmanjšanja emisij,</w:t>
      </w:r>
    </w:p>
    <w:p w:rsidR="007954A8" w:rsidRPr="009134F3" w:rsidRDefault="007954A8" w:rsidP="0028782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razloge za odločitev, ali je sprememba metodologije bistvena.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2.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Ministrstvo lahko predloži iste podporne informacije za postopke prilagoditve, ki temeljijo na podobnih predpogojih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,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kot jih imajo druge države članice EU, pod pogojem, da predloži posamične informacije, ki se od nje zahtevajo in kot so določene v 1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točki 4. dela te priloge.</w:t>
      </w: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lastRenderedPageBreak/>
        <w:t>3.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ab/>
        <w:t>Ministrstvo ponovno izračuna prilagojene emisije, da se zagotovi čim večja doslednost časovnih okvirov za vsako leto, za katero se prilagoditev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 xml:space="preserve"> uporablja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>oziroma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 xml:space="preserve"> </w:t>
      </w:r>
      <w:r w:rsidR="001B06FF" w:rsidRPr="009134F3">
        <w:rPr>
          <w:rFonts w:cs="Arial"/>
          <w:color w:val="000000"/>
          <w:sz w:val="22"/>
          <w:szCs w:val="22"/>
          <w:lang w:val="sl-SI" w:eastAsia="sl-SI"/>
        </w:rPr>
        <w:t xml:space="preserve">se </w:t>
      </w:r>
      <w:r w:rsidRPr="009134F3">
        <w:rPr>
          <w:rFonts w:cs="Arial"/>
          <w:color w:val="000000"/>
          <w:sz w:val="22"/>
          <w:szCs w:val="22"/>
          <w:lang w:val="sl-SI" w:eastAsia="sl-SI"/>
        </w:rPr>
        <w:t>prilagoditve uporabljajo.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br w:type="page"/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lastRenderedPageBreak/>
        <w:t>PRILOGA 4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VSEBINA OPERATIVNEGA PROGRAMA 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5B51D7" w:rsidRPr="009134F3" w:rsidRDefault="005B51D7" w:rsidP="005B51D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  <w:lang w:val="sl-SI" w:eastAsia="sl-SI"/>
        </w:rPr>
      </w:pPr>
      <w:r w:rsidRPr="009134F3">
        <w:rPr>
          <w:rFonts w:cs="Arial"/>
          <w:sz w:val="22"/>
          <w:szCs w:val="22"/>
          <w:lang w:val="sl-SI" w:eastAsia="sl-SI"/>
        </w:rPr>
        <w:t>Operativni program se sprejme tudi z namenom:</w:t>
      </w:r>
    </w:p>
    <w:p w:rsidR="005B51D7" w:rsidRPr="009134F3" w:rsidRDefault="005B51D7" w:rsidP="0028782B">
      <w:pPr>
        <w:pStyle w:val="Odstavekseznama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  <w:rPr>
          <w:rFonts w:cs="Arial"/>
          <w:sz w:val="22"/>
          <w:szCs w:val="22"/>
          <w:lang w:val="sl-SI" w:eastAsia="sl-SI"/>
        </w:rPr>
      </w:pPr>
      <w:r w:rsidRPr="009134F3">
        <w:rPr>
          <w:rFonts w:cs="Arial"/>
          <w:sz w:val="22"/>
          <w:szCs w:val="22"/>
          <w:lang w:val="sl-SI" w:eastAsia="sl-SI"/>
        </w:rPr>
        <w:t>doseganja ciljev glede kakovosti zraka, določenih v predpisih, ki urejajo kakovost zraka, in približevanje dolgoročnemu cilju, da bi dosegli ravni kakovosti zraka v skladu s smernicami za kakovost zraka, ki jih je objavila Svetovna zdravstvena organizacija;</w:t>
      </w:r>
    </w:p>
    <w:p w:rsidR="005B51D7" w:rsidRPr="009134F3" w:rsidRDefault="005B51D7" w:rsidP="0028782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  <w:rPr>
          <w:rFonts w:cs="Arial"/>
          <w:sz w:val="22"/>
          <w:szCs w:val="22"/>
          <w:lang w:val="sl-SI" w:eastAsia="sl-SI"/>
        </w:rPr>
      </w:pPr>
      <w:r w:rsidRPr="009134F3">
        <w:rPr>
          <w:rFonts w:cs="Arial"/>
          <w:sz w:val="22"/>
          <w:szCs w:val="22"/>
          <w:lang w:val="sl-SI" w:eastAsia="sl-SI"/>
        </w:rPr>
        <w:t>doseganja ciljev na področju zaščite biotske raznovrstnosti in ekosistemov v skladu s predpisi, ki urejajo zaščito biotske raznovrstnosti in ekosistemov;</w:t>
      </w:r>
    </w:p>
    <w:p w:rsidR="005B51D7" w:rsidRPr="009134F3" w:rsidRDefault="005B51D7" w:rsidP="0028782B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  <w:rPr>
          <w:rFonts w:cs="Arial"/>
          <w:sz w:val="22"/>
          <w:szCs w:val="22"/>
          <w:lang w:val="sl-SI" w:eastAsia="sl-SI"/>
        </w:rPr>
      </w:pPr>
      <w:r w:rsidRPr="009134F3">
        <w:rPr>
          <w:rFonts w:cs="Arial"/>
          <w:sz w:val="22"/>
          <w:szCs w:val="22"/>
          <w:lang w:val="sl-SI" w:eastAsia="sl-SI"/>
        </w:rPr>
        <w:t>skupnega doseganja ciljev na področju kakovosti zraka in drugimi ustreznimi področji, zlasti podnebnim in energetskim.</w:t>
      </w:r>
    </w:p>
    <w:p w:rsidR="005B51D7" w:rsidRPr="009134F3" w:rsidRDefault="005B51D7" w:rsidP="0028782B">
      <w:pPr>
        <w:spacing w:line="240" w:lineRule="auto"/>
        <w:ind w:hanging="720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5B51D7" w:rsidRPr="009134F3" w:rsidRDefault="005B51D7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DEL 1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Osnovna vsebina operativnega programa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1.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Operativni program</w:t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iz 6. člena te uredbe vsebuje vsaj naslednje: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a)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 xml:space="preserve">nacionalni politični okvir glede kakovosti zraka in onesnaževanja, v okviru katerega je bil program 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>pripravljen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, vključno s:</w:t>
      </w:r>
    </w:p>
    <w:p w:rsidR="007954A8" w:rsidRPr="009134F3" w:rsidRDefault="007954A8" w:rsidP="0028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prednostnimi nalogami politike in njihovimi povezavami s prednostnimi nalogami na drugih pomembnih političnih področjih, vključno s podnebnimi spremembami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>,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ter po potrebi 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kmetijstvom, industrijo in prometom;</w:t>
      </w:r>
    </w:p>
    <w:p w:rsidR="007954A8" w:rsidRPr="009134F3" w:rsidRDefault="007954A8" w:rsidP="0028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odgovornost</w:t>
      </w:r>
      <w:r w:rsidR="00923C2D" w:rsidRPr="009134F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državnih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, regionalnih in lokalnih organov;</w:t>
      </w:r>
    </w:p>
    <w:p w:rsidR="007954A8" w:rsidRPr="009134F3" w:rsidRDefault="007954A8" w:rsidP="0028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napredkom sedanjih politik in ukrepov pri zmanjševanju emisij in izboljšanju kakovosti zraka ter stopnjo izpolnjevanja nacionalnih obveznosti in obveznosti Unije;</w:t>
      </w:r>
    </w:p>
    <w:p w:rsidR="007954A8" w:rsidRPr="009134F3" w:rsidRDefault="007954A8" w:rsidP="0028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napovedanim nadaljnjim razvojem ob predvidevanju, da ne bo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do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spreme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njeni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že sprejet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e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politik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e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in ukrep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b)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možnosti politike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glede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izpolnjevanj</w:t>
      </w:r>
      <w:r w:rsidR="00107EBE" w:rsidRPr="009134F3">
        <w:rPr>
          <w:rFonts w:cs="Arial"/>
          <w:bCs/>
          <w:color w:val="000000"/>
          <w:sz w:val="22"/>
          <w:szCs w:val="22"/>
          <w:lang w:val="sl-SI" w:eastAsia="sl-SI"/>
        </w:rPr>
        <w:t>a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zahtev 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>za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zmanjšanj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>e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emisij za obdobje med letom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>a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2020 in 2029 in od leta 2030 naprej ter za vmesne ravni emisij, določene za leto 2025, in za nadaljnje izboljševanje kakovosti zraka, ter analize teh politik in metode analiz; </w:t>
      </w:r>
      <w:r w:rsidR="001B06FF" w:rsidRPr="009134F3">
        <w:rPr>
          <w:rFonts w:cs="Arial"/>
          <w:bCs/>
          <w:color w:val="000000"/>
          <w:sz w:val="22"/>
          <w:szCs w:val="22"/>
          <w:lang w:val="sl-SI" w:eastAsia="sl-SI"/>
        </w:rPr>
        <w:t>če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so na voljo, posamezne ali kombinirane vplive politik in ukrepov v zvezi z zmanjšanjem emisij, kakovostjo zraka in okoljem ter s tem povezane negotovosti;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c)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ukrepe in politike, izbrane za sprejetje, vključno s časovnim načrtom za njihovo sprejetje, izvajanje in pregled</w:t>
      </w:r>
      <w:r w:rsidR="00923C2D" w:rsidRPr="009134F3">
        <w:rPr>
          <w:rFonts w:cs="Arial"/>
          <w:bCs/>
          <w:color w:val="000000"/>
          <w:sz w:val="22"/>
          <w:szCs w:val="22"/>
          <w:lang w:val="sl-SI" w:eastAsia="sl-SI"/>
        </w:rPr>
        <w:t>,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ter odgovornimi pristojnimi organi;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d)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po potrebi pojasnitev razlogov, zakaj okvirnih ravni emisij za leto 2025 ni mogoče izpolniti brez ukrepov, ki bi povzročili nesorazmerne stroške;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e)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po potrebi informacije o uporabi prilagoditev iz 5. člena te uredbe in vse okoljske posledice uporabe teh prilagoditev;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f)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oceno uspešnosti izbranih politik in ukrepov pri zagotavljanju skladnosti z načrti in programi, vzpostavljenimi v okviru drugih ustreznih področij politik.</w:t>
      </w: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2.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Posodobitve operativnega programa iz 6. člena te uredbe vsebuje</w:t>
      </w:r>
      <w:r w:rsidR="00772529" w:rsidRPr="009134F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vsaj naslednje:</w:t>
      </w:r>
    </w:p>
    <w:p w:rsidR="007954A8" w:rsidRPr="009134F3" w:rsidRDefault="007954A8" w:rsidP="0028782B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00" w:line="240" w:lineRule="auto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oceno napredka pri izvajanju programa, zmanjševanju emisij in zmanjševanju koncentracij;</w:t>
      </w:r>
    </w:p>
    <w:p w:rsidR="007954A8" w:rsidRPr="009134F3" w:rsidRDefault="007954A8" w:rsidP="0028782B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200" w:line="240" w:lineRule="auto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lastRenderedPageBreak/>
        <w:t>kakršne koli pomembne spremembe politike, ocen, programa ali izvajanja časovnega načrta.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DEL 2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Ukrepi </w:t>
      </w:r>
      <w:r w:rsidR="00772529"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za </w:t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zmanjšanj</w:t>
      </w:r>
      <w:r w:rsidR="00772529"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e</w:t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 emisij iz tretjega odstavka 6. člena te uredbe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Pri pripravi ukrepov se upoštevajo ustrezne smernice za amonijak </w:t>
      </w:r>
      <w:r w:rsidR="00772529" w:rsidRPr="009134F3">
        <w:rPr>
          <w:rFonts w:cs="Arial"/>
          <w:bCs/>
          <w:color w:val="000000"/>
          <w:sz w:val="22"/>
          <w:szCs w:val="22"/>
          <w:lang w:val="sl-SI" w:eastAsia="sl-SI"/>
        </w:rPr>
        <w:t>in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uporabijo najboljše razpoložljive tehnologije v skladu z zakonom, ki ureja varstvo okolja</w:t>
      </w:r>
      <w:r w:rsidR="00F415A2" w:rsidRPr="009134F3">
        <w:rPr>
          <w:rFonts w:cs="Arial"/>
          <w:bCs/>
          <w:color w:val="000000"/>
          <w:sz w:val="22"/>
          <w:szCs w:val="22"/>
          <w:lang w:val="sl-SI" w:eastAsia="sl-SI"/>
        </w:rPr>
        <w:t>,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in na njegovi podlagi sprejetimi predpisi, ki urejajo uporabo najboljših razpoložljivih tehnologij. 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28782B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A. </w:t>
      </w:r>
      <w:r w:rsidR="007954A8"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Ukrepi za nadzor nad emisijami amonijaka</w:t>
      </w: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1.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>P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ripravi 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nacionalni svetovalni kodeks dobrih kmetijskih praks za nadziranje emisij amonijaka, pri čemer upošteva okvirni kodeks UN/ECE o dobrih kmetijskih praksah za zmanjšanje emisij amonijaka iz leta 2014, ki zajema najmanj:</w:t>
      </w:r>
    </w:p>
    <w:p w:rsidR="007954A8" w:rsidRPr="009134F3" w:rsidRDefault="007954A8" w:rsidP="00A104F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upravljanje dušika ob upoštevanju celotnega dušikovega cikla;</w:t>
      </w:r>
    </w:p>
    <w:p w:rsidR="007954A8" w:rsidRPr="009134F3" w:rsidRDefault="007954A8" w:rsidP="00A104F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strategije krmljenja živine;</w:t>
      </w:r>
    </w:p>
    <w:p w:rsidR="007954A8" w:rsidRPr="009134F3" w:rsidRDefault="007954A8" w:rsidP="00A104F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tehnike nanašanja gnoja z nizkimi emisijami;</w:t>
      </w:r>
    </w:p>
    <w:p w:rsidR="007954A8" w:rsidRPr="009134F3" w:rsidRDefault="007954A8" w:rsidP="00A104F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sisteme skladiščenja gnoja z nizkimi emisijami;</w:t>
      </w:r>
    </w:p>
    <w:p w:rsidR="007954A8" w:rsidRPr="009134F3" w:rsidRDefault="007954A8" w:rsidP="00A104F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sisteme za 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uhlevitev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živali z nizkimi emisijami;</w:t>
      </w:r>
    </w:p>
    <w:p w:rsidR="007954A8" w:rsidRPr="009134F3" w:rsidRDefault="007954A8" w:rsidP="00A104F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možnosti za omejitev emisij amonijaka zaradi uporabe mineralnih gnojil.</w:t>
      </w:r>
    </w:p>
    <w:p w:rsidR="007954A8" w:rsidRPr="009134F3" w:rsidRDefault="007954A8" w:rsidP="0028782B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2.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>L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ahko 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oblikuje nacionalni proračun dušika za spremljanje sprememb v skupnih izgubah reaktivnega dušika iz kmetijstva, vključno z amonijakom, dušikovim oksidom, amonijem, nitrati in nitriti, ki 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teme</w:t>
      </w:r>
      <w:r w:rsidR="00A903B6" w:rsidRPr="009134F3">
        <w:rPr>
          <w:rFonts w:cs="Arial"/>
          <w:bCs/>
          <w:color w:val="000000"/>
          <w:sz w:val="22"/>
          <w:szCs w:val="22"/>
          <w:lang w:val="sl-SI" w:eastAsia="sl-SI"/>
        </w:rPr>
        <w:t>l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ji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na načelih iz smernic UN/ECE za proračune dušika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,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kot so določene s Sklepom 2012/10 Ekonomske komisije Združenih narodov za Evropo glede nacionalnih poračunov dušika (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ECE/EB.AIR/113/Dodatek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1 z dne 13. decembra 2012). </w:t>
      </w:r>
    </w:p>
    <w:p w:rsidR="007954A8" w:rsidRPr="009134F3" w:rsidRDefault="007954A8" w:rsidP="0028782B">
      <w:pPr>
        <w:spacing w:line="260" w:lineRule="exact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3.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>P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repove 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uporab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>a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gnojil z amonijevim karbonatom in lahko 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zmanjša</w:t>
      </w:r>
      <w:r w:rsidR="001D0E5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emisije amonijaka iz anorganskih gnojil:</w:t>
      </w:r>
    </w:p>
    <w:p w:rsidR="007954A8" w:rsidRPr="009134F3" w:rsidRDefault="00F156F4" w:rsidP="0028782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nadomestit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vijo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gnojil na osnovi sečnine z gnojili na osnovi amonijevega nitrata;</w:t>
      </w:r>
    </w:p>
    <w:p w:rsidR="007954A8" w:rsidRPr="009134F3" w:rsidRDefault="007954A8" w:rsidP="0028782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kadar se gnojila na osnovi sečnine še naprej uporabljajo, z uporabo metod, ki so se izkazale za učinkovite pri zmanjševanju emisij amonijaka za najmanj 30 % v primerjavi z uporabo referenčne metode iz smernic za amonijak;</w:t>
      </w:r>
    </w:p>
    <w:p w:rsidR="007954A8" w:rsidRPr="009134F3" w:rsidRDefault="00F156F4" w:rsidP="0028782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spodbujanjem nadomeščanja anorganskih gnojil z organskimi gnojili, kjer se anorganska gnojila še naprej uporabljajo, ter z njihovim nanašanjem v skladu s predvidenimi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potrebami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posameznih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rastlin in travišč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dušik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u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in fosforj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u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, pri čemer se upošteva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tudi obstoječa vsebnost hranil v tleh in hranilne snovi iz drugih gnojil.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4.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>E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misije amonijaka iz hlevskega gnoja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se lahko zmanjša</w:t>
      </w:r>
      <w:r w:rsidR="001D0E5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:</w:t>
      </w:r>
    </w:p>
    <w:p w:rsidR="007954A8" w:rsidRPr="009134F3" w:rsidRDefault="00F156F4" w:rsidP="00A104F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zmanjšanjem emisij iz uporabe gnojevke in hlevskega gnoja na obdelovalnih zemljiščih in traviščih z uporabo metod, ki zmanjšujejo emisije za najmanj 30 % v primerjavi z referenčno metodo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iz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smernic</w:t>
      </w:r>
      <w:r w:rsidR="000F5E1B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za amonijak, in pod naslednjimi pogoji:</w:t>
      </w:r>
    </w:p>
    <w:p w:rsidR="007954A8" w:rsidRPr="009134F3" w:rsidRDefault="007954A8" w:rsidP="00A104F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nanašanje gnoja in gnojevk 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samo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v skladu s predvidenimi 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potrebami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posameznih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rastlin in travišč 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po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dušik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u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in fosforj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u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, pri čemer pa se upošteva</w:t>
      </w:r>
      <w:r w:rsidR="00F156F4" w:rsidRPr="009134F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tudi obstoječa vsebnost hranil v tleh in hranilne snovi iz drugih gnojil;</w:t>
      </w:r>
    </w:p>
    <w:p w:rsidR="007954A8" w:rsidRPr="009134F3" w:rsidRDefault="007954A8" w:rsidP="00A104F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nenanašanje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gnoja in gnojevk, kadar je zemljišče nasičeno z vodo, poplavljeno, zamrznjeno ali pokrito s snegom;</w:t>
      </w:r>
    </w:p>
    <w:p w:rsidR="007954A8" w:rsidRPr="009134F3" w:rsidRDefault="007954A8" w:rsidP="00A104F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lastRenderedPageBreak/>
        <w:t>nanašanje gnojevk na travišča z uporabo vlečenih cevi, vlečenih letev ali plitvega ali globinskega injiciranja;</w:t>
      </w:r>
    </w:p>
    <w:p w:rsidR="007954A8" w:rsidRPr="009134F3" w:rsidRDefault="007954A8" w:rsidP="00A104F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vnos gnoja in gnojevk, ki se nanesejo na obdelovalno zemljišče, v tla v štirih urah po nanosu;</w:t>
      </w:r>
    </w:p>
    <w:p w:rsidR="007954A8" w:rsidRPr="009134F3" w:rsidRDefault="00F156F4" w:rsidP="0028782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60" w:lineRule="exact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zmanjšanjem emisij iz skladiščenja gnoja zunaj hlevov:</w:t>
      </w:r>
    </w:p>
    <w:p w:rsidR="007954A8" w:rsidRPr="009134F3" w:rsidRDefault="007954A8" w:rsidP="0028782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za skladišča gnojevke, zgrajena po 1. januarju 2022, z uporabo sistemov ali tehnik skladiščenja z nizkimi emisijami, ki so se izkazali za učinkovite pri zmanjševanju emisij amonijaka za vsaj 60 % v primerjavi z referenčno metodo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iz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smernic za amonijak, za obstoječa skladišča gnojevke pa se uporabljajo tisti, ki emisije zmanjšajo za vsaj 40 %;</w:t>
      </w:r>
    </w:p>
    <w:p w:rsidR="007954A8" w:rsidRPr="009134F3" w:rsidRDefault="0028443F" w:rsidP="0028782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pokritjem skladišč hlevskega gnoja;</w:t>
      </w:r>
    </w:p>
    <w:p w:rsidR="007954A8" w:rsidRPr="009134F3" w:rsidRDefault="0028443F" w:rsidP="0028782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zagotavljanjem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zadostne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zmogljivosti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kmetij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za skladiščenje gnoja, da lahko gnoj nanašajo le v obdobjih, ki so primerna za rast rastlin;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c)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zmanjšanjem emisij iz hlevov živali z uporabo sistemov, ki so se izkazali za učinkovite pri zmanjševanju emisij amonijaka za vsaj 20 % v primerjavi z referenčno metodo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iz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smernic za amonijak;</w:t>
      </w:r>
    </w:p>
    <w:p w:rsidR="007954A8" w:rsidRPr="009134F3" w:rsidRDefault="007954A8" w:rsidP="0028782B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d)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zmanjšanjem emisij iz gnoja z uporabo strategij krmljenja z nizko vsebnostjo beljakovin, ki so se izkazale za učinkovite pri zmanjševanju emisij amonijaka za vsaj 10 % v primerjavi z referenčno metodo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iz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smernic za amonijak.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B. Ukrepi za zmanjšanje emisij z namenom nadzora nad emisijami drobnih delcev in črnega ogljika</w:t>
      </w:r>
    </w:p>
    <w:p w:rsidR="007954A8" w:rsidRPr="009134F3" w:rsidRDefault="007954A8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1.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Brez poseganja v prilogo 2 o navzkrižni skladnosti iz Uredbe (EU) št. 1306/2013 Evropskega parlamenta in Sveta z dne 17. decembra 2013 o financiranju, upravljanju in spremljanju skupne kmetijske politike in razveljavitvi uredb Sveta (EGS) št. 352/78, (ES) št. 165/94, (ES) št. 2799/98, (ES) št. 814/2000, (ES) št. 1290/2005 in (ES) št. 485/2008 (UL L št. 347 z dne 20.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12.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2013, str. 549)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="00034511">
        <w:rPr>
          <w:rFonts w:cs="Arial"/>
          <w:bCs/>
          <w:color w:val="000000"/>
          <w:sz w:val="22"/>
          <w:szCs w:val="22"/>
          <w:lang w:val="sl-SI" w:eastAsia="sl-SI"/>
        </w:rPr>
        <w:t xml:space="preserve">lahko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prepove sežiganje ostankov kmetijskih žetev in odpadkov ter gozdnih ostankov na prostem.</w:t>
      </w:r>
    </w:p>
    <w:p w:rsidR="007954A8" w:rsidRPr="009134F3" w:rsidRDefault="007954A8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E1719D" w:rsidP="007F6A82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S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premlja in uveljavi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izvajanje vsakršne prepovedi, izvedene v skladu s prejšnjim odstavkom. Vse izjeme od te prepovedi se omejijo na preventivne programe za preprečevanje nenadzorovanih požarov v divjini, 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na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zatiranje škodljivih organizmov ali zaščito biotske raznovrstnosti.</w:t>
      </w:r>
    </w:p>
    <w:p w:rsidR="007954A8" w:rsidRPr="009134F3" w:rsidRDefault="007954A8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2.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>L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ahko </w:t>
      </w:r>
      <w:r w:rsidR="00E1719D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pripravi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nacionalni svetovalni kodeks o dobri kmetijski praksi za pravilno upravljanje ostankov žetev, in sicer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:</w:t>
      </w:r>
    </w:p>
    <w:p w:rsidR="007954A8" w:rsidRPr="009134F3" w:rsidRDefault="007954A8" w:rsidP="007F6A82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a)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izboljšanje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m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strukture tal z vključitvijo ostankov žetev;</w:t>
      </w:r>
    </w:p>
    <w:p w:rsidR="007954A8" w:rsidRPr="009134F3" w:rsidRDefault="007954A8" w:rsidP="007F6A82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b)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izboljšan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imi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tehnik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ami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za vključitev ostankov žetev;</w:t>
      </w:r>
    </w:p>
    <w:p w:rsidR="007954A8" w:rsidRPr="009134F3" w:rsidRDefault="007954A8" w:rsidP="007F6A82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c)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alternativn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uporab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o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ostankov žetev;</w:t>
      </w:r>
    </w:p>
    <w:p w:rsidR="007954A8" w:rsidRPr="009134F3" w:rsidRDefault="007954A8" w:rsidP="007F6A82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d)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izboljšanje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>m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hranljivosti in strukture tal z vključitvijo hlevskega gnoja, kot se zahteva za optimalno rast rastlin, in 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izogibanjem sežiganju gnoja (hlevskega gnoja, globoke stelje iz slame).</w:t>
      </w:r>
    </w:p>
    <w:p w:rsidR="007F6A82" w:rsidRDefault="007F6A82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F6A82" w:rsidRDefault="007F6A82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F6A82" w:rsidRDefault="007F6A82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>C. Preprečevanje vplivov na majhne kmetije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E1719D" w:rsidP="007954A8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S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sprejetjem ukrepov iz točk A in B te priloge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zagotovi, da so vplivi na majhne in mikro kmetije v celoti upoštevani.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E1719D" w:rsidP="007954A8">
      <w:pPr>
        <w:spacing w:line="240" w:lineRule="auto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lastRenderedPageBreak/>
        <w:t>I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z navedenih ukrepov 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se lahko na primer 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izvzame</w:t>
      </w:r>
      <w:r w:rsidR="001D0E53">
        <w:rPr>
          <w:rFonts w:cs="Arial"/>
          <w:bCs/>
          <w:color w:val="000000"/>
          <w:sz w:val="22"/>
          <w:szCs w:val="22"/>
          <w:lang w:val="sl-SI" w:eastAsia="sl-SI"/>
        </w:rPr>
        <w:t>jo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majhne in mikro kmetije, kadar je to mogoče in ustrezno </w:t>
      </w:r>
      <w:r w:rsidR="00F415A2" w:rsidRPr="009134F3">
        <w:rPr>
          <w:rFonts w:cs="Arial"/>
          <w:bCs/>
          <w:color w:val="000000"/>
          <w:sz w:val="22"/>
          <w:szCs w:val="22"/>
          <w:lang w:val="sl-SI" w:eastAsia="sl-SI"/>
        </w:rPr>
        <w:t>glede na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veljavn</w:t>
      </w:r>
      <w:r w:rsidR="00F415A2" w:rsidRPr="009134F3">
        <w:rPr>
          <w:rFonts w:cs="Arial"/>
          <w:bCs/>
          <w:color w:val="000000"/>
          <w:sz w:val="22"/>
          <w:szCs w:val="22"/>
          <w:lang w:val="sl-SI" w:eastAsia="sl-SI"/>
        </w:rPr>
        <w:t>e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obveznosti</w:t>
      </w:r>
      <w:r w:rsidR="0028443F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glede</w:t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zmanjšanja emisij.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br w:type="page"/>
      </w: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lastRenderedPageBreak/>
        <w:t>PRILOGA 5</w:t>
      </w:r>
    </w:p>
    <w:p w:rsidR="007954A8" w:rsidRPr="009134F3" w:rsidRDefault="007954A8" w:rsidP="007954A8">
      <w:pPr>
        <w:spacing w:line="240" w:lineRule="auto"/>
        <w:jc w:val="center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/>
          <w:bCs/>
          <w:color w:val="000000"/>
          <w:sz w:val="22"/>
          <w:szCs w:val="22"/>
          <w:lang w:val="sl-SI" w:eastAsia="sl-SI"/>
        </w:rPr>
        <w:t xml:space="preserve">NEOBVEZNI KAZALNIKI ZA SPREMLJANJE VPLIVOV ONESNAŽENOSTI ZRAKA 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color w:val="000000"/>
          <w:sz w:val="22"/>
          <w:szCs w:val="22"/>
          <w:lang w:val="sl-SI" w:eastAsia="sl-SI"/>
        </w:rPr>
        <w:t>Neobvezni kazalniki za spremljanje vplivov onesnaženosti zraka so:</w:t>
      </w:r>
    </w:p>
    <w:p w:rsidR="007954A8" w:rsidRPr="009134F3" w:rsidRDefault="007954A8" w:rsidP="007954A8">
      <w:pPr>
        <w:spacing w:line="240" w:lineRule="auto"/>
        <w:jc w:val="both"/>
        <w:rPr>
          <w:rFonts w:cs="Arial"/>
          <w:b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E1719D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a)</w:t>
      </w:r>
      <w:r w:rsidR="007F6A82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Za sladkovodne ekosisteme: ugotavljanje obsega biološke škode, vključno z občutljivimi receptorji (</w:t>
      </w:r>
      <w:proofErr w:type="spellStart"/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mikrofiti</w:t>
      </w:r>
      <w:proofErr w:type="spellEnd"/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, </w:t>
      </w:r>
      <w:proofErr w:type="spellStart"/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makrofiti</w:t>
      </w:r>
      <w:proofErr w:type="spellEnd"/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in diatomeje), in izgube staleža rib ali nevretenčarjev:</w:t>
      </w:r>
    </w:p>
    <w:p w:rsidR="007954A8" w:rsidRPr="009134F3" w:rsidRDefault="007954A8" w:rsidP="007F6A8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glavni kazalnik zmogljivost nevtralizacije kislosti in pomožni kazalniki kislost (vrednost pH), raztopljen</w:t>
      </w:r>
      <w:r w:rsidR="00706727" w:rsidRPr="009134F3">
        <w:rPr>
          <w:rFonts w:cs="Arial"/>
          <w:bCs/>
          <w:color w:val="000000"/>
          <w:sz w:val="22"/>
          <w:szCs w:val="22"/>
          <w:lang w:val="sl-SI" w:eastAsia="sl-SI"/>
        </w:rPr>
        <w:t>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sulfat (SO</w:t>
      </w:r>
      <w:r w:rsidRPr="009134F3">
        <w:rPr>
          <w:rFonts w:cs="Arial"/>
          <w:bCs/>
          <w:color w:val="000000"/>
          <w:sz w:val="22"/>
          <w:szCs w:val="22"/>
          <w:vertAlign w:val="subscript"/>
          <w:lang w:val="sl-SI" w:eastAsia="sl-SI"/>
        </w:rPr>
        <w:t>4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), nitrat (NO</w:t>
      </w:r>
      <w:r w:rsidRPr="009134F3">
        <w:rPr>
          <w:rFonts w:cs="Arial"/>
          <w:bCs/>
          <w:color w:val="000000"/>
          <w:sz w:val="22"/>
          <w:szCs w:val="22"/>
          <w:vertAlign w:val="subscript"/>
          <w:lang w:val="sl-SI" w:eastAsia="sl-SI"/>
        </w:rPr>
        <w:t>3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 in raztopljen</w:t>
      </w:r>
      <w:r w:rsidR="00706727" w:rsidRPr="009134F3">
        <w:rPr>
          <w:rFonts w:cs="Arial"/>
          <w:bCs/>
          <w:color w:val="000000"/>
          <w:sz w:val="22"/>
          <w:szCs w:val="22"/>
          <w:lang w:val="sl-SI" w:eastAsia="sl-SI"/>
        </w:rPr>
        <w:t>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organski ogljik:</w:t>
      </w:r>
    </w:p>
    <w:p w:rsidR="007954A8" w:rsidRPr="009134F3" w:rsidRDefault="007954A8" w:rsidP="007F6A82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left="1276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pogostost vzorčenja: od letne (jesenski pretok na jezerih) do mesečne (vodotoki).</w:t>
      </w:r>
    </w:p>
    <w:p w:rsidR="007954A8" w:rsidRPr="009134F3" w:rsidRDefault="007954A8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7954A8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b)</w:t>
      </w:r>
      <w:r w:rsidR="007F6A82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Za kopenske ekosisteme: ocena kislosti tal, izgube hranilnih snovi, statusa in ravnovesja dušika ter izgube biotske raznovrstnosti:</w:t>
      </w:r>
    </w:p>
    <w:p w:rsidR="007954A8" w:rsidRPr="009134F3" w:rsidRDefault="007954A8" w:rsidP="007F6A82">
      <w:pPr>
        <w:spacing w:line="240" w:lineRule="auto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(i)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glavni kazalnik kislost tal: izmenljive frakcije bazičnih kationov (bazična nasičenost) in izmenljiv</w:t>
      </w:r>
      <w:r w:rsidR="00706727" w:rsidRPr="009134F3">
        <w:rPr>
          <w:rFonts w:cs="Arial"/>
          <w:bCs/>
          <w:color w:val="000000"/>
          <w:sz w:val="22"/>
          <w:szCs w:val="22"/>
          <w:lang w:val="sl-SI" w:eastAsia="sl-SI"/>
        </w:rPr>
        <w:t>i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aluminij v tleh:</w:t>
      </w:r>
    </w:p>
    <w:p w:rsidR="007954A8" w:rsidRPr="009134F3" w:rsidRDefault="007954A8" w:rsidP="007F6A8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pogostost vzorčenja: vsakih deset let;</w:t>
      </w:r>
    </w:p>
    <w:p w:rsidR="007954A8" w:rsidRPr="009134F3" w:rsidRDefault="007954A8" w:rsidP="007F6A8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pomožni kazalniki: vrednost pH, sulfat, nitrat, bazični kationi, koncentracije aluminija v talni raztopini;</w:t>
      </w:r>
    </w:p>
    <w:p w:rsidR="007954A8" w:rsidRPr="009134F3" w:rsidRDefault="007954A8" w:rsidP="007F6A8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pogostost vzorčenja: vsako leto (kadar je to ustrezno);</w:t>
      </w:r>
    </w:p>
    <w:p w:rsidR="007954A8" w:rsidRPr="009134F3" w:rsidRDefault="007954A8" w:rsidP="007F6A82">
      <w:pPr>
        <w:spacing w:line="260" w:lineRule="exact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(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ii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glavni kazalnik izcejanje nitratov v tleh (NO3, izcedek):</w:t>
      </w:r>
    </w:p>
    <w:p w:rsidR="007954A8" w:rsidRPr="009134F3" w:rsidRDefault="007954A8" w:rsidP="007F6A8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pogostost vzorčenja: vsako leto;</w:t>
      </w:r>
    </w:p>
    <w:p w:rsidR="007954A8" w:rsidRPr="009134F3" w:rsidRDefault="007954A8" w:rsidP="007F6A82">
      <w:pPr>
        <w:spacing w:line="260" w:lineRule="exact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(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iii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glavni kazalnik razmerje med ogljikom in dušikom (C/N) in pomožni kazalnik skupni dušik v tleh (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Nskupaj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):</w:t>
      </w:r>
    </w:p>
    <w:p w:rsidR="007954A8" w:rsidRPr="009134F3" w:rsidRDefault="007954A8" w:rsidP="007F6A82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pogostost vzorčenja: vsakih deset let;</w:t>
      </w:r>
    </w:p>
    <w:p w:rsidR="007954A8" w:rsidRPr="009134F3" w:rsidRDefault="007954A8" w:rsidP="007F6A82">
      <w:pPr>
        <w:spacing w:line="260" w:lineRule="exact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(iv)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glavni kazalnik ravnovesje hranil v listju (N/P, N/K, N/Mg):</w:t>
      </w:r>
    </w:p>
    <w:p w:rsidR="007954A8" w:rsidRPr="009134F3" w:rsidRDefault="007954A8" w:rsidP="007F6A8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 pogostost vzorčenja: vsaka štiri leta.</w:t>
      </w:r>
    </w:p>
    <w:p w:rsidR="007F6A82" w:rsidRDefault="007F6A82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</w:p>
    <w:p w:rsidR="007954A8" w:rsidRPr="009134F3" w:rsidRDefault="00E1719D" w:rsidP="007F6A82">
      <w:pPr>
        <w:spacing w:line="240" w:lineRule="auto"/>
        <w:ind w:left="709" w:hanging="709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 xml:space="preserve">c) </w:t>
      </w:r>
      <w:r w:rsidR="007F6A82">
        <w:rPr>
          <w:rFonts w:cs="Arial"/>
          <w:bCs/>
          <w:color w:val="000000"/>
          <w:sz w:val="22"/>
          <w:szCs w:val="22"/>
          <w:lang w:val="sl-SI" w:eastAsia="sl-SI"/>
        </w:rPr>
        <w:tab/>
      </w:r>
      <w:r w:rsidR="007954A8" w:rsidRPr="009134F3">
        <w:rPr>
          <w:rFonts w:cs="Arial"/>
          <w:bCs/>
          <w:color w:val="000000"/>
          <w:sz w:val="22"/>
          <w:szCs w:val="22"/>
          <w:lang w:val="sl-SI" w:eastAsia="sl-SI"/>
        </w:rPr>
        <w:t>Za kopenske ekosisteme: ocena škode, ki jo ozon povzroči rasti vegetacije in biotski raznovrstnosti:</w:t>
      </w:r>
    </w:p>
    <w:p w:rsidR="007954A8" w:rsidRPr="009134F3" w:rsidRDefault="007954A8" w:rsidP="007F6A82">
      <w:pPr>
        <w:spacing w:line="260" w:lineRule="exact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(i)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glavni kazalnik rast vegetacije in škoda na listih ter pomožni kazalnik tok ogljika (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Ctok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):</w:t>
      </w:r>
    </w:p>
    <w:p w:rsidR="007954A8" w:rsidRPr="009134F3" w:rsidRDefault="007954A8" w:rsidP="007F6A8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pogostost vzorčenja: vsako leto;</w:t>
      </w:r>
    </w:p>
    <w:p w:rsidR="007954A8" w:rsidRPr="009134F3" w:rsidRDefault="007954A8" w:rsidP="007F6A82">
      <w:pPr>
        <w:spacing w:line="260" w:lineRule="exact"/>
        <w:ind w:left="1276" w:hanging="567"/>
        <w:jc w:val="both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(</w:t>
      </w:r>
      <w:proofErr w:type="spellStart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ii</w:t>
      </w:r>
      <w:proofErr w:type="spellEnd"/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)</w:t>
      </w: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ab/>
        <w:t>glavni kazalnik prekoračitev kritičnih vrednosti na podlagi toka:</w:t>
      </w:r>
    </w:p>
    <w:p w:rsidR="007954A8" w:rsidRPr="009134F3" w:rsidRDefault="007954A8" w:rsidP="007F6A8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60" w:lineRule="exact"/>
        <w:ind w:left="1843" w:hanging="567"/>
        <w:jc w:val="both"/>
        <w:textAlignment w:val="baseline"/>
        <w:rPr>
          <w:rFonts w:cs="Arial"/>
          <w:bCs/>
          <w:color w:val="000000"/>
          <w:sz w:val="22"/>
          <w:szCs w:val="22"/>
          <w:lang w:val="sl-SI" w:eastAsia="sl-SI"/>
        </w:rPr>
      </w:pPr>
      <w:r w:rsidRPr="009134F3">
        <w:rPr>
          <w:rFonts w:cs="Arial"/>
          <w:bCs/>
          <w:color w:val="000000"/>
          <w:sz w:val="22"/>
          <w:szCs w:val="22"/>
          <w:lang w:val="sl-SI" w:eastAsia="sl-SI"/>
        </w:rPr>
        <w:t>pogostost vzorčenja: vsako leto v obdobju rasti.</w:t>
      </w: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p w:rsidR="007954A8" w:rsidRPr="009134F3" w:rsidRDefault="007954A8" w:rsidP="007954A8">
      <w:pP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sz w:val="22"/>
          <w:szCs w:val="22"/>
          <w:lang w:val="sl-SI"/>
        </w:rPr>
      </w:pPr>
    </w:p>
    <w:sectPr w:rsidR="007954A8" w:rsidRPr="009134F3" w:rsidSect="00783310">
      <w:headerReference w:type="default" r:id="rId30"/>
      <w:footerReference w:type="default" r:id="rId31"/>
      <w:headerReference w:type="first" r:id="rId3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CA" w:rsidRDefault="00AE66CA">
      <w:r>
        <w:separator/>
      </w:r>
    </w:p>
  </w:endnote>
  <w:endnote w:type="continuationSeparator" w:id="0">
    <w:p w:rsidR="00AE66CA" w:rsidRDefault="00AE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4422"/>
      <w:docPartObj>
        <w:docPartGallery w:val="Page Numbers (Bottom of Page)"/>
        <w:docPartUnique/>
      </w:docPartObj>
    </w:sdtPr>
    <w:sdtEndPr/>
    <w:sdtContent>
      <w:p w:rsidR="001D0E53" w:rsidRDefault="001D0E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AB" w:rsidRPr="00D27CAB">
          <w:rPr>
            <w:noProof/>
            <w:lang w:val="sl-SI"/>
          </w:rPr>
          <w:t>12</w:t>
        </w:r>
        <w:r>
          <w:fldChar w:fldCharType="end"/>
        </w:r>
      </w:p>
    </w:sdtContent>
  </w:sdt>
  <w:p w:rsidR="001D0E53" w:rsidRDefault="001D0E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CA" w:rsidRDefault="00AE66CA">
      <w:r>
        <w:separator/>
      </w:r>
    </w:p>
  </w:footnote>
  <w:footnote w:type="continuationSeparator" w:id="0">
    <w:p w:rsidR="00AE66CA" w:rsidRDefault="00AE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27" w:rsidRPr="00110CBD" w:rsidRDefault="0005172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51727" w:rsidRPr="008F3500" w:rsidTr="00B77473">
      <w:trPr>
        <w:cantSplit/>
        <w:trHeight w:hRule="exact" w:val="847"/>
      </w:trPr>
      <w:tc>
        <w:tcPr>
          <w:tcW w:w="649" w:type="dxa"/>
        </w:tcPr>
        <w:p w:rsidR="00051727" w:rsidRPr="006D42D9" w:rsidRDefault="0005172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51727" w:rsidRPr="008F3500" w:rsidRDefault="00051727" w:rsidP="00B77473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5C"/>
    <w:multiLevelType w:val="hybridMultilevel"/>
    <w:tmpl w:val="FF0AEC9A"/>
    <w:lvl w:ilvl="0" w:tplc="2CB0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3522"/>
    <w:multiLevelType w:val="hybridMultilevel"/>
    <w:tmpl w:val="2A985C7E"/>
    <w:lvl w:ilvl="0" w:tplc="2CB0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56E"/>
    <w:multiLevelType w:val="hybridMultilevel"/>
    <w:tmpl w:val="67DC03DE"/>
    <w:lvl w:ilvl="0" w:tplc="F5A0BB5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207FEA"/>
    <w:multiLevelType w:val="hybridMultilevel"/>
    <w:tmpl w:val="F36E81A2"/>
    <w:lvl w:ilvl="0" w:tplc="2CB0C00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4513FB3"/>
    <w:multiLevelType w:val="hybridMultilevel"/>
    <w:tmpl w:val="FB8855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07858"/>
    <w:multiLevelType w:val="hybridMultilevel"/>
    <w:tmpl w:val="42A07DBC"/>
    <w:lvl w:ilvl="0" w:tplc="2CB0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872A9"/>
    <w:multiLevelType w:val="hybridMultilevel"/>
    <w:tmpl w:val="2B42E7F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02581"/>
    <w:multiLevelType w:val="hybridMultilevel"/>
    <w:tmpl w:val="20C206FA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D5DAB"/>
    <w:multiLevelType w:val="hybridMultilevel"/>
    <w:tmpl w:val="877037CE"/>
    <w:lvl w:ilvl="0" w:tplc="2CB0C00A">
      <w:start w:val="1"/>
      <w:numFmt w:val="bullet"/>
      <w:lvlText w:val=""/>
      <w:lvlJc w:val="left"/>
      <w:pPr>
        <w:ind w:left="53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9">
    <w:nsid w:val="131006B8"/>
    <w:multiLevelType w:val="hybridMultilevel"/>
    <w:tmpl w:val="CF5A24C2"/>
    <w:lvl w:ilvl="0" w:tplc="7D26B820">
      <w:start w:val="1"/>
      <w:numFmt w:val="bullet"/>
      <w:pStyle w:val="Alineazaodstavko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89071C"/>
    <w:multiLevelType w:val="hybridMultilevel"/>
    <w:tmpl w:val="A87C4CC2"/>
    <w:lvl w:ilvl="0" w:tplc="2CB0C00A">
      <w:start w:val="1"/>
      <w:numFmt w:val="bullet"/>
      <w:lvlText w:val=""/>
      <w:lvlJc w:val="left"/>
      <w:pPr>
        <w:ind w:left="29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11">
    <w:nsid w:val="15935E62"/>
    <w:multiLevelType w:val="hybridMultilevel"/>
    <w:tmpl w:val="7F80ED12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3414752C">
      <w:start w:val="4"/>
      <w:numFmt w:val="bullet"/>
      <w:lvlText w:val="—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5A0BB54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48CAC2F2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F57F51"/>
    <w:multiLevelType w:val="hybridMultilevel"/>
    <w:tmpl w:val="3E7EEE00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60EE1"/>
    <w:multiLevelType w:val="hybridMultilevel"/>
    <w:tmpl w:val="EDDA8D62"/>
    <w:lvl w:ilvl="0" w:tplc="2CB0C0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4EE7632"/>
    <w:multiLevelType w:val="hybridMultilevel"/>
    <w:tmpl w:val="81A2B574"/>
    <w:lvl w:ilvl="0" w:tplc="C0169F26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374C4"/>
    <w:multiLevelType w:val="hybridMultilevel"/>
    <w:tmpl w:val="CC44C1B6"/>
    <w:lvl w:ilvl="0" w:tplc="2CB0C00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30490CBF"/>
    <w:multiLevelType w:val="hybridMultilevel"/>
    <w:tmpl w:val="37AC17B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847D7"/>
    <w:multiLevelType w:val="hybridMultilevel"/>
    <w:tmpl w:val="9684E222"/>
    <w:lvl w:ilvl="0" w:tplc="2CB0C00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3E767CF"/>
    <w:multiLevelType w:val="hybridMultilevel"/>
    <w:tmpl w:val="9370A8F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D1FF6"/>
    <w:multiLevelType w:val="hybridMultilevel"/>
    <w:tmpl w:val="96DA94F2"/>
    <w:lvl w:ilvl="0" w:tplc="2CB0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B17F0"/>
    <w:multiLevelType w:val="hybridMultilevel"/>
    <w:tmpl w:val="28406B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86FF9"/>
    <w:multiLevelType w:val="hybridMultilevel"/>
    <w:tmpl w:val="C0086508"/>
    <w:lvl w:ilvl="0" w:tplc="FEC2E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579EC"/>
    <w:multiLevelType w:val="hybridMultilevel"/>
    <w:tmpl w:val="24E48558"/>
    <w:lvl w:ilvl="0" w:tplc="C0169F26">
      <w:start w:val="1"/>
      <w:numFmt w:val="bullet"/>
      <w:lvlText w:val=""/>
      <w:lvlJc w:val="left"/>
      <w:pPr>
        <w:ind w:left="8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9">
    <w:nsid w:val="528032AD"/>
    <w:multiLevelType w:val="hybridMultilevel"/>
    <w:tmpl w:val="B418A21E"/>
    <w:lvl w:ilvl="0" w:tplc="2CB0C0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59B6DB1"/>
    <w:multiLevelType w:val="hybridMultilevel"/>
    <w:tmpl w:val="FA427314"/>
    <w:lvl w:ilvl="0" w:tplc="2CB0C0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8389A"/>
    <w:multiLevelType w:val="hybridMultilevel"/>
    <w:tmpl w:val="3B4A1384"/>
    <w:lvl w:ilvl="0" w:tplc="18B8A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137B4"/>
    <w:multiLevelType w:val="hybridMultilevel"/>
    <w:tmpl w:val="37D69C38"/>
    <w:lvl w:ilvl="0" w:tplc="6C52E6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A420E"/>
    <w:multiLevelType w:val="hybridMultilevel"/>
    <w:tmpl w:val="C21C28CA"/>
    <w:lvl w:ilvl="0" w:tplc="CC0C7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300D9"/>
    <w:multiLevelType w:val="hybridMultilevel"/>
    <w:tmpl w:val="B882E8A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3048A"/>
    <w:multiLevelType w:val="hybridMultilevel"/>
    <w:tmpl w:val="C154252A"/>
    <w:lvl w:ilvl="0" w:tplc="2CB0C0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CD49A7"/>
    <w:multiLevelType w:val="hybridMultilevel"/>
    <w:tmpl w:val="8620FFCE"/>
    <w:lvl w:ilvl="0" w:tplc="2CB0C00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2F5024A"/>
    <w:multiLevelType w:val="hybridMultilevel"/>
    <w:tmpl w:val="1F66E732"/>
    <w:lvl w:ilvl="0" w:tplc="2CB0C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74B34"/>
    <w:multiLevelType w:val="hybridMultilevel"/>
    <w:tmpl w:val="79CE7854"/>
    <w:lvl w:ilvl="0" w:tplc="2CB0C00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8193582"/>
    <w:multiLevelType w:val="hybridMultilevel"/>
    <w:tmpl w:val="DB0269BC"/>
    <w:lvl w:ilvl="0" w:tplc="F5A0BB5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815AF3"/>
    <w:multiLevelType w:val="hybridMultilevel"/>
    <w:tmpl w:val="E8A2154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C1C05"/>
    <w:multiLevelType w:val="hybridMultilevel"/>
    <w:tmpl w:val="4AAE71F0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C2083"/>
    <w:multiLevelType w:val="hybridMultilevel"/>
    <w:tmpl w:val="D79C2BAA"/>
    <w:lvl w:ilvl="0" w:tplc="C016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30099"/>
    <w:multiLevelType w:val="hybridMultilevel"/>
    <w:tmpl w:val="53A8D5D2"/>
    <w:lvl w:ilvl="0" w:tplc="2CB0C0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E3F00AB"/>
    <w:multiLevelType w:val="hybridMultilevel"/>
    <w:tmpl w:val="9FC862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35"/>
  </w:num>
  <w:num w:numId="5">
    <w:abstractNumId w:val="25"/>
  </w:num>
  <w:num w:numId="6">
    <w:abstractNumId w:val="15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43"/>
  </w:num>
  <w:num w:numId="10">
    <w:abstractNumId w:val="42"/>
  </w:num>
  <w:num w:numId="11">
    <w:abstractNumId w:val="9"/>
  </w:num>
  <w:num w:numId="12">
    <w:abstractNumId w:val="10"/>
  </w:num>
  <w:num w:numId="13">
    <w:abstractNumId w:val="14"/>
  </w:num>
  <w:num w:numId="14">
    <w:abstractNumId w:val="28"/>
  </w:num>
  <w:num w:numId="15">
    <w:abstractNumId w:val="7"/>
  </w:num>
  <w:num w:numId="16">
    <w:abstractNumId w:val="12"/>
  </w:num>
  <w:num w:numId="17">
    <w:abstractNumId w:val="39"/>
  </w:num>
  <w:num w:numId="18">
    <w:abstractNumId w:val="3"/>
  </w:num>
  <w:num w:numId="19">
    <w:abstractNumId w:val="37"/>
  </w:num>
  <w:num w:numId="20">
    <w:abstractNumId w:val="13"/>
  </w:num>
  <w:num w:numId="21">
    <w:abstractNumId w:val="44"/>
  </w:num>
  <w:num w:numId="22">
    <w:abstractNumId w:val="30"/>
  </w:num>
  <w:num w:numId="23">
    <w:abstractNumId w:val="32"/>
  </w:num>
  <w:num w:numId="24">
    <w:abstractNumId w:val="36"/>
  </w:num>
  <w:num w:numId="25">
    <w:abstractNumId w:val="5"/>
  </w:num>
  <w:num w:numId="26">
    <w:abstractNumId w:val="19"/>
  </w:num>
  <w:num w:numId="27">
    <w:abstractNumId w:val="4"/>
  </w:num>
  <w:num w:numId="28">
    <w:abstractNumId w:val="11"/>
  </w:num>
  <w:num w:numId="29">
    <w:abstractNumId w:val="18"/>
  </w:num>
  <w:num w:numId="30">
    <w:abstractNumId w:val="8"/>
  </w:num>
  <w:num w:numId="31">
    <w:abstractNumId w:val="16"/>
  </w:num>
  <w:num w:numId="32">
    <w:abstractNumId w:val="0"/>
  </w:num>
  <w:num w:numId="33">
    <w:abstractNumId w:val="17"/>
  </w:num>
  <w:num w:numId="34">
    <w:abstractNumId w:val="6"/>
  </w:num>
  <w:num w:numId="35">
    <w:abstractNumId w:val="29"/>
  </w:num>
  <w:num w:numId="36">
    <w:abstractNumId w:val="38"/>
  </w:num>
  <w:num w:numId="37">
    <w:abstractNumId w:val="45"/>
  </w:num>
  <w:num w:numId="38">
    <w:abstractNumId w:val="34"/>
  </w:num>
  <w:num w:numId="39">
    <w:abstractNumId w:val="2"/>
  </w:num>
  <w:num w:numId="40">
    <w:abstractNumId w:val="40"/>
  </w:num>
  <w:num w:numId="41">
    <w:abstractNumId w:val="33"/>
  </w:num>
  <w:num w:numId="42">
    <w:abstractNumId w:val="23"/>
  </w:num>
  <w:num w:numId="43">
    <w:abstractNumId w:val="41"/>
  </w:num>
  <w:num w:numId="44">
    <w:abstractNumId w:val="24"/>
  </w:num>
  <w:num w:numId="45">
    <w:abstractNumId w:val="27"/>
  </w:num>
  <w:num w:numId="46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19DE"/>
    <w:rsid w:val="00023A88"/>
    <w:rsid w:val="00034511"/>
    <w:rsid w:val="000347C8"/>
    <w:rsid w:val="00045772"/>
    <w:rsid w:val="00051727"/>
    <w:rsid w:val="00053C32"/>
    <w:rsid w:val="000732E6"/>
    <w:rsid w:val="0007380A"/>
    <w:rsid w:val="00080573"/>
    <w:rsid w:val="000A1B2D"/>
    <w:rsid w:val="000A7238"/>
    <w:rsid w:val="000B4708"/>
    <w:rsid w:val="000C1D5C"/>
    <w:rsid w:val="000C38E2"/>
    <w:rsid w:val="000D353D"/>
    <w:rsid w:val="000D7013"/>
    <w:rsid w:val="000E209D"/>
    <w:rsid w:val="000E2BE2"/>
    <w:rsid w:val="000F19F5"/>
    <w:rsid w:val="000F5512"/>
    <w:rsid w:val="000F5E1B"/>
    <w:rsid w:val="00107EBE"/>
    <w:rsid w:val="00122864"/>
    <w:rsid w:val="001313F1"/>
    <w:rsid w:val="00131F2C"/>
    <w:rsid w:val="001357B2"/>
    <w:rsid w:val="00135A6C"/>
    <w:rsid w:val="00137214"/>
    <w:rsid w:val="00171230"/>
    <w:rsid w:val="001B06FF"/>
    <w:rsid w:val="001B7791"/>
    <w:rsid w:val="001C13F9"/>
    <w:rsid w:val="001C1560"/>
    <w:rsid w:val="001D0E53"/>
    <w:rsid w:val="001D385C"/>
    <w:rsid w:val="001D63AB"/>
    <w:rsid w:val="001E5C2C"/>
    <w:rsid w:val="001F2856"/>
    <w:rsid w:val="001F3909"/>
    <w:rsid w:val="0020107F"/>
    <w:rsid w:val="00202A77"/>
    <w:rsid w:val="00231EB5"/>
    <w:rsid w:val="002357DB"/>
    <w:rsid w:val="002532A5"/>
    <w:rsid w:val="00261A46"/>
    <w:rsid w:val="00271CE5"/>
    <w:rsid w:val="00276BA5"/>
    <w:rsid w:val="00282020"/>
    <w:rsid w:val="0028443F"/>
    <w:rsid w:val="00286920"/>
    <w:rsid w:val="0028782B"/>
    <w:rsid w:val="00293F72"/>
    <w:rsid w:val="002A2DEE"/>
    <w:rsid w:val="002C431D"/>
    <w:rsid w:val="002C48E3"/>
    <w:rsid w:val="002C4E06"/>
    <w:rsid w:val="002D57E9"/>
    <w:rsid w:val="002D729E"/>
    <w:rsid w:val="002E2257"/>
    <w:rsid w:val="002E4B1A"/>
    <w:rsid w:val="002F1CDD"/>
    <w:rsid w:val="0032287A"/>
    <w:rsid w:val="003236E8"/>
    <w:rsid w:val="0035256D"/>
    <w:rsid w:val="003613D2"/>
    <w:rsid w:val="003636BF"/>
    <w:rsid w:val="0037479F"/>
    <w:rsid w:val="003845B4"/>
    <w:rsid w:val="0038754C"/>
    <w:rsid w:val="00387B1A"/>
    <w:rsid w:val="00391003"/>
    <w:rsid w:val="00394156"/>
    <w:rsid w:val="003A4064"/>
    <w:rsid w:val="003E1C74"/>
    <w:rsid w:val="003E2AE7"/>
    <w:rsid w:val="004011B6"/>
    <w:rsid w:val="004124F5"/>
    <w:rsid w:val="00416654"/>
    <w:rsid w:val="00424C99"/>
    <w:rsid w:val="004718CD"/>
    <w:rsid w:val="00483EF1"/>
    <w:rsid w:val="00485338"/>
    <w:rsid w:val="00494FE2"/>
    <w:rsid w:val="004A513A"/>
    <w:rsid w:val="004B4BEE"/>
    <w:rsid w:val="004B4F10"/>
    <w:rsid w:val="004B7F8E"/>
    <w:rsid w:val="004C3DB8"/>
    <w:rsid w:val="004D0A03"/>
    <w:rsid w:val="004D3E7B"/>
    <w:rsid w:val="004D7837"/>
    <w:rsid w:val="00502F56"/>
    <w:rsid w:val="0052303B"/>
    <w:rsid w:val="00526246"/>
    <w:rsid w:val="005373DC"/>
    <w:rsid w:val="00540247"/>
    <w:rsid w:val="00544B4D"/>
    <w:rsid w:val="0055516A"/>
    <w:rsid w:val="00555416"/>
    <w:rsid w:val="00567106"/>
    <w:rsid w:val="005A190D"/>
    <w:rsid w:val="005A660F"/>
    <w:rsid w:val="005A76FD"/>
    <w:rsid w:val="005B51D7"/>
    <w:rsid w:val="005C69EE"/>
    <w:rsid w:val="005E1D3C"/>
    <w:rsid w:val="005F01F9"/>
    <w:rsid w:val="00613B3A"/>
    <w:rsid w:val="00627B67"/>
    <w:rsid w:val="00632253"/>
    <w:rsid w:val="00642714"/>
    <w:rsid w:val="006455CE"/>
    <w:rsid w:val="0064721D"/>
    <w:rsid w:val="00650483"/>
    <w:rsid w:val="00663D8A"/>
    <w:rsid w:val="00691BCB"/>
    <w:rsid w:val="006A7522"/>
    <w:rsid w:val="006B22DA"/>
    <w:rsid w:val="006B5E54"/>
    <w:rsid w:val="006B767C"/>
    <w:rsid w:val="006C3B9D"/>
    <w:rsid w:val="006C42B3"/>
    <w:rsid w:val="006D06B8"/>
    <w:rsid w:val="006D42D9"/>
    <w:rsid w:val="006D5AA9"/>
    <w:rsid w:val="006E10F9"/>
    <w:rsid w:val="006F4DAE"/>
    <w:rsid w:val="00706727"/>
    <w:rsid w:val="00730950"/>
    <w:rsid w:val="00733017"/>
    <w:rsid w:val="007412E7"/>
    <w:rsid w:val="007528B2"/>
    <w:rsid w:val="00753855"/>
    <w:rsid w:val="00772529"/>
    <w:rsid w:val="00781258"/>
    <w:rsid w:val="00783310"/>
    <w:rsid w:val="007954A8"/>
    <w:rsid w:val="007A4A6D"/>
    <w:rsid w:val="007A7B46"/>
    <w:rsid w:val="007B45F3"/>
    <w:rsid w:val="007C32F4"/>
    <w:rsid w:val="007D1BCF"/>
    <w:rsid w:val="007D4FB5"/>
    <w:rsid w:val="007D5BA5"/>
    <w:rsid w:val="007D749F"/>
    <w:rsid w:val="007D75CF"/>
    <w:rsid w:val="007E3069"/>
    <w:rsid w:val="007E43B1"/>
    <w:rsid w:val="007E491E"/>
    <w:rsid w:val="007E60F5"/>
    <w:rsid w:val="007E6DC5"/>
    <w:rsid w:val="007F05D3"/>
    <w:rsid w:val="007F6A82"/>
    <w:rsid w:val="0080575F"/>
    <w:rsid w:val="008166DD"/>
    <w:rsid w:val="008501E8"/>
    <w:rsid w:val="00851018"/>
    <w:rsid w:val="00877334"/>
    <w:rsid w:val="0087737B"/>
    <w:rsid w:val="0088043C"/>
    <w:rsid w:val="008906C9"/>
    <w:rsid w:val="008912AF"/>
    <w:rsid w:val="008937D3"/>
    <w:rsid w:val="008C2F53"/>
    <w:rsid w:val="008C32E8"/>
    <w:rsid w:val="008C5738"/>
    <w:rsid w:val="008D04F0"/>
    <w:rsid w:val="008D6C8E"/>
    <w:rsid w:val="008F1988"/>
    <w:rsid w:val="008F3500"/>
    <w:rsid w:val="009134F3"/>
    <w:rsid w:val="00923C2D"/>
    <w:rsid w:val="00924E3C"/>
    <w:rsid w:val="00944B9D"/>
    <w:rsid w:val="009612BB"/>
    <w:rsid w:val="00965228"/>
    <w:rsid w:val="00970F5F"/>
    <w:rsid w:val="00972C0C"/>
    <w:rsid w:val="00976551"/>
    <w:rsid w:val="00995299"/>
    <w:rsid w:val="009A1B5D"/>
    <w:rsid w:val="009A4E52"/>
    <w:rsid w:val="009C2A51"/>
    <w:rsid w:val="009C5429"/>
    <w:rsid w:val="009E31E4"/>
    <w:rsid w:val="009E487A"/>
    <w:rsid w:val="009F4C66"/>
    <w:rsid w:val="00A05BC2"/>
    <w:rsid w:val="00A06C82"/>
    <w:rsid w:val="00A104FB"/>
    <w:rsid w:val="00A125C5"/>
    <w:rsid w:val="00A15628"/>
    <w:rsid w:val="00A1671A"/>
    <w:rsid w:val="00A20E8A"/>
    <w:rsid w:val="00A30336"/>
    <w:rsid w:val="00A35BF0"/>
    <w:rsid w:val="00A4078C"/>
    <w:rsid w:val="00A46C4E"/>
    <w:rsid w:val="00A5039D"/>
    <w:rsid w:val="00A65983"/>
    <w:rsid w:val="00A65EE7"/>
    <w:rsid w:val="00A67554"/>
    <w:rsid w:val="00A70133"/>
    <w:rsid w:val="00A82527"/>
    <w:rsid w:val="00A8311B"/>
    <w:rsid w:val="00A903B6"/>
    <w:rsid w:val="00A97C39"/>
    <w:rsid w:val="00AA2543"/>
    <w:rsid w:val="00AA36C6"/>
    <w:rsid w:val="00AA3AA2"/>
    <w:rsid w:val="00AD30E6"/>
    <w:rsid w:val="00AE20B2"/>
    <w:rsid w:val="00AE66CA"/>
    <w:rsid w:val="00AE7ECE"/>
    <w:rsid w:val="00B17141"/>
    <w:rsid w:val="00B31575"/>
    <w:rsid w:val="00B33BB1"/>
    <w:rsid w:val="00B5017E"/>
    <w:rsid w:val="00B530AB"/>
    <w:rsid w:val="00B65F5D"/>
    <w:rsid w:val="00B7583C"/>
    <w:rsid w:val="00B77473"/>
    <w:rsid w:val="00B80B79"/>
    <w:rsid w:val="00B8547D"/>
    <w:rsid w:val="00BA488B"/>
    <w:rsid w:val="00BC1A92"/>
    <w:rsid w:val="00BC7716"/>
    <w:rsid w:val="00BD5F65"/>
    <w:rsid w:val="00BE7F0C"/>
    <w:rsid w:val="00C108E0"/>
    <w:rsid w:val="00C250D5"/>
    <w:rsid w:val="00C362DE"/>
    <w:rsid w:val="00C57202"/>
    <w:rsid w:val="00C70B37"/>
    <w:rsid w:val="00C75527"/>
    <w:rsid w:val="00C76F20"/>
    <w:rsid w:val="00C9050C"/>
    <w:rsid w:val="00C92898"/>
    <w:rsid w:val="00CA678E"/>
    <w:rsid w:val="00CB2576"/>
    <w:rsid w:val="00CB4725"/>
    <w:rsid w:val="00CE258F"/>
    <w:rsid w:val="00CE7514"/>
    <w:rsid w:val="00CF1C7B"/>
    <w:rsid w:val="00D0006F"/>
    <w:rsid w:val="00D04605"/>
    <w:rsid w:val="00D1013C"/>
    <w:rsid w:val="00D248DE"/>
    <w:rsid w:val="00D27CAB"/>
    <w:rsid w:val="00D65AF9"/>
    <w:rsid w:val="00D808A7"/>
    <w:rsid w:val="00D8542D"/>
    <w:rsid w:val="00D85EBF"/>
    <w:rsid w:val="00DC0A7D"/>
    <w:rsid w:val="00DC3316"/>
    <w:rsid w:val="00DC6A71"/>
    <w:rsid w:val="00DC7B64"/>
    <w:rsid w:val="00DE06DE"/>
    <w:rsid w:val="00DE5B46"/>
    <w:rsid w:val="00E0357D"/>
    <w:rsid w:val="00E1719D"/>
    <w:rsid w:val="00E22011"/>
    <w:rsid w:val="00E24EC2"/>
    <w:rsid w:val="00E27591"/>
    <w:rsid w:val="00E27A6F"/>
    <w:rsid w:val="00E363B4"/>
    <w:rsid w:val="00E42237"/>
    <w:rsid w:val="00E45F32"/>
    <w:rsid w:val="00E46CF6"/>
    <w:rsid w:val="00E660C3"/>
    <w:rsid w:val="00E67E20"/>
    <w:rsid w:val="00E76F50"/>
    <w:rsid w:val="00E80E1E"/>
    <w:rsid w:val="00E82F62"/>
    <w:rsid w:val="00E97291"/>
    <w:rsid w:val="00EB4B5C"/>
    <w:rsid w:val="00EB6BC4"/>
    <w:rsid w:val="00EC4730"/>
    <w:rsid w:val="00EC58A7"/>
    <w:rsid w:val="00ED7AE3"/>
    <w:rsid w:val="00EF542D"/>
    <w:rsid w:val="00EF79CF"/>
    <w:rsid w:val="00F13584"/>
    <w:rsid w:val="00F144FF"/>
    <w:rsid w:val="00F156F4"/>
    <w:rsid w:val="00F15A55"/>
    <w:rsid w:val="00F240BB"/>
    <w:rsid w:val="00F25572"/>
    <w:rsid w:val="00F3246F"/>
    <w:rsid w:val="00F415A2"/>
    <w:rsid w:val="00F43B4A"/>
    <w:rsid w:val="00F46724"/>
    <w:rsid w:val="00F47713"/>
    <w:rsid w:val="00F553FB"/>
    <w:rsid w:val="00F5713E"/>
    <w:rsid w:val="00F57FED"/>
    <w:rsid w:val="00F85440"/>
    <w:rsid w:val="00F87DF8"/>
    <w:rsid w:val="00F905A5"/>
    <w:rsid w:val="00FA1DC1"/>
    <w:rsid w:val="00FA7EF9"/>
    <w:rsid w:val="00FB163D"/>
    <w:rsid w:val="00FB7E35"/>
    <w:rsid w:val="00FE3217"/>
    <w:rsid w:val="00FE438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styleId="Besedilooblaka">
    <w:name w:val="Balloon Text"/>
    <w:basedOn w:val="Navaden"/>
    <w:link w:val="BesedilooblakaZnak"/>
    <w:rsid w:val="002C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C431D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E7F0C"/>
    <w:pPr>
      <w:ind w:left="720"/>
      <w:contextualSpacing/>
    </w:pPr>
  </w:style>
  <w:style w:type="character" w:styleId="Pripombasklic">
    <w:name w:val="annotation reference"/>
    <w:basedOn w:val="Privzetapisavaodstavka"/>
    <w:rsid w:val="00C70B3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B3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0B3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0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0B3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C70B37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9A1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D3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1D0E53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1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7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paragraph" w:styleId="Besedilooblaka">
    <w:name w:val="Balloon Text"/>
    <w:basedOn w:val="Navaden"/>
    <w:link w:val="BesedilooblakaZnak"/>
    <w:rsid w:val="002C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C431D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E7F0C"/>
    <w:pPr>
      <w:ind w:left="720"/>
      <w:contextualSpacing/>
    </w:pPr>
  </w:style>
  <w:style w:type="character" w:styleId="Pripombasklic">
    <w:name w:val="annotation reference"/>
    <w:basedOn w:val="Privzetapisavaodstavka"/>
    <w:rsid w:val="00C70B3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70B3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70B37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70B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0B3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C70B37"/>
    <w:rPr>
      <w:rFonts w:ascii="Arial" w:hAnsi="Arial"/>
      <w:szCs w:val="24"/>
      <w:lang w:val="en-US"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9A1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D30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1D0E5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gal-content/SL/TXT/HTML/?uri=CELEX:32016L2284&amp;from=EN" TargetMode="External"/><Relationship Id="rId18" Type="http://schemas.openxmlformats.org/officeDocument/2006/relationships/hyperlink" Target="http://eur-lex.europa.eu/legal-content/SL/TXT/HTML/?uri=CELEX:32016L2284&amp;from=EN" TargetMode="External"/><Relationship Id="rId26" Type="http://schemas.openxmlformats.org/officeDocument/2006/relationships/hyperlink" Target="http://eur-lex.europa.eu/legal-content/SL/TXT/HTML/?uri=CELEX:32016L2284&amp;from=EN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legal-content/SL/TXT/HTML/?uri=CELEX:32016L2284&amp;from=E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SL/TXT/HTML/?uri=CELEX:32016L2284&amp;from=EN" TargetMode="External"/><Relationship Id="rId17" Type="http://schemas.openxmlformats.org/officeDocument/2006/relationships/hyperlink" Target="http://eur-lex.europa.eu/legal-content/SL/TXT/HTML/?uri=CELEX:32016L2284&amp;from=EN" TargetMode="External"/><Relationship Id="rId25" Type="http://schemas.openxmlformats.org/officeDocument/2006/relationships/hyperlink" Target="http://eur-lex.europa.eu/legal-content/SL/TXT/HTML/?uri=CELEX:32016L2284&amp;from=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SL/TXT/HTML/?uri=CELEX:32016L2284&amp;from=EN" TargetMode="External"/><Relationship Id="rId20" Type="http://schemas.openxmlformats.org/officeDocument/2006/relationships/hyperlink" Target="http://eur-lex.europa.eu/legal-content/SL/TXT/HTML/?uri=CELEX:32016L2284&amp;from=EN" TargetMode="External"/><Relationship Id="rId29" Type="http://schemas.openxmlformats.org/officeDocument/2006/relationships/hyperlink" Target="http://eur-lex.europa.eu/legal-content/SL/TXT/HTML/?uri=CELEX:32016L2284&amp;from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SL/TXT/HTML/?uri=CELEX:32016L2284&amp;from=EN" TargetMode="External"/><Relationship Id="rId24" Type="http://schemas.openxmlformats.org/officeDocument/2006/relationships/hyperlink" Target="http://eur-lex.europa.eu/legal-content/SL/TXT/HTML/?uri=CELEX:32016L2284&amp;from=EN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SL/TXT/HTML/?uri=CELEX:32016L2284&amp;from=EN" TargetMode="External"/><Relationship Id="rId23" Type="http://schemas.openxmlformats.org/officeDocument/2006/relationships/hyperlink" Target="http://eur-lex.europa.eu/legal-content/SL/TXT/HTML/?uri=CELEX:32016L2284&amp;from=EN" TargetMode="External"/><Relationship Id="rId28" Type="http://schemas.openxmlformats.org/officeDocument/2006/relationships/hyperlink" Target="http://eur-lex.europa.eu/legal-content/SL/TXT/HTML/?uri=CELEX:32016L2284&amp;from=EN" TargetMode="External"/><Relationship Id="rId10" Type="http://schemas.openxmlformats.org/officeDocument/2006/relationships/hyperlink" Target="http://eur-lex.europa.eu/legal-content/SL/TXT/HTML/?uri=CELEX:32016L2284&amp;from=EN" TargetMode="External"/><Relationship Id="rId19" Type="http://schemas.openxmlformats.org/officeDocument/2006/relationships/hyperlink" Target="http://eur-lex.europa.eu/legal-content/SL/TXT/HTML/?uri=CELEX:32016L2284&amp;from=EN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SL/TXT/HTML/?uri=CELEX:32016L2284&amp;from=EN" TargetMode="External"/><Relationship Id="rId14" Type="http://schemas.openxmlformats.org/officeDocument/2006/relationships/hyperlink" Target="http://eur-lex.europa.eu/legal-content/SL/TXT/HTML/?uri=CELEX:32016L2284&amp;from=EN" TargetMode="External"/><Relationship Id="rId22" Type="http://schemas.openxmlformats.org/officeDocument/2006/relationships/hyperlink" Target="http://eur-lex.europa.eu/legal-content/SL/TXT/HTML/?uri=CELEX:32016L2284&amp;from=EN" TargetMode="External"/><Relationship Id="rId27" Type="http://schemas.openxmlformats.org/officeDocument/2006/relationships/hyperlink" Target="http://eur-lex.europa.eu/legal-content/SL/TXT/HTML/?uri=CELEX:32016L2284&amp;from=E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0E57-B52C-48ED-9902-2EA1BC4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26698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MVokal</cp:lastModifiedBy>
  <cp:revision>7</cp:revision>
  <cp:lastPrinted>2018-07-02T12:15:00Z</cp:lastPrinted>
  <dcterms:created xsi:type="dcterms:W3CDTF">2018-07-10T09:07:00Z</dcterms:created>
  <dcterms:modified xsi:type="dcterms:W3CDTF">2018-07-12T05:15:00Z</dcterms:modified>
</cp:coreProperties>
</file>