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F" w:rsidRDefault="007D75CF" w:rsidP="00371AD9">
      <w:pPr>
        <w:rPr>
          <w:lang w:val="sl-SI"/>
        </w:rPr>
      </w:pPr>
    </w:p>
    <w:p w:rsidR="00BE1017" w:rsidRPr="00BE1017" w:rsidRDefault="00BE1017" w:rsidP="00BE1017">
      <w:pPr>
        <w:spacing w:after="200" w:line="276" w:lineRule="auto"/>
        <w:contextualSpacing/>
        <w:rPr>
          <w:rFonts w:cs="Arial"/>
          <w:b/>
          <w:szCs w:val="20"/>
          <w:lang w:val="sl-SI"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BE1017" w:rsidRPr="00BE1017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E1017" w:rsidRPr="00BE1017" w:rsidRDefault="00BE1017" w:rsidP="00906B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E1017">
              <w:rPr>
                <w:rFonts w:cs="Arial"/>
                <w:szCs w:val="20"/>
                <w:lang w:val="sl-SI" w:eastAsia="sl-SI"/>
              </w:rPr>
              <w:t xml:space="preserve">Številka: </w:t>
            </w:r>
            <w:r w:rsidR="002F0A01" w:rsidRPr="002F0A01">
              <w:rPr>
                <w:rFonts w:cs="Arial"/>
                <w:szCs w:val="20"/>
                <w:lang w:val="sl-SI" w:eastAsia="sl-SI"/>
              </w:rPr>
              <w:t>5433-6/2017/4</w:t>
            </w:r>
          </w:p>
        </w:tc>
      </w:tr>
      <w:tr w:rsidR="00BE1017" w:rsidRPr="00906B49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E1017" w:rsidRPr="00BE1017" w:rsidRDefault="002F0A01" w:rsidP="005950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595060">
              <w:rPr>
                <w:rFonts w:cs="Arial"/>
                <w:szCs w:val="20"/>
                <w:lang w:val="sl-SI" w:eastAsia="sl-SI"/>
              </w:rPr>
              <w:t>27</w:t>
            </w:r>
            <w:bookmarkStart w:id="0" w:name="_GoBack"/>
            <w:bookmarkEnd w:id="0"/>
            <w:r>
              <w:rPr>
                <w:rFonts w:cs="Arial"/>
                <w:szCs w:val="20"/>
                <w:lang w:val="sl-SI" w:eastAsia="sl-SI"/>
              </w:rPr>
              <w:t>. 11. 2017</w:t>
            </w:r>
            <w:r w:rsidR="00BE1017" w:rsidRPr="00BE1017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</w:tr>
      <w:tr w:rsidR="00BE1017" w:rsidRPr="00906B49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E1017" w:rsidRPr="00BE1017" w:rsidRDefault="00BE1017" w:rsidP="00906B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E1017">
              <w:rPr>
                <w:rFonts w:cs="Arial"/>
                <w:iCs/>
                <w:szCs w:val="20"/>
                <w:lang w:val="sl-SI" w:eastAsia="sl-SI"/>
              </w:rPr>
              <w:t xml:space="preserve">EVA </w:t>
            </w:r>
            <w:r w:rsidR="00906B49" w:rsidRPr="00906B49">
              <w:rPr>
                <w:rFonts w:cs="Arial"/>
                <w:iCs/>
                <w:szCs w:val="20"/>
                <w:lang w:val="sl-SI" w:eastAsia="sl-SI"/>
              </w:rPr>
              <w:t>2017-1811-0104</w:t>
            </w:r>
          </w:p>
        </w:tc>
      </w:tr>
      <w:tr w:rsidR="00BE1017" w:rsidRPr="00BE1017" w:rsidTr="00B876EB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</w:p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  <w:r w:rsidRPr="00BE1017">
              <w:rPr>
                <w:rFonts w:eastAsia="Calibri" w:cs="Arial"/>
                <w:szCs w:val="20"/>
                <w:lang w:val="sl-SI"/>
              </w:rPr>
              <w:t>GENERALNI SEKRETARIAT VLADE REPUBLIKE SLOVENIJE</w:t>
            </w:r>
          </w:p>
          <w:p w:rsidR="00BE1017" w:rsidRPr="00BE1017" w:rsidRDefault="00F54271" w:rsidP="00BE1017">
            <w:pPr>
              <w:rPr>
                <w:rFonts w:eastAsia="Calibri" w:cs="Arial"/>
                <w:szCs w:val="20"/>
                <w:lang w:val="sl-SI"/>
              </w:rPr>
            </w:pPr>
            <w:hyperlink r:id="rId8" w:history="1">
              <w:r w:rsidR="00BE1017" w:rsidRPr="00BE1017">
                <w:rPr>
                  <w:rFonts w:eastAsia="Calibri" w:cs="Arial"/>
                  <w:color w:val="0000FF"/>
                  <w:szCs w:val="20"/>
                  <w:u w:val="single"/>
                  <w:lang w:val="sl-SI"/>
                </w:rPr>
                <w:t>Gp.gs@gov.si</w:t>
              </w:r>
            </w:hyperlink>
          </w:p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</w:p>
        </w:tc>
      </w:tr>
      <w:tr w:rsidR="00BE1017" w:rsidRPr="00906B49" w:rsidTr="00B876EB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BE1017" w:rsidRPr="00BE1017" w:rsidRDefault="00BE1017" w:rsidP="00906B4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E1017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906B49">
              <w:rPr>
                <w:rFonts w:cs="Arial"/>
                <w:b/>
                <w:szCs w:val="20"/>
                <w:lang w:val="sl-SI" w:eastAsia="sl-SI"/>
              </w:rPr>
              <w:t>U</w:t>
            </w:r>
            <w:r w:rsidR="00906B49" w:rsidRPr="00906B49">
              <w:rPr>
                <w:rFonts w:cs="Arial"/>
                <w:b/>
                <w:szCs w:val="20"/>
                <w:lang w:val="sl-SI" w:eastAsia="sl-SI"/>
              </w:rPr>
              <w:t>redb</w:t>
            </w:r>
            <w:r w:rsidR="00906B49">
              <w:rPr>
                <w:rFonts w:cs="Arial"/>
                <w:b/>
                <w:szCs w:val="20"/>
                <w:lang w:val="sl-SI" w:eastAsia="sl-SI"/>
              </w:rPr>
              <w:t xml:space="preserve">a </w:t>
            </w:r>
            <w:r w:rsidR="00906B49" w:rsidRPr="00906B49">
              <w:rPr>
                <w:rFonts w:cs="Arial"/>
                <w:b/>
                <w:szCs w:val="20"/>
                <w:lang w:val="sl-SI" w:eastAsia="sl-SI"/>
              </w:rPr>
              <w:t xml:space="preserve">o spremembah in dopolnitvah </w:t>
            </w:r>
            <w:r w:rsidR="00906B49">
              <w:rPr>
                <w:rFonts w:cs="Arial"/>
                <w:b/>
                <w:szCs w:val="20"/>
                <w:lang w:val="sl-SI" w:eastAsia="sl-SI"/>
              </w:rPr>
              <w:t>U</w:t>
            </w:r>
            <w:r w:rsidR="00906B49" w:rsidRPr="00906B49">
              <w:rPr>
                <w:rFonts w:cs="Arial"/>
                <w:b/>
                <w:szCs w:val="20"/>
                <w:lang w:val="sl-SI" w:eastAsia="sl-SI"/>
              </w:rPr>
              <w:t xml:space="preserve">redbe o omejevalnih ukrepih proti nekaterim osebam in subjektom, povezanim z mrežo </w:t>
            </w:r>
            <w:r w:rsidR="00906B49">
              <w:rPr>
                <w:rFonts w:cs="Arial"/>
                <w:b/>
                <w:szCs w:val="20"/>
                <w:lang w:val="sl-SI" w:eastAsia="sl-SI"/>
              </w:rPr>
              <w:t>A</w:t>
            </w:r>
            <w:r w:rsidR="00906B49" w:rsidRPr="00906B49">
              <w:rPr>
                <w:rFonts w:cs="Arial"/>
                <w:b/>
                <w:szCs w:val="20"/>
                <w:lang w:val="sl-SI" w:eastAsia="sl-SI"/>
              </w:rPr>
              <w:t xml:space="preserve">l </w:t>
            </w:r>
            <w:proofErr w:type="spellStart"/>
            <w:r w:rsidR="00906B49">
              <w:rPr>
                <w:rFonts w:cs="Arial"/>
                <w:b/>
                <w:szCs w:val="20"/>
                <w:lang w:val="sl-SI" w:eastAsia="sl-SI"/>
              </w:rPr>
              <w:t>K</w:t>
            </w:r>
            <w:r w:rsidR="00906B49" w:rsidRPr="00906B49">
              <w:rPr>
                <w:rFonts w:cs="Arial"/>
                <w:b/>
                <w:szCs w:val="20"/>
                <w:lang w:val="sl-SI" w:eastAsia="sl-SI"/>
              </w:rPr>
              <w:t>aida</w:t>
            </w:r>
            <w:proofErr w:type="spellEnd"/>
            <w:r w:rsidR="00906B49" w:rsidRPr="00906B49">
              <w:rPr>
                <w:rFonts w:cs="Arial"/>
                <w:b/>
                <w:szCs w:val="20"/>
                <w:lang w:val="sl-SI" w:eastAsia="sl-SI"/>
              </w:rPr>
              <w:t xml:space="preserve">, ter izvajanju </w:t>
            </w:r>
            <w:r w:rsidR="00906B49">
              <w:rPr>
                <w:rFonts w:cs="Arial"/>
                <w:b/>
                <w:szCs w:val="20"/>
                <w:lang w:val="sl-SI" w:eastAsia="sl-SI"/>
              </w:rPr>
              <w:t>U</w:t>
            </w:r>
            <w:r w:rsidR="00906B49" w:rsidRPr="00906B49">
              <w:rPr>
                <w:rFonts w:cs="Arial"/>
                <w:b/>
                <w:szCs w:val="20"/>
                <w:lang w:val="sl-SI" w:eastAsia="sl-SI"/>
              </w:rPr>
              <w:t xml:space="preserve">redbe </w:t>
            </w:r>
            <w:r w:rsidR="00906B49">
              <w:rPr>
                <w:rFonts w:cs="Arial"/>
                <w:b/>
                <w:szCs w:val="20"/>
                <w:lang w:val="sl-SI" w:eastAsia="sl-SI"/>
              </w:rPr>
              <w:t>S</w:t>
            </w:r>
            <w:r w:rsidR="00906B49" w:rsidRPr="00906B49">
              <w:rPr>
                <w:rFonts w:cs="Arial"/>
                <w:b/>
                <w:szCs w:val="20"/>
                <w:lang w:val="sl-SI" w:eastAsia="sl-SI"/>
              </w:rPr>
              <w:t>veta (</w:t>
            </w:r>
            <w:r w:rsidR="00906B49">
              <w:rPr>
                <w:rFonts w:cs="Arial"/>
                <w:b/>
                <w:szCs w:val="20"/>
                <w:lang w:val="sl-SI" w:eastAsia="sl-SI"/>
              </w:rPr>
              <w:t>ES</w:t>
            </w:r>
            <w:r w:rsidR="00906B49" w:rsidRPr="00906B49">
              <w:rPr>
                <w:rFonts w:cs="Arial"/>
                <w:b/>
                <w:szCs w:val="20"/>
                <w:lang w:val="sl-SI" w:eastAsia="sl-SI"/>
              </w:rPr>
              <w:t>) št. 881/2002</w:t>
            </w:r>
            <w:r w:rsidR="00906B49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BE1017">
              <w:rPr>
                <w:rFonts w:cs="Arial"/>
                <w:b/>
                <w:szCs w:val="20"/>
                <w:lang w:val="sl-SI" w:eastAsia="sl-SI"/>
              </w:rPr>
              <w:t xml:space="preserve">– predlog za obravnavo </w:t>
            </w:r>
          </w:p>
        </w:tc>
      </w:tr>
      <w:tr w:rsidR="00BE1017" w:rsidRPr="00BE1017" w:rsidTr="00B876EB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BE1017" w:rsidRPr="00BE1017" w:rsidRDefault="00BE1017" w:rsidP="00BE101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E1017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BE1017" w:rsidRPr="00906B49" w:rsidTr="00B876EB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Na podlagi 3. člena Zakona o omejevalnih ukrepih, ki jih Republika Slovenija uvede ali izvaja skladno s pravnimi akti in odločitvami, sprejetimi v okviru mednarodnih organizacij (Uradni list RS št. 127/06) je Vlada Republike Slovenije je na seji ............... dne .............. sprejela sklep: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Vlada Republike Slovenije izdaja Uredb</w:t>
            </w:r>
            <w:r w:rsidR="00BA2869">
              <w:rPr>
                <w:rFonts w:cs="Arial"/>
                <w:iCs/>
                <w:szCs w:val="20"/>
                <w:lang w:val="sl-SI" w:eastAsia="sl-SI"/>
              </w:rPr>
              <w:t>o</w:t>
            </w:r>
            <w:r w:rsidRPr="00906B49">
              <w:rPr>
                <w:rFonts w:cs="Arial"/>
                <w:iCs/>
                <w:szCs w:val="20"/>
                <w:lang w:val="sl-SI" w:eastAsia="sl-SI"/>
              </w:rPr>
              <w:t xml:space="preserve"> o spremembah in dopolnitvah Uredbe o omejevalnih ukrepih proti nekaterim osebam in subjektom, povezanim z mrežo Al </w:t>
            </w:r>
            <w:proofErr w:type="spellStart"/>
            <w:r w:rsidRPr="00906B49">
              <w:rPr>
                <w:rFonts w:cs="Arial"/>
                <w:iCs/>
                <w:szCs w:val="20"/>
                <w:lang w:val="sl-SI" w:eastAsia="sl-SI"/>
              </w:rPr>
              <w:t>Kaida</w:t>
            </w:r>
            <w:proofErr w:type="spellEnd"/>
            <w:r w:rsidRPr="00906B49">
              <w:rPr>
                <w:rFonts w:cs="Arial"/>
                <w:iCs/>
                <w:szCs w:val="20"/>
                <w:lang w:val="sl-SI" w:eastAsia="sl-SI"/>
              </w:rPr>
              <w:t>, ter izvajanju Uredbe Sveta (ES) št. 881/2002 ter jo objavi v Uradnem listu Republike Slovenije.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 xml:space="preserve">Sklep prejmejo: 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Ministrstvo za finance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Ministrstvo za gospodarski razvoj in tehnologijo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Ministrstvo za notranje zadeve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Ministrstvo za obrambo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Ministrstvo za okolje in prostor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 xml:space="preserve">- Ministrstvo za </w:t>
            </w:r>
            <w:r w:rsidR="00FA7CDC">
              <w:rPr>
                <w:rFonts w:cs="Arial"/>
                <w:iCs/>
                <w:szCs w:val="20"/>
                <w:lang w:val="sl-SI" w:eastAsia="sl-SI"/>
              </w:rPr>
              <w:t>javno upravo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Ministrstvo za infrastrukturo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Ministrstvo za pravosodje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Ministrstvo za zdravje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Ministrstvo za zunanje zadeve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Banka Slovenije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Finančna uprava Republike Slovenije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Slovenska obveščevalno-varnostna agencija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Urad Republike Slovenije za preprečevanje pranja denarja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Uprava Republike Slovenije za jedrsko varnost</w:t>
            </w:r>
          </w:p>
          <w:p w:rsidR="00906B49" w:rsidRPr="00906B49" w:rsidRDefault="00906B49" w:rsidP="00906B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Urad Republike Slovenije za kemikalije</w:t>
            </w:r>
          </w:p>
          <w:p w:rsidR="00BE1017" w:rsidRPr="00BE6BA2" w:rsidRDefault="00906B49" w:rsidP="00906B49">
            <w:pPr>
              <w:spacing w:line="240" w:lineRule="atLeast"/>
              <w:jc w:val="both"/>
              <w:rPr>
                <w:rFonts w:cs="Arial"/>
                <w:bCs/>
                <w:i/>
                <w:color w:val="FF0000"/>
                <w:szCs w:val="20"/>
                <w:lang w:val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 Policija</w:t>
            </w:r>
          </w:p>
        </w:tc>
      </w:tr>
      <w:tr w:rsidR="00B876EB" w:rsidRPr="00906B49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876EB" w:rsidRPr="00906B49" w:rsidTr="00B876EB">
        <w:tc>
          <w:tcPr>
            <w:tcW w:w="9163" w:type="dxa"/>
            <w:gridSpan w:val="5"/>
          </w:tcPr>
          <w:p w:rsidR="00B876EB" w:rsidRPr="00B876EB" w:rsidRDefault="00906B49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3.a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B876EB" w:rsidRPr="00595060" w:rsidTr="00B876EB">
        <w:tc>
          <w:tcPr>
            <w:tcW w:w="9163" w:type="dxa"/>
            <w:gridSpan w:val="5"/>
          </w:tcPr>
          <w:p w:rsidR="00906B49" w:rsidRPr="00906B49" w:rsidRDefault="00906B49" w:rsidP="00906B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- </w:t>
            </w:r>
            <w:r w:rsidRPr="00906B49">
              <w:rPr>
                <w:rFonts w:cs="Arial"/>
                <w:iCs/>
                <w:szCs w:val="20"/>
                <w:lang w:val="sl-SI" w:eastAsia="sl-SI"/>
              </w:rPr>
              <w:t>Sabina Stadler Repnik, generaln</w:t>
            </w:r>
            <w:r w:rsidR="00F30832">
              <w:rPr>
                <w:rFonts w:cs="Arial"/>
                <w:iCs/>
                <w:szCs w:val="20"/>
                <w:lang w:val="sl-SI" w:eastAsia="sl-SI"/>
              </w:rPr>
              <w:t>a</w:t>
            </w:r>
            <w:r w:rsidRPr="00906B49">
              <w:rPr>
                <w:rFonts w:cs="Arial"/>
                <w:iCs/>
                <w:szCs w:val="20"/>
                <w:lang w:val="sl-SI" w:eastAsia="sl-SI"/>
              </w:rPr>
              <w:t xml:space="preserve"> direktoric</w:t>
            </w:r>
            <w:r w:rsidR="00F30832">
              <w:rPr>
                <w:rFonts w:cs="Arial"/>
                <w:iCs/>
                <w:szCs w:val="20"/>
                <w:lang w:val="sl-SI" w:eastAsia="sl-SI"/>
              </w:rPr>
              <w:t>a</w:t>
            </w:r>
            <w:r w:rsidRPr="00906B49">
              <w:rPr>
                <w:rFonts w:cs="Arial"/>
                <w:iCs/>
                <w:szCs w:val="20"/>
                <w:lang w:val="sl-SI" w:eastAsia="sl-SI"/>
              </w:rPr>
              <w:t xml:space="preserve"> za </w:t>
            </w:r>
            <w:proofErr w:type="spellStart"/>
            <w:r w:rsidRPr="00906B49">
              <w:rPr>
                <w:rFonts w:cs="Arial"/>
                <w:iCs/>
                <w:szCs w:val="20"/>
                <w:lang w:val="sl-SI" w:eastAsia="sl-SI"/>
              </w:rPr>
              <w:t>multilateralo</w:t>
            </w:r>
            <w:proofErr w:type="spellEnd"/>
            <w:r w:rsidRPr="00906B49">
              <w:rPr>
                <w:rFonts w:cs="Arial"/>
                <w:iCs/>
                <w:szCs w:val="20"/>
                <w:lang w:val="sl-SI" w:eastAsia="sl-SI"/>
              </w:rPr>
              <w:t>, razvojno sodelovanje in mednarodno pravo v Ministrstvu za zunanje zadeve</w:t>
            </w:r>
          </w:p>
          <w:p w:rsidR="00B876EB" w:rsidRPr="00B876EB" w:rsidRDefault="00906B49" w:rsidP="00906B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-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 w:rsidRPr="00906B49">
              <w:rPr>
                <w:rFonts w:cs="Arial"/>
                <w:iCs/>
                <w:szCs w:val="20"/>
                <w:lang w:val="sl-SI" w:eastAsia="sl-SI"/>
              </w:rPr>
              <w:t>Borut Mahnič, veleposlanik, vodja sektorja za mednarodno pravo v Ministrstvu za zunanje zadeve</w:t>
            </w:r>
          </w:p>
        </w:tc>
      </w:tr>
      <w:tr w:rsidR="00B876EB" w:rsidRPr="00595060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iCs/>
                <w:szCs w:val="20"/>
                <w:lang w:val="sl-SI" w:eastAsia="sl-SI"/>
              </w:rPr>
              <w:t>3.b</w:t>
            </w:r>
            <w:proofErr w:type="spellEnd"/>
            <w:r w:rsidRPr="00B876EB">
              <w:rPr>
                <w:rFonts w:cs="Arial"/>
                <w:b/>
                <w:iCs/>
                <w:szCs w:val="20"/>
                <w:lang w:val="sl-SI" w:eastAsia="sl-SI"/>
              </w:rPr>
              <w:t xml:space="preserve"> Zunanji strokovnjaki, ki so </w:t>
            </w:r>
            <w:r w:rsidRPr="00B876EB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B876EB" w:rsidRPr="00906B49" w:rsidTr="00B876EB">
        <w:tc>
          <w:tcPr>
            <w:tcW w:w="9163" w:type="dxa"/>
            <w:gridSpan w:val="5"/>
          </w:tcPr>
          <w:p w:rsidR="00B876EB" w:rsidRPr="00B876EB" w:rsidRDefault="00906B49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B876EB" w:rsidRPr="00906B49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B876EB" w:rsidRPr="00906B49" w:rsidTr="00B876EB">
        <w:tc>
          <w:tcPr>
            <w:tcW w:w="9163" w:type="dxa"/>
            <w:gridSpan w:val="5"/>
          </w:tcPr>
          <w:p w:rsidR="00B876EB" w:rsidRPr="00B876EB" w:rsidRDefault="00906B49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906B49" w:rsidP="00906B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lastRenderedPageBreak/>
              <w:t xml:space="preserve">Predlog uredbe pomeni uskladitev slovenske izvedbene uredbe s spremembami uredbe Sveta (EU) št. </w:t>
            </w:r>
            <w:r>
              <w:rPr>
                <w:rFonts w:cs="Arial"/>
                <w:iCs/>
                <w:szCs w:val="20"/>
                <w:lang w:val="sl-SI" w:eastAsia="sl-SI"/>
              </w:rPr>
              <w:t>881</w:t>
            </w:r>
            <w:r w:rsidRPr="00906B49">
              <w:rPr>
                <w:rFonts w:cs="Arial"/>
                <w:iCs/>
                <w:szCs w:val="20"/>
                <w:lang w:val="sl-SI" w:eastAsia="sl-SI"/>
              </w:rPr>
              <w:t>/200</w:t>
            </w:r>
            <w:r>
              <w:rPr>
                <w:rFonts w:cs="Arial"/>
                <w:iCs/>
                <w:szCs w:val="20"/>
                <w:lang w:val="sl-SI" w:eastAsia="sl-SI"/>
              </w:rPr>
              <w:t>2</w:t>
            </w:r>
            <w:r w:rsidRPr="00906B49">
              <w:rPr>
                <w:rFonts w:cs="Arial"/>
                <w:iCs/>
                <w:szCs w:val="20"/>
                <w:lang w:val="sl-SI" w:eastAsia="sl-SI"/>
              </w:rPr>
              <w:t>/ES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, določa pa tudi način takojšnje izvedbe dopolnitve </w:t>
            </w:r>
            <w:proofErr w:type="spellStart"/>
            <w:r>
              <w:rPr>
                <w:rFonts w:cs="Arial"/>
                <w:iCs/>
                <w:szCs w:val="20"/>
                <w:lang w:val="sl-SI" w:eastAsia="sl-SI"/>
              </w:rPr>
              <w:t>sankcijskega</w:t>
            </w:r>
            <w:proofErr w:type="spellEnd"/>
            <w:r>
              <w:rPr>
                <w:rFonts w:cs="Arial"/>
                <w:iCs/>
                <w:szCs w:val="20"/>
                <w:lang w:val="sl-SI" w:eastAsia="sl-SI"/>
              </w:rPr>
              <w:t xml:space="preserve"> seznama Varnostnega sveta OZN.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906B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B876EB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  <w:tcBorders>
              <w:bottom w:val="single" w:sz="4" w:space="0" w:color="auto"/>
            </w:tcBorders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B" w:rsidRPr="00B876EB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7.a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Predstavitev ocene finančnih posledic nad 40.000 EUR:</w:t>
            </w:r>
          </w:p>
          <w:p w:rsidR="00B876EB" w:rsidRPr="00B876EB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(Samo če izberete DA pod točko 6.a.)</w:t>
            </w:r>
          </w:p>
        </w:tc>
      </w:tr>
    </w:tbl>
    <w:p w:rsidR="00B876EB" w:rsidRPr="00B876EB" w:rsidRDefault="00B876EB" w:rsidP="00B876EB">
      <w:pPr>
        <w:rPr>
          <w:rFonts w:cs="Arial"/>
          <w:vanish/>
          <w:szCs w:val="20"/>
          <w:lang w:val="sl-SI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B876EB" w:rsidRPr="00595060" w:rsidTr="00980CBD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B876EB" w:rsidRPr="00B876EB" w:rsidTr="00980CBD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876EB" w:rsidRPr="00B876EB" w:rsidTr="00980CBD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B876EB" w:rsidRPr="00B876EB" w:rsidTr="00980CB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B876EB" w:rsidRPr="00B876EB" w:rsidTr="00980CB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876EB" w:rsidRPr="00B876EB" w:rsidTr="00980CBD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B876EB" w:rsidRPr="00B876EB" w:rsidTr="00980CB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B876EB" w:rsidRPr="00B876EB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B876EB" w:rsidRPr="00B876EB" w:rsidTr="00980CBD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595060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B876EB" w:rsidRPr="00B876EB" w:rsidRDefault="00B876EB" w:rsidP="00B876EB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B876EB" w:rsidRPr="00B876EB" w:rsidRDefault="00B876EB" w:rsidP="00B876EB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B876EB" w:rsidRPr="00B876EB" w:rsidRDefault="00B876EB" w:rsidP="00B876EB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B876EB" w:rsidRPr="00B876EB" w:rsidRDefault="00B876EB" w:rsidP="00B876EB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B876EB" w:rsidRPr="00B876EB" w:rsidRDefault="00B876EB" w:rsidP="00B876EB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B876EB" w:rsidRPr="00B876EB" w:rsidRDefault="00B876EB" w:rsidP="00B876E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B876EB" w:rsidRPr="00B876EB" w:rsidRDefault="00B876EB" w:rsidP="00B876E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B876EB" w:rsidRPr="00B876EB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val="sl-SI" w:eastAsia="sl-SI"/>
              </w:rPr>
            </w:pPr>
          </w:p>
        </w:tc>
      </w:tr>
      <w:tr w:rsidR="00B876EB" w:rsidRPr="00595060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/>
              </w:rPr>
              <w:lastRenderedPageBreak/>
              <w:t>7.b</w:t>
            </w:r>
            <w:proofErr w:type="spellEnd"/>
            <w:r w:rsidRPr="00B876EB">
              <w:rPr>
                <w:rFonts w:cs="Arial"/>
                <w:b/>
                <w:szCs w:val="20"/>
                <w:lang w:val="sl-SI"/>
              </w:rPr>
              <w:t xml:space="preserve"> Predstavitev ocene finančnih posledic pod 40.000 EUR:</w:t>
            </w:r>
          </w:p>
          <w:p w:rsidR="00B876EB" w:rsidRPr="00B876EB" w:rsidRDefault="00B876EB" w:rsidP="00B876EB">
            <w:pPr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Kratka obrazložitev</w:t>
            </w:r>
          </w:p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B876EB" w:rsidRPr="00595060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ind w:left="144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2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B876EB" w:rsidRPr="00595060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Skupnosti občin Slovenije SOS: NE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mestnih občin Slovenije ZMOS: NE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lastRenderedPageBreak/>
              <w:t>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lastRenderedPageBreak/>
              <w:t>9. Predstavitev sodelovanja javnosti: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B876EB" w:rsidRPr="00906B49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876EB" w:rsidRPr="00B876EB" w:rsidRDefault="00906B49" w:rsidP="00906B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06B49">
              <w:rPr>
                <w:rFonts w:cs="Arial"/>
                <w:iCs/>
                <w:szCs w:val="20"/>
                <w:lang w:val="sl-SI" w:eastAsia="sl-SI"/>
              </w:rPr>
              <w:t>Gre za tehnično izvedbo predpisov EU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 in OZN</w:t>
            </w:r>
            <w:r w:rsidRPr="00906B49">
              <w:rPr>
                <w:rFonts w:cs="Arial"/>
                <w:iCs/>
                <w:szCs w:val="20"/>
                <w:lang w:val="sl-SI" w:eastAsia="sl-SI"/>
              </w:rPr>
              <w:t>, pri katerih sodelovanje javnosti ni potrebno in ni smiselno.</w:t>
            </w:r>
          </w:p>
        </w:tc>
      </w:tr>
      <w:tr w:rsidR="00B876EB" w:rsidRPr="00595060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(Če je odgovor DA, navedite: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Datum objave: ………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V razpravo so bili vključeni: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nevladne organizacije,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predstavniki zainteresirane javnosti,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predstavniki strokovne javnosti.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Mnenja, predlogi in pripombe z navedbo predlagateljev </w:t>
            </w:r>
            <w:r w:rsidRPr="00B876EB">
              <w:rPr>
                <w:rFonts w:cs="Arial"/>
                <w:color w:val="000000"/>
                <w:szCs w:val="20"/>
                <w:lang w:val="sl-SI" w:eastAsia="sl-SI"/>
              </w:rPr>
              <w:t>(imen in priimkov fizičnih oseb, ki niso poslovni subjekti, ne navajajte</w:t>
            </w:r>
            <w:r w:rsidRPr="00B876EB">
              <w:rPr>
                <w:rFonts w:cs="Arial"/>
                <w:iCs/>
                <w:szCs w:val="20"/>
                <w:lang w:val="sl-SI" w:eastAsia="sl-SI"/>
              </w:rPr>
              <w:t>):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Upoštevani so bili: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Bistvena mnenja, predlogi in pripombe, ki niso bili upoštevani, ter razlogi za neupoštevanje: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Poročilo je bilo dano ……………..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Karl Erjavec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MINISTER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BE1017" w:rsidRPr="00BE1017" w:rsidRDefault="00BE1017" w:rsidP="00BE1017">
      <w:pPr>
        <w:rPr>
          <w:rFonts w:cs="Arial"/>
          <w:b/>
          <w:szCs w:val="20"/>
          <w:lang w:val="sl-SI"/>
        </w:rPr>
      </w:pPr>
    </w:p>
    <w:p w:rsidR="00BE1017" w:rsidRPr="00BE1017" w:rsidRDefault="00BE1017" w:rsidP="00BE1017">
      <w:pPr>
        <w:tabs>
          <w:tab w:val="left" w:pos="708"/>
        </w:tabs>
        <w:rPr>
          <w:rFonts w:eastAsia="Calibri" w:cs="Arial"/>
          <w:b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tabs>
          <w:tab w:val="center" w:pos="4320"/>
          <w:tab w:val="left" w:pos="5112"/>
          <w:tab w:val="right" w:pos="8640"/>
        </w:tabs>
        <w:rPr>
          <w:rFonts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CE2F65" w:rsidRPr="00670F4F" w:rsidRDefault="00906B49" w:rsidP="00906B49">
      <w:pPr>
        <w:tabs>
          <w:tab w:val="left" w:pos="5812"/>
        </w:tabs>
        <w:jc w:val="center"/>
        <w:rPr>
          <w:lang w:val="sl-SI"/>
        </w:rPr>
      </w:pPr>
      <w:r w:rsidRPr="00670F4F">
        <w:rPr>
          <w:lang w:val="sl-SI"/>
        </w:rPr>
        <w:t xml:space="preserve"> </w:t>
      </w:r>
    </w:p>
    <w:p w:rsidR="00CE2F65" w:rsidRDefault="00CE2F65" w:rsidP="00371AD9">
      <w:pPr>
        <w:rPr>
          <w:lang w:val="sl-SI"/>
        </w:rPr>
      </w:pPr>
    </w:p>
    <w:sectPr w:rsidR="00CE2F65" w:rsidSect="00386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71" w:rsidRDefault="00F54271">
      <w:r>
        <w:separator/>
      </w:r>
    </w:p>
  </w:endnote>
  <w:endnote w:type="continuationSeparator" w:id="0">
    <w:p w:rsidR="00F54271" w:rsidRDefault="00F5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32" w:rsidRDefault="00F30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32" w:rsidRDefault="00F308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32" w:rsidRDefault="00F30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71" w:rsidRDefault="00F54271">
      <w:r>
        <w:separator/>
      </w:r>
    </w:p>
  </w:footnote>
  <w:footnote w:type="continuationSeparator" w:id="0">
    <w:p w:rsidR="00F54271" w:rsidRDefault="00F5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32" w:rsidRDefault="00F30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32" w:rsidRPr="00110CBD" w:rsidRDefault="00F30832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30832" w:rsidRPr="008F3500">
      <w:trPr>
        <w:cantSplit/>
        <w:trHeight w:hRule="exact" w:val="847"/>
      </w:trPr>
      <w:tc>
        <w:tcPr>
          <w:tcW w:w="567" w:type="dxa"/>
        </w:tcPr>
        <w:p w:rsidR="00F30832" w:rsidRPr="008F3500" w:rsidRDefault="00F3083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mAtol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F30832" w:rsidRPr="008F3500" w:rsidRDefault="00F30832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F30832" w:rsidRPr="008F3500" w:rsidRDefault="00F30832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F30832" w:rsidRPr="008F3500" w:rsidRDefault="00F30832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:rsidR="00F30832" w:rsidRPr="008F3500" w:rsidRDefault="00F30832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www.mzz.gov.si</w:t>
    </w:r>
    <w:proofErr w:type="spellEnd"/>
  </w:p>
  <w:p w:rsidR="00F30832" w:rsidRPr="008F3500" w:rsidRDefault="00F30832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90E4229"/>
    <w:multiLevelType w:val="hybridMultilevel"/>
    <w:tmpl w:val="CDBAF37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1775BE"/>
    <w:multiLevelType w:val="hybridMultilevel"/>
    <w:tmpl w:val="1B6098FA"/>
    <w:lvl w:ilvl="0" w:tplc="0424000F">
      <w:start w:val="1"/>
      <w:numFmt w:val="decimal"/>
      <w:pStyle w:val="Alineazaodstavkom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855C3A"/>
    <w:multiLevelType w:val="hybridMultilevel"/>
    <w:tmpl w:val="8FF07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9"/>
  </w:num>
  <w:num w:numId="12">
    <w:abstractNumId w:val="13"/>
  </w:num>
  <w:num w:numId="13">
    <w:abstractNumId w:val="4"/>
  </w:num>
  <w:num w:numId="14">
    <w:abstractNumId w:val="21"/>
  </w:num>
  <w:num w:numId="15">
    <w:abstractNumId w:val="8"/>
  </w:num>
  <w:num w:numId="16">
    <w:abstractNumId w:val="2"/>
  </w:num>
  <w:num w:numId="17">
    <w:abstractNumId w:val="18"/>
  </w:num>
  <w:num w:numId="18">
    <w:abstractNumId w:val="5"/>
  </w:num>
  <w:num w:numId="19">
    <w:abstractNumId w:val="22"/>
  </w:num>
  <w:num w:numId="20">
    <w:abstractNumId w:val="20"/>
  </w:num>
  <w:num w:numId="21">
    <w:abstractNumId w:val="25"/>
  </w:num>
  <w:num w:numId="22">
    <w:abstractNumId w:val="26"/>
  </w:num>
  <w:num w:numId="23">
    <w:abstractNumId w:val="14"/>
  </w:num>
  <w:num w:numId="24">
    <w:abstractNumId w:val="10"/>
  </w:num>
  <w:num w:numId="25">
    <w:abstractNumId w:val="17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49"/>
    <w:rsid w:val="00020B93"/>
    <w:rsid w:val="00023A88"/>
    <w:rsid w:val="0003753F"/>
    <w:rsid w:val="000A7238"/>
    <w:rsid w:val="00101022"/>
    <w:rsid w:val="001357B2"/>
    <w:rsid w:val="0017478F"/>
    <w:rsid w:val="00180A4E"/>
    <w:rsid w:val="001A236D"/>
    <w:rsid w:val="00202A77"/>
    <w:rsid w:val="00226842"/>
    <w:rsid w:val="00271CE5"/>
    <w:rsid w:val="00282020"/>
    <w:rsid w:val="00297CB5"/>
    <w:rsid w:val="002A2B69"/>
    <w:rsid w:val="002F0A01"/>
    <w:rsid w:val="00325638"/>
    <w:rsid w:val="003636BF"/>
    <w:rsid w:val="00371442"/>
    <w:rsid w:val="00371AD9"/>
    <w:rsid w:val="003845B4"/>
    <w:rsid w:val="003867D6"/>
    <w:rsid w:val="00387753"/>
    <w:rsid w:val="00387B1A"/>
    <w:rsid w:val="0039007E"/>
    <w:rsid w:val="003C5EE5"/>
    <w:rsid w:val="003E1C74"/>
    <w:rsid w:val="004101BC"/>
    <w:rsid w:val="00437EC4"/>
    <w:rsid w:val="004657EE"/>
    <w:rsid w:val="0048483F"/>
    <w:rsid w:val="004F5F1C"/>
    <w:rsid w:val="00500548"/>
    <w:rsid w:val="00526246"/>
    <w:rsid w:val="00564340"/>
    <w:rsid w:val="00567106"/>
    <w:rsid w:val="00595060"/>
    <w:rsid w:val="005D4391"/>
    <w:rsid w:val="005E1D3C"/>
    <w:rsid w:val="0060681D"/>
    <w:rsid w:val="00625AE6"/>
    <w:rsid w:val="00632253"/>
    <w:rsid w:val="0063335B"/>
    <w:rsid w:val="00642714"/>
    <w:rsid w:val="006455CE"/>
    <w:rsid w:val="00655841"/>
    <w:rsid w:val="006661CF"/>
    <w:rsid w:val="007125BA"/>
    <w:rsid w:val="00733017"/>
    <w:rsid w:val="00766191"/>
    <w:rsid w:val="00783310"/>
    <w:rsid w:val="00785ED4"/>
    <w:rsid w:val="007908F6"/>
    <w:rsid w:val="007A4A6D"/>
    <w:rsid w:val="007C16D7"/>
    <w:rsid w:val="007D1BCF"/>
    <w:rsid w:val="007D4501"/>
    <w:rsid w:val="007D75CF"/>
    <w:rsid w:val="007E0440"/>
    <w:rsid w:val="007E6DC5"/>
    <w:rsid w:val="008337E5"/>
    <w:rsid w:val="008601A1"/>
    <w:rsid w:val="0086141F"/>
    <w:rsid w:val="0088043C"/>
    <w:rsid w:val="00884889"/>
    <w:rsid w:val="008906C9"/>
    <w:rsid w:val="008A4FE3"/>
    <w:rsid w:val="008C5738"/>
    <w:rsid w:val="008D04F0"/>
    <w:rsid w:val="008F3500"/>
    <w:rsid w:val="00906B49"/>
    <w:rsid w:val="00924E3C"/>
    <w:rsid w:val="009612BB"/>
    <w:rsid w:val="00980CBD"/>
    <w:rsid w:val="009C740A"/>
    <w:rsid w:val="009F2605"/>
    <w:rsid w:val="00A014A9"/>
    <w:rsid w:val="00A125C5"/>
    <w:rsid w:val="00A2451C"/>
    <w:rsid w:val="00A35932"/>
    <w:rsid w:val="00A65EE7"/>
    <w:rsid w:val="00A70133"/>
    <w:rsid w:val="00A770A6"/>
    <w:rsid w:val="00A813B1"/>
    <w:rsid w:val="00AB36C4"/>
    <w:rsid w:val="00AC32B2"/>
    <w:rsid w:val="00B17141"/>
    <w:rsid w:val="00B31575"/>
    <w:rsid w:val="00B541F9"/>
    <w:rsid w:val="00B80B1D"/>
    <w:rsid w:val="00B8547D"/>
    <w:rsid w:val="00B876EB"/>
    <w:rsid w:val="00BA2869"/>
    <w:rsid w:val="00BD2E70"/>
    <w:rsid w:val="00BE1017"/>
    <w:rsid w:val="00BE6BA2"/>
    <w:rsid w:val="00BF609A"/>
    <w:rsid w:val="00C250D5"/>
    <w:rsid w:val="00C35666"/>
    <w:rsid w:val="00C92898"/>
    <w:rsid w:val="00CA4340"/>
    <w:rsid w:val="00CE1C41"/>
    <w:rsid w:val="00CE2F65"/>
    <w:rsid w:val="00CE5238"/>
    <w:rsid w:val="00CE7514"/>
    <w:rsid w:val="00D04A03"/>
    <w:rsid w:val="00D14841"/>
    <w:rsid w:val="00D173C7"/>
    <w:rsid w:val="00D2064F"/>
    <w:rsid w:val="00D248DE"/>
    <w:rsid w:val="00D44F46"/>
    <w:rsid w:val="00D8542D"/>
    <w:rsid w:val="00DC6A71"/>
    <w:rsid w:val="00DE7E80"/>
    <w:rsid w:val="00E0357D"/>
    <w:rsid w:val="00ED1C3E"/>
    <w:rsid w:val="00F16834"/>
    <w:rsid w:val="00F240BB"/>
    <w:rsid w:val="00F30832"/>
    <w:rsid w:val="00F54271"/>
    <w:rsid w:val="00F57FED"/>
    <w:rsid w:val="00F6580B"/>
    <w:rsid w:val="00FA7CDC"/>
    <w:rsid w:val="00FE06FF"/>
    <w:rsid w:val="00FE500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AD9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3">
    <w:name w:val="heading 3"/>
    <w:basedOn w:val="Normal"/>
    <w:next w:val="Normal"/>
    <w:qFormat/>
    <w:rsid w:val="00CE2F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ja-JP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371AD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71AD9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71AD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371AD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71AD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71AD9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371AD9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ormal"/>
    <w:qFormat/>
    <w:rsid w:val="00371AD9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BodyTextIndent">
    <w:name w:val="Body Text Indent"/>
    <w:basedOn w:val="Normal"/>
    <w:rsid w:val="00CE2F65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  <w:lang w:val="sl-SI"/>
    </w:rPr>
  </w:style>
  <w:style w:type="paragraph" w:styleId="BalloonText">
    <w:name w:val="Balloon Text"/>
    <w:basedOn w:val="Normal"/>
    <w:link w:val="BalloonTextChar"/>
    <w:rsid w:val="005D4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39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AD9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3">
    <w:name w:val="heading 3"/>
    <w:basedOn w:val="Normal"/>
    <w:next w:val="Normal"/>
    <w:qFormat/>
    <w:rsid w:val="00CE2F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ja-JP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371AD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71AD9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71AD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371AD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71AD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71AD9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371AD9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ormal"/>
    <w:qFormat/>
    <w:rsid w:val="00371AD9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BodyTextIndent">
    <w:name w:val="Body Text Indent"/>
    <w:basedOn w:val="Normal"/>
    <w:rsid w:val="00CE2F65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  <w:lang w:val="sl-SI"/>
    </w:rPr>
  </w:style>
  <w:style w:type="paragraph" w:styleId="BalloonText">
    <w:name w:val="Balloon Text"/>
    <w:basedOn w:val="Normal"/>
    <w:link w:val="BalloonTextChar"/>
    <w:rsid w:val="005D4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3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Seje%20VRS\vladnogradivo-1.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vladnogradivo-1.del</Template>
  <TotalTime>0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2017-10-12T11:26:00Z</dcterms:created>
  <dcterms:modified xsi:type="dcterms:W3CDTF">2017-11-30T12:14:00Z</dcterms:modified>
</cp:coreProperties>
</file>