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1A3093">
        <w:rPr>
          <w:rFonts w:ascii="Arial" w:eastAsia="Times New Roman" w:hAnsi="Arial" w:cs="Arial"/>
          <w:b/>
          <w:color w:val="000000"/>
          <w:sz w:val="20"/>
          <w:szCs w:val="20"/>
        </w:rPr>
        <w:t>Priloga 3</w:t>
      </w:r>
    </w:p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b/>
          <w:color w:val="000000"/>
          <w:sz w:val="20"/>
          <w:szCs w:val="20"/>
        </w:rPr>
        <w:t>Katalog zmanjšanj plačil in izključitev</w:t>
      </w:r>
    </w:p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b/>
          <w:color w:val="000000"/>
          <w:sz w:val="20"/>
          <w:szCs w:val="20"/>
        </w:rPr>
        <w:t>Splošno:</w:t>
      </w:r>
    </w:p>
    <w:p w:rsidR="00A329A0" w:rsidRPr="001A3093" w:rsidRDefault="00A329A0" w:rsidP="001A3093">
      <w:pPr>
        <w:spacing w:after="0" w:line="260" w:lineRule="exact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329A0" w:rsidRPr="001A3093" w:rsidRDefault="00A329A0" w:rsidP="001A3093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t>Če je v tekočem letu v okviru posamezne zahteve v operaciji DŽ – prašiči ugotovljenih več kršitev, se za to zahtevo uporabi najvišja stopnja zmanjšanja plačila.</w:t>
      </w:r>
    </w:p>
    <w:p w:rsidR="00A329A0" w:rsidRPr="001A3093" w:rsidRDefault="00A329A0" w:rsidP="001A3093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t>Če je v tekočem letu v okviru operacije DŽ – govedo ugotovljenih več kršitev, se za to operacijo uporabi najvišja stopnja zmanjšanja plačila.</w:t>
      </w:r>
    </w:p>
    <w:p w:rsidR="00A329A0" w:rsidRPr="001A3093" w:rsidRDefault="00A329A0" w:rsidP="001A3093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t>Če je v tekočem letu v okviru operacije DŽ – drobnica ugotovljenih več kršitev, se za to operacijo uporabi najvišja stopnja zmanjšanja plačila.</w:t>
      </w:r>
    </w:p>
    <w:p w:rsidR="00A329A0" w:rsidRPr="001A3093" w:rsidRDefault="00A329A0" w:rsidP="001A3093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t>Če je v tekočem letu v okviru ukrepa DŽ ugotovljenih več kršitev, za katera se uporabi zmanjšanje na ravni celotnega ukrepa DŽ, se uporabi najvišja stopnja zmanjšanja plačila.</w:t>
      </w:r>
    </w:p>
    <w:p w:rsidR="00A329A0" w:rsidRPr="001A3093" w:rsidRDefault="00A329A0" w:rsidP="001A3093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t xml:space="preserve">Če je v okviru ukrepa DŽ ugotovljenih več kršitev, ki predvidevajo zmanjšanje plačila tako na ravni operacije DŽ – prašiči, operacije DŽ – govedo </w:t>
      </w:r>
      <w:r w:rsidR="00D52956" w:rsidRPr="001A3093">
        <w:rPr>
          <w:rFonts w:ascii="Arial" w:eastAsia="Times New Roman" w:hAnsi="Arial" w:cs="Arial"/>
          <w:color w:val="000000"/>
          <w:sz w:val="20"/>
          <w:szCs w:val="20"/>
        </w:rPr>
        <w:t>ali</w:t>
      </w:r>
      <w:r w:rsidRPr="001A3093">
        <w:rPr>
          <w:rFonts w:ascii="Arial" w:eastAsia="Times New Roman" w:hAnsi="Arial" w:cs="Arial"/>
          <w:color w:val="000000"/>
          <w:sz w:val="20"/>
          <w:szCs w:val="20"/>
        </w:rPr>
        <w:t xml:space="preserve"> operacije DŽ – drobnica kot na ravni celotnega ukrepa DŽ, se zmanjšanje plačila najprej opravi na ravni posamezne operacije, nato pa na preostanku plačila celotnega ukrepa DŽ.</w:t>
      </w:r>
    </w:p>
    <w:p w:rsidR="00A329A0" w:rsidRPr="001A3093" w:rsidRDefault="00A329A0" w:rsidP="001A3093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t xml:space="preserve">Upravičenec do plačila za ukrep DŽ mora omogočiti dostop do dokumentacije, povezane s tem ukrepom, </w:t>
      </w:r>
      <w:r w:rsidR="00D52956" w:rsidRPr="001A3093">
        <w:rPr>
          <w:rFonts w:ascii="Arial" w:eastAsia="Times New Roman" w:hAnsi="Arial" w:cs="Arial"/>
          <w:color w:val="000000"/>
          <w:sz w:val="20"/>
          <w:szCs w:val="20"/>
        </w:rPr>
        <w:t xml:space="preserve">ter </w:t>
      </w:r>
      <w:r w:rsidRPr="001A3093">
        <w:rPr>
          <w:rFonts w:ascii="Arial" w:eastAsia="Times New Roman" w:hAnsi="Arial" w:cs="Arial"/>
          <w:color w:val="000000"/>
          <w:sz w:val="20"/>
          <w:szCs w:val="20"/>
        </w:rPr>
        <w:t xml:space="preserve">pregled izvajanja ukrepa na kraju samem agenciji, ministrstvu in drugim nadzornim organom. </w:t>
      </w:r>
      <w:r w:rsidR="00D52956" w:rsidRPr="001A3093">
        <w:rPr>
          <w:rFonts w:ascii="Arial" w:eastAsia="Times New Roman" w:hAnsi="Arial" w:cs="Arial"/>
          <w:color w:val="000000"/>
          <w:sz w:val="20"/>
          <w:szCs w:val="20"/>
        </w:rPr>
        <w:t>Če tega ne stori,</w:t>
      </w:r>
      <w:r w:rsidRPr="001A3093">
        <w:rPr>
          <w:rFonts w:ascii="Arial" w:eastAsia="Times New Roman" w:hAnsi="Arial" w:cs="Arial"/>
          <w:color w:val="000000"/>
          <w:sz w:val="20"/>
          <w:szCs w:val="20"/>
        </w:rPr>
        <w:t xml:space="preserve"> se to šteje kot kršitev izpolnjevanja vseh pogojev za zadevno operacijo iz te uredbe, zato se za tekoče leto plačilo za zadevno operacijo </w:t>
      </w:r>
      <w:r w:rsidR="00D52956" w:rsidRPr="001A3093">
        <w:rPr>
          <w:rFonts w:ascii="Arial" w:eastAsia="Times New Roman" w:hAnsi="Arial" w:cs="Arial"/>
          <w:color w:val="000000"/>
          <w:sz w:val="20"/>
          <w:szCs w:val="20"/>
        </w:rPr>
        <w:t xml:space="preserve">v </w:t>
      </w:r>
      <w:r w:rsidRPr="001A3093">
        <w:rPr>
          <w:rFonts w:ascii="Arial" w:eastAsia="Times New Roman" w:hAnsi="Arial" w:cs="Arial"/>
          <w:color w:val="000000"/>
          <w:sz w:val="20"/>
          <w:szCs w:val="20"/>
        </w:rPr>
        <w:t xml:space="preserve">celoti zavrne. </w:t>
      </w:r>
    </w:p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329A0" w:rsidRPr="001A3093" w:rsidRDefault="00A329A0" w:rsidP="001A3093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1A3093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Kršitve zahtev in obveznosti iz 8., 9., 13., 21. in 27. člena te uredbe: </w:t>
      </w:r>
    </w:p>
    <w:p w:rsidR="00A329A0" w:rsidRPr="001A3093" w:rsidRDefault="00A329A0" w:rsidP="001A3093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329A0" w:rsidRPr="001A3093" w:rsidRDefault="00A329A0" w:rsidP="001A3093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 ugotovljeni kršitvi zahteve iz 8. člena te uredbe se plačilo zmanjša, kakor je navedeno spodaj</w:t>
      </w:r>
      <w:r w:rsidR="00F50B3E" w:rsidRPr="001A30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902"/>
        <w:gridCol w:w="1901"/>
        <w:gridCol w:w="1902"/>
      </w:tblGrid>
      <w:tr w:rsidR="00A329A0" w:rsidRPr="001A3093" w:rsidTr="00DB7C1C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Zmanjšanje plačila ob prvi kršitvi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Zmanjšanje plačila ob prvi ponovitvi iste kršitve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Zmanjšanje plačila ob tretji ponovitvi iste kršitve</w:t>
            </w:r>
          </w:p>
        </w:tc>
      </w:tr>
      <w:tr w:rsidR="00A329A0" w:rsidRPr="001A3093" w:rsidTr="00F64B05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Usposabljanje v obsegu najmanj štiri pedagoške ure letno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sposabljanje ni opravljeno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zplačilo se zmanjša za 20 %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zplačilo se zmanjša za 20 %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zplačilo se zmanjša za 30 %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29A0" w:rsidRPr="001A3093" w:rsidRDefault="00F64B05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 izplačila</w:t>
            </w:r>
          </w:p>
        </w:tc>
      </w:tr>
    </w:tbl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t>Ponavljanje kršitve se ugotavlja od vključno leta 2014 naprej.</w:t>
      </w:r>
    </w:p>
    <w:p w:rsidR="00A329A0" w:rsidRDefault="00A329A0" w:rsidP="001A3093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A3093" w:rsidRDefault="001A3093" w:rsidP="001A3093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A3093" w:rsidRDefault="001A3093" w:rsidP="001A3093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A3093" w:rsidRPr="001A3093" w:rsidRDefault="001A3093" w:rsidP="001A3093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lastRenderedPageBreak/>
        <w:t>Pri ugotovljeni kršitvi obveznosti iz tretjega odstavka 9. člena te uredbe se plačilo zmanjša, kakor je navedeno spodaj</w:t>
      </w:r>
      <w:r w:rsidR="00F50B3E" w:rsidRPr="001A309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876"/>
        <w:gridCol w:w="1889"/>
        <w:gridCol w:w="1902"/>
      </w:tblGrid>
      <w:tr w:rsidR="00A329A0" w:rsidRPr="001A3093" w:rsidTr="00DB7C1C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Zmanjšanje plačila ob prvi kršitvi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Zmanjšanje plačila ob prvi ponovitvi iste kršitve</w:t>
            </w:r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Zmanjšanje plačila ob tretji </w:t>
            </w:r>
            <w:r w:rsidR="00F64B05"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 nadaljnjih ponovitvah</w:t>
            </w: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iste kršitve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Informiranje in obveščanje javnosti o aktivnostih, ki prejemajo podporo iz PRP 2014–2020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nformiranje in obveščanje javnosti ni</w:t>
            </w:r>
            <w:r w:rsidR="00DB7C1C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izveden</w:t>
            </w:r>
            <w:r w:rsidR="00DB7C1C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zplačilo se zmanjša za 1 %</w:t>
            </w:r>
          </w:p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zplačilo se zmanjša za 1 %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zplačilo se zmanjša za 2 %</w:t>
            </w:r>
          </w:p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zplačilo se zmanjša za 2 %</w:t>
            </w:r>
          </w:p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t>Ponavljanje kršitve se ugotavlja od vključno leta 2014 naprej.</w:t>
      </w:r>
    </w:p>
    <w:p w:rsidR="00A329A0" w:rsidRPr="001A3093" w:rsidRDefault="00A329A0" w:rsidP="001A3093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329A0" w:rsidRPr="001A3093" w:rsidRDefault="00A329A0" w:rsidP="001A3093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329A0" w:rsidRPr="001A3093" w:rsidRDefault="00A329A0" w:rsidP="001A3093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 ugotovljenih kršitvah pogojev za zahteve, ki so opredeljeni v 13. členu te uredbe, se plačilo zmanjša, kakor je navedeno spodaj</w:t>
      </w:r>
      <w:r w:rsidR="00F50B3E" w:rsidRPr="001A309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03"/>
        <w:gridCol w:w="2477"/>
        <w:gridCol w:w="1881"/>
        <w:gridCol w:w="1881"/>
        <w:gridCol w:w="1881"/>
        <w:gridCol w:w="1881"/>
      </w:tblGrid>
      <w:tr w:rsidR="00A329A0" w:rsidRPr="001A3093" w:rsidTr="00DB7C1C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Kategorija živali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Zahteva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Kršitev zahteve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Zmanjšanje plačila ob prvi kršitvi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Zmanjšanje plačila ob prvi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Zmanjšanje plačila ob drugi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Zmanjšanje plačila ob tretji ponovitvi iste kršitve</w:t>
            </w:r>
          </w:p>
        </w:tc>
      </w:tr>
      <w:tr w:rsidR="00A329A0" w:rsidRPr="001A3093" w:rsidTr="00DB7C1C">
        <w:trPr>
          <w:trHeight w:val="419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Plemenske svinje in mladice</w:t>
            </w:r>
          </w:p>
        </w:tc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A329A0" w:rsidRPr="001A3093" w:rsidRDefault="00D52956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kupinska reja z izpustom</w:t>
            </w:r>
          </w:p>
        </w:tc>
        <w:tc>
          <w:tcPr>
            <w:tcW w:w="24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ahtev</w:t>
            </w: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i izpolnjena</w:t>
            </w:r>
            <w:r w:rsidR="00EA4C6A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i izplačila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inimalna dolžina krajše stranice izpusta je do vključno 10 % manjša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inimalna dolžina krajše stranice izpusta je več kot 10 % manjša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oksi, iz katerih se živali izpustijo v izpust, niso označeni tako, da je mogoče spremljati,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25 %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25 %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40 %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Del="00B414BA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o vključno 10 % manjša površina na žival od zahtevane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F50B3E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več kot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 10 % manjša površina na žival od zahtevane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Del="000C3B39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nevnik se ne vodi ažurno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plačila za</w:t>
            </w:r>
            <w:r w:rsidR="00A329A0" w:rsidRPr="001A3093" w:rsidDel="00B170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40 %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 večja neovirana talna površina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ahtev</w:t>
            </w: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</w:t>
            </w: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izpolnj</w:t>
            </w: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397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bottom w:val="double" w:sz="4" w:space="0" w:color="auto"/>
            </w:tcBorders>
            <w:vAlign w:val="center"/>
          </w:tcPr>
          <w:p w:rsidR="00A329A0" w:rsidRPr="001A3093" w:rsidRDefault="00D52956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odatna ponudba voluminozne krme ali krme z visokim deležem vlaknine</w:t>
            </w:r>
          </w:p>
        </w:tc>
        <w:tc>
          <w:tcPr>
            <w:tcW w:w="2477" w:type="dxa"/>
            <w:tcBorders>
              <w:bottom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ahtev</w:t>
            </w: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izpolnj</w:t>
            </w: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</w:t>
            </w:r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397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Plemenske svinje</w:t>
            </w:r>
          </w:p>
        </w:tc>
        <w:tc>
          <w:tcPr>
            <w:tcW w:w="290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329A0" w:rsidRPr="001A3093" w:rsidRDefault="00D52956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agotovitev toplotnega ugodja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ahtev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izpolnj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ni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 izplačila + izključitev v naslednjem letu</w:t>
            </w:r>
          </w:p>
        </w:tc>
      </w:tr>
      <w:tr w:rsidR="00A329A0" w:rsidRPr="001A3093" w:rsidTr="00DB7C1C">
        <w:trPr>
          <w:trHeight w:val="39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8" w:space="0" w:color="auto"/>
            </w:tcBorders>
            <w:vAlign w:val="center"/>
          </w:tcPr>
          <w:p w:rsidR="00A329A0" w:rsidRPr="001A3093" w:rsidRDefault="00D52956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irurška kastracija sesnih pujskov</w:t>
            </w:r>
          </w:p>
        </w:tc>
        <w:tc>
          <w:tcPr>
            <w:tcW w:w="2477" w:type="dxa"/>
            <w:tcBorders>
              <w:top w:val="single" w:sz="8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ahtev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izpolnj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</w:t>
            </w:r>
          </w:p>
        </w:tc>
        <w:tc>
          <w:tcPr>
            <w:tcW w:w="188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Tekači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ahtev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izpolnj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397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Pitanci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ahtev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izpolnj</w:t>
            </w:r>
            <w:r w:rsidR="00F50B3E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kupinska reja z izpustom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ahtev</w:t>
            </w: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 izpolnj</w:t>
            </w: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ena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i izplačila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inimalna dolžina krajše stranice izpusta je do vključno 10 % manjša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inimalna dolžina krajše stranice izpusta je več kot 10 % manjša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Del="00EE5BE8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oksi, iz katerih se živali izpustijo v izpust, niso označeni tako, da je mogoče spremljati, 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25 %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25 %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40 %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i izplačila </w:t>
            </w:r>
          </w:p>
        </w:tc>
      </w:tr>
      <w:tr w:rsidR="00A329A0" w:rsidRPr="001A3093" w:rsidTr="00DB7C1C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o vključno 10 % manjša površina na žival od zahtevane 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F50B3E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več kot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 10 % manjša površina na žival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Del="0080472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Del="0080472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Del="00C605C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A329A0" w:rsidRPr="001A3093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Del="0080472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 + izključitev v naslednjem letu</w:t>
            </w:r>
          </w:p>
        </w:tc>
      </w:tr>
      <w:tr w:rsidR="00A329A0" w:rsidRPr="001A3093" w:rsidTr="00DB7C1C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Del="00C605C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bottom w:val="double" w:sz="4" w:space="0" w:color="auto"/>
            </w:tcBorders>
            <w:vAlign w:val="center"/>
          </w:tcPr>
          <w:p w:rsidR="00A329A0" w:rsidRPr="001A3093" w:rsidDel="00E41CFD" w:rsidRDefault="00A329A0" w:rsidP="001A3093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nevnik se ne vodi ažurno</w:t>
            </w:r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</w:t>
            </w:r>
            <w:r w:rsidR="00A329A0" w:rsidRPr="001A30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40 %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</w:tbl>
    <w:p w:rsidR="00A329A0" w:rsidRPr="001A3093" w:rsidRDefault="00A329A0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t>Ponavljanje kršitve se ugotavlja od vključno leta 2014 naprej.</w:t>
      </w:r>
    </w:p>
    <w:p w:rsidR="00A329A0" w:rsidRPr="001A3093" w:rsidRDefault="00A329A0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A329A0" w:rsidRDefault="00A329A0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AF44FB" w:rsidRDefault="00AF44FB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AF44FB" w:rsidRDefault="00AF44FB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AF44FB" w:rsidRDefault="00AF44FB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AF44FB" w:rsidRDefault="00AF44FB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AF44FB" w:rsidRDefault="00AF44FB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AF44FB" w:rsidRPr="001A3093" w:rsidRDefault="00AF44FB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A329A0" w:rsidRPr="001A3093" w:rsidRDefault="00A329A0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1A3093">
        <w:rPr>
          <w:rFonts w:ascii="Arial" w:eastAsia="Times New Roman" w:hAnsi="Arial" w:cs="Arial"/>
          <w:sz w:val="20"/>
          <w:szCs w:val="20"/>
        </w:rPr>
        <w:lastRenderedPageBreak/>
        <w:t>Pri ugotovljenih kršitvah pogojev za zahtevo, ki so opredeljeni v 21. členu te uredbe, se plačilo zmanjša, kakor je navedeno spodaj</w:t>
      </w:r>
      <w:r w:rsidR="00F50B3E" w:rsidRPr="001A3093">
        <w:rPr>
          <w:rFonts w:ascii="Arial" w:eastAsia="Times New Roman" w:hAnsi="Arial" w:cs="Arial"/>
          <w:sz w:val="20"/>
          <w:szCs w:val="20"/>
        </w:rPr>
        <w:t>.</w:t>
      </w:r>
    </w:p>
    <w:p w:rsidR="00A329A0" w:rsidRPr="001A3093" w:rsidRDefault="00A329A0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4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77"/>
        <w:gridCol w:w="1906"/>
        <w:gridCol w:w="1907"/>
        <w:gridCol w:w="1906"/>
        <w:gridCol w:w="1907"/>
      </w:tblGrid>
      <w:tr w:rsidR="00A329A0" w:rsidRPr="001A3093" w:rsidTr="00DB7C1C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>Pogoj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>Kršitev zahteve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Zmanjšanje plačila ob prvi kršitvi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>Zmanjšanje plačila ob prvi ponovitvi iste kršitve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>Zmanjšanje plačila ob drugi ponovitvi iste kršitve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>Zmanjšanje plačila ob tretji ponovitvi iste kršitve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Koprološka analiza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oprološka analiza za govedo, starejše od 6 mesecev, ni izdelana ali ni izdelana za vse živali</w:t>
            </w:r>
          </w:p>
        </w:tc>
        <w:tc>
          <w:tcPr>
            <w:tcW w:w="1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20 %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oprološka analiza za teleta ni izdelana ali ni izdelana za vse živali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15 %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20 %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25 %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oprološka analiza za govedo, starejše od 6 mesecev, 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oprološka analiza za teleta 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Tretiranje proti zajedavcem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retiranje goveda, starejšega od 6 mesecev, na podlagi rezultatov koprološke analize ni izvedeno ali ni izvedeno za vse živali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retiranje telet na podlagi rezultatov koprološke analize ni izvedeno ali ni izvedeno za vse živali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retiranje goveda, starejšega od 6 mesecev, ni izvedeno v roku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retiranje telet ni izvedeno v roku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135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Dnevnik paše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nevnik se ne vodi 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20 %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Del="0080472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25 %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30 %</w:t>
            </w: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135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Del="00E41CFD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nevnik se ne vodi ažurno</w:t>
            </w:r>
          </w:p>
        </w:tc>
        <w:tc>
          <w:tcPr>
            <w:tcW w:w="19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15 %</w:t>
            </w:r>
          </w:p>
        </w:tc>
        <w:tc>
          <w:tcPr>
            <w:tcW w:w="19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Del="00E41CFD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Prepoved </w:t>
            </w:r>
            <w:r w:rsidR="00F50B3E" w:rsidRPr="001A3093">
              <w:rPr>
                <w:rFonts w:ascii="Arial" w:eastAsia="Times New Roman" w:hAnsi="Arial" w:cs="Arial"/>
                <w:sz w:val="20"/>
                <w:szCs w:val="20"/>
              </w:rPr>
              <w:t>ali om</w:t>
            </w: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ejitev paše znotraj ekološko pomembnih območij</w:t>
            </w: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ž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ivali se pasejo na območju, kjer je paša prepovedana, </w:t>
            </w:r>
            <w:r w:rsidR="00F50B3E" w:rsidRPr="001A3093">
              <w:rPr>
                <w:rFonts w:ascii="Arial" w:eastAsia="Times New Roman" w:hAnsi="Arial" w:cs="Arial"/>
                <w:sz w:val="20"/>
                <w:szCs w:val="20"/>
              </w:rPr>
              <w:t>ali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 v času, ko </w:t>
            </w:r>
            <w:r w:rsidR="00F50B3E" w:rsidRPr="001A3093">
              <w:rPr>
                <w:rFonts w:ascii="Arial" w:eastAsia="Times New Roman" w:hAnsi="Arial" w:cs="Arial"/>
                <w:sz w:val="20"/>
                <w:szCs w:val="20"/>
              </w:rPr>
              <w:t>ta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 ni dovoljena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</w:tbl>
    <w:p w:rsidR="00A329A0" w:rsidRPr="001A3093" w:rsidRDefault="00A329A0" w:rsidP="001A3093">
      <w:pPr>
        <w:tabs>
          <w:tab w:val="left" w:pos="12191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t>Ponavljanje kršitve se ugotavlja od vključno leta 2016 naprej.</w:t>
      </w:r>
    </w:p>
    <w:p w:rsidR="00A329A0" w:rsidRPr="001A3093" w:rsidRDefault="00A329A0" w:rsidP="001A3093">
      <w:pPr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A329A0" w:rsidRPr="001A3093" w:rsidRDefault="00A329A0" w:rsidP="001A3093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329A0" w:rsidRPr="001A3093" w:rsidRDefault="00A329A0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1A3093">
        <w:rPr>
          <w:rFonts w:ascii="Arial" w:eastAsia="Times New Roman" w:hAnsi="Arial" w:cs="Arial"/>
          <w:sz w:val="20"/>
          <w:szCs w:val="20"/>
        </w:rPr>
        <w:t>Pri ugotovljenih kršitvah pogojev za zahtevo, ki so opredeljeni v 27. členu te uredbe, se plačilo zmanjša, kakor je navedeno spodaj</w:t>
      </w:r>
      <w:r w:rsidR="00F50B3E" w:rsidRPr="001A3093">
        <w:rPr>
          <w:rFonts w:ascii="Arial" w:eastAsia="Times New Roman" w:hAnsi="Arial" w:cs="Arial"/>
          <w:sz w:val="20"/>
          <w:szCs w:val="20"/>
        </w:rPr>
        <w:t>.</w:t>
      </w:r>
    </w:p>
    <w:p w:rsidR="00A329A0" w:rsidRPr="001A3093" w:rsidRDefault="00A329A0" w:rsidP="001A3093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4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77"/>
        <w:gridCol w:w="1906"/>
        <w:gridCol w:w="1907"/>
        <w:gridCol w:w="1906"/>
        <w:gridCol w:w="1907"/>
      </w:tblGrid>
      <w:tr w:rsidR="00A329A0" w:rsidRPr="001A3093" w:rsidTr="00DB7C1C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>Pogoj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>Kršitev zahteve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Zmanjšanje plačila ob prvi kršitvi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>Zmanjšanje plačila ob prvi ponovitvi iste kršitve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>Zmanjšanje plačila ob drugi ponovitvi iste kršitve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b/>
                <w:sz w:val="20"/>
                <w:szCs w:val="20"/>
              </w:rPr>
              <w:t>Zmanjšanje plačila ob tretji ponovitvi iste kršitve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Koprološka analiza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oprološka analiza ni izdelana ali ni izdelana za vse živali</w:t>
            </w:r>
          </w:p>
        </w:tc>
        <w:tc>
          <w:tcPr>
            <w:tcW w:w="1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20 %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oprološka analiza 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Tretiranje proti zajedavcem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retiranje na podlagi rezultatov koprološke analize ni izvedeno ali ni izvedeno za vse živali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retiranje ni izvedeno v roku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135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9A0" w:rsidRPr="001A3093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Dnevnik paše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nevnik se ne vodi 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20 %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Del="0080472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25 %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30 %</w:t>
            </w: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135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Del="00E41CFD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nevnik se ne vodi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ažurno</w:t>
            </w:r>
          </w:p>
        </w:tc>
        <w:tc>
          <w:tcPr>
            <w:tcW w:w="19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manjšanje plačila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za 10 %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manjšanje plačila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za 15 %</w:t>
            </w:r>
          </w:p>
        </w:tc>
        <w:tc>
          <w:tcPr>
            <w:tcW w:w="19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manjšanje plačila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20 %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  <w:tr w:rsidR="00A329A0" w:rsidRPr="001A3093" w:rsidTr="00DB7C1C">
        <w:trPr>
          <w:trHeight w:val="13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9A0" w:rsidRPr="001A3093" w:rsidDel="00E41CFD" w:rsidRDefault="00A329A0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Prepoved </w:t>
            </w:r>
            <w:r w:rsidR="00F50B3E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ali </w:t>
            </w: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omejitev paše znotraj ekološko pomembnih območij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ž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ivali se pasejo na območju, kjer je paša prepovedana, </w:t>
            </w:r>
            <w:r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ali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v času, ko </w:t>
            </w:r>
            <w:r w:rsidR="00F50B3E" w:rsidRPr="001A3093">
              <w:rPr>
                <w:rFonts w:ascii="Arial" w:eastAsia="Times New Roman" w:hAnsi="Arial" w:cs="Arial"/>
                <w:sz w:val="20"/>
                <w:szCs w:val="20"/>
              </w:rPr>
              <w:t>ta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 xml:space="preserve"> ni dovoljena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30 %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 40 %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manjšanje plačila za</w:t>
            </w:r>
            <w:r w:rsidR="00A329A0" w:rsidRPr="001A3093" w:rsidDel="00EE5B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50 %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9A0" w:rsidRPr="001A3093" w:rsidRDefault="00D52956" w:rsidP="001A3093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09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329A0" w:rsidRPr="001A3093">
              <w:rPr>
                <w:rFonts w:ascii="Arial" w:eastAsia="Times New Roman" w:hAnsi="Arial" w:cs="Arial"/>
                <w:sz w:val="20"/>
                <w:szCs w:val="20"/>
              </w:rPr>
              <w:t>i izplačila</w:t>
            </w:r>
          </w:p>
        </w:tc>
      </w:tr>
    </w:tbl>
    <w:p w:rsidR="00A329A0" w:rsidRPr="001A3093" w:rsidRDefault="00A329A0" w:rsidP="001A3093">
      <w:pPr>
        <w:tabs>
          <w:tab w:val="left" w:pos="12191"/>
        </w:tabs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3093">
        <w:rPr>
          <w:rFonts w:ascii="Arial" w:eastAsia="Times New Roman" w:hAnsi="Arial" w:cs="Arial"/>
          <w:color w:val="000000"/>
          <w:sz w:val="20"/>
          <w:szCs w:val="20"/>
        </w:rPr>
        <w:t>Ponavljanje kršitve se ugotavlja od vključno leta 2017 naprej.</w:t>
      </w:r>
    </w:p>
    <w:p w:rsidR="006A46C8" w:rsidRPr="001A3093" w:rsidRDefault="006A46C8" w:rsidP="001A309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6A46C8" w:rsidRPr="001A3093" w:rsidSect="002A044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0D" w:rsidRDefault="001B580D" w:rsidP="00277A35">
      <w:pPr>
        <w:spacing w:after="0" w:line="240" w:lineRule="auto"/>
      </w:pPr>
      <w:r>
        <w:separator/>
      </w:r>
    </w:p>
  </w:endnote>
  <w:endnote w:type="continuationSeparator" w:id="0">
    <w:p w:rsidR="001B580D" w:rsidRDefault="001B580D" w:rsidP="0027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812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77A35" w:rsidRPr="00277A35" w:rsidRDefault="00277A35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277A35">
          <w:rPr>
            <w:rFonts w:ascii="Arial" w:hAnsi="Arial" w:cs="Arial"/>
            <w:sz w:val="20"/>
            <w:szCs w:val="20"/>
          </w:rPr>
          <w:fldChar w:fldCharType="begin"/>
        </w:r>
        <w:r w:rsidRPr="00277A35">
          <w:rPr>
            <w:rFonts w:ascii="Arial" w:hAnsi="Arial" w:cs="Arial"/>
            <w:sz w:val="20"/>
            <w:szCs w:val="20"/>
          </w:rPr>
          <w:instrText>PAGE   \* MERGEFORMAT</w:instrText>
        </w:r>
        <w:r w:rsidRPr="00277A35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277A3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77A35" w:rsidRDefault="00277A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0D" w:rsidRDefault="001B580D" w:rsidP="00277A35">
      <w:pPr>
        <w:spacing w:after="0" w:line="240" w:lineRule="auto"/>
      </w:pPr>
      <w:r>
        <w:separator/>
      </w:r>
    </w:p>
  </w:footnote>
  <w:footnote w:type="continuationSeparator" w:id="0">
    <w:p w:rsidR="001B580D" w:rsidRDefault="001B580D" w:rsidP="0027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F75"/>
    <w:multiLevelType w:val="hybridMultilevel"/>
    <w:tmpl w:val="1C149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">
    <w15:presenceInfo w15:providerId="None" w15:userId="N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4"/>
    <w:rsid w:val="00097ACD"/>
    <w:rsid w:val="001A3093"/>
    <w:rsid w:val="001B580D"/>
    <w:rsid w:val="00214976"/>
    <w:rsid w:val="00277A35"/>
    <w:rsid w:val="002A0444"/>
    <w:rsid w:val="00395007"/>
    <w:rsid w:val="003D028A"/>
    <w:rsid w:val="0061083B"/>
    <w:rsid w:val="006A46C8"/>
    <w:rsid w:val="006E1080"/>
    <w:rsid w:val="00966688"/>
    <w:rsid w:val="00992D77"/>
    <w:rsid w:val="009C0101"/>
    <w:rsid w:val="00A329A0"/>
    <w:rsid w:val="00AF44FB"/>
    <w:rsid w:val="00CD4F3B"/>
    <w:rsid w:val="00D52956"/>
    <w:rsid w:val="00DB7C1C"/>
    <w:rsid w:val="00DE7DA9"/>
    <w:rsid w:val="00E14323"/>
    <w:rsid w:val="00EA4C6A"/>
    <w:rsid w:val="00EB5FCA"/>
    <w:rsid w:val="00EE6279"/>
    <w:rsid w:val="00F50B3E"/>
    <w:rsid w:val="00F64B05"/>
    <w:rsid w:val="00F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9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83B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F64B0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7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7A35"/>
  </w:style>
  <w:style w:type="paragraph" w:styleId="Noga">
    <w:name w:val="footer"/>
    <w:basedOn w:val="Navaden"/>
    <w:link w:val="NogaZnak"/>
    <w:uiPriority w:val="99"/>
    <w:unhideWhenUsed/>
    <w:rsid w:val="0027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9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83B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F64B0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7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7A35"/>
  </w:style>
  <w:style w:type="paragraph" w:styleId="Noga">
    <w:name w:val="footer"/>
    <w:basedOn w:val="Navaden"/>
    <w:link w:val="NogaZnak"/>
    <w:uiPriority w:val="99"/>
    <w:unhideWhenUsed/>
    <w:rsid w:val="0027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BVidmar</cp:lastModifiedBy>
  <cp:revision>3</cp:revision>
  <cp:lastPrinted>2017-06-21T12:40:00Z</cp:lastPrinted>
  <dcterms:created xsi:type="dcterms:W3CDTF">2017-07-12T08:59:00Z</dcterms:created>
  <dcterms:modified xsi:type="dcterms:W3CDTF">2017-07-12T09:12:00Z</dcterms:modified>
</cp:coreProperties>
</file>