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4656F" w:rsidRPr="005F6DA9" w:rsidTr="00F4656F">
        <w:tc>
          <w:tcPr>
            <w:tcW w:w="0" w:type="auto"/>
            <w:vAlign w:val="center"/>
            <w:hideMark/>
          </w:tcPr>
          <w:p w:rsidR="00F4656F" w:rsidRPr="005F6DA9" w:rsidRDefault="00390559" w:rsidP="00390559">
            <w:pPr>
              <w:spacing w:before="100" w:beforeAutospacing="1" w:after="100" w:afterAutospacing="1" w:line="375" w:lineRule="atLeast"/>
              <w:jc w:val="right"/>
              <w:outlineLvl w:val="0"/>
              <w:rPr>
                <w:rFonts w:eastAsia="Times New Roman" w:cs="Arial"/>
                <w:b/>
                <w:color w:val="626060"/>
                <w:kern w:val="36"/>
                <w:sz w:val="20"/>
                <w:szCs w:val="20"/>
                <w:lang w:eastAsia="sl-SI"/>
              </w:rPr>
            </w:pPr>
            <w:bookmarkStart w:id="0" w:name="_GoBack"/>
            <w:bookmarkEnd w:id="0"/>
            <w:r w:rsidRPr="005F6DA9">
              <w:rPr>
                <w:rFonts w:eastAsia="Times New Roman" w:cs="Arial"/>
                <w:b/>
                <w:color w:val="626060"/>
                <w:kern w:val="36"/>
                <w:sz w:val="20"/>
                <w:szCs w:val="20"/>
                <w:lang w:eastAsia="sl-SI"/>
              </w:rPr>
              <w:t>OSNUTEK</w:t>
            </w:r>
          </w:p>
        </w:tc>
      </w:tr>
      <w:tr w:rsidR="005F6DA9" w:rsidRPr="005F6DA9" w:rsidTr="00F4656F">
        <w:tc>
          <w:tcPr>
            <w:tcW w:w="0" w:type="auto"/>
            <w:vAlign w:val="center"/>
          </w:tcPr>
          <w:p w:rsidR="005F6DA9" w:rsidRPr="005F6DA9" w:rsidRDefault="005F6DA9" w:rsidP="00390559">
            <w:pPr>
              <w:spacing w:before="100" w:beforeAutospacing="1" w:after="100" w:afterAutospacing="1" w:line="375" w:lineRule="atLeast"/>
              <w:jc w:val="right"/>
              <w:outlineLvl w:val="0"/>
              <w:rPr>
                <w:rFonts w:eastAsia="Times New Roman" w:cs="Arial"/>
                <w:b/>
                <w:color w:val="626060"/>
                <w:kern w:val="36"/>
                <w:sz w:val="20"/>
                <w:szCs w:val="20"/>
                <w:lang w:eastAsia="sl-SI"/>
              </w:rPr>
            </w:pPr>
          </w:p>
        </w:tc>
      </w:tr>
    </w:tbl>
    <w:p w:rsidR="005F6DA9" w:rsidRPr="005F6DA9" w:rsidRDefault="005F6DA9" w:rsidP="005F6DA9">
      <w:pPr>
        <w:jc w:val="both"/>
        <w:rPr>
          <w:lang w:eastAsia="sl-SI"/>
        </w:rPr>
      </w:pPr>
      <w:r w:rsidRPr="0017641F">
        <w:rPr>
          <w:lang w:eastAsia="sl-SI"/>
        </w:rPr>
        <w:t>Na podl</w:t>
      </w:r>
      <w:r w:rsidRPr="002D03F3">
        <w:rPr>
          <w:lang w:eastAsia="sl-SI"/>
        </w:rPr>
        <w:t xml:space="preserve">agi </w:t>
      </w:r>
      <w:r>
        <w:rPr>
          <w:lang w:eastAsia="sl-SI"/>
        </w:rPr>
        <w:t>2</w:t>
      </w:r>
      <w:r w:rsidR="00BE5E75">
        <w:rPr>
          <w:lang w:eastAsia="sl-SI"/>
        </w:rPr>
        <w:t>0</w:t>
      </w:r>
      <w:r w:rsidRPr="002D03F3">
        <w:rPr>
          <w:lang w:eastAsia="sl-SI"/>
        </w:rPr>
        <w:t xml:space="preserve">. člena Zakona o množičnem vrednotenju </w:t>
      </w:r>
      <w:r w:rsidRPr="002D03F3">
        <w:t>nepremičnin</w:t>
      </w:r>
      <w:r w:rsidRPr="002D03F3">
        <w:rPr>
          <w:lang w:eastAsia="sl-SI"/>
        </w:rPr>
        <w:t xml:space="preserve"> (Uradni list RS, ______, ZMVN-1) izdaja Vlada Republike Slovenije</w:t>
      </w:r>
    </w:p>
    <w:p w:rsidR="00F4656F" w:rsidRPr="00F4656F" w:rsidRDefault="00F4656F" w:rsidP="00F4656F">
      <w:pPr>
        <w:spacing w:before="480" w:after="0" w:line="240" w:lineRule="auto"/>
        <w:jc w:val="center"/>
        <w:rPr>
          <w:rFonts w:eastAsia="Times New Roman" w:cs="Arial"/>
          <w:b/>
          <w:bCs/>
          <w:color w:val="000000"/>
          <w:spacing w:val="40"/>
          <w:lang w:eastAsia="sl-SI"/>
        </w:rPr>
      </w:pPr>
      <w:r w:rsidRPr="00F4656F">
        <w:rPr>
          <w:rFonts w:eastAsia="Times New Roman" w:cs="Arial"/>
          <w:b/>
          <w:bCs/>
          <w:color w:val="000000"/>
          <w:spacing w:val="40"/>
          <w:lang w:val="x-none" w:eastAsia="sl-SI"/>
        </w:rPr>
        <w:t>UREDB</w:t>
      </w:r>
      <w:r w:rsidR="005F6DA9">
        <w:rPr>
          <w:rFonts w:eastAsia="Times New Roman" w:cs="Arial"/>
          <w:b/>
          <w:bCs/>
          <w:color w:val="000000"/>
          <w:spacing w:val="40"/>
          <w:lang w:eastAsia="sl-SI"/>
        </w:rPr>
        <w:t>O</w:t>
      </w:r>
    </w:p>
    <w:p w:rsidR="00F4656F" w:rsidRPr="00F4656F" w:rsidRDefault="00F4656F" w:rsidP="00F4656F">
      <w:pPr>
        <w:spacing w:after="0" w:line="240" w:lineRule="auto"/>
        <w:jc w:val="center"/>
        <w:rPr>
          <w:rFonts w:eastAsia="Times New Roman" w:cs="Arial"/>
          <w:b/>
          <w:bCs/>
          <w:lang w:eastAsia="sl-SI"/>
        </w:rPr>
      </w:pPr>
      <w:r w:rsidRPr="00F4656F">
        <w:rPr>
          <w:rFonts w:eastAsia="Times New Roman" w:cs="Arial"/>
          <w:b/>
          <w:bCs/>
          <w:lang w:val="x-none" w:eastAsia="sl-SI"/>
        </w:rPr>
        <w:t>o določitvi modelov vrednotenja nepremičnin</w:t>
      </w:r>
    </w:p>
    <w:p w:rsidR="00F4656F" w:rsidRPr="00F4656F" w:rsidRDefault="00F4656F" w:rsidP="00F4656F">
      <w:pPr>
        <w:spacing w:before="480" w:after="0" w:line="240" w:lineRule="auto"/>
        <w:jc w:val="center"/>
        <w:rPr>
          <w:rFonts w:eastAsia="Times New Roman" w:cs="Arial"/>
          <w:b/>
          <w:bCs/>
          <w:lang w:eastAsia="sl-SI"/>
        </w:rPr>
      </w:pPr>
      <w:r w:rsidRPr="00F4656F">
        <w:rPr>
          <w:rFonts w:eastAsia="Times New Roman" w:cs="Arial"/>
          <w:b/>
          <w:bCs/>
          <w:lang w:val="x-none" w:eastAsia="sl-SI"/>
        </w:rPr>
        <w:t>1. člen</w:t>
      </w:r>
    </w:p>
    <w:p w:rsidR="00F4656F" w:rsidRPr="00F4656F" w:rsidRDefault="00F4656F" w:rsidP="00F4656F">
      <w:pPr>
        <w:spacing w:after="0" w:line="240" w:lineRule="auto"/>
        <w:jc w:val="center"/>
        <w:rPr>
          <w:rFonts w:eastAsia="Times New Roman" w:cs="Arial"/>
          <w:b/>
          <w:bCs/>
          <w:lang w:eastAsia="sl-SI"/>
        </w:rPr>
      </w:pPr>
      <w:r w:rsidRPr="00F4656F">
        <w:rPr>
          <w:rFonts w:eastAsia="Times New Roman" w:cs="Arial"/>
          <w:b/>
          <w:bCs/>
          <w:lang w:val="x-none" w:eastAsia="sl-SI"/>
        </w:rPr>
        <w:t>(vsebina)</w:t>
      </w:r>
    </w:p>
    <w:p w:rsidR="00F4656F" w:rsidRPr="00F4656F"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 xml:space="preserve">Ta uredba določa modele vrednotenja nepremičnin za izvedbo množičnega vrednotenja nepremičnin, ki so evidentirane v </w:t>
      </w:r>
      <w:r w:rsidR="008642DC">
        <w:rPr>
          <w:rFonts w:eastAsia="Times New Roman" w:cs="Arial"/>
          <w:lang w:eastAsia="sl-SI"/>
        </w:rPr>
        <w:t>evidenci vrednotenja</w:t>
      </w:r>
      <w:r w:rsidRPr="00F4656F">
        <w:rPr>
          <w:rFonts w:eastAsia="Times New Roman" w:cs="Arial"/>
          <w:lang w:val="x-none" w:eastAsia="sl-SI"/>
        </w:rPr>
        <w:t>.</w:t>
      </w:r>
    </w:p>
    <w:p w:rsidR="008642DC" w:rsidRDefault="008642DC" w:rsidP="005F6DA9">
      <w:pPr>
        <w:spacing w:after="0" w:line="240" w:lineRule="auto"/>
        <w:ind w:left="425"/>
        <w:jc w:val="both"/>
        <w:rPr>
          <w:rFonts w:eastAsia="Times New Roman" w:cs="Arial"/>
          <w:lang w:eastAsia="sl-SI"/>
        </w:rPr>
      </w:pPr>
      <w:r w:rsidRPr="00F4656F" w:rsidDel="008642DC">
        <w:rPr>
          <w:rFonts w:eastAsia="Times New Roman" w:cs="Arial"/>
          <w:b/>
          <w:bCs/>
          <w:lang w:val="x-none" w:eastAsia="sl-SI"/>
        </w:rPr>
        <w:t xml:space="preserve"> </w:t>
      </w:r>
    </w:p>
    <w:p w:rsidR="008642DC" w:rsidRDefault="008642DC" w:rsidP="005F6DA9">
      <w:pPr>
        <w:spacing w:after="0" w:line="240" w:lineRule="auto"/>
        <w:jc w:val="both"/>
        <w:rPr>
          <w:rFonts w:eastAsia="Times New Roman" w:cs="Arial"/>
          <w:b/>
          <w:lang w:eastAsia="sl-SI"/>
        </w:rPr>
      </w:pPr>
      <w:r w:rsidRPr="004010E6">
        <w:rPr>
          <w:rFonts w:eastAsia="Times New Roman" w:cs="Arial"/>
          <w:b/>
          <w:lang w:eastAsia="sl-SI"/>
        </w:rPr>
        <w:t>D</w:t>
      </w:r>
      <w:r w:rsidR="005F6DA9">
        <w:rPr>
          <w:rFonts w:eastAsia="Times New Roman" w:cs="Arial"/>
          <w:b/>
          <w:lang w:eastAsia="sl-SI"/>
        </w:rPr>
        <w:t>oločeni v ZMVN-1 (5. člen)</w:t>
      </w:r>
    </w:p>
    <w:p w:rsidR="00A00F33" w:rsidRDefault="00A00F33" w:rsidP="005F6DA9">
      <w:pPr>
        <w:spacing w:after="0" w:line="240" w:lineRule="auto"/>
        <w:ind w:left="425"/>
        <w:jc w:val="both"/>
        <w:rPr>
          <w:rFonts w:eastAsia="Times New Roman" w:cs="Arial"/>
          <w:b/>
          <w:lang w:eastAsia="sl-SI"/>
        </w:rPr>
      </w:pPr>
    </w:p>
    <w:p w:rsidR="00A00F33" w:rsidRPr="004010E6" w:rsidRDefault="00A00F33" w:rsidP="005F6DA9">
      <w:pPr>
        <w:spacing w:after="0" w:line="240" w:lineRule="auto"/>
        <w:ind w:left="425"/>
        <w:jc w:val="center"/>
        <w:rPr>
          <w:rFonts w:eastAsia="Times New Roman" w:cs="Arial"/>
          <w:b/>
          <w:lang w:eastAsia="sl-SI"/>
        </w:rPr>
      </w:pPr>
      <w:r w:rsidRPr="004010E6">
        <w:rPr>
          <w:rFonts w:eastAsia="Times New Roman" w:cs="Arial"/>
          <w:b/>
          <w:lang w:eastAsia="sl-SI"/>
        </w:rPr>
        <w:t>2. člen</w:t>
      </w:r>
    </w:p>
    <w:p w:rsidR="00A00F33" w:rsidRPr="004010E6" w:rsidRDefault="00A00F33" w:rsidP="005F6DA9">
      <w:pPr>
        <w:spacing w:after="0" w:line="240" w:lineRule="auto"/>
        <w:ind w:left="425"/>
        <w:jc w:val="center"/>
        <w:rPr>
          <w:rFonts w:eastAsia="Times New Roman" w:cs="Arial"/>
          <w:b/>
          <w:lang w:eastAsia="sl-SI"/>
        </w:rPr>
      </w:pPr>
      <w:r w:rsidRPr="004010E6">
        <w:rPr>
          <w:rFonts w:eastAsia="Times New Roman" w:cs="Arial"/>
          <w:b/>
          <w:lang w:eastAsia="sl-SI"/>
        </w:rPr>
        <w:t>(presečni datum modelov)</w:t>
      </w:r>
    </w:p>
    <w:p w:rsidR="00F4656F" w:rsidRPr="00F4656F"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 xml:space="preserve">Modeli vrednotenja so določeni glede na ponudbo in povpraševanje na trgu nepremičnin na dan </w:t>
      </w:r>
      <w:r w:rsidR="007242E5">
        <w:rPr>
          <w:rFonts w:eastAsia="Times New Roman" w:cs="Arial"/>
          <w:lang w:eastAsia="sl-SI"/>
        </w:rPr>
        <w:t>3</w:t>
      </w:r>
      <w:r w:rsidRPr="00F4656F">
        <w:rPr>
          <w:rFonts w:eastAsia="Times New Roman" w:cs="Arial"/>
          <w:lang w:val="x-none" w:eastAsia="sl-SI"/>
        </w:rPr>
        <w:t xml:space="preserve">1. </w:t>
      </w:r>
      <w:r w:rsidR="007242E5">
        <w:rPr>
          <w:rFonts w:eastAsia="Times New Roman" w:cs="Arial"/>
          <w:lang w:eastAsia="sl-SI"/>
        </w:rPr>
        <w:t>april</w:t>
      </w:r>
      <w:r w:rsidRPr="00F4656F">
        <w:rPr>
          <w:rFonts w:eastAsia="Times New Roman" w:cs="Arial"/>
          <w:lang w:val="x-none" w:eastAsia="sl-SI"/>
        </w:rPr>
        <w:t xml:space="preserve"> 201</w:t>
      </w:r>
      <w:r w:rsidR="00A00F33">
        <w:rPr>
          <w:rFonts w:eastAsia="Times New Roman" w:cs="Arial"/>
          <w:lang w:eastAsia="sl-SI"/>
        </w:rPr>
        <w:t>7</w:t>
      </w:r>
      <w:r w:rsidRPr="00F4656F">
        <w:rPr>
          <w:rFonts w:eastAsia="Times New Roman" w:cs="Arial"/>
          <w:lang w:val="x-none" w:eastAsia="sl-SI"/>
        </w:rPr>
        <w:t>.</w:t>
      </w:r>
    </w:p>
    <w:p w:rsidR="00F4656F" w:rsidRPr="00F4656F" w:rsidRDefault="00F4656F" w:rsidP="005F6DA9">
      <w:pPr>
        <w:spacing w:before="480" w:after="0" w:line="240" w:lineRule="auto"/>
        <w:jc w:val="center"/>
        <w:rPr>
          <w:rFonts w:eastAsia="Times New Roman" w:cs="Arial"/>
          <w:b/>
          <w:bCs/>
          <w:lang w:eastAsia="sl-SI"/>
        </w:rPr>
      </w:pPr>
      <w:r w:rsidRPr="00F4656F">
        <w:rPr>
          <w:rFonts w:eastAsia="Times New Roman" w:cs="Arial"/>
          <w:b/>
          <w:bCs/>
          <w:lang w:val="x-none" w:eastAsia="sl-SI"/>
        </w:rPr>
        <w:t>3. člen</w:t>
      </w:r>
    </w:p>
    <w:p w:rsidR="00F4656F" w:rsidRPr="00F4656F" w:rsidRDefault="00F4656F" w:rsidP="005F6DA9">
      <w:pPr>
        <w:spacing w:after="0" w:line="240" w:lineRule="auto"/>
        <w:jc w:val="center"/>
        <w:rPr>
          <w:rFonts w:eastAsia="Times New Roman" w:cs="Arial"/>
          <w:b/>
          <w:bCs/>
          <w:lang w:eastAsia="sl-SI"/>
        </w:rPr>
      </w:pPr>
      <w:r w:rsidRPr="00F4656F">
        <w:rPr>
          <w:rFonts w:eastAsia="Times New Roman" w:cs="Arial"/>
          <w:b/>
          <w:bCs/>
          <w:lang w:val="x-none" w:eastAsia="sl-SI"/>
        </w:rPr>
        <w:t>(modeli vrednotenja nepremičnin)</w:t>
      </w:r>
    </w:p>
    <w:p w:rsidR="00F4656F" w:rsidRPr="00F4656F"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 xml:space="preserve">(1) Vrednostne cone in vrednostne ravni ter pripadajoče vrednostne tabele, s katerimi so določeni modeli vrednotenja nepremičnin, so za vsak model vrednotenja iz prvega odstavka prejšnjega člena določene in prikazane v prilogi 1, ki je sestavni del te uredbe. </w:t>
      </w:r>
    </w:p>
    <w:p w:rsidR="00F4656F" w:rsidRPr="00F4656F"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(2) Točkovniki, točkovni razredi in vrednostni faktorji, s katerimi so določeni modeli vrednotenja nepremičnin, so za vsak model vrednotenja iz prvega odstavka prejšnjega člena določeni in prikazani v prilogi 2, ki je sestavni del te uredbe.</w:t>
      </w:r>
    </w:p>
    <w:p w:rsidR="00F4656F" w:rsidRPr="00F4656F" w:rsidRDefault="00F4656F" w:rsidP="005F6DA9">
      <w:pPr>
        <w:spacing w:before="480" w:after="0" w:line="240" w:lineRule="auto"/>
        <w:jc w:val="center"/>
        <w:rPr>
          <w:rFonts w:eastAsia="Times New Roman" w:cs="Arial"/>
          <w:b/>
          <w:bCs/>
          <w:lang w:eastAsia="sl-SI"/>
        </w:rPr>
      </w:pPr>
      <w:r w:rsidRPr="00F4656F">
        <w:rPr>
          <w:rFonts w:eastAsia="Times New Roman" w:cs="Arial"/>
          <w:b/>
          <w:bCs/>
          <w:lang w:val="x-none" w:eastAsia="sl-SI"/>
        </w:rPr>
        <w:t>4. člen</w:t>
      </w:r>
    </w:p>
    <w:p w:rsidR="00F4656F" w:rsidRPr="00F4656F" w:rsidRDefault="00F4656F" w:rsidP="005F6DA9">
      <w:pPr>
        <w:spacing w:after="0" w:line="240" w:lineRule="auto"/>
        <w:jc w:val="center"/>
        <w:rPr>
          <w:rFonts w:eastAsia="Times New Roman" w:cs="Arial"/>
          <w:b/>
          <w:bCs/>
          <w:lang w:eastAsia="sl-SI"/>
        </w:rPr>
      </w:pPr>
      <w:r w:rsidRPr="00F4656F">
        <w:rPr>
          <w:rFonts w:eastAsia="Times New Roman" w:cs="Arial"/>
          <w:b/>
          <w:bCs/>
          <w:lang w:val="x-none" w:eastAsia="sl-SI"/>
        </w:rPr>
        <w:t>(uporaba modelov vrednotenja nepremičnin)</w:t>
      </w:r>
    </w:p>
    <w:p w:rsidR="00F4656F" w:rsidRPr="00F4656F"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 xml:space="preserve">(1) Za izračun vrednosti nepremičnine se glede na lastnosti nepremičnine </w:t>
      </w:r>
      <w:r w:rsidR="00A00F33">
        <w:rPr>
          <w:rFonts w:eastAsia="Times New Roman" w:cs="Arial"/>
          <w:lang w:eastAsia="sl-SI"/>
        </w:rPr>
        <w:t xml:space="preserve">in število enot vrednotenja </w:t>
      </w:r>
      <w:r w:rsidRPr="00F4656F">
        <w:rPr>
          <w:rFonts w:eastAsia="Times New Roman" w:cs="Arial"/>
          <w:lang w:val="x-none" w:eastAsia="sl-SI"/>
        </w:rPr>
        <w:t xml:space="preserve">uporabi en ali več modelov vrednotenja nepremičnin. </w:t>
      </w:r>
    </w:p>
    <w:p w:rsidR="00F4656F" w:rsidRPr="00F4656F"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(2) Vrednost nepremičnine je vsota vseh vrednosti, ki so za to nepremičnino izračunane po enem ali več modelih vrednotenja nepremičnin.</w:t>
      </w:r>
    </w:p>
    <w:p w:rsidR="00F4656F" w:rsidRPr="00F4656F" w:rsidRDefault="00F4656F" w:rsidP="005F6DA9">
      <w:pPr>
        <w:spacing w:before="480" w:after="0" w:line="240" w:lineRule="auto"/>
        <w:jc w:val="center"/>
        <w:rPr>
          <w:rFonts w:eastAsia="Times New Roman" w:cs="Arial"/>
          <w:b/>
          <w:bCs/>
          <w:lang w:eastAsia="sl-SI"/>
        </w:rPr>
      </w:pPr>
      <w:r w:rsidRPr="00F4656F">
        <w:rPr>
          <w:rFonts w:eastAsia="Times New Roman" w:cs="Arial"/>
          <w:b/>
          <w:bCs/>
          <w:lang w:val="x-none" w:eastAsia="sl-SI"/>
        </w:rPr>
        <w:t>5. člen</w:t>
      </w:r>
    </w:p>
    <w:p w:rsidR="00F4656F" w:rsidRPr="00F4656F" w:rsidRDefault="00F4656F" w:rsidP="005F6DA9">
      <w:pPr>
        <w:spacing w:after="0" w:line="240" w:lineRule="auto"/>
        <w:jc w:val="center"/>
        <w:rPr>
          <w:rFonts w:eastAsia="Times New Roman" w:cs="Arial"/>
          <w:b/>
          <w:bCs/>
          <w:lang w:eastAsia="sl-SI"/>
        </w:rPr>
      </w:pPr>
      <w:r w:rsidRPr="00F4656F">
        <w:rPr>
          <w:rFonts w:eastAsia="Times New Roman" w:cs="Arial"/>
          <w:b/>
          <w:bCs/>
          <w:lang w:val="x-none" w:eastAsia="sl-SI"/>
        </w:rPr>
        <w:t>(kriterij za določitev modelov in uporaba modelov vrednotenja za izračun vrednosti dela stavbe)</w:t>
      </w:r>
    </w:p>
    <w:p w:rsidR="00A00F33"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 xml:space="preserve">(1) Za izračun vrednosti dela stavbe se določi in uporabi en model vrednotenja glede na dejansko rabo dela stavbe, ki je evidentirana v registru nepremičnin. </w:t>
      </w:r>
    </w:p>
    <w:p w:rsidR="00F4656F" w:rsidRPr="005F6DA9" w:rsidRDefault="00A00F33" w:rsidP="005F6DA9">
      <w:pPr>
        <w:spacing w:before="240" w:after="0" w:line="240" w:lineRule="auto"/>
        <w:jc w:val="both"/>
        <w:rPr>
          <w:rFonts w:eastAsia="Times New Roman" w:cs="Arial"/>
          <w:b/>
          <w:lang w:eastAsia="sl-SI"/>
        </w:rPr>
      </w:pPr>
      <w:r w:rsidRPr="004010E6">
        <w:rPr>
          <w:rFonts w:eastAsia="Times New Roman" w:cs="Arial"/>
          <w:b/>
          <w:lang w:eastAsia="sl-SI"/>
        </w:rPr>
        <w:lastRenderedPageBreak/>
        <w:t>GURS pripravlja novo klasifikacijo dejanske rabe stavb – uveljavitev ob uveljavitvi novega REN do novembra 2017</w:t>
      </w:r>
      <w:r w:rsidR="007242E5">
        <w:rPr>
          <w:rFonts w:eastAsia="Times New Roman" w:cs="Arial"/>
          <w:b/>
          <w:lang w:eastAsia="sl-SI"/>
        </w:rPr>
        <w:t xml:space="preserve"> (delovno junija 2017)</w:t>
      </w:r>
      <w:r w:rsidRPr="00F4656F" w:rsidDel="00A00F33">
        <w:rPr>
          <w:rFonts w:eastAsia="Times New Roman" w:cs="Arial"/>
          <w:lang w:val="x-none" w:eastAsia="sl-SI"/>
        </w:rPr>
        <w:t xml:space="preserve"> </w:t>
      </w:r>
    </w:p>
    <w:p w:rsidR="00F4656F" w:rsidRPr="00F4656F" w:rsidRDefault="00F4656F" w:rsidP="005F6DA9">
      <w:pPr>
        <w:spacing w:before="480" w:after="0" w:line="240" w:lineRule="auto"/>
        <w:jc w:val="center"/>
        <w:rPr>
          <w:rFonts w:eastAsia="Times New Roman" w:cs="Arial"/>
          <w:b/>
          <w:bCs/>
          <w:lang w:eastAsia="sl-SI"/>
        </w:rPr>
      </w:pPr>
      <w:r w:rsidRPr="00F4656F">
        <w:rPr>
          <w:rFonts w:eastAsia="Times New Roman" w:cs="Arial"/>
          <w:b/>
          <w:bCs/>
          <w:lang w:val="x-none" w:eastAsia="sl-SI"/>
        </w:rPr>
        <w:t>6. člen</w:t>
      </w:r>
    </w:p>
    <w:p w:rsidR="00F4656F" w:rsidRPr="00F4656F" w:rsidRDefault="00F4656F" w:rsidP="005F6DA9">
      <w:pPr>
        <w:spacing w:after="0" w:line="240" w:lineRule="auto"/>
        <w:jc w:val="center"/>
        <w:rPr>
          <w:rFonts w:eastAsia="Times New Roman" w:cs="Arial"/>
          <w:b/>
          <w:bCs/>
          <w:lang w:eastAsia="sl-SI"/>
        </w:rPr>
      </w:pPr>
      <w:r w:rsidRPr="00F4656F">
        <w:rPr>
          <w:rFonts w:eastAsia="Times New Roman" w:cs="Arial"/>
          <w:b/>
          <w:bCs/>
          <w:lang w:val="x-none" w:eastAsia="sl-SI"/>
        </w:rPr>
        <w:t>(kriteriji za določitev modelov vrednotenja za izračun vrednosti parcele)</w:t>
      </w:r>
    </w:p>
    <w:p w:rsidR="00F4656F" w:rsidRPr="00F4656F"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(1) Za izračun vrednosti parcele se uporabi en ali več modelov vrednotenja glede na namensko rabo zemljišč, ki je evidentirana v registru nepremičnin</w:t>
      </w:r>
      <w:r w:rsidR="00A00F33">
        <w:rPr>
          <w:rFonts w:eastAsia="Times New Roman" w:cs="Arial"/>
          <w:lang w:eastAsia="sl-SI"/>
        </w:rPr>
        <w:t xml:space="preserve"> (evidenci vrednotenja)</w:t>
      </w:r>
      <w:r w:rsidR="00437CDE">
        <w:rPr>
          <w:rFonts w:eastAsia="Times New Roman" w:cs="Arial"/>
          <w:lang w:eastAsia="sl-SI"/>
        </w:rPr>
        <w:t>, razen za zemljišča pod javnimi cestami in železnico ter vodami, ki se vrednotijo glede na dejansko rabo, evidentirano v zemljiškem katastru (evidenci vrednotenja)</w:t>
      </w:r>
      <w:r w:rsidRPr="00F4656F">
        <w:rPr>
          <w:rFonts w:eastAsia="Times New Roman" w:cs="Arial"/>
          <w:lang w:val="x-none" w:eastAsia="sl-SI"/>
        </w:rPr>
        <w:t xml:space="preserve">. </w:t>
      </w:r>
    </w:p>
    <w:p w:rsidR="00437CDE"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(2) Če so na parceli stavbe z deli stavb se za izračun vrednosti parcele ne upošteva pripadajoče zemljišče stavbi</w:t>
      </w:r>
      <w:r w:rsidR="00437CDE">
        <w:rPr>
          <w:rFonts w:eastAsia="Times New Roman" w:cs="Arial"/>
          <w:lang w:eastAsia="sl-SI"/>
        </w:rPr>
        <w:t xml:space="preserve"> (vrednost takega zemljišča je upoštevana v vrednosti stavbe).</w:t>
      </w:r>
      <w:r w:rsidR="00437CDE" w:rsidRPr="00F4656F" w:rsidDel="00437CDE">
        <w:rPr>
          <w:rFonts w:eastAsia="Times New Roman" w:cs="Arial"/>
          <w:lang w:val="x-none" w:eastAsia="sl-SI"/>
        </w:rPr>
        <w:t xml:space="preserve"> </w:t>
      </w:r>
    </w:p>
    <w:p w:rsidR="00437CDE" w:rsidRPr="00437CDE" w:rsidRDefault="00437CDE" w:rsidP="005F6DA9">
      <w:pPr>
        <w:spacing w:before="240" w:after="0" w:line="240" w:lineRule="auto"/>
        <w:jc w:val="both"/>
        <w:rPr>
          <w:rFonts w:eastAsia="Times New Roman" w:cs="Arial"/>
          <w:lang w:eastAsia="sl-SI"/>
        </w:rPr>
      </w:pPr>
      <w:r w:rsidRPr="009C4012">
        <w:rPr>
          <w:rFonts w:eastAsia="Times New Roman" w:cs="Arial"/>
          <w:b/>
          <w:lang w:eastAsia="sl-SI"/>
        </w:rPr>
        <w:t xml:space="preserve">Ni več zemljišč za gradnjo stavb, vsa zemljišča se vrednotijo po </w:t>
      </w:r>
      <w:r w:rsidRPr="00437CDE">
        <w:rPr>
          <w:rFonts w:eastAsia="Times New Roman" w:cs="Arial"/>
          <w:b/>
          <w:lang w:eastAsia="sl-SI"/>
        </w:rPr>
        <w:t>namenski rabi</w:t>
      </w:r>
      <w:r>
        <w:rPr>
          <w:rFonts w:eastAsia="Times New Roman" w:cs="Arial"/>
          <w:b/>
          <w:lang w:eastAsia="sl-SI"/>
        </w:rPr>
        <w:t>, razen za zemljišča pod javnimi cestami in železnico ter vodami, ki se vrednotijo glede na dejansko rabo.</w:t>
      </w:r>
    </w:p>
    <w:p w:rsidR="00F4656F" w:rsidRPr="00F4656F" w:rsidRDefault="00F4656F" w:rsidP="005F6DA9">
      <w:pPr>
        <w:spacing w:before="480" w:after="0" w:line="240" w:lineRule="auto"/>
        <w:jc w:val="center"/>
        <w:rPr>
          <w:rFonts w:eastAsia="Times New Roman" w:cs="Arial"/>
          <w:b/>
          <w:bCs/>
          <w:lang w:eastAsia="sl-SI"/>
        </w:rPr>
      </w:pPr>
      <w:r w:rsidRPr="00F4656F">
        <w:rPr>
          <w:rFonts w:eastAsia="Times New Roman" w:cs="Arial"/>
          <w:b/>
          <w:bCs/>
          <w:lang w:val="x-none" w:eastAsia="sl-SI"/>
        </w:rPr>
        <w:t>7. člen</w:t>
      </w:r>
    </w:p>
    <w:p w:rsidR="00F4656F" w:rsidRPr="00437CDE" w:rsidRDefault="00437CDE" w:rsidP="005F6DA9">
      <w:pPr>
        <w:spacing w:after="0" w:line="240" w:lineRule="auto"/>
        <w:jc w:val="center"/>
        <w:rPr>
          <w:rFonts w:eastAsia="Times New Roman" w:cs="Arial"/>
          <w:b/>
          <w:bCs/>
          <w:lang w:eastAsia="sl-SI"/>
        </w:rPr>
      </w:pPr>
      <w:r>
        <w:rPr>
          <w:rFonts w:eastAsia="Times New Roman" w:cs="Arial"/>
          <w:b/>
          <w:bCs/>
          <w:lang w:eastAsia="sl-SI"/>
        </w:rPr>
        <w:t>(vrste namenske rabe)</w:t>
      </w:r>
    </w:p>
    <w:p w:rsidR="00F4656F" w:rsidRPr="005F6DA9" w:rsidRDefault="00F4656F" w:rsidP="005F6DA9">
      <w:pPr>
        <w:spacing w:before="240" w:after="0" w:line="240" w:lineRule="auto"/>
        <w:jc w:val="both"/>
        <w:rPr>
          <w:rFonts w:eastAsia="Times New Roman" w:cs="Arial"/>
          <w:lang w:eastAsia="sl-SI"/>
        </w:rPr>
      </w:pPr>
      <w:r w:rsidRPr="005F6DA9">
        <w:rPr>
          <w:rFonts w:eastAsia="Times New Roman" w:cs="Arial"/>
          <w:lang w:val="x-none" w:eastAsia="sl-SI"/>
        </w:rPr>
        <w:t>Za izračun vrednosti parcele se</w:t>
      </w:r>
      <w:r w:rsidR="005F6DA9">
        <w:rPr>
          <w:rFonts w:eastAsia="Times New Roman" w:cs="Arial"/>
          <w:lang w:eastAsia="sl-SI"/>
        </w:rPr>
        <w:t xml:space="preserve"> </w:t>
      </w:r>
      <w:r w:rsidR="00437CDE" w:rsidRPr="005F6DA9">
        <w:rPr>
          <w:rFonts w:eastAsia="Times New Roman" w:cs="Arial"/>
          <w:lang w:eastAsia="sl-SI"/>
        </w:rPr>
        <w:t>upoštevajo naslednje vrste rabe</w:t>
      </w:r>
      <w:r w:rsidRPr="005F6DA9">
        <w:rPr>
          <w:rFonts w:eastAsia="Times New Roman" w:cs="Arial"/>
          <w:lang w:val="x-none" w:eastAsia="sl-SI"/>
        </w:rPr>
        <w:t xml:space="preserve">: </w:t>
      </w:r>
    </w:p>
    <w:p w:rsidR="007242E5" w:rsidRDefault="007242E5" w:rsidP="005F6DA9">
      <w:pPr>
        <w:pStyle w:val="ListParagraph"/>
        <w:numPr>
          <w:ilvl w:val="0"/>
          <w:numId w:val="2"/>
        </w:numPr>
        <w:spacing w:before="240" w:after="0" w:line="240" w:lineRule="auto"/>
        <w:ind w:firstLine="0"/>
        <w:jc w:val="both"/>
        <w:rPr>
          <w:rFonts w:eastAsia="Times New Roman" w:cs="Arial"/>
          <w:lang w:eastAsia="sl-SI"/>
        </w:rPr>
      </w:pPr>
      <w:r>
        <w:rPr>
          <w:rFonts w:eastAsia="Times New Roman" w:cs="Arial"/>
          <w:lang w:eastAsia="sl-SI"/>
        </w:rPr>
        <w:t>stavbna zemljišča</w:t>
      </w:r>
      <w:r w:rsidR="009B629E">
        <w:rPr>
          <w:rFonts w:eastAsia="Times New Roman" w:cs="Arial"/>
          <w:lang w:eastAsia="sl-SI"/>
        </w:rPr>
        <w:t xml:space="preserve"> – namenska raba</w:t>
      </w:r>
      <w:r>
        <w:rPr>
          <w:rFonts w:eastAsia="Times New Roman" w:cs="Arial"/>
          <w:lang w:eastAsia="sl-SI"/>
        </w:rPr>
        <w:t xml:space="preserve"> </w:t>
      </w:r>
      <w:r w:rsidRPr="004010E6">
        <w:rPr>
          <w:rFonts w:eastAsia="Times New Roman" w:cs="Arial"/>
          <w:b/>
          <w:lang w:eastAsia="sl-SI"/>
        </w:rPr>
        <w:t>(različne klasifikacije namenske rabe na podlagi različnih planskih aktov se za namene vrednotenja poenotijo v enotno grupiranje):</w:t>
      </w:r>
    </w:p>
    <w:p w:rsidR="007242E5" w:rsidRDefault="007242E5" w:rsidP="005F6DA9">
      <w:pPr>
        <w:pStyle w:val="ListParagraph"/>
        <w:numPr>
          <w:ilvl w:val="0"/>
          <w:numId w:val="3"/>
        </w:numPr>
        <w:spacing w:before="240" w:after="0" w:line="240" w:lineRule="auto"/>
        <w:ind w:firstLine="0"/>
        <w:jc w:val="both"/>
        <w:rPr>
          <w:rFonts w:eastAsia="Times New Roman" w:cs="Arial"/>
          <w:lang w:eastAsia="sl-SI"/>
        </w:rPr>
      </w:pPr>
      <w:r>
        <w:rPr>
          <w:rFonts w:eastAsia="Times New Roman" w:cs="Arial"/>
          <w:lang w:eastAsia="sl-SI"/>
        </w:rPr>
        <w:t>območja centralnih dejavnosti: skupina rab ID 1</w:t>
      </w:r>
    </w:p>
    <w:p w:rsidR="007242E5" w:rsidRDefault="007242E5" w:rsidP="005F6DA9">
      <w:pPr>
        <w:pStyle w:val="ListParagraph"/>
        <w:numPr>
          <w:ilvl w:val="0"/>
          <w:numId w:val="3"/>
        </w:numPr>
        <w:spacing w:before="240" w:after="0" w:line="240" w:lineRule="auto"/>
        <w:ind w:firstLine="0"/>
        <w:jc w:val="both"/>
        <w:rPr>
          <w:rFonts w:eastAsia="Times New Roman" w:cs="Arial"/>
          <w:lang w:eastAsia="sl-SI"/>
        </w:rPr>
      </w:pPr>
      <w:r>
        <w:rPr>
          <w:rFonts w:eastAsia="Times New Roman" w:cs="Arial"/>
          <w:lang w:eastAsia="sl-SI"/>
        </w:rPr>
        <w:t>stanovanjska območja: skupina rab ID 2</w:t>
      </w:r>
    </w:p>
    <w:p w:rsidR="007242E5" w:rsidRDefault="007242E5" w:rsidP="005F6DA9">
      <w:pPr>
        <w:pStyle w:val="ListParagraph"/>
        <w:numPr>
          <w:ilvl w:val="0"/>
          <w:numId w:val="3"/>
        </w:numPr>
        <w:spacing w:before="240" w:after="0" w:line="240" w:lineRule="auto"/>
        <w:ind w:firstLine="0"/>
        <w:jc w:val="both"/>
        <w:rPr>
          <w:rFonts w:eastAsia="Times New Roman" w:cs="Arial"/>
          <w:lang w:eastAsia="sl-SI"/>
        </w:rPr>
      </w:pPr>
      <w:r>
        <w:rPr>
          <w:rFonts w:eastAsia="Times New Roman" w:cs="Arial"/>
          <w:lang w:eastAsia="sl-SI"/>
        </w:rPr>
        <w:t>območja proizvodne dejavnosti: skupina rab ID 3</w:t>
      </w:r>
    </w:p>
    <w:p w:rsidR="007242E5" w:rsidRDefault="007242E5" w:rsidP="005F6DA9">
      <w:pPr>
        <w:pStyle w:val="ListParagraph"/>
        <w:numPr>
          <w:ilvl w:val="0"/>
          <w:numId w:val="3"/>
        </w:numPr>
        <w:spacing w:before="240" w:after="0" w:line="240" w:lineRule="auto"/>
        <w:ind w:firstLine="0"/>
        <w:jc w:val="both"/>
        <w:rPr>
          <w:rFonts w:eastAsia="Times New Roman" w:cs="Arial"/>
          <w:lang w:eastAsia="sl-SI"/>
        </w:rPr>
      </w:pPr>
      <w:r>
        <w:rPr>
          <w:rFonts w:eastAsia="Times New Roman" w:cs="Arial"/>
          <w:lang w:eastAsia="sl-SI"/>
        </w:rPr>
        <w:t>območja družbene infrastrukture: skupina rab ID 4</w:t>
      </w:r>
    </w:p>
    <w:p w:rsidR="007242E5" w:rsidRDefault="007242E5" w:rsidP="005F6DA9">
      <w:pPr>
        <w:pStyle w:val="ListParagraph"/>
        <w:numPr>
          <w:ilvl w:val="0"/>
          <w:numId w:val="3"/>
        </w:numPr>
        <w:spacing w:before="240" w:after="0" w:line="240" w:lineRule="auto"/>
        <w:ind w:firstLine="0"/>
        <w:jc w:val="both"/>
        <w:rPr>
          <w:rFonts w:eastAsia="Times New Roman" w:cs="Arial"/>
          <w:lang w:eastAsia="sl-SI"/>
        </w:rPr>
      </w:pPr>
      <w:r>
        <w:rPr>
          <w:rFonts w:eastAsia="Times New Roman" w:cs="Arial"/>
          <w:lang w:eastAsia="sl-SI"/>
        </w:rPr>
        <w:t>območja zelenih površin: skupina rab ID 5</w:t>
      </w:r>
    </w:p>
    <w:p w:rsidR="007242E5" w:rsidRDefault="007242E5" w:rsidP="005F6DA9">
      <w:pPr>
        <w:pStyle w:val="ListParagraph"/>
        <w:numPr>
          <w:ilvl w:val="0"/>
          <w:numId w:val="3"/>
        </w:numPr>
        <w:spacing w:before="240" w:after="0" w:line="240" w:lineRule="auto"/>
        <w:ind w:firstLine="0"/>
        <w:jc w:val="both"/>
        <w:rPr>
          <w:rFonts w:eastAsia="Times New Roman" w:cs="Arial"/>
          <w:lang w:eastAsia="sl-SI"/>
        </w:rPr>
      </w:pPr>
      <w:r>
        <w:rPr>
          <w:rFonts w:eastAsia="Times New Roman" w:cs="Arial"/>
          <w:lang w:eastAsia="sl-SI"/>
        </w:rPr>
        <w:t>območja prometne infrastrukture: skupina rab ID 6</w:t>
      </w:r>
    </w:p>
    <w:p w:rsidR="008B58DC" w:rsidRDefault="007242E5" w:rsidP="005F6DA9">
      <w:pPr>
        <w:pStyle w:val="ListParagraph"/>
        <w:numPr>
          <w:ilvl w:val="0"/>
          <w:numId w:val="3"/>
        </w:numPr>
        <w:spacing w:before="240" w:after="0" w:line="240" w:lineRule="auto"/>
        <w:ind w:firstLine="0"/>
        <w:jc w:val="both"/>
        <w:rPr>
          <w:rFonts w:eastAsia="Times New Roman" w:cs="Arial"/>
          <w:lang w:eastAsia="sl-SI"/>
        </w:rPr>
      </w:pPr>
      <w:r>
        <w:rPr>
          <w:rFonts w:eastAsia="Times New Roman" w:cs="Arial"/>
          <w:lang w:eastAsia="sl-SI"/>
        </w:rPr>
        <w:t>območja energetske infrastrukture: skupina rab ID 7</w:t>
      </w:r>
    </w:p>
    <w:p w:rsidR="009B629E" w:rsidRPr="004010E6" w:rsidRDefault="008B58DC" w:rsidP="005F6DA9">
      <w:pPr>
        <w:pStyle w:val="ListParagraph"/>
        <w:numPr>
          <w:ilvl w:val="0"/>
          <w:numId w:val="3"/>
        </w:numPr>
        <w:spacing w:before="240" w:after="0" w:line="240" w:lineRule="auto"/>
        <w:ind w:firstLine="0"/>
        <w:jc w:val="both"/>
        <w:rPr>
          <w:rFonts w:eastAsia="Times New Roman" w:cs="Arial"/>
          <w:lang w:eastAsia="sl-SI"/>
        </w:rPr>
      </w:pPr>
      <w:r w:rsidRPr="008B58DC">
        <w:rPr>
          <w:rFonts w:eastAsia="Times New Roman" w:cs="Arial"/>
          <w:lang w:eastAsia="sl-SI"/>
        </w:rPr>
        <w:t xml:space="preserve">območja </w:t>
      </w:r>
      <w:r w:rsidRPr="004010E6">
        <w:rPr>
          <w:rFonts w:eastAsia="Times New Roman" w:cs="Arial"/>
          <w:color w:val="000000"/>
          <w:lang w:eastAsia="sl-SI"/>
        </w:rPr>
        <w:t xml:space="preserve">varstva pred naravnimi nesrečami in obrambo: skupina rab ID </w:t>
      </w:r>
      <w:r w:rsidR="009B629E">
        <w:rPr>
          <w:rFonts w:eastAsia="Times New Roman" w:cs="Arial"/>
          <w:color w:val="000000"/>
          <w:lang w:eastAsia="sl-SI"/>
        </w:rPr>
        <w:t>8</w:t>
      </w:r>
    </w:p>
    <w:p w:rsidR="00EB42E8" w:rsidRDefault="00EB42E8" w:rsidP="005F6DA9">
      <w:pPr>
        <w:pStyle w:val="ListParagraph"/>
        <w:numPr>
          <w:ilvl w:val="0"/>
          <w:numId w:val="2"/>
        </w:numPr>
        <w:spacing w:before="240" w:after="0" w:line="240" w:lineRule="auto"/>
        <w:ind w:firstLine="0"/>
        <w:jc w:val="both"/>
        <w:rPr>
          <w:rFonts w:eastAsia="Times New Roman" w:cs="Arial"/>
          <w:lang w:eastAsia="sl-SI"/>
        </w:rPr>
      </w:pPr>
      <w:r>
        <w:rPr>
          <w:rFonts w:eastAsia="Times New Roman" w:cs="Arial"/>
          <w:lang w:eastAsia="sl-SI"/>
        </w:rPr>
        <w:t>kmetijska zemljišča</w:t>
      </w:r>
      <w:r w:rsidR="009B629E">
        <w:rPr>
          <w:rFonts w:eastAsia="Times New Roman" w:cs="Arial"/>
          <w:lang w:eastAsia="sl-SI"/>
        </w:rPr>
        <w:t xml:space="preserve"> – namenska raba</w:t>
      </w:r>
      <w:r>
        <w:rPr>
          <w:rFonts w:eastAsia="Times New Roman" w:cs="Arial"/>
          <w:lang w:eastAsia="sl-SI"/>
        </w:rPr>
        <w:t>: skupina ID 9</w:t>
      </w:r>
    </w:p>
    <w:p w:rsidR="009B629E" w:rsidRDefault="009B629E" w:rsidP="005F6DA9">
      <w:pPr>
        <w:pStyle w:val="ListParagraph"/>
        <w:numPr>
          <w:ilvl w:val="0"/>
          <w:numId w:val="2"/>
        </w:numPr>
        <w:spacing w:before="240" w:after="0" w:line="240" w:lineRule="auto"/>
        <w:ind w:firstLine="0"/>
        <w:jc w:val="both"/>
        <w:rPr>
          <w:rFonts w:eastAsia="Times New Roman" w:cs="Arial"/>
          <w:lang w:eastAsia="sl-SI"/>
        </w:rPr>
      </w:pPr>
      <w:r>
        <w:rPr>
          <w:rFonts w:eastAsia="Times New Roman" w:cs="Arial"/>
          <w:lang w:eastAsia="sl-SI"/>
        </w:rPr>
        <w:t>gozdna zemljišča – namenska raba: skupina ID 10</w:t>
      </w:r>
      <w:r w:rsidRPr="00EB42E8">
        <w:rPr>
          <w:rFonts w:eastAsia="Times New Roman" w:cs="Arial"/>
          <w:lang w:eastAsia="sl-SI"/>
        </w:rPr>
        <w:t xml:space="preserve"> </w:t>
      </w:r>
    </w:p>
    <w:p w:rsidR="009B629E" w:rsidRDefault="009B629E" w:rsidP="005F6DA9">
      <w:pPr>
        <w:pStyle w:val="ListParagraph"/>
        <w:numPr>
          <w:ilvl w:val="0"/>
          <w:numId w:val="2"/>
        </w:numPr>
        <w:spacing w:before="240" w:after="0" w:line="240" w:lineRule="auto"/>
        <w:ind w:firstLine="0"/>
        <w:jc w:val="both"/>
        <w:rPr>
          <w:rFonts w:eastAsia="Times New Roman" w:cs="Arial"/>
          <w:lang w:eastAsia="sl-SI"/>
        </w:rPr>
      </w:pPr>
      <w:r>
        <w:rPr>
          <w:rFonts w:eastAsia="Times New Roman" w:cs="Arial"/>
          <w:lang w:eastAsia="sl-SI"/>
        </w:rPr>
        <w:t>vodna območja- dejanska raba: skupina rab ID 11</w:t>
      </w:r>
    </w:p>
    <w:p w:rsidR="00F4656F" w:rsidRPr="005F6DA9" w:rsidRDefault="009B629E" w:rsidP="005F6DA9">
      <w:pPr>
        <w:pStyle w:val="ListParagraph"/>
        <w:numPr>
          <w:ilvl w:val="0"/>
          <w:numId w:val="2"/>
        </w:numPr>
        <w:spacing w:before="240" w:after="0" w:line="240" w:lineRule="auto"/>
        <w:ind w:firstLine="0"/>
        <w:jc w:val="both"/>
        <w:rPr>
          <w:rFonts w:eastAsia="Times New Roman" w:cs="Arial"/>
          <w:lang w:eastAsia="sl-SI"/>
        </w:rPr>
      </w:pPr>
      <w:r w:rsidRPr="00E27BC2">
        <w:rPr>
          <w:rFonts w:eastAsia="Times New Roman" w:cs="Arial"/>
          <w:color w:val="000000"/>
          <w:lang w:eastAsia="sl-SI"/>
        </w:rPr>
        <w:t>neplodna območja, gorovja in druga območja ki niso v drugih kategorijah</w:t>
      </w:r>
      <w:r>
        <w:rPr>
          <w:rFonts w:eastAsia="Times New Roman" w:cs="Arial"/>
          <w:color w:val="000000"/>
          <w:lang w:eastAsia="sl-SI"/>
        </w:rPr>
        <w:t xml:space="preserve"> – dejanska raba: skupina rab ID 12</w:t>
      </w:r>
      <w:r w:rsidR="005F6DA9">
        <w:rPr>
          <w:rFonts w:eastAsia="Times New Roman" w:cs="Arial"/>
          <w:color w:val="000000"/>
          <w:lang w:eastAsia="sl-SI"/>
        </w:rPr>
        <w:t>.</w:t>
      </w:r>
    </w:p>
    <w:p w:rsidR="00F4656F" w:rsidRPr="00F4656F" w:rsidRDefault="00F4656F" w:rsidP="005F6DA9">
      <w:pPr>
        <w:spacing w:before="480" w:after="0" w:line="240" w:lineRule="auto"/>
        <w:jc w:val="center"/>
        <w:rPr>
          <w:rFonts w:eastAsia="Times New Roman" w:cs="Arial"/>
          <w:b/>
          <w:bCs/>
          <w:lang w:eastAsia="sl-SI"/>
        </w:rPr>
      </w:pPr>
      <w:r w:rsidRPr="00F4656F">
        <w:rPr>
          <w:rFonts w:eastAsia="Times New Roman" w:cs="Arial"/>
          <w:b/>
          <w:bCs/>
          <w:lang w:val="x-none" w:eastAsia="sl-SI"/>
        </w:rPr>
        <w:t>8. člen</w:t>
      </w:r>
    </w:p>
    <w:p w:rsidR="009B629E" w:rsidRPr="008107D2" w:rsidRDefault="009B629E" w:rsidP="005F6DA9">
      <w:pPr>
        <w:spacing w:before="240" w:after="0" w:line="240" w:lineRule="auto"/>
        <w:jc w:val="both"/>
        <w:rPr>
          <w:rFonts w:eastAsia="Times New Roman" w:cs="Arial"/>
          <w:b/>
          <w:lang w:eastAsia="sl-SI"/>
        </w:rPr>
      </w:pPr>
      <w:r w:rsidRPr="00F4656F" w:rsidDel="009B629E">
        <w:rPr>
          <w:rFonts w:eastAsia="Times New Roman" w:cs="Arial"/>
          <w:b/>
          <w:bCs/>
          <w:lang w:val="x-none" w:eastAsia="sl-SI"/>
        </w:rPr>
        <w:t xml:space="preserve"> </w:t>
      </w:r>
      <w:r w:rsidRPr="008107D2">
        <w:rPr>
          <w:rFonts w:eastAsia="Times New Roman" w:cs="Arial"/>
          <w:b/>
          <w:lang w:eastAsia="sl-SI"/>
        </w:rPr>
        <w:t>Urejeno v zakonu.</w:t>
      </w:r>
    </w:p>
    <w:p w:rsidR="00F4656F"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w:t>
      </w:r>
      <w:r w:rsidR="004010E6">
        <w:rPr>
          <w:rFonts w:eastAsia="Times New Roman" w:cs="Arial"/>
          <w:lang w:eastAsia="sl-SI"/>
        </w:rPr>
        <w:t>1</w:t>
      </w:r>
      <w:r w:rsidRPr="00F4656F">
        <w:rPr>
          <w:rFonts w:eastAsia="Times New Roman" w:cs="Arial"/>
          <w:lang w:val="x-none" w:eastAsia="sl-SI"/>
        </w:rPr>
        <w:t xml:space="preserve">) Vrednost nepremičnine, namenjene opravljanju dejavnosti, se razdeli in pripiše na zemljišča in dele stavb, ki so na posamezni prostorsko oziroma funkcionalno zaokroženi lokaciji, namenjeni opravljanju dejavnosti, glede na njihovo površino in z upoštevanjem utežnih faktorjev. </w:t>
      </w:r>
    </w:p>
    <w:p w:rsidR="00F4656F" w:rsidRPr="004010E6" w:rsidRDefault="009B629E" w:rsidP="005F6DA9">
      <w:pPr>
        <w:spacing w:before="240" w:after="0" w:line="240" w:lineRule="auto"/>
        <w:jc w:val="both"/>
        <w:rPr>
          <w:rFonts w:eastAsia="Times New Roman" w:cs="Arial"/>
          <w:b/>
          <w:lang w:eastAsia="sl-SI"/>
        </w:rPr>
      </w:pPr>
      <w:r w:rsidRPr="00F4656F">
        <w:rPr>
          <w:rFonts w:eastAsia="Times New Roman" w:cs="Arial"/>
          <w:lang w:val="x-none" w:eastAsia="sl-SI"/>
        </w:rPr>
        <w:t xml:space="preserve"> </w:t>
      </w:r>
      <w:r w:rsidR="00F4656F" w:rsidRPr="00F4656F">
        <w:rPr>
          <w:rFonts w:eastAsia="Times New Roman" w:cs="Arial"/>
          <w:lang w:val="x-none" w:eastAsia="sl-SI"/>
        </w:rPr>
        <w:t>(</w:t>
      </w:r>
      <w:r w:rsidR="004010E6">
        <w:rPr>
          <w:rFonts w:eastAsia="Times New Roman" w:cs="Arial"/>
          <w:lang w:eastAsia="sl-SI"/>
        </w:rPr>
        <w:t>2</w:t>
      </w:r>
      <w:r w:rsidR="00F4656F" w:rsidRPr="00F4656F">
        <w:rPr>
          <w:rFonts w:eastAsia="Times New Roman" w:cs="Arial"/>
          <w:lang w:val="x-none" w:eastAsia="sl-SI"/>
        </w:rPr>
        <w:t>) Vrednost zemljišč in delov stavb, ki so na posamezni prostorsko oziroma funkcionalno zaokroženi lokaciji, namenjeni opravljanju dejavnosti iz prvega odstavka tega člena, se izračuna po naslednji enačbi:</w:t>
      </w:r>
      <w:r>
        <w:rPr>
          <w:rFonts w:eastAsia="Times New Roman" w:cs="Arial"/>
          <w:lang w:eastAsia="sl-SI"/>
        </w:rPr>
        <w:t xml:space="preserve"> </w:t>
      </w:r>
      <w:r w:rsidRPr="004010E6">
        <w:rPr>
          <w:rFonts w:eastAsia="Times New Roman" w:cs="Arial"/>
          <w:b/>
          <w:lang w:eastAsia="sl-SI"/>
        </w:rPr>
        <w:t>(enačba se bo preverila in posodobila</w:t>
      </w:r>
      <w:r>
        <w:rPr>
          <w:rFonts w:eastAsia="Times New Roman" w:cs="Arial"/>
          <w:b/>
          <w:lang w:eastAsia="sl-SI"/>
        </w:rPr>
        <w:t xml:space="preserve"> na novo stanje trga</w:t>
      </w:r>
      <w:r w:rsidRPr="004010E6">
        <w:rPr>
          <w:rFonts w:eastAsia="Times New Roman" w:cs="Arial"/>
          <w:b/>
          <w:lang w:eastAsia="sl-SI"/>
        </w:rPr>
        <w:t>)</w:t>
      </w:r>
    </w:p>
    <w:p w:rsidR="00F4656F" w:rsidRPr="00F4656F" w:rsidRDefault="00F4656F" w:rsidP="005F6DA9">
      <w:pPr>
        <w:spacing w:before="400" w:after="400" w:line="240" w:lineRule="auto"/>
        <w:jc w:val="center"/>
        <w:rPr>
          <w:rFonts w:eastAsia="Times New Roman" w:cs="Arial"/>
          <w:lang w:eastAsia="sl-SI"/>
        </w:rPr>
      </w:pPr>
      <w:r w:rsidRPr="00F4656F">
        <w:rPr>
          <w:rFonts w:eastAsia="Times New Roman" w:cs="Arial"/>
          <w:noProof/>
          <w:lang w:eastAsia="sl-SI"/>
        </w:rPr>
        <w:lastRenderedPageBreak/>
        <w:drawing>
          <wp:inline distT="0" distB="0" distL="0" distR="0" wp14:anchorId="104CFC9D" wp14:editId="7483DC63">
            <wp:extent cx="2286000" cy="927735"/>
            <wp:effectExtent l="0" t="0" r="0" b="5715"/>
            <wp:docPr id="4" name="Picture 4" descr="http://www.pisrs.si/Pis.web/pic/2014-01-1680-2011-01-4103-npb1_datoteke/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isrs.si/Pis.web/pic/2014-01-1680-2011-01-4103-npb1_datoteke/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927735"/>
                    </a:xfrm>
                    <a:prstGeom prst="rect">
                      <a:avLst/>
                    </a:prstGeom>
                    <a:noFill/>
                    <a:ln>
                      <a:noFill/>
                    </a:ln>
                  </pic:spPr>
                </pic:pic>
              </a:graphicData>
            </a:graphic>
          </wp:inline>
        </w:drawing>
      </w:r>
    </w:p>
    <w:p w:rsidR="00F4656F" w:rsidRPr="00F4656F" w:rsidRDefault="00F4656F" w:rsidP="005F6DA9">
      <w:pPr>
        <w:spacing w:before="480" w:after="0" w:line="240" w:lineRule="auto"/>
        <w:jc w:val="center"/>
        <w:rPr>
          <w:rFonts w:eastAsia="Times New Roman" w:cs="Arial"/>
          <w:b/>
          <w:bCs/>
          <w:lang w:eastAsia="sl-SI"/>
        </w:rPr>
      </w:pPr>
      <w:r w:rsidRPr="00F4656F">
        <w:rPr>
          <w:rFonts w:eastAsia="Times New Roman" w:cs="Arial"/>
          <w:b/>
          <w:bCs/>
          <w:lang w:val="x-none" w:eastAsia="sl-SI"/>
        </w:rPr>
        <w:t>9. člen</w:t>
      </w:r>
    </w:p>
    <w:p w:rsidR="00F4656F" w:rsidRPr="00F4656F" w:rsidRDefault="00F4656F" w:rsidP="005F6DA9">
      <w:pPr>
        <w:spacing w:after="0" w:line="240" w:lineRule="auto"/>
        <w:jc w:val="center"/>
        <w:rPr>
          <w:rFonts w:eastAsia="Times New Roman" w:cs="Arial"/>
          <w:b/>
          <w:bCs/>
          <w:lang w:eastAsia="sl-SI"/>
        </w:rPr>
      </w:pPr>
      <w:r w:rsidRPr="00F4656F">
        <w:rPr>
          <w:rFonts w:eastAsia="Times New Roman" w:cs="Arial"/>
          <w:b/>
          <w:bCs/>
          <w:lang w:val="x-none" w:eastAsia="sl-SI"/>
        </w:rPr>
        <w:t>(način izračuna vrednosti nepremičnin)</w:t>
      </w:r>
    </w:p>
    <w:p w:rsidR="00F4656F" w:rsidRPr="00F4656F"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Enačbe in način izračuna vrednosti po posameznih modelih vrednotenja nepremičnin so navedeni v prilogi 3, ki je sestavni del te uredbe.</w:t>
      </w:r>
    </w:p>
    <w:p w:rsidR="00F4656F" w:rsidRPr="00F4656F" w:rsidRDefault="00F4656F" w:rsidP="005F6DA9">
      <w:pPr>
        <w:spacing w:before="480" w:after="0" w:line="240" w:lineRule="auto"/>
        <w:jc w:val="center"/>
        <w:rPr>
          <w:rFonts w:eastAsia="Times New Roman" w:cs="Arial"/>
          <w:b/>
          <w:bCs/>
          <w:lang w:eastAsia="sl-SI"/>
        </w:rPr>
      </w:pPr>
      <w:r w:rsidRPr="00F4656F">
        <w:rPr>
          <w:rFonts w:eastAsia="Times New Roman" w:cs="Arial"/>
          <w:b/>
          <w:bCs/>
          <w:lang w:val="x-none" w:eastAsia="sl-SI"/>
        </w:rPr>
        <w:t>10. člen</w:t>
      </w:r>
    </w:p>
    <w:p w:rsidR="00F4656F" w:rsidRPr="00F4656F" w:rsidRDefault="00F4656F" w:rsidP="005F6DA9">
      <w:pPr>
        <w:spacing w:after="0" w:line="240" w:lineRule="auto"/>
        <w:jc w:val="center"/>
        <w:rPr>
          <w:rFonts w:eastAsia="Times New Roman" w:cs="Arial"/>
          <w:b/>
          <w:bCs/>
          <w:lang w:eastAsia="sl-SI"/>
        </w:rPr>
      </w:pPr>
      <w:r w:rsidRPr="00F4656F">
        <w:rPr>
          <w:rFonts w:eastAsia="Times New Roman" w:cs="Arial"/>
          <w:b/>
          <w:bCs/>
          <w:lang w:val="x-none" w:eastAsia="sl-SI"/>
        </w:rPr>
        <w:t>(podatki o nepremičninah, ki se uporabijo za izračun vrednosti nepremičnin)</w:t>
      </w:r>
    </w:p>
    <w:p w:rsidR="00F4656F" w:rsidRDefault="00F4656F" w:rsidP="005F6DA9">
      <w:pPr>
        <w:spacing w:before="240" w:after="0" w:line="240" w:lineRule="auto"/>
        <w:jc w:val="both"/>
        <w:rPr>
          <w:rFonts w:eastAsia="Times New Roman" w:cs="Arial"/>
          <w:lang w:eastAsia="sl-SI"/>
        </w:rPr>
      </w:pPr>
      <w:r w:rsidRPr="00F4656F">
        <w:rPr>
          <w:rFonts w:eastAsia="Times New Roman" w:cs="Arial"/>
          <w:lang w:val="x-none" w:eastAsia="sl-SI"/>
        </w:rPr>
        <w:t>Podatki o nepremičninah, ki se uporabijo za izračun vrednosti nepremičnin po modelih vrednotenja nepremičnin, so navedeni v prilogi 4, ki je sestavni del te uredbe.</w:t>
      </w:r>
    </w:p>
    <w:p w:rsidR="00F4656F" w:rsidRDefault="009B629E" w:rsidP="005F6DA9">
      <w:pPr>
        <w:spacing w:before="240" w:after="0" w:line="240" w:lineRule="auto"/>
        <w:jc w:val="both"/>
        <w:rPr>
          <w:rFonts w:eastAsia="Times New Roman" w:cs="Arial"/>
          <w:b/>
          <w:lang w:eastAsia="sl-SI"/>
        </w:rPr>
      </w:pPr>
      <w:r w:rsidRPr="004010E6">
        <w:rPr>
          <w:rFonts w:eastAsia="Times New Roman" w:cs="Arial"/>
          <w:b/>
          <w:lang w:eastAsia="sl-SI"/>
        </w:rPr>
        <w:t>Osnovne vrste podatkov so določene z zakonom.</w:t>
      </w:r>
    </w:p>
    <w:p w:rsidR="005F6DA9" w:rsidRPr="005F6DA9" w:rsidRDefault="005F6DA9" w:rsidP="005F6DA9">
      <w:pPr>
        <w:spacing w:before="240" w:after="0" w:line="240" w:lineRule="auto"/>
        <w:jc w:val="both"/>
        <w:rPr>
          <w:rFonts w:eastAsia="Times New Roman" w:cs="Arial"/>
          <w:b/>
          <w:lang w:eastAsia="sl-SI"/>
        </w:rPr>
      </w:pPr>
    </w:p>
    <w:p w:rsidR="005F6DA9" w:rsidRDefault="005F6DA9" w:rsidP="005F6DA9">
      <w:pPr>
        <w:spacing w:after="0" w:line="260" w:lineRule="atLeast"/>
        <w:jc w:val="center"/>
        <w:rPr>
          <w:rFonts w:eastAsia="Times New Roman" w:cs="Arial"/>
          <w:b/>
          <w:lang w:eastAsia="sl-SI"/>
        </w:rPr>
      </w:pPr>
      <w:r w:rsidRPr="005F6DA9">
        <w:rPr>
          <w:rFonts w:eastAsia="Times New Roman" w:cs="Arial"/>
          <w:b/>
          <w:lang w:eastAsia="sl-SI"/>
        </w:rPr>
        <w:t>11</w:t>
      </w:r>
      <w:r w:rsidR="00F4656F" w:rsidRPr="005F6DA9">
        <w:rPr>
          <w:rFonts w:eastAsia="Times New Roman" w:cs="Arial"/>
          <w:b/>
          <w:lang w:val="x-none" w:eastAsia="sl-SI"/>
        </w:rPr>
        <w:t>. člen</w:t>
      </w:r>
    </w:p>
    <w:p w:rsidR="005F6DA9" w:rsidRPr="005F6DA9" w:rsidRDefault="005F6DA9" w:rsidP="005F6DA9">
      <w:pPr>
        <w:spacing w:after="0" w:line="260" w:lineRule="atLeast"/>
        <w:jc w:val="center"/>
        <w:rPr>
          <w:rFonts w:eastAsia="Times New Roman" w:cs="Arial"/>
          <w:b/>
          <w:lang w:eastAsia="sl-SI"/>
        </w:rPr>
      </w:pPr>
      <w:r>
        <w:rPr>
          <w:rFonts w:eastAsia="Times New Roman" w:cs="Arial"/>
          <w:b/>
          <w:lang w:eastAsia="sl-SI"/>
        </w:rPr>
        <w:t>(končna določba)</w:t>
      </w:r>
    </w:p>
    <w:p w:rsidR="005F6DA9" w:rsidRDefault="005F6DA9" w:rsidP="005F6DA9">
      <w:pPr>
        <w:spacing w:after="0" w:line="260" w:lineRule="atLeast"/>
        <w:jc w:val="both"/>
        <w:rPr>
          <w:rFonts w:eastAsia="Times New Roman" w:cs="Arial"/>
          <w:lang w:eastAsia="sl-SI"/>
        </w:rPr>
      </w:pPr>
    </w:p>
    <w:p w:rsidR="00F4656F" w:rsidRPr="00F4656F" w:rsidRDefault="00F4656F" w:rsidP="005F6DA9">
      <w:pPr>
        <w:spacing w:after="0" w:line="260" w:lineRule="atLeast"/>
        <w:jc w:val="both"/>
        <w:rPr>
          <w:rFonts w:eastAsia="Times New Roman" w:cs="Arial"/>
          <w:lang w:eastAsia="sl-SI"/>
        </w:rPr>
      </w:pPr>
      <w:r w:rsidRPr="00F4656F">
        <w:rPr>
          <w:rFonts w:eastAsia="Times New Roman" w:cs="Arial"/>
          <w:lang w:val="x-none" w:eastAsia="sl-SI"/>
        </w:rPr>
        <w:t>Ta uredba začne veljati petnajsti dan po objavi v Uradnem listu Republike Slovenije.</w:t>
      </w:r>
    </w:p>
    <w:p w:rsidR="006045E1" w:rsidRDefault="006045E1" w:rsidP="005F6DA9"/>
    <w:p w:rsidR="009B629E" w:rsidRPr="00F4656F" w:rsidRDefault="00E602F4" w:rsidP="005F6DA9">
      <w:pPr>
        <w:spacing w:before="380" w:after="60" w:line="200" w:lineRule="atLeast"/>
        <w:jc w:val="both"/>
        <w:rPr>
          <w:rFonts w:eastAsia="Times New Roman" w:cs="Arial"/>
          <w:lang w:eastAsia="sl-SI"/>
        </w:rPr>
      </w:pPr>
      <w:hyperlink r:id="rId8" w:history="1">
        <w:r w:rsidR="009B629E" w:rsidRPr="00F4656F">
          <w:rPr>
            <w:rFonts w:eastAsia="Times New Roman" w:cs="Arial"/>
            <w:b/>
            <w:bCs/>
            <w:color w:val="005C9C"/>
            <w:u w:val="single"/>
            <w:lang w:val="x-none" w:eastAsia="sl-SI"/>
          </w:rPr>
          <w:t>Priloga 1: Vrednostne cone, vrednostne ravni in vrednostne tabele</w:t>
        </w:r>
      </w:hyperlink>
    </w:p>
    <w:p w:rsidR="009B629E" w:rsidRPr="00F4656F" w:rsidRDefault="00E602F4" w:rsidP="005F6DA9">
      <w:pPr>
        <w:spacing w:before="380" w:after="60" w:line="200" w:lineRule="atLeast"/>
        <w:jc w:val="both"/>
        <w:rPr>
          <w:rFonts w:eastAsia="Times New Roman" w:cs="Arial"/>
          <w:lang w:eastAsia="sl-SI"/>
        </w:rPr>
      </w:pPr>
      <w:hyperlink r:id="rId9" w:history="1">
        <w:r w:rsidR="009B629E" w:rsidRPr="00F4656F">
          <w:rPr>
            <w:rFonts w:eastAsia="Times New Roman" w:cs="Arial"/>
            <w:b/>
            <w:bCs/>
            <w:color w:val="005C9C"/>
            <w:u w:val="single"/>
            <w:lang w:val="x-none" w:eastAsia="sl-SI"/>
          </w:rPr>
          <w:t>Priloga 2: Točkovniki, točkovni razredi in vrednostni faktorji</w:t>
        </w:r>
      </w:hyperlink>
    </w:p>
    <w:p w:rsidR="009B629E" w:rsidRPr="00F4656F" w:rsidRDefault="00E602F4" w:rsidP="005F6DA9">
      <w:pPr>
        <w:spacing w:before="380" w:after="60" w:line="200" w:lineRule="atLeast"/>
        <w:jc w:val="both"/>
        <w:rPr>
          <w:rFonts w:eastAsia="Times New Roman" w:cs="Arial"/>
          <w:lang w:eastAsia="sl-SI"/>
        </w:rPr>
      </w:pPr>
      <w:hyperlink r:id="rId10" w:history="1">
        <w:r w:rsidR="009B629E" w:rsidRPr="00F4656F">
          <w:rPr>
            <w:rFonts w:eastAsia="Times New Roman" w:cs="Arial"/>
            <w:b/>
            <w:bCs/>
            <w:color w:val="005C9C"/>
            <w:u w:val="single"/>
            <w:lang w:val="x-none" w:eastAsia="sl-SI"/>
          </w:rPr>
          <w:t>Priloga 3: Enačbe in način izračuna vrednosti po modelih vrednotenja nepremičnin</w:t>
        </w:r>
      </w:hyperlink>
    </w:p>
    <w:p w:rsidR="009B629E" w:rsidRPr="00F4656F" w:rsidRDefault="00E602F4" w:rsidP="005F6DA9">
      <w:pPr>
        <w:spacing w:before="380" w:after="60" w:line="200" w:lineRule="atLeast"/>
        <w:jc w:val="both"/>
        <w:rPr>
          <w:rFonts w:eastAsia="Times New Roman" w:cs="Arial"/>
          <w:lang w:eastAsia="sl-SI"/>
        </w:rPr>
      </w:pPr>
      <w:hyperlink r:id="rId11" w:history="1">
        <w:r w:rsidR="009B629E" w:rsidRPr="00F4656F">
          <w:rPr>
            <w:rFonts w:eastAsia="Times New Roman" w:cs="Arial"/>
            <w:b/>
            <w:bCs/>
            <w:color w:val="005C9C"/>
            <w:u w:val="single"/>
            <w:lang w:val="x-none" w:eastAsia="sl-SI"/>
          </w:rPr>
          <w:t>Priloga 4: Podatki o nepremičninah, ki se uporabijo za izračun vrednosti nepremičnin po modelih vrednotenja nepremičnin</w:t>
        </w:r>
      </w:hyperlink>
    </w:p>
    <w:p w:rsidR="009B629E" w:rsidRDefault="009B629E" w:rsidP="005F6DA9"/>
    <w:p w:rsidR="009B629E" w:rsidRPr="004010E6" w:rsidRDefault="009B629E" w:rsidP="005F6DA9">
      <w:pPr>
        <w:rPr>
          <w:b/>
        </w:rPr>
      </w:pPr>
      <w:r w:rsidRPr="004010E6">
        <w:rPr>
          <w:b/>
        </w:rPr>
        <w:t>Priloge bodo enake kot v sedaj veljavni uredbi, le da bodo vsebovale nove podatke.</w:t>
      </w:r>
    </w:p>
    <w:sectPr w:rsidR="009B629E" w:rsidRPr="00401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67FC"/>
    <w:multiLevelType w:val="hybridMultilevel"/>
    <w:tmpl w:val="F8B85BF6"/>
    <w:lvl w:ilvl="0" w:tplc="52C6F7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8ED4CCE"/>
    <w:multiLevelType w:val="hybridMultilevel"/>
    <w:tmpl w:val="F4029998"/>
    <w:lvl w:ilvl="0" w:tplc="5468A8D2">
      <w:start w:val="1"/>
      <w:numFmt w:val="decimal"/>
      <w:lvlText w:val="(%1)"/>
      <w:lvlJc w:val="left"/>
      <w:pPr>
        <w:ind w:left="2416" w:hanging="139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
    <w:nsid w:val="72FD2426"/>
    <w:multiLevelType w:val="hybridMultilevel"/>
    <w:tmpl w:val="3110A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6F"/>
    <w:rsid w:val="002176CD"/>
    <w:rsid w:val="00390559"/>
    <w:rsid w:val="004010E6"/>
    <w:rsid w:val="00437CDE"/>
    <w:rsid w:val="005F6DA9"/>
    <w:rsid w:val="006045E1"/>
    <w:rsid w:val="0069788A"/>
    <w:rsid w:val="007242E5"/>
    <w:rsid w:val="008642DC"/>
    <w:rsid w:val="008B58DC"/>
    <w:rsid w:val="009B629E"/>
    <w:rsid w:val="00A00F33"/>
    <w:rsid w:val="00BE5E75"/>
    <w:rsid w:val="00CB11D7"/>
    <w:rsid w:val="00E602F4"/>
    <w:rsid w:val="00EB42E8"/>
    <w:rsid w:val="00F465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C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6F"/>
    <w:rPr>
      <w:rFonts w:ascii="Tahoma" w:hAnsi="Tahoma" w:cs="Tahoma"/>
      <w:sz w:val="16"/>
      <w:szCs w:val="16"/>
    </w:rPr>
  </w:style>
  <w:style w:type="paragraph" w:styleId="ListParagraph">
    <w:name w:val="List Paragraph"/>
    <w:basedOn w:val="Normal"/>
    <w:uiPriority w:val="34"/>
    <w:qFormat/>
    <w:rsid w:val="00A00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C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6F"/>
    <w:rPr>
      <w:rFonts w:ascii="Tahoma" w:hAnsi="Tahoma" w:cs="Tahoma"/>
      <w:sz w:val="16"/>
      <w:szCs w:val="16"/>
    </w:rPr>
  </w:style>
  <w:style w:type="paragraph" w:styleId="ListParagraph">
    <w:name w:val="List Paragraph"/>
    <w:basedOn w:val="Normal"/>
    <w:uiPriority w:val="34"/>
    <w:qFormat/>
    <w:rsid w:val="00A00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074">
      <w:bodyDiv w:val="1"/>
      <w:marLeft w:val="0"/>
      <w:marRight w:val="0"/>
      <w:marTop w:val="0"/>
      <w:marBottom w:val="0"/>
      <w:divBdr>
        <w:top w:val="none" w:sz="0" w:space="0" w:color="auto"/>
        <w:left w:val="none" w:sz="0" w:space="0" w:color="auto"/>
        <w:bottom w:val="none" w:sz="0" w:space="0" w:color="auto"/>
        <w:right w:val="none" w:sz="0" w:space="0" w:color="auto"/>
      </w:divBdr>
    </w:div>
    <w:div w:id="842010980">
      <w:bodyDiv w:val="1"/>
      <w:marLeft w:val="0"/>
      <w:marRight w:val="0"/>
      <w:marTop w:val="0"/>
      <w:marBottom w:val="0"/>
      <w:divBdr>
        <w:top w:val="none" w:sz="0" w:space="0" w:color="auto"/>
        <w:left w:val="none" w:sz="0" w:space="0" w:color="auto"/>
        <w:bottom w:val="none" w:sz="0" w:space="0" w:color="auto"/>
        <w:right w:val="none" w:sz="0" w:space="0" w:color="auto"/>
      </w:divBdr>
      <w:divsChild>
        <w:div w:id="712310835">
          <w:marLeft w:val="0"/>
          <w:marRight w:val="0"/>
          <w:marTop w:val="0"/>
          <w:marBottom w:val="0"/>
          <w:divBdr>
            <w:top w:val="none" w:sz="0" w:space="0" w:color="auto"/>
            <w:left w:val="none" w:sz="0" w:space="0" w:color="auto"/>
            <w:bottom w:val="none" w:sz="0" w:space="0" w:color="auto"/>
            <w:right w:val="none" w:sz="0" w:space="0" w:color="auto"/>
          </w:divBdr>
          <w:divsChild>
            <w:div w:id="1200583676">
              <w:marLeft w:val="0"/>
              <w:marRight w:val="0"/>
              <w:marTop w:val="100"/>
              <w:marBottom w:val="100"/>
              <w:divBdr>
                <w:top w:val="none" w:sz="0" w:space="0" w:color="auto"/>
                <w:left w:val="none" w:sz="0" w:space="0" w:color="auto"/>
                <w:bottom w:val="none" w:sz="0" w:space="0" w:color="auto"/>
                <w:right w:val="none" w:sz="0" w:space="0" w:color="auto"/>
              </w:divBdr>
              <w:divsChild>
                <w:div w:id="34159572">
                  <w:marLeft w:val="0"/>
                  <w:marRight w:val="0"/>
                  <w:marTop w:val="0"/>
                  <w:marBottom w:val="0"/>
                  <w:divBdr>
                    <w:top w:val="none" w:sz="0" w:space="0" w:color="auto"/>
                    <w:left w:val="none" w:sz="0" w:space="0" w:color="auto"/>
                    <w:bottom w:val="none" w:sz="0" w:space="0" w:color="auto"/>
                    <w:right w:val="none" w:sz="0" w:space="0" w:color="auto"/>
                  </w:divBdr>
                  <w:divsChild>
                    <w:div w:id="1651906672">
                      <w:marLeft w:val="0"/>
                      <w:marRight w:val="0"/>
                      <w:marTop w:val="0"/>
                      <w:marBottom w:val="0"/>
                      <w:divBdr>
                        <w:top w:val="none" w:sz="0" w:space="0" w:color="auto"/>
                        <w:left w:val="none" w:sz="0" w:space="0" w:color="auto"/>
                        <w:bottom w:val="none" w:sz="0" w:space="0" w:color="auto"/>
                        <w:right w:val="none" w:sz="0" w:space="0" w:color="auto"/>
                      </w:divBdr>
                      <w:divsChild>
                        <w:div w:id="91750856">
                          <w:marLeft w:val="0"/>
                          <w:marRight w:val="0"/>
                          <w:marTop w:val="0"/>
                          <w:marBottom w:val="0"/>
                          <w:divBdr>
                            <w:top w:val="none" w:sz="0" w:space="0" w:color="auto"/>
                            <w:left w:val="none" w:sz="0" w:space="0" w:color="auto"/>
                            <w:bottom w:val="none" w:sz="0" w:space="0" w:color="auto"/>
                            <w:right w:val="none" w:sz="0" w:space="0" w:color="auto"/>
                          </w:divBdr>
                          <w:divsChild>
                            <w:div w:id="1333148376">
                              <w:marLeft w:val="0"/>
                              <w:marRight w:val="0"/>
                              <w:marTop w:val="0"/>
                              <w:marBottom w:val="0"/>
                              <w:divBdr>
                                <w:top w:val="none" w:sz="0" w:space="0" w:color="auto"/>
                                <w:left w:val="none" w:sz="0" w:space="0" w:color="auto"/>
                                <w:bottom w:val="none" w:sz="0" w:space="0" w:color="auto"/>
                                <w:right w:val="none" w:sz="0" w:space="0" w:color="auto"/>
                              </w:divBdr>
                              <w:divsChild>
                                <w:div w:id="919754600">
                                  <w:marLeft w:val="0"/>
                                  <w:marRight w:val="0"/>
                                  <w:marTop w:val="0"/>
                                  <w:marBottom w:val="0"/>
                                  <w:divBdr>
                                    <w:top w:val="none" w:sz="0" w:space="0" w:color="auto"/>
                                    <w:left w:val="none" w:sz="0" w:space="0" w:color="auto"/>
                                    <w:bottom w:val="none" w:sz="0" w:space="0" w:color="auto"/>
                                    <w:right w:val="none" w:sz="0" w:space="0" w:color="auto"/>
                                  </w:divBdr>
                                </w:div>
                                <w:div w:id="1411075283">
                                  <w:marLeft w:val="0"/>
                                  <w:marRight w:val="0"/>
                                  <w:marTop w:val="0"/>
                                  <w:marBottom w:val="0"/>
                                  <w:divBdr>
                                    <w:top w:val="none" w:sz="0" w:space="0" w:color="auto"/>
                                    <w:left w:val="none" w:sz="0" w:space="0" w:color="auto"/>
                                    <w:bottom w:val="none" w:sz="0" w:space="0" w:color="auto"/>
                                    <w:right w:val="none" w:sz="0" w:space="0" w:color="auto"/>
                                  </w:divBdr>
                                  <w:divsChild>
                                    <w:div w:id="814487623">
                                      <w:marLeft w:val="0"/>
                                      <w:marRight w:val="0"/>
                                      <w:marTop w:val="0"/>
                                      <w:marBottom w:val="0"/>
                                      <w:divBdr>
                                        <w:top w:val="none" w:sz="0" w:space="0" w:color="auto"/>
                                        <w:left w:val="none" w:sz="0" w:space="0" w:color="auto"/>
                                        <w:bottom w:val="none" w:sz="0" w:space="0" w:color="auto"/>
                                        <w:right w:val="none" w:sz="0" w:space="0" w:color="auto"/>
                                      </w:divBdr>
                                      <w:divsChild>
                                        <w:div w:id="676620286">
                                          <w:marLeft w:val="0"/>
                                          <w:marRight w:val="0"/>
                                          <w:marTop w:val="0"/>
                                          <w:marBottom w:val="0"/>
                                          <w:divBdr>
                                            <w:top w:val="none" w:sz="0" w:space="0" w:color="auto"/>
                                            <w:left w:val="none" w:sz="0" w:space="0" w:color="auto"/>
                                            <w:bottom w:val="none" w:sz="0" w:space="0" w:color="auto"/>
                                            <w:right w:val="none" w:sz="0" w:space="0" w:color="auto"/>
                                          </w:divBdr>
                                        </w:div>
                                      </w:divsChild>
                                    </w:div>
                                    <w:div w:id="852887731">
                                      <w:marLeft w:val="0"/>
                                      <w:marRight w:val="0"/>
                                      <w:marTop w:val="0"/>
                                      <w:marBottom w:val="0"/>
                                      <w:divBdr>
                                        <w:top w:val="none" w:sz="0" w:space="0" w:color="auto"/>
                                        <w:left w:val="none" w:sz="0" w:space="0" w:color="auto"/>
                                        <w:bottom w:val="none" w:sz="0" w:space="0" w:color="auto"/>
                                        <w:right w:val="none" w:sz="0" w:space="0" w:color="auto"/>
                                      </w:divBdr>
                                      <w:divsChild>
                                        <w:div w:id="1573390037">
                                          <w:marLeft w:val="0"/>
                                          <w:marRight w:val="0"/>
                                          <w:marTop w:val="0"/>
                                          <w:marBottom w:val="0"/>
                                          <w:divBdr>
                                            <w:top w:val="none" w:sz="0" w:space="0" w:color="auto"/>
                                            <w:left w:val="none" w:sz="0" w:space="0" w:color="auto"/>
                                            <w:bottom w:val="none" w:sz="0" w:space="0" w:color="auto"/>
                                            <w:right w:val="none" w:sz="0" w:space="0" w:color="auto"/>
                                          </w:divBdr>
                                          <w:divsChild>
                                            <w:div w:id="1546527414">
                                              <w:marLeft w:val="0"/>
                                              <w:marRight w:val="0"/>
                                              <w:marTop w:val="360"/>
                                              <w:marBottom w:val="0"/>
                                              <w:divBdr>
                                                <w:top w:val="none" w:sz="0" w:space="0" w:color="auto"/>
                                                <w:left w:val="none" w:sz="0" w:space="0" w:color="auto"/>
                                                <w:bottom w:val="none" w:sz="0" w:space="0" w:color="auto"/>
                                                <w:right w:val="none" w:sz="0" w:space="0" w:color="auto"/>
                                              </w:divBdr>
                                            </w:div>
                                            <w:div w:id="773669254">
                                              <w:marLeft w:val="0"/>
                                              <w:marRight w:val="0"/>
                                              <w:marTop w:val="450"/>
                                              <w:marBottom w:val="0"/>
                                              <w:divBdr>
                                                <w:top w:val="single" w:sz="6" w:space="26" w:color="808080"/>
                                                <w:left w:val="none" w:sz="0" w:space="0" w:color="auto"/>
                                                <w:bottom w:val="none" w:sz="0" w:space="0" w:color="auto"/>
                                                <w:right w:val="none" w:sz="0" w:space="0" w:color="auto"/>
                                              </w:divBdr>
                                            </w:div>
                                            <w:div w:id="1743217390">
                                              <w:marLeft w:val="0"/>
                                              <w:marRight w:val="0"/>
                                              <w:marTop w:val="360"/>
                                              <w:marBottom w:val="0"/>
                                              <w:divBdr>
                                                <w:top w:val="none" w:sz="0" w:space="0" w:color="auto"/>
                                                <w:left w:val="none" w:sz="0" w:space="0" w:color="auto"/>
                                                <w:bottom w:val="none" w:sz="0" w:space="0" w:color="auto"/>
                                                <w:right w:val="none" w:sz="0" w:space="0" w:color="auto"/>
                                              </w:divBdr>
                                              <w:divsChild>
                                                <w:div w:id="1568615872">
                                                  <w:marLeft w:val="0"/>
                                                  <w:marRight w:val="0"/>
                                                  <w:marTop w:val="360"/>
                                                  <w:marBottom w:val="0"/>
                                                  <w:divBdr>
                                                    <w:top w:val="none" w:sz="0" w:space="0" w:color="auto"/>
                                                    <w:left w:val="none" w:sz="0" w:space="0" w:color="auto"/>
                                                    <w:bottom w:val="none" w:sz="0" w:space="0" w:color="auto"/>
                                                    <w:right w:val="none" w:sz="0" w:space="0" w:color="auto"/>
                                                  </w:divBdr>
                                                </w:div>
                                                <w:div w:id="101233943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445725">
      <w:bodyDiv w:val="1"/>
      <w:marLeft w:val="0"/>
      <w:marRight w:val="0"/>
      <w:marTop w:val="0"/>
      <w:marBottom w:val="0"/>
      <w:divBdr>
        <w:top w:val="none" w:sz="0" w:space="0" w:color="auto"/>
        <w:left w:val="none" w:sz="0" w:space="0" w:color="auto"/>
        <w:bottom w:val="none" w:sz="0" w:space="0" w:color="auto"/>
        <w:right w:val="none" w:sz="0" w:space="0" w:color="auto"/>
      </w:divBdr>
    </w:div>
    <w:div w:id="16352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npb/2014-01-1680-2011-01-4103-npb1-p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srs.si/Pis.web/npb/2014-01-1680-2011-01-4103-npb1-p4.pdf" TargetMode="External"/><Relationship Id="rId5" Type="http://schemas.openxmlformats.org/officeDocument/2006/relationships/settings" Target="settings.xml"/><Relationship Id="rId10" Type="http://schemas.openxmlformats.org/officeDocument/2006/relationships/hyperlink" Target="http://www.pisrs.si/Pis.web/npb/2014-01-1680-2011-01-4103-npb1-p3.pdf" TargetMode="External"/><Relationship Id="rId4" Type="http://schemas.microsoft.com/office/2007/relationships/stylesWithEffects" Target="stylesWithEffects.xml"/><Relationship Id="rId9" Type="http://schemas.openxmlformats.org/officeDocument/2006/relationships/hyperlink" Target="http://www.pisrs.si/Pis.web/npb/2014-01-1680-2011-01-4103-npb1-p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D935-7678-4C30-89CA-3D1E73E9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2017-01-30T08:58:00Z</dcterms:created>
  <dcterms:modified xsi:type="dcterms:W3CDTF">2017-04-10T12:19:00Z</dcterms:modified>
</cp:coreProperties>
</file>