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E0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 xml:space="preserve">Številka: </w:t>
            </w:r>
            <w:r w:rsidR="003F6EDC">
              <w:rPr>
                <w:rFonts w:cs="Arial"/>
                <w:szCs w:val="20"/>
                <w:lang w:eastAsia="sl-SI"/>
              </w:rPr>
              <w:t>007-435/2015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292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 xml:space="preserve">Ljubljana, </w:t>
            </w:r>
            <w:r w:rsidR="00654476">
              <w:rPr>
                <w:rFonts w:cs="Arial"/>
                <w:szCs w:val="20"/>
                <w:lang w:eastAsia="sl-SI"/>
              </w:rPr>
              <w:t xml:space="preserve">dne </w:t>
            </w:r>
            <w:r w:rsidR="00FF4C2D">
              <w:rPr>
                <w:rFonts w:cs="Arial"/>
                <w:szCs w:val="20"/>
                <w:lang w:eastAsia="sl-SI"/>
              </w:rPr>
              <w:t>7.3.2016</w:t>
            </w:r>
            <w:bookmarkStart w:id="0" w:name="_GoBack"/>
            <w:bookmarkEnd w:id="0"/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6544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EVA </w:t>
            </w:r>
            <w:r w:rsidR="00E0491A" w:rsidRPr="0026335D">
              <w:rPr>
                <w:iCs/>
              </w:rPr>
              <w:t>2015-2550-0029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</w:p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1E5470" w:rsidRDefault="008458D1" w:rsidP="001E5470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1E5470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65447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471EBB" w:rsidRPr="001C372D">
              <w:rPr>
                <w:rFonts w:cs="Arial"/>
                <w:b/>
                <w:bCs/>
              </w:rPr>
              <w:t>Uredba o načinu in merilih za določitev višine stroškov postopka izdaje upravnih aktov pri ravnanju z gensko spremenjenimi organizmi</w:t>
            </w:r>
            <w:r w:rsidR="00471EBB">
              <w:rPr>
                <w:rFonts w:cs="Arial"/>
                <w:b/>
                <w:bCs/>
              </w:rPr>
              <w:t xml:space="preserve"> – predlog za obravnavo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37728A" w:rsidRDefault="0037728A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335D">
              <w:rPr>
                <w:rFonts w:cs="Arial"/>
              </w:rPr>
              <w:t xml:space="preserve">Na podlagi drugega odstavka </w:t>
            </w:r>
            <w:proofErr w:type="spellStart"/>
            <w:r w:rsidRPr="0026335D">
              <w:rPr>
                <w:rFonts w:cs="Arial"/>
              </w:rPr>
              <w:t>54.a</w:t>
            </w:r>
            <w:proofErr w:type="spellEnd"/>
            <w:r w:rsidRPr="0026335D">
              <w:rPr>
                <w:rFonts w:cs="Arial"/>
              </w:rPr>
              <w:t xml:space="preserve"> člena Zakona o ravnanju z gensko spremenjenimi organizmi (Uradni list RS, št. 23/05 – uradno prečiščeno besedilo</w:t>
            </w:r>
            <w:r w:rsidR="00872FF8">
              <w:rPr>
                <w:rFonts w:cs="Arial"/>
              </w:rPr>
              <w:t>,</w:t>
            </w:r>
            <w:r w:rsidRPr="0026335D">
              <w:rPr>
                <w:rFonts w:cs="Arial"/>
              </w:rPr>
              <w:t xml:space="preserve"> 21/10</w:t>
            </w:r>
            <w:r w:rsidR="00872FF8">
              <w:rPr>
                <w:rFonts w:cs="Arial"/>
              </w:rPr>
              <w:t xml:space="preserve"> in 90/12 – </w:t>
            </w:r>
            <w:proofErr w:type="spellStart"/>
            <w:r w:rsidR="00872FF8">
              <w:rPr>
                <w:rFonts w:cs="Arial"/>
              </w:rPr>
              <w:t>ZdZPVHVVR</w:t>
            </w:r>
            <w:proofErr w:type="spellEnd"/>
            <w:r w:rsidRPr="0026335D">
              <w:rPr>
                <w:rFonts w:cs="Arial"/>
              </w:rPr>
              <w:t>)</w:t>
            </w:r>
            <w:r w:rsidRPr="0026335D">
              <w:rPr>
                <w:rFonts w:cs="Arial"/>
                <w:color w:val="FF0000"/>
              </w:rPr>
              <w:t xml:space="preserve"> </w:t>
            </w:r>
            <w:r w:rsidRPr="00E0491A">
              <w:rPr>
                <w:rFonts w:cs="Arial"/>
                <w:color w:val="000000"/>
                <w:szCs w:val="20"/>
              </w:rPr>
              <w:t>je Vlada Republike Slovenije na … seji dne … sprejela</w:t>
            </w: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SKLEP</w:t>
            </w:r>
            <w:r w:rsidR="00872FF8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0491A">
              <w:rPr>
                <w:rFonts w:cs="Arial"/>
                <w:iCs/>
                <w:szCs w:val="20"/>
                <w:lang w:eastAsia="sl-SI"/>
              </w:rPr>
              <w:t xml:space="preserve">Vlada Republike Slovenije izdaja Uredbo </w:t>
            </w:r>
            <w:r w:rsidR="00E0491A" w:rsidRPr="00E0491A">
              <w:rPr>
                <w:rFonts w:cs="Arial"/>
                <w:bCs/>
                <w:szCs w:val="20"/>
              </w:rPr>
              <w:t>o načinu in merilih za določitev višine stroškov postopka izdaje upravnih aktov pri ravnanju z gensko spremenjenimi organizmi</w:t>
            </w:r>
            <w:r w:rsidR="00E0491A" w:rsidRPr="00E0491A">
              <w:rPr>
                <w:rFonts w:cs="Arial"/>
                <w:szCs w:val="20"/>
              </w:rPr>
              <w:t>, ki se objavi v Uradnem listu Republike Slovenije</w:t>
            </w:r>
            <w:r w:rsidRPr="00654476">
              <w:rPr>
                <w:rFonts w:cs="Arial"/>
                <w:iCs/>
                <w:szCs w:val="20"/>
                <w:lang w:eastAsia="sl-SI"/>
              </w:rPr>
              <w:t xml:space="preserve">.  </w:t>
            </w: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                   Mag. Darko Krašovec</w:t>
            </w: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               GENERALNI SEKRETAR</w:t>
            </w: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Priloge:</w:t>
            </w:r>
          </w:p>
          <w:p w:rsidR="00654476" w:rsidRPr="00654476" w:rsidRDefault="00654476" w:rsidP="0038246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64CC6">
              <w:rPr>
                <w:rFonts w:cs="Arial"/>
                <w:iCs/>
                <w:szCs w:val="20"/>
                <w:lang w:eastAsia="sl-SI"/>
              </w:rPr>
              <w:t xml:space="preserve">Uredba o </w:t>
            </w:r>
            <w:r w:rsidR="00364CC6" w:rsidRPr="00364CC6">
              <w:rPr>
                <w:rFonts w:cs="Arial"/>
                <w:bCs/>
              </w:rPr>
              <w:t>načinu in merilih za določitev višine stroškov postopka izdaje upravnih aktov pri ravnanju z gensko spremenjenimi organizmi</w:t>
            </w:r>
            <w:r w:rsidR="00C972A0">
              <w:rPr>
                <w:rFonts w:cs="Arial"/>
                <w:iCs/>
                <w:szCs w:val="20"/>
                <w:lang w:eastAsia="sl-SI"/>
              </w:rPr>
              <w:t>,</w:t>
            </w:r>
            <w:r w:rsidRPr="00654476">
              <w:rPr>
                <w:rFonts w:cs="Arial"/>
                <w:iCs/>
                <w:szCs w:val="20"/>
                <w:lang w:eastAsia="sl-SI"/>
              </w:rPr>
              <w:t xml:space="preserve">  </w:t>
            </w:r>
          </w:p>
          <w:p w:rsidR="00654476" w:rsidRPr="00654476" w:rsidRDefault="00654476" w:rsidP="0038246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obrazložitev</w:t>
            </w:r>
            <w:r w:rsidR="00882F35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654476" w:rsidRPr="00654476" w:rsidRDefault="00654476" w:rsidP="0038246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mnenja medresorskega usklajevanja</w:t>
            </w:r>
            <w:r w:rsidR="00C972A0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654476" w:rsidRPr="00654476" w:rsidRDefault="00654476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Prejemnik sklepa:</w:t>
            </w:r>
          </w:p>
          <w:p w:rsidR="00654476" w:rsidRPr="00654476" w:rsidRDefault="00654476" w:rsidP="0038246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Ministrstvo za okolje in prostor, Dunajska c. 47, 1000 Ljubljana</w:t>
            </w:r>
          </w:p>
          <w:p w:rsidR="001E5470" w:rsidRPr="001E5470" w:rsidRDefault="001E5470" w:rsidP="006544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654476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654476" w:rsidRDefault="00654476" w:rsidP="00382467">
            <w:pPr>
              <w:numPr>
                <w:ilvl w:val="0"/>
                <w:numId w:val="16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 w:rsidRPr="00654476">
              <w:rPr>
                <w:rFonts w:cs="Arial"/>
                <w:iCs/>
                <w:szCs w:val="20"/>
                <w:lang w:eastAsia="sl-SI"/>
              </w:rPr>
              <w:t>mag. Tanja Bolte</w:t>
            </w:r>
            <w:r w:rsidRPr="00654476">
              <w:rPr>
                <w:rFonts w:cs="Arial"/>
                <w:bCs/>
                <w:iCs/>
                <w:szCs w:val="20"/>
                <w:lang w:eastAsia="sl-SI"/>
              </w:rPr>
              <w:t>, generalna direktorica</w:t>
            </w:r>
            <w:r w:rsidR="0037728A">
              <w:rPr>
                <w:rFonts w:cs="Arial"/>
                <w:bCs/>
                <w:iCs/>
                <w:szCs w:val="20"/>
                <w:lang w:eastAsia="sl-SI"/>
              </w:rPr>
              <w:t>,</w:t>
            </w:r>
            <w:r w:rsidRPr="00654476">
              <w:rPr>
                <w:rFonts w:cs="Arial"/>
                <w:bCs/>
                <w:iCs/>
                <w:szCs w:val="20"/>
                <w:lang w:eastAsia="sl-SI"/>
              </w:rPr>
              <w:t xml:space="preserve"> Direktorat za okolje</w:t>
            </w:r>
            <w:r w:rsidR="00C972A0">
              <w:rPr>
                <w:rFonts w:cs="Arial"/>
                <w:bCs/>
                <w:iCs/>
                <w:szCs w:val="20"/>
                <w:lang w:eastAsia="sl-SI"/>
              </w:rPr>
              <w:t>,</w:t>
            </w:r>
          </w:p>
          <w:p w:rsidR="00654476" w:rsidRPr="00654476" w:rsidRDefault="00654476" w:rsidP="00382467">
            <w:pPr>
              <w:numPr>
                <w:ilvl w:val="0"/>
                <w:numId w:val="16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>
              <w:rPr>
                <w:rFonts w:cs="Arial"/>
                <w:bCs/>
                <w:iCs/>
                <w:szCs w:val="20"/>
                <w:lang w:eastAsia="sl-SI"/>
              </w:rPr>
              <w:t>Uroš Vajgl, vodja</w:t>
            </w:r>
            <w:r w:rsidR="0037728A">
              <w:rPr>
                <w:rFonts w:cs="Arial"/>
                <w:bCs/>
                <w:iCs/>
                <w:szCs w:val="20"/>
                <w:lang w:eastAsia="sl-SI"/>
              </w:rPr>
              <w:t>,</w:t>
            </w:r>
            <w:r>
              <w:rPr>
                <w:rFonts w:cs="Arial"/>
                <w:bCs/>
                <w:iCs/>
                <w:szCs w:val="20"/>
                <w:lang w:eastAsia="sl-SI"/>
              </w:rPr>
              <w:t xml:space="preserve"> Sektor za okolje in podnebne spremembe</w:t>
            </w:r>
            <w:r w:rsidR="00C972A0">
              <w:rPr>
                <w:rFonts w:cs="Arial"/>
                <w:bCs/>
                <w:iCs/>
                <w:szCs w:val="20"/>
                <w:lang w:eastAsia="sl-SI"/>
              </w:rPr>
              <w:t>,</w:t>
            </w:r>
          </w:p>
          <w:p w:rsidR="001E5470" w:rsidRPr="00654476" w:rsidRDefault="00654476" w:rsidP="00967D0D">
            <w:pPr>
              <w:numPr>
                <w:ilvl w:val="0"/>
                <w:numId w:val="16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>
              <w:rPr>
                <w:rFonts w:cs="Arial"/>
                <w:bCs/>
                <w:iCs/>
                <w:szCs w:val="20"/>
                <w:lang w:eastAsia="sl-SI"/>
              </w:rPr>
              <w:t>dr</w:t>
            </w:r>
            <w:r w:rsidRPr="00654476">
              <w:rPr>
                <w:rFonts w:cs="Arial"/>
                <w:bCs/>
                <w:iCs/>
                <w:szCs w:val="20"/>
                <w:lang w:eastAsia="sl-SI"/>
              </w:rPr>
              <w:t xml:space="preserve">. </w:t>
            </w:r>
            <w:r w:rsidR="00364CC6">
              <w:rPr>
                <w:rFonts w:cs="Arial"/>
                <w:bCs/>
                <w:iCs/>
                <w:szCs w:val="20"/>
                <w:lang w:eastAsia="sl-SI"/>
              </w:rPr>
              <w:t>Martin Batič</w:t>
            </w:r>
            <w:r w:rsidRPr="00654476">
              <w:rPr>
                <w:rFonts w:cs="Arial"/>
                <w:bCs/>
                <w:iCs/>
                <w:szCs w:val="20"/>
                <w:lang w:eastAsia="sl-SI"/>
              </w:rPr>
              <w:t xml:space="preserve">, </w:t>
            </w:r>
            <w:r w:rsidR="00967D0D">
              <w:rPr>
                <w:rFonts w:cs="Arial"/>
                <w:bCs/>
                <w:iCs/>
                <w:szCs w:val="20"/>
                <w:lang w:eastAsia="sl-SI"/>
              </w:rPr>
              <w:t>vodja, Oddelek za biotehnologijo</w:t>
            </w:r>
            <w:r w:rsidR="00C972A0">
              <w:rPr>
                <w:rFonts w:cs="Arial"/>
                <w:bCs/>
                <w:iCs/>
                <w:szCs w:val="20"/>
                <w:lang w:eastAsia="sl-SI"/>
              </w:rPr>
              <w:t>.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1E5470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1E547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0504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0504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37728A" w:rsidP="004B4BE7">
            <w:pPr>
              <w:pStyle w:val="Telobesedila"/>
              <w:rPr>
                <w:rFonts w:cs="Arial"/>
                <w:iCs/>
              </w:rPr>
            </w:pPr>
            <w:r w:rsidRPr="0037728A">
              <w:rPr>
                <w:rFonts w:ascii="Arial" w:hAnsi="Arial" w:cs="Arial"/>
                <w:b w:val="0"/>
                <w:sz w:val="20"/>
              </w:rPr>
              <w:t xml:space="preserve">Uredba </w:t>
            </w:r>
            <w:r w:rsidRPr="00384F6A">
              <w:rPr>
                <w:rFonts w:ascii="Arial" w:hAnsi="Arial" w:cs="Arial"/>
                <w:b w:val="0"/>
                <w:bCs w:val="0"/>
                <w:sz w:val="20"/>
              </w:rPr>
              <w:t>o načinu in merilih za določitev višine stroškov postopka izdaje upravnih aktov pri ravnanju z gensko spremenjenimi organizmi</w:t>
            </w:r>
            <w:r w:rsidR="00967D0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967D0D" w:rsidRPr="00364CC6">
              <w:rPr>
                <w:rFonts w:ascii="Arial" w:hAnsi="Arial" w:cs="Arial"/>
                <w:b w:val="0"/>
                <w:bCs w:val="0"/>
                <w:sz w:val="20"/>
              </w:rPr>
              <w:t>(v nadalj</w:t>
            </w:r>
            <w:r w:rsidR="00967D0D">
              <w:rPr>
                <w:rFonts w:ascii="Arial" w:hAnsi="Arial" w:cs="Arial"/>
                <w:b w:val="0"/>
                <w:bCs w:val="0"/>
                <w:sz w:val="20"/>
              </w:rPr>
              <w:t>njem besedilu</w:t>
            </w:r>
            <w:r w:rsidR="00967D0D" w:rsidRPr="00364CC6">
              <w:rPr>
                <w:rFonts w:ascii="Arial" w:hAnsi="Arial" w:cs="Arial"/>
                <w:b w:val="0"/>
                <w:bCs w:val="0"/>
                <w:sz w:val="20"/>
              </w:rPr>
              <w:t>: GSO)</w:t>
            </w:r>
            <w:r w:rsidRPr="00384F6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64CC6">
              <w:rPr>
                <w:rFonts w:ascii="Arial" w:hAnsi="Arial" w:cs="Arial"/>
                <w:b w:val="0"/>
                <w:sz w:val="20"/>
              </w:rPr>
              <w:t>določa način in merila za določitev višine stroškov postopka za izdajo upravnih aktov za</w:t>
            </w:r>
            <w:r w:rsidRPr="00364CC6">
              <w:rPr>
                <w:rFonts w:ascii="Arial" w:hAnsi="Arial" w:cs="Arial"/>
                <w:b w:val="0"/>
                <w:bCs w:val="0"/>
                <w:sz w:val="20"/>
              </w:rPr>
              <w:t xml:space="preserve"> zaprti sistem, delo z </w:t>
            </w:r>
            <w:r w:rsidR="00967D0D">
              <w:rPr>
                <w:rFonts w:ascii="Arial" w:hAnsi="Arial" w:cs="Arial"/>
                <w:b w:val="0"/>
                <w:bCs w:val="0"/>
                <w:sz w:val="20"/>
              </w:rPr>
              <w:t>GSO</w:t>
            </w:r>
            <w:r w:rsidRPr="00364CC6">
              <w:rPr>
                <w:rFonts w:ascii="Arial" w:hAnsi="Arial" w:cs="Arial"/>
                <w:b w:val="0"/>
                <w:bCs w:val="0"/>
                <w:sz w:val="20"/>
              </w:rPr>
              <w:t xml:space="preserve"> v zaprtem sistemu, namernem sproščanju GSO v okolje in dajanju izdelkov na trg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ter za</w:t>
            </w:r>
            <w:r w:rsidRPr="00384F6A">
              <w:rPr>
                <w:rFonts w:ascii="Arial" w:hAnsi="Arial" w:cs="Arial"/>
                <w:b w:val="0"/>
                <w:sz w:val="20"/>
              </w:rPr>
              <w:t xml:space="preserve"> obračun stroškov drugih strokovnjakov s področij, ki so </w:t>
            </w:r>
            <w:r w:rsidRPr="00384F6A">
              <w:rPr>
                <w:rStyle w:val="highlight1"/>
                <w:rFonts w:ascii="Arial" w:hAnsi="Arial" w:cs="Arial"/>
                <w:b w:val="0"/>
                <w:color w:val="auto"/>
                <w:sz w:val="20"/>
              </w:rPr>
              <w:t>za</w:t>
            </w:r>
            <w:r w:rsidRPr="00384F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384F6A">
              <w:rPr>
                <w:rStyle w:val="highlight1"/>
                <w:rFonts w:ascii="Arial" w:hAnsi="Arial" w:cs="Arial"/>
                <w:b w:val="0"/>
                <w:color w:val="auto"/>
                <w:sz w:val="20"/>
              </w:rPr>
              <w:t>obravnavo</w:t>
            </w:r>
            <w:r w:rsidRPr="00384F6A">
              <w:rPr>
                <w:rFonts w:ascii="Arial" w:hAnsi="Arial" w:cs="Arial"/>
                <w:b w:val="0"/>
                <w:sz w:val="20"/>
              </w:rPr>
              <w:t xml:space="preserve"> prijave in pripravo strokovnega mnenja pomembna in, ki </w:t>
            </w:r>
            <w:r w:rsidRPr="00384F6A">
              <w:rPr>
                <w:rFonts w:ascii="Arial" w:hAnsi="Arial" w:cs="Arial"/>
                <w:b w:val="0"/>
                <w:sz w:val="20"/>
              </w:rPr>
              <w:lastRenderedPageBreak/>
              <w:t>sodelujejo pri delu znanstvenega odbora za delo z GSO v zaprtem sistemu (v nadalj</w:t>
            </w:r>
            <w:r w:rsidR="004B4BE7">
              <w:rPr>
                <w:rFonts w:ascii="Arial" w:hAnsi="Arial" w:cs="Arial"/>
                <w:b w:val="0"/>
                <w:sz w:val="20"/>
              </w:rPr>
              <w:t>njem besedilu</w:t>
            </w:r>
            <w:r w:rsidRPr="00384F6A">
              <w:rPr>
                <w:rFonts w:ascii="Arial" w:hAnsi="Arial" w:cs="Arial"/>
                <w:b w:val="0"/>
                <w:sz w:val="20"/>
              </w:rPr>
              <w:t>: odbor za zaprte sisteme) in znanstvenega odbora za namerno sproščanje GSO v okolje in dajanje izdelkov na trg (v nadaljevanju: odbor za sproščanje GSO)</w:t>
            </w:r>
            <w:r w:rsidR="00384F6A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050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1E5470" w:rsidRDefault="00364CC6" w:rsidP="00364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gospodarstvo, zlasti</w:t>
            </w:r>
            <w:r w:rsidRPr="001E547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1E5470" w:rsidRDefault="00E76D7E" w:rsidP="00E76D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050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  <w:tcBorders>
              <w:bottom w:val="single" w:sz="4" w:space="0" w:color="auto"/>
            </w:tcBorders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1E5470" w:rsidRDefault="001E5470" w:rsidP="003824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1E5470" w:rsidRDefault="001E5470" w:rsidP="003824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1E5470" w:rsidRDefault="001E5470" w:rsidP="003824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E5470" w:rsidRPr="001E5470" w:rsidRDefault="001E5470" w:rsidP="001E5470">
      <w:pPr>
        <w:rPr>
          <w:rFonts w:eastAsia="Calibri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819"/>
        <w:gridCol w:w="1364"/>
        <w:gridCol w:w="417"/>
        <w:gridCol w:w="912"/>
        <w:gridCol w:w="672"/>
        <w:gridCol w:w="655"/>
        <w:gridCol w:w="2016"/>
        <w:gridCol w:w="328"/>
      </w:tblGrid>
      <w:tr w:rsidR="001E5470" w:rsidRPr="001E5470" w:rsidTr="00B30CAD">
        <w:trPr>
          <w:gridAfter w:val="1"/>
          <w:wAfter w:w="360" w:type="dxa"/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+ 3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Znesek za t + 1 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gridAfter w:val="1"/>
          <w:wAfter w:w="360" w:type="dxa"/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60" w:type="dxa"/>
          <w:trHeight w:val="1910"/>
        </w:trPr>
        <w:tc>
          <w:tcPr>
            <w:tcW w:w="9200" w:type="dxa"/>
            <w:gridSpan w:val="8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1E5470" w:rsidRPr="001E5470" w:rsidRDefault="001E5470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  <w:r w:rsidRPr="001E5470">
              <w:rPr>
                <w:rFonts w:eastAsia="Calibri" w:cs="Arial"/>
                <w:b/>
                <w:szCs w:val="20"/>
              </w:rPr>
              <w:t>OBRAZLOŽITEV: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E5470">
              <w:rPr>
                <w:rFonts w:eastAsia="Calibri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E5470" w:rsidRPr="001E5470" w:rsidRDefault="001E5470" w:rsidP="001E5470">
            <w:pPr>
              <w:widowControl w:val="0"/>
              <w:ind w:left="360" w:hanging="76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prihodkov državnega proračuna in občinskih proračunov,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1E5470">
              <w:rPr>
                <w:rFonts w:eastAsia="Calibri" w:cs="Arial"/>
                <w:szCs w:val="20"/>
                <w:lang w:eastAsia="sl-SI"/>
              </w:rPr>
              <w:lastRenderedPageBreak/>
              <w:t>proračunov,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E5470" w:rsidRPr="001E5470" w:rsidRDefault="001E5470" w:rsidP="001E5470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1E5470" w:rsidRPr="001E5470" w:rsidRDefault="001E5470" w:rsidP="00382467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E5470">
              <w:rPr>
                <w:rFonts w:eastAsia="Calibri" w:cs="Arial"/>
                <w:b/>
                <w:szCs w:val="20"/>
                <w:lang w:eastAsia="sl-SI"/>
              </w:rPr>
              <w:t>Finančne posledice za državni proračun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E5470" w:rsidRPr="001E5470" w:rsidRDefault="001E5470" w:rsidP="001E5470">
            <w:pPr>
              <w:widowControl w:val="0"/>
              <w:suppressAutoHyphens/>
              <w:ind w:left="720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proračunski uporabnik, ki bo financiral novi projekt oziroma ukrep,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proračunske postavke.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E5470" w:rsidRPr="001E5470" w:rsidRDefault="001E5470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E5470" w:rsidRPr="001E5470" w:rsidRDefault="001E5470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II.c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 xml:space="preserve"> in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lastRenderedPageBreak/>
              <w:t>7.b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Kratka obrazložitev</w:t>
            </w:r>
          </w:p>
          <w:p w:rsidR="00105040" w:rsidRPr="001E5470" w:rsidRDefault="0010504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Gradivo nima finančnih posledic za proračuna Republike Slovenije.</w:t>
            </w: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8. Predstavitev sodelovanja javnosti:</w:t>
            </w: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E5470" w:rsidRPr="001E5470" w:rsidRDefault="001E5470" w:rsidP="001050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10504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Datum objave: </w:t>
            </w:r>
            <w:r w:rsidR="001413DA">
              <w:rPr>
                <w:rFonts w:cs="Arial"/>
                <w:iCs/>
                <w:szCs w:val="20"/>
                <w:lang w:eastAsia="sl-SI"/>
              </w:rPr>
              <w:t>5.11.2015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lastRenderedPageBreak/>
              <w:t xml:space="preserve">predstavniki strokovne javnosti, </w:t>
            </w:r>
          </w:p>
          <w:p w:rsidR="001E5470" w:rsidRPr="001E5470" w:rsidRDefault="001E5470" w:rsidP="0038246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občine in združenja občin ali pa navedite, da se gradivo ne nanaša nanje.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E5470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E5470">
              <w:rPr>
                <w:rFonts w:cs="Arial"/>
                <w:iCs/>
                <w:szCs w:val="20"/>
                <w:lang w:eastAsia="sl-SI"/>
              </w:rPr>
              <w:t>):</w:t>
            </w:r>
            <w:r w:rsidR="0084596E">
              <w:rPr>
                <w:rFonts w:cs="Arial"/>
                <w:iCs/>
                <w:szCs w:val="20"/>
                <w:lang w:eastAsia="sl-SI"/>
              </w:rPr>
              <w:t xml:space="preserve"> /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1E5470" w:rsidRPr="001E5470" w:rsidRDefault="00672B24" w:rsidP="0038246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413DA">
              <w:rPr>
                <w:rFonts w:cs="Arial"/>
                <w:i/>
                <w:iCs/>
                <w:szCs w:val="20"/>
                <w:u w:val="single"/>
                <w:lang w:eastAsia="sl-SI"/>
              </w:rPr>
              <w:t>Na gradivo ni bilo prejetih pripomb javnosti</w:t>
            </w:r>
            <w:r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  <w:r w:rsidR="00105040">
              <w:rPr>
                <w:rFonts w:cs="Arial"/>
                <w:iCs/>
                <w:szCs w:val="20"/>
                <w:lang w:eastAsia="sl-SI"/>
              </w:rPr>
              <w:t>/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 w:rsidP="00BC50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lastRenderedPageBreak/>
              <w:t>9.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1E5470" w:rsidRDefault="001E5470" w:rsidP="001050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10.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1E5470" w:rsidRDefault="001E5470" w:rsidP="001050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8E1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1B7C98" w:rsidRDefault="00761FC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B7C98">
              <w:rPr>
                <w:rFonts w:cs="Arial"/>
                <w:b/>
                <w:szCs w:val="20"/>
                <w:lang w:eastAsia="sl-SI"/>
              </w:rPr>
              <w:t>Irena Majcen</w:t>
            </w:r>
          </w:p>
          <w:p w:rsidR="00621C51" w:rsidRPr="001B7C98" w:rsidRDefault="00621C5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B7C98">
              <w:rPr>
                <w:rFonts w:cs="Arial"/>
                <w:b/>
                <w:szCs w:val="20"/>
                <w:lang w:eastAsia="sl-SI"/>
              </w:rPr>
              <w:t>m</w:t>
            </w:r>
            <w:r w:rsidR="00761FC1" w:rsidRPr="001B7C98">
              <w:rPr>
                <w:rFonts w:cs="Arial"/>
                <w:b/>
                <w:szCs w:val="20"/>
                <w:lang w:eastAsia="sl-SI"/>
              </w:rPr>
              <w:t>inistrica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Default="000C6525" w:rsidP="008E162C">
      <w:pPr>
        <w:pStyle w:val="Poglavje"/>
        <w:spacing w:before="0" w:after="0" w:line="240" w:lineRule="auto"/>
        <w:ind w:left="3760"/>
        <w:jc w:val="left"/>
        <w:rPr>
          <w:b w:val="0"/>
          <w:sz w:val="20"/>
        </w:rPr>
      </w:pPr>
    </w:p>
    <w:p w:rsidR="00125C05" w:rsidRDefault="00125C05" w:rsidP="008E162C">
      <w:pPr>
        <w:pStyle w:val="Poglavje"/>
        <w:spacing w:before="0" w:after="0" w:line="240" w:lineRule="auto"/>
        <w:ind w:left="3760"/>
        <w:rPr>
          <w:b w:val="0"/>
          <w:sz w:val="20"/>
        </w:rPr>
      </w:pPr>
    </w:p>
    <w:p w:rsidR="00125C05" w:rsidRDefault="00125C05" w:rsidP="008E162C">
      <w:pPr>
        <w:pStyle w:val="Poglavje"/>
        <w:spacing w:before="0" w:after="0" w:line="240" w:lineRule="auto"/>
        <w:ind w:left="3760"/>
        <w:rPr>
          <w:b w:val="0"/>
          <w:sz w:val="20"/>
        </w:rPr>
      </w:pPr>
    </w:p>
    <w:p w:rsidR="00125C05" w:rsidRDefault="00125C05" w:rsidP="008E162C">
      <w:pPr>
        <w:pStyle w:val="Poglavje"/>
        <w:spacing w:before="0" w:after="0" w:line="240" w:lineRule="auto"/>
        <w:ind w:left="360"/>
        <w:jc w:val="left"/>
        <w:rPr>
          <w:b w:val="0"/>
          <w:sz w:val="20"/>
        </w:rPr>
      </w:pPr>
    </w:p>
    <w:p w:rsidR="00125C05" w:rsidRPr="00EB7E75" w:rsidRDefault="00125C05" w:rsidP="008E162C">
      <w:pPr>
        <w:pStyle w:val="Poglavje"/>
        <w:spacing w:before="0" w:after="0" w:line="240" w:lineRule="auto"/>
        <w:ind w:left="3760"/>
        <w:rPr>
          <w:b w:val="0"/>
          <w:sz w:val="20"/>
        </w:rPr>
      </w:pPr>
    </w:p>
    <w:p w:rsidR="000C6525" w:rsidRPr="005279A2" w:rsidRDefault="000C6525" w:rsidP="008E162C">
      <w:pPr>
        <w:spacing w:line="240" w:lineRule="atLeast"/>
        <w:ind w:left="6732" w:firstLine="708"/>
        <w:rPr>
          <w:rFonts w:cs="Arial"/>
          <w:b/>
          <w:iCs/>
          <w:szCs w:val="20"/>
        </w:rPr>
        <w:sectPr w:rsidR="000C6525" w:rsidRPr="005279A2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8D1759" w:rsidRDefault="0071454F" w:rsidP="00364CC6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PREDLOG</w:t>
      </w:r>
    </w:p>
    <w:p w:rsidR="0071454F" w:rsidRPr="00364CC6" w:rsidRDefault="00364CC6" w:rsidP="00364CC6">
      <w:pPr>
        <w:tabs>
          <w:tab w:val="left" w:pos="708"/>
        </w:tabs>
        <w:rPr>
          <w:rFonts w:cs="Arial"/>
          <w:b/>
          <w:szCs w:val="20"/>
        </w:rPr>
      </w:pPr>
      <w:r w:rsidRPr="00364CC6">
        <w:rPr>
          <w:rFonts w:cs="Arial"/>
          <w:b/>
          <w:iCs/>
          <w:szCs w:val="20"/>
          <w:lang w:eastAsia="sl-SI"/>
        </w:rPr>
        <w:t xml:space="preserve">EVA </w:t>
      </w:r>
      <w:r w:rsidRPr="00364CC6">
        <w:rPr>
          <w:b/>
          <w:iCs/>
        </w:rPr>
        <w:t>2015-2550-0029</w:t>
      </w:r>
    </w:p>
    <w:p w:rsidR="0071454F" w:rsidRPr="0026335D" w:rsidRDefault="0071454F" w:rsidP="00364CC6">
      <w:pPr>
        <w:tabs>
          <w:tab w:val="left" w:pos="708"/>
        </w:tabs>
        <w:rPr>
          <w:rFonts w:cs="Arial"/>
          <w:b/>
          <w:strike/>
          <w:szCs w:val="20"/>
        </w:rPr>
      </w:pPr>
    </w:p>
    <w:p w:rsidR="00243A50" w:rsidRPr="004E034C" w:rsidRDefault="00243A50" w:rsidP="00364CC6">
      <w:pPr>
        <w:pStyle w:val="Telobesedila"/>
        <w:tabs>
          <w:tab w:val="left" w:pos="5760"/>
        </w:tabs>
        <w:rPr>
          <w:rFonts w:ascii="Arial" w:hAnsi="Arial" w:cs="Arial"/>
          <w:b w:val="0"/>
          <w:sz w:val="20"/>
        </w:rPr>
      </w:pPr>
      <w:r w:rsidRPr="004E034C">
        <w:rPr>
          <w:rFonts w:ascii="Arial" w:hAnsi="Arial" w:cs="Arial"/>
          <w:b w:val="0"/>
          <w:sz w:val="20"/>
        </w:rPr>
        <w:t xml:space="preserve">Na podlagi drugega odstavka </w:t>
      </w:r>
      <w:proofErr w:type="spellStart"/>
      <w:r w:rsidRPr="004E034C">
        <w:rPr>
          <w:rFonts w:ascii="Arial" w:hAnsi="Arial" w:cs="Arial"/>
          <w:b w:val="0"/>
          <w:sz w:val="20"/>
        </w:rPr>
        <w:t>54.a</w:t>
      </w:r>
      <w:proofErr w:type="spellEnd"/>
      <w:r w:rsidRPr="004E034C">
        <w:rPr>
          <w:rFonts w:ascii="Arial" w:hAnsi="Arial" w:cs="Arial"/>
          <w:b w:val="0"/>
          <w:sz w:val="20"/>
        </w:rPr>
        <w:t xml:space="preserve"> člena Zakona o ravnanju z gensko spremenjenimi organizmi (Uradni list RS, št. 23/05 – uradno prečiščeno besedilo</w:t>
      </w:r>
      <w:r w:rsidR="00095E8A">
        <w:rPr>
          <w:rFonts w:ascii="Arial" w:hAnsi="Arial" w:cs="Arial"/>
          <w:b w:val="0"/>
          <w:sz w:val="20"/>
        </w:rPr>
        <w:t xml:space="preserve">, </w:t>
      </w:r>
      <w:r w:rsidRPr="004E034C">
        <w:rPr>
          <w:rFonts w:ascii="Arial" w:hAnsi="Arial" w:cs="Arial"/>
          <w:b w:val="0"/>
          <w:sz w:val="20"/>
        </w:rPr>
        <w:t>21/10</w:t>
      </w:r>
      <w:r w:rsidR="00095E8A">
        <w:rPr>
          <w:rFonts w:ascii="Arial" w:hAnsi="Arial" w:cs="Arial"/>
          <w:b w:val="0"/>
          <w:sz w:val="20"/>
        </w:rPr>
        <w:t xml:space="preserve"> in 90/12 </w:t>
      </w:r>
      <w:r w:rsidR="00872FF8">
        <w:rPr>
          <w:rFonts w:ascii="Arial" w:hAnsi="Arial" w:cs="Arial"/>
          <w:b w:val="0"/>
          <w:sz w:val="20"/>
        </w:rPr>
        <w:t>–</w:t>
      </w:r>
      <w:r w:rsidR="00095E8A">
        <w:rPr>
          <w:rFonts w:ascii="Arial" w:hAnsi="Arial" w:cs="Arial"/>
          <w:b w:val="0"/>
          <w:sz w:val="20"/>
        </w:rPr>
        <w:t xml:space="preserve"> </w:t>
      </w:r>
      <w:proofErr w:type="spellStart"/>
      <w:r w:rsidR="00095E8A">
        <w:rPr>
          <w:rFonts w:ascii="Arial" w:hAnsi="Arial" w:cs="Arial"/>
          <w:b w:val="0"/>
          <w:sz w:val="20"/>
        </w:rPr>
        <w:t>ZdZPVHVVR</w:t>
      </w:r>
      <w:proofErr w:type="spellEnd"/>
      <w:r w:rsidRPr="004E034C">
        <w:rPr>
          <w:rFonts w:ascii="Arial" w:hAnsi="Arial" w:cs="Arial"/>
          <w:b w:val="0"/>
          <w:sz w:val="20"/>
        </w:rPr>
        <w:t>) izdaja Vlada Republike Slovenije</w:t>
      </w: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Cs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bCs/>
          <w:szCs w:val="20"/>
        </w:rPr>
      </w:pPr>
      <w:r w:rsidRPr="00364CC6">
        <w:rPr>
          <w:rFonts w:cs="Arial"/>
          <w:b/>
          <w:bCs/>
          <w:szCs w:val="20"/>
        </w:rPr>
        <w:t>UREDBO</w:t>
      </w:r>
    </w:p>
    <w:p w:rsidR="00364CC6" w:rsidRPr="00364CC6" w:rsidRDefault="00364CC6" w:rsidP="00364CC6">
      <w:pPr>
        <w:jc w:val="center"/>
        <w:rPr>
          <w:rFonts w:cs="Arial"/>
          <w:b/>
          <w:bCs/>
          <w:szCs w:val="20"/>
        </w:rPr>
      </w:pPr>
      <w:r w:rsidRPr="00364CC6">
        <w:rPr>
          <w:rFonts w:cs="Arial"/>
          <w:b/>
          <w:bCs/>
          <w:szCs w:val="20"/>
        </w:rPr>
        <w:t xml:space="preserve">o načinu in merilih za določitev višine stroškov postopka izdaje upravnih aktov pri ravnanju z gensko spremenjenimi organizmi </w:t>
      </w: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BA22B8" w:rsidRDefault="00364CC6" w:rsidP="00364CC6">
      <w:pPr>
        <w:jc w:val="center"/>
        <w:rPr>
          <w:rFonts w:cs="Arial"/>
          <w:b/>
          <w:szCs w:val="20"/>
        </w:rPr>
      </w:pPr>
      <w:r w:rsidRPr="00BA22B8">
        <w:rPr>
          <w:rFonts w:cs="Arial"/>
          <w:b/>
          <w:szCs w:val="20"/>
        </w:rPr>
        <w:t>1. člen</w:t>
      </w:r>
    </w:p>
    <w:p w:rsidR="00364CC6" w:rsidRPr="00BA22B8" w:rsidRDefault="00364CC6" w:rsidP="00364CC6">
      <w:pPr>
        <w:jc w:val="center"/>
        <w:rPr>
          <w:rFonts w:cs="Arial"/>
          <w:b/>
          <w:szCs w:val="20"/>
        </w:rPr>
      </w:pPr>
      <w:r w:rsidRPr="00BA22B8">
        <w:rPr>
          <w:rFonts w:cs="Arial"/>
          <w:b/>
          <w:szCs w:val="20"/>
        </w:rPr>
        <w:t>(vsebina)</w:t>
      </w:r>
    </w:p>
    <w:p w:rsidR="00364CC6" w:rsidRPr="00364CC6" w:rsidRDefault="00364CC6" w:rsidP="00364CC6">
      <w:pPr>
        <w:jc w:val="center"/>
        <w:rPr>
          <w:rFonts w:cs="Arial"/>
          <w:szCs w:val="20"/>
        </w:rPr>
      </w:pPr>
    </w:p>
    <w:p w:rsidR="00364CC6" w:rsidRDefault="00364CC6" w:rsidP="00364CC6">
      <w:pPr>
        <w:pStyle w:val="Telobesedila"/>
        <w:rPr>
          <w:rFonts w:ascii="Arial" w:hAnsi="Arial" w:cs="Arial"/>
          <w:b w:val="0"/>
          <w:sz w:val="20"/>
        </w:rPr>
      </w:pPr>
      <w:r w:rsidRPr="00364CC6">
        <w:rPr>
          <w:rFonts w:ascii="Arial" w:hAnsi="Arial" w:cs="Arial"/>
          <w:b w:val="0"/>
          <w:sz w:val="20"/>
        </w:rPr>
        <w:t>Ta uredba določa način in merila za določitev višine stroškov postopka za izdajo upravnih aktov za</w:t>
      </w:r>
      <w:r w:rsidRPr="00364CC6">
        <w:rPr>
          <w:rFonts w:ascii="Arial" w:hAnsi="Arial" w:cs="Arial"/>
          <w:b w:val="0"/>
          <w:bCs w:val="0"/>
          <w:sz w:val="20"/>
        </w:rPr>
        <w:t xml:space="preserve"> zaprti sistem, delo z gensko spremenjenimi organizmi </w:t>
      </w:r>
      <w:r w:rsidR="00500116">
        <w:rPr>
          <w:rFonts w:ascii="Arial" w:hAnsi="Arial" w:cs="Arial"/>
          <w:b w:val="0"/>
          <w:bCs w:val="0"/>
          <w:sz w:val="20"/>
        </w:rPr>
        <w:t xml:space="preserve">(v nadaljnjem besedilu: GSO) </w:t>
      </w:r>
      <w:r w:rsidRPr="00364CC6">
        <w:rPr>
          <w:rFonts w:ascii="Arial" w:hAnsi="Arial" w:cs="Arial"/>
          <w:b w:val="0"/>
          <w:bCs w:val="0"/>
          <w:sz w:val="20"/>
        </w:rPr>
        <w:t xml:space="preserve">v zaprtem sistemu, </w:t>
      </w:r>
      <w:r w:rsidR="00872FF8">
        <w:rPr>
          <w:rFonts w:ascii="Arial" w:hAnsi="Arial" w:cs="Arial"/>
          <w:b w:val="0"/>
          <w:bCs w:val="0"/>
          <w:sz w:val="20"/>
        </w:rPr>
        <w:t xml:space="preserve">za </w:t>
      </w:r>
      <w:r w:rsidRPr="00364CC6">
        <w:rPr>
          <w:rFonts w:ascii="Arial" w:hAnsi="Arial" w:cs="Arial"/>
          <w:b w:val="0"/>
          <w:bCs w:val="0"/>
          <w:sz w:val="20"/>
        </w:rPr>
        <w:t>namern</w:t>
      </w:r>
      <w:r w:rsidR="00872FF8">
        <w:rPr>
          <w:rFonts w:ascii="Arial" w:hAnsi="Arial" w:cs="Arial"/>
          <w:b w:val="0"/>
          <w:bCs w:val="0"/>
          <w:sz w:val="20"/>
        </w:rPr>
        <w:t>o</w:t>
      </w:r>
      <w:r w:rsidRPr="00364CC6">
        <w:rPr>
          <w:rFonts w:ascii="Arial" w:hAnsi="Arial" w:cs="Arial"/>
          <w:b w:val="0"/>
          <w:bCs w:val="0"/>
          <w:sz w:val="20"/>
        </w:rPr>
        <w:t xml:space="preserve"> sproščanj</w:t>
      </w:r>
      <w:r w:rsidR="00872FF8">
        <w:rPr>
          <w:rFonts w:ascii="Arial" w:hAnsi="Arial" w:cs="Arial"/>
          <w:b w:val="0"/>
          <w:bCs w:val="0"/>
          <w:sz w:val="20"/>
        </w:rPr>
        <w:t>e</w:t>
      </w:r>
      <w:r w:rsidRPr="00364CC6">
        <w:rPr>
          <w:rFonts w:ascii="Arial" w:hAnsi="Arial" w:cs="Arial"/>
          <w:b w:val="0"/>
          <w:bCs w:val="0"/>
          <w:sz w:val="20"/>
        </w:rPr>
        <w:t xml:space="preserve"> GSO v okolje in dajanj</w:t>
      </w:r>
      <w:r w:rsidR="00872FF8">
        <w:rPr>
          <w:rFonts w:ascii="Arial" w:hAnsi="Arial" w:cs="Arial"/>
          <w:b w:val="0"/>
          <w:bCs w:val="0"/>
          <w:sz w:val="20"/>
        </w:rPr>
        <w:t>e</w:t>
      </w:r>
      <w:r w:rsidRPr="00364CC6">
        <w:rPr>
          <w:rFonts w:ascii="Arial" w:hAnsi="Arial" w:cs="Arial"/>
          <w:b w:val="0"/>
          <w:bCs w:val="0"/>
          <w:sz w:val="20"/>
        </w:rPr>
        <w:t xml:space="preserve"> izdelkov na trg</w:t>
      </w:r>
      <w:r w:rsidRPr="00364CC6">
        <w:rPr>
          <w:rFonts w:ascii="Arial" w:hAnsi="Arial" w:cs="Arial"/>
          <w:b w:val="0"/>
          <w:sz w:val="20"/>
        </w:rPr>
        <w:t>.</w:t>
      </w:r>
    </w:p>
    <w:p w:rsidR="00BB37AC" w:rsidRDefault="00BB37AC" w:rsidP="00364CC6">
      <w:pPr>
        <w:pStyle w:val="Telobesedila"/>
        <w:rPr>
          <w:rFonts w:ascii="Arial" w:hAnsi="Arial" w:cs="Arial"/>
          <w:b w:val="0"/>
          <w:sz w:val="20"/>
        </w:rPr>
      </w:pPr>
    </w:p>
    <w:p w:rsidR="00364CC6" w:rsidRPr="00364CC6" w:rsidRDefault="00364CC6" w:rsidP="00BA22B8">
      <w:pPr>
        <w:spacing w:line="276" w:lineRule="auto"/>
        <w:jc w:val="both"/>
        <w:rPr>
          <w:rFonts w:cs="Arial"/>
          <w:szCs w:val="20"/>
        </w:rPr>
      </w:pPr>
    </w:p>
    <w:p w:rsidR="00364CC6" w:rsidRPr="00364CC6" w:rsidRDefault="00364CC6" w:rsidP="00364CC6">
      <w:pPr>
        <w:rPr>
          <w:rFonts w:cs="Arial"/>
          <w:b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 xml:space="preserve">2. člen 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(i</w:t>
      </w:r>
      <w:r w:rsidR="00872FF8">
        <w:rPr>
          <w:rFonts w:cs="Arial"/>
          <w:b/>
          <w:szCs w:val="20"/>
        </w:rPr>
        <w:t>zrazi</w:t>
      </w:r>
      <w:r w:rsidRPr="00364CC6">
        <w:rPr>
          <w:rFonts w:cs="Arial"/>
          <w:b/>
          <w:szCs w:val="20"/>
        </w:rPr>
        <w:t>)</w:t>
      </w: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pStyle w:val="esegmentp"/>
        <w:spacing w:after="0"/>
        <w:rPr>
          <w:rFonts w:ascii="Arial" w:hAnsi="Arial" w:cs="Arial"/>
          <w:sz w:val="20"/>
          <w:szCs w:val="20"/>
        </w:rPr>
      </w:pPr>
      <w:r w:rsidRPr="00364CC6">
        <w:rPr>
          <w:rFonts w:ascii="Arial" w:hAnsi="Arial" w:cs="Arial"/>
          <w:sz w:val="20"/>
          <w:szCs w:val="20"/>
        </w:rPr>
        <w:t xml:space="preserve">Izrazi, uporabljeni v tej uredbi, imajo naslednji pomen: 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1. dnevnica je strošek po predpis</w:t>
      </w:r>
      <w:r w:rsidR="00627EA8">
        <w:rPr>
          <w:rFonts w:cs="Arial"/>
          <w:szCs w:val="20"/>
        </w:rPr>
        <w:t>u</w:t>
      </w:r>
      <w:r w:rsidRPr="00364CC6">
        <w:rPr>
          <w:rFonts w:cs="Arial"/>
          <w:szCs w:val="20"/>
        </w:rPr>
        <w:t>, ki ureja</w:t>
      </w:r>
      <w:r w:rsidR="0084596E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>povračila stroškov</w:t>
      </w:r>
      <w:r w:rsidR="009B5405">
        <w:rPr>
          <w:rFonts w:cs="Arial"/>
          <w:szCs w:val="20"/>
        </w:rPr>
        <w:t xml:space="preserve"> in druge prejemke v javnem sektorju</w:t>
      </w:r>
      <w:r w:rsidRPr="00364CC6">
        <w:rPr>
          <w:rFonts w:cs="Arial"/>
          <w:szCs w:val="20"/>
        </w:rPr>
        <w:t>;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 </w:t>
      </w:r>
    </w:p>
    <w:p w:rsid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2. poročevalec je član ali namestnik </w:t>
      </w:r>
      <w:r w:rsidR="00872FF8">
        <w:rPr>
          <w:rFonts w:cs="Arial"/>
          <w:szCs w:val="20"/>
        </w:rPr>
        <w:t xml:space="preserve">člana </w:t>
      </w:r>
      <w:r w:rsidR="00EE22D1" w:rsidRPr="00EE22D1">
        <w:rPr>
          <w:rFonts w:cs="Arial"/>
        </w:rPr>
        <w:t>znanstvenega odbora za delo z GSO v zaprtem sistemu (</w:t>
      </w:r>
      <w:r w:rsidR="00EE22D1" w:rsidRPr="00EE22D1">
        <w:rPr>
          <w:rFonts w:cs="Arial"/>
          <w:bCs/>
        </w:rPr>
        <w:t>v nadaljnjem besedilu:</w:t>
      </w:r>
      <w:r w:rsidR="00EE22D1" w:rsidRPr="00EE22D1">
        <w:rPr>
          <w:rFonts w:cs="Arial"/>
        </w:rPr>
        <w:t xml:space="preserve"> odbor za zaprte sisteme)</w:t>
      </w:r>
      <w:r w:rsidR="00EE22D1">
        <w:rPr>
          <w:rFonts w:cs="Arial"/>
          <w:b/>
        </w:rPr>
        <w:t xml:space="preserve"> </w:t>
      </w:r>
      <w:r w:rsidRPr="00364CC6">
        <w:rPr>
          <w:rFonts w:cs="Arial"/>
          <w:szCs w:val="20"/>
        </w:rPr>
        <w:t xml:space="preserve">ali </w:t>
      </w:r>
      <w:r w:rsidR="00B13B3E" w:rsidRPr="00B13B3E">
        <w:rPr>
          <w:rFonts w:cs="Arial"/>
        </w:rPr>
        <w:t>znanstvenega odbora za namerno sproščanje GSO v okolje in dajanje izdelkov na trg (</w:t>
      </w:r>
      <w:r w:rsidR="00B13B3E" w:rsidRPr="00EE22D1">
        <w:rPr>
          <w:rFonts w:cs="Arial"/>
          <w:bCs/>
        </w:rPr>
        <w:t>v nadaljnjem besedilu:</w:t>
      </w:r>
      <w:r w:rsidR="00B13B3E">
        <w:rPr>
          <w:rFonts w:cs="Arial"/>
          <w:bCs/>
        </w:rPr>
        <w:t xml:space="preserve"> </w:t>
      </w:r>
      <w:r w:rsidR="00B13B3E" w:rsidRPr="00B13B3E">
        <w:rPr>
          <w:rFonts w:cs="Arial"/>
        </w:rPr>
        <w:t>odbor za sproščanje GSO)</w:t>
      </w:r>
      <w:r w:rsidRPr="00364CC6">
        <w:rPr>
          <w:rFonts w:cs="Arial"/>
          <w:szCs w:val="20"/>
        </w:rPr>
        <w:t xml:space="preserve"> ali drugi strokovnjak, ki poroča o strokovnem mnenju </w:t>
      </w:r>
      <w:r w:rsidR="00872FF8">
        <w:rPr>
          <w:rFonts w:cs="Arial"/>
          <w:szCs w:val="20"/>
        </w:rPr>
        <w:t>ali</w:t>
      </w:r>
      <w:r w:rsidRPr="00364CC6">
        <w:rPr>
          <w:rFonts w:cs="Arial"/>
          <w:szCs w:val="20"/>
        </w:rPr>
        <w:t xml:space="preserve"> mnenju o primernosti izdelka ter ga določi znanstveni odbor;</w:t>
      </w:r>
    </w:p>
    <w:p w:rsidR="005B0E1A" w:rsidRDefault="005B0E1A" w:rsidP="00364CC6">
      <w:pPr>
        <w:jc w:val="both"/>
        <w:rPr>
          <w:rFonts w:cs="Arial"/>
          <w:szCs w:val="20"/>
        </w:rPr>
      </w:pPr>
    </w:p>
    <w:p w:rsidR="00364CC6" w:rsidRDefault="005B0E1A" w:rsidP="00364CC6">
      <w:pPr>
        <w:jc w:val="both"/>
      </w:pPr>
      <w:r>
        <w:rPr>
          <w:rFonts w:cs="Arial"/>
          <w:szCs w:val="20"/>
        </w:rPr>
        <w:t xml:space="preserve">3. drugi strokovnjak je strokovnjak </w:t>
      </w:r>
      <w:r w:rsidR="00913CB1">
        <w:t xml:space="preserve">iz evidence </w:t>
      </w:r>
      <w:r w:rsidR="00913CB1">
        <w:rPr>
          <w:color w:val="000000"/>
        </w:rPr>
        <w:t>raziskovalne in razvojne dejavnosti</w:t>
      </w:r>
      <w:r w:rsidR="00C259A9">
        <w:rPr>
          <w:color w:val="000000"/>
        </w:rPr>
        <w:t>,</w:t>
      </w:r>
      <w:r w:rsidR="00913CB1">
        <w:rPr>
          <w:color w:val="000000"/>
        </w:rPr>
        <w:t xml:space="preserve"> </w:t>
      </w:r>
      <w:r w:rsidR="00B5501A">
        <w:rPr>
          <w:color w:val="000000"/>
        </w:rPr>
        <w:t xml:space="preserve">ki ga vodi Agencija za raziskovalno dejavnost </w:t>
      </w:r>
      <w:r w:rsidR="001B2EE1">
        <w:rPr>
          <w:color w:val="000000"/>
        </w:rPr>
        <w:t xml:space="preserve">Republike </w:t>
      </w:r>
      <w:r w:rsidR="00B5501A">
        <w:rPr>
          <w:color w:val="000000"/>
        </w:rPr>
        <w:t>Slovenije</w:t>
      </w:r>
      <w:r w:rsidR="00913CB1">
        <w:rPr>
          <w:color w:val="000000"/>
        </w:rPr>
        <w:t xml:space="preserve"> </w:t>
      </w:r>
      <w:r w:rsidR="00B5501A">
        <w:rPr>
          <w:color w:val="000000"/>
        </w:rPr>
        <w:t xml:space="preserve">ali </w:t>
      </w:r>
      <w:r w:rsidR="001F55EA">
        <w:rPr>
          <w:color w:val="000000"/>
        </w:rPr>
        <w:t xml:space="preserve">strokovnjak </w:t>
      </w:r>
      <w:r w:rsidR="00BB37AC" w:rsidRPr="00967D0D">
        <w:t>s</w:t>
      </w:r>
      <w:r w:rsidR="00BB37AC" w:rsidRPr="00967D0D">
        <w:rPr>
          <w:color w:val="FF0000"/>
        </w:rPr>
        <w:t xml:space="preserve"> </w:t>
      </w:r>
      <w:r w:rsidR="001F55EA">
        <w:rPr>
          <w:color w:val="000000"/>
        </w:rPr>
        <w:t xml:space="preserve">seznama </w:t>
      </w:r>
      <w:r w:rsidR="00265E0A">
        <w:rPr>
          <w:color w:val="000000"/>
        </w:rPr>
        <w:t xml:space="preserve">strokovnjakov </w:t>
      </w:r>
      <w:r w:rsidR="00913CB1">
        <w:t xml:space="preserve">v okviru </w:t>
      </w:r>
      <w:r w:rsidR="00C259A9">
        <w:t xml:space="preserve">Urada za </w:t>
      </w:r>
      <w:r w:rsidR="00967D0D">
        <w:t xml:space="preserve">izmenjavo </w:t>
      </w:r>
      <w:r w:rsidR="00C259A9">
        <w:t>informacij o</w:t>
      </w:r>
      <w:r w:rsidR="00913CB1">
        <w:t xml:space="preserve"> biološk</w:t>
      </w:r>
      <w:r w:rsidR="00C259A9">
        <w:t>i</w:t>
      </w:r>
      <w:r w:rsidR="00913CB1">
        <w:t xml:space="preserve"> varnost</w:t>
      </w:r>
      <w:r w:rsidR="00C259A9">
        <w:t>i</w:t>
      </w:r>
      <w:r w:rsidR="00E766B3">
        <w:t xml:space="preserve"> ob upoštevanju strokovne usposobljenosti glede na vsebino prijave;</w:t>
      </w:r>
    </w:p>
    <w:p w:rsidR="00E766B3" w:rsidRPr="00364CC6" w:rsidRDefault="00E766B3" w:rsidP="00364CC6">
      <w:pPr>
        <w:jc w:val="both"/>
        <w:rPr>
          <w:rFonts w:cs="Arial"/>
          <w:szCs w:val="20"/>
        </w:rPr>
      </w:pPr>
    </w:p>
    <w:p w:rsidR="00364CC6" w:rsidRPr="00364CC6" w:rsidRDefault="001F55EA" w:rsidP="00364CC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364CC6" w:rsidRPr="00364CC6">
        <w:rPr>
          <w:rFonts w:cs="Arial"/>
          <w:szCs w:val="20"/>
        </w:rPr>
        <w:t>. stroški poročevalca so izdatki, ki nastanejo v zvezi s pripravo in poročanjem o strokovnem mnenju ali mnenju o primernosti izdelka v postopku pridobitve strokovnega mnenja za prijavo;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1F55EA" w:rsidP="00364CC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364CC6" w:rsidRPr="00364CC6">
        <w:rPr>
          <w:rFonts w:cs="Arial"/>
          <w:szCs w:val="20"/>
        </w:rPr>
        <w:t>. stroški za prevoz so izdatki po predpis</w:t>
      </w:r>
      <w:r w:rsidR="00627EA8">
        <w:rPr>
          <w:rFonts w:cs="Arial"/>
          <w:szCs w:val="20"/>
        </w:rPr>
        <w:t>u</w:t>
      </w:r>
      <w:r w:rsidR="00364CC6" w:rsidRPr="00364CC6">
        <w:rPr>
          <w:rFonts w:cs="Arial"/>
          <w:szCs w:val="20"/>
        </w:rPr>
        <w:t xml:space="preserve">, ki ureja </w:t>
      </w:r>
      <w:r w:rsidR="001E0FD0" w:rsidRPr="00364CC6">
        <w:rPr>
          <w:rFonts w:cs="Arial"/>
          <w:szCs w:val="20"/>
        </w:rPr>
        <w:t>povračil</w:t>
      </w:r>
      <w:r w:rsidR="001E0FD0">
        <w:rPr>
          <w:rFonts w:cs="Arial"/>
          <w:szCs w:val="20"/>
        </w:rPr>
        <w:t>a</w:t>
      </w:r>
      <w:r w:rsidR="001E0FD0" w:rsidRPr="00364CC6">
        <w:rPr>
          <w:rFonts w:cs="Arial"/>
          <w:szCs w:val="20"/>
        </w:rPr>
        <w:t xml:space="preserve"> </w:t>
      </w:r>
      <w:r w:rsidR="001E0FD0">
        <w:rPr>
          <w:rFonts w:cs="Arial"/>
          <w:szCs w:val="20"/>
        </w:rPr>
        <w:t>stroškov in druge prejemke v javnem sektorju</w:t>
      </w:r>
      <w:r w:rsidR="00364CC6" w:rsidRPr="00364CC6">
        <w:rPr>
          <w:rFonts w:cs="Arial"/>
          <w:szCs w:val="20"/>
        </w:rPr>
        <w:t>;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1F55EA" w:rsidP="00364CC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364CC6" w:rsidRPr="00364CC6">
        <w:rPr>
          <w:rFonts w:cs="Arial"/>
          <w:szCs w:val="20"/>
        </w:rPr>
        <w:t>. stroški prenočevanja so izdatki po predpis</w:t>
      </w:r>
      <w:r w:rsidR="00627EA8">
        <w:rPr>
          <w:rFonts w:cs="Arial"/>
          <w:szCs w:val="20"/>
        </w:rPr>
        <w:t>u</w:t>
      </w:r>
      <w:r w:rsidR="00364CC6" w:rsidRPr="00364CC6">
        <w:rPr>
          <w:rFonts w:cs="Arial"/>
          <w:szCs w:val="20"/>
        </w:rPr>
        <w:t>, ki ureja povračila</w:t>
      </w:r>
      <w:r w:rsidR="009B5405" w:rsidRPr="00364CC6">
        <w:rPr>
          <w:rFonts w:cs="Arial"/>
          <w:szCs w:val="20"/>
        </w:rPr>
        <w:t xml:space="preserve"> </w:t>
      </w:r>
      <w:r w:rsidR="009B5405">
        <w:rPr>
          <w:rFonts w:cs="Arial"/>
          <w:szCs w:val="20"/>
        </w:rPr>
        <w:t>stroškov in druge prejemke v javnem sektorju</w:t>
      </w:r>
      <w:r w:rsidR="00364CC6" w:rsidRPr="00364CC6">
        <w:rPr>
          <w:rFonts w:cs="Arial"/>
          <w:szCs w:val="20"/>
        </w:rPr>
        <w:t>;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1F55EA" w:rsidP="00364CC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7</w:t>
      </w:r>
      <w:r w:rsidR="00364CC6" w:rsidRPr="00364CC6">
        <w:rPr>
          <w:rFonts w:cs="Arial"/>
          <w:szCs w:val="20"/>
        </w:rPr>
        <w:t>. stroški javnega naznanila in javne obravnave so izdatki javnega naznanila v sredstvih javnega obveščanja in izvedbe javne obravnave.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3. člen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(stroški postopka za izdajo upravnih aktov za zaprti sistem)</w:t>
      </w:r>
    </w:p>
    <w:p w:rsidR="00364CC6" w:rsidRPr="00364CC6" w:rsidRDefault="00364CC6" w:rsidP="00364CC6">
      <w:pPr>
        <w:ind w:left="180"/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(1) Stroški postopka za izdajo upravnih aktov za zaprti sistem so izdatki, ki nastanejo ministrstvu, pristojnemu za okolje (v nadalj</w:t>
      </w:r>
      <w:r w:rsidR="00872FF8">
        <w:rPr>
          <w:rFonts w:cs="Arial"/>
          <w:szCs w:val="20"/>
        </w:rPr>
        <w:t>njem besedilu</w:t>
      </w:r>
      <w:r w:rsidRPr="00364CC6">
        <w:rPr>
          <w:rFonts w:cs="Arial"/>
          <w:szCs w:val="20"/>
        </w:rPr>
        <w:t>: ministrstvo)</w:t>
      </w:r>
      <w:r w:rsidR="00872FF8">
        <w:rPr>
          <w:rFonts w:cs="Arial"/>
          <w:szCs w:val="20"/>
        </w:rPr>
        <w:t>,</w:t>
      </w:r>
      <w:r w:rsidRPr="00364CC6">
        <w:rPr>
          <w:rFonts w:cs="Arial"/>
          <w:szCs w:val="20"/>
        </w:rPr>
        <w:t xml:space="preserve"> </w:t>
      </w:r>
      <w:r w:rsidR="00142261">
        <w:rPr>
          <w:rFonts w:cs="Arial"/>
          <w:szCs w:val="20"/>
        </w:rPr>
        <w:t>za strokovno pomoč</w:t>
      </w:r>
      <w:r w:rsidRPr="00364CC6">
        <w:rPr>
          <w:rFonts w:cs="Arial"/>
          <w:szCs w:val="20"/>
        </w:rPr>
        <w:t xml:space="preserve"> odbora za zaprte sisteme in obsegajo stroške poročevalca, stroške drugih strokovnjakov, stroške za prevoz</w:t>
      </w:r>
      <w:r w:rsidR="00142261">
        <w:rPr>
          <w:rFonts w:cs="Arial"/>
          <w:szCs w:val="20"/>
        </w:rPr>
        <w:t>,</w:t>
      </w:r>
      <w:r w:rsidR="00F34199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>stroške prenočevanja</w:t>
      </w:r>
      <w:r w:rsidR="00142261" w:rsidRPr="00142261">
        <w:rPr>
          <w:rFonts w:cs="Arial"/>
          <w:szCs w:val="20"/>
        </w:rPr>
        <w:t xml:space="preserve"> </w:t>
      </w:r>
      <w:r w:rsidR="004A2FD9">
        <w:rPr>
          <w:rFonts w:cs="Arial"/>
          <w:szCs w:val="20"/>
        </w:rPr>
        <w:t>in</w:t>
      </w:r>
      <w:r w:rsidRPr="00364CC6">
        <w:rPr>
          <w:rFonts w:cs="Arial"/>
          <w:szCs w:val="20"/>
        </w:rPr>
        <w:t xml:space="preserve"> dnevnice. 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(</w:t>
      </w:r>
      <w:r w:rsidR="00142261">
        <w:rPr>
          <w:rFonts w:cs="Arial"/>
          <w:szCs w:val="20"/>
        </w:rPr>
        <w:t>2</w:t>
      </w:r>
      <w:r w:rsidRPr="00364CC6">
        <w:rPr>
          <w:rFonts w:cs="Arial"/>
          <w:szCs w:val="20"/>
        </w:rPr>
        <w:t xml:space="preserve">) Način izračuna stroškov iz </w:t>
      </w:r>
      <w:r w:rsidR="00872FF8">
        <w:rPr>
          <w:rFonts w:cs="Arial"/>
          <w:szCs w:val="20"/>
        </w:rPr>
        <w:t>prejšnj</w:t>
      </w:r>
      <w:r w:rsidRPr="00364CC6">
        <w:rPr>
          <w:rFonts w:cs="Arial"/>
          <w:szCs w:val="20"/>
        </w:rPr>
        <w:t xml:space="preserve">ega odstavka je določen v </w:t>
      </w:r>
      <w:r w:rsidR="00872FF8">
        <w:rPr>
          <w:rFonts w:cs="Arial"/>
          <w:szCs w:val="20"/>
        </w:rPr>
        <w:t>p</w:t>
      </w:r>
      <w:r w:rsidRPr="00364CC6">
        <w:rPr>
          <w:rFonts w:cs="Arial"/>
          <w:szCs w:val="20"/>
        </w:rPr>
        <w:t>rilogi 1, ki je sestavni del te uredbe.</w:t>
      </w:r>
    </w:p>
    <w:p w:rsidR="00364CC6" w:rsidRPr="00364CC6" w:rsidRDefault="00364CC6" w:rsidP="00364CC6">
      <w:pPr>
        <w:ind w:left="180"/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4. člen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(stroški postopka za izdajo upravnih aktov za delo z GSO)</w:t>
      </w:r>
    </w:p>
    <w:p w:rsidR="00364CC6" w:rsidRPr="00364CC6" w:rsidRDefault="00364CC6" w:rsidP="00364CC6">
      <w:pPr>
        <w:jc w:val="center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(1) Stroški postopka za izdajo upravnih aktov za delo z GSO so izdatki, ki nastanejo ministrstvu </w:t>
      </w:r>
      <w:r w:rsidR="00142261">
        <w:rPr>
          <w:rFonts w:cs="Arial"/>
          <w:szCs w:val="20"/>
        </w:rPr>
        <w:t>za strokovno pomoč</w:t>
      </w:r>
      <w:r w:rsidRPr="00364CC6">
        <w:rPr>
          <w:rFonts w:cs="Arial"/>
          <w:szCs w:val="20"/>
        </w:rPr>
        <w:t xml:space="preserve"> odbora za zaprte sisteme in obsegajo stroške poročevalca, stroške drugih strokovnjakov, stroške za prevoz, stroške prenočevanja, dnevnice</w:t>
      </w:r>
      <w:r w:rsidR="00F34199">
        <w:rPr>
          <w:rFonts w:cs="Arial"/>
          <w:szCs w:val="20"/>
        </w:rPr>
        <w:t xml:space="preserve"> ter</w:t>
      </w:r>
      <w:r w:rsidRPr="00364CC6">
        <w:rPr>
          <w:rFonts w:cs="Arial"/>
          <w:szCs w:val="20"/>
        </w:rPr>
        <w:t xml:space="preserve"> stroške javnega naznanila in javne obravnave. 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 w:rsidDel="007A3A0E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>(</w:t>
      </w:r>
      <w:r w:rsidR="00142261">
        <w:rPr>
          <w:rFonts w:cs="Arial"/>
          <w:szCs w:val="20"/>
        </w:rPr>
        <w:t>2</w:t>
      </w:r>
      <w:r w:rsidRPr="00364CC6">
        <w:rPr>
          <w:rFonts w:cs="Arial"/>
          <w:szCs w:val="20"/>
        </w:rPr>
        <w:t xml:space="preserve">) Način izračuna stroškov iz </w:t>
      </w:r>
      <w:r w:rsidR="00872FF8">
        <w:rPr>
          <w:rFonts w:cs="Arial"/>
          <w:szCs w:val="20"/>
        </w:rPr>
        <w:t xml:space="preserve">prejšnjega </w:t>
      </w:r>
      <w:r w:rsidRPr="00364CC6">
        <w:rPr>
          <w:rFonts w:cs="Arial"/>
          <w:szCs w:val="20"/>
        </w:rPr>
        <w:t xml:space="preserve">odstavka je določen v </w:t>
      </w:r>
      <w:r w:rsidR="00872FF8">
        <w:rPr>
          <w:rFonts w:cs="Arial"/>
          <w:szCs w:val="20"/>
        </w:rPr>
        <w:t>p</w:t>
      </w:r>
      <w:r w:rsidRPr="00364CC6">
        <w:rPr>
          <w:rFonts w:cs="Arial"/>
          <w:szCs w:val="20"/>
        </w:rPr>
        <w:t>rilogi 2, ki je sestavni del te uredbe.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5. člen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(stroški postopka za izdajo upravnih aktov za namerno sproščanje GSO v okolje)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 w:rsidDel="00DB690E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 xml:space="preserve">(1) Stroški postopka za izdajo upravnih aktov za namerno sproščanje GSO v okolje so izdatki, ki nastanejo ministrstvu </w:t>
      </w:r>
      <w:r w:rsidR="004A2FD9">
        <w:rPr>
          <w:rFonts w:cs="Arial"/>
          <w:szCs w:val="20"/>
        </w:rPr>
        <w:t>za strokovno pomoč</w:t>
      </w:r>
      <w:r w:rsidRPr="00364CC6">
        <w:rPr>
          <w:rFonts w:cs="Arial"/>
          <w:szCs w:val="20"/>
        </w:rPr>
        <w:t xml:space="preserve"> odbora za sproščanje GSO </w:t>
      </w:r>
      <w:bookmarkStart w:id="1" w:name="OLE_LINK1"/>
      <w:r w:rsidRPr="00364CC6">
        <w:rPr>
          <w:rFonts w:cs="Arial"/>
          <w:szCs w:val="20"/>
        </w:rPr>
        <w:t xml:space="preserve">in obsegajo stroške poročevalca, stroške drugih strokovnjakov, stroške za prevoz, stroške prenočevanja, dnevnice </w:t>
      </w:r>
      <w:r w:rsidR="0089141D" w:rsidRPr="00364CC6">
        <w:rPr>
          <w:rFonts w:cs="Arial"/>
          <w:szCs w:val="20"/>
        </w:rPr>
        <w:t xml:space="preserve">ter </w:t>
      </w:r>
      <w:r w:rsidRPr="00364CC6">
        <w:rPr>
          <w:rFonts w:cs="Arial"/>
          <w:szCs w:val="20"/>
        </w:rPr>
        <w:t>stroške javnega naznanila in javne obravnave.</w:t>
      </w:r>
      <w:bookmarkEnd w:id="1"/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(</w:t>
      </w:r>
      <w:r w:rsidR="004A2FD9">
        <w:rPr>
          <w:rFonts w:cs="Arial"/>
          <w:szCs w:val="20"/>
        </w:rPr>
        <w:t>2</w:t>
      </w:r>
      <w:r w:rsidRPr="00364CC6">
        <w:rPr>
          <w:rFonts w:cs="Arial"/>
          <w:szCs w:val="20"/>
        </w:rPr>
        <w:t xml:space="preserve">) Način izračuna stroškov iz </w:t>
      </w:r>
      <w:r w:rsidR="00872FF8">
        <w:rPr>
          <w:rFonts w:cs="Arial"/>
          <w:szCs w:val="20"/>
        </w:rPr>
        <w:t>prejšnjega</w:t>
      </w:r>
      <w:r w:rsidR="00872FF8" w:rsidRPr="00364CC6" w:rsidDel="00872FF8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 xml:space="preserve">odstavka je določen v </w:t>
      </w:r>
      <w:r w:rsidR="00872FF8">
        <w:rPr>
          <w:rFonts w:cs="Arial"/>
          <w:szCs w:val="20"/>
        </w:rPr>
        <w:t>p</w:t>
      </w:r>
      <w:r w:rsidRPr="00364CC6">
        <w:rPr>
          <w:rFonts w:cs="Arial"/>
          <w:szCs w:val="20"/>
        </w:rPr>
        <w:t>rilogi 3, ki je sestavni del te uredbe.</w:t>
      </w:r>
    </w:p>
    <w:p w:rsidR="00364CC6" w:rsidRPr="00364CC6" w:rsidRDefault="00364CC6" w:rsidP="00364CC6">
      <w:pPr>
        <w:jc w:val="center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6. člen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 xml:space="preserve"> (stroški postopka za izdajo upravnih aktov za dajanje izdelka na trg)</w:t>
      </w:r>
    </w:p>
    <w:p w:rsidR="00364CC6" w:rsidRPr="00364CC6" w:rsidRDefault="00364CC6" w:rsidP="00364CC6">
      <w:pPr>
        <w:ind w:left="180"/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(1)  Stroški postopka za izdajo upravnih aktov za dajanje izdelka na trg so izdatki, ki nastanejo ministrstvu </w:t>
      </w:r>
      <w:r w:rsidR="004A2FD9">
        <w:rPr>
          <w:rFonts w:cs="Arial"/>
          <w:szCs w:val="20"/>
        </w:rPr>
        <w:t>za strokovno pomoč</w:t>
      </w:r>
      <w:r w:rsidRPr="00364CC6">
        <w:rPr>
          <w:rFonts w:cs="Arial"/>
          <w:szCs w:val="20"/>
        </w:rPr>
        <w:t xml:space="preserve"> odbora za sproščanje GSO in obsegajo stroške poročevalca, stroške drugih strokovnjakov, stroške prevoza, stroške prenočevanja, dnevnice </w:t>
      </w:r>
      <w:r w:rsidR="0089141D" w:rsidRPr="00364CC6">
        <w:rPr>
          <w:rFonts w:cs="Arial"/>
          <w:szCs w:val="20"/>
        </w:rPr>
        <w:t xml:space="preserve">ter </w:t>
      </w:r>
      <w:r w:rsidRPr="00364CC6">
        <w:rPr>
          <w:rFonts w:cs="Arial"/>
          <w:szCs w:val="20"/>
        </w:rPr>
        <w:t>stroške javnega naznanila in javne obravnave.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4A2FD9" w:rsidP="00364CC6">
      <w:pPr>
        <w:jc w:val="both"/>
        <w:rPr>
          <w:rFonts w:cs="Arial"/>
          <w:szCs w:val="20"/>
        </w:rPr>
      </w:pPr>
      <w:r w:rsidRPr="00364CC6" w:rsidDel="004A2FD9">
        <w:rPr>
          <w:rFonts w:cs="Arial"/>
          <w:szCs w:val="20"/>
        </w:rPr>
        <w:t xml:space="preserve"> </w:t>
      </w:r>
      <w:r w:rsidR="00364CC6" w:rsidRPr="00364CC6">
        <w:rPr>
          <w:rFonts w:cs="Arial"/>
          <w:szCs w:val="20"/>
        </w:rPr>
        <w:t>(</w:t>
      </w:r>
      <w:r>
        <w:rPr>
          <w:rFonts w:cs="Arial"/>
          <w:szCs w:val="20"/>
        </w:rPr>
        <w:t>2</w:t>
      </w:r>
      <w:r w:rsidR="00364CC6" w:rsidRPr="00364CC6">
        <w:rPr>
          <w:rFonts w:cs="Arial"/>
          <w:szCs w:val="20"/>
        </w:rPr>
        <w:t xml:space="preserve">) Način izračuna stroškov iz </w:t>
      </w:r>
      <w:r w:rsidR="00A84A78">
        <w:rPr>
          <w:rFonts w:cs="Arial"/>
          <w:szCs w:val="20"/>
        </w:rPr>
        <w:t>prejšnjega</w:t>
      </w:r>
      <w:r w:rsidR="00A84A78" w:rsidRPr="00364CC6">
        <w:rPr>
          <w:rFonts w:cs="Arial"/>
          <w:szCs w:val="20"/>
        </w:rPr>
        <w:t xml:space="preserve"> </w:t>
      </w:r>
      <w:r w:rsidR="00364CC6" w:rsidRPr="00364CC6">
        <w:rPr>
          <w:rFonts w:cs="Arial"/>
          <w:szCs w:val="20"/>
        </w:rPr>
        <w:t xml:space="preserve">odstavka je določen v </w:t>
      </w:r>
      <w:r w:rsidR="00A84A78">
        <w:rPr>
          <w:rFonts w:cs="Arial"/>
          <w:szCs w:val="20"/>
        </w:rPr>
        <w:t>p</w:t>
      </w:r>
      <w:r w:rsidR="00364CC6" w:rsidRPr="00364CC6">
        <w:rPr>
          <w:rFonts w:cs="Arial"/>
          <w:szCs w:val="20"/>
        </w:rPr>
        <w:t>rilogi 4, ki je sestavni del te uredbe.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7. člen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(nosilec stroškov in vplačilo)</w:t>
      </w:r>
    </w:p>
    <w:p w:rsidR="00364CC6" w:rsidRPr="00364CC6" w:rsidRDefault="00364CC6" w:rsidP="00364CC6">
      <w:pPr>
        <w:jc w:val="center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(1) Stroške iz 3., 4., 5. in 6. člena te uredbe</w:t>
      </w:r>
      <w:r w:rsidR="00447871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>nosi prijavitelj.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(2) Stroški iz prejšnjega odstavka so prihodek proračuna Republike Slovenije in se vplačajo na podračun javnofinančnih prihodkov v skladu s predpisom, ki ureja podračune ter način plačevanja obveznih dajatev in drugih javnofinančnih prihodkov.</w:t>
      </w:r>
    </w:p>
    <w:p w:rsidR="00364CC6" w:rsidRPr="00364CC6" w:rsidRDefault="00364CC6" w:rsidP="00364CC6">
      <w:pPr>
        <w:autoSpaceDE w:val="0"/>
        <w:autoSpaceDN w:val="0"/>
        <w:adjustRightInd w:val="0"/>
        <w:spacing w:line="240" w:lineRule="auto"/>
        <w:rPr>
          <w:rFonts w:eastAsia="MS Mincho" w:cs="Arial"/>
          <w:color w:val="000000"/>
          <w:szCs w:val="20"/>
          <w:lang w:eastAsia="ja-JP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8. člen</w:t>
      </w:r>
    </w:p>
    <w:p w:rsidR="00364CC6" w:rsidRPr="00364CC6" w:rsidRDefault="00364CC6" w:rsidP="00364CC6">
      <w:pPr>
        <w:jc w:val="center"/>
        <w:rPr>
          <w:rFonts w:cs="Arial"/>
          <w:b/>
          <w:szCs w:val="20"/>
        </w:rPr>
      </w:pPr>
      <w:r w:rsidRPr="00364CC6" w:rsidDel="00032515">
        <w:rPr>
          <w:rFonts w:cs="Arial"/>
          <w:b/>
          <w:szCs w:val="20"/>
        </w:rPr>
        <w:t xml:space="preserve"> </w:t>
      </w:r>
      <w:r w:rsidRPr="00364CC6">
        <w:rPr>
          <w:rFonts w:cs="Arial"/>
          <w:b/>
          <w:szCs w:val="20"/>
        </w:rPr>
        <w:t>(</w:t>
      </w:r>
      <w:r w:rsidR="00A84A78">
        <w:rPr>
          <w:rFonts w:cs="Arial"/>
          <w:b/>
          <w:szCs w:val="20"/>
        </w:rPr>
        <w:t>začetek veljavnosti</w:t>
      </w:r>
      <w:r w:rsidRPr="00364CC6">
        <w:rPr>
          <w:rFonts w:cs="Arial"/>
          <w:b/>
          <w:szCs w:val="20"/>
        </w:rPr>
        <w:t>)</w:t>
      </w:r>
    </w:p>
    <w:p w:rsidR="00364CC6" w:rsidRPr="00364CC6" w:rsidRDefault="00364CC6" w:rsidP="00364CC6">
      <w:pPr>
        <w:jc w:val="center"/>
        <w:rPr>
          <w:rFonts w:cs="Arial"/>
          <w:szCs w:val="20"/>
        </w:rPr>
      </w:pPr>
    </w:p>
    <w:p w:rsidR="00364CC6" w:rsidRPr="00364CC6" w:rsidRDefault="00364CC6" w:rsidP="00364CC6">
      <w:pPr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Ta uredba začne veljati petnajsti dan po objavi v Uradnem listu Republike Slovenije. </w:t>
      </w: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64CC6">
        <w:rPr>
          <w:rFonts w:cs="Arial"/>
          <w:szCs w:val="20"/>
        </w:rPr>
        <w:t xml:space="preserve">Št. </w:t>
      </w:r>
      <w:r w:rsidR="00591F26">
        <w:rPr>
          <w:rFonts w:cs="Arial"/>
          <w:szCs w:val="22"/>
        </w:rPr>
        <w:t>007/435/2015</w:t>
      </w:r>
    </w:p>
    <w:p w:rsidR="00364CC6" w:rsidRPr="00364CC6" w:rsidRDefault="00364CC6" w:rsidP="00364CC6">
      <w:pPr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Ljubljana, </w:t>
      </w:r>
    </w:p>
    <w:p w:rsidR="00364CC6" w:rsidRPr="00364CC6" w:rsidRDefault="00BA22B8" w:rsidP="00364C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1E5470">
        <w:rPr>
          <w:rFonts w:cs="Arial"/>
          <w:iCs/>
          <w:szCs w:val="20"/>
          <w:lang w:eastAsia="sl-SI"/>
        </w:rPr>
        <w:t xml:space="preserve">EVA </w:t>
      </w:r>
      <w:r w:rsidRPr="00A80BD2">
        <w:rPr>
          <w:iCs/>
        </w:rPr>
        <w:t>201</w:t>
      </w:r>
      <w:r>
        <w:rPr>
          <w:iCs/>
        </w:rPr>
        <w:t>5</w:t>
      </w:r>
      <w:r w:rsidRPr="00A80BD2">
        <w:rPr>
          <w:iCs/>
        </w:rPr>
        <w:t>-</w:t>
      </w:r>
      <w:r>
        <w:rPr>
          <w:iCs/>
        </w:rPr>
        <w:t>2550</w:t>
      </w:r>
      <w:r w:rsidRPr="00A80BD2">
        <w:rPr>
          <w:iCs/>
        </w:rPr>
        <w:t>-</w:t>
      </w:r>
      <w:r>
        <w:rPr>
          <w:iCs/>
        </w:rPr>
        <w:t>0029</w:t>
      </w:r>
    </w:p>
    <w:p w:rsidR="00364CC6" w:rsidRPr="00364CC6" w:rsidRDefault="00364CC6" w:rsidP="00364CC6">
      <w:pPr>
        <w:rPr>
          <w:rFonts w:cs="Arial"/>
          <w:szCs w:val="20"/>
        </w:rPr>
      </w:pPr>
    </w:p>
    <w:p w:rsidR="00364CC6" w:rsidRPr="00364CC6" w:rsidRDefault="00364CC6" w:rsidP="00364CC6">
      <w:pPr>
        <w:jc w:val="center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                                     </w:t>
      </w:r>
    </w:p>
    <w:p w:rsidR="00364CC6" w:rsidRPr="00364CC6" w:rsidRDefault="00364CC6" w:rsidP="00364CC6">
      <w:pPr>
        <w:ind w:left="4000"/>
        <w:jc w:val="center"/>
        <w:rPr>
          <w:rFonts w:cs="Arial"/>
          <w:szCs w:val="20"/>
        </w:rPr>
      </w:pPr>
      <w:r w:rsidRPr="00364CC6">
        <w:rPr>
          <w:rFonts w:cs="Arial"/>
          <w:szCs w:val="20"/>
        </w:rPr>
        <w:t>Vlada Republike Slovenije</w:t>
      </w:r>
    </w:p>
    <w:p w:rsidR="00364CC6" w:rsidRPr="00364CC6" w:rsidRDefault="00A84A78" w:rsidP="00364CC6">
      <w:pPr>
        <w:ind w:left="40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dr. </w:t>
      </w:r>
      <w:r w:rsidR="00364CC6" w:rsidRPr="00364CC6">
        <w:rPr>
          <w:rFonts w:cs="Arial"/>
          <w:szCs w:val="20"/>
        </w:rPr>
        <w:t>Miro</w:t>
      </w:r>
      <w:r>
        <w:rPr>
          <w:rFonts w:cs="Arial"/>
          <w:szCs w:val="20"/>
        </w:rPr>
        <w:t>slav</w:t>
      </w:r>
      <w:r w:rsidR="00364CC6" w:rsidRPr="00364CC6">
        <w:rPr>
          <w:rFonts w:cs="Arial"/>
          <w:szCs w:val="20"/>
        </w:rPr>
        <w:t xml:space="preserve"> Cerar, l.r.</w:t>
      </w:r>
    </w:p>
    <w:p w:rsidR="00364CC6" w:rsidRPr="00364CC6" w:rsidRDefault="00364CC6" w:rsidP="00364CC6">
      <w:pPr>
        <w:ind w:left="4000"/>
        <w:jc w:val="center"/>
        <w:rPr>
          <w:rFonts w:cs="Arial"/>
          <w:szCs w:val="20"/>
        </w:rPr>
      </w:pPr>
      <w:r w:rsidRPr="00364CC6">
        <w:rPr>
          <w:rFonts w:cs="Arial"/>
          <w:szCs w:val="20"/>
        </w:rPr>
        <w:t>predsednik</w:t>
      </w:r>
      <w:r w:rsidRPr="00364CC6">
        <w:rPr>
          <w:rFonts w:cs="Arial"/>
          <w:szCs w:val="20"/>
        </w:rPr>
        <w:br/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Priloga 1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Določitev stroškov postopka za izdajo upravnih aktov za zaprti sistem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1</w:t>
      </w:r>
      <w:r w:rsidR="00586BCA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Stroški</w:t>
      </w:r>
      <w:r w:rsidRPr="00364CC6">
        <w:rPr>
          <w:rFonts w:cs="Arial"/>
          <w:b/>
          <w:szCs w:val="20"/>
        </w:rPr>
        <w:t xml:space="preserve"> </w:t>
      </w:r>
      <w:r w:rsidRPr="00364CC6">
        <w:rPr>
          <w:rFonts w:cs="Arial"/>
          <w:szCs w:val="20"/>
        </w:rPr>
        <w:t>postopka za izdajo upravnih aktov za zaprti sistem</w:t>
      </w:r>
      <w:r w:rsidRPr="00364CC6" w:rsidDel="004322C7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>se določijo na podlagi</w:t>
      </w:r>
      <w:r w:rsidR="00586BCA">
        <w:rPr>
          <w:rFonts w:cs="Arial"/>
          <w:szCs w:val="20"/>
        </w:rPr>
        <w:t xml:space="preserve"> naslednje enačbe</w:t>
      </w:r>
      <w:r w:rsidRPr="00364CC6">
        <w:rPr>
          <w:rFonts w:cs="Arial"/>
          <w:szCs w:val="20"/>
        </w:rPr>
        <w:t>: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  <w:vertAlign w:val="superscript"/>
        </w:rPr>
      </w:pPr>
      <w:r w:rsidRPr="00364CC6">
        <w:rPr>
          <w:rFonts w:cs="Arial"/>
          <w:szCs w:val="20"/>
        </w:rPr>
        <w:t xml:space="preserve">SPZS = </w:t>
      </w:r>
      <w:r w:rsidRPr="00364CC6">
        <w:rPr>
          <w:rFonts w:cs="Arial"/>
          <w:szCs w:val="20"/>
        </w:rPr>
        <w:sym w:font="Symbol" w:char="F0ED"/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SPS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 xml:space="preserve"> + </w:t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t>x</w:t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( SP + DN + SPR)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>*</w:t>
      </w:r>
      <w:r w:rsidR="007D5525" w:rsidRPr="00364CC6" w:rsidDel="007D5525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sym w:font="Symbol" w:char="F0FD"/>
      </w:r>
      <w:r w:rsidR="00586BCA">
        <w:rPr>
          <w:rFonts w:cs="Arial"/>
          <w:szCs w:val="20"/>
        </w:rPr>
        <w:t>, kjer so:</w:t>
      </w:r>
    </w:p>
    <w:p w:rsidR="00364CC6" w:rsidRPr="00E85FD5" w:rsidRDefault="00364CC6" w:rsidP="00364CC6">
      <w:pPr>
        <w:jc w:val="both"/>
        <w:rPr>
          <w:rFonts w:cs="Arial"/>
          <w:szCs w:val="20"/>
        </w:rPr>
      </w:pPr>
      <w:r w:rsidRPr="00E85FD5">
        <w:rPr>
          <w:rFonts w:cs="Arial"/>
          <w:szCs w:val="20"/>
        </w:rPr>
        <w:t xml:space="preserve"> </w:t>
      </w: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SPZS</w:t>
      </w:r>
      <w:r w:rsidR="00586BCA" w:rsidRPr="00E85FD5">
        <w:rPr>
          <w:rFonts w:ascii="Arial" w:hAnsi="Arial" w:cs="Arial"/>
          <w:sz w:val="20"/>
        </w:rPr>
        <w:t xml:space="preserve">: </w:t>
      </w:r>
      <w:r w:rsidRPr="00E85FD5">
        <w:rPr>
          <w:rFonts w:ascii="Arial" w:hAnsi="Arial" w:cs="Arial"/>
          <w:sz w:val="20"/>
        </w:rPr>
        <w:t>stroški postopka za izdajo upravnih aktov za zaprti sistem;</w:t>
      </w: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SPS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poročevalca in drugih strokovnjakov;</w:t>
      </w: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za prevoz;</w:t>
      </w: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DN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dnevnica;</w:t>
      </w: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SPR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prenočevanja;</w:t>
      </w:r>
    </w:p>
    <w:p w:rsidR="00E85FD5" w:rsidRPr="00E85FD5" w:rsidRDefault="00E85FD5" w:rsidP="00E85FD5">
      <w:pPr>
        <w:pStyle w:val="Odstavekseznama"/>
        <w:ind w:left="1440"/>
        <w:rPr>
          <w:rFonts w:ascii="Arial" w:hAnsi="Arial" w:cs="Arial"/>
          <w:sz w:val="20"/>
        </w:rPr>
      </w:pP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sym w:font="Symbol" w:char="F053"/>
      </w:r>
      <w:r w:rsidRPr="00E85FD5">
        <w:rPr>
          <w:rFonts w:ascii="Arial" w:hAnsi="Arial" w:cs="Arial"/>
          <w:sz w:val="20"/>
          <w:vertAlign w:val="subscript"/>
        </w:rPr>
        <w:t>(i=1…..n)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vsota glede na število določenih poročevalcev in drugih strokovnjakov ali število stroškov za prevoz, prenočevanje, dnevnic ali število javnih naznanil in javnih obravnav;</w:t>
      </w:r>
    </w:p>
    <w:p w:rsidR="00364CC6" w:rsidRPr="00E85FD5" w:rsidRDefault="00364CC6" w:rsidP="0017268C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n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število poročevalcev in drugih strokovnjakov</w:t>
      </w:r>
      <w:r w:rsidR="00586BCA" w:rsidRPr="00E85FD5">
        <w:rPr>
          <w:rFonts w:ascii="Arial" w:hAnsi="Arial" w:cs="Arial"/>
          <w:sz w:val="20"/>
        </w:rPr>
        <w:t>;</w:t>
      </w:r>
      <w:r w:rsidRPr="00E85FD5">
        <w:rPr>
          <w:rFonts w:ascii="Arial" w:hAnsi="Arial" w:cs="Arial"/>
          <w:sz w:val="20"/>
        </w:rPr>
        <w:t xml:space="preserve"> </w:t>
      </w:r>
    </w:p>
    <w:p w:rsidR="00364CC6" w:rsidRPr="00E85FD5" w:rsidRDefault="00364CC6" w:rsidP="00E85FD5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x</w:t>
      </w:r>
      <w:r w:rsidR="00586BCA" w:rsidRPr="00E85FD5">
        <w:rPr>
          <w:rFonts w:ascii="Arial" w:hAnsi="Arial" w:cs="Arial"/>
          <w:sz w:val="20"/>
        </w:rPr>
        <w:t>:</w:t>
      </w:r>
      <w:r w:rsidR="0079362D">
        <w:rPr>
          <w:rFonts w:ascii="Arial" w:hAnsi="Arial" w:cs="Arial"/>
          <w:sz w:val="20"/>
        </w:rPr>
        <w:t xml:space="preserve"> </w:t>
      </w:r>
      <w:r w:rsidRPr="00E85FD5">
        <w:rPr>
          <w:rFonts w:ascii="Arial" w:hAnsi="Arial" w:cs="Arial"/>
          <w:sz w:val="20"/>
        </w:rPr>
        <w:t>število ogledov ali poročanj za zaprti sistem;</w:t>
      </w:r>
    </w:p>
    <w:p w:rsidR="00364CC6" w:rsidRPr="00E85FD5" w:rsidRDefault="00364CC6" w:rsidP="00E85FD5">
      <w:pPr>
        <w:pStyle w:val="Odstavekseznama"/>
        <w:numPr>
          <w:ilvl w:val="1"/>
          <w:numId w:val="10"/>
        </w:numPr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*</w:t>
      </w:r>
      <w:r w:rsidR="00586BCA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člen </w:t>
      </w:r>
      <w:r w:rsidR="0017268C" w:rsidRPr="00E85FD5">
        <w:rPr>
          <w:rFonts w:ascii="Arial" w:hAnsi="Arial" w:cs="Arial"/>
          <w:sz w:val="20"/>
        </w:rPr>
        <w:t xml:space="preserve">enačbe </w:t>
      </w:r>
      <w:r w:rsidRPr="00E85FD5">
        <w:rPr>
          <w:rFonts w:ascii="Arial" w:hAnsi="Arial" w:cs="Arial"/>
          <w:sz w:val="20"/>
        </w:rPr>
        <w:t>se pri izračunu stroškov uporablja samo, če so v postopku nastali izdatki zaradi ogleda ali poročanja za zaprti sistem;</w:t>
      </w:r>
    </w:p>
    <w:p w:rsidR="00364CC6" w:rsidRPr="00E85FD5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2</w:t>
      </w:r>
      <w:r w:rsidR="00586BCA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Pri izračunu stroškov iz prejšnje </w:t>
      </w:r>
      <w:r w:rsidR="00586BCA">
        <w:rPr>
          <w:rFonts w:cs="Arial"/>
          <w:szCs w:val="20"/>
        </w:rPr>
        <w:t>točke</w:t>
      </w:r>
      <w:r w:rsidRPr="00364CC6">
        <w:rPr>
          <w:rFonts w:cs="Arial"/>
          <w:szCs w:val="20"/>
        </w:rPr>
        <w:t xml:space="preserve"> se upoštevajo </w:t>
      </w:r>
      <w:r w:rsidR="00586BCA">
        <w:rPr>
          <w:rFonts w:cs="Arial"/>
          <w:szCs w:val="20"/>
        </w:rPr>
        <w:t xml:space="preserve">le </w:t>
      </w:r>
      <w:r w:rsidRPr="00364CC6">
        <w:rPr>
          <w:rFonts w:cs="Arial"/>
          <w:szCs w:val="20"/>
        </w:rPr>
        <w:t xml:space="preserve">tisti členi </w:t>
      </w:r>
      <w:r w:rsidR="0017268C">
        <w:rPr>
          <w:rFonts w:cs="Arial"/>
          <w:szCs w:val="20"/>
        </w:rPr>
        <w:t>enačbe</w:t>
      </w:r>
      <w:r w:rsidR="00BB37AC" w:rsidRPr="001B2EE1">
        <w:rPr>
          <w:rFonts w:cs="Arial"/>
          <w:szCs w:val="20"/>
        </w:rPr>
        <w:t>,</w:t>
      </w:r>
      <w:r w:rsidRPr="00364CC6">
        <w:rPr>
          <w:rFonts w:cs="Arial"/>
          <w:szCs w:val="20"/>
        </w:rPr>
        <w:t xml:space="preserve"> </w:t>
      </w:r>
      <w:r w:rsidR="00586BCA">
        <w:rPr>
          <w:rFonts w:cs="Arial"/>
          <w:szCs w:val="20"/>
        </w:rPr>
        <w:t>glede</w:t>
      </w:r>
      <w:r w:rsidRPr="00364CC6">
        <w:rPr>
          <w:rFonts w:cs="Arial"/>
          <w:szCs w:val="20"/>
        </w:rPr>
        <w:t xml:space="preserve"> katerih </w:t>
      </w:r>
      <w:r w:rsidR="00586BCA">
        <w:rPr>
          <w:rFonts w:cs="Arial"/>
          <w:szCs w:val="20"/>
        </w:rPr>
        <w:t xml:space="preserve">je ministrstvo </w:t>
      </w:r>
      <w:r w:rsidRPr="00364CC6">
        <w:rPr>
          <w:rFonts w:cs="Arial"/>
          <w:szCs w:val="20"/>
        </w:rPr>
        <w:t>imel</w:t>
      </w:r>
      <w:r w:rsidR="00586BCA">
        <w:rPr>
          <w:rFonts w:cs="Arial"/>
          <w:szCs w:val="20"/>
        </w:rPr>
        <w:t>o</w:t>
      </w:r>
      <w:r w:rsidRPr="00364CC6">
        <w:rPr>
          <w:rFonts w:cs="Arial"/>
          <w:szCs w:val="20"/>
        </w:rPr>
        <w:t xml:space="preserve"> izdatk</w:t>
      </w:r>
      <w:r w:rsidR="00586BCA">
        <w:rPr>
          <w:rFonts w:cs="Arial"/>
          <w:szCs w:val="20"/>
        </w:rPr>
        <w:t>e</w:t>
      </w:r>
      <w:r w:rsidRPr="00364CC6">
        <w:rPr>
          <w:rFonts w:cs="Arial"/>
          <w:szCs w:val="20"/>
        </w:rPr>
        <w:t>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Strošek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Prejemnik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Višina</w:t>
            </w:r>
          </w:p>
        </w:tc>
      </w:tr>
      <w:tr w:rsidR="00364CC6" w:rsidRPr="00364CC6" w:rsidTr="00AB6568">
        <w:tc>
          <w:tcPr>
            <w:tcW w:w="1901" w:type="dxa"/>
            <w:tcBorders>
              <w:bottom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  <w:tcBorders>
              <w:top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lastRenderedPageBreak/>
              <w:t xml:space="preserve">strošek za prevoz </w:t>
            </w:r>
          </w:p>
        </w:tc>
        <w:tc>
          <w:tcPr>
            <w:tcW w:w="2347" w:type="dxa"/>
          </w:tcPr>
          <w:p w:rsidR="00364CC6" w:rsidRPr="00364CC6" w:rsidRDefault="00364CC6" w:rsidP="00F3466D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  <w:r w:rsidR="00F36705">
              <w:rPr>
                <w:rFonts w:cs="Arial"/>
                <w:szCs w:val="20"/>
              </w:rPr>
              <w:t>oziroma drugi strokovnjak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BB37AC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kilometrine je enaka  kilometrini, določeni s predpisom, ki ureja višino povračil</w:t>
            </w:r>
            <w:r w:rsidR="005153EE">
              <w:rPr>
                <w:rFonts w:cs="Arial"/>
                <w:szCs w:val="20"/>
              </w:rPr>
              <w:t>a stroškov in druge prejemke v javnem sektorju</w:t>
            </w:r>
            <w:r w:rsidR="00BB37AC" w:rsidRPr="001B2EE1">
              <w:rPr>
                <w:rFonts w:cs="Arial"/>
                <w:szCs w:val="20"/>
              </w:rPr>
              <w:t>,</w:t>
            </w:r>
            <w:r w:rsidR="007E30DB" w:rsidRPr="00364CC6">
              <w:rPr>
                <w:rFonts w:cs="Arial"/>
                <w:szCs w:val="20"/>
              </w:rPr>
              <w:t xml:space="preserve"> </w:t>
            </w:r>
            <w:r w:rsidRPr="00364CC6">
              <w:rPr>
                <w:rFonts w:cs="Arial"/>
                <w:szCs w:val="20"/>
              </w:rPr>
              <w:t>oziroma povračilo dejanskih stroškov prevoza na podlagi dokazil (vozovnica javnega prevoznega sredstva, račun o plačilu cestnine, račun za parkirnino in podobno).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dnevnica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464E6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dnevnice je enaka  dnevnici za službeno potovanje, določeni s  predpisom, ki ureja višino povračil</w:t>
            </w:r>
            <w:r w:rsidR="005464E6">
              <w:rPr>
                <w:rFonts w:cs="Arial"/>
                <w:szCs w:val="20"/>
              </w:rPr>
              <w:t>a</w:t>
            </w:r>
            <w:r w:rsidRPr="00364CC6">
              <w:rPr>
                <w:rFonts w:cs="Arial"/>
                <w:szCs w:val="20"/>
              </w:rPr>
              <w:t xml:space="preserve"> </w:t>
            </w:r>
            <w:r w:rsidR="005464E6">
              <w:rPr>
                <w:rFonts w:cs="Arial"/>
                <w:szCs w:val="20"/>
              </w:rPr>
              <w:t>stroškov in d</w:t>
            </w:r>
            <w:r w:rsidR="00F3466D">
              <w:rPr>
                <w:rFonts w:cs="Arial"/>
                <w:szCs w:val="20"/>
              </w:rPr>
              <w:t>r</w:t>
            </w:r>
            <w:r w:rsidR="005464E6">
              <w:rPr>
                <w:rFonts w:cs="Arial"/>
                <w:szCs w:val="20"/>
              </w:rPr>
              <w:t>uge prejemke v javnem sektorju</w:t>
            </w:r>
            <w:r w:rsidRPr="00364CC6"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strošek prenočevanja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Povračilo za izdatek prenočevanja na podlagi dokazila (račun). 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40 ur</w:t>
            </w:r>
          </w:p>
        </w:tc>
        <w:tc>
          <w:tcPr>
            <w:tcW w:w="3600" w:type="dxa"/>
          </w:tcPr>
          <w:p w:rsidR="00364CC6" w:rsidRPr="00364CC6" w:rsidRDefault="00364CC6" w:rsidP="003D476C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Višina ure je enaka ceni raziskovalne ure </w:t>
            </w:r>
            <w:r w:rsidRPr="00364CC6">
              <w:rPr>
                <w:rFonts w:cs="Arial"/>
                <w:szCs w:val="20"/>
              </w:rPr>
              <w:sym w:font="Symbol" w:char="F05B"/>
            </w:r>
            <w:r w:rsidRPr="00364CC6">
              <w:rPr>
                <w:rFonts w:cs="Arial"/>
                <w:szCs w:val="20"/>
              </w:rPr>
              <w:t>brez plače</w:t>
            </w:r>
            <w:r w:rsidRPr="00364CC6">
              <w:rPr>
                <w:rFonts w:cs="Arial"/>
                <w:szCs w:val="20"/>
              </w:rPr>
              <w:sym w:font="Symbol" w:char="F05D"/>
            </w:r>
            <w:r w:rsidRPr="00364CC6">
              <w:rPr>
                <w:rFonts w:cs="Arial"/>
                <w:szCs w:val="20"/>
              </w:rPr>
              <w:t xml:space="preserve"> za kategorijo A kabinetnih raziskovalnih projektov, določeni s predpisom, ki ureja normative in standarde za določanje sredstev za izvajanje nacionalnega</w:t>
            </w:r>
            <w:r w:rsidR="003D476C">
              <w:rPr>
                <w:rFonts w:cs="Arial"/>
                <w:szCs w:val="20"/>
              </w:rPr>
              <w:t xml:space="preserve"> raziskovalnega</w:t>
            </w:r>
            <w:r w:rsidRPr="00364CC6">
              <w:rPr>
                <w:rFonts w:cs="Arial"/>
                <w:szCs w:val="20"/>
              </w:rPr>
              <w:t xml:space="preserve"> in razvojnega programa</w:t>
            </w:r>
            <w:r w:rsidR="002629CC">
              <w:rPr>
                <w:rFonts w:cs="Arial"/>
                <w:szCs w:val="20"/>
              </w:rPr>
              <w:t>.</w:t>
            </w:r>
          </w:p>
        </w:tc>
      </w:tr>
    </w:tbl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br w:type="page"/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lastRenderedPageBreak/>
        <w:t>Priloga 2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 xml:space="preserve">Določitev višine stroškov postopka za izdajo upravnih aktov  za delo z GSO 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1</w:t>
      </w:r>
      <w:r w:rsidR="001B10C7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Stroški postopka za izdajo upravnih aktov za delo z GSO se določi</w:t>
      </w:r>
      <w:r w:rsidR="00F41CCE">
        <w:rPr>
          <w:rFonts w:cs="Arial"/>
          <w:szCs w:val="20"/>
        </w:rPr>
        <w:t>jo</w:t>
      </w:r>
      <w:r w:rsidRPr="00364CC6">
        <w:rPr>
          <w:rFonts w:cs="Arial"/>
          <w:szCs w:val="20"/>
        </w:rPr>
        <w:t xml:space="preserve"> na podlagi </w:t>
      </w:r>
      <w:r w:rsidR="00F41CCE">
        <w:rPr>
          <w:rFonts w:cs="Arial"/>
          <w:szCs w:val="20"/>
        </w:rPr>
        <w:t>naslednje enačbe</w:t>
      </w:r>
      <w:r w:rsidRPr="00364CC6">
        <w:rPr>
          <w:rFonts w:cs="Arial"/>
          <w:szCs w:val="20"/>
        </w:rPr>
        <w:t>: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  <w:vertAlign w:val="superscript"/>
        </w:rPr>
      </w:pPr>
      <w:r w:rsidRPr="00364CC6">
        <w:rPr>
          <w:rFonts w:cs="Arial"/>
          <w:szCs w:val="20"/>
        </w:rPr>
        <w:t xml:space="preserve">SPD = </w:t>
      </w:r>
      <w:r w:rsidR="00F41CCE" w:rsidRPr="00364CC6">
        <w:rPr>
          <w:rFonts w:cs="Arial"/>
          <w:szCs w:val="20"/>
        </w:rPr>
        <w:sym w:font="Symbol" w:char="F0ED"/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SPS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 xml:space="preserve"> + x</w:t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( SP + DN + SPR)</w:t>
      </w:r>
      <w:r w:rsidRPr="00364CC6">
        <w:rPr>
          <w:rFonts w:cs="Arial"/>
          <w:szCs w:val="20"/>
        </w:rPr>
        <w:sym w:font="Symbol" w:char="F05D"/>
      </w:r>
      <w:r w:rsidRPr="00364CC6" w:rsidDel="00227BA3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 xml:space="preserve">* + </w:t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(i=1…n)</w:t>
      </w:r>
      <w:r w:rsidRPr="00364CC6">
        <w:rPr>
          <w:rFonts w:cs="Arial"/>
          <w:szCs w:val="20"/>
        </w:rPr>
        <w:t xml:space="preserve"> (JN + JO)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>**</w:t>
      </w:r>
      <w:r w:rsidR="00F41CCE" w:rsidRPr="00F41CCE">
        <w:rPr>
          <w:rFonts w:cs="Arial"/>
          <w:szCs w:val="20"/>
        </w:rPr>
        <w:t xml:space="preserve"> </w:t>
      </w:r>
      <w:r w:rsidR="00F41CCE" w:rsidRPr="00364CC6">
        <w:rPr>
          <w:rFonts w:cs="Arial"/>
          <w:szCs w:val="20"/>
        </w:rPr>
        <w:sym w:font="Symbol" w:char="F0FD"/>
      </w:r>
      <w:r w:rsidR="00F41CCE">
        <w:rPr>
          <w:rFonts w:cs="Arial"/>
          <w:szCs w:val="20"/>
        </w:rPr>
        <w:t>, kjer so:</w:t>
      </w:r>
      <w:r w:rsidRPr="00364CC6">
        <w:rPr>
          <w:rFonts w:cs="Arial"/>
          <w:szCs w:val="20"/>
        </w:rPr>
        <w:t xml:space="preserve"> 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 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SPD</w:t>
      </w:r>
      <w:r w:rsidR="00E85FD5" w:rsidRPr="00E85FD5">
        <w:rPr>
          <w:rFonts w:ascii="Arial" w:hAnsi="Arial" w:cs="Arial"/>
          <w:sz w:val="20"/>
        </w:rPr>
        <w:t xml:space="preserve">: </w:t>
      </w:r>
      <w:r w:rsidRPr="00E85FD5">
        <w:rPr>
          <w:rFonts w:ascii="Arial" w:hAnsi="Arial" w:cs="Arial"/>
          <w:sz w:val="20"/>
        </w:rPr>
        <w:t>stroški postopka za izdajo upravnih aktov za delo z GSO;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SPS</w:t>
      </w:r>
      <w:r w:rsidR="00E85FD5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poročevalca in drugih strokovnjakov;</w:t>
      </w:r>
    </w:p>
    <w:p w:rsidR="00364CC6" w:rsidRPr="00E85FD5" w:rsidRDefault="00E85FD5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SP:</w:t>
      </w:r>
      <w:r w:rsidR="00364CC6" w:rsidRPr="00E85FD5">
        <w:rPr>
          <w:rFonts w:ascii="Arial" w:hAnsi="Arial" w:cs="Arial"/>
          <w:sz w:val="20"/>
        </w:rPr>
        <w:t xml:space="preserve"> strošek za prevoz;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DN</w:t>
      </w:r>
      <w:r w:rsidR="00E85FD5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dnevnica;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SPR</w:t>
      </w:r>
      <w:r w:rsidR="00E85FD5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prenočevanja;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JN</w:t>
      </w:r>
      <w:r w:rsidR="00E85FD5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javnega naznanila;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JO</w:t>
      </w:r>
      <w:r w:rsidR="00E85FD5" w:rsidRP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strošek javne obravnave;</w:t>
      </w:r>
    </w:p>
    <w:p w:rsidR="00364CC6" w:rsidRPr="00E85FD5" w:rsidRDefault="00364CC6" w:rsidP="00364CC6">
      <w:pPr>
        <w:jc w:val="both"/>
        <w:rPr>
          <w:rFonts w:cs="Arial"/>
          <w:szCs w:val="20"/>
        </w:rPr>
      </w:pP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sym w:font="Symbol" w:char="F053"/>
      </w:r>
      <w:r w:rsidRPr="00E85FD5">
        <w:rPr>
          <w:rFonts w:ascii="Arial" w:hAnsi="Arial" w:cs="Arial"/>
          <w:sz w:val="20"/>
          <w:vertAlign w:val="subscript"/>
        </w:rPr>
        <w:t>(i=1…..n)</w:t>
      </w:r>
      <w:r w:rsidR="00E85FD5">
        <w:rPr>
          <w:rFonts w:ascii="Arial" w:hAnsi="Arial" w:cs="Arial"/>
          <w:sz w:val="20"/>
        </w:rPr>
        <w:t xml:space="preserve">: </w:t>
      </w:r>
      <w:r w:rsidRPr="00E85FD5">
        <w:rPr>
          <w:rFonts w:ascii="Arial" w:hAnsi="Arial" w:cs="Arial"/>
          <w:sz w:val="20"/>
        </w:rPr>
        <w:t>vsota, glede na število določenih poročevalcev  in drugih strokovnjakov ali število stroškov za prevoz, prenočevanje, dnevnic ali število javnih naznanil in javnih obravnav;</w:t>
      </w:r>
    </w:p>
    <w:p w:rsidR="00E85FD5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n</w:t>
      </w:r>
      <w:r w:rsid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število poročevalcev in drugih strokovnjakov; 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x</w:t>
      </w:r>
      <w:r w:rsid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število ogledov ali poročanj o delu z GSO;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*</w:t>
      </w:r>
      <w:r w:rsid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člen </w:t>
      </w:r>
      <w:r w:rsidR="00E85FD5">
        <w:rPr>
          <w:rFonts w:ascii="Arial" w:hAnsi="Arial" w:cs="Arial"/>
          <w:sz w:val="20"/>
        </w:rPr>
        <w:t>enačbe</w:t>
      </w:r>
      <w:r w:rsidRPr="00E85FD5">
        <w:rPr>
          <w:rFonts w:ascii="Arial" w:hAnsi="Arial" w:cs="Arial"/>
          <w:sz w:val="20"/>
        </w:rPr>
        <w:t xml:space="preserve"> se pri izračunu stroškov uporablja samo, če so v postopku nastali izdatki zaradi ogleda ali poročanj o delu z GSO;</w:t>
      </w:r>
    </w:p>
    <w:p w:rsidR="00364CC6" w:rsidRPr="00E85FD5" w:rsidRDefault="00364CC6" w:rsidP="00E85FD5">
      <w:pPr>
        <w:pStyle w:val="Odstavekseznama"/>
        <w:numPr>
          <w:ilvl w:val="0"/>
          <w:numId w:val="18"/>
        </w:numPr>
        <w:ind w:left="1418"/>
        <w:rPr>
          <w:rFonts w:ascii="Arial" w:hAnsi="Arial" w:cs="Arial"/>
          <w:sz w:val="20"/>
        </w:rPr>
      </w:pPr>
      <w:r w:rsidRPr="00E85FD5">
        <w:rPr>
          <w:rFonts w:ascii="Arial" w:hAnsi="Arial" w:cs="Arial"/>
          <w:sz w:val="20"/>
        </w:rPr>
        <w:t>**</w:t>
      </w:r>
      <w:r w:rsidR="00E85FD5">
        <w:rPr>
          <w:rFonts w:ascii="Arial" w:hAnsi="Arial" w:cs="Arial"/>
          <w:sz w:val="20"/>
        </w:rPr>
        <w:t>:</w:t>
      </w:r>
      <w:r w:rsidRPr="00E85FD5">
        <w:rPr>
          <w:rFonts w:ascii="Arial" w:hAnsi="Arial" w:cs="Arial"/>
          <w:sz w:val="20"/>
        </w:rPr>
        <w:t xml:space="preserve"> člen </w:t>
      </w:r>
      <w:r w:rsidR="00E85FD5">
        <w:rPr>
          <w:rFonts w:ascii="Arial" w:hAnsi="Arial" w:cs="Arial"/>
          <w:sz w:val="20"/>
        </w:rPr>
        <w:t>enačbe</w:t>
      </w:r>
      <w:r w:rsidRPr="00E85FD5">
        <w:rPr>
          <w:rFonts w:ascii="Arial" w:hAnsi="Arial" w:cs="Arial"/>
          <w:sz w:val="20"/>
        </w:rPr>
        <w:t xml:space="preserve"> se pri izračunu stroškov uporablja samo, če so v postopku nastali izdatki objave javnega naznanila ali izvedbe javne obravnave</w:t>
      </w:r>
      <w:r w:rsidR="007D5525" w:rsidRPr="00E85FD5">
        <w:rPr>
          <w:rFonts w:ascii="Arial" w:hAnsi="Arial" w:cs="Arial"/>
          <w:sz w:val="20"/>
        </w:rPr>
        <w:t>.</w:t>
      </w:r>
      <w:r w:rsidRPr="00E85FD5">
        <w:rPr>
          <w:rFonts w:ascii="Arial" w:hAnsi="Arial" w:cs="Arial"/>
          <w:sz w:val="20"/>
        </w:rPr>
        <w:t xml:space="preserve"> </w:t>
      </w:r>
    </w:p>
    <w:p w:rsidR="00364CC6" w:rsidRPr="00364CC6" w:rsidRDefault="00364CC6" w:rsidP="00E85FD5">
      <w:pPr>
        <w:ind w:left="1418"/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2</w:t>
      </w:r>
      <w:r w:rsidR="0079362D">
        <w:rPr>
          <w:rFonts w:cs="Arial"/>
          <w:szCs w:val="20"/>
        </w:rPr>
        <w:t>.</w:t>
      </w:r>
      <w:r w:rsidR="0079362D" w:rsidRPr="0079362D">
        <w:rPr>
          <w:rFonts w:cs="Arial"/>
          <w:szCs w:val="20"/>
        </w:rPr>
        <w:t xml:space="preserve"> </w:t>
      </w:r>
      <w:r w:rsidR="0079362D" w:rsidRPr="00364CC6">
        <w:rPr>
          <w:rFonts w:cs="Arial"/>
          <w:szCs w:val="20"/>
        </w:rPr>
        <w:t xml:space="preserve">Pri izračunu stroškov iz prejšnje </w:t>
      </w:r>
      <w:r w:rsidR="0079362D">
        <w:rPr>
          <w:rFonts w:cs="Arial"/>
          <w:szCs w:val="20"/>
        </w:rPr>
        <w:t>točke</w:t>
      </w:r>
      <w:r w:rsidR="0079362D" w:rsidRPr="00364CC6">
        <w:rPr>
          <w:rFonts w:cs="Arial"/>
          <w:szCs w:val="20"/>
        </w:rPr>
        <w:t xml:space="preserve"> se upoštevajo </w:t>
      </w:r>
      <w:r w:rsidR="0079362D">
        <w:rPr>
          <w:rFonts w:cs="Arial"/>
          <w:szCs w:val="20"/>
        </w:rPr>
        <w:t xml:space="preserve">le </w:t>
      </w:r>
      <w:r w:rsidR="0079362D" w:rsidRPr="00364CC6">
        <w:rPr>
          <w:rFonts w:cs="Arial"/>
          <w:szCs w:val="20"/>
        </w:rPr>
        <w:t xml:space="preserve">tisti členi </w:t>
      </w:r>
      <w:r w:rsidR="0079362D">
        <w:rPr>
          <w:rFonts w:cs="Arial"/>
          <w:szCs w:val="20"/>
        </w:rPr>
        <w:t>enačbe</w:t>
      </w:r>
      <w:r w:rsidR="00BB37AC" w:rsidRPr="001B2EE1">
        <w:rPr>
          <w:rFonts w:cs="Arial"/>
          <w:szCs w:val="20"/>
        </w:rPr>
        <w:t>,</w:t>
      </w:r>
      <w:r w:rsidR="0079362D" w:rsidRPr="00364CC6">
        <w:rPr>
          <w:rFonts w:cs="Arial"/>
          <w:szCs w:val="20"/>
        </w:rPr>
        <w:t xml:space="preserve"> </w:t>
      </w:r>
      <w:r w:rsidR="0079362D">
        <w:rPr>
          <w:rFonts w:cs="Arial"/>
          <w:szCs w:val="20"/>
        </w:rPr>
        <w:t>glede</w:t>
      </w:r>
      <w:r w:rsidR="0079362D" w:rsidRPr="00364CC6">
        <w:rPr>
          <w:rFonts w:cs="Arial"/>
          <w:szCs w:val="20"/>
        </w:rPr>
        <w:t xml:space="preserve"> katerih </w:t>
      </w:r>
      <w:r w:rsidR="0079362D">
        <w:rPr>
          <w:rFonts w:cs="Arial"/>
          <w:szCs w:val="20"/>
        </w:rPr>
        <w:t xml:space="preserve">je ministrstvo </w:t>
      </w:r>
      <w:r w:rsidR="0079362D" w:rsidRPr="00364CC6">
        <w:rPr>
          <w:rFonts w:cs="Arial"/>
          <w:szCs w:val="20"/>
        </w:rPr>
        <w:t>imel</w:t>
      </w:r>
      <w:r w:rsidR="0079362D">
        <w:rPr>
          <w:rFonts w:cs="Arial"/>
          <w:szCs w:val="20"/>
        </w:rPr>
        <w:t>o</w:t>
      </w:r>
      <w:r w:rsidR="0079362D" w:rsidRPr="00364CC6">
        <w:rPr>
          <w:rFonts w:cs="Arial"/>
          <w:szCs w:val="20"/>
        </w:rPr>
        <w:t xml:space="preserve"> izdatk</w:t>
      </w:r>
      <w:r w:rsidR="0079362D">
        <w:rPr>
          <w:rFonts w:cs="Arial"/>
          <w:szCs w:val="20"/>
        </w:rPr>
        <w:t>e</w:t>
      </w:r>
      <w:r w:rsidR="0079362D" w:rsidRPr="00364CC6">
        <w:rPr>
          <w:rFonts w:cs="Arial"/>
          <w:szCs w:val="20"/>
        </w:rPr>
        <w:t>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3</w:t>
      </w:r>
      <w:r w:rsidR="0079362D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Javno naznanilo vključuje izdatke objave v sredstvih javnega obveščanja.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4</w:t>
      </w:r>
      <w:r w:rsidR="0079362D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Javna obravnava vključuje izdatke izvedbe javne obravnave.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Strošek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Prejemnik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Višina</w:t>
            </w:r>
          </w:p>
        </w:tc>
      </w:tr>
      <w:tr w:rsidR="00364CC6" w:rsidRPr="00364CC6" w:rsidTr="00AB6568">
        <w:tc>
          <w:tcPr>
            <w:tcW w:w="1901" w:type="dxa"/>
            <w:tcBorders>
              <w:bottom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  <w:tcBorders>
              <w:top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strošek za prevoz </w:t>
            </w:r>
          </w:p>
        </w:tc>
        <w:tc>
          <w:tcPr>
            <w:tcW w:w="2347" w:type="dxa"/>
          </w:tcPr>
          <w:p w:rsidR="00364CC6" w:rsidRPr="00364CC6" w:rsidRDefault="00364CC6" w:rsidP="00F648B2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član znanstvenega odbora oziroma namestnik oziroma poročevalec</w:t>
            </w:r>
            <w:r w:rsidR="007E30DB">
              <w:rPr>
                <w:rFonts w:cs="Arial"/>
                <w:szCs w:val="20"/>
              </w:rPr>
              <w:t xml:space="preserve"> oziroma drugi strokovnjak</w:t>
            </w:r>
            <w:r w:rsidRPr="00364CC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153EE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kilometrine je enaka kilometrini, določeni s predpisom, ki ureja višino povračil</w:t>
            </w:r>
            <w:r w:rsidR="005153EE">
              <w:rPr>
                <w:rFonts w:cs="Arial"/>
                <w:szCs w:val="20"/>
              </w:rPr>
              <w:t>a stroškov in druge prejemke v javnem</w:t>
            </w:r>
            <w:r w:rsidR="00F648B2">
              <w:rPr>
                <w:rFonts w:cs="Arial"/>
                <w:szCs w:val="20"/>
              </w:rPr>
              <w:t xml:space="preserve"> sektorju</w:t>
            </w:r>
            <w:r w:rsidR="005153EE">
              <w:rPr>
                <w:rFonts w:cs="Arial"/>
                <w:szCs w:val="20"/>
              </w:rPr>
              <w:t xml:space="preserve"> </w:t>
            </w:r>
            <w:r w:rsidRPr="00364CC6">
              <w:rPr>
                <w:rFonts w:cs="Arial"/>
                <w:szCs w:val="20"/>
              </w:rPr>
              <w:t>oziroma povračilo dejanskih stroškov prevoza na podlagi dokazil (vozovnica javnega prevoznega sredstva, račun o plačilu cestnine, račun za parkirnino in podobno).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dnevnica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153EE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dnevnice je enaka dnevnici za službeno potovanje, določeni s predpisom, ki ureja višino povračil</w:t>
            </w:r>
            <w:r w:rsidR="005153EE">
              <w:rPr>
                <w:rFonts w:cs="Arial"/>
                <w:szCs w:val="20"/>
              </w:rPr>
              <w:t>a stroškov in druge prejemke v javnem sektorju</w:t>
            </w:r>
            <w:r w:rsidRPr="00364CC6"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rPr>
          <w:trHeight w:val="1120"/>
        </w:trPr>
        <w:tc>
          <w:tcPr>
            <w:tcW w:w="1901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lastRenderedPageBreak/>
              <w:t>strošek prenočevanja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Povračilo za izdatke prenočevanja na podlagi dokazila (račun). 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poročevalec </w:t>
            </w:r>
          </w:p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II. varnostni razred</w:t>
            </w:r>
          </w:p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III. in IV. varnostni razred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120 </w:t>
            </w:r>
          </w:p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150</w:t>
            </w:r>
          </w:p>
        </w:tc>
        <w:tc>
          <w:tcPr>
            <w:tcW w:w="3600" w:type="dxa"/>
          </w:tcPr>
          <w:p w:rsidR="00364CC6" w:rsidRPr="00364CC6" w:rsidRDefault="002629CC" w:rsidP="002629CC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Višina ure je enaka ceni raziskovalne ure </w:t>
            </w:r>
            <w:r w:rsidRPr="00364CC6">
              <w:rPr>
                <w:rFonts w:cs="Arial"/>
                <w:szCs w:val="20"/>
              </w:rPr>
              <w:sym w:font="Symbol" w:char="F05B"/>
            </w:r>
            <w:r w:rsidRPr="00364CC6">
              <w:rPr>
                <w:rFonts w:cs="Arial"/>
                <w:szCs w:val="20"/>
              </w:rPr>
              <w:t>brez plače</w:t>
            </w:r>
            <w:r w:rsidRPr="00364CC6">
              <w:rPr>
                <w:rFonts w:cs="Arial"/>
                <w:szCs w:val="20"/>
              </w:rPr>
              <w:sym w:font="Symbol" w:char="F05D"/>
            </w:r>
            <w:r w:rsidRPr="00364CC6">
              <w:rPr>
                <w:rFonts w:cs="Arial"/>
                <w:szCs w:val="20"/>
              </w:rPr>
              <w:t xml:space="preserve"> za kategorijo A kabinetnih raziskovalnih projektov, določeni s predpisom, ki ureja normative in standarde za določanje sredstev za izvajanje nacionalnega</w:t>
            </w:r>
            <w:r>
              <w:rPr>
                <w:rFonts w:cs="Arial"/>
                <w:szCs w:val="20"/>
              </w:rPr>
              <w:t xml:space="preserve"> raziskovalnega</w:t>
            </w:r>
            <w:r w:rsidRPr="00364CC6">
              <w:rPr>
                <w:rFonts w:cs="Arial"/>
                <w:szCs w:val="20"/>
              </w:rPr>
              <w:t xml:space="preserve"> in razvojnega programa</w:t>
            </w:r>
            <w:r w:rsidR="00364CC6" w:rsidRPr="00364CC6"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javno naznanilo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Povračilo za izdatke objave v sredstvih javnega obveščanja (račun).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javna obravnava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Povračilo za izdatke izvedbe javne obravnave (račun).</w:t>
            </w:r>
          </w:p>
        </w:tc>
      </w:tr>
    </w:tbl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ind w:left="180"/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br w:type="page"/>
      </w:r>
      <w:r w:rsidRPr="00364CC6">
        <w:rPr>
          <w:rFonts w:cs="Arial"/>
          <w:szCs w:val="20"/>
        </w:rPr>
        <w:lastRenderedPageBreak/>
        <w:t>Priloga 3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Določitev višine stroškov postopka za izdajo upravnih aktov za namerno sproščanje GSO v okolje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1</w:t>
      </w:r>
      <w:r w:rsidR="00E85FD5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Stroški postopka za</w:t>
      </w:r>
      <w:r w:rsidRPr="00364CC6">
        <w:rPr>
          <w:rFonts w:cs="Arial"/>
          <w:b/>
          <w:szCs w:val="20"/>
        </w:rPr>
        <w:t xml:space="preserve"> </w:t>
      </w:r>
      <w:r w:rsidRPr="00364CC6">
        <w:rPr>
          <w:rFonts w:cs="Arial"/>
          <w:szCs w:val="20"/>
        </w:rPr>
        <w:t>izdajo upravnih aktov za namerno sproščanje GSO v okolje se določi</w:t>
      </w:r>
      <w:r w:rsidR="00E85FD5">
        <w:rPr>
          <w:rFonts w:cs="Arial"/>
          <w:szCs w:val="20"/>
        </w:rPr>
        <w:t>jo</w:t>
      </w:r>
      <w:r w:rsidRPr="00364CC6">
        <w:rPr>
          <w:rFonts w:cs="Arial"/>
          <w:szCs w:val="20"/>
        </w:rPr>
        <w:t xml:space="preserve"> na podlagi </w:t>
      </w:r>
      <w:r w:rsidR="00E85FD5">
        <w:rPr>
          <w:rFonts w:cs="Arial"/>
          <w:szCs w:val="20"/>
        </w:rPr>
        <w:t>naslednje enačbe</w:t>
      </w:r>
      <w:r w:rsidRPr="00364CC6">
        <w:rPr>
          <w:rFonts w:cs="Arial"/>
          <w:szCs w:val="20"/>
        </w:rPr>
        <w:t>: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  <w:vertAlign w:val="superscript"/>
        </w:rPr>
      </w:pPr>
      <w:r w:rsidRPr="00364CC6">
        <w:rPr>
          <w:rFonts w:cs="Arial"/>
          <w:szCs w:val="20"/>
        </w:rPr>
        <w:t xml:space="preserve">SSO = </w:t>
      </w:r>
      <w:r w:rsidR="00E85FD5" w:rsidRPr="00364CC6">
        <w:rPr>
          <w:rFonts w:cs="Arial"/>
          <w:szCs w:val="20"/>
        </w:rPr>
        <w:sym w:font="Symbol" w:char="F0ED"/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SPS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 xml:space="preserve"> + x</w:t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( SP + DN + SPR)</w:t>
      </w:r>
      <w:r w:rsidRPr="00364CC6">
        <w:rPr>
          <w:rFonts w:cs="Arial"/>
          <w:szCs w:val="20"/>
        </w:rPr>
        <w:sym w:font="Symbol" w:char="F05D"/>
      </w:r>
      <w:r w:rsidRPr="00364CC6" w:rsidDel="00227BA3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 xml:space="preserve">* + </w:t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(i=1…n)</w:t>
      </w:r>
      <w:r w:rsidRPr="00364CC6">
        <w:rPr>
          <w:rFonts w:cs="Arial"/>
          <w:szCs w:val="20"/>
        </w:rPr>
        <w:t xml:space="preserve"> (JN + JO)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>**</w:t>
      </w:r>
      <w:r w:rsidR="0079362D" w:rsidRPr="0079362D">
        <w:rPr>
          <w:rFonts w:cs="Arial"/>
          <w:szCs w:val="20"/>
        </w:rPr>
        <w:t xml:space="preserve"> </w:t>
      </w:r>
      <w:r w:rsidR="0079362D" w:rsidRPr="00364CC6">
        <w:rPr>
          <w:rFonts w:cs="Arial"/>
          <w:szCs w:val="20"/>
        </w:rPr>
        <w:sym w:font="Symbol" w:char="F0FD"/>
      </w:r>
      <w:r w:rsidR="0079362D">
        <w:rPr>
          <w:rFonts w:cs="Arial"/>
          <w:szCs w:val="20"/>
        </w:rPr>
        <w:t>, kjer so: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 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SSO</w:t>
      </w:r>
      <w:r w:rsidR="0079362D">
        <w:rPr>
          <w:rFonts w:ascii="Arial" w:hAnsi="Arial" w:cs="Arial"/>
          <w:sz w:val="20"/>
        </w:rPr>
        <w:t xml:space="preserve">: </w:t>
      </w:r>
      <w:r w:rsidRPr="0079362D">
        <w:rPr>
          <w:rFonts w:ascii="Arial" w:hAnsi="Arial" w:cs="Arial"/>
          <w:sz w:val="20"/>
        </w:rPr>
        <w:t>stroški postopka za izdajo upravnih aktov za namerno sproščanje GSO v okolje;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SPS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>strošek poročevalca in drugih strokovnjakov;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SP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 xml:space="preserve"> strošek za prevoz;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DN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 xml:space="preserve"> dnevnica;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SPR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 xml:space="preserve"> strošek prenočevanja;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JN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 xml:space="preserve"> strošek javnega naznanila;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JO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 xml:space="preserve"> strošek javne obravnave;</w:t>
      </w:r>
    </w:p>
    <w:p w:rsidR="00364CC6" w:rsidRPr="0079362D" w:rsidRDefault="00364CC6" w:rsidP="0079362D">
      <w:pPr>
        <w:ind w:left="1418"/>
        <w:jc w:val="both"/>
        <w:rPr>
          <w:rFonts w:cs="Arial"/>
          <w:szCs w:val="20"/>
        </w:rPr>
      </w:pP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sym w:font="Symbol" w:char="F053"/>
      </w:r>
      <w:r w:rsidRPr="0079362D">
        <w:rPr>
          <w:rFonts w:ascii="Arial" w:hAnsi="Arial" w:cs="Arial"/>
          <w:sz w:val="20"/>
          <w:vertAlign w:val="subscript"/>
        </w:rPr>
        <w:t>(i=1…..n)</w:t>
      </w:r>
      <w:r w:rsidR="0079362D">
        <w:rPr>
          <w:rFonts w:ascii="Arial" w:hAnsi="Arial" w:cs="Arial"/>
          <w:sz w:val="20"/>
        </w:rPr>
        <w:t xml:space="preserve">: </w:t>
      </w:r>
      <w:r w:rsidRPr="0079362D">
        <w:rPr>
          <w:rFonts w:ascii="Arial" w:hAnsi="Arial" w:cs="Arial"/>
          <w:sz w:val="20"/>
        </w:rPr>
        <w:t>vsota, glede na število določenih poročevalcev in drugih strokovnjakov ali število stroškov za prevoz, prenočevanje, dnevnic ali število javnih naznanil in javnih obravnav;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n</w:t>
      </w:r>
      <w:r w:rsidR="0079362D">
        <w:rPr>
          <w:rFonts w:ascii="Arial" w:hAnsi="Arial" w:cs="Arial"/>
          <w:sz w:val="20"/>
        </w:rPr>
        <w:t>:</w:t>
      </w:r>
      <w:r w:rsidRPr="0079362D">
        <w:rPr>
          <w:rFonts w:ascii="Arial" w:hAnsi="Arial" w:cs="Arial"/>
          <w:sz w:val="20"/>
        </w:rPr>
        <w:t xml:space="preserve"> število poročevalcev in drugih strokovnjakov;</w:t>
      </w:r>
    </w:p>
    <w:p w:rsidR="00364CC6" w:rsidRPr="0079362D" w:rsidRDefault="00364CC6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 w:rsidRPr="0079362D">
        <w:rPr>
          <w:rFonts w:ascii="Arial" w:hAnsi="Arial" w:cs="Arial"/>
          <w:sz w:val="20"/>
        </w:rPr>
        <w:t>x</w:t>
      </w:r>
      <w:r w:rsidR="0079362D">
        <w:rPr>
          <w:rFonts w:ascii="Arial" w:hAnsi="Arial" w:cs="Arial"/>
          <w:sz w:val="20"/>
        </w:rPr>
        <w:t xml:space="preserve">: </w:t>
      </w:r>
      <w:r w:rsidRPr="0079362D">
        <w:rPr>
          <w:rFonts w:ascii="Arial" w:hAnsi="Arial" w:cs="Arial"/>
          <w:sz w:val="20"/>
        </w:rPr>
        <w:t>število ogledov ali poročanj o sproščanju GSO v okolje;</w:t>
      </w:r>
    </w:p>
    <w:p w:rsidR="00364CC6" w:rsidRPr="0079362D" w:rsidRDefault="0079362D" w:rsidP="0079362D">
      <w:pPr>
        <w:pStyle w:val="Odstavekseznama"/>
        <w:numPr>
          <w:ilvl w:val="1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*: </w:t>
      </w:r>
      <w:r w:rsidR="00364CC6" w:rsidRPr="0079362D">
        <w:rPr>
          <w:rFonts w:ascii="Arial" w:hAnsi="Arial" w:cs="Arial"/>
          <w:sz w:val="20"/>
        </w:rPr>
        <w:t xml:space="preserve">člen </w:t>
      </w:r>
      <w:r>
        <w:rPr>
          <w:rFonts w:ascii="Arial" w:hAnsi="Arial" w:cs="Arial"/>
          <w:sz w:val="20"/>
        </w:rPr>
        <w:t>enačbe</w:t>
      </w:r>
      <w:r w:rsidR="00364CC6" w:rsidRPr="0079362D">
        <w:rPr>
          <w:rFonts w:ascii="Arial" w:hAnsi="Arial" w:cs="Arial"/>
          <w:sz w:val="20"/>
        </w:rPr>
        <w:t xml:space="preserve"> se pri izračunu stroškov uporablja samo, če so v postopku nastali izdatki zaradi ogleda ali poročanj o sproščanju GSO v okolje;</w:t>
      </w:r>
    </w:p>
    <w:p w:rsidR="00364CC6" w:rsidRPr="0079362D" w:rsidRDefault="0079362D" w:rsidP="0079362D">
      <w:pPr>
        <w:pStyle w:val="Odstavekseznama"/>
        <w:numPr>
          <w:ilvl w:val="0"/>
          <w:numId w:val="19"/>
        </w:numPr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:</w:t>
      </w:r>
      <w:r w:rsidR="00364CC6" w:rsidRPr="0079362D">
        <w:rPr>
          <w:rFonts w:ascii="Arial" w:hAnsi="Arial" w:cs="Arial"/>
          <w:sz w:val="20"/>
        </w:rPr>
        <w:t xml:space="preserve"> člen </w:t>
      </w:r>
      <w:r>
        <w:rPr>
          <w:rFonts w:ascii="Arial" w:hAnsi="Arial" w:cs="Arial"/>
          <w:sz w:val="20"/>
        </w:rPr>
        <w:t xml:space="preserve">enačbe </w:t>
      </w:r>
      <w:r w:rsidR="00364CC6" w:rsidRPr="0079362D">
        <w:rPr>
          <w:rFonts w:ascii="Arial" w:hAnsi="Arial" w:cs="Arial"/>
          <w:sz w:val="20"/>
        </w:rPr>
        <w:t>se pri izračunu stroškov uporablja samo, če so v postopku nastali izdatki objave javnega naznanila ali izvedbe javne obravnave.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2</w:t>
      </w:r>
      <w:r w:rsidR="0079362D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</w:t>
      </w:r>
      <w:r w:rsidR="0079362D" w:rsidRPr="00364CC6">
        <w:rPr>
          <w:rFonts w:cs="Arial"/>
          <w:szCs w:val="20"/>
        </w:rPr>
        <w:t xml:space="preserve">Pri izračunu stroškov iz prejšnje </w:t>
      </w:r>
      <w:r w:rsidR="0079362D">
        <w:rPr>
          <w:rFonts w:cs="Arial"/>
          <w:szCs w:val="20"/>
        </w:rPr>
        <w:t>točke</w:t>
      </w:r>
      <w:r w:rsidR="0079362D" w:rsidRPr="00364CC6">
        <w:rPr>
          <w:rFonts w:cs="Arial"/>
          <w:szCs w:val="20"/>
        </w:rPr>
        <w:t xml:space="preserve"> se upoštevajo </w:t>
      </w:r>
      <w:r w:rsidR="0079362D">
        <w:rPr>
          <w:rFonts w:cs="Arial"/>
          <w:szCs w:val="20"/>
        </w:rPr>
        <w:t xml:space="preserve">le </w:t>
      </w:r>
      <w:r w:rsidR="0079362D" w:rsidRPr="00364CC6">
        <w:rPr>
          <w:rFonts w:cs="Arial"/>
          <w:szCs w:val="20"/>
        </w:rPr>
        <w:t xml:space="preserve">tisti členi </w:t>
      </w:r>
      <w:r w:rsidR="0079362D">
        <w:rPr>
          <w:rFonts w:cs="Arial"/>
          <w:szCs w:val="20"/>
        </w:rPr>
        <w:t>enačbe</w:t>
      </w:r>
      <w:r w:rsidR="00BB37AC" w:rsidRPr="001B2EE1">
        <w:rPr>
          <w:rFonts w:cs="Arial"/>
          <w:szCs w:val="20"/>
        </w:rPr>
        <w:t>,</w:t>
      </w:r>
      <w:r w:rsidR="0079362D" w:rsidRPr="00364CC6">
        <w:rPr>
          <w:rFonts w:cs="Arial"/>
          <w:szCs w:val="20"/>
        </w:rPr>
        <w:t xml:space="preserve"> </w:t>
      </w:r>
      <w:r w:rsidR="0079362D">
        <w:rPr>
          <w:rFonts w:cs="Arial"/>
          <w:szCs w:val="20"/>
        </w:rPr>
        <w:t>glede</w:t>
      </w:r>
      <w:r w:rsidR="0079362D" w:rsidRPr="00364CC6">
        <w:rPr>
          <w:rFonts w:cs="Arial"/>
          <w:szCs w:val="20"/>
        </w:rPr>
        <w:t xml:space="preserve"> katerih </w:t>
      </w:r>
      <w:r w:rsidR="0079362D">
        <w:rPr>
          <w:rFonts w:cs="Arial"/>
          <w:szCs w:val="20"/>
        </w:rPr>
        <w:t xml:space="preserve">je ministrstvo </w:t>
      </w:r>
      <w:r w:rsidR="0079362D" w:rsidRPr="00364CC6">
        <w:rPr>
          <w:rFonts w:cs="Arial"/>
          <w:szCs w:val="20"/>
        </w:rPr>
        <w:t>imel</w:t>
      </w:r>
      <w:r w:rsidR="0079362D">
        <w:rPr>
          <w:rFonts w:cs="Arial"/>
          <w:szCs w:val="20"/>
        </w:rPr>
        <w:t>o</w:t>
      </w:r>
      <w:r w:rsidR="0079362D" w:rsidRPr="00364CC6">
        <w:rPr>
          <w:rFonts w:cs="Arial"/>
          <w:szCs w:val="20"/>
        </w:rPr>
        <w:t xml:space="preserve"> izdatk</w:t>
      </w:r>
      <w:r w:rsidR="0079362D">
        <w:rPr>
          <w:rFonts w:cs="Arial"/>
          <w:szCs w:val="20"/>
        </w:rPr>
        <w:t>e</w:t>
      </w:r>
      <w:r w:rsidR="0079362D" w:rsidRPr="00364CC6">
        <w:rPr>
          <w:rFonts w:cs="Arial"/>
          <w:szCs w:val="20"/>
        </w:rPr>
        <w:t>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3</w:t>
      </w:r>
      <w:r w:rsidR="0079362D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Javno naznanilo vključuje izdatke objave v sredstvih javnega obveščanja.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4</w:t>
      </w:r>
      <w:r w:rsidR="0079362D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Javna obravnava vključuje izdatke izvedbe javne obravnave.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Strošek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Prejemnik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Višina</w:t>
            </w:r>
          </w:p>
        </w:tc>
      </w:tr>
      <w:tr w:rsidR="00364CC6" w:rsidRPr="00364CC6" w:rsidTr="00AB6568">
        <w:tc>
          <w:tcPr>
            <w:tcW w:w="1901" w:type="dxa"/>
            <w:tcBorders>
              <w:bottom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  <w:tcBorders>
              <w:top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strošek za prevoz </w:t>
            </w:r>
          </w:p>
        </w:tc>
        <w:tc>
          <w:tcPr>
            <w:tcW w:w="2347" w:type="dxa"/>
          </w:tcPr>
          <w:p w:rsidR="00364CC6" w:rsidRPr="00364CC6" w:rsidRDefault="00364CC6" w:rsidP="005437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  <w:r w:rsidR="007E30DB">
              <w:rPr>
                <w:rFonts w:cs="Arial"/>
                <w:szCs w:val="20"/>
              </w:rPr>
              <w:t>oziroma drugi strokovnjak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153EE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kilometrine je enaka kilometrini, določeni s predpisom, ki ureja višino povračil</w:t>
            </w:r>
            <w:r w:rsidR="005153EE">
              <w:rPr>
                <w:rFonts w:cs="Arial"/>
                <w:szCs w:val="20"/>
              </w:rPr>
              <w:t>a stroškov in druge prejemke v javnem sektorju</w:t>
            </w:r>
            <w:r w:rsidR="007E30DB" w:rsidRPr="00364CC6">
              <w:rPr>
                <w:rFonts w:cs="Arial"/>
                <w:szCs w:val="20"/>
              </w:rPr>
              <w:t xml:space="preserve"> </w:t>
            </w:r>
            <w:r w:rsidRPr="00364CC6">
              <w:rPr>
                <w:rFonts w:cs="Arial"/>
                <w:szCs w:val="20"/>
              </w:rPr>
              <w:t>oziroma povračilo dejanskih stroškov prevoza na podlagi dokazil (vozovnica javnega prevoznega sredstva, račun o plačilu cestnine, račun za parkirnino in podobno).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dnevnica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153EE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dnevnice je enaka dnevnici za službeno potovanje, določeni s  predpisom, ki ureja višino povračil</w:t>
            </w:r>
            <w:r w:rsidR="005153EE">
              <w:rPr>
                <w:rFonts w:cs="Arial"/>
                <w:szCs w:val="20"/>
              </w:rPr>
              <w:t>a</w:t>
            </w:r>
            <w:r w:rsidR="005153EE" w:rsidRPr="00364CC6">
              <w:rPr>
                <w:rFonts w:cs="Arial"/>
                <w:szCs w:val="20"/>
              </w:rPr>
              <w:t xml:space="preserve"> </w:t>
            </w:r>
            <w:r w:rsidR="005153EE">
              <w:rPr>
                <w:rFonts w:cs="Arial"/>
                <w:szCs w:val="20"/>
              </w:rPr>
              <w:t xml:space="preserve">stroškov in druge prejemke v javnem </w:t>
            </w:r>
            <w:r w:rsidR="005153EE">
              <w:rPr>
                <w:rFonts w:cs="Arial"/>
                <w:szCs w:val="20"/>
              </w:rPr>
              <w:lastRenderedPageBreak/>
              <w:t>sektorju</w:t>
            </w:r>
            <w:r w:rsidRPr="00364CC6"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rPr>
          <w:trHeight w:val="1120"/>
        </w:trPr>
        <w:tc>
          <w:tcPr>
            <w:tcW w:w="1901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lastRenderedPageBreak/>
              <w:t>strošek prenočevanja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Povračilo za izdatek prenočevanja na podlagi dokazila (račun). 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poročevalec </w:t>
            </w:r>
          </w:p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150</w:t>
            </w:r>
          </w:p>
        </w:tc>
        <w:tc>
          <w:tcPr>
            <w:tcW w:w="3600" w:type="dxa"/>
          </w:tcPr>
          <w:p w:rsidR="00364CC6" w:rsidRPr="00364CC6" w:rsidRDefault="00FC24E5" w:rsidP="00FC24E5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Višina ure je enaka ceni raziskovalne ure </w:t>
            </w:r>
            <w:r w:rsidRPr="00364CC6">
              <w:rPr>
                <w:rFonts w:cs="Arial"/>
                <w:szCs w:val="20"/>
              </w:rPr>
              <w:sym w:font="Symbol" w:char="F05B"/>
            </w:r>
            <w:r w:rsidRPr="00364CC6">
              <w:rPr>
                <w:rFonts w:cs="Arial"/>
                <w:szCs w:val="20"/>
              </w:rPr>
              <w:t>brez plače</w:t>
            </w:r>
            <w:r w:rsidRPr="00364CC6">
              <w:rPr>
                <w:rFonts w:cs="Arial"/>
                <w:szCs w:val="20"/>
              </w:rPr>
              <w:sym w:font="Symbol" w:char="F05D"/>
            </w:r>
            <w:r w:rsidRPr="00364CC6">
              <w:rPr>
                <w:rFonts w:cs="Arial"/>
                <w:szCs w:val="20"/>
              </w:rPr>
              <w:t xml:space="preserve"> za kategorijo A kabinetnih raziskovalnih projektov, določeni s predpisom, ki ureja normative in standarde za določanje sredstev za izvajanje nacionalnega</w:t>
            </w:r>
            <w:r>
              <w:rPr>
                <w:rFonts w:cs="Arial"/>
                <w:szCs w:val="20"/>
              </w:rPr>
              <w:t xml:space="preserve"> raziskovalnega</w:t>
            </w:r>
            <w:r w:rsidRPr="00364CC6">
              <w:rPr>
                <w:rFonts w:cs="Arial"/>
                <w:szCs w:val="20"/>
              </w:rPr>
              <w:t xml:space="preserve"> in razvojnega programa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javno naznanilo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Povračilo za izdatke objave v sredstvih javnega obveščanja (račun).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javna obravnava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Povračilo za izdatke izvedbe javne obravnave (račun).</w:t>
            </w:r>
          </w:p>
        </w:tc>
      </w:tr>
    </w:tbl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br w:type="page"/>
      </w:r>
      <w:r w:rsidRPr="00364CC6">
        <w:rPr>
          <w:rFonts w:cs="Arial"/>
          <w:szCs w:val="20"/>
        </w:rPr>
        <w:lastRenderedPageBreak/>
        <w:t>Priloga 4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b/>
          <w:szCs w:val="20"/>
        </w:rPr>
      </w:pPr>
      <w:r w:rsidRPr="00364CC6">
        <w:rPr>
          <w:rFonts w:cs="Arial"/>
          <w:b/>
          <w:szCs w:val="20"/>
        </w:rPr>
        <w:t>Določitev višine stroškov postopka za izdajo upravnih aktov za dajanje izdelka na trg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1</w:t>
      </w:r>
      <w:r w:rsidR="0079362D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Stroški </w:t>
      </w:r>
      <w:r w:rsidR="0079362D">
        <w:rPr>
          <w:rFonts w:cs="Arial"/>
          <w:szCs w:val="20"/>
        </w:rPr>
        <w:t xml:space="preserve">postopka </w:t>
      </w:r>
      <w:r w:rsidRPr="00364CC6">
        <w:rPr>
          <w:rFonts w:cs="Arial"/>
          <w:szCs w:val="20"/>
        </w:rPr>
        <w:t xml:space="preserve">za izdajo upravnih aktov za dajanje izdelka na trg se določi na podlagi </w:t>
      </w:r>
      <w:r w:rsidR="00F65EE8">
        <w:rPr>
          <w:rFonts w:cs="Arial"/>
          <w:szCs w:val="20"/>
        </w:rPr>
        <w:t>naslednje enačbe</w:t>
      </w:r>
      <w:r w:rsidRPr="00364CC6">
        <w:rPr>
          <w:rFonts w:cs="Arial"/>
          <w:szCs w:val="20"/>
        </w:rPr>
        <w:t>: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  <w:vertAlign w:val="superscript"/>
        </w:rPr>
      </w:pPr>
      <w:r w:rsidRPr="00364CC6">
        <w:rPr>
          <w:rFonts w:cs="Arial"/>
          <w:szCs w:val="20"/>
        </w:rPr>
        <w:t xml:space="preserve">SDT = </w:t>
      </w:r>
      <w:r w:rsidR="00F65EE8" w:rsidRPr="00364CC6">
        <w:rPr>
          <w:rFonts w:cs="Arial"/>
          <w:szCs w:val="20"/>
        </w:rPr>
        <w:sym w:font="Symbol" w:char="F0ED"/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SPS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 xml:space="preserve"> + x</w:t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(i=1…..n)</w:t>
      </w:r>
      <w:r w:rsidRPr="00364CC6">
        <w:rPr>
          <w:rFonts w:cs="Arial"/>
          <w:szCs w:val="20"/>
        </w:rPr>
        <w:t>( SP + DN + SPR)</w:t>
      </w:r>
      <w:r w:rsidRPr="00364CC6">
        <w:rPr>
          <w:rFonts w:cs="Arial"/>
          <w:szCs w:val="20"/>
        </w:rPr>
        <w:sym w:font="Symbol" w:char="F05D"/>
      </w:r>
      <w:r w:rsidRPr="00364CC6" w:rsidDel="00227BA3">
        <w:rPr>
          <w:rFonts w:cs="Arial"/>
          <w:szCs w:val="20"/>
        </w:rPr>
        <w:t xml:space="preserve"> </w:t>
      </w:r>
      <w:r w:rsidRPr="00364CC6">
        <w:rPr>
          <w:rFonts w:cs="Arial"/>
          <w:szCs w:val="20"/>
        </w:rPr>
        <w:t xml:space="preserve">* + </w:t>
      </w:r>
      <w:r w:rsidRPr="00364CC6">
        <w:rPr>
          <w:rFonts w:cs="Arial"/>
          <w:szCs w:val="20"/>
        </w:rPr>
        <w:sym w:font="Symbol" w:char="F05B"/>
      </w:r>
      <w:r w:rsidRPr="00364CC6">
        <w:rPr>
          <w:rFonts w:cs="Arial"/>
          <w:szCs w:val="20"/>
        </w:rPr>
        <w:sym w:font="Symbol" w:char="F053"/>
      </w:r>
      <w:r w:rsidRPr="00364CC6">
        <w:rPr>
          <w:rFonts w:cs="Arial"/>
          <w:szCs w:val="20"/>
          <w:vertAlign w:val="subscript"/>
        </w:rPr>
        <w:t>(i=1…n)</w:t>
      </w:r>
      <w:r w:rsidRPr="00364CC6">
        <w:rPr>
          <w:rFonts w:cs="Arial"/>
          <w:szCs w:val="20"/>
        </w:rPr>
        <w:t xml:space="preserve"> (JN + JO)</w:t>
      </w:r>
      <w:r w:rsidRPr="00364CC6">
        <w:rPr>
          <w:rFonts w:cs="Arial"/>
          <w:szCs w:val="20"/>
        </w:rPr>
        <w:sym w:font="Symbol" w:char="F05D"/>
      </w:r>
      <w:r w:rsidRPr="00364CC6">
        <w:rPr>
          <w:rFonts w:cs="Arial"/>
          <w:szCs w:val="20"/>
        </w:rPr>
        <w:t>**</w:t>
      </w:r>
      <w:r w:rsidR="00F65EE8" w:rsidRPr="00F65EE8">
        <w:rPr>
          <w:rFonts w:cs="Arial"/>
          <w:szCs w:val="20"/>
        </w:rPr>
        <w:t xml:space="preserve"> </w:t>
      </w:r>
      <w:r w:rsidR="00F65EE8" w:rsidRPr="00364CC6">
        <w:rPr>
          <w:rFonts w:cs="Arial"/>
          <w:szCs w:val="20"/>
        </w:rPr>
        <w:sym w:font="Symbol" w:char="F0FD"/>
      </w:r>
      <w:r w:rsidR="00F65EE8">
        <w:rPr>
          <w:rFonts w:cs="Arial"/>
          <w:szCs w:val="20"/>
        </w:rPr>
        <w:t>, kjer so: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 xml:space="preserve"> 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SDT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stroški postopka za izdajo upravnih aktov za dajanje izdelka na trg;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SPS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strošek poročevalca in drugih strokovnjakov;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SP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strošek za prevoz;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DN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dnevnica;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SPR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strošek prenočevanja;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JN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strošek javnega naznanila;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JO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strošek javne obravnave;</w:t>
      </w:r>
    </w:p>
    <w:p w:rsidR="00364CC6" w:rsidRPr="00F65EE8" w:rsidRDefault="00364CC6" w:rsidP="00364CC6">
      <w:pPr>
        <w:jc w:val="both"/>
        <w:rPr>
          <w:rFonts w:cs="Arial"/>
          <w:szCs w:val="20"/>
        </w:rPr>
      </w:pP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sym w:font="Symbol" w:char="F053"/>
      </w:r>
      <w:r w:rsidRPr="00F65EE8">
        <w:rPr>
          <w:rFonts w:ascii="Arial" w:hAnsi="Arial" w:cs="Arial"/>
          <w:sz w:val="20"/>
          <w:vertAlign w:val="subscript"/>
        </w:rPr>
        <w:t>(i=1…..n)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vsota, glede na število določenih poročevalcev in drugih strokovnjakov ali število stroškov za prevoz, prenočevanje, dnevnic ali število javnih naznanil in javnih obravnav;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n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število poročevalcev in drugih strokovnjakov;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x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število poročanj za dajanje izdelka na trg;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*</w:t>
      </w:r>
      <w:r w:rsidR="00F65EE8">
        <w:rPr>
          <w:rFonts w:ascii="Arial" w:hAnsi="Arial" w:cs="Arial"/>
          <w:sz w:val="20"/>
        </w:rPr>
        <w:t>:</w:t>
      </w:r>
      <w:r w:rsidRPr="00F65EE8">
        <w:rPr>
          <w:rFonts w:ascii="Arial" w:hAnsi="Arial" w:cs="Arial"/>
          <w:sz w:val="20"/>
        </w:rPr>
        <w:t xml:space="preserve"> člen </w:t>
      </w:r>
      <w:r w:rsidR="00F65EE8">
        <w:rPr>
          <w:rFonts w:ascii="Arial" w:hAnsi="Arial" w:cs="Arial"/>
          <w:sz w:val="20"/>
        </w:rPr>
        <w:t>enačbe</w:t>
      </w:r>
      <w:r w:rsidRPr="00F65EE8">
        <w:rPr>
          <w:rFonts w:ascii="Arial" w:hAnsi="Arial" w:cs="Arial"/>
          <w:sz w:val="20"/>
        </w:rPr>
        <w:t xml:space="preserve"> se pri izračunu stroškov uporablja samo, če so v postopku nastali izdatki zaradi poročanj o dajanju izdelka na trg;</w:t>
      </w:r>
    </w:p>
    <w:p w:rsidR="00364CC6" w:rsidRPr="00F65EE8" w:rsidRDefault="00364CC6" w:rsidP="00F65EE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</w:rPr>
      </w:pPr>
      <w:r w:rsidRPr="00F65EE8">
        <w:rPr>
          <w:rFonts w:ascii="Arial" w:hAnsi="Arial" w:cs="Arial"/>
          <w:sz w:val="20"/>
        </w:rPr>
        <w:t>**</w:t>
      </w:r>
      <w:r w:rsidR="00F65EE8">
        <w:rPr>
          <w:rFonts w:ascii="Arial" w:hAnsi="Arial" w:cs="Arial"/>
          <w:sz w:val="20"/>
        </w:rPr>
        <w:t xml:space="preserve">: </w:t>
      </w:r>
      <w:r w:rsidRPr="00F65EE8">
        <w:rPr>
          <w:rFonts w:ascii="Arial" w:hAnsi="Arial" w:cs="Arial"/>
          <w:sz w:val="20"/>
        </w:rPr>
        <w:t xml:space="preserve">člen </w:t>
      </w:r>
      <w:r w:rsidR="00F65EE8">
        <w:rPr>
          <w:rFonts w:ascii="Arial" w:hAnsi="Arial" w:cs="Arial"/>
          <w:sz w:val="20"/>
        </w:rPr>
        <w:t>enačbe</w:t>
      </w:r>
      <w:r w:rsidRPr="00F65EE8">
        <w:rPr>
          <w:rFonts w:ascii="Arial" w:hAnsi="Arial" w:cs="Arial"/>
          <w:sz w:val="20"/>
        </w:rPr>
        <w:t xml:space="preserve"> se pri izračunu stroškov uporablja samo, če so v postopku nastali izdatki objave javnega naznanila ali izvedbe javne obravnave.</w:t>
      </w:r>
    </w:p>
    <w:p w:rsidR="00364CC6" w:rsidRPr="00F65EE8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2</w:t>
      </w:r>
      <w:r w:rsidR="00F65EE8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</w:t>
      </w:r>
      <w:r w:rsidR="00F65EE8" w:rsidRPr="00364CC6">
        <w:rPr>
          <w:rFonts w:cs="Arial"/>
          <w:szCs w:val="20"/>
        </w:rPr>
        <w:t xml:space="preserve">Pri izračunu stroškov iz prejšnje </w:t>
      </w:r>
      <w:r w:rsidR="00F65EE8">
        <w:rPr>
          <w:rFonts w:cs="Arial"/>
          <w:szCs w:val="20"/>
        </w:rPr>
        <w:t>točke</w:t>
      </w:r>
      <w:r w:rsidR="00F65EE8" w:rsidRPr="00364CC6">
        <w:rPr>
          <w:rFonts w:cs="Arial"/>
          <w:szCs w:val="20"/>
        </w:rPr>
        <w:t xml:space="preserve"> se upoštevajo </w:t>
      </w:r>
      <w:r w:rsidR="00F65EE8">
        <w:rPr>
          <w:rFonts w:cs="Arial"/>
          <w:szCs w:val="20"/>
        </w:rPr>
        <w:t xml:space="preserve">le </w:t>
      </w:r>
      <w:r w:rsidR="00F65EE8" w:rsidRPr="00364CC6">
        <w:rPr>
          <w:rFonts w:cs="Arial"/>
          <w:szCs w:val="20"/>
        </w:rPr>
        <w:t xml:space="preserve">tisti členi </w:t>
      </w:r>
      <w:r w:rsidR="00F65EE8">
        <w:rPr>
          <w:rFonts w:cs="Arial"/>
          <w:szCs w:val="20"/>
        </w:rPr>
        <w:t>enačbe</w:t>
      </w:r>
      <w:r w:rsidR="00BB37AC" w:rsidRPr="001B2EE1">
        <w:rPr>
          <w:rFonts w:cs="Arial"/>
          <w:szCs w:val="20"/>
        </w:rPr>
        <w:t>,</w:t>
      </w:r>
      <w:r w:rsidR="00F65EE8" w:rsidRPr="00364CC6">
        <w:rPr>
          <w:rFonts w:cs="Arial"/>
          <w:szCs w:val="20"/>
        </w:rPr>
        <w:t xml:space="preserve"> </w:t>
      </w:r>
      <w:r w:rsidR="00F65EE8">
        <w:rPr>
          <w:rFonts w:cs="Arial"/>
          <w:szCs w:val="20"/>
        </w:rPr>
        <w:t>glede</w:t>
      </w:r>
      <w:r w:rsidR="00F65EE8" w:rsidRPr="00364CC6">
        <w:rPr>
          <w:rFonts w:cs="Arial"/>
          <w:szCs w:val="20"/>
        </w:rPr>
        <w:t xml:space="preserve"> katerih </w:t>
      </w:r>
      <w:r w:rsidR="00F65EE8">
        <w:rPr>
          <w:rFonts w:cs="Arial"/>
          <w:szCs w:val="20"/>
        </w:rPr>
        <w:t xml:space="preserve">je ministrstvo </w:t>
      </w:r>
      <w:r w:rsidR="00F65EE8" w:rsidRPr="00364CC6">
        <w:rPr>
          <w:rFonts w:cs="Arial"/>
          <w:szCs w:val="20"/>
        </w:rPr>
        <w:t>imel</w:t>
      </w:r>
      <w:r w:rsidR="00F65EE8">
        <w:rPr>
          <w:rFonts w:cs="Arial"/>
          <w:szCs w:val="20"/>
        </w:rPr>
        <w:t>o</w:t>
      </w:r>
      <w:r w:rsidR="00F65EE8" w:rsidRPr="00364CC6">
        <w:rPr>
          <w:rFonts w:cs="Arial"/>
          <w:szCs w:val="20"/>
        </w:rPr>
        <w:t xml:space="preserve"> izdatk</w:t>
      </w:r>
      <w:r w:rsidR="00F65EE8">
        <w:rPr>
          <w:rFonts w:cs="Arial"/>
          <w:szCs w:val="20"/>
        </w:rPr>
        <w:t>e</w:t>
      </w:r>
      <w:r w:rsidRPr="00364CC6">
        <w:rPr>
          <w:rFonts w:cs="Arial"/>
          <w:szCs w:val="20"/>
        </w:rPr>
        <w:t>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3</w:t>
      </w:r>
      <w:r w:rsidR="00F65EE8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Javno naznanilo vključuje izdatke objave v sredstvih javnega obveščanja.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  <w:r w:rsidRPr="00364CC6">
        <w:rPr>
          <w:rFonts w:cs="Arial"/>
          <w:szCs w:val="20"/>
        </w:rPr>
        <w:t>4</w:t>
      </w:r>
      <w:r w:rsidR="00F65EE8">
        <w:rPr>
          <w:rFonts w:cs="Arial"/>
          <w:szCs w:val="20"/>
        </w:rPr>
        <w:t>.</w:t>
      </w:r>
      <w:r w:rsidRPr="00364CC6">
        <w:rPr>
          <w:rFonts w:cs="Arial"/>
          <w:szCs w:val="20"/>
        </w:rPr>
        <w:t xml:space="preserve"> Javna obravnava vključuje izdatke izvedbe javne obravnave.</w:t>
      </w: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47"/>
        <w:gridCol w:w="1260"/>
        <w:gridCol w:w="3600"/>
      </w:tblGrid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Strošek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Prejemnik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 xml:space="preserve">Število 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b/>
                <w:szCs w:val="20"/>
              </w:rPr>
            </w:pPr>
            <w:r w:rsidRPr="00364CC6">
              <w:rPr>
                <w:rFonts w:cs="Arial"/>
                <w:b/>
                <w:szCs w:val="20"/>
              </w:rPr>
              <w:t>Višina</w:t>
            </w:r>
          </w:p>
        </w:tc>
      </w:tr>
      <w:tr w:rsidR="00364CC6" w:rsidRPr="00364CC6" w:rsidTr="00AB6568">
        <w:tc>
          <w:tcPr>
            <w:tcW w:w="1901" w:type="dxa"/>
            <w:tcBorders>
              <w:bottom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  <w:tcBorders>
              <w:top w:val="nil"/>
            </w:tcBorders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strošek za prevoz </w:t>
            </w:r>
          </w:p>
        </w:tc>
        <w:tc>
          <w:tcPr>
            <w:tcW w:w="2347" w:type="dxa"/>
          </w:tcPr>
          <w:p w:rsidR="00364CC6" w:rsidRPr="00364CC6" w:rsidRDefault="00364CC6" w:rsidP="005437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  <w:r w:rsidR="007E30DB">
              <w:rPr>
                <w:rFonts w:cs="Arial"/>
                <w:szCs w:val="20"/>
              </w:rPr>
              <w:t>oziroma drugi strokovnjak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153EE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kilometrine je enaka kilometrini, določeni s predpisom, ki ureja višino povračil</w:t>
            </w:r>
            <w:r w:rsidR="005153EE">
              <w:rPr>
                <w:rFonts w:cs="Arial"/>
                <w:szCs w:val="20"/>
              </w:rPr>
              <w:t>a</w:t>
            </w:r>
            <w:r w:rsidR="005153EE" w:rsidRPr="00364CC6">
              <w:rPr>
                <w:rFonts w:cs="Arial"/>
                <w:szCs w:val="20"/>
              </w:rPr>
              <w:t xml:space="preserve"> </w:t>
            </w:r>
            <w:r w:rsidR="005153EE">
              <w:rPr>
                <w:rFonts w:cs="Arial"/>
                <w:szCs w:val="20"/>
              </w:rPr>
              <w:t>stroškov in druge prejemke v javnem sektorju</w:t>
            </w:r>
            <w:r w:rsidR="007E30DB">
              <w:rPr>
                <w:rFonts w:cs="Arial"/>
                <w:szCs w:val="20"/>
              </w:rPr>
              <w:t xml:space="preserve"> </w:t>
            </w:r>
            <w:r w:rsidRPr="00364CC6">
              <w:rPr>
                <w:rFonts w:cs="Arial"/>
                <w:szCs w:val="20"/>
              </w:rPr>
              <w:t>oziroma povračilo dejanskih stroškov prevoza na podlagi dokazil (vozovnica javnega prevoznega sredstva, račun o plačilu cestnine, račun za parkirnino in podobno).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dnevnica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5153EE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Višina dnevnice je enaka dnevnici za službeno potovanje, določeni s  predpisom, ki ureja višino povračil</w:t>
            </w:r>
            <w:r w:rsidR="005153EE">
              <w:rPr>
                <w:rFonts w:cs="Arial"/>
                <w:szCs w:val="20"/>
              </w:rPr>
              <w:t>a stroškov in druge prejemke v javnem sektorju</w:t>
            </w:r>
            <w:r w:rsidRPr="00364CC6"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rPr>
          <w:trHeight w:val="1120"/>
        </w:trPr>
        <w:tc>
          <w:tcPr>
            <w:tcW w:w="1901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lastRenderedPageBreak/>
              <w:t>strošek prenočevanja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član znanstvenega odbora oziroma namestnik oziroma poročevalec 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Povračilo za izdatek prenočevanja na podlagi dokazila (račun). 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strošek poročevalca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poročevalec </w:t>
            </w:r>
          </w:p>
          <w:p w:rsidR="00364CC6" w:rsidRPr="00364CC6" w:rsidRDefault="00364CC6" w:rsidP="00AB6568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400</w:t>
            </w:r>
          </w:p>
        </w:tc>
        <w:tc>
          <w:tcPr>
            <w:tcW w:w="3600" w:type="dxa"/>
          </w:tcPr>
          <w:p w:rsidR="00364CC6" w:rsidRPr="00364CC6" w:rsidRDefault="00FC24E5" w:rsidP="00FC24E5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 xml:space="preserve">Višina ure je enaka ceni raziskovalne ure </w:t>
            </w:r>
            <w:r w:rsidRPr="00364CC6">
              <w:rPr>
                <w:rFonts w:cs="Arial"/>
                <w:szCs w:val="20"/>
              </w:rPr>
              <w:sym w:font="Symbol" w:char="F05B"/>
            </w:r>
            <w:r w:rsidRPr="00364CC6">
              <w:rPr>
                <w:rFonts w:cs="Arial"/>
                <w:szCs w:val="20"/>
              </w:rPr>
              <w:t>brez plače</w:t>
            </w:r>
            <w:r w:rsidRPr="00364CC6">
              <w:rPr>
                <w:rFonts w:cs="Arial"/>
                <w:szCs w:val="20"/>
              </w:rPr>
              <w:sym w:font="Symbol" w:char="F05D"/>
            </w:r>
            <w:r w:rsidRPr="00364CC6">
              <w:rPr>
                <w:rFonts w:cs="Arial"/>
                <w:szCs w:val="20"/>
              </w:rPr>
              <w:t xml:space="preserve"> za kategorijo A kabinetnih raziskovalnih projektov, določeni s predpisom, ki ureja normative in standarde za določanje sredstev za izvajanje nacionalnega</w:t>
            </w:r>
            <w:r>
              <w:rPr>
                <w:rFonts w:cs="Arial"/>
                <w:szCs w:val="20"/>
              </w:rPr>
              <w:t xml:space="preserve"> raziskovalnega</w:t>
            </w:r>
            <w:r w:rsidRPr="00364CC6">
              <w:rPr>
                <w:rFonts w:cs="Arial"/>
                <w:szCs w:val="20"/>
              </w:rPr>
              <w:t xml:space="preserve"> in razvojnega programa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javno naznanilo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Povračilo za izdatke objave v sredstvih javnega obveščanja (račun).</w:t>
            </w:r>
          </w:p>
        </w:tc>
      </w:tr>
      <w:tr w:rsidR="00364CC6" w:rsidRPr="00364CC6" w:rsidTr="00AB6568">
        <w:tc>
          <w:tcPr>
            <w:tcW w:w="1901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javna obravnava</w:t>
            </w:r>
          </w:p>
        </w:tc>
        <w:tc>
          <w:tcPr>
            <w:tcW w:w="2347" w:type="dxa"/>
          </w:tcPr>
          <w:p w:rsidR="00364CC6" w:rsidRPr="00364CC6" w:rsidRDefault="00364CC6" w:rsidP="00AB6568">
            <w:pPr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ministrstvo, pristojno za okolje</w:t>
            </w:r>
          </w:p>
        </w:tc>
        <w:tc>
          <w:tcPr>
            <w:tcW w:w="1260" w:type="dxa"/>
          </w:tcPr>
          <w:p w:rsidR="00364CC6" w:rsidRPr="00364CC6" w:rsidRDefault="00364CC6" w:rsidP="00AB6568">
            <w:pPr>
              <w:jc w:val="center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1</w:t>
            </w:r>
          </w:p>
        </w:tc>
        <w:tc>
          <w:tcPr>
            <w:tcW w:w="3600" w:type="dxa"/>
          </w:tcPr>
          <w:p w:rsidR="00364CC6" w:rsidRPr="00364CC6" w:rsidRDefault="00364CC6" w:rsidP="00AB6568">
            <w:pPr>
              <w:jc w:val="both"/>
              <w:rPr>
                <w:rFonts w:cs="Arial"/>
                <w:szCs w:val="20"/>
              </w:rPr>
            </w:pPr>
            <w:r w:rsidRPr="00364CC6">
              <w:rPr>
                <w:rFonts w:cs="Arial"/>
                <w:szCs w:val="20"/>
              </w:rPr>
              <w:t>Povračilo za izdatke izvedbe javne obravnave (račun).</w:t>
            </w:r>
          </w:p>
        </w:tc>
      </w:tr>
    </w:tbl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364CC6" w:rsidRPr="00364CC6" w:rsidRDefault="00364CC6" w:rsidP="00364CC6">
      <w:pPr>
        <w:jc w:val="both"/>
        <w:rPr>
          <w:rFonts w:cs="Arial"/>
          <w:szCs w:val="20"/>
        </w:rPr>
      </w:pPr>
    </w:p>
    <w:p w:rsidR="00B41037" w:rsidRDefault="00B41037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71454F" w:rsidRPr="008D1759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OBRAZLOŽITEV</w:t>
      </w:r>
    </w:p>
    <w:p w:rsidR="0071454F" w:rsidRPr="008D175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71454F" w:rsidRPr="008D1759" w:rsidRDefault="0071454F" w:rsidP="0071454F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I. UVOD</w:t>
      </w:r>
    </w:p>
    <w:p w:rsidR="0071454F" w:rsidRPr="008D1759" w:rsidRDefault="0071454F" w:rsidP="00243A50">
      <w:pPr>
        <w:tabs>
          <w:tab w:val="left" w:pos="708"/>
        </w:tabs>
        <w:ind w:left="720"/>
        <w:jc w:val="both"/>
        <w:rPr>
          <w:rFonts w:cs="Arial"/>
          <w:szCs w:val="20"/>
        </w:rPr>
      </w:pPr>
    </w:p>
    <w:p w:rsidR="0071454F" w:rsidRPr="006F3C62" w:rsidRDefault="0071454F" w:rsidP="00243A50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6F3C62">
        <w:rPr>
          <w:rFonts w:cs="Arial"/>
          <w:szCs w:val="20"/>
        </w:rPr>
        <w:t>Pravna podlaga (besedilo, vsebina zakonske določbe, ki je podlaga za izdajo uredbe)</w:t>
      </w:r>
    </w:p>
    <w:p w:rsidR="00105040" w:rsidRPr="006F3C62" w:rsidRDefault="00105040" w:rsidP="00243A50">
      <w:pPr>
        <w:tabs>
          <w:tab w:val="left" w:pos="708"/>
        </w:tabs>
        <w:jc w:val="both"/>
        <w:rPr>
          <w:rFonts w:cs="Arial"/>
          <w:szCs w:val="20"/>
        </w:rPr>
      </w:pPr>
    </w:p>
    <w:p w:rsidR="00105040" w:rsidRPr="006F3C62" w:rsidRDefault="009558E4" w:rsidP="004B701D">
      <w:pPr>
        <w:pStyle w:val="Odstavekseznama"/>
        <w:numPr>
          <w:ilvl w:val="0"/>
          <w:numId w:val="10"/>
        </w:numPr>
        <w:tabs>
          <w:tab w:val="left" w:pos="708"/>
        </w:tabs>
        <w:rPr>
          <w:rFonts w:ascii="Arial" w:hAnsi="Arial" w:cs="Arial"/>
          <w:sz w:val="20"/>
        </w:rPr>
      </w:pPr>
      <w:r w:rsidRPr="006F3C62">
        <w:rPr>
          <w:rFonts w:ascii="Arial" w:hAnsi="Arial" w:cs="Arial"/>
          <w:sz w:val="20"/>
        </w:rPr>
        <w:t>drugi odstavek</w:t>
      </w:r>
      <w:r w:rsidR="00243A50" w:rsidRPr="006F3C62">
        <w:rPr>
          <w:rFonts w:ascii="Arial" w:hAnsi="Arial" w:cs="Arial"/>
          <w:sz w:val="20"/>
        </w:rPr>
        <w:t xml:space="preserve"> 54.</w:t>
      </w:r>
      <w:r w:rsidR="00386AAA">
        <w:rPr>
          <w:rFonts w:ascii="Arial" w:hAnsi="Arial" w:cs="Arial"/>
          <w:sz w:val="20"/>
        </w:rPr>
        <w:t xml:space="preserve"> </w:t>
      </w:r>
      <w:r w:rsidR="00243A50" w:rsidRPr="006F3C62">
        <w:rPr>
          <w:rFonts w:ascii="Arial" w:hAnsi="Arial" w:cs="Arial"/>
          <w:sz w:val="20"/>
        </w:rPr>
        <w:t>a člena</w:t>
      </w:r>
      <w:r w:rsidR="00105040" w:rsidRPr="006F3C62">
        <w:rPr>
          <w:rFonts w:ascii="Arial" w:hAnsi="Arial" w:cs="Arial"/>
          <w:sz w:val="20"/>
        </w:rPr>
        <w:t xml:space="preserve">, </w:t>
      </w:r>
    </w:p>
    <w:p w:rsidR="00105040" w:rsidRPr="00B41037" w:rsidRDefault="00243A50" w:rsidP="00243A50">
      <w:pPr>
        <w:tabs>
          <w:tab w:val="left" w:pos="708"/>
        </w:tabs>
        <w:jc w:val="both"/>
        <w:rPr>
          <w:rFonts w:cs="Arial"/>
          <w:szCs w:val="20"/>
        </w:rPr>
      </w:pPr>
      <w:r w:rsidRPr="00B41037">
        <w:rPr>
          <w:rFonts w:cs="Arial"/>
          <w:szCs w:val="20"/>
        </w:rPr>
        <w:t>Zakon o ravnanju z gensko spremenjenimi organizmi (Uradni list RS, št. 23/05 – uradno prečiščeno besedilo</w:t>
      </w:r>
      <w:r w:rsidR="00095E8A">
        <w:rPr>
          <w:rFonts w:cs="Arial"/>
          <w:szCs w:val="20"/>
        </w:rPr>
        <w:t>,</w:t>
      </w:r>
      <w:r w:rsidRPr="00B41037">
        <w:rPr>
          <w:rFonts w:cs="Arial"/>
          <w:szCs w:val="20"/>
        </w:rPr>
        <w:t xml:space="preserve"> 21/10</w:t>
      </w:r>
      <w:r w:rsidR="00095E8A">
        <w:rPr>
          <w:rFonts w:cs="Arial"/>
          <w:szCs w:val="20"/>
        </w:rPr>
        <w:t xml:space="preserve"> </w:t>
      </w:r>
      <w:r w:rsidR="00095E8A" w:rsidRPr="0084596E">
        <w:rPr>
          <w:rFonts w:cs="Arial"/>
        </w:rPr>
        <w:t xml:space="preserve">in 90/12 - </w:t>
      </w:r>
      <w:proofErr w:type="spellStart"/>
      <w:r w:rsidR="00095E8A" w:rsidRPr="0084596E">
        <w:rPr>
          <w:rFonts w:cs="Arial"/>
        </w:rPr>
        <w:t>ZdZPVHVVR</w:t>
      </w:r>
      <w:proofErr w:type="spellEnd"/>
      <w:r w:rsidRPr="00B41037">
        <w:rPr>
          <w:rFonts w:cs="Arial"/>
          <w:szCs w:val="20"/>
        </w:rPr>
        <w:t>)</w:t>
      </w:r>
      <w:r w:rsidR="00105040" w:rsidRPr="00B41037">
        <w:rPr>
          <w:rFonts w:cs="Arial"/>
          <w:szCs w:val="20"/>
        </w:rPr>
        <w:t xml:space="preserve"> </w:t>
      </w:r>
    </w:p>
    <w:p w:rsidR="0071454F" w:rsidRPr="008D1759" w:rsidRDefault="0071454F" w:rsidP="0071454F">
      <w:pPr>
        <w:tabs>
          <w:tab w:val="left" w:pos="708"/>
        </w:tabs>
        <w:rPr>
          <w:rFonts w:cs="Arial"/>
          <w:szCs w:val="20"/>
        </w:rPr>
      </w:pPr>
    </w:p>
    <w:p w:rsidR="0071454F" w:rsidRPr="004B701D" w:rsidRDefault="0071454F" w:rsidP="00382467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>Rok za iz</w:t>
      </w:r>
      <w:r>
        <w:rPr>
          <w:rFonts w:cs="Arial"/>
          <w:szCs w:val="20"/>
        </w:rPr>
        <w:t xml:space="preserve">dajo uredbe, določen z </w:t>
      </w:r>
      <w:r w:rsidRPr="008D1759">
        <w:rPr>
          <w:rFonts w:cs="Arial"/>
          <w:szCs w:val="20"/>
        </w:rPr>
        <w:t>zakon</w:t>
      </w:r>
      <w:r>
        <w:rPr>
          <w:rFonts w:cs="Arial"/>
          <w:szCs w:val="20"/>
        </w:rPr>
        <w:t>om</w:t>
      </w:r>
    </w:p>
    <w:p w:rsidR="004B701D" w:rsidRPr="004B701D" w:rsidRDefault="004B701D" w:rsidP="004B701D">
      <w:pPr>
        <w:ind w:left="360"/>
        <w:jc w:val="both"/>
        <w:rPr>
          <w:rFonts w:cs="Arial"/>
          <w:szCs w:val="20"/>
        </w:rPr>
      </w:pPr>
    </w:p>
    <w:p w:rsidR="00F03C8E" w:rsidRDefault="00386AAA" w:rsidP="00386AAA">
      <w:pPr>
        <w:tabs>
          <w:tab w:val="left" w:pos="708"/>
        </w:tabs>
        <w:rPr>
          <w:rFonts w:cs="Arial"/>
        </w:rPr>
      </w:pPr>
      <w:r>
        <w:rPr>
          <w:rFonts w:cs="Arial"/>
        </w:rPr>
        <w:t>Predlog Uredbe s številko EVA 2010-2511-0087 (št. 0071-138/2010) je bil j</w:t>
      </w:r>
      <w:r w:rsidR="004B701D" w:rsidRPr="00386AAA">
        <w:rPr>
          <w:rFonts w:cs="Arial"/>
        </w:rPr>
        <w:t>ulij</w:t>
      </w:r>
      <w:r>
        <w:rPr>
          <w:rFonts w:cs="Arial"/>
        </w:rPr>
        <w:t>a</w:t>
      </w:r>
      <w:r w:rsidR="004B701D" w:rsidRPr="00386AAA">
        <w:rPr>
          <w:rFonts w:cs="Arial"/>
        </w:rPr>
        <w:t xml:space="preserve"> </w:t>
      </w:r>
      <w:r w:rsidR="004B701D" w:rsidRPr="00386AAA">
        <w:rPr>
          <w:rFonts w:cs="Arial"/>
          <w:szCs w:val="20"/>
        </w:rPr>
        <w:t>2010</w:t>
      </w:r>
      <w:r w:rsidR="004B701D" w:rsidRPr="00386AAA">
        <w:rPr>
          <w:rFonts w:cs="Arial"/>
        </w:rPr>
        <w:t xml:space="preserve"> </w:t>
      </w:r>
      <w:r>
        <w:rPr>
          <w:rFonts w:cs="Arial"/>
        </w:rPr>
        <w:t>in februarja 2011 odložena točka predvidenih sej vlade.</w:t>
      </w:r>
    </w:p>
    <w:p w:rsidR="00B41037" w:rsidRPr="004B701D" w:rsidRDefault="00B41037" w:rsidP="00386AAA">
      <w:pPr>
        <w:tabs>
          <w:tab w:val="left" w:pos="708"/>
        </w:tabs>
        <w:rPr>
          <w:rFonts w:cs="Arial"/>
          <w:szCs w:val="20"/>
        </w:rPr>
      </w:pPr>
    </w:p>
    <w:p w:rsidR="00105040" w:rsidRPr="004B701D" w:rsidRDefault="00105040" w:rsidP="0022475B">
      <w:pPr>
        <w:tabs>
          <w:tab w:val="left" w:pos="708"/>
        </w:tabs>
        <w:jc w:val="both"/>
        <w:rPr>
          <w:rFonts w:cs="Arial"/>
          <w:szCs w:val="20"/>
        </w:rPr>
      </w:pPr>
      <w:r w:rsidRPr="004B701D">
        <w:rPr>
          <w:rFonts w:cs="Arial"/>
          <w:szCs w:val="20"/>
        </w:rPr>
        <w:t xml:space="preserve">Rok za </w:t>
      </w:r>
      <w:r w:rsidR="00243A50" w:rsidRPr="004B701D">
        <w:rPr>
          <w:rFonts w:cs="Arial"/>
          <w:szCs w:val="20"/>
        </w:rPr>
        <w:t xml:space="preserve">izdajo uredbe je </w:t>
      </w:r>
      <w:r w:rsidRPr="004B701D">
        <w:rPr>
          <w:rFonts w:cs="Arial"/>
          <w:szCs w:val="20"/>
        </w:rPr>
        <w:t xml:space="preserve">potekel </w:t>
      </w:r>
      <w:r w:rsidR="00243A50" w:rsidRPr="004B701D">
        <w:rPr>
          <w:rFonts w:cs="Arial"/>
          <w:szCs w:val="20"/>
        </w:rPr>
        <w:t>30</w:t>
      </w:r>
      <w:r w:rsidRPr="004B701D">
        <w:rPr>
          <w:rFonts w:cs="Arial"/>
          <w:szCs w:val="20"/>
        </w:rPr>
        <w:t xml:space="preserve">. </w:t>
      </w:r>
      <w:r w:rsidR="00243A50" w:rsidRPr="004B701D">
        <w:rPr>
          <w:rFonts w:cs="Arial"/>
          <w:szCs w:val="20"/>
        </w:rPr>
        <w:t>september</w:t>
      </w:r>
      <w:r w:rsidR="004B701D">
        <w:rPr>
          <w:rFonts w:cs="Arial"/>
          <w:szCs w:val="20"/>
        </w:rPr>
        <w:t xml:space="preserve"> 2010</w:t>
      </w:r>
      <w:r w:rsidRPr="004B701D">
        <w:rPr>
          <w:rFonts w:cs="Arial"/>
          <w:szCs w:val="20"/>
        </w:rPr>
        <w:t>.</w:t>
      </w:r>
    </w:p>
    <w:p w:rsidR="00105040" w:rsidRPr="008D1759" w:rsidRDefault="00105040" w:rsidP="0071454F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71454F" w:rsidRPr="008D1759" w:rsidRDefault="0071454F" w:rsidP="00382467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 xml:space="preserve">Splošna obrazložitev </w:t>
      </w:r>
      <w:r>
        <w:rPr>
          <w:rFonts w:cs="Arial"/>
          <w:szCs w:val="20"/>
        </w:rPr>
        <w:t>predloga uredbe, če je potrebna</w:t>
      </w:r>
    </w:p>
    <w:p w:rsidR="00105040" w:rsidRDefault="00105040" w:rsidP="0071454F">
      <w:pPr>
        <w:tabs>
          <w:tab w:val="left" w:pos="708"/>
        </w:tabs>
        <w:rPr>
          <w:rFonts w:cs="Arial"/>
          <w:szCs w:val="20"/>
        </w:rPr>
      </w:pPr>
    </w:p>
    <w:p w:rsidR="00C56D57" w:rsidRDefault="00C134BC" w:rsidP="0022475B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področju zaprtih sistemov in dela </w:t>
      </w:r>
      <w:r w:rsidR="00924F4E">
        <w:rPr>
          <w:rFonts w:cs="Arial"/>
          <w:szCs w:val="20"/>
        </w:rPr>
        <w:t xml:space="preserve">z GSO </w:t>
      </w:r>
      <w:r>
        <w:rPr>
          <w:rFonts w:cs="Arial"/>
          <w:szCs w:val="20"/>
        </w:rPr>
        <w:t>v zaprtih sistemih, ki zajema predvsem katego</w:t>
      </w:r>
      <w:r w:rsidR="00E5214C">
        <w:rPr>
          <w:rFonts w:cs="Arial"/>
          <w:szCs w:val="20"/>
        </w:rPr>
        <w:t>r</w:t>
      </w:r>
      <w:r>
        <w:rPr>
          <w:rFonts w:cs="Arial"/>
          <w:szCs w:val="20"/>
        </w:rPr>
        <w:t>ijo raziskovalnega dela z GSO npr. v laboratorijih in rastlinjakih imamo v</w:t>
      </w:r>
      <w:r w:rsidR="0076019A">
        <w:rPr>
          <w:rFonts w:cs="Arial"/>
          <w:szCs w:val="20"/>
        </w:rPr>
        <w:t xml:space="preserve"> Sloveniji  </w:t>
      </w:r>
      <w:r w:rsidR="00B7293E">
        <w:rPr>
          <w:rFonts w:cs="Arial"/>
          <w:szCs w:val="20"/>
        </w:rPr>
        <w:t xml:space="preserve">do sedaj </w:t>
      </w:r>
      <w:r w:rsidR="0076019A">
        <w:rPr>
          <w:rFonts w:cs="Arial"/>
          <w:szCs w:val="20"/>
        </w:rPr>
        <w:t>v register GSO vpisanih 64 zaprtih sistemov za delo z GSO v I. ali II. varnostnem razredu. Poleg tega je vsako leto še 7 – 10 prijav dela z GSO v I. ali II. varnostnem razredu.</w:t>
      </w:r>
      <w:r w:rsidR="00B7293E">
        <w:rPr>
          <w:rFonts w:cs="Arial"/>
          <w:szCs w:val="20"/>
        </w:rPr>
        <w:t xml:space="preserve"> Prijavitelji zaprtih sistemov in dela z GSO prihajajo predvsem iz </w:t>
      </w:r>
      <w:r w:rsidR="001B5857">
        <w:rPr>
          <w:rFonts w:cs="Arial"/>
          <w:szCs w:val="20"/>
        </w:rPr>
        <w:t>univerz in i</w:t>
      </w:r>
      <w:r w:rsidR="00B7293E">
        <w:rPr>
          <w:rFonts w:cs="Arial"/>
          <w:szCs w:val="20"/>
        </w:rPr>
        <w:t xml:space="preserve">nštitutov ter v zelo majhnem delu iz industrije. </w:t>
      </w:r>
    </w:p>
    <w:p w:rsidR="00C56D57" w:rsidRDefault="00C56D57" w:rsidP="0022475B">
      <w:pPr>
        <w:tabs>
          <w:tab w:val="left" w:pos="708"/>
        </w:tabs>
        <w:jc w:val="both"/>
        <w:rPr>
          <w:rFonts w:cs="Arial"/>
          <w:szCs w:val="20"/>
        </w:rPr>
      </w:pPr>
    </w:p>
    <w:p w:rsidR="00C56D57" w:rsidRDefault="00C134BC" w:rsidP="0022475B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76019A">
        <w:rPr>
          <w:rFonts w:cs="Arial"/>
          <w:szCs w:val="20"/>
        </w:rPr>
        <w:t>proščanj</w:t>
      </w:r>
      <w:r>
        <w:rPr>
          <w:rFonts w:cs="Arial"/>
          <w:szCs w:val="20"/>
        </w:rPr>
        <w:t>e</w:t>
      </w:r>
      <w:r w:rsidR="0076019A">
        <w:rPr>
          <w:rFonts w:cs="Arial"/>
          <w:szCs w:val="20"/>
        </w:rPr>
        <w:t xml:space="preserve"> </w:t>
      </w:r>
      <w:r w:rsidR="00924F4E">
        <w:rPr>
          <w:rFonts w:cs="Arial"/>
          <w:szCs w:val="20"/>
        </w:rPr>
        <w:t xml:space="preserve">GSO </w:t>
      </w:r>
      <w:r w:rsidR="0076019A">
        <w:rPr>
          <w:rFonts w:cs="Arial"/>
          <w:szCs w:val="20"/>
        </w:rPr>
        <w:t>v okolje</w:t>
      </w:r>
      <w:r w:rsidR="00E5214C">
        <w:rPr>
          <w:rFonts w:cs="Arial"/>
          <w:szCs w:val="20"/>
        </w:rPr>
        <w:t xml:space="preserve"> tudi »poljski poskusi«</w:t>
      </w:r>
      <w:r>
        <w:rPr>
          <w:rFonts w:cs="Arial"/>
          <w:szCs w:val="20"/>
        </w:rPr>
        <w:t xml:space="preserve"> </w:t>
      </w:r>
      <w:r w:rsidR="00E5214C">
        <w:rPr>
          <w:rFonts w:cs="Arial"/>
          <w:szCs w:val="20"/>
        </w:rPr>
        <w:t xml:space="preserve">pomeni </w:t>
      </w:r>
      <w:r>
        <w:rPr>
          <w:rFonts w:cs="Arial"/>
          <w:szCs w:val="20"/>
        </w:rPr>
        <w:t>na osnovi ZRGSO vsak nameren vnos GSO ali kombinacije GSO v okolje razen dajanja i</w:t>
      </w:r>
      <w:r w:rsidR="00924F4E">
        <w:rPr>
          <w:rFonts w:cs="Arial"/>
          <w:szCs w:val="20"/>
        </w:rPr>
        <w:t>z</w:t>
      </w:r>
      <w:r>
        <w:rPr>
          <w:rFonts w:cs="Arial"/>
          <w:szCs w:val="20"/>
        </w:rPr>
        <w:t>delkov na trg, pri katerem se ne izvajajo zadrževalni ukrepi za omejitev stika z okoljem in prebivalstvom ter za zagotovitev visoke stopnje varnosti</w:t>
      </w:r>
      <w:r w:rsidR="00E5214C">
        <w:rPr>
          <w:rFonts w:cs="Arial"/>
          <w:szCs w:val="20"/>
        </w:rPr>
        <w:t xml:space="preserve">. Zajema predvsem kategorijo </w:t>
      </w:r>
      <w:r>
        <w:rPr>
          <w:rFonts w:cs="Arial"/>
          <w:szCs w:val="20"/>
        </w:rPr>
        <w:t>raziskovalne</w:t>
      </w:r>
      <w:r w:rsidR="00E5214C">
        <w:rPr>
          <w:rFonts w:cs="Arial"/>
          <w:szCs w:val="20"/>
        </w:rPr>
        <w:t>ga dela izven zaprtih sistemov. V</w:t>
      </w:r>
      <w:r w:rsidR="00B7293E">
        <w:rPr>
          <w:rFonts w:cs="Arial"/>
          <w:szCs w:val="20"/>
        </w:rPr>
        <w:t xml:space="preserve"> Slovenij</w:t>
      </w:r>
      <w:r w:rsidR="00E5214C">
        <w:rPr>
          <w:rFonts w:cs="Arial"/>
          <w:szCs w:val="20"/>
        </w:rPr>
        <w:t>i</w:t>
      </w:r>
      <w:r w:rsidR="00B7293E">
        <w:rPr>
          <w:rFonts w:cs="Arial"/>
          <w:szCs w:val="20"/>
        </w:rPr>
        <w:t xml:space="preserve"> </w:t>
      </w:r>
      <w:r w:rsidR="004700A9">
        <w:rPr>
          <w:rFonts w:cs="Arial"/>
          <w:szCs w:val="20"/>
        </w:rPr>
        <w:t>v tem okviru</w:t>
      </w:r>
      <w:r w:rsidR="00E5214C">
        <w:rPr>
          <w:rFonts w:cs="Arial"/>
          <w:szCs w:val="20"/>
        </w:rPr>
        <w:t xml:space="preserve"> poteka </w:t>
      </w:r>
      <w:r w:rsidR="004700A9">
        <w:rPr>
          <w:rFonts w:cs="Arial"/>
          <w:szCs w:val="20"/>
        </w:rPr>
        <w:t>raziskovalno delo na področju</w:t>
      </w:r>
      <w:r w:rsidR="00E5214C">
        <w:rPr>
          <w:rFonts w:cs="Arial"/>
          <w:szCs w:val="20"/>
        </w:rPr>
        <w:t xml:space="preserve"> genske terapije. Na področju </w:t>
      </w:r>
      <w:r w:rsidR="004700A9">
        <w:rPr>
          <w:rFonts w:cs="Arial"/>
          <w:szCs w:val="20"/>
        </w:rPr>
        <w:t xml:space="preserve">raziskav </w:t>
      </w:r>
      <w:r w:rsidR="00E5214C">
        <w:rPr>
          <w:rFonts w:cs="Arial"/>
          <w:szCs w:val="20"/>
        </w:rPr>
        <w:t>gensko sprem</w:t>
      </w:r>
      <w:r w:rsidR="00543768">
        <w:rPr>
          <w:rFonts w:cs="Arial"/>
          <w:szCs w:val="20"/>
        </w:rPr>
        <w:t>e</w:t>
      </w:r>
      <w:r w:rsidR="00E5214C">
        <w:rPr>
          <w:rFonts w:cs="Arial"/>
          <w:szCs w:val="20"/>
        </w:rPr>
        <w:t xml:space="preserve">njenih rastlin pa </w:t>
      </w:r>
      <w:r w:rsidR="004700A9">
        <w:rPr>
          <w:rFonts w:cs="Arial"/>
          <w:szCs w:val="20"/>
        </w:rPr>
        <w:t>nimamo</w:t>
      </w:r>
      <w:r w:rsidR="00E5214C">
        <w:rPr>
          <w:rFonts w:cs="Arial"/>
          <w:szCs w:val="20"/>
        </w:rPr>
        <w:t xml:space="preserve"> </w:t>
      </w:r>
      <w:r w:rsidR="00B7293E">
        <w:rPr>
          <w:rFonts w:cs="Arial"/>
          <w:szCs w:val="20"/>
        </w:rPr>
        <w:t>poljsk</w:t>
      </w:r>
      <w:r w:rsidR="004700A9">
        <w:rPr>
          <w:rFonts w:cs="Arial"/>
          <w:szCs w:val="20"/>
        </w:rPr>
        <w:t>ih</w:t>
      </w:r>
      <w:r w:rsidR="00B7293E">
        <w:rPr>
          <w:rFonts w:cs="Arial"/>
          <w:szCs w:val="20"/>
        </w:rPr>
        <w:t xml:space="preserve"> poskus</w:t>
      </w:r>
      <w:r w:rsidR="004700A9">
        <w:rPr>
          <w:rFonts w:cs="Arial"/>
          <w:szCs w:val="20"/>
        </w:rPr>
        <w:t>ov</w:t>
      </w:r>
      <w:r w:rsidR="0076019A">
        <w:rPr>
          <w:rFonts w:cs="Arial"/>
          <w:szCs w:val="20"/>
        </w:rPr>
        <w:t xml:space="preserve">. </w:t>
      </w:r>
    </w:p>
    <w:p w:rsidR="00C56D57" w:rsidRDefault="00C56D57" w:rsidP="0022475B">
      <w:pPr>
        <w:tabs>
          <w:tab w:val="left" w:pos="708"/>
        </w:tabs>
        <w:jc w:val="both"/>
        <w:rPr>
          <w:rFonts w:cs="Arial"/>
          <w:szCs w:val="20"/>
        </w:rPr>
      </w:pPr>
    </w:p>
    <w:p w:rsidR="00B7293E" w:rsidRDefault="0076019A" w:rsidP="0022475B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Pristojno ministrstvo za okolje je vključeno </w:t>
      </w:r>
      <w:r w:rsidR="00B7293E">
        <w:rPr>
          <w:rFonts w:cs="Arial"/>
          <w:szCs w:val="20"/>
        </w:rPr>
        <w:t xml:space="preserve">tudi </w:t>
      </w:r>
      <w:r>
        <w:rPr>
          <w:rFonts w:cs="Arial"/>
          <w:szCs w:val="20"/>
        </w:rPr>
        <w:t xml:space="preserve">v </w:t>
      </w:r>
      <w:r w:rsidR="00B7293E">
        <w:rPr>
          <w:rFonts w:cs="Arial"/>
          <w:szCs w:val="20"/>
        </w:rPr>
        <w:t xml:space="preserve">EU </w:t>
      </w:r>
      <w:r>
        <w:rPr>
          <w:rFonts w:cs="Arial"/>
          <w:szCs w:val="20"/>
        </w:rPr>
        <w:t xml:space="preserve">postopke dovoljevanja </w:t>
      </w:r>
      <w:r w:rsidR="00B7293E">
        <w:rPr>
          <w:rFonts w:cs="Arial"/>
          <w:szCs w:val="20"/>
        </w:rPr>
        <w:t xml:space="preserve">za dajanje </w:t>
      </w:r>
      <w:r w:rsidR="00C56D57">
        <w:rPr>
          <w:rFonts w:cs="Arial"/>
          <w:szCs w:val="20"/>
        </w:rPr>
        <w:t xml:space="preserve">GSO </w:t>
      </w:r>
      <w:r w:rsidR="00B7293E">
        <w:rPr>
          <w:rFonts w:cs="Arial"/>
          <w:szCs w:val="20"/>
        </w:rPr>
        <w:t xml:space="preserve">na trg, ki </w:t>
      </w:r>
      <w:r w:rsidR="00C848C5">
        <w:rPr>
          <w:rFonts w:cs="Arial"/>
          <w:szCs w:val="20"/>
        </w:rPr>
        <w:t xml:space="preserve">prav tako </w:t>
      </w:r>
      <w:r w:rsidR="00B7293E">
        <w:rPr>
          <w:rFonts w:cs="Arial"/>
          <w:szCs w:val="20"/>
        </w:rPr>
        <w:t xml:space="preserve">zahteva </w:t>
      </w:r>
      <w:r w:rsidR="004700A9">
        <w:rPr>
          <w:rFonts w:cs="Arial"/>
          <w:szCs w:val="20"/>
        </w:rPr>
        <w:t xml:space="preserve">strokovno pomoč </w:t>
      </w:r>
      <w:r w:rsidR="00B7293E">
        <w:rPr>
          <w:rFonts w:cs="Arial"/>
          <w:szCs w:val="20"/>
        </w:rPr>
        <w:t>odbora za sproščanje GSO v delu, ki se nanaša na oceno tveganja za okolje.</w:t>
      </w:r>
    </w:p>
    <w:p w:rsidR="00B7293E" w:rsidRDefault="00B7293E" w:rsidP="0022475B">
      <w:pPr>
        <w:tabs>
          <w:tab w:val="left" w:pos="708"/>
        </w:tabs>
        <w:jc w:val="both"/>
        <w:rPr>
          <w:rFonts w:cs="Arial"/>
          <w:szCs w:val="20"/>
        </w:rPr>
      </w:pPr>
    </w:p>
    <w:p w:rsidR="008E2DA1" w:rsidRDefault="00105040" w:rsidP="0022475B">
      <w:pPr>
        <w:tabs>
          <w:tab w:val="left" w:pos="708"/>
        </w:tabs>
        <w:jc w:val="both"/>
        <w:rPr>
          <w:rFonts w:cs="Arial"/>
          <w:szCs w:val="20"/>
        </w:rPr>
      </w:pPr>
      <w:r w:rsidRPr="00105040">
        <w:rPr>
          <w:rFonts w:cs="Arial"/>
          <w:szCs w:val="20"/>
        </w:rPr>
        <w:t xml:space="preserve">Z Uredbo </w:t>
      </w:r>
      <w:r w:rsidRPr="00FB7390">
        <w:rPr>
          <w:rFonts w:cs="Arial"/>
          <w:szCs w:val="20"/>
        </w:rPr>
        <w:t xml:space="preserve">o </w:t>
      </w:r>
      <w:r w:rsidR="00FB7390" w:rsidRPr="00FB7390">
        <w:rPr>
          <w:rFonts w:cs="Arial"/>
          <w:bCs/>
        </w:rPr>
        <w:t>načinu in merilih za določitev višine stroškov postopka izdaje upravnih aktov pri ravnanju z gensko spremenjenimi organizmi</w:t>
      </w:r>
      <w:r w:rsidR="00FB7390" w:rsidRPr="00105040">
        <w:rPr>
          <w:rFonts w:cs="Arial"/>
          <w:szCs w:val="20"/>
        </w:rPr>
        <w:t xml:space="preserve"> </w:t>
      </w:r>
      <w:r w:rsidR="00FB7390">
        <w:rPr>
          <w:rFonts w:cs="Arial"/>
          <w:szCs w:val="20"/>
        </w:rPr>
        <w:t xml:space="preserve">se </w:t>
      </w:r>
      <w:r w:rsidR="00B7293E">
        <w:rPr>
          <w:rFonts w:cs="Arial"/>
          <w:szCs w:val="20"/>
        </w:rPr>
        <w:t xml:space="preserve">tako </w:t>
      </w:r>
      <w:r w:rsidR="008E2DA1">
        <w:rPr>
          <w:rFonts w:cs="Arial"/>
          <w:szCs w:val="20"/>
        </w:rPr>
        <w:t>ureja</w:t>
      </w:r>
      <w:r w:rsidR="00FB7390">
        <w:rPr>
          <w:rFonts w:cs="Arial"/>
          <w:szCs w:val="20"/>
        </w:rPr>
        <w:t xml:space="preserve"> način in </w:t>
      </w:r>
      <w:r w:rsidR="008E2DA1">
        <w:rPr>
          <w:rFonts w:cs="Arial"/>
          <w:szCs w:val="20"/>
        </w:rPr>
        <w:t xml:space="preserve">določa </w:t>
      </w:r>
      <w:r w:rsidR="00FB7390">
        <w:rPr>
          <w:rFonts w:cs="Arial"/>
          <w:szCs w:val="20"/>
        </w:rPr>
        <w:t xml:space="preserve">merila </w:t>
      </w:r>
      <w:r w:rsidR="008E2DA1">
        <w:rPr>
          <w:rFonts w:cs="Arial"/>
          <w:szCs w:val="20"/>
        </w:rPr>
        <w:t xml:space="preserve">za </w:t>
      </w:r>
      <w:r w:rsidR="00FB7390">
        <w:rPr>
          <w:rFonts w:cs="Arial"/>
          <w:szCs w:val="20"/>
        </w:rPr>
        <w:t>strošk</w:t>
      </w:r>
      <w:r w:rsidR="008E2DA1">
        <w:rPr>
          <w:rFonts w:cs="Arial"/>
          <w:szCs w:val="20"/>
        </w:rPr>
        <w:t>e</w:t>
      </w:r>
      <w:r w:rsidR="00FB7390">
        <w:rPr>
          <w:rFonts w:cs="Arial"/>
          <w:szCs w:val="20"/>
        </w:rPr>
        <w:t xml:space="preserve"> postopka izdaje upravnih aktov (potrdil oziroma dovoljenj oziroma podaljšanja potrdil oziroma podaljšanj</w:t>
      </w:r>
      <w:r w:rsidR="00045106">
        <w:rPr>
          <w:rFonts w:cs="Arial"/>
          <w:szCs w:val="20"/>
        </w:rPr>
        <w:t>a</w:t>
      </w:r>
      <w:r w:rsidR="00FB7390">
        <w:rPr>
          <w:rFonts w:cs="Arial"/>
          <w:szCs w:val="20"/>
        </w:rPr>
        <w:t xml:space="preserve"> </w:t>
      </w:r>
      <w:r w:rsidR="00834647">
        <w:rPr>
          <w:rFonts w:cs="Arial"/>
          <w:szCs w:val="20"/>
        </w:rPr>
        <w:t>dovoljenj</w:t>
      </w:r>
      <w:r w:rsidR="00FB7390">
        <w:rPr>
          <w:rFonts w:cs="Arial"/>
          <w:szCs w:val="20"/>
        </w:rPr>
        <w:t>) za zaprte sisteme, delo z GSO v zaprtem sistemu, namernem sproščanju GSO v okolje in dajanju izdelkov na trg</w:t>
      </w:r>
      <w:r w:rsidR="0076019A">
        <w:rPr>
          <w:rFonts w:cs="Arial"/>
          <w:szCs w:val="20"/>
        </w:rPr>
        <w:t xml:space="preserve"> </w:t>
      </w:r>
      <w:r w:rsidR="008E2DA1">
        <w:rPr>
          <w:rFonts w:cs="Arial"/>
          <w:szCs w:val="20"/>
        </w:rPr>
        <w:t xml:space="preserve">predvsem </w:t>
      </w:r>
      <w:r w:rsidR="0076019A">
        <w:rPr>
          <w:rFonts w:cs="Arial"/>
          <w:szCs w:val="20"/>
        </w:rPr>
        <w:t xml:space="preserve">v tistem delu, ki zajema </w:t>
      </w:r>
      <w:r w:rsidR="004700A9">
        <w:rPr>
          <w:rFonts w:cs="Arial"/>
          <w:szCs w:val="20"/>
        </w:rPr>
        <w:t>strokovno pomoč</w:t>
      </w:r>
      <w:r w:rsidR="008E2DA1">
        <w:rPr>
          <w:rFonts w:cs="Arial"/>
          <w:szCs w:val="20"/>
        </w:rPr>
        <w:t xml:space="preserve"> v okviru upravnih postopkov</w:t>
      </w:r>
      <w:r w:rsidR="00FB7390">
        <w:rPr>
          <w:rFonts w:cs="Arial"/>
          <w:szCs w:val="20"/>
        </w:rPr>
        <w:t xml:space="preserve">. </w:t>
      </w:r>
    </w:p>
    <w:p w:rsidR="008E2DA1" w:rsidRDefault="008E2DA1" w:rsidP="0022475B">
      <w:pPr>
        <w:tabs>
          <w:tab w:val="left" w:pos="708"/>
        </w:tabs>
        <w:jc w:val="both"/>
        <w:rPr>
          <w:rFonts w:cs="Arial"/>
          <w:szCs w:val="20"/>
        </w:rPr>
      </w:pPr>
    </w:p>
    <w:p w:rsidR="00AB6568" w:rsidRDefault="00834647" w:rsidP="008E2DA1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Osrednji sestavni del odločanja ministrstva pri izdaji upravnih aktov o </w:t>
      </w:r>
      <w:r w:rsidR="008E2DA1">
        <w:rPr>
          <w:rFonts w:cs="Arial"/>
          <w:szCs w:val="20"/>
        </w:rPr>
        <w:t>prijavi</w:t>
      </w:r>
      <w:r>
        <w:rPr>
          <w:rFonts w:cs="Arial"/>
          <w:szCs w:val="20"/>
        </w:rPr>
        <w:t xml:space="preserve"> zaprtega sistem</w:t>
      </w:r>
      <w:r w:rsidR="008E2DA1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, dela z GSO v zaprtem sistemu, namernega sproščanja GSO v okolje in dajanja </w:t>
      </w:r>
      <w:r w:rsidR="00C56D57">
        <w:rPr>
          <w:rFonts w:cs="Arial"/>
          <w:szCs w:val="20"/>
        </w:rPr>
        <w:t xml:space="preserve">GSO </w:t>
      </w:r>
      <w:r>
        <w:rPr>
          <w:rFonts w:cs="Arial"/>
          <w:szCs w:val="20"/>
        </w:rPr>
        <w:t xml:space="preserve">izdelka na trg je </w:t>
      </w:r>
      <w:r w:rsidR="0076019A">
        <w:rPr>
          <w:rFonts w:cs="Arial"/>
          <w:szCs w:val="20"/>
        </w:rPr>
        <w:t xml:space="preserve">strokovno </w:t>
      </w:r>
      <w:r>
        <w:rPr>
          <w:rFonts w:cs="Arial"/>
          <w:szCs w:val="20"/>
        </w:rPr>
        <w:t>mnenje</w:t>
      </w:r>
      <w:r w:rsidR="0076019A">
        <w:rPr>
          <w:rFonts w:cs="Arial"/>
          <w:szCs w:val="20"/>
        </w:rPr>
        <w:t>, ki ga pripravijo</w:t>
      </w:r>
      <w:r>
        <w:rPr>
          <w:rFonts w:cs="Arial"/>
          <w:szCs w:val="20"/>
        </w:rPr>
        <w:t xml:space="preserve"> znanstveni odbor</w:t>
      </w:r>
      <w:r w:rsidR="0076019A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. </w:t>
      </w:r>
      <w:r w:rsidR="00C848C5">
        <w:rPr>
          <w:rFonts w:cs="Arial"/>
          <w:szCs w:val="20"/>
        </w:rPr>
        <w:t>Z Uredbo se določajo</w:t>
      </w:r>
      <w:r w:rsidR="00FB7390">
        <w:rPr>
          <w:rFonts w:cs="Arial"/>
          <w:szCs w:val="20"/>
        </w:rPr>
        <w:t xml:space="preserve"> stroški </w:t>
      </w:r>
      <w:r w:rsidR="002E6104">
        <w:rPr>
          <w:rFonts w:cs="Arial"/>
          <w:szCs w:val="20"/>
        </w:rPr>
        <w:t>strokovne pomoči</w:t>
      </w:r>
      <w:r w:rsidR="00FB7390">
        <w:rPr>
          <w:rFonts w:cs="Arial"/>
          <w:szCs w:val="20"/>
        </w:rPr>
        <w:t xml:space="preserve"> odbora za zaprte sisteme in odbora za sproščanje GSO</w:t>
      </w:r>
      <w:r>
        <w:rPr>
          <w:rFonts w:cs="Arial"/>
          <w:szCs w:val="20"/>
        </w:rPr>
        <w:t xml:space="preserve"> v postopku izdaje upravnih aktov</w:t>
      </w:r>
      <w:r w:rsidR="008E2DA1">
        <w:rPr>
          <w:rFonts w:cs="Arial"/>
          <w:szCs w:val="20"/>
        </w:rPr>
        <w:t xml:space="preserve">, ki </w:t>
      </w:r>
      <w:r w:rsidR="00C848C5">
        <w:rPr>
          <w:rFonts w:cs="Arial"/>
          <w:szCs w:val="20"/>
        </w:rPr>
        <w:t>je</w:t>
      </w:r>
      <w:r w:rsidR="008E2DA1">
        <w:rPr>
          <w:rFonts w:cs="Arial"/>
          <w:szCs w:val="20"/>
        </w:rPr>
        <w:t xml:space="preserve"> </w:t>
      </w:r>
      <w:r w:rsidR="00521F2D">
        <w:rPr>
          <w:rFonts w:cs="Arial"/>
          <w:szCs w:val="20"/>
        </w:rPr>
        <w:t>z Zakonom o dopolnitvi ZRGSO</w:t>
      </w:r>
      <w:r w:rsidR="006F4219">
        <w:rPr>
          <w:rFonts w:cs="Arial"/>
          <w:szCs w:val="20"/>
        </w:rPr>
        <w:t xml:space="preserve"> (ZRGSO-B, Uradni list RS, št. 21/10)</w:t>
      </w:r>
      <w:r w:rsidR="00521F2D">
        <w:rPr>
          <w:rFonts w:cs="Arial"/>
          <w:szCs w:val="20"/>
        </w:rPr>
        <w:t xml:space="preserve"> v celoti </w:t>
      </w:r>
      <w:r w:rsidR="00045106">
        <w:rPr>
          <w:rFonts w:cs="Arial"/>
          <w:szCs w:val="20"/>
        </w:rPr>
        <w:t>strošek</w:t>
      </w:r>
      <w:r w:rsidR="00DE5BCC">
        <w:rPr>
          <w:rFonts w:cs="Arial"/>
          <w:szCs w:val="20"/>
        </w:rPr>
        <w:t xml:space="preserve"> prijavitelja</w:t>
      </w:r>
      <w:r w:rsidR="00FB7390">
        <w:rPr>
          <w:rFonts w:cs="Arial"/>
          <w:szCs w:val="20"/>
        </w:rPr>
        <w:t>.</w:t>
      </w:r>
      <w:r w:rsidR="00AB6568">
        <w:rPr>
          <w:rFonts w:cs="Arial"/>
          <w:szCs w:val="20"/>
        </w:rPr>
        <w:t xml:space="preserve"> </w:t>
      </w:r>
    </w:p>
    <w:p w:rsidR="0071454F" w:rsidRPr="008D1759" w:rsidRDefault="0071454F" w:rsidP="0071454F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533CCF" w:rsidRPr="008D1759" w:rsidRDefault="00533CCF" w:rsidP="00533CCF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Predstavitev presoje posledic z</w:t>
      </w:r>
      <w:r w:rsidRPr="008D1759">
        <w:rPr>
          <w:rFonts w:cs="Arial"/>
          <w:szCs w:val="20"/>
        </w:rPr>
        <w:t>a posamezna področja, če te niso mogle biti celovito predstavljene v predlogu zakona</w:t>
      </w:r>
    </w:p>
    <w:p w:rsidR="00533CCF" w:rsidRPr="008D1759" w:rsidRDefault="00533CCF" w:rsidP="00533CCF">
      <w:pPr>
        <w:rPr>
          <w:rFonts w:cs="Arial"/>
          <w:szCs w:val="20"/>
          <w:lang w:eastAsia="sl-SI"/>
        </w:rPr>
      </w:pPr>
    </w:p>
    <w:p w:rsidR="00D267AB" w:rsidRDefault="001B5857" w:rsidP="00D267AB">
      <w:pPr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Cs w:val="20"/>
        </w:rPr>
        <w:t>Na osnovi slovenske in evropske zakonodaje je treba vsak zaprti sistem</w:t>
      </w:r>
      <w:r w:rsidR="00D267AB">
        <w:rPr>
          <w:rFonts w:cs="Arial"/>
          <w:szCs w:val="20"/>
        </w:rPr>
        <w:t xml:space="preserve"> (npr. laboratorij, proizvodni obrat)</w:t>
      </w:r>
      <w:r>
        <w:rPr>
          <w:rFonts w:cs="Arial"/>
          <w:szCs w:val="20"/>
        </w:rPr>
        <w:t>, delo z GSO</w:t>
      </w:r>
      <w:r w:rsidR="00D267AB">
        <w:rPr>
          <w:rFonts w:cs="Arial"/>
          <w:szCs w:val="20"/>
        </w:rPr>
        <w:t xml:space="preserve"> v zaprtem sistemu</w:t>
      </w:r>
      <w:r>
        <w:rPr>
          <w:rFonts w:cs="Arial"/>
          <w:szCs w:val="20"/>
        </w:rPr>
        <w:t xml:space="preserve">, </w:t>
      </w:r>
      <w:r w:rsidR="000D78C7">
        <w:rPr>
          <w:rFonts w:cs="Arial"/>
          <w:szCs w:val="20"/>
        </w:rPr>
        <w:t>sproščanje GSO v okolje</w:t>
      </w:r>
      <w:r w:rsidR="00C56D57">
        <w:rPr>
          <w:rFonts w:cs="Arial"/>
          <w:szCs w:val="20"/>
        </w:rPr>
        <w:t xml:space="preserve"> z namenom izvedbe poskusa (npr. gensko terapijo)</w:t>
      </w:r>
      <w:r>
        <w:rPr>
          <w:rFonts w:cs="Arial"/>
          <w:szCs w:val="20"/>
        </w:rPr>
        <w:t xml:space="preserve"> in dajanje GSO na trg </w:t>
      </w:r>
      <w:r w:rsidR="00C56D57">
        <w:rPr>
          <w:rFonts w:cs="Arial"/>
          <w:szCs w:val="20"/>
        </w:rPr>
        <w:t xml:space="preserve">EU </w:t>
      </w:r>
      <w:r>
        <w:rPr>
          <w:rFonts w:cs="Arial"/>
          <w:szCs w:val="20"/>
        </w:rPr>
        <w:t>prijaviti</w:t>
      </w:r>
      <w:r w:rsidR="002E6104">
        <w:rPr>
          <w:rFonts w:cs="Arial"/>
          <w:szCs w:val="20"/>
        </w:rPr>
        <w:t xml:space="preserve"> pristojnemu organu</w:t>
      </w:r>
      <w:r>
        <w:rPr>
          <w:rFonts w:cs="Arial"/>
          <w:szCs w:val="20"/>
        </w:rPr>
        <w:t xml:space="preserve">. </w:t>
      </w:r>
      <w:r w:rsidR="00C56D57">
        <w:rPr>
          <w:rFonts w:cs="Arial"/>
          <w:szCs w:val="20"/>
        </w:rPr>
        <w:t>V Sloveniji p</w:t>
      </w:r>
      <w:r>
        <w:rPr>
          <w:rFonts w:cs="Arial"/>
          <w:szCs w:val="20"/>
        </w:rPr>
        <w:t>rijavitelj</w:t>
      </w:r>
      <w:r w:rsidR="00D267AB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</w:t>
      </w:r>
      <w:r w:rsidR="00C56D57">
        <w:rPr>
          <w:rFonts w:cs="Arial"/>
          <w:szCs w:val="20"/>
        </w:rPr>
        <w:t xml:space="preserve">zaprtih sistemov in sproščanja GSO v okolje </w:t>
      </w:r>
      <w:r>
        <w:rPr>
          <w:rFonts w:cs="Arial"/>
          <w:szCs w:val="20"/>
        </w:rPr>
        <w:t xml:space="preserve">prihajajo </w:t>
      </w:r>
      <w:r w:rsidR="00D267AB">
        <w:rPr>
          <w:rFonts w:cs="Arial"/>
          <w:szCs w:val="20"/>
        </w:rPr>
        <w:t xml:space="preserve">v največji meri </w:t>
      </w:r>
      <w:r>
        <w:rPr>
          <w:rFonts w:cs="Arial"/>
          <w:szCs w:val="20"/>
        </w:rPr>
        <w:t>iz šol, univerz</w:t>
      </w:r>
      <w:r w:rsidR="00543768">
        <w:rPr>
          <w:rFonts w:cs="Arial"/>
          <w:szCs w:val="20"/>
        </w:rPr>
        <w:t xml:space="preserve"> in</w:t>
      </w:r>
      <w:r>
        <w:rPr>
          <w:rFonts w:cs="Arial"/>
          <w:szCs w:val="20"/>
        </w:rPr>
        <w:t xml:space="preserve"> inštitutov</w:t>
      </w:r>
      <w:r w:rsidR="00D267AB">
        <w:rPr>
          <w:rFonts w:cs="Arial"/>
          <w:szCs w:val="20"/>
        </w:rPr>
        <w:t xml:space="preserve">. </w:t>
      </w:r>
      <w:r w:rsidR="00521F2D">
        <w:rPr>
          <w:rFonts w:cs="Arial"/>
          <w:szCs w:val="20"/>
        </w:rPr>
        <w:t>Za pridobitev upravnega akta je</w:t>
      </w:r>
      <w:r w:rsidR="00D267AB">
        <w:rPr>
          <w:rFonts w:cs="Arial"/>
          <w:szCs w:val="20"/>
        </w:rPr>
        <w:t xml:space="preserve"> zahteva</w:t>
      </w:r>
      <w:r w:rsidR="00521F2D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izve</w:t>
      </w:r>
      <w:r w:rsidR="00D267AB">
        <w:rPr>
          <w:rFonts w:cs="Arial"/>
          <w:szCs w:val="20"/>
        </w:rPr>
        <w:t>db</w:t>
      </w:r>
      <w:r w:rsidR="00521F2D">
        <w:rPr>
          <w:rFonts w:cs="Arial"/>
          <w:szCs w:val="20"/>
        </w:rPr>
        <w:t>a</w:t>
      </w:r>
      <w:r w:rsidR="00D267AB">
        <w:rPr>
          <w:rFonts w:cs="Arial"/>
          <w:szCs w:val="20"/>
        </w:rPr>
        <w:t xml:space="preserve"> zelo</w:t>
      </w:r>
      <w:r>
        <w:rPr>
          <w:rFonts w:cs="Arial"/>
          <w:szCs w:val="20"/>
        </w:rPr>
        <w:t xml:space="preserve"> zahtevn</w:t>
      </w:r>
      <w:r w:rsidR="00D267AB">
        <w:rPr>
          <w:rFonts w:cs="Arial"/>
          <w:szCs w:val="20"/>
        </w:rPr>
        <w:t>ega</w:t>
      </w:r>
      <w:r>
        <w:rPr>
          <w:rFonts w:cs="Arial"/>
          <w:szCs w:val="20"/>
        </w:rPr>
        <w:t xml:space="preserve"> in </w:t>
      </w:r>
      <w:r w:rsidR="00B301FD" w:rsidRPr="00B301FD">
        <w:rPr>
          <w:rFonts w:cs="Arial"/>
          <w:szCs w:val="20"/>
        </w:rPr>
        <w:t>specifičn</w:t>
      </w:r>
      <w:r w:rsidR="00D267AB">
        <w:rPr>
          <w:rFonts w:cs="Arial"/>
          <w:szCs w:val="20"/>
        </w:rPr>
        <w:t>ega</w:t>
      </w:r>
      <w:r w:rsidR="00B301FD" w:rsidRPr="00B301FD">
        <w:rPr>
          <w:rFonts w:cs="Arial"/>
          <w:szCs w:val="20"/>
        </w:rPr>
        <w:t xml:space="preserve"> </w:t>
      </w:r>
      <w:r w:rsidR="00B301FD" w:rsidRPr="00521F2D">
        <w:rPr>
          <w:rFonts w:cs="Arial"/>
          <w:szCs w:val="20"/>
        </w:rPr>
        <w:t>upravn</w:t>
      </w:r>
      <w:r w:rsidR="00D267AB" w:rsidRPr="00521F2D">
        <w:rPr>
          <w:rFonts w:cs="Arial"/>
          <w:szCs w:val="20"/>
        </w:rPr>
        <w:t>ega</w:t>
      </w:r>
      <w:r w:rsidR="00B301FD" w:rsidRPr="00521F2D">
        <w:rPr>
          <w:rFonts w:cs="Arial"/>
          <w:szCs w:val="20"/>
        </w:rPr>
        <w:t xml:space="preserve"> postopk</w:t>
      </w:r>
      <w:r w:rsidR="00D267AB" w:rsidRPr="00521F2D">
        <w:rPr>
          <w:rFonts w:cs="Arial"/>
          <w:szCs w:val="20"/>
        </w:rPr>
        <w:t>a</w:t>
      </w:r>
      <w:r w:rsidR="00D267AB">
        <w:rPr>
          <w:rFonts w:cs="Arial"/>
          <w:szCs w:val="20"/>
        </w:rPr>
        <w:t xml:space="preserve">. Osrednji del postopka </w:t>
      </w:r>
      <w:r w:rsidR="002E6104">
        <w:rPr>
          <w:rFonts w:cs="Arial"/>
          <w:szCs w:val="20"/>
        </w:rPr>
        <w:t>zajema strokovno pomoč</w:t>
      </w:r>
      <w:r w:rsidR="00D267AB">
        <w:rPr>
          <w:rFonts w:cs="Arial"/>
          <w:szCs w:val="20"/>
        </w:rPr>
        <w:t xml:space="preserve"> znanstvenega odbora glede ustreznosti</w:t>
      </w:r>
      <w:r>
        <w:rPr>
          <w:rFonts w:cs="Arial"/>
          <w:szCs w:val="20"/>
        </w:rPr>
        <w:t xml:space="preserve"> ocen</w:t>
      </w:r>
      <w:r w:rsidR="00D267AB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tveganja</w:t>
      </w:r>
      <w:r w:rsidR="00D267AB">
        <w:rPr>
          <w:rFonts w:cs="Arial"/>
          <w:szCs w:val="20"/>
        </w:rPr>
        <w:t xml:space="preserve"> za okolje, ki jo pripravi prijavitelj. V tem okviru nastaja</w:t>
      </w:r>
      <w:r w:rsidR="00521F2D">
        <w:rPr>
          <w:rFonts w:cs="Arial"/>
          <w:szCs w:val="20"/>
        </w:rPr>
        <w:t>jo izdatki</w:t>
      </w:r>
      <w:r w:rsidR="00D267AB">
        <w:rPr>
          <w:rFonts w:cs="Arial"/>
          <w:szCs w:val="20"/>
        </w:rPr>
        <w:t xml:space="preserve">, ki se s </w:t>
      </w:r>
      <w:r w:rsidR="006F4219">
        <w:rPr>
          <w:rFonts w:cs="Arial"/>
          <w:szCs w:val="20"/>
        </w:rPr>
        <w:t xml:space="preserve">predmetno </w:t>
      </w:r>
      <w:r w:rsidR="00D267AB">
        <w:rPr>
          <w:rFonts w:cs="Arial"/>
          <w:szCs w:val="20"/>
        </w:rPr>
        <w:t xml:space="preserve">uredbo </w:t>
      </w:r>
      <w:r w:rsidR="00521F2D">
        <w:rPr>
          <w:rFonts w:cs="Arial"/>
          <w:szCs w:val="20"/>
        </w:rPr>
        <w:t xml:space="preserve">sedaj </w:t>
      </w:r>
      <w:r w:rsidR="00D267AB">
        <w:rPr>
          <w:rFonts w:cs="Arial"/>
          <w:szCs w:val="20"/>
        </w:rPr>
        <w:t>zaračunava</w:t>
      </w:r>
      <w:r w:rsidR="00521F2D">
        <w:rPr>
          <w:rFonts w:cs="Arial"/>
          <w:szCs w:val="20"/>
        </w:rPr>
        <w:t>jo</w:t>
      </w:r>
      <w:r w:rsidR="00D267AB">
        <w:rPr>
          <w:rFonts w:cs="Arial"/>
          <w:szCs w:val="20"/>
        </w:rPr>
        <w:t xml:space="preserve"> prijaviteljem</w:t>
      </w:r>
      <w:r w:rsidR="00521F2D">
        <w:rPr>
          <w:rFonts w:cs="Arial"/>
          <w:szCs w:val="20"/>
        </w:rPr>
        <w:t>, kar bo povečalo obremenitev prijaviteljev za pridobivanje upravnih aktov.</w:t>
      </w:r>
    </w:p>
    <w:p w:rsidR="00B301FD" w:rsidRDefault="00B301FD" w:rsidP="00B301FD">
      <w:pPr>
        <w:pStyle w:val="Navadensplet"/>
        <w:jc w:val="both"/>
        <w:rPr>
          <w:rFonts w:ascii="Arial" w:hAnsi="Arial" w:cs="Arial"/>
          <w:sz w:val="22"/>
          <w:szCs w:val="22"/>
        </w:rPr>
      </w:pPr>
    </w:p>
    <w:p w:rsidR="00533CCF" w:rsidRPr="008D1759" w:rsidRDefault="00533CCF" w:rsidP="00533CCF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1454F" w:rsidRPr="008D1759" w:rsidRDefault="0071454F" w:rsidP="0071454F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II. VSEBINSKA OBRAZLOŽITEV PREDLAGANIH REŠITEV</w:t>
      </w:r>
    </w:p>
    <w:p w:rsidR="0071454F" w:rsidRPr="008D175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0F52C8" w:rsidRPr="000F52C8" w:rsidRDefault="000F52C8" w:rsidP="000F52C8">
      <w:pPr>
        <w:rPr>
          <w:rFonts w:cs="Arial"/>
          <w:b/>
          <w:szCs w:val="20"/>
          <w:u w:val="single"/>
        </w:rPr>
      </w:pPr>
      <w:r w:rsidRPr="000F52C8">
        <w:rPr>
          <w:rFonts w:cs="Arial"/>
          <w:b/>
          <w:szCs w:val="20"/>
          <w:u w:val="single"/>
        </w:rPr>
        <w:t>K posameznim poglavjem/členom uredbe</w:t>
      </w:r>
    </w:p>
    <w:p w:rsidR="000F52C8" w:rsidRPr="000F52C8" w:rsidRDefault="000F52C8" w:rsidP="000F52C8">
      <w:pPr>
        <w:rPr>
          <w:rFonts w:cs="Arial"/>
          <w:szCs w:val="20"/>
        </w:rPr>
      </w:pPr>
    </w:p>
    <w:p w:rsidR="000F52C8" w:rsidRPr="000F52C8" w:rsidRDefault="000F52C8" w:rsidP="000F52C8">
      <w:pPr>
        <w:rPr>
          <w:rFonts w:cs="Arial"/>
          <w:b/>
          <w:szCs w:val="20"/>
        </w:rPr>
      </w:pPr>
      <w:r w:rsidRPr="000F52C8">
        <w:rPr>
          <w:rFonts w:cs="Arial"/>
          <w:b/>
          <w:szCs w:val="20"/>
        </w:rPr>
        <w:t>I. Splošne določbe</w:t>
      </w:r>
    </w:p>
    <w:p w:rsidR="007712D6" w:rsidRDefault="007712D6" w:rsidP="007712D6">
      <w:pPr>
        <w:rPr>
          <w:rFonts w:cs="Arial"/>
        </w:rPr>
      </w:pPr>
    </w:p>
    <w:p w:rsidR="00DE5BCC" w:rsidRPr="00500358" w:rsidRDefault="007712D6" w:rsidP="007712D6">
      <w:pPr>
        <w:rPr>
          <w:rFonts w:cs="Arial"/>
        </w:rPr>
      </w:pPr>
      <w:r>
        <w:rPr>
          <w:rFonts w:cs="Arial"/>
        </w:rPr>
        <w:t xml:space="preserve">V </w:t>
      </w:r>
      <w:r w:rsidR="00DE5BCC" w:rsidRPr="007712D6">
        <w:rPr>
          <w:rFonts w:cs="Arial"/>
        </w:rPr>
        <w:t xml:space="preserve">1. </w:t>
      </w:r>
      <w:r>
        <w:rPr>
          <w:rFonts w:cs="Arial"/>
        </w:rPr>
        <w:t>č</w:t>
      </w:r>
      <w:r w:rsidR="00DE5BCC" w:rsidRPr="007712D6">
        <w:rPr>
          <w:rFonts w:cs="Arial"/>
        </w:rPr>
        <w:t>lenu</w:t>
      </w:r>
      <w:r>
        <w:rPr>
          <w:rFonts w:cs="Arial"/>
        </w:rPr>
        <w:t xml:space="preserve"> je o</w:t>
      </w:r>
      <w:r w:rsidR="00DE5BCC" w:rsidRPr="00500358">
        <w:rPr>
          <w:rFonts w:cs="Arial"/>
        </w:rPr>
        <w:t xml:space="preserve">brazložena </w:t>
      </w:r>
      <w:r>
        <w:rPr>
          <w:rFonts w:cs="Arial"/>
        </w:rPr>
        <w:t xml:space="preserve">vsebina predloga uredbe, ki zajema način in merila določitve višine stroškov postopka izdaje upravnih aktov ter obračun stroškov obravnave prijave in </w:t>
      </w:r>
      <w:r w:rsidR="000D78C7">
        <w:rPr>
          <w:rFonts w:cs="Arial"/>
        </w:rPr>
        <w:t>strokovne pomoči</w:t>
      </w:r>
      <w:r>
        <w:rPr>
          <w:rFonts w:cs="Arial"/>
        </w:rPr>
        <w:t xml:space="preserve"> odbora za zaprte sisteme in odbora za sproščanje GSO.</w:t>
      </w:r>
    </w:p>
    <w:p w:rsidR="00DE5BCC" w:rsidRPr="00500358" w:rsidRDefault="00DE5BCC" w:rsidP="00DE5BCC">
      <w:pPr>
        <w:jc w:val="both"/>
        <w:rPr>
          <w:rFonts w:cs="Arial"/>
        </w:rPr>
      </w:pPr>
    </w:p>
    <w:p w:rsidR="00DE5BCC" w:rsidRDefault="007712D6" w:rsidP="00DE5BCC">
      <w:pPr>
        <w:jc w:val="both"/>
        <w:rPr>
          <w:rFonts w:cs="Arial"/>
        </w:rPr>
      </w:pPr>
      <w:r>
        <w:rPr>
          <w:rFonts w:cs="Arial"/>
        </w:rPr>
        <w:t>V</w:t>
      </w:r>
      <w:r w:rsidR="00DE5BCC" w:rsidRPr="007712D6">
        <w:rPr>
          <w:rFonts w:cs="Arial"/>
        </w:rPr>
        <w:t xml:space="preserve"> 2. </w:t>
      </w:r>
      <w:r>
        <w:rPr>
          <w:rFonts w:cs="Arial"/>
        </w:rPr>
        <w:t>č</w:t>
      </w:r>
      <w:r w:rsidR="00DE5BCC" w:rsidRPr="007712D6">
        <w:rPr>
          <w:rFonts w:cs="Arial"/>
        </w:rPr>
        <w:t>lenu</w:t>
      </w:r>
      <w:r>
        <w:rPr>
          <w:rFonts w:cs="Arial"/>
        </w:rPr>
        <w:t xml:space="preserve"> so </w:t>
      </w:r>
      <w:r w:rsidR="00DE5BCC" w:rsidRPr="00500358">
        <w:rPr>
          <w:rFonts w:cs="Arial"/>
        </w:rPr>
        <w:t>opredeljen</w:t>
      </w:r>
      <w:r w:rsidR="000D78C7">
        <w:rPr>
          <w:rFonts w:cs="Arial"/>
        </w:rPr>
        <w:t>i</w:t>
      </w:r>
      <w:r w:rsidR="00DE5BCC" w:rsidRPr="00500358">
        <w:rPr>
          <w:rFonts w:cs="Arial"/>
        </w:rPr>
        <w:t xml:space="preserve"> izraz</w:t>
      </w:r>
      <w:r>
        <w:rPr>
          <w:rFonts w:cs="Arial"/>
        </w:rPr>
        <w:t xml:space="preserve">i, ki se uporabljajo v Uredbi in zajemajo </w:t>
      </w:r>
      <w:r w:rsidR="00DE5BCC" w:rsidRPr="00500358">
        <w:rPr>
          <w:rFonts w:cs="Arial"/>
        </w:rPr>
        <w:t>strošk</w:t>
      </w:r>
      <w:r>
        <w:rPr>
          <w:rFonts w:cs="Arial"/>
        </w:rPr>
        <w:t xml:space="preserve">e, ki </w:t>
      </w:r>
      <w:r w:rsidR="00DE5BCC">
        <w:rPr>
          <w:rFonts w:cs="Arial"/>
        </w:rPr>
        <w:t>pomeni</w:t>
      </w:r>
      <w:r>
        <w:rPr>
          <w:rFonts w:cs="Arial"/>
        </w:rPr>
        <w:t>jo</w:t>
      </w:r>
      <w:r w:rsidR="00DE5BCC">
        <w:rPr>
          <w:rFonts w:cs="Arial"/>
        </w:rPr>
        <w:t xml:space="preserve"> </w:t>
      </w:r>
      <w:r w:rsidR="00DE5BCC" w:rsidRPr="00500358">
        <w:rPr>
          <w:rFonts w:cs="Arial"/>
        </w:rPr>
        <w:t>izdatk</w:t>
      </w:r>
      <w:r w:rsidR="00DE5BCC">
        <w:rPr>
          <w:rFonts w:cs="Arial"/>
        </w:rPr>
        <w:t>e</w:t>
      </w:r>
      <w:r w:rsidR="00DE5BCC" w:rsidRPr="00500358">
        <w:rPr>
          <w:rFonts w:cs="Arial"/>
        </w:rPr>
        <w:t xml:space="preserve">, ki nastanejo </w:t>
      </w:r>
      <w:r w:rsidR="00DE5BCC">
        <w:rPr>
          <w:rFonts w:cs="Arial"/>
        </w:rPr>
        <w:t xml:space="preserve">odgovornemu </w:t>
      </w:r>
      <w:r w:rsidR="00DE5BCC" w:rsidRPr="00500358">
        <w:rPr>
          <w:rFonts w:cs="Arial"/>
        </w:rPr>
        <w:t xml:space="preserve">organu v zvezi </w:t>
      </w:r>
      <w:r w:rsidR="00DE5BCC" w:rsidRPr="00500358">
        <w:rPr>
          <w:rFonts w:cs="Arial"/>
          <w:bCs/>
        </w:rPr>
        <w:t xml:space="preserve">z izdajo </w:t>
      </w:r>
      <w:r w:rsidR="00DE5BCC">
        <w:rPr>
          <w:rFonts w:cs="Arial"/>
          <w:bCs/>
        </w:rPr>
        <w:t xml:space="preserve">upravnih aktov za zaprti sistem, za delo z GSO, za namerno sproščanje GSO v okolje in za dajanje izdelka na trg. Uredba uvaja tudi izraz poročevalec, kar </w:t>
      </w:r>
      <w:r w:rsidR="00DE5BCC">
        <w:rPr>
          <w:rFonts w:cs="Arial"/>
        </w:rPr>
        <w:t>pomeni osebo</w:t>
      </w:r>
      <w:r w:rsidR="00DE5BCC" w:rsidRPr="00500358">
        <w:rPr>
          <w:rFonts w:cs="Arial"/>
        </w:rPr>
        <w:t>, ki je član znanstvenega odbora za zaprte sisteme ali znanstvenega odbora za namerno sproščanje GSO v okolje in dajanje izdelk</w:t>
      </w:r>
      <w:r w:rsidR="00DE5BCC">
        <w:rPr>
          <w:rFonts w:cs="Arial"/>
        </w:rPr>
        <w:t>a</w:t>
      </w:r>
      <w:r w:rsidR="00DE5BCC" w:rsidRPr="00500358">
        <w:rPr>
          <w:rFonts w:cs="Arial"/>
        </w:rPr>
        <w:t xml:space="preserve"> na trg ali </w:t>
      </w:r>
      <w:r w:rsidR="00DE5BCC">
        <w:rPr>
          <w:rFonts w:cs="Arial"/>
        </w:rPr>
        <w:t>drug strokovnjak</w:t>
      </w:r>
      <w:r w:rsidR="00DE5BCC" w:rsidRPr="00500358">
        <w:rPr>
          <w:rFonts w:cs="Arial"/>
        </w:rPr>
        <w:t>, ki</w:t>
      </w:r>
      <w:r w:rsidR="00DE5BCC">
        <w:rPr>
          <w:rFonts w:cs="Arial"/>
        </w:rPr>
        <w:t xml:space="preserve"> poroča o strokovnem mnenju oziroma mnenju o primernosti izdelka ter ga določi znanstveni odbor. </w:t>
      </w:r>
      <w:r w:rsidR="001B4AAF">
        <w:rPr>
          <w:rFonts w:cs="Arial"/>
        </w:rPr>
        <w:t xml:space="preserve">V tem okviru </w:t>
      </w:r>
      <w:r w:rsidR="001B4AAF">
        <w:rPr>
          <w:rFonts w:cs="Arial"/>
          <w:szCs w:val="20"/>
        </w:rPr>
        <w:t xml:space="preserve">izraz drugi strokovnjak pomeni samo strokovnjaka </w:t>
      </w:r>
      <w:r w:rsidR="001B4AAF">
        <w:t xml:space="preserve">iz evidence </w:t>
      </w:r>
      <w:r w:rsidR="001B4AAF">
        <w:rPr>
          <w:color w:val="000000"/>
        </w:rPr>
        <w:t xml:space="preserve">raziskovalne in razvojne dejavnosti, ki ga vodi Agencija za raziskovalno dejavnost Republike Slovenije ali strokovnjaka iz seznama strokovnjakov </w:t>
      </w:r>
      <w:r w:rsidR="001B4AAF">
        <w:t xml:space="preserve">v okviru Urada za izmenjavo informacij o biološki varnosti, ki je vzpostavljen v okviru </w:t>
      </w:r>
      <w:proofErr w:type="spellStart"/>
      <w:r w:rsidR="001B4AAF">
        <w:t>Kartagenskega</w:t>
      </w:r>
      <w:proofErr w:type="spellEnd"/>
      <w:r w:rsidR="001B4AAF">
        <w:t xml:space="preserve"> protokola o biološki varnosti katerega pogodbenica je tudi Slovenija (MKPBV, Ur.l. RS 89/2002</w:t>
      </w:r>
      <w:r w:rsidR="001B4AAF" w:rsidRPr="00604A96">
        <w:t xml:space="preserve"> </w:t>
      </w:r>
      <w:r w:rsidR="001B4AAF">
        <w:t>in Odločitev Pogodbenic</w:t>
      </w:r>
      <w:r w:rsidR="001B4AAF" w:rsidRPr="00496D53">
        <w:t xml:space="preserve"> </w:t>
      </w:r>
      <w:r w:rsidR="001B4AAF">
        <w:t xml:space="preserve">EM-I/3). </w:t>
      </w:r>
      <w:r w:rsidR="00DE5BCC" w:rsidRPr="00500358">
        <w:rPr>
          <w:rFonts w:cs="Arial"/>
        </w:rPr>
        <w:t xml:space="preserve">V členu so opredeljeni </w:t>
      </w:r>
      <w:r w:rsidR="00DE5BCC">
        <w:rPr>
          <w:rFonts w:cs="Arial"/>
        </w:rPr>
        <w:t xml:space="preserve">tudi </w:t>
      </w:r>
      <w:r w:rsidR="00DE5BCC" w:rsidRPr="00500358">
        <w:rPr>
          <w:rFonts w:cs="Arial"/>
        </w:rPr>
        <w:t xml:space="preserve">izrazi dnevnica, prevozni stroški, stroški </w:t>
      </w:r>
      <w:r w:rsidR="00DE5BCC">
        <w:rPr>
          <w:rFonts w:cs="Arial"/>
        </w:rPr>
        <w:t>prenočevanja</w:t>
      </w:r>
      <w:r w:rsidR="00DE5BCC" w:rsidRPr="00500358">
        <w:rPr>
          <w:rFonts w:cs="Arial"/>
        </w:rPr>
        <w:t xml:space="preserve">, ki pomenijo </w:t>
      </w:r>
      <w:r w:rsidR="00DE5BCC">
        <w:rPr>
          <w:rFonts w:cs="Arial"/>
        </w:rPr>
        <w:t>izdatke</w:t>
      </w:r>
      <w:r w:rsidR="00DE5BCC" w:rsidRPr="00500358">
        <w:rPr>
          <w:rFonts w:cs="Arial"/>
        </w:rPr>
        <w:t xml:space="preserve"> po predpisih, ki urejajo povračila stroškov </w:t>
      </w:r>
      <w:r w:rsidR="00EC3F44">
        <w:rPr>
          <w:rFonts w:cs="Arial"/>
          <w:szCs w:val="20"/>
        </w:rPr>
        <w:t>in druge prejemke v javnem sektorju</w:t>
      </w:r>
      <w:r w:rsidR="00DE5BCC" w:rsidRPr="00500358">
        <w:rPr>
          <w:rFonts w:cs="Arial"/>
        </w:rPr>
        <w:t>.</w:t>
      </w:r>
      <w:r w:rsidR="00DE5BCC">
        <w:rPr>
          <w:rFonts w:cs="Arial"/>
        </w:rPr>
        <w:t xml:space="preserve"> </w:t>
      </w:r>
      <w:r w:rsidR="00DE5BCC" w:rsidRPr="00500358">
        <w:rPr>
          <w:rFonts w:cs="Arial"/>
        </w:rPr>
        <w:t xml:space="preserve">Drugi izrazi, uporabljeni v uredbi, </w:t>
      </w:r>
      <w:r w:rsidR="00DE5BCC">
        <w:rPr>
          <w:rFonts w:cs="Arial"/>
        </w:rPr>
        <w:t xml:space="preserve">pa </w:t>
      </w:r>
      <w:r w:rsidR="00DE5BCC" w:rsidRPr="00500358">
        <w:rPr>
          <w:rFonts w:cs="Arial"/>
        </w:rPr>
        <w:t xml:space="preserve">imajo enak pomen kot izrazi, uporabljeni v predpisu, ki ureja ravnanje z </w:t>
      </w:r>
      <w:r w:rsidR="00DE5BCC">
        <w:rPr>
          <w:rFonts w:cs="Arial"/>
        </w:rPr>
        <w:t>GSO</w:t>
      </w:r>
      <w:r w:rsidR="00DE5BCC" w:rsidRPr="00500358">
        <w:rPr>
          <w:rFonts w:cs="Arial"/>
        </w:rPr>
        <w:t>.</w:t>
      </w:r>
    </w:p>
    <w:p w:rsidR="00DE5BCC" w:rsidRDefault="00DE5BCC" w:rsidP="00DE5BCC">
      <w:pPr>
        <w:jc w:val="both"/>
        <w:rPr>
          <w:rFonts w:cs="Arial"/>
        </w:rPr>
      </w:pPr>
    </w:p>
    <w:p w:rsidR="007712D6" w:rsidRPr="00500358" w:rsidRDefault="007712D6" w:rsidP="00DE5BCC">
      <w:pPr>
        <w:jc w:val="both"/>
        <w:rPr>
          <w:rFonts w:cs="Arial"/>
        </w:rPr>
      </w:pPr>
      <w:r w:rsidRPr="00804B6A">
        <w:rPr>
          <w:rFonts w:cs="Arial"/>
          <w:b/>
        </w:rPr>
        <w:t>II. N</w:t>
      </w:r>
      <w:r>
        <w:rPr>
          <w:rFonts w:cs="Arial"/>
          <w:b/>
        </w:rPr>
        <w:t>ačin in merila za določitev višine stroškov postopka izdaje upravnih aktov</w:t>
      </w:r>
    </w:p>
    <w:p w:rsidR="00FE2F03" w:rsidRDefault="00FE2F03" w:rsidP="00DE5BCC">
      <w:pPr>
        <w:jc w:val="both"/>
        <w:rPr>
          <w:rFonts w:cs="Arial"/>
        </w:rPr>
      </w:pPr>
    </w:p>
    <w:p w:rsidR="00DE5BCC" w:rsidRDefault="007712D6" w:rsidP="00DE5BCC">
      <w:pPr>
        <w:jc w:val="both"/>
        <w:rPr>
          <w:rFonts w:cs="Arial"/>
        </w:rPr>
      </w:pPr>
      <w:r>
        <w:rPr>
          <w:rFonts w:cs="Arial"/>
        </w:rPr>
        <w:t xml:space="preserve">V </w:t>
      </w:r>
      <w:r w:rsidR="00DE5BCC" w:rsidRPr="007712D6">
        <w:rPr>
          <w:rFonts w:cs="Arial"/>
        </w:rPr>
        <w:t>3. členu</w:t>
      </w:r>
      <w:r w:rsidR="00DE5BCC">
        <w:rPr>
          <w:rFonts w:cs="Arial"/>
        </w:rPr>
        <w:t xml:space="preserve"> je skupaj s Prilogo 1 opredeljen način in merila za določitev višine stroškov, ki nastanejo v zvezi z izdajo </w:t>
      </w:r>
      <w:r w:rsidR="00DE5BCC">
        <w:rPr>
          <w:rFonts w:cs="Arial"/>
          <w:bCs/>
        </w:rPr>
        <w:t>upravnih aktov za zaprti sistem</w:t>
      </w:r>
      <w:r w:rsidR="00DE5BCC">
        <w:rPr>
          <w:rFonts w:cs="Arial"/>
        </w:rPr>
        <w:t xml:space="preserve"> oziroma sprememb zaprtega sistema v postopku pridobitve </w:t>
      </w:r>
      <w:r w:rsidR="00EC3F44">
        <w:rPr>
          <w:rFonts w:cs="Arial"/>
        </w:rPr>
        <w:t>strokovne pomoči</w:t>
      </w:r>
      <w:r w:rsidR="00DE5BCC">
        <w:rPr>
          <w:rFonts w:cs="Arial"/>
        </w:rPr>
        <w:t xml:space="preserve"> odbora za zaprte sisteme in obsegajo stroške poročevalca, stroške drugih strokovnjakov, stroške za prevoz</w:t>
      </w:r>
      <w:r w:rsidR="006F4219">
        <w:rPr>
          <w:rFonts w:cs="Arial"/>
        </w:rPr>
        <w:t xml:space="preserve"> ter</w:t>
      </w:r>
      <w:r w:rsidR="00DE5BCC">
        <w:rPr>
          <w:rFonts w:cs="Arial"/>
        </w:rPr>
        <w:t xml:space="preserve"> </w:t>
      </w:r>
      <w:r w:rsidR="00DE5BCC" w:rsidRPr="00AA2B7D">
        <w:rPr>
          <w:rFonts w:cs="Arial"/>
        </w:rPr>
        <w:t>stroške prenoč</w:t>
      </w:r>
      <w:r w:rsidR="00DE5BCC">
        <w:rPr>
          <w:rFonts w:cs="Arial"/>
        </w:rPr>
        <w:t>evanja</w:t>
      </w:r>
      <w:r w:rsidR="00EC3F44">
        <w:rPr>
          <w:rFonts w:cs="Arial"/>
        </w:rPr>
        <w:t xml:space="preserve"> in</w:t>
      </w:r>
      <w:r w:rsidR="00DE5BCC" w:rsidRPr="00BF00D2">
        <w:rPr>
          <w:rFonts w:cs="Arial"/>
        </w:rPr>
        <w:t xml:space="preserve"> </w:t>
      </w:r>
      <w:r w:rsidR="00DE5BCC">
        <w:rPr>
          <w:rFonts w:cs="Arial"/>
        </w:rPr>
        <w:t xml:space="preserve">dnevnice. </w:t>
      </w:r>
    </w:p>
    <w:p w:rsidR="00DE5BCC" w:rsidRDefault="00DE5BCC" w:rsidP="00DE5BCC">
      <w:pPr>
        <w:jc w:val="both"/>
        <w:rPr>
          <w:rFonts w:cs="Arial"/>
        </w:rPr>
      </w:pPr>
    </w:p>
    <w:p w:rsidR="00DE5BCC" w:rsidRDefault="00DE5BCC" w:rsidP="00DE5BCC">
      <w:pPr>
        <w:jc w:val="both"/>
        <w:rPr>
          <w:rFonts w:cs="Arial"/>
        </w:rPr>
      </w:pPr>
      <w:r>
        <w:rPr>
          <w:rFonts w:cs="Arial"/>
        </w:rPr>
        <w:t xml:space="preserve">V </w:t>
      </w:r>
      <w:r w:rsidR="007712D6">
        <w:rPr>
          <w:rFonts w:cs="Arial"/>
        </w:rPr>
        <w:t xml:space="preserve">4. </w:t>
      </w:r>
      <w:r>
        <w:rPr>
          <w:rFonts w:cs="Arial"/>
        </w:rPr>
        <w:t xml:space="preserve">členu je skupaj s Prilogo 2 opredeljen način in merila za določitev stroškov, ki nastanejo v zvezi z izdajo upravnih aktov </w:t>
      </w:r>
      <w:r>
        <w:rPr>
          <w:rFonts w:cs="Arial"/>
          <w:bCs/>
        </w:rPr>
        <w:t>za delo z GSO</w:t>
      </w:r>
      <w:r>
        <w:rPr>
          <w:rFonts w:cs="Arial"/>
        </w:rPr>
        <w:t xml:space="preserve"> v drugem, tretjem ali četrtem varnostnem razredu v postopku pridobitve </w:t>
      </w:r>
      <w:r w:rsidR="00EC3F44">
        <w:rPr>
          <w:rFonts w:cs="Arial"/>
        </w:rPr>
        <w:t>strokovne pomoči</w:t>
      </w:r>
      <w:r>
        <w:rPr>
          <w:rFonts w:cs="Arial"/>
        </w:rPr>
        <w:t xml:space="preserve"> odbora za zaprte sisteme in obsegajo stroške </w:t>
      </w:r>
      <w:r>
        <w:rPr>
          <w:rFonts w:cs="Arial"/>
        </w:rPr>
        <w:lastRenderedPageBreak/>
        <w:t xml:space="preserve">poročevalca, stroške drugih strokovnjakov, stroške za prevoz, </w:t>
      </w:r>
      <w:r w:rsidRPr="00AA2B7D">
        <w:rPr>
          <w:rFonts w:cs="Arial"/>
        </w:rPr>
        <w:t>stroške prenoč</w:t>
      </w:r>
      <w:r>
        <w:rPr>
          <w:rFonts w:cs="Arial"/>
        </w:rPr>
        <w:t>evanja,</w:t>
      </w:r>
      <w:r w:rsidRPr="00BF00D2">
        <w:rPr>
          <w:rFonts w:cs="Arial"/>
        </w:rPr>
        <w:t xml:space="preserve"> </w:t>
      </w:r>
      <w:r>
        <w:rPr>
          <w:rFonts w:cs="Arial"/>
        </w:rPr>
        <w:t>dnevnice</w:t>
      </w:r>
      <w:r w:rsidR="006F4219" w:rsidRPr="006F4219">
        <w:rPr>
          <w:rFonts w:cs="Arial"/>
        </w:rPr>
        <w:t xml:space="preserve"> </w:t>
      </w:r>
      <w:r w:rsidR="006F4219">
        <w:rPr>
          <w:rFonts w:cs="Arial"/>
        </w:rPr>
        <w:t>ter</w:t>
      </w:r>
      <w:r>
        <w:rPr>
          <w:rFonts w:cs="Arial"/>
        </w:rPr>
        <w:t xml:space="preserve"> stroške javnega naznanila in javne obravnave.</w:t>
      </w:r>
    </w:p>
    <w:p w:rsidR="00DE5BCC" w:rsidRPr="00500358" w:rsidRDefault="00DE5BCC" w:rsidP="00DE5BCC">
      <w:pPr>
        <w:jc w:val="both"/>
        <w:rPr>
          <w:rFonts w:cs="Arial"/>
        </w:rPr>
      </w:pPr>
    </w:p>
    <w:p w:rsidR="00DE5BCC" w:rsidRDefault="00DE5BCC" w:rsidP="00DE5BCC">
      <w:pPr>
        <w:jc w:val="both"/>
        <w:rPr>
          <w:rFonts w:cs="Arial"/>
        </w:rPr>
      </w:pPr>
      <w:r>
        <w:rPr>
          <w:rFonts w:cs="Arial"/>
        </w:rPr>
        <w:t xml:space="preserve">V </w:t>
      </w:r>
      <w:r w:rsidR="007712D6">
        <w:rPr>
          <w:rFonts w:cs="Arial"/>
        </w:rPr>
        <w:t xml:space="preserve">5. </w:t>
      </w:r>
      <w:r>
        <w:rPr>
          <w:rFonts w:cs="Arial"/>
        </w:rPr>
        <w:t>členu je skupaj s Prilogo 3 opredeljen način in merila za določitev stroškov, ki nastanejo v zvezi z izdajo upravnih aktov za namerno sproščanje GSO v okolje</w:t>
      </w:r>
      <w:r w:rsidR="00FE2F03">
        <w:rPr>
          <w:rFonts w:cs="Arial"/>
        </w:rPr>
        <w:t xml:space="preserve"> z namenom izvedbe poskusa</w:t>
      </w:r>
      <w:r>
        <w:rPr>
          <w:rFonts w:cs="Arial"/>
        </w:rPr>
        <w:t xml:space="preserve"> in obsegajo stroške poročevalca, stroške drugih strokovnjakov, stroške za prevoz, </w:t>
      </w:r>
      <w:r w:rsidRPr="00AA2B7D">
        <w:rPr>
          <w:rFonts w:cs="Arial"/>
        </w:rPr>
        <w:t>stroške prenoč</w:t>
      </w:r>
      <w:r>
        <w:rPr>
          <w:rFonts w:cs="Arial"/>
        </w:rPr>
        <w:t>evanja,</w:t>
      </w:r>
      <w:r w:rsidRPr="00BF00D2">
        <w:rPr>
          <w:rFonts w:cs="Arial"/>
        </w:rPr>
        <w:t xml:space="preserve"> </w:t>
      </w:r>
      <w:r>
        <w:rPr>
          <w:rFonts w:cs="Arial"/>
        </w:rPr>
        <w:t xml:space="preserve">dnevnice, </w:t>
      </w:r>
      <w:r w:rsidR="006F4219">
        <w:rPr>
          <w:rFonts w:cs="Arial"/>
        </w:rPr>
        <w:t xml:space="preserve">ter </w:t>
      </w:r>
      <w:r>
        <w:rPr>
          <w:rFonts w:cs="Arial"/>
        </w:rPr>
        <w:t>stroške javnega naznanila in javne obravnave</w:t>
      </w:r>
      <w:r w:rsidRPr="00B752D1">
        <w:rPr>
          <w:rFonts w:cs="Arial"/>
        </w:rPr>
        <w:t>.</w:t>
      </w:r>
    </w:p>
    <w:p w:rsidR="00DE5BCC" w:rsidRDefault="00DE5BCC" w:rsidP="00DE5BCC">
      <w:pPr>
        <w:jc w:val="both"/>
        <w:rPr>
          <w:rFonts w:cs="Arial"/>
        </w:rPr>
      </w:pPr>
    </w:p>
    <w:p w:rsidR="00DE5BCC" w:rsidRPr="00500358" w:rsidRDefault="00DE5BCC" w:rsidP="00DE5BCC">
      <w:pPr>
        <w:jc w:val="both"/>
        <w:rPr>
          <w:rFonts w:cs="Arial"/>
        </w:rPr>
      </w:pPr>
      <w:r>
        <w:rPr>
          <w:rFonts w:cs="Arial"/>
        </w:rPr>
        <w:t xml:space="preserve">V </w:t>
      </w:r>
      <w:r w:rsidR="007712D6">
        <w:rPr>
          <w:rFonts w:cs="Arial"/>
        </w:rPr>
        <w:t xml:space="preserve">6. </w:t>
      </w:r>
      <w:r>
        <w:rPr>
          <w:rFonts w:cs="Arial"/>
        </w:rPr>
        <w:t>členu je skupaj s Prilogo 4 opredeljen način in merila za odmero stroškov, ki nastanejo v zvezi z izdajo upravnih aktov za dajanje GSO izdelka na trg in obsegajo stroške poročevalca, stroške drugih strokovnjakov, stroške prevoza, stroške prenočevanja, dnevnice</w:t>
      </w:r>
      <w:r w:rsidR="006F4219" w:rsidRPr="006F4219">
        <w:rPr>
          <w:rFonts w:cs="Arial"/>
        </w:rPr>
        <w:t xml:space="preserve"> </w:t>
      </w:r>
      <w:r w:rsidR="006F4219">
        <w:rPr>
          <w:rFonts w:cs="Arial"/>
        </w:rPr>
        <w:t>ter</w:t>
      </w:r>
      <w:r>
        <w:rPr>
          <w:rFonts w:cs="Arial"/>
        </w:rPr>
        <w:t xml:space="preserve"> stroške javnega naznanila in javne obravnave.</w:t>
      </w:r>
    </w:p>
    <w:p w:rsidR="00DE5BCC" w:rsidRPr="007712D6" w:rsidRDefault="00DE5BCC" w:rsidP="00DE5BCC">
      <w:pPr>
        <w:jc w:val="both"/>
        <w:rPr>
          <w:rFonts w:cs="Arial"/>
          <w:szCs w:val="20"/>
        </w:rPr>
      </w:pPr>
    </w:p>
    <w:p w:rsidR="00DE5BCC" w:rsidRPr="007712D6" w:rsidRDefault="00DE5BCC" w:rsidP="00DE5BCC">
      <w:pPr>
        <w:pStyle w:val="Telobesedila3"/>
        <w:jc w:val="both"/>
        <w:rPr>
          <w:rFonts w:ascii="Arial" w:hAnsi="Arial" w:cs="Arial"/>
          <w:sz w:val="20"/>
        </w:rPr>
      </w:pPr>
      <w:r w:rsidRPr="007712D6">
        <w:rPr>
          <w:rFonts w:ascii="Arial" w:hAnsi="Arial" w:cs="Arial"/>
          <w:sz w:val="20"/>
        </w:rPr>
        <w:t xml:space="preserve">V </w:t>
      </w:r>
      <w:r w:rsidR="007712D6">
        <w:rPr>
          <w:rFonts w:ascii="Arial" w:hAnsi="Arial" w:cs="Arial"/>
          <w:sz w:val="20"/>
        </w:rPr>
        <w:t xml:space="preserve">7. </w:t>
      </w:r>
      <w:r w:rsidRPr="007712D6">
        <w:rPr>
          <w:rFonts w:ascii="Arial" w:hAnsi="Arial" w:cs="Arial"/>
          <w:sz w:val="20"/>
        </w:rPr>
        <w:t xml:space="preserve">členu je opredeljeno, da je nosilec vseh stroškov, ki nastanejo med izdajo upravnih aktov </w:t>
      </w:r>
      <w:r w:rsidRPr="007712D6">
        <w:rPr>
          <w:rFonts w:ascii="Arial" w:hAnsi="Arial" w:cs="Arial"/>
          <w:bCs/>
          <w:sz w:val="20"/>
        </w:rPr>
        <w:t xml:space="preserve">v zvezi z delom z </w:t>
      </w:r>
      <w:r w:rsidR="00EC3F44">
        <w:rPr>
          <w:rFonts w:ascii="Arial" w:hAnsi="Arial" w:cs="Arial"/>
          <w:bCs/>
          <w:sz w:val="20"/>
        </w:rPr>
        <w:t>GSO</w:t>
      </w:r>
      <w:r w:rsidRPr="007712D6">
        <w:rPr>
          <w:rFonts w:ascii="Arial" w:hAnsi="Arial" w:cs="Arial"/>
          <w:bCs/>
          <w:sz w:val="20"/>
        </w:rPr>
        <w:t xml:space="preserve"> v zaprtem sistemu, namernim sproščanjem </w:t>
      </w:r>
      <w:r w:rsidR="00EC3F44">
        <w:rPr>
          <w:rFonts w:ascii="Arial" w:hAnsi="Arial" w:cs="Arial"/>
          <w:bCs/>
          <w:sz w:val="20"/>
        </w:rPr>
        <w:t>GSO</w:t>
      </w:r>
      <w:r w:rsidRPr="007712D6">
        <w:rPr>
          <w:rFonts w:ascii="Arial" w:hAnsi="Arial" w:cs="Arial"/>
          <w:bCs/>
          <w:sz w:val="20"/>
        </w:rPr>
        <w:t xml:space="preserve"> v okolje in dajanjem izdelkov na trg po tej uredbi prijavitelj</w:t>
      </w:r>
      <w:r w:rsidRPr="007712D6">
        <w:rPr>
          <w:rFonts w:ascii="Arial" w:hAnsi="Arial" w:cs="Arial"/>
          <w:sz w:val="20"/>
        </w:rPr>
        <w:t>. Opredeljeno je tudi, da je plačilo stroškov prihodek proračuna Republike Slovenije, ki se vplača na prehodni podračun, ki je odprt v skladu s predpisi, ki urejajo podračune ter načine plačevanja obveznih dajatev in drugih javnofinančnih prihodkov.</w:t>
      </w:r>
    </w:p>
    <w:p w:rsidR="00DE5BCC" w:rsidRPr="007712D6" w:rsidRDefault="00DE5BCC" w:rsidP="00DE5BCC">
      <w:pPr>
        <w:jc w:val="both"/>
        <w:rPr>
          <w:rFonts w:cs="Arial"/>
          <w:szCs w:val="20"/>
        </w:rPr>
      </w:pPr>
    </w:p>
    <w:p w:rsidR="00DE5BCC" w:rsidRPr="007712D6" w:rsidRDefault="007712D6" w:rsidP="00DE5BCC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III. Končna določba</w:t>
      </w:r>
    </w:p>
    <w:p w:rsidR="007712D6" w:rsidRDefault="007712D6" w:rsidP="00DE5BCC">
      <w:pPr>
        <w:jc w:val="both"/>
        <w:rPr>
          <w:rFonts w:cs="Arial"/>
          <w:szCs w:val="20"/>
        </w:rPr>
      </w:pPr>
    </w:p>
    <w:p w:rsidR="00DE5BCC" w:rsidRPr="007712D6" w:rsidRDefault="007712D6" w:rsidP="00DE5B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8. členu sta d</w:t>
      </w:r>
      <w:r w:rsidR="00DE5BCC" w:rsidRPr="007712D6">
        <w:rPr>
          <w:rFonts w:cs="Arial"/>
          <w:szCs w:val="20"/>
        </w:rPr>
        <w:t>oločena začetek veljavnosti in uporabnosti</w:t>
      </w:r>
      <w:r>
        <w:rPr>
          <w:rFonts w:cs="Arial"/>
          <w:szCs w:val="20"/>
        </w:rPr>
        <w:t xml:space="preserve"> same Uredbe</w:t>
      </w:r>
      <w:r w:rsidR="00DE5BCC" w:rsidRPr="007712D6">
        <w:rPr>
          <w:rFonts w:cs="Arial"/>
          <w:szCs w:val="20"/>
        </w:rPr>
        <w:t>.</w:t>
      </w:r>
    </w:p>
    <w:p w:rsidR="000F52C8" w:rsidRPr="007712D6" w:rsidRDefault="000F52C8" w:rsidP="000F52C8">
      <w:pPr>
        <w:rPr>
          <w:rFonts w:cs="Arial"/>
          <w:b/>
          <w:szCs w:val="20"/>
        </w:rPr>
      </w:pPr>
    </w:p>
    <w:p w:rsidR="000F52C8" w:rsidRPr="000F52C8" w:rsidRDefault="000F52C8" w:rsidP="000F52C8">
      <w:pPr>
        <w:rPr>
          <w:rFonts w:cs="Arial"/>
          <w:szCs w:val="20"/>
        </w:rPr>
      </w:pPr>
    </w:p>
    <w:p w:rsidR="000F52C8" w:rsidRPr="000F52C8" w:rsidRDefault="000F52C8" w:rsidP="000F52C8">
      <w:pPr>
        <w:rPr>
          <w:rFonts w:cs="Arial"/>
          <w:b/>
          <w:szCs w:val="20"/>
        </w:rPr>
      </w:pPr>
      <w:r w:rsidRPr="000F52C8">
        <w:rPr>
          <w:rFonts w:cs="Arial"/>
          <w:b/>
          <w:szCs w:val="20"/>
        </w:rPr>
        <w:t>Priloge</w:t>
      </w:r>
    </w:p>
    <w:p w:rsidR="000F52C8" w:rsidRPr="000F52C8" w:rsidRDefault="000F52C8" w:rsidP="000F52C8">
      <w:pPr>
        <w:rPr>
          <w:rFonts w:cs="Arial"/>
          <w:b/>
          <w:szCs w:val="20"/>
        </w:rPr>
      </w:pPr>
    </w:p>
    <w:p w:rsidR="000F52C8" w:rsidRPr="000F52C8" w:rsidRDefault="00271DBA" w:rsidP="0022475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 u</w:t>
      </w:r>
      <w:r w:rsidR="000F52C8" w:rsidRPr="000F52C8">
        <w:rPr>
          <w:rFonts w:cs="Arial"/>
          <w:szCs w:val="20"/>
        </w:rPr>
        <w:t xml:space="preserve">redbi </w:t>
      </w:r>
      <w:r w:rsidR="007712D6">
        <w:rPr>
          <w:rFonts w:cs="Arial"/>
          <w:szCs w:val="20"/>
        </w:rPr>
        <w:t>so</w:t>
      </w:r>
      <w:r w:rsidR="000F52C8" w:rsidRPr="000F52C8">
        <w:rPr>
          <w:rFonts w:cs="Arial"/>
          <w:szCs w:val="20"/>
        </w:rPr>
        <w:t xml:space="preserve"> dodan</w:t>
      </w:r>
      <w:r w:rsidR="007712D6">
        <w:rPr>
          <w:rFonts w:cs="Arial"/>
          <w:szCs w:val="20"/>
        </w:rPr>
        <w:t>e štiri</w:t>
      </w:r>
      <w:r w:rsidR="000F52C8" w:rsidRPr="000F52C8">
        <w:rPr>
          <w:rFonts w:cs="Arial"/>
          <w:szCs w:val="20"/>
        </w:rPr>
        <w:t xml:space="preserve"> prilog</w:t>
      </w:r>
      <w:r w:rsidR="007712D6">
        <w:rPr>
          <w:rFonts w:cs="Arial"/>
          <w:szCs w:val="20"/>
        </w:rPr>
        <w:t>e</w:t>
      </w:r>
      <w:r>
        <w:rPr>
          <w:rFonts w:cs="Arial"/>
          <w:szCs w:val="20"/>
        </w:rPr>
        <w:t>,</w:t>
      </w:r>
      <w:r w:rsidR="000F52C8" w:rsidRPr="000F52C8">
        <w:rPr>
          <w:rFonts w:cs="Arial"/>
          <w:szCs w:val="20"/>
        </w:rPr>
        <w:t xml:space="preserve"> </w:t>
      </w:r>
      <w:r w:rsidR="002B6A1F">
        <w:rPr>
          <w:rFonts w:cs="Arial"/>
          <w:szCs w:val="20"/>
        </w:rPr>
        <w:t>ki določijo stroške postopka za izdajo upravnih aktov za zaprte sisteme, delo z GO v zaprtem sistemu, sproščanje GSO v okolje in dajaje na trg na podlagi izračuna po pripadajočih formulah</w:t>
      </w:r>
      <w:r w:rsidR="000F52C8" w:rsidRPr="000F52C8">
        <w:rPr>
          <w:rFonts w:cs="Arial"/>
          <w:szCs w:val="20"/>
        </w:rPr>
        <w:t>, in sicer:</w:t>
      </w:r>
    </w:p>
    <w:p w:rsidR="000F52C8" w:rsidRPr="002B6A1F" w:rsidRDefault="00271DBA" w:rsidP="008D3978">
      <w:pPr>
        <w:ind w:left="360"/>
        <w:jc w:val="both"/>
        <w:rPr>
          <w:rFonts w:cs="Arial"/>
          <w:szCs w:val="20"/>
        </w:rPr>
      </w:pPr>
      <w:r w:rsidRPr="002B6A1F">
        <w:rPr>
          <w:rFonts w:cs="Arial"/>
          <w:szCs w:val="20"/>
        </w:rPr>
        <w:t xml:space="preserve">– </w:t>
      </w:r>
      <w:r w:rsidR="000F52C8" w:rsidRPr="002B6A1F">
        <w:rPr>
          <w:rFonts w:cs="Arial"/>
          <w:szCs w:val="20"/>
        </w:rPr>
        <w:t xml:space="preserve">Priloga 1: </w:t>
      </w:r>
      <w:r w:rsidR="002B6A1F" w:rsidRPr="002B6A1F">
        <w:rPr>
          <w:rFonts w:cs="Arial"/>
        </w:rPr>
        <w:t>Določitev stroškov postopka za izdajo upravnih aktov za zaprti sistem</w:t>
      </w:r>
    </w:p>
    <w:p w:rsidR="000F52C8" w:rsidRPr="000F52C8" w:rsidRDefault="000F52C8" w:rsidP="0022475B">
      <w:pPr>
        <w:jc w:val="both"/>
        <w:rPr>
          <w:rFonts w:cs="Arial"/>
          <w:szCs w:val="20"/>
        </w:rPr>
      </w:pPr>
      <w:r w:rsidRPr="000F52C8">
        <w:rPr>
          <w:rFonts w:cs="Arial"/>
          <w:szCs w:val="20"/>
        </w:rPr>
        <w:t xml:space="preserve">Ta priloga podrobneje </w:t>
      </w:r>
      <w:r w:rsidR="002B6A1F">
        <w:rPr>
          <w:rFonts w:cs="Arial"/>
          <w:szCs w:val="20"/>
        </w:rPr>
        <w:t>določa izračun stroškov postopka za izdajo upravnih aktov za zaprti sistem</w:t>
      </w:r>
      <w:r w:rsidRPr="000F52C8">
        <w:rPr>
          <w:rFonts w:cs="Arial"/>
          <w:szCs w:val="20"/>
        </w:rPr>
        <w:t>.</w:t>
      </w:r>
    </w:p>
    <w:p w:rsidR="000F52C8" w:rsidRPr="000F52C8" w:rsidRDefault="00271DBA" w:rsidP="008D3978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– </w:t>
      </w:r>
      <w:r w:rsidR="000F52C8" w:rsidRPr="000F52C8">
        <w:rPr>
          <w:rFonts w:cs="Arial"/>
          <w:szCs w:val="20"/>
        </w:rPr>
        <w:t>Pri</w:t>
      </w:r>
      <w:r w:rsidR="000F52C8" w:rsidRPr="002B6A1F">
        <w:rPr>
          <w:rFonts w:cs="Arial"/>
          <w:szCs w:val="20"/>
        </w:rPr>
        <w:t xml:space="preserve">loga </w:t>
      </w:r>
      <w:r w:rsidR="007D608E" w:rsidRPr="002B6A1F">
        <w:rPr>
          <w:rFonts w:cs="Arial"/>
          <w:szCs w:val="20"/>
        </w:rPr>
        <w:t>2</w:t>
      </w:r>
      <w:r w:rsidR="000F52C8" w:rsidRPr="002B6A1F">
        <w:rPr>
          <w:rFonts w:cs="Arial"/>
          <w:szCs w:val="20"/>
        </w:rPr>
        <w:t xml:space="preserve">: </w:t>
      </w:r>
      <w:r w:rsidR="002B6A1F" w:rsidRPr="002B6A1F">
        <w:rPr>
          <w:rFonts w:cs="Arial"/>
        </w:rPr>
        <w:t>Določitev višine stroškov postopka za izdajo upravnih aktov  za delo z GSO</w:t>
      </w:r>
    </w:p>
    <w:p w:rsidR="000F52C8" w:rsidRPr="000F52C8" w:rsidRDefault="002B6A1F" w:rsidP="0022475B">
      <w:pPr>
        <w:jc w:val="both"/>
        <w:rPr>
          <w:rFonts w:cs="Arial"/>
          <w:szCs w:val="20"/>
        </w:rPr>
      </w:pPr>
      <w:r w:rsidRPr="000F52C8">
        <w:rPr>
          <w:rFonts w:cs="Arial"/>
          <w:szCs w:val="20"/>
        </w:rPr>
        <w:t xml:space="preserve">Ta priloga podrobneje </w:t>
      </w:r>
      <w:r>
        <w:rPr>
          <w:rFonts w:cs="Arial"/>
          <w:szCs w:val="20"/>
        </w:rPr>
        <w:t>določa izračun stroškov postopka za izdajo upravnih aktov za delo z GSO v zaprtem sistemu</w:t>
      </w:r>
      <w:r w:rsidRPr="000F52C8">
        <w:rPr>
          <w:rFonts w:cs="Arial"/>
          <w:szCs w:val="20"/>
        </w:rPr>
        <w:t>.</w:t>
      </w:r>
    </w:p>
    <w:p w:rsidR="000F52C8" w:rsidRPr="002B6A1F" w:rsidRDefault="00271DBA" w:rsidP="008D3978">
      <w:pPr>
        <w:ind w:left="360"/>
        <w:jc w:val="both"/>
        <w:rPr>
          <w:rFonts w:cs="Arial"/>
          <w:szCs w:val="20"/>
        </w:rPr>
      </w:pPr>
      <w:r w:rsidRPr="002B6A1F">
        <w:rPr>
          <w:rFonts w:cs="Arial"/>
          <w:szCs w:val="20"/>
        </w:rPr>
        <w:t xml:space="preserve">– </w:t>
      </w:r>
      <w:r w:rsidR="000F52C8" w:rsidRPr="002B6A1F">
        <w:rPr>
          <w:rFonts w:cs="Arial"/>
          <w:szCs w:val="20"/>
        </w:rPr>
        <w:t xml:space="preserve">Priloga </w:t>
      </w:r>
      <w:r w:rsidR="002B6A1F" w:rsidRPr="002B6A1F">
        <w:rPr>
          <w:rFonts w:cs="Arial"/>
          <w:szCs w:val="20"/>
        </w:rPr>
        <w:t>3</w:t>
      </w:r>
      <w:r w:rsidR="000F52C8" w:rsidRPr="002B6A1F">
        <w:rPr>
          <w:rFonts w:cs="Arial"/>
          <w:szCs w:val="20"/>
        </w:rPr>
        <w:t xml:space="preserve">: </w:t>
      </w:r>
      <w:r w:rsidR="002B6A1F" w:rsidRPr="002B6A1F">
        <w:rPr>
          <w:rFonts w:cs="Arial"/>
        </w:rPr>
        <w:t>Določitev višine stroškov postopka za izdajo upravnih aktov za namerno sproščanje GSO v okolje</w:t>
      </w:r>
      <w:r w:rsidR="0075361A">
        <w:rPr>
          <w:rFonts w:cs="Arial"/>
        </w:rPr>
        <w:t>.</w:t>
      </w:r>
    </w:p>
    <w:p w:rsidR="002B6A1F" w:rsidRDefault="002B6A1F" w:rsidP="0075361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tej</w:t>
      </w:r>
      <w:r w:rsidRPr="000F52C8">
        <w:rPr>
          <w:rFonts w:cs="Arial"/>
          <w:szCs w:val="20"/>
        </w:rPr>
        <w:t xml:space="preserve"> prilog</w:t>
      </w:r>
      <w:r>
        <w:rPr>
          <w:rFonts w:cs="Arial"/>
          <w:szCs w:val="20"/>
        </w:rPr>
        <w:t>i</w:t>
      </w:r>
      <w:r w:rsidRPr="000F52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 </w:t>
      </w:r>
      <w:r w:rsidRPr="000F52C8">
        <w:rPr>
          <w:rFonts w:cs="Arial"/>
          <w:szCs w:val="20"/>
        </w:rPr>
        <w:t xml:space="preserve">podrobneje </w:t>
      </w:r>
      <w:r>
        <w:rPr>
          <w:rFonts w:cs="Arial"/>
          <w:szCs w:val="20"/>
        </w:rPr>
        <w:t>določen izračun stroškov postopka za izdajo upravnih aktov za namerno sproščanje GSO v okolje</w:t>
      </w:r>
      <w:r w:rsidRPr="000F52C8">
        <w:rPr>
          <w:rFonts w:cs="Arial"/>
          <w:szCs w:val="20"/>
        </w:rPr>
        <w:t>.</w:t>
      </w:r>
    </w:p>
    <w:p w:rsidR="000F52C8" w:rsidRPr="000F52C8" w:rsidRDefault="00271DBA" w:rsidP="008D3978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– </w:t>
      </w:r>
      <w:r w:rsidR="000F52C8" w:rsidRPr="000F52C8">
        <w:rPr>
          <w:rFonts w:cs="Arial"/>
          <w:szCs w:val="20"/>
        </w:rPr>
        <w:t xml:space="preserve">Priloga </w:t>
      </w:r>
      <w:r w:rsidR="002B6A1F">
        <w:rPr>
          <w:rFonts w:cs="Arial"/>
          <w:szCs w:val="20"/>
        </w:rPr>
        <w:t>4</w:t>
      </w:r>
      <w:r w:rsidR="000F52C8" w:rsidRPr="000F52C8">
        <w:rPr>
          <w:rFonts w:cs="Arial"/>
          <w:szCs w:val="20"/>
        </w:rPr>
        <w:t>:</w:t>
      </w:r>
      <w:r w:rsidR="000F52C8" w:rsidRPr="002B6A1F">
        <w:rPr>
          <w:rFonts w:cs="Arial"/>
          <w:szCs w:val="20"/>
        </w:rPr>
        <w:t xml:space="preserve"> </w:t>
      </w:r>
      <w:r w:rsidR="002B6A1F" w:rsidRPr="002B6A1F">
        <w:rPr>
          <w:rFonts w:cs="Arial"/>
        </w:rPr>
        <w:t xml:space="preserve">Določitev višine stroškov postopka za izdajo upravnih aktov za dajanje </w:t>
      </w:r>
      <w:r w:rsidR="00FE2F03">
        <w:rPr>
          <w:rFonts w:cs="Arial"/>
        </w:rPr>
        <w:t xml:space="preserve">GSO </w:t>
      </w:r>
      <w:r w:rsidR="002B6A1F" w:rsidRPr="002B6A1F">
        <w:rPr>
          <w:rFonts w:cs="Arial"/>
        </w:rPr>
        <w:t>izdelka na trg</w:t>
      </w:r>
    </w:p>
    <w:p w:rsidR="002B6A1F" w:rsidRPr="002D6D29" w:rsidRDefault="002B6A1F" w:rsidP="002B6A1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tej</w:t>
      </w:r>
      <w:r w:rsidRPr="000F52C8">
        <w:rPr>
          <w:rFonts w:cs="Arial"/>
          <w:szCs w:val="20"/>
        </w:rPr>
        <w:t xml:space="preserve"> prilog</w:t>
      </w:r>
      <w:r>
        <w:rPr>
          <w:rFonts w:cs="Arial"/>
          <w:szCs w:val="20"/>
        </w:rPr>
        <w:t>i</w:t>
      </w:r>
      <w:r w:rsidRPr="000F52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 </w:t>
      </w:r>
      <w:r w:rsidRPr="000F52C8">
        <w:rPr>
          <w:rFonts w:cs="Arial"/>
          <w:szCs w:val="20"/>
        </w:rPr>
        <w:t xml:space="preserve">podrobneje </w:t>
      </w:r>
      <w:r>
        <w:rPr>
          <w:rFonts w:cs="Arial"/>
          <w:szCs w:val="20"/>
        </w:rPr>
        <w:t xml:space="preserve">določen izračun stroškov postopka za izdajo upravnih aktov za </w:t>
      </w:r>
      <w:r w:rsidRPr="002B6A1F">
        <w:rPr>
          <w:rFonts w:cs="Arial"/>
        </w:rPr>
        <w:t xml:space="preserve">dajanje </w:t>
      </w:r>
      <w:r>
        <w:rPr>
          <w:rFonts w:cs="Arial"/>
          <w:szCs w:val="20"/>
        </w:rPr>
        <w:t xml:space="preserve">GSO </w:t>
      </w:r>
      <w:r w:rsidRPr="002B6A1F">
        <w:rPr>
          <w:rFonts w:cs="Arial"/>
        </w:rPr>
        <w:t>izdelka na trg</w:t>
      </w:r>
      <w:r w:rsidRPr="000F52C8">
        <w:rPr>
          <w:rFonts w:cs="Arial"/>
          <w:szCs w:val="20"/>
        </w:rPr>
        <w:t>.</w:t>
      </w:r>
    </w:p>
    <w:p w:rsidR="00425789" w:rsidRPr="002D6D29" w:rsidRDefault="00425789" w:rsidP="0022475B">
      <w:pPr>
        <w:jc w:val="both"/>
        <w:rPr>
          <w:rFonts w:cs="Arial"/>
          <w:szCs w:val="20"/>
        </w:rPr>
      </w:pPr>
    </w:p>
    <w:sectPr w:rsidR="00425789" w:rsidRPr="002D6D29" w:rsidSect="00C7784C"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D1" w:rsidRDefault="008458D1">
      <w:r>
        <w:separator/>
      </w:r>
    </w:p>
  </w:endnote>
  <w:endnote w:type="continuationSeparator" w:id="0">
    <w:p w:rsidR="008458D1" w:rsidRDefault="008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0D" w:rsidRDefault="00967D0D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7D0D" w:rsidRDefault="00967D0D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0D" w:rsidRDefault="00967D0D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F4C2D">
      <w:rPr>
        <w:rStyle w:val="tevilkastrani"/>
        <w:noProof/>
      </w:rPr>
      <w:t>18</w:t>
    </w:r>
    <w:r>
      <w:rPr>
        <w:rStyle w:val="tevilkastrani"/>
      </w:rPr>
      <w:fldChar w:fldCharType="end"/>
    </w:r>
  </w:p>
  <w:p w:rsidR="00967D0D" w:rsidRDefault="00967D0D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D1" w:rsidRDefault="008458D1">
      <w:r>
        <w:separator/>
      </w:r>
    </w:p>
  </w:footnote>
  <w:footnote w:type="continuationSeparator" w:id="0">
    <w:p w:rsidR="008458D1" w:rsidRDefault="0084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0D" w:rsidRPr="00110CBD" w:rsidRDefault="00967D0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67D0D" w:rsidRPr="008F3500" w:rsidTr="00D00FA4">
      <w:trPr>
        <w:cantSplit/>
        <w:trHeight w:hRule="exact" w:val="847"/>
      </w:trPr>
      <w:tc>
        <w:tcPr>
          <w:tcW w:w="649" w:type="dxa"/>
        </w:tcPr>
        <w:p w:rsidR="00967D0D" w:rsidRDefault="00967D0D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  <w:p w:rsidR="00967D0D" w:rsidRPr="006D42D9" w:rsidRDefault="00967D0D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67D0D" w:rsidRPr="00B95595" w:rsidRDefault="00967D0D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967D0D" w:rsidRPr="00B95595" w:rsidRDefault="00967D0D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47, 1000 Ljubljana</w:t>
    </w:r>
    <w:r>
      <w:rPr>
        <w:rFonts w:cs="Arial"/>
        <w:sz w:val="16"/>
        <w:lang w:val="sl-SI"/>
      </w:rPr>
      <w:tab/>
      <w:t>T: 01 478 74 00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967D0D" w:rsidRDefault="00967D0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967D0D" w:rsidRPr="008F3500" w:rsidRDefault="00967D0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CC4E89"/>
    <w:multiLevelType w:val="hybridMultilevel"/>
    <w:tmpl w:val="EC867736"/>
    <w:lvl w:ilvl="0" w:tplc="66A06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095532"/>
    <w:multiLevelType w:val="hybridMultilevel"/>
    <w:tmpl w:val="80D2942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79453D6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D50"/>
    <w:multiLevelType w:val="hybridMultilevel"/>
    <w:tmpl w:val="6276AFC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70295"/>
    <w:multiLevelType w:val="hybridMultilevel"/>
    <w:tmpl w:val="860AB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EF150E"/>
    <w:multiLevelType w:val="hybridMultilevel"/>
    <w:tmpl w:val="BECE986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77B"/>
    <w:multiLevelType w:val="hybridMultilevel"/>
    <w:tmpl w:val="6DB2D652"/>
    <w:name w:val="WW8Num8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C300D9"/>
    <w:multiLevelType w:val="hybridMultilevel"/>
    <w:tmpl w:val="2E1C4E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38E4956">
      <w:numFmt w:val="bullet"/>
      <w:lvlText w:val="–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7"/>
  </w:num>
  <w:num w:numId="7">
    <w:abstractNumId w:val="8"/>
  </w:num>
  <w:num w:numId="8">
    <w:abstractNumId w:val="16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14"/>
  </w:num>
  <w:num w:numId="19">
    <w:abstractNumId w:val="3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530"/>
    <w:rsid w:val="00004AC2"/>
    <w:rsid w:val="00004E52"/>
    <w:rsid w:val="0001341A"/>
    <w:rsid w:val="00014B69"/>
    <w:rsid w:val="00014FA6"/>
    <w:rsid w:val="0001582C"/>
    <w:rsid w:val="00017082"/>
    <w:rsid w:val="00021985"/>
    <w:rsid w:val="00022CEA"/>
    <w:rsid w:val="00023A88"/>
    <w:rsid w:val="00024D62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3C9F"/>
    <w:rsid w:val="00045106"/>
    <w:rsid w:val="00045D71"/>
    <w:rsid w:val="00047FCC"/>
    <w:rsid w:val="00054378"/>
    <w:rsid w:val="00055AF2"/>
    <w:rsid w:val="00056164"/>
    <w:rsid w:val="00056977"/>
    <w:rsid w:val="000569BC"/>
    <w:rsid w:val="0006442E"/>
    <w:rsid w:val="00065971"/>
    <w:rsid w:val="00067441"/>
    <w:rsid w:val="000728A1"/>
    <w:rsid w:val="00073A8F"/>
    <w:rsid w:val="000808D8"/>
    <w:rsid w:val="0008387A"/>
    <w:rsid w:val="00084DCE"/>
    <w:rsid w:val="0009085D"/>
    <w:rsid w:val="00091EA7"/>
    <w:rsid w:val="0009245A"/>
    <w:rsid w:val="00094174"/>
    <w:rsid w:val="00094624"/>
    <w:rsid w:val="00095E8A"/>
    <w:rsid w:val="00097DFD"/>
    <w:rsid w:val="000A14DF"/>
    <w:rsid w:val="000A15F8"/>
    <w:rsid w:val="000A1D2B"/>
    <w:rsid w:val="000A264B"/>
    <w:rsid w:val="000A3BB0"/>
    <w:rsid w:val="000A7238"/>
    <w:rsid w:val="000A7300"/>
    <w:rsid w:val="000B1E4F"/>
    <w:rsid w:val="000B4E84"/>
    <w:rsid w:val="000B6BB0"/>
    <w:rsid w:val="000B7C3D"/>
    <w:rsid w:val="000C2C40"/>
    <w:rsid w:val="000C34C8"/>
    <w:rsid w:val="000C3E10"/>
    <w:rsid w:val="000C6525"/>
    <w:rsid w:val="000C6F46"/>
    <w:rsid w:val="000D1328"/>
    <w:rsid w:val="000D1F8E"/>
    <w:rsid w:val="000D4477"/>
    <w:rsid w:val="000D7873"/>
    <w:rsid w:val="000D78C7"/>
    <w:rsid w:val="000E0FFB"/>
    <w:rsid w:val="000E2D54"/>
    <w:rsid w:val="000E4C6F"/>
    <w:rsid w:val="000E6C1B"/>
    <w:rsid w:val="000F0B8E"/>
    <w:rsid w:val="000F17AE"/>
    <w:rsid w:val="000F1D7F"/>
    <w:rsid w:val="000F2E84"/>
    <w:rsid w:val="000F3329"/>
    <w:rsid w:val="000F52C8"/>
    <w:rsid w:val="00100013"/>
    <w:rsid w:val="001012F1"/>
    <w:rsid w:val="00102B57"/>
    <w:rsid w:val="00104727"/>
    <w:rsid w:val="00105040"/>
    <w:rsid w:val="00106128"/>
    <w:rsid w:val="00107555"/>
    <w:rsid w:val="00112C3E"/>
    <w:rsid w:val="0011396C"/>
    <w:rsid w:val="001179AC"/>
    <w:rsid w:val="00124F21"/>
    <w:rsid w:val="001252E3"/>
    <w:rsid w:val="00125C05"/>
    <w:rsid w:val="001305BA"/>
    <w:rsid w:val="001311A3"/>
    <w:rsid w:val="0013350F"/>
    <w:rsid w:val="001345E8"/>
    <w:rsid w:val="00135120"/>
    <w:rsid w:val="001354DA"/>
    <w:rsid w:val="001357B2"/>
    <w:rsid w:val="00136768"/>
    <w:rsid w:val="00137307"/>
    <w:rsid w:val="00140CBA"/>
    <w:rsid w:val="0014114E"/>
    <w:rsid w:val="001413DA"/>
    <w:rsid w:val="00142261"/>
    <w:rsid w:val="00143571"/>
    <w:rsid w:val="00144024"/>
    <w:rsid w:val="001441D9"/>
    <w:rsid w:val="00146CDD"/>
    <w:rsid w:val="00147005"/>
    <w:rsid w:val="00150835"/>
    <w:rsid w:val="00150F90"/>
    <w:rsid w:val="00151F3D"/>
    <w:rsid w:val="00152063"/>
    <w:rsid w:val="001529BD"/>
    <w:rsid w:val="00152F53"/>
    <w:rsid w:val="0015323B"/>
    <w:rsid w:val="0016029C"/>
    <w:rsid w:val="001631C3"/>
    <w:rsid w:val="001634FC"/>
    <w:rsid w:val="00165DE1"/>
    <w:rsid w:val="001710A0"/>
    <w:rsid w:val="0017253F"/>
    <w:rsid w:val="0017268C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7ED9"/>
    <w:rsid w:val="001A1FD7"/>
    <w:rsid w:val="001A27E8"/>
    <w:rsid w:val="001A3297"/>
    <w:rsid w:val="001A4A3D"/>
    <w:rsid w:val="001A6C65"/>
    <w:rsid w:val="001B10C7"/>
    <w:rsid w:val="001B2EE1"/>
    <w:rsid w:val="001B4AAF"/>
    <w:rsid w:val="001B5857"/>
    <w:rsid w:val="001B7C98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0FD0"/>
    <w:rsid w:val="001E1A53"/>
    <w:rsid w:val="001E1B4F"/>
    <w:rsid w:val="001E4436"/>
    <w:rsid w:val="001E45F4"/>
    <w:rsid w:val="001E5470"/>
    <w:rsid w:val="001F22C8"/>
    <w:rsid w:val="001F378C"/>
    <w:rsid w:val="001F3DEE"/>
    <w:rsid w:val="001F49BC"/>
    <w:rsid w:val="001F55EA"/>
    <w:rsid w:val="00200A32"/>
    <w:rsid w:val="002024B4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08A9"/>
    <w:rsid w:val="002217E1"/>
    <w:rsid w:val="00221A1F"/>
    <w:rsid w:val="00222C20"/>
    <w:rsid w:val="0022475B"/>
    <w:rsid w:val="00225E41"/>
    <w:rsid w:val="00226E3A"/>
    <w:rsid w:val="002310EC"/>
    <w:rsid w:val="00232935"/>
    <w:rsid w:val="00233BCD"/>
    <w:rsid w:val="00243A50"/>
    <w:rsid w:val="0024744E"/>
    <w:rsid w:val="00250563"/>
    <w:rsid w:val="002526C0"/>
    <w:rsid w:val="002529DF"/>
    <w:rsid w:val="002530C0"/>
    <w:rsid w:val="00253B78"/>
    <w:rsid w:val="002545E7"/>
    <w:rsid w:val="002549C1"/>
    <w:rsid w:val="002566B1"/>
    <w:rsid w:val="002572AF"/>
    <w:rsid w:val="0025783A"/>
    <w:rsid w:val="002578C3"/>
    <w:rsid w:val="00257BCF"/>
    <w:rsid w:val="0026110B"/>
    <w:rsid w:val="00261F4C"/>
    <w:rsid w:val="00262864"/>
    <w:rsid w:val="002629CC"/>
    <w:rsid w:val="0026335D"/>
    <w:rsid w:val="00265E0A"/>
    <w:rsid w:val="00266062"/>
    <w:rsid w:val="00270DA3"/>
    <w:rsid w:val="0027117B"/>
    <w:rsid w:val="00271CE5"/>
    <w:rsid w:val="00271DBA"/>
    <w:rsid w:val="002772C4"/>
    <w:rsid w:val="002811D9"/>
    <w:rsid w:val="00281B44"/>
    <w:rsid w:val="00282020"/>
    <w:rsid w:val="00284DDB"/>
    <w:rsid w:val="0028781E"/>
    <w:rsid w:val="002905E6"/>
    <w:rsid w:val="0029291A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65F6"/>
    <w:rsid w:val="002A6E21"/>
    <w:rsid w:val="002A7033"/>
    <w:rsid w:val="002B3286"/>
    <w:rsid w:val="002B6A1F"/>
    <w:rsid w:val="002B6D3E"/>
    <w:rsid w:val="002C0239"/>
    <w:rsid w:val="002C2215"/>
    <w:rsid w:val="002C3A5E"/>
    <w:rsid w:val="002C75F1"/>
    <w:rsid w:val="002D42F0"/>
    <w:rsid w:val="002D483D"/>
    <w:rsid w:val="002D4887"/>
    <w:rsid w:val="002D5176"/>
    <w:rsid w:val="002D6D29"/>
    <w:rsid w:val="002D7C7E"/>
    <w:rsid w:val="002D7FC9"/>
    <w:rsid w:val="002E0C5C"/>
    <w:rsid w:val="002E1344"/>
    <w:rsid w:val="002E172C"/>
    <w:rsid w:val="002E6104"/>
    <w:rsid w:val="002F25AE"/>
    <w:rsid w:val="002F25F1"/>
    <w:rsid w:val="002F2742"/>
    <w:rsid w:val="002F28C0"/>
    <w:rsid w:val="002F4300"/>
    <w:rsid w:val="002F7BE4"/>
    <w:rsid w:val="00304106"/>
    <w:rsid w:val="00306BD5"/>
    <w:rsid w:val="00311C70"/>
    <w:rsid w:val="0031360B"/>
    <w:rsid w:val="00313C44"/>
    <w:rsid w:val="0031464F"/>
    <w:rsid w:val="003157F0"/>
    <w:rsid w:val="00316AF9"/>
    <w:rsid w:val="00321A4C"/>
    <w:rsid w:val="00323233"/>
    <w:rsid w:val="00324DF6"/>
    <w:rsid w:val="00326DE7"/>
    <w:rsid w:val="003276AE"/>
    <w:rsid w:val="00330B72"/>
    <w:rsid w:val="00330B85"/>
    <w:rsid w:val="00330F0F"/>
    <w:rsid w:val="00330FE6"/>
    <w:rsid w:val="00331042"/>
    <w:rsid w:val="00332C09"/>
    <w:rsid w:val="00333363"/>
    <w:rsid w:val="00335950"/>
    <w:rsid w:val="003367E5"/>
    <w:rsid w:val="003405D1"/>
    <w:rsid w:val="00340C76"/>
    <w:rsid w:val="00342B1F"/>
    <w:rsid w:val="003459F9"/>
    <w:rsid w:val="003466CB"/>
    <w:rsid w:val="00357C90"/>
    <w:rsid w:val="00357FAC"/>
    <w:rsid w:val="0036077B"/>
    <w:rsid w:val="00360819"/>
    <w:rsid w:val="003614D7"/>
    <w:rsid w:val="00361B39"/>
    <w:rsid w:val="00362005"/>
    <w:rsid w:val="0036299A"/>
    <w:rsid w:val="00362A59"/>
    <w:rsid w:val="003636BF"/>
    <w:rsid w:val="003644C3"/>
    <w:rsid w:val="00364CC6"/>
    <w:rsid w:val="00366B26"/>
    <w:rsid w:val="003674F0"/>
    <w:rsid w:val="00371442"/>
    <w:rsid w:val="00373CEE"/>
    <w:rsid w:val="0037466D"/>
    <w:rsid w:val="003746E8"/>
    <w:rsid w:val="0037562A"/>
    <w:rsid w:val="0037674B"/>
    <w:rsid w:val="0037728A"/>
    <w:rsid w:val="00380B6A"/>
    <w:rsid w:val="00381432"/>
    <w:rsid w:val="00382467"/>
    <w:rsid w:val="003845B4"/>
    <w:rsid w:val="00384E4D"/>
    <w:rsid w:val="00384F6A"/>
    <w:rsid w:val="00386214"/>
    <w:rsid w:val="00386AAA"/>
    <w:rsid w:val="00386C4B"/>
    <w:rsid w:val="00387B1A"/>
    <w:rsid w:val="00395B73"/>
    <w:rsid w:val="003A00F3"/>
    <w:rsid w:val="003A0384"/>
    <w:rsid w:val="003A1125"/>
    <w:rsid w:val="003A2D7A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38D2"/>
    <w:rsid w:val="003C5145"/>
    <w:rsid w:val="003C5836"/>
    <w:rsid w:val="003C5EE5"/>
    <w:rsid w:val="003D0965"/>
    <w:rsid w:val="003D096A"/>
    <w:rsid w:val="003D166A"/>
    <w:rsid w:val="003D2788"/>
    <w:rsid w:val="003D31D4"/>
    <w:rsid w:val="003D3800"/>
    <w:rsid w:val="003D476C"/>
    <w:rsid w:val="003D5B02"/>
    <w:rsid w:val="003E00C4"/>
    <w:rsid w:val="003E0ADD"/>
    <w:rsid w:val="003E0E26"/>
    <w:rsid w:val="003E1C74"/>
    <w:rsid w:val="003E26C4"/>
    <w:rsid w:val="003E2B73"/>
    <w:rsid w:val="003E4134"/>
    <w:rsid w:val="003E52F3"/>
    <w:rsid w:val="003F185F"/>
    <w:rsid w:val="003F245C"/>
    <w:rsid w:val="003F296D"/>
    <w:rsid w:val="003F3D26"/>
    <w:rsid w:val="003F53F8"/>
    <w:rsid w:val="003F54A7"/>
    <w:rsid w:val="003F5F1A"/>
    <w:rsid w:val="003F5F4A"/>
    <w:rsid w:val="003F6EDC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4640"/>
    <w:rsid w:val="00425789"/>
    <w:rsid w:val="00427A45"/>
    <w:rsid w:val="004329FC"/>
    <w:rsid w:val="004431C3"/>
    <w:rsid w:val="00445BBB"/>
    <w:rsid w:val="00446EC3"/>
    <w:rsid w:val="00447708"/>
    <w:rsid w:val="00447871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0A9"/>
    <w:rsid w:val="004706A4"/>
    <w:rsid w:val="004713AD"/>
    <w:rsid w:val="0047174F"/>
    <w:rsid w:val="00471EBB"/>
    <w:rsid w:val="004721C8"/>
    <w:rsid w:val="00473ED5"/>
    <w:rsid w:val="00474CFC"/>
    <w:rsid w:val="00474D48"/>
    <w:rsid w:val="00481063"/>
    <w:rsid w:val="004817AF"/>
    <w:rsid w:val="004825C4"/>
    <w:rsid w:val="0048296C"/>
    <w:rsid w:val="00483F65"/>
    <w:rsid w:val="0048427A"/>
    <w:rsid w:val="004842B2"/>
    <w:rsid w:val="0048673F"/>
    <w:rsid w:val="00486C5B"/>
    <w:rsid w:val="004872C0"/>
    <w:rsid w:val="004877D3"/>
    <w:rsid w:val="004946FF"/>
    <w:rsid w:val="004A03D2"/>
    <w:rsid w:val="004A0628"/>
    <w:rsid w:val="004A12E7"/>
    <w:rsid w:val="004A150C"/>
    <w:rsid w:val="004A2FD9"/>
    <w:rsid w:val="004A3403"/>
    <w:rsid w:val="004A3DA6"/>
    <w:rsid w:val="004A3F55"/>
    <w:rsid w:val="004A5C37"/>
    <w:rsid w:val="004A60A1"/>
    <w:rsid w:val="004B03C6"/>
    <w:rsid w:val="004B11CD"/>
    <w:rsid w:val="004B1897"/>
    <w:rsid w:val="004B296E"/>
    <w:rsid w:val="004B3129"/>
    <w:rsid w:val="004B4756"/>
    <w:rsid w:val="004B4BE7"/>
    <w:rsid w:val="004B58C2"/>
    <w:rsid w:val="004B701D"/>
    <w:rsid w:val="004B7DA1"/>
    <w:rsid w:val="004C002A"/>
    <w:rsid w:val="004C0D48"/>
    <w:rsid w:val="004C1B0C"/>
    <w:rsid w:val="004C311F"/>
    <w:rsid w:val="004C396F"/>
    <w:rsid w:val="004C3FE9"/>
    <w:rsid w:val="004C537C"/>
    <w:rsid w:val="004C5AB7"/>
    <w:rsid w:val="004D10CD"/>
    <w:rsid w:val="004D1515"/>
    <w:rsid w:val="004D705F"/>
    <w:rsid w:val="004E0217"/>
    <w:rsid w:val="004E034C"/>
    <w:rsid w:val="004E160F"/>
    <w:rsid w:val="004E1647"/>
    <w:rsid w:val="004E1CA1"/>
    <w:rsid w:val="004E2A5D"/>
    <w:rsid w:val="004E3253"/>
    <w:rsid w:val="004E37D3"/>
    <w:rsid w:val="004E3F67"/>
    <w:rsid w:val="004E486F"/>
    <w:rsid w:val="004E512C"/>
    <w:rsid w:val="004E5291"/>
    <w:rsid w:val="004F0942"/>
    <w:rsid w:val="004F1FEF"/>
    <w:rsid w:val="004F3144"/>
    <w:rsid w:val="004F6240"/>
    <w:rsid w:val="00500116"/>
    <w:rsid w:val="00500147"/>
    <w:rsid w:val="005076AC"/>
    <w:rsid w:val="005122E7"/>
    <w:rsid w:val="005153EE"/>
    <w:rsid w:val="005161D5"/>
    <w:rsid w:val="00517A7B"/>
    <w:rsid w:val="00521ABD"/>
    <w:rsid w:val="00521F2D"/>
    <w:rsid w:val="00522E1B"/>
    <w:rsid w:val="00524F20"/>
    <w:rsid w:val="005254FF"/>
    <w:rsid w:val="00525A4D"/>
    <w:rsid w:val="00526246"/>
    <w:rsid w:val="005279A2"/>
    <w:rsid w:val="00533CCF"/>
    <w:rsid w:val="00534197"/>
    <w:rsid w:val="005357B9"/>
    <w:rsid w:val="00535A1A"/>
    <w:rsid w:val="005363E6"/>
    <w:rsid w:val="00536F4F"/>
    <w:rsid w:val="00537AD6"/>
    <w:rsid w:val="00540099"/>
    <w:rsid w:val="00540D45"/>
    <w:rsid w:val="00542297"/>
    <w:rsid w:val="00542700"/>
    <w:rsid w:val="00543768"/>
    <w:rsid w:val="005439F1"/>
    <w:rsid w:val="005464E6"/>
    <w:rsid w:val="00551D2C"/>
    <w:rsid w:val="00552C2A"/>
    <w:rsid w:val="005530A2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86BCA"/>
    <w:rsid w:val="00590D3F"/>
    <w:rsid w:val="00591F26"/>
    <w:rsid w:val="005933D7"/>
    <w:rsid w:val="00593667"/>
    <w:rsid w:val="00594BDE"/>
    <w:rsid w:val="005A17BF"/>
    <w:rsid w:val="005A193B"/>
    <w:rsid w:val="005A3552"/>
    <w:rsid w:val="005A5BF0"/>
    <w:rsid w:val="005A7575"/>
    <w:rsid w:val="005B0E1A"/>
    <w:rsid w:val="005B10D8"/>
    <w:rsid w:val="005B11B6"/>
    <w:rsid w:val="005B1C9C"/>
    <w:rsid w:val="005B53E6"/>
    <w:rsid w:val="005B5F0B"/>
    <w:rsid w:val="005C2059"/>
    <w:rsid w:val="005C65DD"/>
    <w:rsid w:val="005C6606"/>
    <w:rsid w:val="005C7134"/>
    <w:rsid w:val="005D01F6"/>
    <w:rsid w:val="005D1741"/>
    <w:rsid w:val="005D5AD0"/>
    <w:rsid w:val="005D6B62"/>
    <w:rsid w:val="005E1D3C"/>
    <w:rsid w:val="005E1F66"/>
    <w:rsid w:val="005E5BAD"/>
    <w:rsid w:val="005E5F0A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EA8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476"/>
    <w:rsid w:val="00654D43"/>
    <w:rsid w:val="00655841"/>
    <w:rsid w:val="006560D6"/>
    <w:rsid w:val="006578CD"/>
    <w:rsid w:val="006603C4"/>
    <w:rsid w:val="0066115E"/>
    <w:rsid w:val="006644E0"/>
    <w:rsid w:val="006663D7"/>
    <w:rsid w:val="00667981"/>
    <w:rsid w:val="00667988"/>
    <w:rsid w:val="00670D9A"/>
    <w:rsid w:val="00672B24"/>
    <w:rsid w:val="00672B97"/>
    <w:rsid w:val="00673690"/>
    <w:rsid w:val="006738D6"/>
    <w:rsid w:val="0067419F"/>
    <w:rsid w:val="0067568E"/>
    <w:rsid w:val="00675D6E"/>
    <w:rsid w:val="00676520"/>
    <w:rsid w:val="006772B8"/>
    <w:rsid w:val="0068200E"/>
    <w:rsid w:val="006829C8"/>
    <w:rsid w:val="00682EF8"/>
    <w:rsid w:val="00683CB2"/>
    <w:rsid w:val="00684BB2"/>
    <w:rsid w:val="00686E6E"/>
    <w:rsid w:val="00690113"/>
    <w:rsid w:val="0069403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2AE2"/>
    <w:rsid w:val="006C3561"/>
    <w:rsid w:val="006C4207"/>
    <w:rsid w:val="006C4FF2"/>
    <w:rsid w:val="006C7DBA"/>
    <w:rsid w:val="006D0861"/>
    <w:rsid w:val="006D3C70"/>
    <w:rsid w:val="006D3FDB"/>
    <w:rsid w:val="006D62F9"/>
    <w:rsid w:val="006D6B2D"/>
    <w:rsid w:val="006E4456"/>
    <w:rsid w:val="006E53D5"/>
    <w:rsid w:val="006F0A43"/>
    <w:rsid w:val="006F1AAA"/>
    <w:rsid w:val="006F38D6"/>
    <w:rsid w:val="006F3C62"/>
    <w:rsid w:val="006F4219"/>
    <w:rsid w:val="006F5E75"/>
    <w:rsid w:val="006F7CF2"/>
    <w:rsid w:val="0070118B"/>
    <w:rsid w:val="00701FD2"/>
    <w:rsid w:val="00702BCC"/>
    <w:rsid w:val="007069D2"/>
    <w:rsid w:val="0070767C"/>
    <w:rsid w:val="00707791"/>
    <w:rsid w:val="00707963"/>
    <w:rsid w:val="0070799F"/>
    <w:rsid w:val="00711C65"/>
    <w:rsid w:val="007135E8"/>
    <w:rsid w:val="0071454F"/>
    <w:rsid w:val="00720208"/>
    <w:rsid w:val="0072158B"/>
    <w:rsid w:val="007224D8"/>
    <w:rsid w:val="00723299"/>
    <w:rsid w:val="0072399F"/>
    <w:rsid w:val="007276BB"/>
    <w:rsid w:val="0072786F"/>
    <w:rsid w:val="00730AE6"/>
    <w:rsid w:val="007320A2"/>
    <w:rsid w:val="0073266D"/>
    <w:rsid w:val="00733017"/>
    <w:rsid w:val="00736645"/>
    <w:rsid w:val="007377A2"/>
    <w:rsid w:val="00740C4C"/>
    <w:rsid w:val="00742755"/>
    <w:rsid w:val="0074389B"/>
    <w:rsid w:val="00743C1C"/>
    <w:rsid w:val="00745411"/>
    <w:rsid w:val="00747879"/>
    <w:rsid w:val="00750B35"/>
    <w:rsid w:val="0075361A"/>
    <w:rsid w:val="00754A0A"/>
    <w:rsid w:val="00755BA0"/>
    <w:rsid w:val="007566E7"/>
    <w:rsid w:val="00757714"/>
    <w:rsid w:val="0076019A"/>
    <w:rsid w:val="00761FC1"/>
    <w:rsid w:val="007648AE"/>
    <w:rsid w:val="007655C6"/>
    <w:rsid w:val="0076627C"/>
    <w:rsid w:val="0077062A"/>
    <w:rsid w:val="00770DEF"/>
    <w:rsid w:val="00770E41"/>
    <w:rsid w:val="007712D6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362D"/>
    <w:rsid w:val="0079769F"/>
    <w:rsid w:val="00797733"/>
    <w:rsid w:val="00797CB4"/>
    <w:rsid w:val="007A0AFD"/>
    <w:rsid w:val="007A0E52"/>
    <w:rsid w:val="007A283C"/>
    <w:rsid w:val="007A2B26"/>
    <w:rsid w:val="007A4A6D"/>
    <w:rsid w:val="007A6BDD"/>
    <w:rsid w:val="007A7A28"/>
    <w:rsid w:val="007B21D5"/>
    <w:rsid w:val="007B2BE9"/>
    <w:rsid w:val="007B3DA6"/>
    <w:rsid w:val="007B4F58"/>
    <w:rsid w:val="007B549B"/>
    <w:rsid w:val="007C0146"/>
    <w:rsid w:val="007C63BA"/>
    <w:rsid w:val="007D119E"/>
    <w:rsid w:val="007D1BCF"/>
    <w:rsid w:val="007D36C1"/>
    <w:rsid w:val="007D528B"/>
    <w:rsid w:val="007D5525"/>
    <w:rsid w:val="007D608E"/>
    <w:rsid w:val="007D75CF"/>
    <w:rsid w:val="007D7BDC"/>
    <w:rsid w:val="007D7E3C"/>
    <w:rsid w:val="007E0440"/>
    <w:rsid w:val="007E1B8C"/>
    <w:rsid w:val="007E1F83"/>
    <w:rsid w:val="007E30DB"/>
    <w:rsid w:val="007E4974"/>
    <w:rsid w:val="007E4FBB"/>
    <w:rsid w:val="007E52F8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33873"/>
    <w:rsid w:val="00834647"/>
    <w:rsid w:val="00837105"/>
    <w:rsid w:val="008404B0"/>
    <w:rsid w:val="00843626"/>
    <w:rsid w:val="008458D1"/>
    <w:rsid w:val="0084596E"/>
    <w:rsid w:val="008470D5"/>
    <w:rsid w:val="008506C0"/>
    <w:rsid w:val="008510F4"/>
    <w:rsid w:val="0085531E"/>
    <w:rsid w:val="00855803"/>
    <w:rsid w:val="0086115D"/>
    <w:rsid w:val="00866F83"/>
    <w:rsid w:val="0086720D"/>
    <w:rsid w:val="008703A6"/>
    <w:rsid w:val="008717C3"/>
    <w:rsid w:val="0087232A"/>
    <w:rsid w:val="00872FF8"/>
    <w:rsid w:val="008771F6"/>
    <w:rsid w:val="0088043C"/>
    <w:rsid w:val="0088079A"/>
    <w:rsid w:val="00880DFB"/>
    <w:rsid w:val="00882F35"/>
    <w:rsid w:val="00884889"/>
    <w:rsid w:val="00885484"/>
    <w:rsid w:val="00887DBF"/>
    <w:rsid w:val="008903C0"/>
    <w:rsid w:val="008906C9"/>
    <w:rsid w:val="0089141D"/>
    <w:rsid w:val="00892448"/>
    <w:rsid w:val="008A05EF"/>
    <w:rsid w:val="008A1C5C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3978"/>
    <w:rsid w:val="008D641A"/>
    <w:rsid w:val="008D7A35"/>
    <w:rsid w:val="008E1553"/>
    <w:rsid w:val="008E162C"/>
    <w:rsid w:val="008E26E7"/>
    <w:rsid w:val="008E2DA1"/>
    <w:rsid w:val="008E411E"/>
    <w:rsid w:val="008E41F3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3CB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4F4E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58E4"/>
    <w:rsid w:val="00960821"/>
    <w:rsid w:val="009612BB"/>
    <w:rsid w:val="00964801"/>
    <w:rsid w:val="00964A60"/>
    <w:rsid w:val="00964FFF"/>
    <w:rsid w:val="009662BC"/>
    <w:rsid w:val="00966941"/>
    <w:rsid w:val="00966CBA"/>
    <w:rsid w:val="00967D0D"/>
    <w:rsid w:val="00970BBD"/>
    <w:rsid w:val="00975378"/>
    <w:rsid w:val="00975A8F"/>
    <w:rsid w:val="009767A4"/>
    <w:rsid w:val="0097720E"/>
    <w:rsid w:val="009801D7"/>
    <w:rsid w:val="00980459"/>
    <w:rsid w:val="009818D3"/>
    <w:rsid w:val="00981D4C"/>
    <w:rsid w:val="00982AD4"/>
    <w:rsid w:val="00987D93"/>
    <w:rsid w:val="00990D2C"/>
    <w:rsid w:val="00992D78"/>
    <w:rsid w:val="00994460"/>
    <w:rsid w:val="00995522"/>
    <w:rsid w:val="0099697B"/>
    <w:rsid w:val="009A0478"/>
    <w:rsid w:val="009A123F"/>
    <w:rsid w:val="009A3A26"/>
    <w:rsid w:val="009A401A"/>
    <w:rsid w:val="009A55F2"/>
    <w:rsid w:val="009A5F34"/>
    <w:rsid w:val="009A69B7"/>
    <w:rsid w:val="009B368D"/>
    <w:rsid w:val="009B5405"/>
    <w:rsid w:val="009B574A"/>
    <w:rsid w:val="009B65AE"/>
    <w:rsid w:val="009B7D0F"/>
    <w:rsid w:val="009C138A"/>
    <w:rsid w:val="009C332D"/>
    <w:rsid w:val="009C49A3"/>
    <w:rsid w:val="009C740A"/>
    <w:rsid w:val="009D2485"/>
    <w:rsid w:val="009D34A9"/>
    <w:rsid w:val="009D4D32"/>
    <w:rsid w:val="009D593E"/>
    <w:rsid w:val="009D6B99"/>
    <w:rsid w:val="009D6BA3"/>
    <w:rsid w:val="009E474D"/>
    <w:rsid w:val="009E5553"/>
    <w:rsid w:val="009E5DDF"/>
    <w:rsid w:val="009F5CD5"/>
    <w:rsid w:val="009F75D4"/>
    <w:rsid w:val="009F7A07"/>
    <w:rsid w:val="00A03A75"/>
    <w:rsid w:val="00A0764C"/>
    <w:rsid w:val="00A0779A"/>
    <w:rsid w:val="00A07C48"/>
    <w:rsid w:val="00A125C5"/>
    <w:rsid w:val="00A12C29"/>
    <w:rsid w:val="00A1584B"/>
    <w:rsid w:val="00A15910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44D6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440F"/>
    <w:rsid w:val="00A75A19"/>
    <w:rsid w:val="00A770A6"/>
    <w:rsid w:val="00A813B1"/>
    <w:rsid w:val="00A82351"/>
    <w:rsid w:val="00A8333D"/>
    <w:rsid w:val="00A84857"/>
    <w:rsid w:val="00A84A78"/>
    <w:rsid w:val="00A84E2E"/>
    <w:rsid w:val="00A879C9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6568"/>
    <w:rsid w:val="00AB7887"/>
    <w:rsid w:val="00AC2363"/>
    <w:rsid w:val="00AC25F8"/>
    <w:rsid w:val="00AC32B2"/>
    <w:rsid w:val="00AC32C2"/>
    <w:rsid w:val="00AC55FD"/>
    <w:rsid w:val="00AC58D0"/>
    <w:rsid w:val="00AC59AF"/>
    <w:rsid w:val="00AC62BB"/>
    <w:rsid w:val="00AC6CFD"/>
    <w:rsid w:val="00AD01BB"/>
    <w:rsid w:val="00AD1D51"/>
    <w:rsid w:val="00AD2A59"/>
    <w:rsid w:val="00AD6C40"/>
    <w:rsid w:val="00AE0F19"/>
    <w:rsid w:val="00AE6F9A"/>
    <w:rsid w:val="00AE7516"/>
    <w:rsid w:val="00AE7B15"/>
    <w:rsid w:val="00AE7F55"/>
    <w:rsid w:val="00AF06ED"/>
    <w:rsid w:val="00AF1202"/>
    <w:rsid w:val="00AF1284"/>
    <w:rsid w:val="00AF4EB1"/>
    <w:rsid w:val="00B014D4"/>
    <w:rsid w:val="00B02EDD"/>
    <w:rsid w:val="00B04591"/>
    <w:rsid w:val="00B05866"/>
    <w:rsid w:val="00B069C1"/>
    <w:rsid w:val="00B10085"/>
    <w:rsid w:val="00B129AF"/>
    <w:rsid w:val="00B13B3E"/>
    <w:rsid w:val="00B16FA4"/>
    <w:rsid w:val="00B17141"/>
    <w:rsid w:val="00B1725A"/>
    <w:rsid w:val="00B20B54"/>
    <w:rsid w:val="00B23712"/>
    <w:rsid w:val="00B250A2"/>
    <w:rsid w:val="00B26EC4"/>
    <w:rsid w:val="00B301FD"/>
    <w:rsid w:val="00B30CAD"/>
    <w:rsid w:val="00B314C3"/>
    <w:rsid w:val="00B31575"/>
    <w:rsid w:val="00B31F55"/>
    <w:rsid w:val="00B329EA"/>
    <w:rsid w:val="00B35936"/>
    <w:rsid w:val="00B41037"/>
    <w:rsid w:val="00B415FB"/>
    <w:rsid w:val="00B428A6"/>
    <w:rsid w:val="00B453CA"/>
    <w:rsid w:val="00B4731A"/>
    <w:rsid w:val="00B510EA"/>
    <w:rsid w:val="00B52104"/>
    <w:rsid w:val="00B54827"/>
    <w:rsid w:val="00B54FA0"/>
    <w:rsid w:val="00B5501A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293E"/>
    <w:rsid w:val="00B73655"/>
    <w:rsid w:val="00B76446"/>
    <w:rsid w:val="00B80025"/>
    <w:rsid w:val="00B8005F"/>
    <w:rsid w:val="00B8222C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B0D"/>
    <w:rsid w:val="00BA22B8"/>
    <w:rsid w:val="00BA635D"/>
    <w:rsid w:val="00BA64CD"/>
    <w:rsid w:val="00BA6F6A"/>
    <w:rsid w:val="00BA7302"/>
    <w:rsid w:val="00BB00A6"/>
    <w:rsid w:val="00BB2B01"/>
    <w:rsid w:val="00BB2B10"/>
    <w:rsid w:val="00BB2FDD"/>
    <w:rsid w:val="00BB37AC"/>
    <w:rsid w:val="00BC11AF"/>
    <w:rsid w:val="00BC47DA"/>
    <w:rsid w:val="00BC50EA"/>
    <w:rsid w:val="00BC5559"/>
    <w:rsid w:val="00BC6553"/>
    <w:rsid w:val="00BC75FC"/>
    <w:rsid w:val="00BD07A5"/>
    <w:rsid w:val="00BD0DC7"/>
    <w:rsid w:val="00BD1DCF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34BC"/>
    <w:rsid w:val="00C16544"/>
    <w:rsid w:val="00C20528"/>
    <w:rsid w:val="00C20623"/>
    <w:rsid w:val="00C21A8A"/>
    <w:rsid w:val="00C2296D"/>
    <w:rsid w:val="00C250D5"/>
    <w:rsid w:val="00C259A9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F77"/>
    <w:rsid w:val="00C50741"/>
    <w:rsid w:val="00C51534"/>
    <w:rsid w:val="00C54515"/>
    <w:rsid w:val="00C56D57"/>
    <w:rsid w:val="00C6088F"/>
    <w:rsid w:val="00C630FB"/>
    <w:rsid w:val="00C708A2"/>
    <w:rsid w:val="00C718F8"/>
    <w:rsid w:val="00C74005"/>
    <w:rsid w:val="00C75083"/>
    <w:rsid w:val="00C7784C"/>
    <w:rsid w:val="00C848C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684F"/>
    <w:rsid w:val="00C972A0"/>
    <w:rsid w:val="00C97E49"/>
    <w:rsid w:val="00CA4340"/>
    <w:rsid w:val="00CA4646"/>
    <w:rsid w:val="00CA4725"/>
    <w:rsid w:val="00CA652B"/>
    <w:rsid w:val="00CA76B7"/>
    <w:rsid w:val="00CB2158"/>
    <w:rsid w:val="00CB2640"/>
    <w:rsid w:val="00CB33B2"/>
    <w:rsid w:val="00CB340C"/>
    <w:rsid w:val="00CB3DC8"/>
    <w:rsid w:val="00CB63B2"/>
    <w:rsid w:val="00CB7A82"/>
    <w:rsid w:val="00CC0E55"/>
    <w:rsid w:val="00CC1B0B"/>
    <w:rsid w:val="00CC2517"/>
    <w:rsid w:val="00CC2F95"/>
    <w:rsid w:val="00CC3481"/>
    <w:rsid w:val="00CC607B"/>
    <w:rsid w:val="00CC6C97"/>
    <w:rsid w:val="00CD0209"/>
    <w:rsid w:val="00CD188E"/>
    <w:rsid w:val="00CD3016"/>
    <w:rsid w:val="00CD36B6"/>
    <w:rsid w:val="00CD6432"/>
    <w:rsid w:val="00CE24DA"/>
    <w:rsid w:val="00CE3319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4605"/>
    <w:rsid w:val="00D06027"/>
    <w:rsid w:val="00D063E5"/>
    <w:rsid w:val="00D109F9"/>
    <w:rsid w:val="00D11D73"/>
    <w:rsid w:val="00D11F08"/>
    <w:rsid w:val="00D22657"/>
    <w:rsid w:val="00D23207"/>
    <w:rsid w:val="00D248DE"/>
    <w:rsid w:val="00D267AB"/>
    <w:rsid w:val="00D308E2"/>
    <w:rsid w:val="00D34B2F"/>
    <w:rsid w:val="00D3607A"/>
    <w:rsid w:val="00D362BD"/>
    <w:rsid w:val="00D37014"/>
    <w:rsid w:val="00D374D5"/>
    <w:rsid w:val="00D4125E"/>
    <w:rsid w:val="00D43A4F"/>
    <w:rsid w:val="00D44ECD"/>
    <w:rsid w:val="00D47472"/>
    <w:rsid w:val="00D509E1"/>
    <w:rsid w:val="00D5214F"/>
    <w:rsid w:val="00D530A5"/>
    <w:rsid w:val="00D600F9"/>
    <w:rsid w:val="00D621F5"/>
    <w:rsid w:val="00D640CE"/>
    <w:rsid w:val="00D660AE"/>
    <w:rsid w:val="00D67686"/>
    <w:rsid w:val="00D67F61"/>
    <w:rsid w:val="00D7274B"/>
    <w:rsid w:val="00D774F7"/>
    <w:rsid w:val="00D776CE"/>
    <w:rsid w:val="00D819CA"/>
    <w:rsid w:val="00D81BB1"/>
    <w:rsid w:val="00D837C8"/>
    <w:rsid w:val="00D83EA8"/>
    <w:rsid w:val="00D841E3"/>
    <w:rsid w:val="00D8542D"/>
    <w:rsid w:val="00D86711"/>
    <w:rsid w:val="00D905C0"/>
    <w:rsid w:val="00D93957"/>
    <w:rsid w:val="00D951AE"/>
    <w:rsid w:val="00D9704C"/>
    <w:rsid w:val="00DA0789"/>
    <w:rsid w:val="00DA0CB6"/>
    <w:rsid w:val="00DA13EA"/>
    <w:rsid w:val="00DA182A"/>
    <w:rsid w:val="00DA323E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5FE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AD2"/>
    <w:rsid w:val="00DE1560"/>
    <w:rsid w:val="00DE1EE7"/>
    <w:rsid w:val="00DE2419"/>
    <w:rsid w:val="00DE31C8"/>
    <w:rsid w:val="00DE427B"/>
    <w:rsid w:val="00DE4A20"/>
    <w:rsid w:val="00DE5BCC"/>
    <w:rsid w:val="00DF05A9"/>
    <w:rsid w:val="00DF330E"/>
    <w:rsid w:val="00DF5A1B"/>
    <w:rsid w:val="00DF5EC0"/>
    <w:rsid w:val="00E003CD"/>
    <w:rsid w:val="00E004D8"/>
    <w:rsid w:val="00E027CB"/>
    <w:rsid w:val="00E0357D"/>
    <w:rsid w:val="00E03E3F"/>
    <w:rsid w:val="00E0463E"/>
    <w:rsid w:val="00E0491A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18A"/>
    <w:rsid w:val="00E33495"/>
    <w:rsid w:val="00E3420C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214C"/>
    <w:rsid w:val="00E54E28"/>
    <w:rsid w:val="00E56BF8"/>
    <w:rsid w:val="00E5753C"/>
    <w:rsid w:val="00E63CBE"/>
    <w:rsid w:val="00E64413"/>
    <w:rsid w:val="00E70112"/>
    <w:rsid w:val="00E712E3"/>
    <w:rsid w:val="00E724D0"/>
    <w:rsid w:val="00E766B3"/>
    <w:rsid w:val="00E76D7E"/>
    <w:rsid w:val="00E77701"/>
    <w:rsid w:val="00E802BC"/>
    <w:rsid w:val="00E83BA0"/>
    <w:rsid w:val="00E85FD5"/>
    <w:rsid w:val="00E87D56"/>
    <w:rsid w:val="00E9066E"/>
    <w:rsid w:val="00E92CDC"/>
    <w:rsid w:val="00E936B1"/>
    <w:rsid w:val="00E936BE"/>
    <w:rsid w:val="00E95987"/>
    <w:rsid w:val="00E97462"/>
    <w:rsid w:val="00EA1C71"/>
    <w:rsid w:val="00EA64A7"/>
    <w:rsid w:val="00EA67EB"/>
    <w:rsid w:val="00EA6CED"/>
    <w:rsid w:val="00EA7FBE"/>
    <w:rsid w:val="00EB1E3C"/>
    <w:rsid w:val="00EB7E75"/>
    <w:rsid w:val="00EC1B03"/>
    <w:rsid w:val="00EC22D8"/>
    <w:rsid w:val="00EC3106"/>
    <w:rsid w:val="00EC3F44"/>
    <w:rsid w:val="00EC7A0A"/>
    <w:rsid w:val="00EC7A6D"/>
    <w:rsid w:val="00ED1C3E"/>
    <w:rsid w:val="00ED260B"/>
    <w:rsid w:val="00ED2CD5"/>
    <w:rsid w:val="00ED2E04"/>
    <w:rsid w:val="00ED3D4B"/>
    <w:rsid w:val="00EE0675"/>
    <w:rsid w:val="00EE0E63"/>
    <w:rsid w:val="00EE0E8E"/>
    <w:rsid w:val="00EE1831"/>
    <w:rsid w:val="00EE22D1"/>
    <w:rsid w:val="00EE4C1F"/>
    <w:rsid w:val="00EE5330"/>
    <w:rsid w:val="00EE6D4D"/>
    <w:rsid w:val="00EF1C2C"/>
    <w:rsid w:val="00EF5164"/>
    <w:rsid w:val="00F01218"/>
    <w:rsid w:val="00F03C8E"/>
    <w:rsid w:val="00F04131"/>
    <w:rsid w:val="00F05935"/>
    <w:rsid w:val="00F1054A"/>
    <w:rsid w:val="00F11500"/>
    <w:rsid w:val="00F118B2"/>
    <w:rsid w:val="00F126F8"/>
    <w:rsid w:val="00F12F59"/>
    <w:rsid w:val="00F13C4C"/>
    <w:rsid w:val="00F17C6D"/>
    <w:rsid w:val="00F235FC"/>
    <w:rsid w:val="00F240BB"/>
    <w:rsid w:val="00F24AF2"/>
    <w:rsid w:val="00F315C1"/>
    <w:rsid w:val="00F34199"/>
    <w:rsid w:val="00F3466D"/>
    <w:rsid w:val="00F36705"/>
    <w:rsid w:val="00F37DC6"/>
    <w:rsid w:val="00F41CCE"/>
    <w:rsid w:val="00F438E7"/>
    <w:rsid w:val="00F4754C"/>
    <w:rsid w:val="00F511A3"/>
    <w:rsid w:val="00F54154"/>
    <w:rsid w:val="00F5740E"/>
    <w:rsid w:val="00F57FED"/>
    <w:rsid w:val="00F648B2"/>
    <w:rsid w:val="00F65D20"/>
    <w:rsid w:val="00F65EE8"/>
    <w:rsid w:val="00F671B7"/>
    <w:rsid w:val="00F675BF"/>
    <w:rsid w:val="00F67BB0"/>
    <w:rsid w:val="00F67EE8"/>
    <w:rsid w:val="00F70162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B7390"/>
    <w:rsid w:val="00FC24E5"/>
    <w:rsid w:val="00FC7203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2F03"/>
    <w:rsid w:val="00FE40AC"/>
    <w:rsid w:val="00FE54F4"/>
    <w:rsid w:val="00FE54FD"/>
    <w:rsid w:val="00FE5C35"/>
    <w:rsid w:val="00FE73FC"/>
    <w:rsid w:val="00FF1DF8"/>
    <w:rsid w:val="00FF3530"/>
    <w:rsid w:val="00FF4C2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0C7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,Poglavje1,Heading 1si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1,Footnote Text Char Znak Znak,Znak Znak Znak Znak Znak,Znak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0F52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055AF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055AF2"/>
    <w:rPr>
      <w:color w:val="243F60"/>
      <w:sz w:val="22"/>
      <w:szCs w:val="22"/>
      <w:lang w:eastAsia="en-US"/>
    </w:rPr>
  </w:style>
  <w:style w:type="numbering" w:customStyle="1" w:styleId="Brezseznama1">
    <w:name w:val="Brez seznama1"/>
    <w:next w:val="Brezseznama"/>
    <w:semiHidden/>
    <w:rsid w:val="00055AF2"/>
  </w:style>
  <w:style w:type="character" w:customStyle="1" w:styleId="Telobesedila2Znak">
    <w:name w:val="Telo besedila 2 Znak"/>
    <w:link w:val="Telobesedila2"/>
    <w:rsid w:val="00055AF2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rsid w:val="00055AF2"/>
    <w:pPr>
      <w:spacing w:line="240" w:lineRule="auto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55AF2"/>
    <w:rPr>
      <w:sz w:val="24"/>
    </w:rPr>
  </w:style>
  <w:style w:type="paragraph" w:customStyle="1" w:styleId="Preformatted">
    <w:name w:val="Preformatted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val="pt-BR" w:eastAsia="pt-BR"/>
    </w:rPr>
  </w:style>
  <w:style w:type="paragraph" w:customStyle="1" w:styleId="Natevanje2">
    <w:name w:val="Naštevanje2"/>
    <w:basedOn w:val="Navaden"/>
    <w:rsid w:val="00055AF2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055AF2"/>
    <w:rPr>
      <w:color w:val="17365D"/>
      <w:spacing w:val="5"/>
      <w:kern w:val="28"/>
      <w:sz w:val="52"/>
      <w:szCs w:val="52"/>
      <w:lang w:eastAsia="en-US"/>
    </w:rPr>
  </w:style>
  <w:style w:type="paragraph" w:customStyle="1" w:styleId="Zamik1">
    <w:name w:val="Zamik1"/>
    <w:basedOn w:val="Zamik2"/>
    <w:rsid w:val="00055AF2"/>
    <w:pPr>
      <w:ind w:left="284"/>
    </w:pPr>
  </w:style>
  <w:style w:type="paragraph" w:customStyle="1" w:styleId="Zamik2">
    <w:name w:val="Zamik2"/>
    <w:basedOn w:val="Navaden"/>
    <w:rsid w:val="00055AF2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055AF2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055AF2"/>
    <w:pPr>
      <w:ind w:left="1135"/>
    </w:pPr>
  </w:style>
  <w:style w:type="paragraph" w:customStyle="1" w:styleId="Zamik4">
    <w:name w:val="Zamik4"/>
    <w:basedOn w:val="Zamik2"/>
    <w:rsid w:val="00055AF2"/>
    <w:pPr>
      <w:tabs>
        <w:tab w:val="clear" w:pos="3969"/>
        <w:tab w:val="clear" w:pos="5103"/>
      </w:tabs>
      <w:ind w:left="454" w:hanging="454"/>
      <w:jc w:val="both"/>
    </w:pPr>
  </w:style>
  <w:style w:type="paragraph" w:styleId="Blokbesedila">
    <w:name w:val="Block Text"/>
    <w:basedOn w:val="Navaden"/>
    <w:rsid w:val="00055AF2"/>
    <w:pPr>
      <w:spacing w:line="240" w:lineRule="atLeast"/>
      <w:ind w:left="743" w:right="311" w:hanging="34"/>
      <w:jc w:val="both"/>
    </w:pPr>
    <w:rPr>
      <w:rFonts w:ascii="Times New Roman" w:hAnsi="Times New Roman"/>
      <w:i/>
      <w:snapToGrid w:val="0"/>
      <w:color w:val="000000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055AF2"/>
    <w:pPr>
      <w:widowControl w:val="0"/>
      <w:tabs>
        <w:tab w:val="left" w:pos="-1440"/>
      </w:tabs>
      <w:spacing w:line="240" w:lineRule="auto"/>
      <w:ind w:left="1560" w:hanging="840"/>
      <w:jc w:val="both"/>
    </w:pPr>
    <w:rPr>
      <w:rFonts w:ascii="Times New Roman" w:hAnsi="Times New Roman"/>
      <w:noProof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055AF2"/>
    <w:rPr>
      <w:noProof/>
      <w:sz w:val="24"/>
    </w:rPr>
  </w:style>
  <w:style w:type="paragraph" w:customStyle="1" w:styleId="Telobesedila31">
    <w:name w:val="Telo besedila 31"/>
    <w:basedOn w:val="Navaden"/>
    <w:rsid w:val="00055AF2"/>
    <w:pPr>
      <w:spacing w:before="120" w:after="120" w:line="240" w:lineRule="auto"/>
      <w:jc w:val="both"/>
    </w:pPr>
    <w:rPr>
      <w:sz w:val="24"/>
      <w:szCs w:val="20"/>
      <w:lang w:eastAsia="sl-SI"/>
    </w:rPr>
  </w:style>
  <w:style w:type="paragraph" w:customStyle="1" w:styleId="Predoblikovano">
    <w:name w:val="Predoblikovano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h4">
    <w:name w:val="h4"/>
    <w:basedOn w:val="Navaden"/>
    <w:rsid w:val="00055AF2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val="en-GB"/>
    </w:rPr>
  </w:style>
  <w:style w:type="character" w:customStyle="1" w:styleId="ZadevapripombeZnak">
    <w:name w:val="Zadeva pripombe Znak"/>
    <w:link w:val="Zadevapripombe"/>
    <w:uiPriority w:val="99"/>
    <w:semiHidden/>
    <w:rsid w:val="00055AF2"/>
    <w:rPr>
      <w:rFonts w:eastAsia="Calibri"/>
      <w:b/>
      <w:bCs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24744E"/>
    <w:rPr>
      <w:color w:val="808080"/>
    </w:rPr>
  </w:style>
  <w:style w:type="paragraph" w:styleId="Revizija">
    <w:name w:val="Revision"/>
    <w:hidden/>
    <w:uiPriority w:val="99"/>
    <w:semiHidden/>
    <w:rsid w:val="003A1125"/>
    <w:rPr>
      <w:rFonts w:ascii="Arial" w:hAnsi="Arial"/>
      <w:szCs w:val="24"/>
      <w:lang w:eastAsia="en-US"/>
    </w:rPr>
  </w:style>
  <w:style w:type="character" w:customStyle="1" w:styleId="VrstapredpisaZnakZnak">
    <w:name w:val="Vrsta predpisa Znak Znak"/>
    <w:rsid w:val="00364CC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AlineazaodstavkomZnakZnak">
    <w:name w:val="Alinea za odstavkom Znak Znak"/>
    <w:rsid w:val="00364CC6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ZnakZnak1Znak">
    <w:name w:val="Znak Znak1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ntRefer">
    <w:name w:val="EntRefer"/>
    <w:basedOn w:val="Navaden"/>
    <w:rsid w:val="00364CC6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fr-BE"/>
    </w:rPr>
  </w:style>
  <w:style w:type="paragraph" w:customStyle="1" w:styleId="ZnakZnak2Znak">
    <w:name w:val="Znak Znak2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ZnakZnak2">
    <w:name w:val="Znak Znak2"/>
    <w:rsid w:val="00364CC6"/>
    <w:rPr>
      <w:rFonts w:ascii="Tahoma" w:hAnsi="Tahoma" w:cs="Tahoma"/>
      <w:sz w:val="16"/>
      <w:szCs w:val="16"/>
      <w:lang w:val="en-US" w:eastAsia="en-US"/>
    </w:rPr>
  </w:style>
  <w:style w:type="character" w:customStyle="1" w:styleId="Absatz-Standardschriftart">
    <w:name w:val="Absatz-Standardschriftart"/>
    <w:rsid w:val="00364CC6"/>
  </w:style>
  <w:style w:type="character" w:customStyle="1" w:styleId="Privzetapisavaodstavka1">
    <w:name w:val="Privzeta pisava odstavka1"/>
    <w:rsid w:val="00364CC6"/>
  </w:style>
  <w:style w:type="paragraph" w:customStyle="1" w:styleId="Naslov10">
    <w:name w:val="Naslov1"/>
    <w:basedOn w:val="Navaden"/>
    <w:next w:val="Telobesedila"/>
    <w:rsid w:val="00364CC6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364CC6"/>
    <w:pPr>
      <w:suppressAutoHyphens/>
      <w:spacing w:after="120"/>
      <w:jc w:val="left"/>
    </w:pPr>
    <w:rPr>
      <w:rFonts w:cs="Tahoma"/>
      <w:b w:val="0"/>
      <w:bCs w:val="0"/>
      <w:sz w:val="22"/>
      <w:szCs w:val="24"/>
      <w:lang w:eastAsia="ar-SA"/>
    </w:rPr>
  </w:style>
  <w:style w:type="paragraph" w:customStyle="1" w:styleId="Napis1">
    <w:name w:val="Napis1"/>
    <w:basedOn w:val="Navaden"/>
    <w:rsid w:val="00364CC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">
    <w:name w:val="Telo besedila 21"/>
    <w:basedOn w:val="Navaden"/>
    <w:rsid w:val="00364CC6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364CC6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364CC6"/>
    <w:pPr>
      <w:suppressAutoHyphens/>
      <w:spacing w:after="120"/>
      <w:jc w:val="left"/>
    </w:pPr>
    <w:rPr>
      <w:b w:val="0"/>
      <w:bCs w:val="0"/>
      <w:sz w:val="22"/>
      <w:szCs w:val="24"/>
      <w:lang w:eastAsia="ar-SA"/>
    </w:rPr>
  </w:style>
  <w:style w:type="paragraph" w:customStyle="1" w:styleId="NoParagraphStyle">
    <w:name w:val="[No Paragraph Style]"/>
    <w:rsid w:val="00364CC6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364CC6"/>
  </w:style>
  <w:style w:type="character" w:customStyle="1" w:styleId="highlight1">
    <w:name w:val="highlight1"/>
    <w:rsid w:val="00364CC6"/>
    <w:rPr>
      <w:color w:val="FF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0C7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,Poglavje1,Heading 1si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1,Footnote Text Char Znak Znak,Znak Znak Znak Znak Znak,Znak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0F52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055AF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055AF2"/>
    <w:rPr>
      <w:color w:val="243F60"/>
      <w:sz w:val="22"/>
      <w:szCs w:val="22"/>
      <w:lang w:eastAsia="en-US"/>
    </w:rPr>
  </w:style>
  <w:style w:type="numbering" w:customStyle="1" w:styleId="Brezseznama1">
    <w:name w:val="Brez seznama1"/>
    <w:next w:val="Brezseznama"/>
    <w:semiHidden/>
    <w:rsid w:val="00055AF2"/>
  </w:style>
  <w:style w:type="character" w:customStyle="1" w:styleId="Telobesedila2Znak">
    <w:name w:val="Telo besedila 2 Znak"/>
    <w:link w:val="Telobesedila2"/>
    <w:rsid w:val="00055AF2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rsid w:val="00055AF2"/>
    <w:pPr>
      <w:spacing w:line="240" w:lineRule="auto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55AF2"/>
    <w:rPr>
      <w:sz w:val="24"/>
    </w:rPr>
  </w:style>
  <w:style w:type="paragraph" w:customStyle="1" w:styleId="Preformatted">
    <w:name w:val="Preformatted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val="pt-BR" w:eastAsia="pt-BR"/>
    </w:rPr>
  </w:style>
  <w:style w:type="paragraph" w:customStyle="1" w:styleId="Natevanje2">
    <w:name w:val="Naštevanje2"/>
    <w:basedOn w:val="Navaden"/>
    <w:rsid w:val="00055AF2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055AF2"/>
    <w:rPr>
      <w:color w:val="17365D"/>
      <w:spacing w:val="5"/>
      <w:kern w:val="28"/>
      <w:sz w:val="52"/>
      <w:szCs w:val="52"/>
      <w:lang w:eastAsia="en-US"/>
    </w:rPr>
  </w:style>
  <w:style w:type="paragraph" w:customStyle="1" w:styleId="Zamik1">
    <w:name w:val="Zamik1"/>
    <w:basedOn w:val="Zamik2"/>
    <w:rsid w:val="00055AF2"/>
    <w:pPr>
      <w:ind w:left="284"/>
    </w:pPr>
  </w:style>
  <w:style w:type="paragraph" w:customStyle="1" w:styleId="Zamik2">
    <w:name w:val="Zamik2"/>
    <w:basedOn w:val="Navaden"/>
    <w:rsid w:val="00055AF2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055AF2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055AF2"/>
    <w:pPr>
      <w:ind w:left="1135"/>
    </w:pPr>
  </w:style>
  <w:style w:type="paragraph" w:customStyle="1" w:styleId="Zamik4">
    <w:name w:val="Zamik4"/>
    <w:basedOn w:val="Zamik2"/>
    <w:rsid w:val="00055AF2"/>
    <w:pPr>
      <w:tabs>
        <w:tab w:val="clear" w:pos="3969"/>
        <w:tab w:val="clear" w:pos="5103"/>
      </w:tabs>
      <w:ind w:left="454" w:hanging="454"/>
      <w:jc w:val="both"/>
    </w:pPr>
  </w:style>
  <w:style w:type="paragraph" w:styleId="Blokbesedila">
    <w:name w:val="Block Text"/>
    <w:basedOn w:val="Navaden"/>
    <w:rsid w:val="00055AF2"/>
    <w:pPr>
      <w:spacing w:line="240" w:lineRule="atLeast"/>
      <w:ind w:left="743" w:right="311" w:hanging="34"/>
      <w:jc w:val="both"/>
    </w:pPr>
    <w:rPr>
      <w:rFonts w:ascii="Times New Roman" w:hAnsi="Times New Roman"/>
      <w:i/>
      <w:snapToGrid w:val="0"/>
      <w:color w:val="000000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055AF2"/>
    <w:pPr>
      <w:widowControl w:val="0"/>
      <w:tabs>
        <w:tab w:val="left" w:pos="-1440"/>
      </w:tabs>
      <w:spacing w:line="240" w:lineRule="auto"/>
      <w:ind w:left="1560" w:hanging="840"/>
      <w:jc w:val="both"/>
    </w:pPr>
    <w:rPr>
      <w:rFonts w:ascii="Times New Roman" w:hAnsi="Times New Roman"/>
      <w:noProof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055AF2"/>
    <w:rPr>
      <w:noProof/>
      <w:sz w:val="24"/>
    </w:rPr>
  </w:style>
  <w:style w:type="paragraph" w:customStyle="1" w:styleId="Telobesedila31">
    <w:name w:val="Telo besedila 31"/>
    <w:basedOn w:val="Navaden"/>
    <w:rsid w:val="00055AF2"/>
    <w:pPr>
      <w:spacing w:before="120" w:after="120" w:line="240" w:lineRule="auto"/>
      <w:jc w:val="both"/>
    </w:pPr>
    <w:rPr>
      <w:sz w:val="24"/>
      <w:szCs w:val="20"/>
      <w:lang w:eastAsia="sl-SI"/>
    </w:rPr>
  </w:style>
  <w:style w:type="paragraph" w:customStyle="1" w:styleId="Predoblikovano">
    <w:name w:val="Predoblikovano"/>
    <w:basedOn w:val="Navaden"/>
    <w:rsid w:val="00055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h4">
    <w:name w:val="h4"/>
    <w:basedOn w:val="Navaden"/>
    <w:rsid w:val="00055AF2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val="en-GB"/>
    </w:rPr>
  </w:style>
  <w:style w:type="character" w:customStyle="1" w:styleId="ZadevapripombeZnak">
    <w:name w:val="Zadeva pripombe Znak"/>
    <w:link w:val="Zadevapripombe"/>
    <w:uiPriority w:val="99"/>
    <w:semiHidden/>
    <w:rsid w:val="00055AF2"/>
    <w:rPr>
      <w:rFonts w:eastAsia="Calibri"/>
      <w:b/>
      <w:bCs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24744E"/>
    <w:rPr>
      <w:color w:val="808080"/>
    </w:rPr>
  </w:style>
  <w:style w:type="paragraph" w:styleId="Revizija">
    <w:name w:val="Revision"/>
    <w:hidden/>
    <w:uiPriority w:val="99"/>
    <w:semiHidden/>
    <w:rsid w:val="003A1125"/>
    <w:rPr>
      <w:rFonts w:ascii="Arial" w:hAnsi="Arial"/>
      <w:szCs w:val="24"/>
      <w:lang w:eastAsia="en-US"/>
    </w:rPr>
  </w:style>
  <w:style w:type="character" w:customStyle="1" w:styleId="VrstapredpisaZnakZnak">
    <w:name w:val="Vrsta predpisa Znak Znak"/>
    <w:rsid w:val="00364CC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364CC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AlineazaodstavkomZnakZnak">
    <w:name w:val="Alinea za odstavkom Znak Znak"/>
    <w:rsid w:val="00364CC6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ZnakZnak1Znak">
    <w:name w:val="Znak Znak1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ntRefer">
    <w:name w:val="EntRefer"/>
    <w:basedOn w:val="Navaden"/>
    <w:rsid w:val="00364CC6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fr-BE"/>
    </w:rPr>
  </w:style>
  <w:style w:type="paragraph" w:customStyle="1" w:styleId="ZnakZnak2Znak">
    <w:name w:val="Znak Znak2 Znak"/>
    <w:basedOn w:val="Navaden"/>
    <w:rsid w:val="00364CC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ZnakZnak2">
    <w:name w:val="Znak Znak2"/>
    <w:rsid w:val="00364CC6"/>
    <w:rPr>
      <w:rFonts w:ascii="Tahoma" w:hAnsi="Tahoma" w:cs="Tahoma"/>
      <w:sz w:val="16"/>
      <w:szCs w:val="16"/>
      <w:lang w:val="en-US" w:eastAsia="en-US"/>
    </w:rPr>
  </w:style>
  <w:style w:type="character" w:customStyle="1" w:styleId="Absatz-Standardschriftart">
    <w:name w:val="Absatz-Standardschriftart"/>
    <w:rsid w:val="00364CC6"/>
  </w:style>
  <w:style w:type="character" w:customStyle="1" w:styleId="Privzetapisavaodstavka1">
    <w:name w:val="Privzeta pisava odstavka1"/>
    <w:rsid w:val="00364CC6"/>
  </w:style>
  <w:style w:type="paragraph" w:customStyle="1" w:styleId="Naslov10">
    <w:name w:val="Naslov1"/>
    <w:basedOn w:val="Navaden"/>
    <w:next w:val="Telobesedila"/>
    <w:rsid w:val="00364CC6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364CC6"/>
    <w:pPr>
      <w:suppressAutoHyphens/>
      <w:spacing w:after="120"/>
      <w:jc w:val="left"/>
    </w:pPr>
    <w:rPr>
      <w:rFonts w:cs="Tahoma"/>
      <w:b w:val="0"/>
      <w:bCs w:val="0"/>
      <w:sz w:val="22"/>
      <w:szCs w:val="24"/>
      <w:lang w:eastAsia="ar-SA"/>
    </w:rPr>
  </w:style>
  <w:style w:type="paragraph" w:customStyle="1" w:styleId="Napis1">
    <w:name w:val="Napis1"/>
    <w:basedOn w:val="Navaden"/>
    <w:rsid w:val="00364CC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">
    <w:name w:val="Telo besedila 21"/>
    <w:basedOn w:val="Navaden"/>
    <w:rsid w:val="00364CC6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364CC6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364CC6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364CC6"/>
    <w:pPr>
      <w:suppressAutoHyphens/>
      <w:spacing w:after="120"/>
      <w:jc w:val="left"/>
    </w:pPr>
    <w:rPr>
      <w:b w:val="0"/>
      <w:bCs w:val="0"/>
      <w:sz w:val="22"/>
      <w:szCs w:val="24"/>
      <w:lang w:eastAsia="ar-SA"/>
    </w:rPr>
  </w:style>
  <w:style w:type="paragraph" w:customStyle="1" w:styleId="NoParagraphStyle">
    <w:name w:val="[No Paragraph Style]"/>
    <w:rsid w:val="00364CC6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364CC6"/>
  </w:style>
  <w:style w:type="character" w:customStyle="1" w:styleId="highlight1">
    <w:name w:val="highlight1"/>
    <w:rsid w:val="00364CC6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9EF5-A5AF-4738-9E02-D278DB92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4753</Words>
  <Characters>27097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31787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 Roth</dc:creator>
  <cp:lastModifiedBy>Katja.Goricar</cp:lastModifiedBy>
  <cp:revision>3</cp:revision>
  <cp:lastPrinted>2016-03-02T10:33:00Z</cp:lastPrinted>
  <dcterms:created xsi:type="dcterms:W3CDTF">2016-03-02T12:24:00Z</dcterms:created>
  <dcterms:modified xsi:type="dcterms:W3CDTF">2016-03-08T08:07:00Z</dcterms:modified>
</cp:coreProperties>
</file>