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DC" w:rsidRPr="000C761E" w:rsidRDefault="00043FDC" w:rsidP="001542F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0C761E">
        <w:rPr>
          <w:rFonts w:ascii="Arial" w:hAnsi="Arial" w:cs="Arial"/>
          <w:b/>
          <w:sz w:val="20"/>
          <w:szCs w:val="20"/>
        </w:rPr>
        <w:t>PREAMBULA IN OKVIRNI NASLOV PODZAKONSKEGA AKTA:</w:t>
      </w:r>
    </w:p>
    <w:p w:rsidR="003B7438" w:rsidRPr="000C761E" w:rsidRDefault="003B7438" w:rsidP="001542F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D70F4" w:rsidRPr="000C761E" w:rsidRDefault="00FD70F4" w:rsidP="001542F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B7438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 xml:space="preserve">Na podlagi drugega odstavka 10. člena </w:t>
      </w:r>
      <w:bookmarkStart w:id="0" w:name="OLE_LINK1"/>
      <w:bookmarkStart w:id="1" w:name="OLE_LINK2"/>
      <w:r w:rsidRPr="000C761E">
        <w:rPr>
          <w:rFonts w:ascii="Arial" w:hAnsi="Arial" w:cs="Arial"/>
          <w:sz w:val="20"/>
          <w:szCs w:val="20"/>
        </w:rPr>
        <w:t xml:space="preserve">Zakona o </w:t>
      </w:r>
      <w:bookmarkEnd w:id="0"/>
      <w:bookmarkEnd w:id="1"/>
      <w:r w:rsidRPr="000C761E">
        <w:rPr>
          <w:rFonts w:ascii="Arial" w:hAnsi="Arial" w:cs="Arial"/>
          <w:sz w:val="20"/>
          <w:szCs w:val="20"/>
        </w:rPr>
        <w:t xml:space="preserve">motornih vozilih (ZMV-1) (Uradni list RS, št. </w:t>
      </w:r>
      <w:proofErr w:type="spellStart"/>
      <w:r w:rsidRPr="000C761E">
        <w:rPr>
          <w:rFonts w:ascii="Arial" w:hAnsi="Arial" w:cs="Arial"/>
          <w:sz w:val="20"/>
          <w:szCs w:val="20"/>
        </w:rPr>
        <w:t>xx</w:t>
      </w:r>
      <w:proofErr w:type="spellEnd"/>
      <w:r w:rsidRPr="000C761E">
        <w:rPr>
          <w:rFonts w:ascii="Arial" w:hAnsi="Arial" w:cs="Arial"/>
          <w:sz w:val="20"/>
          <w:szCs w:val="20"/>
        </w:rPr>
        <w:t>/</w:t>
      </w:r>
      <w:proofErr w:type="spellStart"/>
      <w:r w:rsidRPr="000C761E">
        <w:rPr>
          <w:rFonts w:ascii="Arial" w:hAnsi="Arial" w:cs="Arial"/>
          <w:sz w:val="20"/>
          <w:szCs w:val="20"/>
        </w:rPr>
        <w:t>yy</w:t>
      </w:r>
      <w:proofErr w:type="spellEnd"/>
      <w:r w:rsidRPr="000C761E">
        <w:rPr>
          <w:rFonts w:ascii="Arial" w:hAnsi="Arial" w:cs="Arial"/>
          <w:sz w:val="20"/>
          <w:szCs w:val="20"/>
        </w:rPr>
        <w:t>) izdaja minister za infrastrukturo</w:t>
      </w:r>
    </w:p>
    <w:p w:rsidR="003B7438" w:rsidRPr="000C761E" w:rsidRDefault="003B7438" w:rsidP="001542F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C761E">
        <w:rPr>
          <w:rFonts w:ascii="Arial" w:hAnsi="Arial" w:cs="Arial"/>
          <w:b/>
          <w:sz w:val="20"/>
          <w:szCs w:val="20"/>
        </w:rPr>
        <w:t>ODREDBO</w:t>
      </w: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C761E">
        <w:rPr>
          <w:rFonts w:ascii="Arial" w:hAnsi="Arial" w:cs="Arial"/>
          <w:b/>
          <w:sz w:val="20"/>
          <w:szCs w:val="20"/>
        </w:rPr>
        <w:t>o določitvi seznama tehničnih specifikacij za motorna in priklopna vozila (z najmanj štirimi kolesi)</w:t>
      </w:r>
    </w:p>
    <w:p w:rsidR="00043FDC" w:rsidRPr="000C761E" w:rsidRDefault="00043FDC" w:rsidP="001542FA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7B7334" w:rsidRPr="000C761E" w:rsidRDefault="007B7334" w:rsidP="001542F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B7438" w:rsidRPr="000C761E" w:rsidRDefault="007B7334" w:rsidP="001542F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0C761E">
        <w:rPr>
          <w:rFonts w:ascii="Arial" w:hAnsi="Arial" w:cs="Arial"/>
          <w:b/>
          <w:sz w:val="20"/>
          <w:szCs w:val="20"/>
        </w:rPr>
        <w:t xml:space="preserve">VSEBINA, </w:t>
      </w:r>
      <w:r w:rsidR="00FB550D" w:rsidRPr="000C761E">
        <w:rPr>
          <w:rFonts w:ascii="Arial" w:hAnsi="Arial" w:cs="Arial"/>
          <w:b/>
          <w:sz w:val="20"/>
          <w:szCs w:val="20"/>
        </w:rPr>
        <w:t xml:space="preserve">OPISANA </w:t>
      </w:r>
      <w:r w:rsidRPr="000C761E">
        <w:rPr>
          <w:rFonts w:ascii="Arial" w:hAnsi="Arial" w:cs="Arial"/>
          <w:b/>
          <w:sz w:val="20"/>
          <w:szCs w:val="20"/>
        </w:rPr>
        <w:t>PO VSEBINSKIH SKLOPIH</w:t>
      </w:r>
      <w:r w:rsidR="00043FDC" w:rsidRPr="000C761E">
        <w:rPr>
          <w:rFonts w:ascii="Arial" w:hAnsi="Arial" w:cs="Arial"/>
          <w:b/>
          <w:sz w:val="20"/>
          <w:szCs w:val="20"/>
        </w:rPr>
        <w:t>:</w:t>
      </w:r>
    </w:p>
    <w:p w:rsidR="00FD70F4" w:rsidRPr="000C761E" w:rsidRDefault="00FD70F4" w:rsidP="001542F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36F49" w:rsidRPr="00601039" w:rsidRDefault="00836F49" w:rsidP="001542FA">
      <w:pPr>
        <w:pStyle w:val="Odstavekseznama"/>
        <w:numPr>
          <w:ilvl w:val="0"/>
          <w:numId w:val="7"/>
        </w:numPr>
        <w:tabs>
          <w:tab w:val="left" w:pos="567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601039">
        <w:rPr>
          <w:rFonts w:ascii="Arial" w:hAnsi="Arial" w:cs="Arial"/>
          <w:sz w:val="20"/>
          <w:szCs w:val="20"/>
        </w:rPr>
        <w:t>PREDMET UREJANJA (VSEBINA AKTA)</w:t>
      </w:r>
    </w:p>
    <w:p w:rsidR="00836F49" w:rsidRPr="00601039" w:rsidRDefault="00836F49" w:rsidP="001542FA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601039" w:rsidRPr="00601039" w:rsidRDefault="00601039" w:rsidP="0060103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01039">
        <w:rPr>
          <w:rFonts w:ascii="Arial" w:hAnsi="Arial" w:cs="Arial"/>
          <w:sz w:val="20"/>
          <w:szCs w:val="20"/>
        </w:rPr>
        <w:t>S to odredbo se določa seznam tehničnih specifikacij za motorna in priklopna vozila (z najmanj štirimi kolesi).</w:t>
      </w:r>
    </w:p>
    <w:p w:rsidR="00601039" w:rsidRPr="00601039" w:rsidRDefault="00601039" w:rsidP="001542FA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36F49" w:rsidRPr="00601039" w:rsidRDefault="00836F49" w:rsidP="00BE56DF">
      <w:pPr>
        <w:pStyle w:val="Odstavekseznama"/>
        <w:numPr>
          <w:ilvl w:val="0"/>
          <w:numId w:val="7"/>
        </w:numPr>
        <w:tabs>
          <w:tab w:val="left" w:pos="709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601039">
        <w:rPr>
          <w:rFonts w:ascii="Arial" w:hAnsi="Arial" w:cs="Arial"/>
          <w:sz w:val="20"/>
          <w:szCs w:val="20"/>
        </w:rPr>
        <w:t>P</w:t>
      </w:r>
      <w:bookmarkStart w:id="2" w:name="_GoBack"/>
      <w:bookmarkEnd w:id="2"/>
      <w:r w:rsidRPr="00601039">
        <w:rPr>
          <w:rFonts w:ascii="Arial" w:hAnsi="Arial" w:cs="Arial"/>
          <w:sz w:val="20"/>
          <w:szCs w:val="20"/>
        </w:rPr>
        <w:t xml:space="preserve">REDSTAVITEV PO </w:t>
      </w:r>
      <w:r w:rsidR="00075C76" w:rsidRPr="00601039">
        <w:rPr>
          <w:rFonts w:ascii="Arial" w:hAnsi="Arial" w:cs="Arial"/>
          <w:sz w:val="20"/>
          <w:szCs w:val="20"/>
        </w:rPr>
        <w:t xml:space="preserve">VSEBINSKIH </w:t>
      </w:r>
      <w:r w:rsidRPr="00601039">
        <w:rPr>
          <w:rFonts w:ascii="Arial" w:hAnsi="Arial" w:cs="Arial"/>
          <w:sz w:val="20"/>
          <w:szCs w:val="20"/>
        </w:rPr>
        <w:t>SKLOPIH</w:t>
      </w:r>
    </w:p>
    <w:p w:rsidR="00601039" w:rsidRPr="000C761E" w:rsidRDefault="00601039" w:rsidP="001542FA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F49" w:rsidRPr="00E31548" w:rsidRDefault="00F54630" w:rsidP="001542FA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31548">
        <w:rPr>
          <w:rFonts w:ascii="Arial" w:hAnsi="Arial" w:cs="Arial"/>
          <w:sz w:val="20"/>
          <w:szCs w:val="20"/>
        </w:rPr>
        <w:t xml:space="preserve">Opis </w:t>
      </w:r>
      <w:r w:rsidR="00075C76" w:rsidRPr="00E31548">
        <w:rPr>
          <w:rFonts w:ascii="Arial" w:hAnsi="Arial" w:cs="Arial"/>
          <w:sz w:val="20"/>
          <w:szCs w:val="20"/>
        </w:rPr>
        <w:t>ukrepa in rešitve</w:t>
      </w:r>
    </w:p>
    <w:p w:rsidR="00836F49" w:rsidRDefault="00836F49" w:rsidP="0088206E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206E" w:rsidRPr="0088206E" w:rsidRDefault="0088206E" w:rsidP="0088206E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206E">
        <w:rPr>
          <w:rFonts w:ascii="Arial" w:hAnsi="Arial" w:cs="Arial"/>
          <w:sz w:val="20"/>
          <w:szCs w:val="20"/>
        </w:rPr>
        <w:t xml:space="preserve">Tehnične specifikacije za motorna in priklopna vozila (z najmanj štirimi kolesi) se uporabljajo za podeljevanje </w:t>
      </w:r>
      <w:r>
        <w:rPr>
          <w:rFonts w:ascii="Arial" w:hAnsi="Arial" w:cs="Arial"/>
          <w:sz w:val="20"/>
          <w:szCs w:val="20"/>
        </w:rPr>
        <w:t>novih homologacij, pri tem imamo seznam veljavnih in neveljavnih tehničnih specifikacij ter tehnične specifikacije, ki so še veljavne vendar imajo rok do prenehanja veljave.</w:t>
      </w:r>
    </w:p>
    <w:p w:rsidR="006C269C" w:rsidRPr="006C269C" w:rsidRDefault="006C269C" w:rsidP="006C269C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6C269C" w:rsidRDefault="00F54630" w:rsidP="001542FA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C269C">
        <w:rPr>
          <w:rFonts w:ascii="Arial" w:hAnsi="Arial" w:cs="Arial"/>
          <w:sz w:val="20"/>
          <w:szCs w:val="20"/>
        </w:rPr>
        <w:t>Naslovnik</w:t>
      </w:r>
    </w:p>
    <w:p w:rsidR="00836F49" w:rsidRPr="006C269C" w:rsidRDefault="00836F49" w:rsidP="002404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404D1" w:rsidRPr="006C269C" w:rsidRDefault="006C269C" w:rsidP="002404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Odredba s</w:t>
      </w:r>
      <w:r w:rsidR="002404D1" w:rsidRPr="006C269C">
        <w:rPr>
          <w:rFonts w:ascii="Arial" w:hAnsi="Arial" w:cs="Arial"/>
          <w:sz w:val="20"/>
          <w:szCs w:val="20"/>
        </w:rPr>
        <w:t>e nanašajo na tehnične službe in strokovne organizacije.</w:t>
      </w:r>
    </w:p>
    <w:p w:rsidR="002404D1" w:rsidRPr="002404D1" w:rsidRDefault="002404D1" w:rsidP="002404D1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F49" w:rsidRPr="00195DF3" w:rsidRDefault="00F54630" w:rsidP="001542FA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5DF3">
        <w:rPr>
          <w:rFonts w:ascii="Arial" w:hAnsi="Arial" w:cs="Arial"/>
          <w:sz w:val="20"/>
          <w:szCs w:val="20"/>
        </w:rPr>
        <w:t>Pravne posledice</w:t>
      </w:r>
    </w:p>
    <w:p w:rsidR="009034F0" w:rsidRDefault="009034F0" w:rsidP="001542FA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C269C" w:rsidRPr="00195DF3" w:rsidRDefault="00195DF3" w:rsidP="0053198F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neupoštevanju te odredbe lahko pride do prenehanje oziroma izgubo posameznih pravic.</w:t>
      </w:r>
    </w:p>
    <w:p w:rsidR="006C269C" w:rsidRPr="000C761E" w:rsidRDefault="006C269C" w:rsidP="0053198F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34F0" w:rsidRPr="00601039" w:rsidRDefault="009034F0" w:rsidP="001542FA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1039">
        <w:rPr>
          <w:rFonts w:ascii="Arial" w:hAnsi="Arial" w:cs="Arial"/>
          <w:sz w:val="20"/>
          <w:szCs w:val="20"/>
        </w:rPr>
        <w:t>PREHODNI REŽIM</w:t>
      </w:r>
    </w:p>
    <w:p w:rsidR="009034F0" w:rsidRDefault="009034F0" w:rsidP="001542FA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01039" w:rsidRPr="000C761E" w:rsidRDefault="00601039" w:rsidP="00601039">
      <w:pPr>
        <w:pStyle w:val="Sprotnaopomba-besedilo"/>
        <w:jc w:val="both"/>
        <w:rPr>
          <w:rFonts w:cs="Arial"/>
        </w:rPr>
      </w:pPr>
      <w:r w:rsidRPr="000C761E">
        <w:rPr>
          <w:rFonts w:cs="Arial"/>
        </w:rPr>
        <w:t>Z dnem uveljavitve te odredbe preneha veljati Odredba o določitvi seznama tehničnih specifikacij za motorna in priklopna vozila (z najmanj štirimi kolesi) (Uradni list RS, št. 50/11 in 78/14).</w:t>
      </w:r>
    </w:p>
    <w:p w:rsidR="00601039" w:rsidRPr="000C761E" w:rsidRDefault="00601039" w:rsidP="001542FA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B7334" w:rsidRPr="00BE016B" w:rsidRDefault="00836F49" w:rsidP="001542FA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016B">
        <w:rPr>
          <w:rFonts w:ascii="Arial" w:hAnsi="Arial" w:cs="Arial"/>
          <w:sz w:val="20"/>
          <w:szCs w:val="20"/>
        </w:rPr>
        <w:t>ZAČETEK VELJAVNOSTI</w:t>
      </w:r>
    </w:p>
    <w:p w:rsidR="00BE016B" w:rsidRDefault="00BE016B" w:rsidP="00BE016B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E016B" w:rsidRPr="00BE016B" w:rsidRDefault="00BE016B" w:rsidP="00BE016B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016B">
        <w:rPr>
          <w:rFonts w:ascii="Arial" w:hAnsi="Arial" w:cs="Arial"/>
          <w:sz w:val="20"/>
          <w:szCs w:val="20"/>
        </w:rPr>
        <w:t>Ta odredba začne veljati naslednji dan po objavi v Uradnem listu Republike Slovenije.</w:t>
      </w:r>
    </w:p>
    <w:p w:rsidR="009034F0" w:rsidRPr="000C761E" w:rsidRDefault="009034F0" w:rsidP="001542FA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0C761E" w:rsidRDefault="00043FDC" w:rsidP="001542F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6710A0" w:rsidRDefault="00671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B7334" w:rsidRPr="000C761E" w:rsidRDefault="00320BB6" w:rsidP="001542F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C761E">
        <w:rPr>
          <w:rFonts w:ascii="Arial" w:hAnsi="Arial" w:cs="Arial"/>
          <w:b/>
          <w:sz w:val="20"/>
          <w:szCs w:val="20"/>
        </w:rPr>
        <w:lastRenderedPageBreak/>
        <w:t>NORMATIVNI DEL</w:t>
      </w:r>
    </w:p>
    <w:p w:rsidR="007B7334" w:rsidRPr="000C761E" w:rsidRDefault="007B7334" w:rsidP="001542F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1. člen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(1) S to odredbo se določa seznam tehničnih specifikacij za motorna in priklopna vozila (z najmanj štirimi kolesi).</w:t>
      </w:r>
    </w:p>
    <w:p w:rsidR="001542FA" w:rsidRPr="000C761E" w:rsidRDefault="001542FA" w:rsidP="001542FA">
      <w:pPr>
        <w:tabs>
          <w:tab w:val="left" w:pos="851"/>
        </w:tabs>
        <w:spacing w:after="0"/>
        <w:ind w:left="-36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(2) Seznam tehničnih specifikacij za motorna in priklopna vozila (z najmanj štirimi kolesi) je priloga te odredbe.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2. člen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pStyle w:val="Sprotnaopomba-besedilo"/>
        <w:jc w:val="both"/>
        <w:rPr>
          <w:rFonts w:cs="Arial"/>
        </w:rPr>
      </w:pPr>
      <w:r w:rsidRPr="000C761E">
        <w:rPr>
          <w:rFonts w:cs="Arial"/>
        </w:rPr>
        <w:t>Z dnem uveljavitve te odredbe preneha veljati Odredba o določitvi seznama tehničnih specifikacij za motorna in priklopna vozila (z najmanj štirimi kolesi) (Uradni list RS, št. 50/11 in 78/14).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3. člen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C761E">
        <w:rPr>
          <w:rFonts w:ascii="Arial" w:hAnsi="Arial" w:cs="Arial"/>
          <w:sz w:val="20"/>
          <w:szCs w:val="20"/>
        </w:rPr>
        <w:t>Ta odredba začne veljati naslednji dan po objavi v Uradnem listu Republike Slovenije.</w:t>
      </w: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Pr="000C761E" w:rsidRDefault="001542FA" w:rsidP="001542FA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542FA" w:rsidRDefault="001542FA" w:rsidP="001542FA">
      <w:pPr>
        <w:spacing w:after="0"/>
        <w:jc w:val="center"/>
      </w:pPr>
      <w:r w:rsidRPr="000C761E">
        <w:rPr>
          <w:sz w:val="20"/>
          <w:szCs w:val="20"/>
        </w:rPr>
        <w:br w:type="page"/>
      </w:r>
      <w:r>
        <w:lastRenderedPageBreak/>
        <w:t>PRILOGA</w:t>
      </w:r>
    </w:p>
    <w:p w:rsidR="001542FA" w:rsidRDefault="001542FA" w:rsidP="001542FA">
      <w:pPr>
        <w:spacing w:after="0"/>
      </w:pPr>
    </w:p>
    <w:p w:rsidR="001542FA" w:rsidRPr="00741B41" w:rsidRDefault="001542FA" w:rsidP="001542FA">
      <w:pPr>
        <w:spacing w:after="0"/>
      </w:pPr>
    </w:p>
    <w:p w:rsidR="001542FA" w:rsidRDefault="001542FA" w:rsidP="001542FA">
      <w:pPr>
        <w:pStyle w:val="Naslov1"/>
        <w:rPr>
          <w:sz w:val="24"/>
        </w:rPr>
      </w:pPr>
      <w:r>
        <w:rPr>
          <w:sz w:val="24"/>
        </w:rPr>
        <w:t xml:space="preserve">SEZNAM TEHNIČNIH SPECIFIKACIJ ZA MOTORNA IN PRIKLOPNA VOZILA </w:t>
      </w:r>
      <w:r w:rsidRPr="00602139">
        <w:rPr>
          <w:b w:val="0"/>
          <w:sz w:val="24"/>
          <w:vertAlign w:val="superscript"/>
        </w:rPr>
        <w:t>(</w:t>
      </w:r>
      <w:r w:rsidRPr="00602139">
        <w:rPr>
          <w:rStyle w:val="Sprotnaopomba-sklic"/>
          <w:b w:val="0"/>
          <w:sz w:val="24"/>
        </w:rPr>
        <w:footnoteReference w:id="1"/>
      </w:r>
      <w:r w:rsidRPr="00602139">
        <w:rPr>
          <w:b w:val="0"/>
          <w:sz w:val="24"/>
          <w:vertAlign w:val="superscript"/>
        </w:rPr>
        <w:t>)</w:t>
      </w:r>
    </w:p>
    <w:p w:rsidR="001542FA" w:rsidRDefault="001542FA" w:rsidP="001542FA">
      <w:pPr>
        <w:pStyle w:val="Naslov1"/>
        <w:rPr>
          <w:b w:val="0"/>
        </w:rPr>
      </w:pPr>
      <w:r>
        <w:rPr>
          <w:b w:val="0"/>
        </w:rPr>
        <w:t>(z najmanj štirimi kolesi)</w:t>
      </w:r>
    </w:p>
    <w:p w:rsidR="001542FA" w:rsidRDefault="001542FA" w:rsidP="001542FA">
      <w:pPr>
        <w:tabs>
          <w:tab w:val="left" w:pos="1440"/>
          <w:tab w:val="left" w:pos="1800"/>
        </w:tabs>
        <w:spacing w:after="0"/>
        <w:rPr>
          <w:sz w:val="16"/>
          <w:szCs w:val="16"/>
        </w:rPr>
      </w:pPr>
    </w:p>
    <w:p w:rsidR="001542FA" w:rsidRPr="006B2483" w:rsidRDefault="001542FA" w:rsidP="001542FA">
      <w:pPr>
        <w:spacing w:after="0"/>
        <w:jc w:val="center"/>
      </w:pPr>
      <w:r>
        <w:t>Stanje 1. januar 2016</w:t>
      </w:r>
    </w:p>
    <w:p w:rsidR="001542FA" w:rsidRDefault="001542FA" w:rsidP="001542FA">
      <w:pPr>
        <w:tabs>
          <w:tab w:val="left" w:pos="1440"/>
          <w:tab w:val="left" w:pos="1800"/>
        </w:tabs>
        <w:spacing w:after="0"/>
        <w:rPr>
          <w:sz w:val="16"/>
          <w:szCs w:val="16"/>
        </w:rPr>
      </w:pPr>
    </w:p>
    <w:p w:rsidR="001542FA" w:rsidRDefault="001542FA" w:rsidP="001542FA">
      <w:pPr>
        <w:tabs>
          <w:tab w:val="left" w:pos="1440"/>
          <w:tab w:val="left" w:pos="1800"/>
        </w:tabs>
        <w:spacing w:after="0"/>
        <w:rPr>
          <w:sz w:val="16"/>
          <w:szCs w:val="16"/>
        </w:rPr>
      </w:pPr>
    </w:p>
    <w:p w:rsidR="001542FA" w:rsidRPr="00E57C46" w:rsidRDefault="001542FA" w:rsidP="001542FA">
      <w:pPr>
        <w:tabs>
          <w:tab w:val="left" w:pos="1440"/>
          <w:tab w:val="left" w:pos="1800"/>
        </w:tabs>
        <w:spacing w:after="0"/>
        <w:rPr>
          <w:sz w:val="16"/>
          <w:szCs w:val="16"/>
        </w:rPr>
      </w:pPr>
      <w:r w:rsidRPr="00E57C46">
        <w:rPr>
          <w:sz w:val="16"/>
          <w:szCs w:val="16"/>
        </w:rPr>
        <w:t xml:space="preserve">LEGENDA: </w:t>
      </w:r>
      <w:r w:rsidRPr="00E57C46">
        <w:rPr>
          <w:sz w:val="16"/>
          <w:szCs w:val="16"/>
        </w:rPr>
        <w:tab/>
        <w:t xml:space="preserve">– </w:t>
      </w:r>
      <w:r w:rsidRPr="00E57C46">
        <w:rPr>
          <w:sz w:val="16"/>
          <w:szCs w:val="16"/>
        </w:rPr>
        <w:tab/>
        <w:t>veljavna TSV;</w:t>
      </w:r>
    </w:p>
    <w:p w:rsidR="001542FA" w:rsidRPr="00E57C46" w:rsidRDefault="001542FA" w:rsidP="001542FA">
      <w:pPr>
        <w:numPr>
          <w:ilvl w:val="0"/>
          <w:numId w:val="14"/>
        </w:numPr>
        <w:spacing w:after="0" w:line="240" w:lineRule="auto"/>
        <w:rPr>
          <w:color w:val="339966"/>
          <w:sz w:val="16"/>
          <w:szCs w:val="16"/>
        </w:rPr>
      </w:pPr>
      <w:r w:rsidRPr="00E57C46">
        <w:rPr>
          <w:color w:val="339966"/>
          <w:sz w:val="16"/>
          <w:szCs w:val="16"/>
        </w:rPr>
        <w:t>še veljavna TSV, za katero je pa datum preklica že določen, vendar se nove homologacije podeljujejo že po novi TSV;</w:t>
      </w:r>
    </w:p>
    <w:p w:rsidR="001542FA" w:rsidRPr="00E57C46" w:rsidRDefault="001542FA" w:rsidP="001542FA">
      <w:pPr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E57C46">
        <w:rPr>
          <w:color w:val="FF0000"/>
          <w:sz w:val="16"/>
          <w:szCs w:val="16"/>
        </w:rPr>
        <w:t>preklicana TSV, se ne uporablja več za homologacijo.</w:t>
      </w:r>
    </w:p>
    <w:p w:rsidR="001542FA" w:rsidRPr="006B3D95" w:rsidRDefault="001542FA" w:rsidP="001542FA">
      <w:pPr>
        <w:spacing w:after="0"/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2746"/>
        <w:gridCol w:w="2880"/>
        <w:gridCol w:w="2700"/>
      </w:tblGrid>
      <w:tr w:rsidR="001542FA" w:rsidRPr="006B3D95" w:rsidTr="00601039"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Številčna oznaka</w:t>
            </w:r>
          </w:p>
        </w:tc>
        <w:tc>
          <w:tcPr>
            <w:tcW w:w="27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F739FD" w:rsidTr="00601039">
        <w:tc>
          <w:tcPr>
            <w:tcW w:w="854" w:type="dxa"/>
            <w:tcBorders>
              <w:top w:val="doub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101/00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doub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101/00 o dovoljeni ravni hrupa in izpušnem sistemu motornih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6. julija 2008.</w:t>
            </w:r>
          </w:p>
          <w:p w:rsidR="001542FA" w:rsidRPr="00F739FD" w:rsidRDefault="001542FA" w:rsidP="001542FA">
            <w:pPr>
              <w:spacing w:after="0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101/01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101/01 o dovoljeni ravni hrupa in izpušnem sistemu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1. januar 2008.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ind w:left="2410" w:hanging="241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102/00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102/00 o ukrepih proti onesnaževanju zraka z emisijami iz motornih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 1. januarja 2007. </w:t>
            </w:r>
          </w:p>
          <w:p w:rsidR="001542FA" w:rsidRPr="00F739FD" w:rsidRDefault="001542FA" w:rsidP="001542FA">
            <w:pPr>
              <w:spacing w:after="0"/>
              <w:ind w:hanging="241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ab/>
              <w:t>Homologacije, podeljene za nadomestne katalizatorje, ostajajo veljavne – glej točko 5 TSV 102/01.</w:t>
            </w:r>
          </w:p>
        </w:tc>
      </w:tr>
      <w:tr w:rsidR="001542FA" w:rsidRPr="00852786" w:rsidTr="00601039"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1542FA" w:rsidRPr="0085278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852786">
              <w:rPr>
                <w:b/>
                <w:color w:val="339966"/>
                <w:sz w:val="16"/>
                <w:szCs w:val="16"/>
              </w:rPr>
              <w:t>TSV 102/01</w:t>
            </w:r>
            <w:r w:rsidRPr="00852786">
              <w:rPr>
                <w:color w:val="339966"/>
                <w:sz w:val="16"/>
                <w:szCs w:val="16"/>
              </w:rPr>
              <w:t xml:space="preserve"> </w:t>
            </w:r>
            <w:r w:rsidRPr="0085278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:rsidR="001542FA" w:rsidRPr="0085278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 xml:space="preserve">Tehnična specifikacija TSV 102/01 o ukrepih proti onesnaževanju zraka z emisijami iz motornih vozil. </w:t>
            </w:r>
          </w:p>
          <w:p w:rsidR="001542FA" w:rsidRPr="0085278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1542FA" w:rsidRPr="0085278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>Začetek veljavnosti: 1. januarja 2005.</w:t>
            </w:r>
          </w:p>
          <w:p w:rsidR="001542FA" w:rsidRPr="0085278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1542FA" w:rsidRPr="00852786" w:rsidRDefault="001542FA" w:rsidP="001542FA">
            <w:pPr>
              <w:spacing w:after="0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 xml:space="preserve">Prenehanje veljavnosti 2. januarja 2013. </w:t>
            </w:r>
          </w:p>
          <w:p w:rsidR="001542FA" w:rsidRPr="00852786" w:rsidRDefault="001542FA" w:rsidP="001542FA">
            <w:pPr>
              <w:spacing w:after="0"/>
              <w:rPr>
                <w:color w:val="339966"/>
                <w:sz w:val="16"/>
                <w:szCs w:val="16"/>
              </w:rPr>
            </w:pPr>
            <w:r w:rsidRPr="00852786">
              <w:rPr>
                <w:color w:val="339966"/>
                <w:sz w:val="16"/>
                <w:szCs w:val="16"/>
              </w:rPr>
              <w:t>Homologacije, ostajajo še naprej v veljavi – glej točko 5 TSV 102/02.</w:t>
            </w:r>
          </w:p>
        </w:tc>
      </w:tr>
      <w:tr w:rsidR="001542FA" w:rsidRPr="00852786" w:rsidTr="00601039">
        <w:tc>
          <w:tcPr>
            <w:tcW w:w="854" w:type="dxa"/>
          </w:tcPr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b/>
                <w:color w:val="FF0000"/>
                <w:sz w:val="16"/>
                <w:szCs w:val="16"/>
              </w:rPr>
              <w:t>TSV 102/02</w:t>
            </w:r>
            <w:r w:rsidRPr="00852786">
              <w:rPr>
                <w:color w:val="FF0000"/>
                <w:sz w:val="16"/>
                <w:szCs w:val="16"/>
              </w:rPr>
              <w:t xml:space="preserve"> </w:t>
            </w:r>
            <w:r w:rsidRPr="00852786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 xml:space="preserve">Tehnična specifikacija TSV 102/02 o ukrepih proti onesnaževanju zraka z emisijami iz motornih vozil. </w:t>
            </w:r>
          </w:p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>Velja za vozila kategorij M</w:t>
            </w:r>
            <w:r w:rsidRPr="0085278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852786">
              <w:rPr>
                <w:color w:val="FF0000"/>
                <w:sz w:val="16"/>
                <w:szCs w:val="16"/>
              </w:rPr>
              <w:t>, M</w:t>
            </w:r>
            <w:r w:rsidRPr="00852786">
              <w:rPr>
                <w:color w:val="FF0000"/>
                <w:sz w:val="16"/>
                <w:szCs w:val="16"/>
                <w:vertAlign w:val="subscript"/>
              </w:rPr>
              <w:t>2</w:t>
            </w:r>
            <w:r w:rsidRPr="00852786">
              <w:rPr>
                <w:color w:val="FF0000"/>
                <w:sz w:val="16"/>
                <w:szCs w:val="16"/>
              </w:rPr>
              <w:t>, N</w:t>
            </w:r>
            <w:r w:rsidRPr="0085278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852786">
              <w:rPr>
                <w:color w:val="FF0000"/>
                <w:sz w:val="16"/>
                <w:szCs w:val="16"/>
              </w:rPr>
              <w:t xml:space="preserve"> in N</w:t>
            </w:r>
            <w:r w:rsidRPr="00852786">
              <w:rPr>
                <w:color w:val="FF0000"/>
                <w:sz w:val="16"/>
                <w:szCs w:val="16"/>
                <w:vertAlign w:val="subscript"/>
              </w:rPr>
              <w:t>2</w:t>
            </w:r>
            <w:r w:rsidRPr="00852786">
              <w:rPr>
                <w:color w:val="FF0000"/>
                <w:sz w:val="16"/>
                <w:szCs w:val="16"/>
              </w:rPr>
              <w:t xml:space="preserve">, katerih referenčna masa ne presega </w:t>
            </w:r>
            <w:smartTag w:uri="urn:schemas-microsoft-com:office:smarttags" w:element="metricconverter">
              <w:smartTagPr>
                <w:attr w:name="ProductID" w:val="2610 kg"/>
              </w:smartTagPr>
              <w:r w:rsidRPr="00852786">
                <w:rPr>
                  <w:color w:val="FF0000"/>
                  <w:sz w:val="16"/>
                  <w:szCs w:val="16"/>
                </w:rPr>
                <w:t>2610 kg</w:t>
              </w:r>
            </w:smartTag>
            <w:r w:rsidRPr="00852786">
              <w:rPr>
                <w:color w:val="FF0000"/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2840 kg"/>
              </w:smartTagPr>
              <w:r w:rsidRPr="00852786">
                <w:rPr>
                  <w:color w:val="FF0000"/>
                  <w:sz w:val="16"/>
                  <w:szCs w:val="16"/>
                </w:rPr>
                <w:t>2840 kg</w:t>
              </w:r>
            </w:smartTag>
            <w:r w:rsidRPr="00852786">
              <w:rPr>
                <w:color w:val="FF0000"/>
                <w:sz w:val="16"/>
                <w:szCs w:val="16"/>
              </w:rPr>
              <w:t xml:space="preserve">). </w:t>
            </w:r>
          </w:p>
        </w:tc>
        <w:tc>
          <w:tcPr>
            <w:tcW w:w="2880" w:type="dxa"/>
          </w:tcPr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>Začetek veljavnosti: 1. aprila 2008.</w:t>
            </w:r>
          </w:p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852786" w:rsidRDefault="001542FA" w:rsidP="001542FA">
            <w:pPr>
              <w:tabs>
                <w:tab w:val="left" w:pos="709"/>
              </w:tabs>
              <w:spacing w:before="60"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>Prenehanje veljavnosti 1. februarja 2009.</w:t>
            </w:r>
          </w:p>
          <w:p w:rsidR="001542FA" w:rsidRPr="0085278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852786">
              <w:rPr>
                <w:color w:val="FF0000"/>
                <w:sz w:val="16"/>
                <w:szCs w:val="16"/>
              </w:rPr>
              <w:t>Homologacije ostajajo še naprej v veljavi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102/03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102/03 o ukrepih proti onesnaževanju zraka z emisijami iz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vozila kategorij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>, M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>, N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 xml:space="preserve">, katerih referenčna masa ne presega </w:t>
            </w:r>
            <w:smartTag w:uri="urn:schemas-microsoft-com:office:smarttags" w:element="metricconverter">
              <w:smartTagPr>
                <w:attr w:name="ProductID" w:val="2610 kg"/>
              </w:smartTagPr>
              <w:r w:rsidRPr="006B3D95">
                <w:rPr>
                  <w:sz w:val="16"/>
                  <w:szCs w:val="16"/>
                </w:rPr>
                <w:t>2610 kg</w:t>
              </w:r>
            </w:smartTag>
            <w:r w:rsidRPr="006B3D95">
              <w:rPr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2840 kg"/>
              </w:smartTagPr>
              <w:r w:rsidRPr="006B3D95">
                <w:rPr>
                  <w:sz w:val="16"/>
                  <w:szCs w:val="16"/>
                </w:rPr>
                <w:t>2840 kg</w:t>
              </w:r>
            </w:smartTag>
            <w:r w:rsidRPr="006B3D95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februarja 2009.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tabs>
                <w:tab w:val="left" w:pos="709"/>
              </w:tabs>
              <w:spacing w:before="60"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F0376" w:rsidTr="00601039">
        <w:tc>
          <w:tcPr>
            <w:tcW w:w="854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103/00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103/00 o posodah za gorivo in napravah za zaščito pred </w:t>
            </w:r>
            <w:proofErr w:type="spellStart"/>
            <w:r w:rsidRPr="006F0376">
              <w:rPr>
                <w:color w:val="339966"/>
                <w:sz w:val="16"/>
                <w:szCs w:val="16"/>
              </w:rPr>
              <w:t>podletom</w:t>
            </w:r>
            <w:proofErr w:type="spellEnd"/>
            <w:r w:rsidRPr="006F0376">
              <w:rPr>
                <w:color w:val="339966"/>
                <w:sz w:val="16"/>
                <w:szCs w:val="16"/>
              </w:rPr>
              <w:t xml:space="preserve"> od zadaj za motorna in priklopna vozila.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14. aprila 2003.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11. marca 2010.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103/01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103/01 o posodah za gorivo in napravah za zaščito pred </w:t>
            </w:r>
            <w:proofErr w:type="spellStart"/>
            <w:r w:rsidRPr="006B3D95">
              <w:rPr>
                <w:sz w:val="16"/>
                <w:szCs w:val="16"/>
              </w:rPr>
              <w:t>podletom</w:t>
            </w:r>
            <w:proofErr w:type="spellEnd"/>
            <w:r w:rsidRPr="006B3D95">
              <w:rPr>
                <w:sz w:val="16"/>
                <w:szCs w:val="16"/>
              </w:rPr>
              <w:t xml:space="preserve"> od zadaj za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</w:t>
            </w:r>
            <w:r>
              <w:rPr>
                <w:sz w:val="16"/>
                <w:szCs w:val="16"/>
              </w:rPr>
              <w:t>tek veljavnosti: 1. marca 2007.</w:t>
            </w:r>
            <w:r w:rsidRPr="006B3D95">
              <w:rPr>
                <w:sz w:val="16"/>
                <w:szCs w:val="16"/>
              </w:rPr>
              <w:t xml:space="preserve">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1542FA" w:rsidRDefault="001542FA" w:rsidP="001542FA">
      <w:pPr>
        <w:spacing w:after="0"/>
      </w:pPr>
      <w:r>
        <w:br w:type="page"/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2746"/>
        <w:gridCol w:w="2880"/>
        <w:gridCol w:w="2700"/>
      </w:tblGrid>
      <w:tr w:rsidR="001542FA" w:rsidRPr="006B3D95" w:rsidTr="00601039"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lastRenderedPageBreak/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 xml:space="preserve">TSV 104/00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104/00 o prostoru za pritrditev registrskih tablic in pritrditvi registrskih tablic na zadnji strani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105/00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105/00 o krmilju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obvezne uporabe: glej </w:t>
            </w:r>
            <w:r>
              <w:rPr>
                <w:sz w:val="16"/>
                <w:szCs w:val="16"/>
              </w:rPr>
              <w:t>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106/00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106/00 o vratih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N, razen vozil za javni prevoz potnikov.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107/00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107/00 o zvočnih opozorilnih napravah za motorna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vse zvočno opozorilne naprave za vozila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F0376" w:rsidTr="00601039">
        <w:tc>
          <w:tcPr>
            <w:tcW w:w="854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108/00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108/00 o vzvratnih ogledalih za motorna vozila in njihovi vgradnji.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vsa vzvratna ogledala za vozila kategorij M in N ter za njihovo vgradnjo na ta vozila.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14. aprila 2003.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26. januarja 2010.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Homologacije, ostajajo še naprej v veljavi – glej točko 5 TSV 108/02.</w:t>
            </w:r>
          </w:p>
        </w:tc>
      </w:tr>
      <w:tr w:rsidR="001542FA" w:rsidRPr="006F0376" w:rsidTr="00601039">
        <w:tc>
          <w:tcPr>
            <w:tcW w:w="854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108/01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108/01 o napravah za posredno gledanje za motorna vozila in njihovi vgradnji.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vse naprave za posredno gledanje za vozila kategorij M in N ter za njihovo vgradnjo na ta vozila.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veljavnosti: 1. januarja 2005.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26. januarja 2010.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Homologacije, ostajajo še naprej v veljavi – glej točko 5 TSV 108/02.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108/02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108/02 o napravah za posredno gledanje za motorna vozila in njihovi vgradnji.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vse naprave za posredno gledanje za vozila kategorij M in N ter za njihovo vgradnjo na ta vozila.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2005.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109/00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109/00 o zaviranju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110/00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Tehnična specifikacija TSV 110/00 o preprečevanju radijskih motenj (</w:t>
            </w:r>
            <w:proofErr w:type="spellStart"/>
            <w:r w:rsidRPr="00F739FD">
              <w:rPr>
                <w:color w:val="FF0000"/>
                <w:sz w:val="16"/>
                <w:szCs w:val="16"/>
              </w:rPr>
              <w:t>elektro</w:t>
            </w:r>
            <w:proofErr w:type="spellEnd"/>
            <w:r w:rsidRPr="00F739FD">
              <w:rPr>
                <w:color w:val="FF0000"/>
                <w:sz w:val="16"/>
                <w:szCs w:val="16"/>
              </w:rPr>
              <w:t xml:space="preserve">-magnetni združljivosti) vozil. Velja za vsa vozila kategorij M, N in O.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1. januarja 2009.</w:t>
            </w: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pStyle w:val="Naslov3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TSV 110/01</w:t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Tehnična specifikacija TSV 110/01 o preprečevanju radijskih motenj (</w:t>
            </w:r>
            <w:proofErr w:type="spellStart"/>
            <w:r w:rsidRPr="00F739FD">
              <w:rPr>
                <w:color w:val="FF0000"/>
                <w:sz w:val="16"/>
                <w:szCs w:val="16"/>
              </w:rPr>
              <w:t>elektro</w:t>
            </w:r>
            <w:proofErr w:type="spellEnd"/>
            <w:r w:rsidRPr="00F739FD">
              <w:rPr>
                <w:color w:val="FF0000"/>
                <w:sz w:val="16"/>
                <w:szCs w:val="16"/>
              </w:rPr>
              <w:t xml:space="preserve">-magnetni združljivosti) vozil. Velja za vsa vozila kategorij M, N in O.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veljavnosti: 1. oktobra 2005.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1. januarja 2009.</w:t>
            </w: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pStyle w:val="Naslov3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TSV 110/02</w:t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Tehnična specifikacija TSV 110/02 o preprečevanju radijskih motenj (</w:t>
            </w:r>
            <w:proofErr w:type="spellStart"/>
            <w:r w:rsidRPr="00F739FD">
              <w:rPr>
                <w:color w:val="FF0000"/>
                <w:sz w:val="16"/>
                <w:szCs w:val="16"/>
              </w:rPr>
              <w:t>elektro</w:t>
            </w:r>
            <w:proofErr w:type="spellEnd"/>
            <w:r w:rsidRPr="00F739FD">
              <w:rPr>
                <w:color w:val="FF0000"/>
                <w:sz w:val="16"/>
                <w:szCs w:val="16"/>
              </w:rPr>
              <w:t xml:space="preserve">-magnetni združljivosti) vozil. Velja za vsa vozila kategorij M, N in O.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15. aprila 2005.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2. oktobra 2009.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Homologacije, ostajajo še naprej v veljavi.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pStyle w:val="Naslov3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TSV 110/03</w:t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Tehnična specifikacija TSV 110/03 o preprečevanju radijskih motenj (</w:t>
            </w:r>
            <w:proofErr w:type="spellStart"/>
            <w:r w:rsidRPr="006B3D95">
              <w:rPr>
                <w:sz w:val="16"/>
                <w:szCs w:val="16"/>
              </w:rPr>
              <w:t>elektro</w:t>
            </w:r>
            <w:proofErr w:type="spellEnd"/>
            <w:r w:rsidRPr="006B3D95">
              <w:rPr>
                <w:sz w:val="16"/>
                <w:szCs w:val="16"/>
              </w:rPr>
              <w:t xml:space="preserve">-magnetni združljivosti) vozil. 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1. oktobra 2009.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111/00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111/00 o ukrepih proti emisiji onesnaževal iz dizel motorjev, ki se uporabljajo v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 in N, ki so opremljena z dizel motorji.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19. maja 2006.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 – glej točko 5 TSV 111/01.</w:t>
            </w:r>
          </w:p>
        </w:tc>
      </w:tr>
    </w:tbl>
    <w:p w:rsidR="001542FA" w:rsidRDefault="001542FA" w:rsidP="001542FA">
      <w:pPr>
        <w:spacing w:after="0"/>
      </w:pPr>
      <w:r>
        <w:br w:type="page"/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2746"/>
        <w:gridCol w:w="2880"/>
        <w:gridCol w:w="2700"/>
      </w:tblGrid>
      <w:tr w:rsidR="001542FA" w:rsidRPr="00E30B98" w:rsidTr="00601039"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lastRenderedPageBreak/>
              <w:br w:type="page"/>
              <w:t>Številčna oznaka</w:t>
            </w:r>
          </w:p>
        </w:tc>
        <w:tc>
          <w:tcPr>
            <w:tcW w:w="2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Začetek veljavnosti in</w:t>
            </w:r>
          </w:p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6F0376" w:rsidTr="00601039">
        <w:tc>
          <w:tcPr>
            <w:tcW w:w="854" w:type="dxa"/>
          </w:tcPr>
          <w:p w:rsidR="001542FA" w:rsidRPr="006F0376" w:rsidRDefault="001542FA" w:rsidP="001542FA">
            <w:pPr>
              <w:spacing w:after="0"/>
              <w:jc w:val="both"/>
              <w:rPr>
                <w:b/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111/01</w:t>
            </w:r>
          </w:p>
        </w:tc>
        <w:tc>
          <w:tcPr>
            <w:tcW w:w="2746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Tehnična specifikacija TSV 111/01 o ukrepih proti emisiji onesnaževal iz dizel motorjev, ki se uporabljajo v vozilih (dimljenje).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Velja za vozila kategorij M in N.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1. oktobra 2005.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ind w:left="2410" w:hanging="2410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2. januarja</w:t>
            </w:r>
          </w:p>
          <w:p w:rsidR="001542FA" w:rsidRPr="006F0376" w:rsidRDefault="001542FA" w:rsidP="001542FA">
            <w:pPr>
              <w:spacing w:after="0"/>
              <w:ind w:left="2410" w:hanging="2410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2013.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 ostajajo še naprej v veljavi – glej točko 5 TSV 102/02.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112/00 o notranji opremi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113/00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113/00 o napravah za preprečevanje nedovoljene uporabe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114/00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114/00 o obnašanju krmilne naprave vozila pri trku.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115/00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115/00 o sedežih, njihovih pritrdiščih in naslonih za glavo v motornih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 in N, oziroma v njih vgrajene sedeže, njihova pritrdišča in naslone za glavo.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20. oktobra 2007.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115/01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115/01 o sedežih, njihovih pritrdiščih in naslonih za glavo v motornih vozilih.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N, oziroma v njih vgrajene sedeže, njihova pritrdišča in naslone za glavo.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15. aprila 2006.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116/00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116/00 o zunanjih štrlečih delih motornih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kategorije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F739FD"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4. aprila 2009.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116/01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116/01 o zunanjih štrlečih delih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5. aprila 2008.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117/00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117/00 o vzvratni prestavi in opremi za merjenje hitrosti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118/00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118/00 o predpisanih tablicah in oznakah za motorna in priklopna vozila ter njihovo namestitev in način pritrditve.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119/00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119/00 o pritrdiščih varnostnih pasov v motornih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M, N.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20. oktobra 2007.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119/01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119/01 o pritrdiščih varnostnih pasov v motornih vozilih.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15. aprila 2006.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54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120/00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120/00 o vgradnji svetlobnih in svetlobno signalnih naprav na motorna in priklopna vozila.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ind w:left="2410" w:hanging="2410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10. julija</w:t>
            </w:r>
          </w:p>
          <w:p w:rsidR="001542FA" w:rsidRPr="00F739FD" w:rsidRDefault="001542FA" w:rsidP="001542FA">
            <w:pPr>
              <w:spacing w:after="0"/>
              <w:ind w:left="2410" w:hanging="2410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2008.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veljavne – glej točko 5 TSV 120/01.</w:t>
            </w:r>
          </w:p>
        </w:tc>
      </w:tr>
      <w:tr w:rsidR="001542FA" w:rsidRPr="006F0376" w:rsidTr="00601039">
        <w:tc>
          <w:tcPr>
            <w:tcW w:w="854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120/01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46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120/01 o vgradnji svetlobnih in svetlobno signalnih naprav na motorna in priklopna vozila.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1. julija 2008.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tabs>
                <w:tab w:val="left" w:pos="709"/>
              </w:tabs>
              <w:spacing w:before="60"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7. februarja 2011 za vozila kategorij M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 xml:space="preserve"> in N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 xml:space="preserve"> ter 7. avgusta 2012 za vozila ostalih kategorij.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 ostajajo še naprej v veljavi</w:t>
            </w:r>
          </w:p>
        </w:tc>
      </w:tr>
    </w:tbl>
    <w:p w:rsidR="001542FA" w:rsidRDefault="001542FA" w:rsidP="001542FA">
      <w:pPr>
        <w:spacing w:after="0"/>
      </w:pPr>
      <w:r>
        <w:lastRenderedPageBreak/>
        <w:br w:type="page"/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4"/>
        <w:gridCol w:w="2732"/>
        <w:gridCol w:w="2880"/>
        <w:gridCol w:w="2700"/>
      </w:tblGrid>
      <w:tr w:rsidR="001542FA" w:rsidRPr="006B3D95" w:rsidTr="00601039"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lastRenderedPageBreak/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120/02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120/02 o vgradnji svetlobnih in svetlobno signalnih naprav na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1. februarja 2009.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121/00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121/00 o odsevnikih za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odsevnike za vozila kategorij M, N in O.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14. aprila 2003.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122/00 o </w:t>
            </w:r>
            <w:proofErr w:type="spellStart"/>
            <w:r w:rsidRPr="006B3D95">
              <w:rPr>
                <w:sz w:val="16"/>
                <w:szCs w:val="16"/>
              </w:rPr>
              <w:t>gabaritnih</w:t>
            </w:r>
            <w:proofErr w:type="spellEnd"/>
            <w:r w:rsidRPr="006B3D95">
              <w:rPr>
                <w:sz w:val="16"/>
                <w:szCs w:val="16"/>
              </w:rPr>
              <w:t xml:space="preserve"> svetilkah, prednjih in zadnjih pozicijskih svetilkah, zavornih svetilkah, svetilkah za dnevno vožnjo in bočnih svetilkah za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</w:t>
            </w:r>
            <w:proofErr w:type="spellStart"/>
            <w:r w:rsidRPr="006B3D95">
              <w:rPr>
                <w:sz w:val="16"/>
                <w:szCs w:val="16"/>
              </w:rPr>
              <w:t>gabaritne</w:t>
            </w:r>
            <w:proofErr w:type="spellEnd"/>
            <w:r w:rsidRPr="006B3D95">
              <w:rPr>
                <w:sz w:val="16"/>
                <w:szCs w:val="16"/>
              </w:rPr>
              <w:t xml:space="preserve"> svetilke, prednje in zadnje pozicijske svetilke, zavorne svetilke, svetilke za dnevno vožnjo in bočne svetilke za vozila kategorij M, N in O.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123/00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123/00 o smernih svetilkah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smerne svetilke vozil kategorij M, N in O.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124/00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124/00 o svetilkah za osvetlitev zadnje registrske tablice za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125/00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125/00  o žarometih motornih vozil, ki delujejo kot žarometi za dolgi svetlobni pramen in/ali žarometi za kratki svetlobni pramen in o virih svetlobe (žarnice z žarilno nitko in druge) za uporabo v homologiranih svetilkah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žaromete motornih vozil in za vire svetlobe v svetilkah vozil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126/00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126/00 o žarometih za meglo za motorna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žaromete za meglo vozil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127/00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127/00 o napravah za vleko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54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128/00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128/00 o zadnjih svetilkah za meglo za motorna in priklopna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vse zadnje svetilke za meglo vozil kategorij M, N in O.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129/00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129/00 o žarometih za vzvratno vožnjo.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žaromete za vzvratno vožnjo vozil kategorij M, N in O.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130/00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130/00 o parkirnih svetilkah za motorna vozila.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parkirne svetilke vozil kategorij M in N.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68" w:type="dxa"/>
            <w:gridSpan w:val="2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131/00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131/00 o varnostnih pasovih in zadrževalnih </w:t>
            </w:r>
            <w:r w:rsidRPr="00F739FD">
              <w:rPr>
                <w:color w:val="FF0000"/>
                <w:sz w:val="16"/>
                <w:szCs w:val="16"/>
              </w:rPr>
              <w:lastRenderedPageBreak/>
              <w:t xml:space="preserve">sistemih za potnike v motornih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lastRenderedPageBreak/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obvezne uporabe: glej točko 5 </w:t>
            </w:r>
            <w:r w:rsidRPr="00F739FD">
              <w:rPr>
                <w:color w:val="FF0000"/>
                <w:sz w:val="16"/>
                <w:szCs w:val="16"/>
              </w:rPr>
              <w:lastRenderedPageBreak/>
              <w:t>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lastRenderedPageBreak/>
              <w:t>Prenehanje veljavnosti 20. oktobra 2007.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lastRenderedPageBreak/>
              <w:t>Homologacije ostajajo še naprej v veljavi.</w:t>
            </w:r>
          </w:p>
        </w:tc>
      </w:tr>
      <w:tr w:rsidR="001542FA" w:rsidRPr="00E30B98" w:rsidTr="00601039">
        <w:tc>
          <w:tcPr>
            <w:tcW w:w="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lastRenderedPageBreak/>
              <w:br w:type="page"/>
            </w:r>
            <w:r w:rsidRPr="00E30B98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Začetek veljavnosti in</w:t>
            </w:r>
          </w:p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2FA" w:rsidRPr="00E30B98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0B98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6B3D95" w:rsidTr="00601039">
        <w:tc>
          <w:tcPr>
            <w:tcW w:w="868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131/01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131/01 o varnostnih pasovih in zadrževalnih sistemih za potnike v motornih vozilih.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15. aprila 2006.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132/00 o vidnem polju voznikov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133/00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133/00 o označevanju naprav za upravljanje ter kontrolnih svetilk in kazalnikov.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134/00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134/00 o napravah za </w:t>
            </w:r>
            <w:proofErr w:type="spellStart"/>
            <w:r w:rsidRPr="006B3D95">
              <w:rPr>
                <w:sz w:val="16"/>
                <w:szCs w:val="16"/>
              </w:rPr>
              <w:t>odleditev</w:t>
            </w:r>
            <w:proofErr w:type="spellEnd"/>
            <w:r w:rsidRPr="006B3D95">
              <w:rPr>
                <w:sz w:val="16"/>
                <w:szCs w:val="16"/>
              </w:rPr>
              <w:t xml:space="preserve"> in sušenje zastekljenih površin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135/00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135/00 o sistemih za brisanje in pranje vetrobranskega stekla.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68" w:type="dxa"/>
            <w:gridSpan w:val="2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136/00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136/00 o ogrevalnih sistemih prostora za potnike v motornih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kategorije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F739FD"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veljavnosti: 9. maja 2004.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Homologacije, podeljene pred tem dnem, ostajajo veljavne do 9. maja 2005</w:t>
            </w:r>
          </w:p>
        </w:tc>
      </w:tr>
      <w:tr w:rsidR="001542FA" w:rsidRPr="00F739FD" w:rsidTr="00601039"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136/01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136/01 o ogrevalnih sistemih motornih in priklopnih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 M, N in O.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tabs>
                <w:tab w:val="left" w:pos="851"/>
              </w:tabs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 1. januarja 2007.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za ogrevalne sisteme, ki ne uporabljajo LPG in vozila s takimi sistemi ostajajo veljavne – glej točko 5 TSV 136/02.</w:t>
            </w:r>
          </w:p>
        </w:tc>
      </w:tr>
      <w:tr w:rsidR="001542FA" w:rsidRPr="00F739FD" w:rsidTr="00601039"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136/02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136/02 o ogrevalnih sistemih motornih in priklopnih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veljavnosti: 1. januarja 2005.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1. oktobra 2007.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136/03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136/03 o ogrevalnih sistemih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2007.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137/00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137/00 o okrovih koles (blatnikih).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gridSpan w:val="2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138/00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138/00 o naslonih za glavo na sedežih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naslone za glavo vozil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68" w:type="dxa"/>
            <w:gridSpan w:val="2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139/00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139/00 o emisiji ogljikovega dioksida in porabi goriva motornih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vozila kategorije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F739FD"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 1. januarja 2007.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veljavne – glej točko 5 TSV 139/01.</w:t>
            </w:r>
          </w:p>
        </w:tc>
      </w:tr>
      <w:tr w:rsidR="001542FA" w:rsidRPr="006F0376" w:rsidTr="00601039">
        <w:tc>
          <w:tcPr>
            <w:tcW w:w="868" w:type="dxa"/>
            <w:gridSpan w:val="2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139/01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139/01 o emisiji ogljikovega dioksida in porabi goriva motornih vozil.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Velja za vsa vozila kategorije M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 xml:space="preserve"> in N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veljavnosti: 1. januarja 2005.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ind w:left="2410" w:hanging="2410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Prenehanje veljavnosti 2. januarja </w:t>
            </w:r>
          </w:p>
          <w:p w:rsidR="001542FA" w:rsidRPr="006F0376" w:rsidRDefault="001542FA" w:rsidP="001542FA">
            <w:pPr>
              <w:spacing w:after="0"/>
              <w:ind w:left="2410" w:hanging="2410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2013.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Homologacije, podeljene za nadomestne katalizatorje, ostajajo veljavne – glej točko 5 TSV 102/02.</w:t>
            </w:r>
          </w:p>
        </w:tc>
      </w:tr>
      <w:tr w:rsidR="001542FA" w:rsidRPr="006F0376" w:rsidTr="00601039">
        <w:tc>
          <w:tcPr>
            <w:tcW w:w="868" w:type="dxa"/>
            <w:gridSpan w:val="2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br w:type="page"/>
            </w:r>
            <w:r w:rsidRPr="006F0376">
              <w:rPr>
                <w:b/>
                <w:color w:val="339966"/>
                <w:sz w:val="16"/>
                <w:szCs w:val="16"/>
              </w:rPr>
              <w:t>TSV 140/00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140/00 o določanju moči motorjev motornih vozil.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vsa vozila kategorij M in N.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14. aprila 2003.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tabs>
                <w:tab w:val="left" w:pos="709"/>
              </w:tabs>
              <w:spacing w:before="60"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31. decembra 2013.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</w:p>
        </w:tc>
      </w:tr>
    </w:tbl>
    <w:p w:rsidR="001542FA" w:rsidRDefault="001542FA" w:rsidP="001542FA">
      <w:pPr>
        <w:spacing w:after="0"/>
      </w:pPr>
      <w:r>
        <w:br w:type="page"/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732"/>
        <w:gridCol w:w="2880"/>
        <w:gridCol w:w="2700"/>
      </w:tblGrid>
      <w:tr w:rsidR="001542FA" w:rsidRPr="006B3D95" w:rsidTr="00601039"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lastRenderedPageBreak/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pStyle w:val="Telobesedila3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pStyle w:val="Telobesedila3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2FA" w:rsidRPr="006B3D95" w:rsidRDefault="001542FA" w:rsidP="001542FA">
            <w:pPr>
              <w:tabs>
                <w:tab w:val="left" w:pos="709"/>
              </w:tabs>
              <w:spacing w:before="60"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F739FD" w:rsidTr="00601039">
        <w:tc>
          <w:tcPr>
            <w:tcW w:w="868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141/00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141/00 o ukrepih proti emisijam plinastih in trdnih onesnaževal (delcev) iz dizelskih motorjev, ki se uporabljajo v vozilih, ter emisijam plinastih onesnaževal, iz motorjev na prisilni vžig, ki za gorivo uporabljajo zemeljski plin ali utekočinjeni naftni plin in se uporabljajo v vozilih.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 M in N, ki jih poganja dizelski ali plinski motor, razen vozil kategorije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F739FD">
              <w:rPr>
                <w:color w:val="FF0000"/>
                <w:sz w:val="16"/>
                <w:szCs w:val="16"/>
              </w:rPr>
              <w:t xml:space="preserve"> z največjo tehnično dovoljeno maso, ki ne presega ali je enaka 3,5 tone in tistih vozil, ki so homologirana po Tehnični specifikaciji TSV 102.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F739FD" w:rsidRDefault="001542FA" w:rsidP="001542FA">
            <w:pPr>
              <w:tabs>
                <w:tab w:val="left" w:pos="851"/>
              </w:tabs>
              <w:spacing w:after="0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9. novembra 2006.</w:t>
            </w:r>
          </w:p>
          <w:p w:rsidR="001542FA" w:rsidRPr="00F739FD" w:rsidRDefault="001542FA" w:rsidP="001542FA">
            <w:pPr>
              <w:pStyle w:val="Sprotnaopomba-besedilo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veljavi, v skladu s točko 5.2 TSV 141/01</w:t>
            </w:r>
          </w:p>
        </w:tc>
      </w:tr>
      <w:tr w:rsidR="001542FA" w:rsidRPr="00F739FD" w:rsidTr="00601039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141/01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Tehnična specifikacija TSV 141/01 o ukrepih proti emisijam plinastih in trdnih onesnaževal (delcev) iz dizelskih motorjev, ki se uporabljajo v vozilih, ter emisijam plinastih onesnaževal, iz motorjev na prisilni vžig, ki za gorivo uporabljajo zemeljski plin ali utekočinjeni naftni plin in se uporabljajo v vozilih.</w:t>
            </w:r>
          </w:p>
          <w:p w:rsidR="001542FA" w:rsidRPr="00F739FD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 M in N, ki jih poganja dizelski ali plinski motor, razen vozil kategorije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F739FD">
              <w:rPr>
                <w:color w:val="FF0000"/>
                <w:sz w:val="16"/>
                <w:szCs w:val="16"/>
              </w:rPr>
              <w:t xml:space="preserve"> z največjo tehnično dovoljeno maso, ki ne presega ali je enaka 3,5 tone in tistih vozil, ki so homologirana po Tehnični specifikaciji TSV 102.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veljavnosti: 1. oktobra 2006.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F739FD" w:rsidRDefault="001542FA" w:rsidP="001542FA">
            <w:pPr>
              <w:tabs>
                <w:tab w:val="left" w:pos="709"/>
              </w:tabs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1. februarja 2009.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še naprej v veljavi.</w:t>
            </w:r>
          </w:p>
        </w:tc>
      </w:tr>
      <w:tr w:rsidR="001542FA" w:rsidRPr="006F0376" w:rsidTr="00601039">
        <w:tc>
          <w:tcPr>
            <w:tcW w:w="868" w:type="dxa"/>
            <w:tcBorders>
              <w:top w:val="single" w:sz="4" w:space="0" w:color="auto"/>
            </w:tcBorders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141/02</w:t>
            </w:r>
            <w:r w:rsidRPr="006F0376">
              <w:rPr>
                <w:color w:val="339966"/>
                <w:sz w:val="16"/>
                <w:szCs w:val="16"/>
              </w:rPr>
              <w:t xml:space="preserve"> </w:t>
            </w:r>
            <w:r w:rsidRPr="006F0376">
              <w:rPr>
                <w:color w:val="339966"/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1542FA" w:rsidRPr="006F0376" w:rsidRDefault="001542FA" w:rsidP="001542FA">
            <w:pPr>
              <w:pStyle w:val="Telobesedila3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Tehnična specifikacija TSV 141/02 o homologaciji težkih vozil glede na njihove emisije (</w:t>
            </w:r>
            <w:proofErr w:type="spellStart"/>
            <w:r w:rsidRPr="006F0376">
              <w:rPr>
                <w:color w:val="339966"/>
                <w:sz w:val="16"/>
                <w:szCs w:val="16"/>
              </w:rPr>
              <w:t>Euro</w:t>
            </w:r>
            <w:proofErr w:type="spellEnd"/>
            <w:r w:rsidRPr="006F0376">
              <w:rPr>
                <w:color w:val="339966"/>
                <w:sz w:val="16"/>
                <w:szCs w:val="16"/>
              </w:rPr>
              <w:t xml:space="preserve"> IV in V).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Velja za vozila kategorije M in N z referenčno maso nad </w:t>
            </w:r>
            <w:smartTag w:uri="urn:schemas-microsoft-com:office:smarttags" w:element="metricconverter">
              <w:smartTagPr>
                <w:attr w:name="ProductID" w:val="2.610 kg"/>
              </w:smartTagPr>
              <w:r w:rsidRPr="006F0376">
                <w:rPr>
                  <w:color w:val="339966"/>
                  <w:sz w:val="16"/>
                  <w:szCs w:val="16"/>
                </w:rPr>
                <w:t>2.610 kg</w:t>
              </w:r>
            </w:smartTag>
            <w:r w:rsidRPr="006F0376">
              <w:rPr>
                <w:color w:val="339966"/>
                <w:sz w:val="16"/>
                <w:szCs w:val="1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veljavnosti: 1. februarja 2009.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F0376" w:rsidRDefault="001542FA" w:rsidP="001542FA">
            <w:pPr>
              <w:tabs>
                <w:tab w:val="left" w:pos="709"/>
              </w:tabs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31. decembra 2013.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070D12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070D12">
              <w:rPr>
                <w:b/>
                <w:sz w:val="16"/>
                <w:szCs w:val="16"/>
              </w:rPr>
              <w:t xml:space="preserve">TSV </w:t>
            </w:r>
            <w:r>
              <w:rPr>
                <w:b/>
                <w:sz w:val="16"/>
                <w:szCs w:val="16"/>
              </w:rPr>
              <w:t>141</w:t>
            </w:r>
            <w:r w:rsidRPr="00070D12">
              <w:rPr>
                <w:b/>
                <w:sz w:val="16"/>
                <w:szCs w:val="16"/>
              </w:rPr>
              <w:t>/0</w:t>
            </w:r>
            <w:r>
              <w:rPr>
                <w:b/>
                <w:sz w:val="16"/>
                <w:szCs w:val="16"/>
              </w:rPr>
              <w:t>3</w:t>
            </w:r>
            <w:r w:rsidRPr="00070D12">
              <w:rPr>
                <w:sz w:val="16"/>
                <w:szCs w:val="16"/>
              </w:rPr>
              <w:t xml:space="preserve"> </w:t>
            </w:r>
            <w:r w:rsidRPr="00070D12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8D4737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8D4737">
              <w:rPr>
                <w:sz w:val="16"/>
                <w:szCs w:val="16"/>
              </w:rPr>
              <w:t>Tehnična specifikacija TSV 141/03 o homologaciji motornih vozil in motorjev glede na emisije iz težkih vozil (</w:t>
            </w:r>
            <w:proofErr w:type="spellStart"/>
            <w:r w:rsidRPr="008D4737">
              <w:rPr>
                <w:sz w:val="16"/>
                <w:szCs w:val="16"/>
              </w:rPr>
              <w:t>Euro</w:t>
            </w:r>
            <w:proofErr w:type="spellEnd"/>
            <w:r w:rsidRPr="008D4737">
              <w:rPr>
                <w:sz w:val="16"/>
                <w:szCs w:val="16"/>
              </w:rPr>
              <w:t xml:space="preserve"> VI) in o dostopu do informacij o popravilu in vzdrževanju vozil</w:t>
            </w:r>
          </w:p>
          <w:p w:rsidR="001542FA" w:rsidRPr="00070D12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vozila kategorije M</w:t>
            </w:r>
            <w:r w:rsidRPr="008D473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, M</w:t>
            </w:r>
            <w:r w:rsidRPr="008D4737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B3D95">
              <w:rPr>
                <w:sz w:val="16"/>
                <w:szCs w:val="16"/>
              </w:rPr>
              <w:t xml:space="preserve"> N</w:t>
            </w:r>
            <w:r w:rsidRPr="008D473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, N</w:t>
            </w:r>
            <w:r w:rsidRPr="008D4737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>z referenčno maso nad 2.610 kg</w:t>
            </w:r>
            <w:r>
              <w:rPr>
                <w:sz w:val="16"/>
                <w:szCs w:val="16"/>
              </w:rPr>
              <w:t xml:space="preserve"> ter za vsa vozila M</w:t>
            </w:r>
            <w:r w:rsidRPr="008D4737"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 xml:space="preserve"> in N</w:t>
            </w:r>
            <w:r w:rsidRPr="008D4737"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1542FA" w:rsidRPr="00070D12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070D12">
              <w:rPr>
                <w:sz w:val="16"/>
                <w:szCs w:val="16"/>
              </w:rPr>
              <w:t>Začetek veljavnosti: 1. januar 2010</w:t>
            </w:r>
          </w:p>
          <w:p w:rsidR="001542FA" w:rsidRPr="00070D12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070D12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142/00 o bočni zaščiti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vozila kategorij N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 ter O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 in O</w:t>
            </w:r>
            <w:r w:rsidRPr="006B3D95">
              <w:rPr>
                <w:sz w:val="16"/>
                <w:szCs w:val="16"/>
                <w:vertAlign w:val="subscript"/>
              </w:rPr>
              <w:t>4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14. aprila 2003.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143/00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143/00 o sistemih za preprečevanje škropljenja izpod koles določenih kategorij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naprave za preprečevanje škropljenja izpod koles vozil kategorij N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>(nad 7,5 t), N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>, O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 in O</w:t>
            </w:r>
            <w:r w:rsidRPr="006B3D95">
              <w:rPr>
                <w:sz w:val="16"/>
                <w:szCs w:val="16"/>
                <w:vertAlign w:val="subscript"/>
              </w:rPr>
              <w:t>4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144/00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Tehnična specifikacija TSV 144/00 o masah in merah motornih vozil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145/00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145/00 o varnostnih steklih in materialih za zasteklitev na motornih in priklopnih vozilih.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varnostna stekla vozil kategorij </w:t>
            </w:r>
            <w:r w:rsidRPr="006B3D95">
              <w:rPr>
                <w:sz w:val="16"/>
                <w:szCs w:val="16"/>
              </w:rPr>
              <w:lastRenderedPageBreak/>
              <w:t xml:space="preserve">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lastRenderedPageBreak/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1542FA" w:rsidRDefault="001542FA" w:rsidP="001542FA">
      <w:pPr>
        <w:spacing w:after="0"/>
      </w:pPr>
      <w:r>
        <w:lastRenderedPageBreak/>
        <w:br w:type="page"/>
      </w: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732"/>
        <w:gridCol w:w="2880"/>
        <w:gridCol w:w="2700"/>
      </w:tblGrid>
      <w:tr w:rsidR="001542FA" w:rsidRPr="006B3D95" w:rsidTr="00601039"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lastRenderedPageBreak/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32" w:type="dxa"/>
            <w:tcBorders>
              <w:top w:val="double" w:sz="4" w:space="0" w:color="auto"/>
              <w:bottom w:val="doub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F739FD" w:rsidTr="00601039">
        <w:tc>
          <w:tcPr>
            <w:tcW w:w="868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146/00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146/00 o pnevmatikah za motorna in priklopna vozila ter njihovi vgradnji.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Velja za pnevmatike vozil kategorij M, N in O.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Prenehanje veljavnosti 1. januarja 2006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veljavne – glej točko 5 TSV 146/01.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146/01</w:t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pStyle w:val="Telobesedila3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146/01 o pnevmatikah za motorna in priklopna vozila ter njihovi vgradnji.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pnevmatike vozil kategorij M, N in O.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2005.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68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147/00</w:t>
            </w:r>
            <w:r w:rsidRPr="00F739FD">
              <w:rPr>
                <w:color w:val="FF0000"/>
                <w:sz w:val="16"/>
                <w:szCs w:val="16"/>
              </w:rPr>
              <w:t xml:space="preserve"> </w:t>
            </w:r>
            <w:r w:rsidRPr="00F739FD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Tehnična specifikacija TSV 147/00 o napravah za omejevanje hitrosti ali podobnih vgrajenih sistemih za omejevanje hitrosti določenih kategorij motornih vozil.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Velja za vsa vozila kategorije N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 xml:space="preserve">2 </w:t>
            </w:r>
            <w:r w:rsidRPr="00F739FD">
              <w:rPr>
                <w:color w:val="FF0000"/>
                <w:sz w:val="16"/>
                <w:szCs w:val="16"/>
              </w:rPr>
              <w:t>in M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 xml:space="preserve">3 </w:t>
            </w:r>
            <w:r w:rsidRPr="00F739FD">
              <w:rPr>
                <w:color w:val="FF0000"/>
                <w:sz w:val="16"/>
                <w:szCs w:val="16"/>
              </w:rPr>
              <w:t>z največjo dovoljeno maso, ki presega 10 ton, in kategorije N</w:t>
            </w:r>
            <w:r w:rsidRPr="00F739FD">
              <w:rPr>
                <w:color w:val="FF0000"/>
                <w:sz w:val="16"/>
                <w:szCs w:val="16"/>
                <w:vertAlign w:val="subscript"/>
              </w:rPr>
              <w:t>3</w:t>
            </w:r>
            <w:r w:rsidRPr="00F739FD">
              <w:rPr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14. aprila 2003.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 1. januarja 2005.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Homologacije ostajajo veljavne – glej točko 5 TSV 147/01.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147/01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147/01 o napravah za omejevanje hitrosti ali podobnih vgrajenih sistemih za omejevanje hitrosti določenih kategorij motornih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>, M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>, N</w:t>
            </w:r>
            <w:r w:rsidRPr="006B3D95">
              <w:rPr>
                <w:sz w:val="16"/>
                <w:szCs w:val="16"/>
                <w:vertAlign w:val="subscript"/>
              </w:rPr>
              <w:t xml:space="preserve">2 </w:t>
            </w:r>
            <w:r w:rsidRPr="006B3D95">
              <w:rPr>
                <w:sz w:val="16"/>
                <w:szCs w:val="16"/>
              </w:rPr>
              <w:t>in N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januarja 2005.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F739FD" w:rsidTr="00601039">
        <w:tc>
          <w:tcPr>
            <w:tcW w:w="868" w:type="dxa"/>
          </w:tcPr>
          <w:p w:rsidR="001542FA" w:rsidRPr="00F739FD" w:rsidRDefault="001542FA" w:rsidP="001542FA">
            <w:pPr>
              <w:spacing w:after="0"/>
              <w:jc w:val="both"/>
              <w:rPr>
                <w:b/>
                <w:color w:val="FF0000"/>
                <w:sz w:val="16"/>
                <w:szCs w:val="16"/>
              </w:rPr>
            </w:pPr>
            <w:r w:rsidRPr="00F739FD">
              <w:rPr>
                <w:b/>
                <w:color w:val="FF0000"/>
                <w:sz w:val="16"/>
                <w:szCs w:val="16"/>
              </w:rPr>
              <w:t>TSV 148/00</w:t>
            </w:r>
          </w:p>
        </w:tc>
        <w:tc>
          <w:tcPr>
            <w:tcW w:w="2732" w:type="dxa"/>
          </w:tcPr>
          <w:p w:rsidR="001542FA" w:rsidRPr="00F739FD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Tehnična specifikacija TSV 148/00 o določanju mas in mer določenih kategorij motornih in priklopnih vozil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Začetek veljavnosti: 15. aprila 2004.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Prenehanje veljavnosti: 1. oktobra 2004. </w:t>
            </w:r>
          </w:p>
          <w:p w:rsidR="001542FA" w:rsidRPr="00F739FD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F739FD">
              <w:rPr>
                <w:color w:val="FF0000"/>
                <w:sz w:val="16"/>
                <w:szCs w:val="16"/>
              </w:rPr>
              <w:t xml:space="preserve">Homologacije, podeljene pred tem dnem, ostajajo veljavne. 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148/01</w:t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pStyle w:val="Telobesedila3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Tehnična specifikacija TSV 148/01 o določanju mas in mer določenih kategorij motornih in priklopnih vozil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15. aprila 2004.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149/00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149/00 o zunanjih štrlečih delih pred zadnjo steno kabine motornih vozil kategorije N.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kategorije N.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150/00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150/00 o mehanskih napravah za spenjanje motornih in priklopnih vozil.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M, N in O.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151/00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151/00 o </w:t>
            </w:r>
            <w:proofErr w:type="spellStart"/>
            <w:r w:rsidRPr="006B3D95">
              <w:rPr>
                <w:sz w:val="16"/>
                <w:szCs w:val="16"/>
                <w:lang w:val="it-IT"/>
              </w:rPr>
              <w:t>gorljivosti</w:t>
            </w:r>
            <w:proofErr w:type="spellEnd"/>
            <w:r w:rsidRPr="006B3D95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B3D95">
              <w:rPr>
                <w:sz w:val="16"/>
                <w:szCs w:val="16"/>
                <w:lang w:val="it-IT"/>
              </w:rPr>
              <w:t>materialov</w:t>
            </w:r>
            <w:proofErr w:type="spellEnd"/>
            <w:r w:rsidRPr="006B3D95">
              <w:rPr>
                <w:sz w:val="16"/>
                <w:szCs w:val="16"/>
              </w:rPr>
              <w:t xml:space="preserve">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152/00 o posebnih zahtevah za motorna vozila za prevoz potnikov, ki imajo poleg vozniškega več kot osem sedežev.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M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 xml:space="preserve"> in M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14. aprila 2003.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153/00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153/00 o zaščiti oseb v motornih vozilih pri čelnem trku.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kategorije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154/00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154/00 o zaščiti potnikov v motornih vozilih pri bočnem trku.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14. aprila 2003.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156/00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156/00 o vozilih, namenjenih za cestni prevoz nevarnega blaga.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Velja za vsa vozila kategorij N in O.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veljavnosti: 14. aprila 2003.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157/00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157/00 o zaščiti motornih vozil pred </w:t>
            </w:r>
            <w:proofErr w:type="spellStart"/>
            <w:r w:rsidRPr="006B3D95">
              <w:rPr>
                <w:sz w:val="16"/>
                <w:szCs w:val="16"/>
              </w:rPr>
              <w:t>podletom</w:t>
            </w:r>
            <w:proofErr w:type="spellEnd"/>
            <w:r w:rsidRPr="006B3D95">
              <w:rPr>
                <w:sz w:val="16"/>
                <w:szCs w:val="16"/>
              </w:rPr>
              <w:t xml:space="preserve"> od </w:t>
            </w:r>
            <w:r w:rsidRPr="006B3D95">
              <w:rPr>
                <w:sz w:val="16"/>
                <w:szCs w:val="16"/>
              </w:rPr>
              <w:lastRenderedPageBreak/>
              <w:t xml:space="preserve">spredaj.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N</w:t>
            </w:r>
            <w:r w:rsidRPr="006B3D95">
              <w:rPr>
                <w:sz w:val="16"/>
                <w:szCs w:val="16"/>
                <w:vertAlign w:val="subscript"/>
              </w:rPr>
              <w:t>2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3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lastRenderedPageBreak/>
              <w:t>Zače</w:t>
            </w:r>
            <w:r>
              <w:rPr>
                <w:sz w:val="16"/>
                <w:szCs w:val="16"/>
              </w:rPr>
              <w:t>tek veljavnosti: 14. aprila 200</w:t>
            </w:r>
            <w:r w:rsidRPr="006B3D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6B3D95">
              <w:rPr>
                <w:sz w:val="16"/>
                <w:szCs w:val="16"/>
              </w:rPr>
              <w:t xml:space="preserve">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Začetek obvezne uporabe: glej točko 5 </w:t>
            </w:r>
            <w:r w:rsidRPr="006B3D95">
              <w:rPr>
                <w:sz w:val="16"/>
                <w:szCs w:val="16"/>
              </w:rPr>
              <w:lastRenderedPageBreak/>
              <w:t>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lastRenderedPageBreak/>
              <w:br w:type="page"/>
            </w:r>
            <w:r w:rsidRPr="006B3D95">
              <w:rPr>
                <w:b/>
                <w:sz w:val="16"/>
                <w:szCs w:val="16"/>
              </w:rPr>
              <w:br w:type="page"/>
              <w:t>Številčna oznaka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Naslov tehnične specifikacije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področje njene veljavnosti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veljavnosti in</w:t>
            </w:r>
          </w:p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začetek obvezne uporabe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42FA" w:rsidRPr="006B3D95" w:rsidRDefault="001542FA" w:rsidP="001542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Prenehanje veljavnosti</w:t>
            </w:r>
          </w:p>
        </w:tc>
      </w:tr>
      <w:tr w:rsidR="001542FA" w:rsidRPr="006F0376" w:rsidTr="00601039">
        <w:tc>
          <w:tcPr>
            <w:tcW w:w="868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b/>
                <w:color w:val="FF0000"/>
                <w:sz w:val="16"/>
                <w:szCs w:val="16"/>
              </w:rPr>
              <w:t>TSV 158/00</w:t>
            </w:r>
            <w:r w:rsidRPr="006F0376">
              <w:rPr>
                <w:color w:val="FF0000"/>
                <w:sz w:val="16"/>
                <w:szCs w:val="16"/>
              </w:rPr>
              <w:t xml:space="preserve"> </w:t>
            </w:r>
            <w:r w:rsidRPr="006F0376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pStyle w:val="Telobesedila2"/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6F0376">
              <w:rPr>
                <w:b w:val="0"/>
                <w:color w:val="FF0000"/>
                <w:sz w:val="16"/>
                <w:szCs w:val="16"/>
              </w:rPr>
              <w:t>Tehnična specifikacija  TSV 158/00 o zaščiti pešcev in drugih nezaščitenih udeležencev v cestnem prometu pred in ob trčenju z motornim vozilom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Velja za vsa vozila kategorij M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 xml:space="preserve">1 </w:t>
            </w:r>
            <w:r w:rsidRPr="006F0376">
              <w:rPr>
                <w:color w:val="FF0000"/>
                <w:sz w:val="16"/>
                <w:szCs w:val="16"/>
              </w:rPr>
              <w:t>&lt; 2.5 t in N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, izvedena iz takih vozil. 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veljavnosti: 1. januarja 2005.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before="60"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Prenehanje veljavnosti 24. novembra 2009.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Homologacije ostajajo še naprej v veljavi – glej člen 9 Uredbe (ES) 78/2009.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158/01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pStyle w:val="Telobesedila2"/>
              <w:jc w:val="both"/>
              <w:rPr>
                <w:b w:val="0"/>
                <w:sz w:val="16"/>
                <w:szCs w:val="16"/>
              </w:rPr>
            </w:pPr>
            <w:r w:rsidRPr="006B3D95">
              <w:rPr>
                <w:b w:val="0"/>
                <w:sz w:val="16"/>
                <w:szCs w:val="16"/>
              </w:rPr>
              <w:t xml:space="preserve">Tehnična specifikacija  TSV 158/01 o zaščiti pešcev in drugih izpostavljenih udeležencev v cestnem prometu.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vozila kategorij M</w:t>
            </w:r>
            <w:r w:rsidRPr="006B3D95">
              <w:rPr>
                <w:sz w:val="16"/>
                <w:szCs w:val="16"/>
                <w:vertAlign w:val="subscript"/>
              </w:rPr>
              <w:t xml:space="preserve">1 </w:t>
            </w:r>
            <w:r w:rsidRPr="006B3D95">
              <w:rPr>
                <w:sz w:val="16"/>
                <w:szCs w:val="16"/>
              </w:rPr>
              <w:t>in N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2009.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F0376" w:rsidTr="00601039">
        <w:tc>
          <w:tcPr>
            <w:tcW w:w="868" w:type="dxa"/>
          </w:tcPr>
          <w:p w:rsidR="001542FA" w:rsidRPr="006F0376" w:rsidRDefault="001542FA" w:rsidP="001542FA">
            <w:pPr>
              <w:spacing w:after="0"/>
              <w:jc w:val="both"/>
              <w:rPr>
                <w:b/>
                <w:color w:val="339966"/>
                <w:sz w:val="16"/>
                <w:szCs w:val="16"/>
              </w:rPr>
            </w:pPr>
            <w:r w:rsidRPr="006F0376">
              <w:rPr>
                <w:b/>
                <w:color w:val="339966"/>
                <w:sz w:val="16"/>
                <w:szCs w:val="16"/>
              </w:rPr>
              <w:t>TSV 159/00</w:t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pStyle w:val="Telobesedila3"/>
              <w:rPr>
                <w:snapToGrid w:val="0"/>
                <w:color w:val="339966"/>
                <w:sz w:val="16"/>
                <w:szCs w:val="16"/>
                <w:lang w:eastAsia="en-US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Tehnična specifikacija TSV 159/00 </w:t>
            </w:r>
            <w:r w:rsidRPr="006F0376">
              <w:rPr>
                <w:snapToGrid w:val="0"/>
                <w:color w:val="339966"/>
                <w:sz w:val="16"/>
                <w:szCs w:val="16"/>
                <w:lang w:eastAsia="en-US"/>
              </w:rPr>
              <w:t>o homologaciji motornih vozil glede na možnost njihove ponovne uporabe, recikliranja in predelave.</w:t>
            </w:r>
          </w:p>
          <w:p w:rsidR="001542FA" w:rsidRPr="006F0376" w:rsidRDefault="001542FA" w:rsidP="001542FA">
            <w:pPr>
              <w:pStyle w:val="Telobesedila3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Velja za vsa vozila kategorij M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 xml:space="preserve"> in N</w:t>
            </w:r>
            <w:r w:rsidRPr="006F0376">
              <w:rPr>
                <w:color w:val="339966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339966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 xml:space="preserve">Začetek veljavnosti: 15. aprila 2006.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before="60"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Prenehanje veljavnosti 1. januarja 2012.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339966"/>
                <w:sz w:val="16"/>
                <w:szCs w:val="16"/>
              </w:rPr>
            </w:pPr>
            <w:r w:rsidRPr="006F0376">
              <w:rPr>
                <w:color w:val="339966"/>
                <w:sz w:val="16"/>
                <w:szCs w:val="16"/>
              </w:rPr>
              <w:t>Homologacije ostajajo še naprej v veljavi.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159/01</w:t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pStyle w:val="Telobesedila3"/>
              <w:rPr>
                <w:snapToGrid w:val="0"/>
                <w:sz w:val="16"/>
                <w:szCs w:val="16"/>
                <w:lang w:eastAsia="en-US"/>
              </w:rPr>
            </w:pPr>
            <w:r w:rsidRPr="006B3D95">
              <w:rPr>
                <w:sz w:val="16"/>
                <w:szCs w:val="16"/>
              </w:rPr>
              <w:t xml:space="preserve">Tehnična specifikacija TSV 159/01 </w:t>
            </w:r>
            <w:r w:rsidRPr="006B3D95">
              <w:rPr>
                <w:snapToGrid w:val="0"/>
                <w:sz w:val="16"/>
                <w:szCs w:val="16"/>
                <w:lang w:eastAsia="en-US"/>
              </w:rPr>
              <w:t>o homologaciji motornih vozil glede na možnost njihove ponovne uporabe, recikliranja in predelave.</w:t>
            </w:r>
          </w:p>
          <w:p w:rsidR="001542FA" w:rsidRPr="006B3D95" w:rsidRDefault="001542FA" w:rsidP="001542FA">
            <w:pPr>
              <w:pStyle w:val="Telobesedila3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M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in N</w:t>
            </w:r>
            <w:r w:rsidRPr="006B3D95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2009</w:t>
            </w:r>
            <w:r>
              <w:rPr>
                <w:sz w:val="16"/>
                <w:szCs w:val="16"/>
              </w:rPr>
              <w:t>.</w:t>
            </w:r>
            <w:r w:rsidRPr="006B3D95">
              <w:rPr>
                <w:sz w:val="16"/>
                <w:szCs w:val="16"/>
              </w:rPr>
              <w:t xml:space="preserve">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before="60"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F0376" w:rsidTr="00601039">
        <w:tc>
          <w:tcPr>
            <w:tcW w:w="868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b/>
                <w:color w:val="FF0000"/>
                <w:sz w:val="16"/>
                <w:szCs w:val="16"/>
              </w:rPr>
              <w:t>TSV 160/00</w:t>
            </w:r>
            <w:r w:rsidRPr="006F0376">
              <w:rPr>
                <w:color w:val="FF0000"/>
                <w:sz w:val="16"/>
                <w:szCs w:val="16"/>
              </w:rPr>
              <w:t xml:space="preserve"> </w:t>
            </w:r>
            <w:r w:rsidRPr="006F0376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 xml:space="preserve">Tehnična specifikacija TSV 160/00 o uporabi prednjih zaščitnih sistemov na motornih vozilih ter njihovi vgradnji.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Velja za vozila kategorij M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(do vključno 3,5 t) in N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ter za prednje zaščitne sisteme, kot samostojne tehnične enote.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veljavnosti: 15. aprila 2006.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 xml:space="preserve">Prenehanje veljavnosti: 25. novembra 2006.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Homologacije, podeljene pred tem dnem, ostajajo veljavne.</w:t>
            </w:r>
          </w:p>
        </w:tc>
      </w:tr>
      <w:tr w:rsidR="001542FA" w:rsidRPr="006F0376" w:rsidTr="00601039">
        <w:tc>
          <w:tcPr>
            <w:tcW w:w="868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b/>
                <w:color w:val="FF0000"/>
                <w:sz w:val="16"/>
                <w:szCs w:val="16"/>
              </w:rPr>
              <w:t>TSV 160/01</w:t>
            </w:r>
            <w:r w:rsidRPr="006F0376">
              <w:rPr>
                <w:color w:val="FF0000"/>
                <w:sz w:val="16"/>
                <w:szCs w:val="16"/>
              </w:rPr>
              <w:t xml:space="preserve"> </w:t>
            </w:r>
            <w:r w:rsidRPr="006F0376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 xml:space="preserve">Tehnična specifikacija TSV 160/01 o uporabi prednjih zaščitnih sistemov na motornih vozilih.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Velja za vozila kategorij M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in N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(razred I).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veljavnosti: 1. oktobra 2006.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before="60"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Prenehanje veljavnosti 24. novembra 2009.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Homologacije ostajajo še naprej v veljavi – glej člen 9 Uredbe (ES) 78/2009.</w:t>
            </w:r>
          </w:p>
        </w:tc>
      </w:tr>
      <w:tr w:rsidR="001542FA" w:rsidRPr="006F0376" w:rsidTr="00601039">
        <w:tc>
          <w:tcPr>
            <w:tcW w:w="868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b/>
                <w:color w:val="FF0000"/>
                <w:sz w:val="16"/>
                <w:szCs w:val="16"/>
              </w:rPr>
              <w:t>TSV 161/00</w:t>
            </w:r>
            <w:r w:rsidRPr="006F0376">
              <w:rPr>
                <w:color w:val="FF0000"/>
                <w:sz w:val="16"/>
                <w:szCs w:val="16"/>
              </w:rPr>
              <w:t xml:space="preserve"> </w:t>
            </w:r>
            <w:r w:rsidRPr="006F0376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F0376" w:rsidRDefault="001542FA" w:rsidP="001542FA">
            <w:pPr>
              <w:pStyle w:val="Telobesedila3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 xml:space="preserve">Tehnična specifikacija TSV 161/00 o emisijah iz klimatskih naprav v motornih vozilih ter njihovi vgradnji.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Velja za vozila kategorije M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in vozila kategorije N</w:t>
            </w:r>
            <w:r w:rsidRPr="006F0376">
              <w:rPr>
                <w:color w:val="FF0000"/>
                <w:sz w:val="16"/>
                <w:szCs w:val="16"/>
                <w:vertAlign w:val="subscript"/>
              </w:rPr>
              <w:t>1</w:t>
            </w:r>
            <w:r w:rsidRPr="006F0376">
              <w:rPr>
                <w:color w:val="FF0000"/>
                <w:sz w:val="16"/>
                <w:szCs w:val="16"/>
              </w:rPr>
              <w:t xml:space="preserve"> z referenčno maso do </w:t>
            </w:r>
            <w:smartTag w:uri="urn:schemas-microsoft-com:office:smarttags" w:element="metricconverter">
              <w:smartTagPr>
                <w:attr w:name="ProductID" w:val="1305 kg"/>
              </w:smartTagPr>
              <w:r w:rsidRPr="006F0376">
                <w:rPr>
                  <w:color w:val="FF0000"/>
                  <w:sz w:val="16"/>
                  <w:szCs w:val="16"/>
                </w:rPr>
                <w:t>1305 kg</w:t>
              </w:r>
            </w:smartTag>
            <w:r w:rsidRPr="006F037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veljavnosti: 1. marca 2007.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F0376" w:rsidRDefault="001542FA" w:rsidP="001542FA">
            <w:pPr>
              <w:spacing w:after="0"/>
              <w:ind w:left="2410" w:hanging="2410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Prenehanje veljavnosti 5. januarja</w:t>
            </w:r>
          </w:p>
          <w:p w:rsidR="001542FA" w:rsidRPr="006F0376" w:rsidRDefault="001542FA" w:rsidP="001542FA">
            <w:pPr>
              <w:spacing w:after="0"/>
              <w:ind w:left="2410" w:hanging="2410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 xml:space="preserve">2008. </w:t>
            </w:r>
          </w:p>
          <w:p w:rsidR="001542FA" w:rsidRPr="006F0376" w:rsidRDefault="001542FA" w:rsidP="001542FA">
            <w:pPr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6F0376">
              <w:rPr>
                <w:color w:val="FF0000"/>
                <w:sz w:val="16"/>
                <w:szCs w:val="16"/>
              </w:rPr>
              <w:t>Homologacije ostajajo veljavne – glej točko 5 TSV 161/01.</w:t>
            </w: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161/01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pStyle w:val="Telobesedila3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 xml:space="preserve">Tehnična specifikacija TSV 161/01 o emisijah iz klimatskih naprav v motornih vozilih ter njihovi vgradnji. 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vozila kategorije M</w:t>
            </w:r>
            <w:r w:rsidRPr="00000EF0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in vozila kategorije N</w:t>
            </w:r>
            <w:r w:rsidRPr="00000EF0">
              <w:rPr>
                <w:sz w:val="16"/>
                <w:szCs w:val="16"/>
                <w:vertAlign w:val="subscript"/>
              </w:rPr>
              <w:t>1</w:t>
            </w:r>
            <w:r w:rsidRPr="006B3D95">
              <w:rPr>
                <w:sz w:val="16"/>
                <w:szCs w:val="16"/>
              </w:rPr>
              <w:t xml:space="preserve"> z referenčno maso do </w:t>
            </w:r>
            <w:smartTag w:uri="urn:schemas-microsoft-com:office:smarttags" w:element="metricconverter">
              <w:smartTagPr>
                <w:attr w:name="ProductID" w:val="1305 kg"/>
              </w:smartTagPr>
              <w:r w:rsidRPr="006B3D95">
                <w:rPr>
                  <w:sz w:val="16"/>
                  <w:szCs w:val="16"/>
                </w:rPr>
                <w:t>1305 kg</w:t>
              </w:r>
            </w:smartTag>
            <w:r w:rsidRPr="006B3D95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5. januarja 2008</w:t>
            </w:r>
            <w:r>
              <w:rPr>
                <w:sz w:val="16"/>
                <w:szCs w:val="16"/>
              </w:rPr>
              <w:t>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1542FA" w:rsidRPr="006B3D95" w:rsidTr="00601039">
        <w:tc>
          <w:tcPr>
            <w:tcW w:w="868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b/>
                <w:sz w:val="16"/>
                <w:szCs w:val="16"/>
              </w:rPr>
              <w:t>TSV 162/00</w:t>
            </w:r>
            <w:r w:rsidRPr="006B3D95">
              <w:rPr>
                <w:sz w:val="16"/>
                <w:szCs w:val="16"/>
              </w:rPr>
              <w:t xml:space="preserve"> </w:t>
            </w:r>
            <w:r w:rsidRPr="006B3D95">
              <w:rPr>
                <w:sz w:val="16"/>
                <w:szCs w:val="16"/>
              </w:rPr>
              <w:tab/>
            </w:r>
          </w:p>
        </w:tc>
        <w:tc>
          <w:tcPr>
            <w:tcW w:w="2732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Tehnična specifikacija TSV 162/00 o homologaciji motornih vozil s pogonom na vodik, vodikovih sistemov in njihovih sestavnih delov.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Velja za vsa vozila kategorij M in N.</w:t>
            </w:r>
          </w:p>
        </w:tc>
        <w:tc>
          <w:tcPr>
            <w:tcW w:w="288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veljavnosti: 1. oktobra 2009.</w:t>
            </w:r>
          </w:p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  <w:r w:rsidRPr="006B3D95">
              <w:rPr>
                <w:sz w:val="16"/>
                <w:szCs w:val="16"/>
              </w:rPr>
              <w:t>Začetek obvezne uporabe: glej točko 5 tehnične specifikacije.</w:t>
            </w:r>
          </w:p>
        </w:tc>
        <w:tc>
          <w:tcPr>
            <w:tcW w:w="2700" w:type="dxa"/>
          </w:tcPr>
          <w:p w:rsidR="001542FA" w:rsidRPr="006B3D95" w:rsidRDefault="001542FA" w:rsidP="001542F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1542FA" w:rsidRPr="006B3D95" w:rsidRDefault="001542FA" w:rsidP="001542FA">
      <w:pPr>
        <w:tabs>
          <w:tab w:val="left" w:pos="1260"/>
        </w:tabs>
        <w:spacing w:after="0"/>
        <w:ind w:left="1440" w:hanging="1440"/>
        <w:jc w:val="both"/>
        <w:rPr>
          <w:sz w:val="16"/>
          <w:szCs w:val="16"/>
        </w:rPr>
      </w:pPr>
    </w:p>
    <w:p w:rsidR="001542FA" w:rsidRPr="006B3D95" w:rsidRDefault="001542FA" w:rsidP="001542FA">
      <w:pPr>
        <w:tabs>
          <w:tab w:val="left" w:pos="1260"/>
        </w:tabs>
        <w:spacing w:after="0"/>
        <w:ind w:left="1440" w:hanging="1440"/>
        <w:jc w:val="both"/>
        <w:rPr>
          <w:sz w:val="16"/>
          <w:szCs w:val="16"/>
        </w:rPr>
      </w:pPr>
    </w:p>
    <w:p w:rsidR="001542FA" w:rsidRPr="006B3D95" w:rsidRDefault="001542FA" w:rsidP="001542FA">
      <w:pPr>
        <w:spacing w:after="0"/>
        <w:rPr>
          <w:sz w:val="16"/>
          <w:szCs w:val="16"/>
        </w:rPr>
      </w:pPr>
    </w:p>
    <w:p w:rsidR="001542FA" w:rsidRPr="00B94F79" w:rsidRDefault="001542FA" w:rsidP="001542F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7B7334" w:rsidRPr="00B94F79" w:rsidRDefault="007B7334" w:rsidP="001542F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B7334" w:rsidRPr="00B94F79" w:rsidRDefault="007B7334" w:rsidP="001542F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B397B" w:rsidRPr="00B94F79" w:rsidRDefault="00FB397B" w:rsidP="001542FA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FB397B" w:rsidRPr="00B94F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84" w:rsidRDefault="003D0284">
      <w:pPr>
        <w:spacing w:after="0" w:line="240" w:lineRule="auto"/>
      </w:pPr>
      <w:r>
        <w:separator/>
      </w:r>
    </w:p>
  </w:endnote>
  <w:endnote w:type="continuationSeparator" w:id="0">
    <w:p w:rsidR="003D0284" w:rsidRDefault="003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9" w:rsidRDefault="00601039">
    <w:pPr>
      <w:pStyle w:val="Noga"/>
      <w:jc w:val="right"/>
    </w:pPr>
  </w:p>
  <w:p w:rsidR="00601039" w:rsidRDefault="006010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84" w:rsidRDefault="003D0284">
      <w:pPr>
        <w:spacing w:after="0" w:line="240" w:lineRule="auto"/>
      </w:pPr>
      <w:r>
        <w:separator/>
      </w:r>
    </w:p>
  </w:footnote>
  <w:footnote w:type="continuationSeparator" w:id="0">
    <w:p w:rsidR="003D0284" w:rsidRDefault="003D0284">
      <w:pPr>
        <w:spacing w:after="0" w:line="240" w:lineRule="auto"/>
      </w:pPr>
      <w:r>
        <w:continuationSeparator/>
      </w:r>
    </w:p>
  </w:footnote>
  <w:footnote w:id="1">
    <w:p w:rsidR="00601039" w:rsidRPr="0097538E" w:rsidRDefault="00601039" w:rsidP="001542FA">
      <w:pPr>
        <w:pStyle w:val="Telobesedila3"/>
        <w:ind w:left="360" w:hanging="360"/>
        <w:rPr>
          <w:sz w:val="16"/>
          <w:szCs w:val="16"/>
        </w:rPr>
      </w:pPr>
      <w:r w:rsidRPr="000A3B8C">
        <w:rPr>
          <w:vertAlign w:val="superscript"/>
        </w:rPr>
        <w:t>(</w:t>
      </w:r>
      <w:r w:rsidRPr="000A3B8C">
        <w:rPr>
          <w:rStyle w:val="Sprotnaopomba-sklic"/>
        </w:rPr>
        <w:footnoteRef/>
      </w:r>
      <w:r w:rsidRPr="000A3B8C">
        <w:rPr>
          <w:vertAlign w:val="superscript"/>
        </w:rPr>
        <w:t>)</w:t>
      </w:r>
      <w:r>
        <w:t xml:space="preserve"> </w:t>
      </w:r>
      <w:r>
        <w:tab/>
      </w:r>
      <w:r w:rsidRPr="0097538E">
        <w:rPr>
          <w:sz w:val="16"/>
          <w:szCs w:val="16"/>
        </w:rPr>
        <w:t xml:space="preserve">Besedila posameznih tehničnih specifikacij so dosegljiva na spletni strani Ministrstva za </w:t>
      </w:r>
      <w:r>
        <w:rPr>
          <w:sz w:val="16"/>
          <w:szCs w:val="16"/>
        </w:rPr>
        <w:t>infrastrukturo</w:t>
      </w:r>
      <w:r w:rsidRPr="0097538E">
        <w:rPr>
          <w:sz w:val="16"/>
          <w:szCs w:val="16"/>
        </w:rPr>
        <w:t>.</w:t>
      </w:r>
    </w:p>
    <w:p w:rsidR="00601039" w:rsidRDefault="00601039" w:rsidP="001542FA">
      <w:pPr>
        <w:pStyle w:val="Sprotnaopomba-besedilo"/>
        <w:ind w:left="3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4C"/>
    <w:multiLevelType w:val="hybridMultilevel"/>
    <w:tmpl w:val="04906DC6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82F6D"/>
    <w:multiLevelType w:val="hybridMultilevel"/>
    <w:tmpl w:val="54689016"/>
    <w:lvl w:ilvl="0" w:tplc="2B247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4517DB"/>
    <w:multiLevelType w:val="hybridMultilevel"/>
    <w:tmpl w:val="2B42ECD8"/>
    <w:lvl w:ilvl="0" w:tplc="2B24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11B3"/>
    <w:multiLevelType w:val="hybridMultilevel"/>
    <w:tmpl w:val="2D4C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23D8"/>
    <w:multiLevelType w:val="hybridMultilevel"/>
    <w:tmpl w:val="D5384812"/>
    <w:lvl w:ilvl="0" w:tplc="99D6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075"/>
    <w:multiLevelType w:val="hybridMultilevel"/>
    <w:tmpl w:val="0860A838"/>
    <w:lvl w:ilvl="0" w:tplc="E9062EC8">
      <w:start w:val="20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D5731"/>
    <w:multiLevelType w:val="hybridMultilevel"/>
    <w:tmpl w:val="7B308688"/>
    <w:lvl w:ilvl="0" w:tplc="DB74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8"/>
    <w:rsid w:val="00043FDC"/>
    <w:rsid w:val="0007378B"/>
    <w:rsid w:val="00073B44"/>
    <w:rsid w:val="00075C76"/>
    <w:rsid w:val="0009687D"/>
    <w:rsid w:val="000B49CE"/>
    <w:rsid w:val="000C761E"/>
    <w:rsid w:val="000D5F56"/>
    <w:rsid w:val="001542FA"/>
    <w:rsid w:val="00195DF3"/>
    <w:rsid w:val="001973E4"/>
    <w:rsid w:val="00211370"/>
    <w:rsid w:val="002404D1"/>
    <w:rsid w:val="00320BB6"/>
    <w:rsid w:val="00321A64"/>
    <w:rsid w:val="003326BC"/>
    <w:rsid w:val="003B7438"/>
    <w:rsid w:val="003D0284"/>
    <w:rsid w:val="003D346C"/>
    <w:rsid w:val="00443F58"/>
    <w:rsid w:val="005122F4"/>
    <w:rsid w:val="0053198F"/>
    <w:rsid w:val="005579C8"/>
    <w:rsid w:val="00597BDE"/>
    <w:rsid w:val="005F46F0"/>
    <w:rsid w:val="00601039"/>
    <w:rsid w:val="006710A0"/>
    <w:rsid w:val="00695EC3"/>
    <w:rsid w:val="006C269C"/>
    <w:rsid w:val="007B7334"/>
    <w:rsid w:val="007C0B58"/>
    <w:rsid w:val="007D2C93"/>
    <w:rsid w:val="0082502D"/>
    <w:rsid w:val="00836F49"/>
    <w:rsid w:val="0084530F"/>
    <w:rsid w:val="0088206E"/>
    <w:rsid w:val="008F210F"/>
    <w:rsid w:val="00901D0C"/>
    <w:rsid w:val="009034F0"/>
    <w:rsid w:val="0095097B"/>
    <w:rsid w:val="00971FAF"/>
    <w:rsid w:val="00990888"/>
    <w:rsid w:val="009E15BF"/>
    <w:rsid w:val="00A04E54"/>
    <w:rsid w:val="00A12CEC"/>
    <w:rsid w:val="00A3441E"/>
    <w:rsid w:val="00A46A05"/>
    <w:rsid w:val="00A67F04"/>
    <w:rsid w:val="00AF6AFE"/>
    <w:rsid w:val="00B15BF1"/>
    <w:rsid w:val="00B379A0"/>
    <w:rsid w:val="00B94F79"/>
    <w:rsid w:val="00BC1355"/>
    <w:rsid w:val="00BD5894"/>
    <w:rsid w:val="00BE016B"/>
    <w:rsid w:val="00BE56DF"/>
    <w:rsid w:val="00C24B2C"/>
    <w:rsid w:val="00C3258E"/>
    <w:rsid w:val="00C44C5F"/>
    <w:rsid w:val="00E31548"/>
    <w:rsid w:val="00F54630"/>
    <w:rsid w:val="00FB397B"/>
    <w:rsid w:val="00FB550D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438"/>
  </w:style>
  <w:style w:type="paragraph" w:styleId="Naslov1">
    <w:name w:val="heading 1"/>
    <w:basedOn w:val="Navaden"/>
    <w:next w:val="Navaden"/>
    <w:link w:val="Naslov1Znak"/>
    <w:qFormat/>
    <w:rsid w:val="001542FA"/>
    <w:pPr>
      <w:keepNext/>
      <w:tabs>
        <w:tab w:val="left" w:pos="1260"/>
      </w:tabs>
      <w:spacing w:after="0" w:line="240" w:lineRule="auto"/>
      <w:ind w:left="1440" w:hanging="1440"/>
      <w:jc w:val="center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42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  <w:style w:type="character" w:customStyle="1" w:styleId="Naslov1Znak">
    <w:name w:val="Naslov 1 Znak"/>
    <w:basedOn w:val="Privzetapisavaodstavka"/>
    <w:link w:val="Naslov1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542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542FA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1542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542F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542FA"/>
    <w:rPr>
      <w:vertAlign w:val="superscript"/>
    </w:rPr>
  </w:style>
  <w:style w:type="paragraph" w:styleId="Telobesedila3">
    <w:name w:val="Body Text 3"/>
    <w:basedOn w:val="Navaden"/>
    <w:link w:val="Telobesedila3Znak"/>
    <w:rsid w:val="001542FA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542FA"/>
    <w:rPr>
      <w:rFonts w:ascii="Arial" w:eastAsia="Times New Roman" w:hAnsi="Arial" w:cs="Arial"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438"/>
  </w:style>
  <w:style w:type="paragraph" w:styleId="Naslov1">
    <w:name w:val="heading 1"/>
    <w:basedOn w:val="Navaden"/>
    <w:next w:val="Navaden"/>
    <w:link w:val="Naslov1Znak"/>
    <w:qFormat/>
    <w:rsid w:val="001542FA"/>
    <w:pPr>
      <w:keepNext/>
      <w:tabs>
        <w:tab w:val="left" w:pos="1260"/>
      </w:tabs>
      <w:spacing w:after="0" w:line="240" w:lineRule="auto"/>
      <w:ind w:left="1440" w:hanging="1440"/>
      <w:jc w:val="center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42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  <w:style w:type="character" w:customStyle="1" w:styleId="Naslov1Znak">
    <w:name w:val="Naslov 1 Znak"/>
    <w:basedOn w:val="Privzetapisavaodstavka"/>
    <w:link w:val="Naslov1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542FA"/>
    <w:rPr>
      <w:rFonts w:ascii="Arial" w:eastAsia="Times New Roman" w:hAnsi="Arial" w:cs="Arial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542F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542FA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1542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542FA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542FA"/>
    <w:rPr>
      <w:vertAlign w:val="superscript"/>
    </w:rPr>
  </w:style>
  <w:style w:type="paragraph" w:styleId="Telobesedila3">
    <w:name w:val="Body Text 3"/>
    <w:basedOn w:val="Navaden"/>
    <w:link w:val="Telobesedila3Znak"/>
    <w:rsid w:val="001542FA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542FA"/>
    <w:rPr>
      <w:rFonts w:ascii="Arial" w:eastAsia="Times New Roman" w:hAnsi="Arial" w:cs="Arial"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Andreja Čuk</cp:lastModifiedBy>
  <cp:revision>21</cp:revision>
  <cp:lastPrinted>2017-06-06T11:28:00Z</cp:lastPrinted>
  <dcterms:created xsi:type="dcterms:W3CDTF">2017-06-06T11:28:00Z</dcterms:created>
  <dcterms:modified xsi:type="dcterms:W3CDTF">2017-09-19T05:41:00Z</dcterms:modified>
</cp:coreProperties>
</file>