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91"/>
      </w:tblGrid>
      <w:tr w:rsidR="001E5470" w:rsidRPr="001E5470" w:rsidTr="00AE3577">
        <w:trPr>
          <w:gridAfter w:val="5"/>
          <w:wAfter w:w="3067" w:type="dxa"/>
        </w:trPr>
        <w:tc>
          <w:tcPr>
            <w:tcW w:w="6096" w:type="dxa"/>
            <w:gridSpan w:val="7"/>
          </w:tcPr>
          <w:p w:rsidR="001E5470" w:rsidRPr="001E5470" w:rsidRDefault="00AB26F1" w:rsidP="001E5470">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EB5CD0" w:rsidRPr="00EB5CD0">
              <w:rPr>
                <w:rFonts w:cs="Arial"/>
                <w:szCs w:val="20"/>
                <w:lang w:eastAsia="sl-SI"/>
              </w:rPr>
              <w:t>007-242/2015</w:t>
            </w:r>
          </w:p>
        </w:tc>
      </w:tr>
      <w:tr w:rsidR="001E5470" w:rsidRPr="001E5470" w:rsidTr="00AE3577">
        <w:trPr>
          <w:gridAfter w:val="5"/>
          <w:wAfter w:w="3067" w:type="dxa"/>
        </w:trPr>
        <w:tc>
          <w:tcPr>
            <w:tcW w:w="6096" w:type="dxa"/>
            <w:gridSpan w:val="7"/>
          </w:tcPr>
          <w:p w:rsidR="001E5470" w:rsidRPr="001E5470" w:rsidRDefault="001E5470" w:rsidP="00864AAA">
            <w:pPr>
              <w:overflowPunct w:val="0"/>
              <w:autoSpaceDE w:val="0"/>
              <w:autoSpaceDN w:val="0"/>
              <w:adjustRightInd w:val="0"/>
              <w:textAlignment w:val="baseline"/>
              <w:rPr>
                <w:rFonts w:cs="Arial"/>
                <w:szCs w:val="20"/>
                <w:lang w:eastAsia="sl-SI"/>
              </w:rPr>
            </w:pPr>
            <w:r w:rsidRPr="001E5470">
              <w:rPr>
                <w:rFonts w:cs="Arial"/>
                <w:szCs w:val="20"/>
                <w:lang w:eastAsia="sl-SI"/>
              </w:rPr>
              <w:t xml:space="preserve">Ljubljana, </w:t>
            </w:r>
            <w:r w:rsidR="00EB5CD0" w:rsidRPr="00EB5CD0">
              <w:rPr>
                <w:rFonts w:cs="Arial"/>
                <w:szCs w:val="20"/>
                <w:lang w:eastAsia="sl-SI"/>
              </w:rPr>
              <w:t>dne 1</w:t>
            </w:r>
            <w:r w:rsidR="00864AAA">
              <w:rPr>
                <w:rFonts w:cs="Arial"/>
                <w:szCs w:val="20"/>
                <w:lang w:eastAsia="sl-SI"/>
              </w:rPr>
              <w:t>4</w:t>
            </w:r>
            <w:r w:rsidR="00EB5CD0" w:rsidRPr="00EB5CD0">
              <w:rPr>
                <w:rFonts w:cs="Arial"/>
                <w:szCs w:val="20"/>
                <w:lang w:eastAsia="sl-SI"/>
              </w:rPr>
              <w:t>. 12. 2015</w:t>
            </w:r>
          </w:p>
        </w:tc>
      </w:tr>
      <w:tr w:rsidR="001E5470" w:rsidRPr="001E5470" w:rsidTr="00AE3577">
        <w:trPr>
          <w:gridAfter w:val="5"/>
          <w:wAfter w:w="3067" w:type="dxa"/>
        </w:trPr>
        <w:tc>
          <w:tcPr>
            <w:tcW w:w="6096" w:type="dxa"/>
            <w:gridSpan w:val="7"/>
          </w:tcPr>
          <w:p w:rsidR="001E5470" w:rsidRPr="001E5470" w:rsidRDefault="001E5470" w:rsidP="001E5470">
            <w:pPr>
              <w:overflowPunct w:val="0"/>
              <w:autoSpaceDE w:val="0"/>
              <w:autoSpaceDN w:val="0"/>
              <w:adjustRightInd w:val="0"/>
              <w:textAlignment w:val="baseline"/>
              <w:rPr>
                <w:rFonts w:cs="Arial"/>
                <w:szCs w:val="20"/>
                <w:lang w:eastAsia="sl-SI"/>
              </w:rPr>
            </w:pPr>
            <w:r w:rsidRPr="001E5470">
              <w:rPr>
                <w:rFonts w:cs="Arial"/>
                <w:iCs/>
                <w:szCs w:val="20"/>
                <w:lang w:eastAsia="sl-SI"/>
              </w:rPr>
              <w:t xml:space="preserve">EVA </w:t>
            </w:r>
            <w:r w:rsidR="00EB5CD0" w:rsidRPr="00EB5CD0">
              <w:rPr>
                <w:rFonts w:cs="Arial"/>
                <w:iCs/>
                <w:szCs w:val="20"/>
                <w:lang w:eastAsia="sl-SI"/>
              </w:rPr>
              <w:t>2015-2550-0024</w:t>
            </w:r>
          </w:p>
        </w:tc>
      </w:tr>
      <w:tr w:rsidR="001E5470" w:rsidRPr="001E5470" w:rsidTr="00AE3577">
        <w:trPr>
          <w:gridAfter w:val="5"/>
          <w:wAfter w:w="3067" w:type="dxa"/>
        </w:trPr>
        <w:tc>
          <w:tcPr>
            <w:tcW w:w="6096" w:type="dxa"/>
            <w:gridSpan w:val="7"/>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31179D"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AE3577">
        <w:tc>
          <w:tcPr>
            <w:tcW w:w="9163" w:type="dxa"/>
            <w:gridSpan w:val="12"/>
          </w:tcPr>
          <w:p w:rsidR="001E5470" w:rsidRDefault="001E5470" w:rsidP="002E2D1B">
            <w:pPr>
              <w:tabs>
                <w:tab w:val="left" w:pos="1026"/>
              </w:tabs>
              <w:suppressAutoHyphens/>
              <w:overflowPunct w:val="0"/>
              <w:autoSpaceDE w:val="0"/>
              <w:autoSpaceDN w:val="0"/>
              <w:adjustRightInd w:val="0"/>
              <w:spacing w:before="120" w:after="120"/>
              <w:ind w:left="1026" w:hanging="1026"/>
              <w:textAlignment w:val="baseline"/>
              <w:rPr>
                <w:rFonts w:cs="Arial"/>
                <w:b/>
                <w:szCs w:val="20"/>
                <w:lang w:eastAsia="sl-SI"/>
              </w:rPr>
            </w:pPr>
            <w:r w:rsidRPr="001E5470">
              <w:rPr>
                <w:rFonts w:cs="Arial"/>
                <w:b/>
                <w:szCs w:val="20"/>
                <w:lang w:eastAsia="sl-SI"/>
              </w:rPr>
              <w:t xml:space="preserve">ZADEVA: </w:t>
            </w:r>
            <w:r w:rsidR="00EB5CD0">
              <w:rPr>
                <w:rFonts w:cs="Arial"/>
                <w:b/>
                <w:szCs w:val="20"/>
                <w:lang w:eastAsia="sl-SI"/>
              </w:rPr>
              <w:tab/>
            </w:r>
            <w:r w:rsidR="00EB5CD0" w:rsidRPr="00EB5CD0">
              <w:rPr>
                <w:rFonts w:cs="Arial"/>
                <w:b/>
                <w:szCs w:val="20"/>
                <w:lang w:eastAsia="sl-SI"/>
              </w:rPr>
              <w:t xml:space="preserve">Uredba o spremembah in dopolnitvah Uredbe o ravnanju z baterijami in akumulatorji ter odpadnimi baterijami in akumulatorji – predlog za obravnavo </w:t>
            </w:r>
            <w:r w:rsidRPr="001E5470">
              <w:rPr>
                <w:rFonts w:cs="Arial"/>
                <w:b/>
                <w:szCs w:val="20"/>
                <w:lang w:eastAsia="sl-SI"/>
              </w:rPr>
              <w:t xml:space="preserve">– predlog za obravnavo </w:t>
            </w:r>
          </w:p>
          <w:p w:rsidR="00AE3577" w:rsidRPr="001E5470" w:rsidRDefault="00AE3577" w:rsidP="002E2D1B">
            <w:pPr>
              <w:tabs>
                <w:tab w:val="left" w:pos="1026"/>
              </w:tabs>
              <w:suppressAutoHyphens/>
              <w:overflowPunct w:val="0"/>
              <w:autoSpaceDE w:val="0"/>
              <w:autoSpaceDN w:val="0"/>
              <w:adjustRightInd w:val="0"/>
              <w:spacing w:before="120" w:after="120"/>
              <w:ind w:left="1026" w:hanging="1026"/>
              <w:textAlignment w:val="baseline"/>
              <w:rPr>
                <w:rFonts w:cs="Arial"/>
                <w:b/>
                <w:szCs w:val="20"/>
                <w:lang w:eastAsia="sl-SI"/>
              </w:rPr>
            </w:pPr>
          </w:p>
        </w:tc>
      </w:tr>
      <w:tr w:rsidR="001E5470" w:rsidRPr="001E5470" w:rsidTr="00AE3577">
        <w:tc>
          <w:tcPr>
            <w:tcW w:w="9163" w:type="dxa"/>
            <w:gridSpan w:val="12"/>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AE3577">
        <w:tc>
          <w:tcPr>
            <w:tcW w:w="9163" w:type="dxa"/>
            <w:gridSpan w:val="12"/>
          </w:tcPr>
          <w:p w:rsidR="00AB26F1" w:rsidRPr="00491876" w:rsidRDefault="001E5470" w:rsidP="00AB26F1">
            <w:pPr>
              <w:overflowPunct w:val="0"/>
              <w:autoSpaceDE w:val="0"/>
              <w:autoSpaceDN w:val="0"/>
              <w:adjustRightInd w:val="0"/>
              <w:spacing w:before="120" w:after="120" w:line="240" w:lineRule="auto"/>
              <w:jc w:val="both"/>
              <w:textAlignment w:val="baseline"/>
              <w:rPr>
                <w:rFonts w:cs="Arial"/>
                <w:iCs/>
                <w:szCs w:val="20"/>
                <w:lang w:eastAsia="sl-SI"/>
              </w:rPr>
            </w:pPr>
            <w:r w:rsidRPr="001E5470">
              <w:rPr>
                <w:rFonts w:cs="Arial"/>
                <w:iCs/>
                <w:szCs w:val="20"/>
                <w:lang w:eastAsia="sl-SI"/>
              </w:rPr>
              <w:t>(</w:t>
            </w:r>
            <w:r w:rsidR="00AB26F1" w:rsidRPr="00491876">
              <w:rPr>
                <w:rFonts w:cs="Arial"/>
                <w:iCs/>
                <w:szCs w:val="20"/>
                <w:lang w:eastAsia="sl-SI"/>
              </w:rPr>
              <w:t xml:space="preserve">Na podlagi drugega odstavka 19. člena, petega, šestega in sedmega odstavka 20. člena ter za izvrševanje 36., 104. člena in četrtega odstavka 157. člena Zakona o varstvu okolja (Uradni list RS, št. 39/06 – uradno prečiščeno besedilo, 49/06 – ZMetD, 66/06 – </w:t>
            </w:r>
            <w:proofErr w:type="spellStart"/>
            <w:r w:rsidR="00AB26F1" w:rsidRPr="00491876">
              <w:rPr>
                <w:rFonts w:cs="Arial"/>
                <w:iCs/>
                <w:szCs w:val="20"/>
                <w:lang w:eastAsia="sl-SI"/>
              </w:rPr>
              <w:t>odl</w:t>
            </w:r>
            <w:proofErr w:type="spellEnd"/>
            <w:r w:rsidR="00AB26F1" w:rsidRPr="00491876">
              <w:rPr>
                <w:rFonts w:cs="Arial"/>
                <w:iCs/>
                <w:szCs w:val="20"/>
                <w:lang w:eastAsia="sl-SI"/>
              </w:rPr>
              <w:t xml:space="preserve">. US, 33/07 – ZPNačrt, 57/08 – ZFO-1A, 70/08, 108/09, 108/09 – ZPNačrt-A, 48/12, 57/12, 92/13 in 56/15) je Vlada Republike Slovenije na svoji …… seji dne ……… sprejela naslednji </w:t>
            </w:r>
          </w:p>
          <w:p w:rsidR="00AB26F1" w:rsidRPr="00491876" w:rsidRDefault="00AB26F1" w:rsidP="00AB26F1">
            <w:pPr>
              <w:overflowPunct w:val="0"/>
              <w:autoSpaceDE w:val="0"/>
              <w:autoSpaceDN w:val="0"/>
              <w:adjustRightInd w:val="0"/>
              <w:spacing w:before="240" w:after="240" w:line="240" w:lineRule="auto"/>
              <w:jc w:val="center"/>
              <w:textAlignment w:val="baseline"/>
              <w:rPr>
                <w:rFonts w:cs="Arial"/>
                <w:iCs/>
                <w:szCs w:val="20"/>
                <w:lang w:eastAsia="sl-SI"/>
              </w:rPr>
            </w:pPr>
            <w:r w:rsidRPr="00491876">
              <w:rPr>
                <w:rFonts w:cs="Arial"/>
                <w:iCs/>
                <w:szCs w:val="20"/>
                <w:lang w:eastAsia="sl-SI"/>
              </w:rPr>
              <w:t>SKLEP:</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Vlada Republike Slovenije izdaja Uredbo o spremembah in dopolnitvah Uredbe o ravnanju z baterijami in akumulatorji ter odpadnimi baterijami in akumulatorji, ki se objavi v Uradnem listu Republike Slovenije.</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Številka: …………</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Datum: ……………</w:t>
            </w:r>
          </w:p>
          <w:p w:rsidR="00AB26F1" w:rsidRPr="00491876" w:rsidRDefault="00AB26F1" w:rsidP="00AB26F1">
            <w:pPr>
              <w:tabs>
                <w:tab w:val="center" w:pos="6129"/>
              </w:tabs>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ab/>
              <w:t>mag. Darko Krašovec</w:t>
            </w:r>
          </w:p>
          <w:p w:rsidR="00AB26F1" w:rsidRPr="00491876" w:rsidRDefault="00AB26F1" w:rsidP="00AB26F1">
            <w:pPr>
              <w:tabs>
                <w:tab w:val="center" w:pos="6129"/>
              </w:tabs>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ab/>
              <w:t>GENERALNI SEKRETAR</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proofErr w:type="spellStart"/>
            <w:r w:rsidRPr="00491876">
              <w:rPr>
                <w:rFonts w:cs="Arial"/>
                <w:iCs/>
                <w:szCs w:val="20"/>
                <w:lang w:eastAsia="sl-SI"/>
              </w:rPr>
              <w:t>Prejmniki</w:t>
            </w:r>
            <w:proofErr w:type="spellEnd"/>
            <w:r w:rsidRPr="00491876">
              <w:rPr>
                <w:rFonts w:cs="Arial"/>
                <w:iCs/>
                <w:szCs w:val="20"/>
                <w:lang w:eastAsia="sl-SI"/>
              </w:rPr>
              <w:t>:</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okolje in prostor, Dunajska cesta 48, 1000 Ljubljana</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 xml:space="preserve">Služba Vlade Republike Slovenije za zakonodajo, Mestni trg 4, 1000 Ljubljana </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pravosodje, Župančičeva ulica 3, 1000 Ljubljana</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javno upravo, Tržaška cesta 21, 1000 Ljubljana</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finance, Župančičeva ulica 3, 1000 Ljubljana</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kmetijstvo, gozdarstvo in prehrano, Dunajska cesta 22, 1000 Ljubljana</w:t>
            </w:r>
          </w:p>
          <w:p w:rsidR="00AB26F1"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gospodarski razvoj in tehnologijo, Kotnikova ulica 5, 1000 Ljubljana</w:t>
            </w:r>
          </w:p>
          <w:p w:rsidR="001E5470"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Ministrstvo za obrambo, Vojkova cesta 55, 1000 Ljubljana</w:t>
            </w:r>
          </w:p>
          <w:p w:rsidR="00AB26F1" w:rsidRPr="001E5470"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p>
        </w:tc>
      </w:tr>
      <w:tr w:rsidR="001E5470" w:rsidRPr="001E5470" w:rsidTr="00AE3577">
        <w:tc>
          <w:tcPr>
            <w:tcW w:w="9163" w:type="dxa"/>
            <w:gridSpan w:val="12"/>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1E5470" w:rsidRPr="001E5470" w:rsidTr="00AE3577">
        <w:tc>
          <w:tcPr>
            <w:tcW w:w="9163" w:type="dxa"/>
            <w:gridSpan w:val="12"/>
          </w:tcPr>
          <w:p w:rsidR="001E5470" w:rsidRPr="001E5470" w:rsidRDefault="00AB26F1"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AE3577">
        <w:tc>
          <w:tcPr>
            <w:tcW w:w="9163" w:type="dxa"/>
            <w:gridSpan w:val="12"/>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AE3577">
        <w:tc>
          <w:tcPr>
            <w:tcW w:w="9163" w:type="dxa"/>
            <w:gridSpan w:val="12"/>
          </w:tcPr>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t>mag. Tanja BOLTE, generalna direktorica Direktorata za okolje,</w:t>
            </w:r>
          </w:p>
          <w:p w:rsidR="00AB26F1" w:rsidRPr="00491876" w:rsidRDefault="00AB26F1" w:rsidP="00AB26F1">
            <w:pPr>
              <w:overflowPunct w:val="0"/>
              <w:autoSpaceDE w:val="0"/>
              <w:autoSpaceDN w:val="0"/>
              <w:adjustRightInd w:val="0"/>
              <w:spacing w:before="60" w:after="60" w:line="240" w:lineRule="auto"/>
              <w:jc w:val="both"/>
              <w:textAlignment w:val="baseline"/>
              <w:rPr>
                <w:rFonts w:cs="Arial"/>
                <w:iCs/>
                <w:szCs w:val="20"/>
                <w:lang w:eastAsia="sl-SI"/>
              </w:rPr>
            </w:pPr>
            <w:r w:rsidRPr="00491876">
              <w:rPr>
                <w:rFonts w:cs="Arial"/>
                <w:iCs/>
                <w:szCs w:val="20"/>
                <w:lang w:eastAsia="sl-SI"/>
              </w:rPr>
              <w:lastRenderedPageBreak/>
              <w:t>mag. Jana MIKLAVČIČ, vodja Sektorja za odpadke, Direktorat za okolje,</w:t>
            </w:r>
          </w:p>
          <w:p w:rsidR="001E5470" w:rsidRPr="001E5470" w:rsidRDefault="00AB26F1" w:rsidP="00AB26F1">
            <w:pPr>
              <w:overflowPunct w:val="0"/>
              <w:autoSpaceDE w:val="0"/>
              <w:autoSpaceDN w:val="0"/>
              <w:adjustRightInd w:val="0"/>
              <w:jc w:val="both"/>
              <w:textAlignment w:val="baseline"/>
              <w:rPr>
                <w:rFonts w:cs="Arial"/>
                <w:iCs/>
                <w:szCs w:val="20"/>
                <w:lang w:eastAsia="sl-SI"/>
              </w:rPr>
            </w:pPr>
            <w:r w:rsidRPr="00491876">
              <w:rPr>
                <w:rFonts w:cs="Arial"/>
                <w:iCs/>
                <w:szCs w:val="20"/>
                <w:lang w:eastAsia="sl-SI"/>
              </w:rPr>
              <w:t>Andrej PRISTOVNIK,</w:t>
            </w:r>
            <w:r w:rsidRPr="00491876">
              <w:rPr>
                <w:rFonts w:cs="Arial"/>
              </w:rPr>
              <w:t xml:space="preserve"> </w:t>
            </w:r>
            <w:r w:rsidRPr="00491876">
              <w:rPr>
                <w:rFonts w:cs="Arial"/>
                <w:iCs/>
                <w:szCs w:val="20"/>
                <w:lang w:eastAsia="sl-SI"/>
              </w:rPr>
              <w:t>Sektor za odpadke, Direktorat za okolje</w:t>
            </w:r>
            <w:r>
              <w:rPr>
                <w:rFonts w:cs="Arial"/>
                <w:iCs/>
                <w:szCs w:val="20"/>
                <w:lang w:eastAsia="sl-SI"/>
              </w:rPr>
              <w:t>.</w:t>
            </w:r>
          </w:p>
        </w:tc>
      </w:tr>
      <w:tr w:rsidR="001E5470" w:rsidRPr="001E5470" w:rsidTr="00AE3577">
        <w:tc>
          <w:tcPr>
            <w:tcW w:w="9163" w:type="dxa"/>
            <w:gridSpan w:val="12"/>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lastRenderedPageBreak/>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AE3577">
        <w:tc>
          <w:tcPr>
            <w:tcW w:w="9163" w:type="dxa"/>
            <w:gridSpan w:val="12"/>
          </w:tcPr>
          <w:p w:rsidR="001E5470" w:rsidRPr="001E5470" w:rsidRDefault="00AB26F1"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AE3577">
        <w:tc>
          <w:tcPr>
            <w:tcW w:w="9163" w:type="dxa"/>
            <w:gridSpan w:val="12"/>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AE3577">
        <w:tc>
          <w:tcPr>
            <w:tcW w:w="9163" w:type="dxa"/>
            <w:gridSpan w:val="12"/>
          </w:tcPr>
          <w:p w:rsidR="001E5470" w:rsidRPr="001E5470" w:rsidRDefault="00AB26F1" w:rsidP="001E5470">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1E5470" w:rsidRPr="001E5470" w:rsidTr="00AE3577">
        <w:tc>
          <w:tcPr>
            <w:tcW w:w="9163" w:type="dxa"/>
            <w:gridSpan w:val="12"/>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5. Kratek povzetek gradiva:</w:t>
            </w:r>
          </w:p>
        </w:tc>
      </w:tr>
      <w:tr w:rsidR="001E5470" w:rsidRPr="001E5470" w:rsidTr="00AE3577">
        <w:tc>
          <w:tcPr>
            <w:tcW w:w="9163" w:type="dxa"/>
            <w:gridSpan w:val="12"/>
          </w:tcPr>
          <w:p w:rsidR="00AB26F1" w:rsidRPr="00491876" w:rsidRDefault="00AB26F1" w:rsidP="00AB26F1">
            <w:pPr>
              <w:spacing w:before="80" w:after="40" w:line="240" w:lineRule="auto"/>
              <w:jc w:val="both"/>
              <w:rPr>
                <w:rFonts w:cs="Arial"/>
                <w:bCs/>
                <w:szCs w:val="20"/>
              </w:rPr>
            </w:pPr>
            <w:r w:rsidRPr="00491876">
              <w:rPr>
                <w:rFonts w:cs="Arial"/>
                <w:bCs/>
                <w:szCs w:val="20"/>
              </w:rPr>
              <w:t>Uredba o ravnanju z baterijami in akumulatorji ter odpadnimi baterijami in akumulatorji (v nadaljevanju uredba) v skladu z Direktivo 2006/66/ES med drugim določa pravila za dajanje baterij in akumulatorjev na trg, zlasti še prepoved dajanja na trg baterij in akumulatorjev, ki vsebujejo nevarne snovi ter posebna pravila za zbiranje, obdelavo, recikliranje in odstranjevanje odpadnih baterij in akumulatorjev na področju ravnanja z odpadki.</w:t>
            </w:r>
          </w:p>
          <w:p w:rsidR="00AB26F1" w:rsidRDefault="00AB26F1" w:rsidP="00AB26F1">
            <w:pPr>
              <w:spacing w:before="80" w:after="40" w:line="240" w:lineRule="auto"/>
              <w:jc w:val="both"/>
              <w:rPr>
                <w:rFonts w:cs="Arial"/>
                <w:bCs/>
                <w:szCs w:val="20"/>
              </w:rPr>
            </w:pPr>
            <w:r w:rsidRPr="00491876">
              <w:rPr>
                <w:rFonts w:cs="Arial"/>
                <w:bCs/>
                <w:szCs w:val="20"/>
              </w:rPr>
              <w:t xml:space="preserve">Glavni razlog za spremembo in dopolnitev uredbe je </w:t>
            </w:r>
            <w:r w:rsidRPr="00491876">
              <w:rPr>
                <w:rFonts w:cs="Arial"/>
                <w:b/>
                <w:bCs/>
                <w:szCs w:val="20"/>
              </w:rPr>
              <w:t>prenos Direktive 2013/56/EU Evropskega parlamenta in Sveta v pravni red Republike Slovenije</w:t>
            </w:r>
            <w:r w:rsidRPr="00491876">
              <w:rPr>
                <w:rFonts w:cs="Arial"/>
                <w:bCs/>
                <w:szCs w:val="20"/>
              </w:rPr>
              <w:t>.</w:t>
            </w:r>
          </w:p>
          <w:p w:rsidR="00AE3577" w:rsidRPr="00491876" w:rsidRDefault="00AB26F1" w:rsidP="00AB26F1">
            <w:pPr>
              <w:spacing w:before="80" w:after="40" w:line="240" w:lineRule="auto"/>
              <w:jc w:val="both"/>
              <w:rPr>
                <w:rFonts w:cs="Arial"/>
                <w:bCs/>
                <w:szCs w:val="20"/>
              </w:rPr>
            </w:pPr>
            <w:r w:rsidRPr="00491876">
              <w:rPr>
                <w:rFonts w:cs="Arial"/>
                <w:bCs/>
                <w:szCs w:val="20"/>
              </w:rPr>
              <w:t>Direktiva 2006/66/ES prepoveduje dajanje na trg prenosnih baterij in akumulatorjev, ki vsebujejo več kot 0,002 % kadmija glede na celotno maso, vključno s tistimi, vgrajenimi v naprave. Iz te prepovedi so bile izvzete prenosne baterije in akumulatorji, namenjeni za brezžično električno orodje. Za postopno zmanjšanje količine kadmija, sproščenega v okolje, je z Direktivo 2013/56/EU ta prepoved razširjena na prenosne baterije in akumulatorje, namenjene za brezžično električno orodje, saj so za take aplikacije na trgu dostopni primerni nadomestki brez kadmija. Izjema iz Direktive 2006/66/ES za prenosne baterije in akumulatorje, namenjene za brezžično električno orodje, velja še do 31. decembra 2016 zato, da se industrija recikliranja in potrošniki prilagodijo na zadevne nadomestne tehnologije.</w:t>
            </w:r>
          </w:p>
          <w:p w:rsidR="00AB26F1" w:rsidRPr="00491876" w:rsidRDefault="00AB26F1" w:rsidP="00AB26F1">
            <w:pPr>
              <w:spacing w:before="80" w:after="40" w:line="240" w:lineRule="auto"/>
              <w:jc w:val="both"/>
              <w:rPr>
                <w:rFonts w:cs="Arial"/>
                <w:bCs/>
                <w:szCs w:val="20"/>
              </w:rPr>
            </w:pPr>
            <w:r w:rsidRPr="00491876">
              <w:rPr>
                <w:rFonts w:cs="Arial"/>
                <w:bCs/>
                <w:szCs w:val="20"/>
              </w:rPr>
              <w:t>Direktiva 2006/66/ES prepoveduje tudi dajanje na trg vseh baterij ali akumulatorjev, vgrajenih v naprave ali ne, ki vsebujejo več kot 0,0005 % živega srebra glede na celotno maso. Gumbaste celice z vsebnostjo živega srebra, ki ne presega 2 % glede na celotno maso</w:t>
            </w:r>
            <w:r>
              <w:rPr>
                <w:rFonts w:cs="Arial"/>
                <w:bCs/>
                <w:szCs w:val="20"/>
              </w:rPr>
              <w:t>, ki so bile dane na trg do 1. oktobra 2015</w:t>
            </w:r>
            <w:r w:rsidRPr="00491876">
              <w:rPr>
                <w:rFonts w:cs="Arial"/>
                <w:bCs/>
                <w:szCs w:val="20"/>
              </w:rPr>
              <w:t>, pa so izvzete iz te prepovedi. Ker je po ocenah Evropske komisije na trgu Unije že opazen premik h gumbastim celicam brez živega srebra, je z Direktivo 2013/56/EU prepovedano tudi trženje gumbastih celic z vsebnostjo živega srebra, ki presega 0,0005 % glede na celotno maso.</w:t>
            </w:r>
          </w:p>
          <w:p w:rsidR="001E5470" w:rsidRPr="001E5470" w:rsidRDefault="00AB26F1" w:rsidP="00AE3577">
            <w:pPr>
              <w:spacing w:before="80" w:after="40" w:line="240" w:lineRule="auto"/>
              <w:jc w:val="both"/>
              <w:rPr>
                <w:rFonts w:cs="Arial"/>
                <w:iCs/>
                <w:szCs w:val="20"/>
                <w:lang w:eastAsia="sl-SI"/>
              </w:rPr>
            </w:pPr>
            <w:r w:rsidRPr="00491876">
              <w:rPr>
                <w:rFonts w:cs="Arial"/>
                <w:bCs/>
                <w:szCs w:val="20"/>
              </w:rPr>
              <w:t>Direktiva 2006/66/ES določa, da morajo biti registrirani proizvajalci baterij in akumulatorjev. Zaradi preprečevanja nepotrebnega upravnega bremena za proizvajalce, so bile enake postopkovne zahteve, ki so veljale v vseh državah članicah določene z Odločbo komisije 2009/603/ES o določitvi zahtev po registraciji proizvajalcev baterij in akumulatorjev v skladu z Direktivo 2006/66/ES. Z Direktivo 2013/56/EU je bila Odločba 2009/603/ES razveljavljena, zahteve iz te odločbe pa prenesene v direktivo. Zaradi tega se s to spremembo spreminjajo posamezni členi uredbe.</w:t>
            </w:r>
          </w:p>
        </w:tc>
      </w:tr>
      <w:tr w:rsidR="001E5470" w:rsidRPr="001E5470" w:rsidTr="00AE3577">
        <w:tc>
          <w:tcPr>
            <w:tcW w:w="9163" w:type="dxa"/>
            <w:gridSpan w:val="12"/>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6. Presoja posledic za:</w:t>
            </w:r>
          </w:p>
        </w:tc>
      </w:tr>
      <w:tr w:rsidR="001E5470" w:rsidRPr="001E5470" w:rsidTr="00AE3577">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9"/>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gridSpan w:val="2"/>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AE3577">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9"/>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gridSpan w:val="2"/>
            <w:vAlign w:val="center"/>
          </w:tcPr>
          <w:p w:rsidR="001E5470" w:rsidRPr="001E5470" w:rsidRDefault="001E5470" w:rsidP="00AB26F1">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AE3577">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9"/>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gridSpan w:val="2"/>
            <w:vAlign w:val="center"/>
          </w:tcPr>
          <w:p w:rsidR="001E5470" w:rsidRPr="001E5470" w:rsidRDefault="001E5470" w:rsidP="001E5470">
            <w:pPr>
              <w:overflowPunct w:val="0"/>
              <w:autoSpaceDE w:val="0"/>
              <w:autoSpaceDN w:val="0"/>
              <w:adjustRightInd w:val="0"/>
              <w:jc w:val="center"/>
              <w:textAlignment w:val="baseline"/>
              <w:rPr>
                <w:rFonts w:cs="Arial"/>
                <w:szCs w:val="20"/>
                <w:lang w:eastAsia="sl-SI"/>
              </w:rPr>
            </w:pPr>
            <w:r w:rsidRPr="001E5470">
              <w:rPr>
                <w:rFonts w:cs="Arial"/>
                <w:szCs w:val="20"/>
                <w:lang w:eastAsia="sl-SI"/>
              </w:rPr>
              <w:t>NE</w:t>
            </w:r>
          </w:p>
        </w:tc>
      </w:tr>
      <w:tr w:rsidR="001E5470" w:rsidRPr="001E5470" w:rsidTr="00AE3577">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9"/>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gridSpan w:val="2"/>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AE3577">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9"/>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gridSpan w:val="2"/>
            <w:vAlign w:val="center"/>
          </w:tcPr>
          <w:p w:rsidR="001E5470" w:rsidRPr="001E5470" w:rsidRDefault="001E5470" w:rsidP="00AB26F1">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AE3577">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9"/>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gridSpan w:val="2"/>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AE3577">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9"/>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AE3577">
            <w:pPr>
              <w:numPr>
                <w:ilvl w:val="0"/>
                <w:numId w:val="9"/>
              </w:numPr>
              <w:overflowPunct w:val="0"/>
              <w:autoSpaceDE w:val="0"/>
              <w:autoSpaceDN w:val="0"/>
              <w:adjustRightInd w:val="0"/>
              <w:spacing w:line="240" w:lineRule="auto"/>
              <w:ind w:left="714" w:hanging="357"/>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AE3577">
            <w:pPr>
              <w:numPr>
                <w:ilvl w:val="0"/>
                <w:numId w:val="9"/>
              </w:numPr>
              <w:overflowPunct w:val="0"/>
              <w:autoSpaceDE w:val="0"/>
              <w:autoSpaceDN w:val="0"/>
              <w:adjustRightInd w:val="0"/>
              <w:spacing w:line="240" w:lineRule="auto"/>
              <w:ind w:left="714" w:hanging="357"/>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AE3577">
            <w:pPr>
              <w:numPr>
                <w:ilvl w:val="0"/>
                <w:numId w:val="9"/>
              </w:numPr>
              <w:overflowPunct w:val="0"/>
              <w:autoSpaceDE w:val="0"/>
              <w:autoSpaceDN w:val="0"/>
              <w:adjustRightInd w:val="0"/>
              <w:spacing w:line="240" w:lineRule="auto"/>
              <w:ind w:left="714" w:hanging="357"/>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AE3577">
        <w:tc>
          <w:tcPr>
            <w:tcW w:w="9163" w:type="dxa"/>
            <w:gridSpan w:val="12"/>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Default="002E2D1B" w:rsidP="001E5470">
            <w:pPr>
              <w:widowControl w:val="0"/>
              <w:suppressAutoHyphens/>
              <w:overflowPunct w:val="0"/>
              <w:autoSpaceDE w:val="0"/>
              <w:autoSpaceDN w:val="0"/>
              <w:adjustRightInd w:val="0"/>
              <w:textAlignment w:val="baseline"/>
              <w:outlineLvl w:val="3"/>
              <w:rPr>
                <w:rFonts w:cs="Arial"/>
                <w:szCs w:val="20"/>
                <w:lang w:eastAsia="sl-SI"/>
              </w:rPr>
            </w:pPr>
            <w:r w:rsidRPr="002E2D1B">
              <w:rPr>
                <w:rFonts w:cs="Arial"/>
                <w:szCs w:val="20"/>
                <w:lang w:eastAsia="sl-SI"/>
              </w:rPr>
              <w:t>Gradivo nima vpliva na prilive ali odlive iz državnega proračuna.</w:t>
            </w:r>
          </w:p>
          <w:p w:rsidR="00AE3577" w:rsidRPr="001E5470" w:rsidRDefault="00AE3577" w:rsidP="001E5470">
            <w:pPr>
              <w:widowControl w:val="0"/>
              <w:suppressAutoHyphens/>
              <w:overflowPunct w:val="0"/>
              <w:autoSpaceDE w:val="0"/>
              <w:autoSpaceDN w:val="0"/>
              <w:adjustRightInd w:val="0"/>
              <w:textAlignment w:val="baseline"/>
              <w:outlineLvl w:val="3"/>
              <w:rPr>
                <w:rFonts w:cs="Arial"/>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AE3577">
            <w:pPr>
              <w:pageBreakBefore/>
              <w:widowControl w:val="0"/>
              <w:tabs>
                <w:tab w:val="left" w:pos="2340"/>
              </w:tabs>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b/>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AE3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AE3577">
        <w:trPr>
          <w:trHeight w:val="407"/>
        </w:trPr>
        <w:tc>
          <w:tcPr>
            <w:tcW w:w="9163" w:type="dxa"/>
            <w:gridSpan w:val="12"/>
          </w:tcPr>
          <w:p w:rsidR="001E5470" w:rsidRPr="001E5470" w:rsidRDefault="001E5470" w:rsidP="001E5470">
            <w:pPr>
              <w:widowControl w:val="0"/>
              <w:rPr>
                <w:rFonts w:eastAsia="Calibri" w:cs="Arial"/>
                <w:b/>
                <w:szCs w:val="20"/>
              </w:rPr>
            </w:pPr>
            <w:r w:rsidRPr="001E5470">
              <w:rPr>
                <w:rFonts w:eastAsia="Calibri" w:cs="Arial"/>
                <w:b/>
                <w:szCs w:val="20"/>
              </w:rPr>
              <w:t>OBRAZLOŽITEV:</w:t>
            </w:r>
          </w:p>
          <w:p w:rsidR="002E2D1B" w:rsidRPr="00AE3577" w:rsidRDefault="002E2D1B" w:rsidP="002E2D1B">
            <w:pPr>
              <w:keepLines/>
              <w:numPr>
                <w:ilvl w:val="0"/>
                <w:numId w:val="10"/>
              </w:numPr>
              <w:suppressAutoHyphens/>
              <w:spacing w:before="240" w:line="240" w:lineRule="auto"/>
              <w:ind w:left="284" w:hanging="284"/>
              <w:jc w:val="both"/>
              <w:rPr>
                <w:rFonts w:cs="Arial"/>
                <w:szCs w:val="20"/>
                <w:lang w:eastAsia="sl-SI"/>
              </w:rPr>
            </w:pPr>
            <w:r w:rsidRPr="00AE3577">
              <w:rPr>
                <w:rFonts w:cs="Arial"/>
                <w:szCs w:val="20"/>
                <w:lang w:eastAsia="sl-SI"/>
              </w:rPr>
              <w:t>Ocena finančnih posledic, ki niso načrtovane v sprejetem proračunu</w:t>
            </w:r>
          </w:p>
          <w:p w:rsidR="002E2D1B" w:rsidRPr="00AE3577" w:rsidRDefault="002E2D1B" w:rsidP="002E2D1B">
            <w:pPr>
              <w:keepLines/>
              <w:ind w:left="284"/>
              <w:jc w:val="both"/>
              <w:rPr>
                <w:rFonts w:cs="Arial"/>
                <w:szCs w:val="20"/>
                <w:lang w:eastAsia="sl-SI"/>
              </w:rPr>
            </w:pPr>
            <w:r w:rsidRPr="00AE3577">
              <w:rPr>
                <w:rFonts w:cs="Arial"/>
                <w:szCs w:val="20"/>
                <w:lang w:eastAsia="sl-SI"/>
              </w:rPr>
              <w:t>/</w:t>
            </w:r>
          </w:p>
          <w:p w:rsidR="002E2D1B" w:rsidRPr="00AE3577" w:rsidRDefault="002E2D1B" w:rsidP="002E2D1B">
            <w:pPr>
              <w:keepLines/>
              <w:numPr>
                <w:ilvl w:val="0"/>
                <w:numId w:val="10"/>
              </w:numPr>
              <w:suppressAutoHyphens/>
              <w:spacing w:line="240" w:lineRule="auto"/>
              <w:ind w:left="284" w:hanging="284"/>
              <w:jc w:val="both"/>
              <w:rPr>
                <w:rFonts w:cs="Arial"/>
                <w:szCs w:val="20"/>
                <w:lang w:eastAsia="sl-SI"/>
              </w:rPr>
            </w:pPr>
            <w:r w:rsidRPr="00AE3577">
              <w:rPr>
                <w:rFonts w:cs="Arial"/>
                <w:szCs w:val="20"/>
                <w:lang w:eastAsia="sl-SI"/>
              </w:rPr>
              <w:t>Finančne posledice, ki so načrtovane za državni proračun</w:t>
            </w:r>
          </w:p>
          <w:p w:rsidR="002E2D1B" w:rsidRPr="00AE3577" w:rsidRDefault="002E2D1B" w:rsidP="002E2D1B">
            <w:pPr>
              <w:keepLines/>
              <w:ind w:left="284"/>
              <w:jc w:val="both"/>
              <w:rPr>
                <w:rFonts w:cs="Arial"/>
                <w:szCs w:val="20"/>
                <w:lang w:eastAsia="sl-SI"/>
              </w:rPr>
            </w:pPr>
            <w:r w:rsidRPr="00AE3577">
              <w:rPr>
                <w:rFonts w:cs="Arial"/>
                <w:szCs w:val="20"/>
                <w:lang w:eastAsia="sl-SI"/>
              </w:rPr>
              <w:t>/</w:t>
            </w:r>
          </w:p>
          <w:p w:rsidR="002E2D1B" w:rsidRPr="00AE3577" w:rsidRDefault="002E2D1B" w:rsidP="002E2D1B">
            <w:pPr>
              <w:keepLines/>
              <w:numPr>
                <w:ilvl w:val="0"/>
                <w:numId w:val="24"/>
              </w:numPr>
              <w:suppressAutoHyphens/>
              <w:spacing w:line="240" w:lineRule="auto"/>
              <w:jc w:val="both"/>
              <w:rPr>
                <w:rFonts w:cs="Arial"/>
                <w:szCs w:val="20"/>
                <w:lang w:eastAsia="sl-SI"/>
              </w:rPr>
            </w:pPr>
            <w:r w:rsidRPr="00AE3577">
              <w:rPr>
                <w:rFonts w:cs="Arial"/>
                <w:szCs w:val="20"/>
                <w:lang w:eastAsia="sl-SI"/>
              </w:rPr>
              <w:t>II.a. Pravice porabe za izvedbo predlaganih rešitev so zagotovljene:</w:t>
            </w:r>
          </w:p>
          <w:p w:rsidR="002E2D1B" w:rsidRPr="00AE3577" w:rsidRDefault="002E2D1B" w:rsidP="002E2D1B">
            <w:pPr>
              <w:keepLines/>
              <w:ind w:left="284"/>
              <w:jc w:val="both"/>
              <w:rPr>
                <w:rFonts w:cs="Arial"/>
                <w:szCs w:val="20"/>
                <w:lang w:eastAsia="sl-SI"/>
              </w:rPr>
            </w:pPr>
            <w:r w:rsidRPr="00AE3577">
              <w:rPr>
                <w:rFonts w:cs="Arial"/>
                <w:szCs w:val="20"/>
                <w:lang w:eastAsia="sl-SI"/>
              </w:rPr>
              <w:t>/</w:t>
            </w:r>
          </w:p>
          <w:p w:rsidR="002E2D1B" w:rsidRPr="00AE3577" w:rsidRDefault="002E2D1B" w:rsidP="002E2D1B">
            <w:pPr>
              <w:keepNext/>
              <w:numPr>
                <w:ilvl w:val="0"/>
                <w:numId w:val="24"/>
              </w:numPr>
              <w:suppressAutoHyphens/>
              <w:spacing w:line="240" w:lineRule="auto"/>
              <w:ind w:left="714" w:hanging="357"/>
              <w:jc w:val="both"/>
              <w:rPr>
                <w:rFonts w:cs="Arial"/>
                <w:szCs w:val="20"/>
                <w:lang w:eastAsia="sl-SI"/>
              </w:rPr>
            </w:pPr>
            <w:r w:rsidRPr="00AE3577">
              <w:rPr>
                <w:rFonts w:cs="Arial"/>
                <w:szCs w:val="20"/>
                <w:lang w:eastAsia="sl-SI"/>
              </w:rPr>
              <w:t>II.b. Manjkajoče pravice porabe se bodo zagotovile s prerazporeditvijo iz:</w:t>
            </w:r>
          </w:p>
          <w:p w:rsidR="002E2D1B" w:rsidRPr="00AE3577" w:rsidRDefault="002E2D1B" w:rsidP="002E2D1B">
            <w:pPr>
              <w:keepNext/>
              <w:ind w:left="284"/>
              <w:jc w:val="both"/>
              <w:rPr>
                <w:rFonts w:cs="Arial"/>
                <w:szCs w:val="20"/>
                <w:lang w:eastAsia="sl-SI"/>
              </w:rPr>
            </w:pPr>
            <w:r w:rsidRPr="00AE3577">
              <w:rPr>
                <w:rFonts w:cs="Arial"/>
                <w:szCs w:val="20"/>
                <w:lang w:eastAsia="sl-SI"/>
              </w:rPr>
              <w:lastRenderedPageBreak/>
              <w:t>/</w:t>
            </w:r>
          </w:p>
          <w:p w:rsidR="001E5470" w:rsidRDefault="002E2D1B" w:rsidP="002E2D1B">
            <w:pPr>
              <w:widowControl w:val="0"/>
              <w:ind w:left="284"/>
              <w:jc w:val="both"/>
              <w:rPr>
                <w:rFonts w:cs="Arial"/>
                <w:szCs w:val="20"/>
                <w:lang w:eastAsia="sl-SI"/>
              </w:rPr>
            </w:pPr>
            <w:r w:rsidRPr="00AE3577">
              <w:rPr>
                <w:rFonts w:cs="Arial"/>
                <w:szCs w:val="20"/>
                <w:lang w:eastAsia="sl-SI"/>
              </w:rPr>
              <w:t>II.c. Načrtovana nadomestitev zmanjšanih prihodkov oz. povečanih odhodkov proračuna:</w:t>
            </w:r>
          </w:p>
          <w:p w:rsidR="00AE3577" w:rsidRPr="001E5470" w:rsidRDefault="00AE3577" w:rsidP="002E2D1B">
            <w:pPr>
              <w:widowControl w:val="0"/>
              <w:ind w:left="284"/>
              <w:jc w:val="both"/>
              <w:rPr>
                <w:rFonts w:cs="Arial"/>
                <w:b/>
                <w:bCs/>
                <w:spacing w:val="40"/>
                <w:szCs w:val="20"/>
                <w:lang w:eastAsia="sl-SI"/>
              </w:rPr>
            </w:pPr>
          </w:p>
        </w:tc>
      </w:tr>
      <w:tr w:rsidR="001E5470" w:rsidRPr="001E5470" w:rsidTr="00AE3577">
        <w:tc>
          <w:tcPr>
            <w:tcW w:w="9163" w:type="dxa"/>
            <w:gridSpan w:val="12"/>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1E5470" w:rsidRDefault="002E2D1B" w:rsidP="001E5470">
            <w:pPr>
              <w:widowControl w:val="0"/>
              <w:suppressAutoHyphens/>
              <w:overflowPunct w:val="0"/>
              <w:autoSpaceDE w:val="0"/>
              <w:autoSpaceDN w:val="0"/>
              <w:adjustRightInd w:val="0"/>
              <w:textAlignment w:val="baseline"/>
              <w:outlineLvl w:val="3"/>
              <w:rPr>
                <w:rFonts w:cs="Arial"/>
                <w:szCs w:val="20"/>
                <w:lang w:eastAsia="sl-SI"/>
              </w:rPr>
            </w:pPr>
            <w:r w:rsidRPr="002E2D1B">
              <w:rPr>
                <w:rFonts w:cs="Arial"/>
                <w:szCs w:val="20"/>
                <w:lang w:eastAsia="sl-SI"/>
              </w:rPr>
              <w:t>Gradivo ne vpliva na prilive ali odlive iz državnega proračuna.</w:t>
            </w:r>
          </w:p>
          <w:p w:rsidR="00AE3577" w:rsidRPr="001E5470" w:rsidRDefault="00AE3577" w:rsidP="001E5470">
            <w:pPr>
              <w:widowControl w:val="0"/>
              <w:suppressAutoHyphens/>
              <w:overflowPunct w:val="0"/>
              <w:autoSpaceDE w:val="0"/>
              <w:autoSpaceDN w:val="0"/>
              <w:adjustRightInd w:val="0"/>
              <w:textAlignment w:val="baseline"/>
              <w:outlineLvl w:val="3"/>
              <w:rPr>
                <w:rFonts w:cs="Arial"/>
                <w:szCs w:val="20"/>
                <w:lang w:eastAsia="sl-SI"/>
              </w:rPr>
            </w:pPr>
          </w:p>
        </w:tc>
      </w:tr>
      <w:tr w:rsidR="001E5470" w:rsidRPr="001E5470" w:rsidTr="00AE3577">
        <w:tc>
          <w:tcPr>
            <w:tcW w:w="9163" w:type="dxa"/>
            <w:gridSpan w:val="12"/>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1E5470" w:rsidRPr="001E5470" w:rsidTr="00AE3577">
        <w:tc>
          <w:tcPr>
            <w:tcW w:w="6669" w:type="dxa"/>
            <w:gridSpan w:val="9"/>
          </w:tcPr>
          <w:p w:rsid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Gradivo je bilo predhodno objavljeno na spletni strani predlagatelja:</w:t>
            </w:r>
          </w:p>
          <w:p w:rsidR="00AE3577" w:rsidRPr="001E5470" w:rsidRDefault="00AE3577" w:rsidP="001E5470">
            <w:pPr>
              <w:widowControl w:val="0"/>
              <w:overflowPunct w:val="0"/>
              <w:autoSpaceDE w:val="0"/>
              <w:autoSpaceDN w:val="0"/>
              <w:adjustRightInd w:val="0"/>
              <w:jc w:val="both"/>
              <w:textAlignment w:val="baseline"/>
              <w:rPr>
                <w:rFonts w:cs="Arial"/>
                <w:szCs w:val="20"/>
                <w:lang w:eastAsia="sl-SI"/>
              </w:rPr>
            </w:pPr>
          </w:p>
        </w:tc>
        <w:tc>
          <w:tcPr>
            <w:tcW w:w="2494" w:type="dxa"/>
            <w:gridSpan w:val="3"/>
          </w:tcPr>
          <w:p w:rsidR="001E5470" w:rsidRPr="002E2D1B" w:rsidRDefault="00E90D56" w:rsidP="001E5470">
            <w:pPr>
              <w:widowControl w:val="0"/>
              <w:overflowPunct w:val="0"/>
              <w:autoSpaceDE w:val="0"/>
              <w:autoSpaceDN w:val="0"/>
              <w:adjustRightInd w:val="0"/>
              <w:jc w:val="center"/>
              <w:textAlignment w:val="baseline"/>
              <w:rPr>
                <w:rFonts w:cs="Arial"/>
                <w:b/>
                <w:iCs/>
                <w:szCs w:val="20"/>
                <w:lang w:eastAsia="sl-SI"/>
              </w:rPr>
            </w:pPr>
            <w:r w:rsidRPr="002E2D1B">
              <w:rPr>
                <w:rFonts w:cs="Arial"/>
                <w:b/>
                <w:szCs w:val="20"/>
                <w:highlight w:val="lightGray"/>
                <w:lang w:eastAsia="sl-SI"/>
              </w:rPr>
              <w:t>DA</w:t>
            </w:r>
          </w:p>
        </w:tc>
      </w:tr>
      <w:tr w:rsidR="001E5470" w:rsidRPr="001E5470" w:rsidTr="00AE3577">
        <w:trPr>
          <w:trHeight w:val="274"/>
        </w:trPr>
        <w:tc>
          <w:tcPr>
            <w:tcW w:w="9163" w:type="dxa"/>
            <w:gridSpan w:val="12"/>
          </w:tcPr>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1E5470" w:rsidTr="00AE3577">
        <w:trPr>
          <w:trHeight w:val="274"/>
        </w:trPr>
        <w:tc>
          <w:tcPr>
            <w:tcW w:w="9163" w:type="dxa"/>
            <w:gridSpan w:val="12"/>
          </w:tcPr>
          <w:p w:rsidR="009F2397" w:rsidRDefault="009F2397" w:rsidP="001E5470">
            <w:pPr>
              <w:widowControl w:val="0"/>
              <w:overflowPunct w:val="0"/>
              <w:autoSpaceDE w:val="0"/>
              <w:autoSpaceDN w:val="0"/>
              <w:adjustRightInd w:val="0"/>
              <w:jc w:val="both"/>
              <w:textAlignment w:val="baseline"/>
              <w:rPr>
                <w:rFonts w:cs="Arial"/>
                <w:iCs/>
                <w:szCs w:val="20"/>
                <w:lang w:eastAsia="sl-SI"/>
              </w:rPr>
            </w:pPr>
          </w:p>
          <w:p w:rsid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Datum objave: ………</w:t>
            </w:r>
            <w:r w:rsidR="00E90D56" w:rsidRPr="00491876">
              <w:rPr>
                <w:rFonts w:cs="Arial"/>
                <w:iCs/>
                <w:szCs w:val="20"/>
                <w:lang w:eastAsia="sl-SI"/>
              </w:rPr>
              <w:t>30. 9. 2015</w:t>
            </w:r>
          </w:p>
          <w:p w:rsidR="00E90D56" w:rsidRPr="001E5470" w:rsidRDefault="00E90D56"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V razpravo so bili vključeni: </w:t>
            </w:r>
          </w:p>
          <w:p w:rsidR="00E90D56" w:rsidRDefault="00E90D56" w:rsidP="001E5470">
            <w:pPr>
              <w:widowControl w:val="0"/>
              <w:overflowPunct w:val="0"/>
              <w:autoSpaceDE w:val="0"/>
              <w:autoSpaceDN w:val="0"/>
              <w:adjustRightInd w:val="0"/>
              <w:jc w:val="both"/>
              <w:textAlignment w:val="baseline"/>
              <w:rPr>
                <w:rFonts w:cs="Arial"/>
                <w:iCs/>
                <w:szCs w:val="20"/>
                <w:lang w:eastAsia="sl-SI"/>
              </w:rPr>
            </w:pPr>
            <w:r w:rsidRPr="00491876">
              <w:rPr>
                <w:rFonts w:cs="Arial"/>
                <w:b/>
                <w:iCs/>
                <w:szCs w:val="20"/>
                <w:lang w:eastAsia="sl-SI"/>
              </w:rPr>
              <w:t>vsa zainteresirana javnost</w:t>
            </w:r>
            <w:r w:rsidRPr="00491876">
              <w:rPr>
                <w:rFonts w:cs="Arial"/>
                <w:iCs/>
                <w:szCs w:val="20"/>
                <w:lang w:eastAsia="sl-SI"/>
              </w:rPr>
              <w:t xml:space="preserve"> (objava na spletni strani MOP in e-demokraciji)</w:t>
            </w:r>
            <w:r>
              <w:rPr>
                <w:rFonts w:cs="Arial"/>
                <w:iCs/>
                <w:szCs w:val="20"/>
                <w:lang w:eastAsia="sl-SI"/>
              </w:rPr>
              <w:t>.</w:t>
            </w:r>
          </w:p>
          <w:p w:rsidR="00E90D56" w:rsidRDefault="00E90D56" w:rsidP="001E5470">
            <w:pPr>
              <w:widowControl w:val="0"/>
              <w:overflowPunct w:val="0"/>
              <w:autoSpaceDE w:val="0"/>
              <w:autoSpaceDN w:val="0"/>
              <w:adjustRightInd w:val="0"/>
              <w:jc w:val="both"/>
              <w:textAlignment w:val="baseline"/>
              <w:rPr>
                <w:rFonts w:cs="Arial"/>
                <w:iCs/>
                <w:szCs w:val="20"/>
                <w:lang w:eastAsia="sl-SI"/>
              </w:rPr>
            </w:pPr>
          </w:p>
          <w:p w:rsid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Mnenja, predlogi in pr</w:t>
            </w:r>
            <w:r w:rsidR="00E90D56">
              <w:rPr>
                <w:rFonts w:cs="Arial"/>
                <w:iCs/>
                <w:szCs w:val="20"/>
                <w:lang w:eastAsia="sl-SI"/>
              </w:rPr>
              <w:t>ipombe z navedbo predlagateljev</w:t>
            </w:r>
            <w:r w:rsidRPr="001E5470">
              <w:rPr>
                <w:rFonts w:cs="Arial"/>
                <w:iCs/>
                <w:szCs w:val="20"/>
                <w:lang w:eastAsia="sl-SI"/>
              </w:rPr>
              <w:t>:</w:t>
            </w:r>
          </w:p>
          <w:p w:rsidR="009F2397" w:rsidRPr="001E5470" w:rsidRDefault="009F2397" w:rsidP="001E5470">
            <w:pPr>
              <w:widowControl w:val="0"/>
              <w:overflowPunct w:val="0"/>
              <w:autoSpaceDE w:val="0"/>
              <w:autoSpaceDN w:val="0"/>
              <w:adjustRightInd w:val="0"/>
              <w:jc w:val="both"/>
              <w:textAlignment w:val="baseline"/>
              <w:rPr>
                <w:rFonts w:cs="Arial"/>
                <w:iCs/>
                <w:szCs w:val="20"/>
                <w:lang w:eastAsia="sl-SI"/>
              </w:rPr>
            </w:pPr>
          </w:p>
          <w:p w:rsidR="00E90D56" w:rsidRPr="00491876" w:rsidRDefault="00E90D56" w:rsidP="00E90D56">
            <w:pPr>
              <w:spacing w:before="80" w:after="120" w:line="240" w:lineRule="auto"/>
              <w:rPr>
                <w:rFonts w:cs="Arial"/>
                <w:b/>
                <w:iCs/>
                <w:szCs w:val="20"/>
                <w:lang w:eastAsia="sl-SI"/>
              </w:rPr>
            </w:pPr>
            <w:r w:rsidRPr="00491876">
              <w:rPr>
                <w:rFonts w:cs="Arial"/>
                <w:b/>
                <w:iCs/>
                <w:szCs w:val="20"/>
                <w:lang w:eastAsia="sl-SI"/>
              </w:rPr>
              <w:t>Trgovinska zbornica Slovenija, Dimičeva ulica 13, 1000 Ljubljana</w:t>
            </w:r>
          </w:p>
          <w:p w:rsidR="00E90D56" w:rsidRPr="00491876" w:rsidRDefault="00E90D56" w:rsidP="00E90D56">
            <w:pPr>
              <w:spacing w:before="80" w:after="40" w:line="240" w:lineRule="auto"/>
              <w:rPr>
                <w:rFonts w:cs="Arial"/>
                <w:iCs/>
                <w:szCs w:val="20"/>
                <w:lang w:eastAsia="sl-SI"/>
              </w:rPr>
            </w:pPr>
            <w:r w:rsidRPr="00491876">
              <w:rPr>
                <w:rFonts w:cs="Arial"/>
                <w:b/>
                <w:iCs/>
                <w:szCs w:val="20"/>
                <w:lang w:eastAsia="sl-SI"/>
              </w:rPr>
              <w:t>1. pripomba</w:t>
            </w:r>
            <w:r w:rsidRPr="00491876">
              <w:rPr>
                <w:rFonts w:cs="Arial"/>
                <w:iCs/>
                <w:szCs w:val="20"/>
                <w:lang w:eastAsia="sl-SI"/>
              </w:rPr>
              <w:t xml:space="preserve"> na opredelitev pojma »pridobitelj naprave« in dopolnitev pojma »proizvajalec naprav«.</w:t>
            </w:r>
          </w:p>
          <w:p w:rsidR="00E90D56" w:rsidRPr="00491876" w:rsidRDefault="00E90D56" w:rsidP="00E90D56">
            <w:pPr>
              <w:spacing w:before="80" w:after="40" w:line="240" w:lineRule="auto"/>
              <w:rPr>
                <w:rFonts w:cs="Arial"/>
                <w:iCs/>
                <w:szCs w:val="20"/>
                <w:lang w:eastAsia="sl-SI"/>
              </w:rPr>
            </w:pPr>
            <w:r w:rsidRPr="00491876">
              <w:rPr>
                <w:rFonts w:cs="Arial"/>
                <w:iCs/>
                <w:szCs w:val="20"/>
                <w:lang w:eastAsia="sl-SI"/>
              </w:rPr>
              <w:t xml:space="preserve">Podana so bila dodatna pojasnila, predlog je bil upoštevan: </w:t>
            </w:r>
            <w:r w:rsidRPr="00491876">
              <w:rPr>
                <w:rFonts w:cs="Arial"/>
                <w:b/>
                <w:iCs/>
                <w:szCs w:val="20"/>
                <w:lang w:eastAsia="sl-SI"/>
              </w:rPr>
              <w:t>delno</w:t>
            </w:r>
            <w:r w:rsidRPr="00491876">
              <w:rPr>
                <w:rFonts w:cs="Arial"/>
                <w:iCs/>
                <w:szCs w:val="20"/>
                <w:lang w:eastAsia="sl-SI"/>
              </w:rPr>
              <w:t>.</w:t>
            </w:r>
          </w:p>
          <w:p w:rsidR="00E90D56" w:rsidRPr="00491876" w:rsidRDefault="00E90D56" w:rsidP="00E90D56">
            <w:pPr>
              <w:spacing w:before="120" w:after="40" w:line="240" w:lineRule="auto"/>
              <w:rPr>
                <w:rFonts w:cs="Arial"/>
                <w:iCs/>
                <w:szCs w:val="20"/>
                <w:lang w:eastAsia="sl-SI"/>
              </w:rPr>
            </w:pPr>
            <w:r w:rsidRPr="00491876">
              <w:rPr>
                <w:rFonts w:cs="Arial"/>
                <w:b/>
                <w:iCs/>
                <w:szCs w:val="20"/>
                <w:lang w:eastAsia="sl-SI"/>
              </w:rPr>
              <w:t>2. pripomba</w:t>
            </w:r>
            <w:r w:rsidRPr="00491876">
              <w:rPr>
                <w:rFonts w:cs="Arial"/>
                <w:iCs/>
                <w:szCs w:val="20"/>
                <w:lang w:eastAsia="sl-SI"/>
              </w:rPr>
              <w:t xml:space="preserve"> na v predlogu uredbe zapisan rok za dajanje v promet gumbastih celic, ki vsebujejo več kot 0,0005 % in manj kot 2 % živega srebra (datum zapisan v predlogu uredbe je v času javne obravnave uredbe že potekel).</w:t>
            </w:r>
          </w:p>
          <w:p w:rsidR="00E90D56" w:rsidRPr="00491876" w:rsidRDefault="00E90D56" w:rsidP="00E90D56">
            <w:pPr>
              <w:spacing w:before="80" w:after="40" w:line="240" w:lineRule="auto"/>
              <w:rPr>
                <w:rFonts w:cs="Arial"/>
                <w:iCs/>
                <w:szCs w:val="20"/>
                <w:lang w:eastAsia="sl-SI"/>
              </w:rPr>
            </w:pPr>
            <w:r w:rsidRPr="00491876">
              <w:rPr>
                <w:rFonts w:cs="Arial"/>
                <w:iCs/>
                <w:szCs w:val="20"/>
                <w:lang w:eastAsia="sl-SI"/>
              </w:rPr>
              <w:t xml:space="preserve">Predlog je bil upoštevan: </w:t>
            </w:r>
            <w:r w:rsidRPr="00491876">
              <w:rPr>
                <w:rFonts w:cs="Arial"/>
                <w:b/>
                <w:iCs/>
                <w:szCs w:val="20"/>
                <w:lang w:eastAsia="sl-SI"/>
              </w:rPr>
              <w:t>v celoti</w:t>
            </w:r>
            <w:r w:rsidRPr="00491876">
              <w:rPr>
                <w:rFonts w:cs="Arial"/>
                <w:iCs/>
                <w:szCs w:val="20"/>
                <w:lang w:eastAsia="sl-SI"/>
              </w:rPr>
              <w:t xml:space="preserve">. </w:t>
            </w:r>
          </w:p>
          <w:p w:rsidR="00E90D56" w:rsidRPr="00491876" w:rsidRDefault="00E90D56" w:rsidP="00E90D56">
            <w:pPr>
              <w:spacing w:before="120" w:after="40" w:line="240" w:lineRule="auto"/>
              <w:rPr>
                <w:rFonts w:cs="Arial"/>
                <w:iCs/>
                <w:szCs w:val="20"/>
                <w:lang w:eastAsia="sl-SI"/>
              </w:rPr>
            </w:pPr>
            <w:r w:rsidRPr="00491876">
              <w:rPr>
                <w:rFonts w:cs="Arial"/>
                <w:b/>
                <w:iCs/>
                <w:szCs w:val="20"/>
                <w:lang w:eastAsia="sl-SI"/>
              </w:rPr>
              <w:t>3. pripomba</w:t>
            </w:r>
            <w:r w:rsidRPr="00491876">
              <w:rPr>
                <w:rFonts w:cs="Arial"/>
                <w:iCs/>
                <w:szCs w:val="20"/>
                <w:lang w:eastAsia="sl-SI"/>
              </w:rPr>
              <w:t xml:space="preserve"> na določanju obveznosti »pridobitelja naprave«. </w:t>
            </w:r>
          </w:p>
          <w:p w:rsidR="00E90D56" w:rsidRPr="00491876" w:rsidRDefault="00E90D56" w:rsidP="00E90D56">
            <w:pPr>
              <w:spacing w:before="80" w:after="40" w:line="240" w:lineRule="auto"/>
              <w:rPr>
                <w:rFonts w:cs="Arial"/>
                <w:iCs/>
                <w:szCs w:val="20"/>
                <w:lang w:eastAsia="sl-SI"/>
              </w:rPr>
            </w:pPr>
            <w:r w:rsidRPr="00491876">
              <w:rPr>
                <w:rFonts w:cs="Arial"/>
                <w:iCs/>
                <w:szCs w:val="20"/>
                <w:lang w:eastAsia="sl-SI"/>
              </w:rPr>
              <w:t xml:space="preserve">Podana so bila dodatna pojasnila, predlog </w:t>
            </w:r>
            <w:r w:rsidRPr="00491876">
              <w:rPr>
                <w:rFonts w:cs="Arial"/>
                <w:b/>
                <w:iCs/>
                <w:szCs w:val="20"/>
                <w:lang w:eastAsia="sl-SI"/>
              </w:rPr>
              <w:t>ni bil upoštevan</w:t>
            </w:r>
            <w:r w:rsidRPr="00491876">
              <w:rPr>
                <w:rFonts w:cs="Arial"/>
                <w:iCs/>
                <w:szCs w:val="20"/>
                <w:lang w:eastAsia="sl-SI"/>
              </w:rPr>
              <w:t>.</w:t>
            </w:r>
          </w:p>
          <w:p w:rsidR="00E90D56" w:rsidRPr="00491876" w:rsidRDefault="00E90D56" w:rsidP="00E90D56">
            <w:pPr>
              <w:spacing w:before="120" w:after="40" w:line="240" w:lineRule="auto"/>
              <w:rPr>
                <w:rFonts w:cs="Arial"/>
                <w:iCs/>
                <w:szCs w:val="20"/>
                <w:lang w:eastAsia="sl-SI"/>
              </w:rPr>
            </w:pPr>
            <w:r w:rsidRPr="00491876">
              <w:rPr>
                <w:rFonts w:cs="Arial"/>
                <w:b/>
                <w:iCs/>
                <w:szCs w:val="20"/>
                <w:lang w:eastAsia="sl-SI"/>
              </w:rPr>
              <w:t>4. pripomba</w:t>
            </w:r>
            <w:r w:rsidRPr="00491876">
              <w:rPr>
                <w:rFonts w:cs="Arial"/>
                <w:iCs/>
                <w:szCs w:val="20"/>
                <w:lang w:eastAsia="sl-SI"/>
              </w:rPr>
              <w:t xml:space="preserve"> glede poenotenja izrazov »znak« in »oznaka«. </w:t>
            </w:r>
          </w:p>
          <w:p w:rsidR="00E90D56" w:rsidRPr="00491876" w:rsidRDefault="00E90D56" w:rsidP="00E90D56">
            <w:pPr>
              <w:spacing w:before="80" w:after="40" w:line="240" w:lineRule="auto"/>
              <w:rPr>
                <w:rFonts w:cs="Arial"/>
                <w:iCs/>
                <w:szCs w:val="20"/>
                <w:lang w:eastAsia="sl-SI"/>
              </w:rPr>
            </w:pPr>
            <w:r w:rsidRPr="00491876">
              <w:rPr>
                <w:rFonts w:cs="Arial"/>
                <w:iCs/>
                <w:szCs w:val="20"/>
                <w:lang w:eastAsia="sl-SI"/>
              </w:rPr>
              <w:t xml:space="preserve">Podana so bila dodatna pojasnila, predlog </w:t>
            </w:r>
            <w:r w:rsidRPr="00491876">
              <w:rPr>
                <w:rFonts w:cs="Arial"/>
                <w:b/>
                <w:iCs/>
                <w:szCs w:val="20"/>
                <w:lang w:eastAsia="sl-SI"/>
              </w:rPr>
              <w:t>ni bil upoštevan</w:t>
            </w:r>
            <w:r w:rsidRPr="00491876">
              <w:rPr>
                <w:rFonts w:cs="Arial"/>
                <w:iCs/>
                <w:szCs w:val="20"/>
                <w:lang w:eastAsia="sl-SI"/>
              </w:rPr>
              <w:t>.</w:t>
            </w:r>
          </w:p>
          <w:p w:rsidR="00E90D56" w:rsidRPr="00491876" w:rsidRDefault="00E90D56" w:rsidP="00E90D56">
            <w:pPr>
              <w:spacing w:before="80" w:after="40" w:line="240" w:lineRule="auto"/>
              <w:rPr>
                <w:rFonts w:cs="Arial"/>
                <w:iCs/>
                <w:szCs w:val="20"/>
                <w:lang w:eastAsia="sl-SI"/>
              </w:rPr>
            </w:pPr>
          </w:p>
          <w:p w:rsidR="00E90D56" w:rsidRPr="00491876" w:rsidRDefault="00E90D56" w:rsidP="00E90D56">
            <w:pPr>
              <w:spacing w:before="80" w:after="40" w:line="240" w:lineRule="auto"/>
              <w:rPr>
                <w:rFonts w:cs="Arial"/>
                <w:b/>
                <w:iCs/>
                <w:szCs w:val="20"/>
                <w:lang w:eastAsia="sl-SI"/>
              </w:rPr>
            </w:pPr>
            <w:r w:rsidRPr="00491876">
              <w:rPr>
                <w:rFonts w:cs="Arial"/>
                <w:b/>
                <w:iCs/>
                <w:szCs w:val="20"/>
                <w:lang w:eastAsia="sl-SI"/>
              </w:rPr>
              <w:t>Razlog za neupoštevanje oz. delno upoštevanje predlogov:</w:t>
            </w:r>
          </w:p>
          <w:p w:rsidR="00E90D56" w:rsidRDefault="00E90D56" w:rsidP="00E90D56">
            <w:pPr>
              <w:spacing w:before="80" w:after="40" w:line="240" w:lineRule="auto"/>
              <w:rPr>
                <w:rFonts w:cs="Arial"/>
                <w:iCs/>
                <w:szCs w:val="20"/>
                <w:lang w:eastAsia="sl-SI"/>
              </w:rPr>
            </w:pPr>
            <w:r w:rsidRPr="00491876">
              <w:rPr>
                <w:rFonts w:cs="Arial"/>
                <w:iCs/>
                <w:szCs w:val="20"/>
                <w:lang w:eastAsia="sl-SI"/>
              </w:rPr>
              <w:t>TZS-pripomba št. 3: po predlogu spremembe uredbe pridobitelj naprav nima obveznosti, zato tudi ni podana opredelitev pojma »pridobitelj naprav«.</w:t>
            </w:r>
          </w:p>
          <w:p w:rsidR="00AE3577" w:rsidRPr="00491876" w:rsidRDefault="00AE3577" w:rsidP="00E90D56">
            <w:pPr>
              <w:spacing w:before="80" w:after="40" w:line="240" w:lineRule="auto"/>
              <w:rPr>
                <w:rFonts w:cs="Arial"/>
                <w:iCs/>
                <w:szCs w:val="20"/>
                <w:lang w:eastAsia="sl-SI"/>
              </w:rPr>
            </w:pPr>
          </w:p>
          <w:p w:rsidR="00E90D56" w:rsidRPr="00491876" w:rsidRDefault="00E90D56" w:rsidP="00E90D56">
            <w:pPr>
              <w:spacing w:before="80" w:after="40" w:line="240" w:lineRule="auto"/>
              <w:rPr>
                <w:rFonts w:cs="Arial"/>
                <w:iCs/>
                <w:szCs w:val="20"/>
                <w:lang w:eastAsia="sl-SI"/>
              </w:rPr>
            </w:pPr>
            <w:r w:rsidRPr="00491876">
              <w:rPr>
                <w:rFonts w:cs="Arial"/>
                <w:iCs/>
                <w:szCs w:val="20"/>
                <w:lang w:eastAsia="sl-SI"/>
              </w:rPr>
              <w:t>TZS-pripomba št. 4: ne gre za napako in zamenjavo izrazov »znak« in »oznaka«, saj npr. v tretjem odstavku 33. člena uredbe definirano, da so pod določenimi pogoji baterije, akumulatorji in gumbaste celice označene s kemijskim simbolom za ustrezno kovino, ki mora biti natisnjen pod znakom iz Priloge 2. V takem primeru ima baterija oznako, ki je sestavljena iz znaka in kemijskega simbola.</w:t>
            </w:r>
          </w:p>
          <w:p w:rsidR="00E90D56" w:rsidRDefault="00E90D56" w:rsidP="00E90D56">
            <w:pPr>
              <w:spacing w:before="80" w:after="40" w:line="240" w:lineRule="auto"/>
              <w:rPr>
                <w:rFonts w:cs="Arial"/>
                <w:iCs/>
                <w:szCs w:val="20"/>
                <w:lang w:eastAsia="sl-SI"/>
              </w:rPr>
            </w:pPr>
          </w:p>
          <w:p w:rsidR="009F2397" w:rsidRPr="00491876" w:rsidRDefault="009F2397" w:rsidP="00E90D56">
            <w:pPr>
              <w:spacing w:before="80" w:after="40" w:line="240" w:lineRule="auto"/>
              <w:rPr>
                <w:rFonts w:cs="Arial"/>
                <w:iCs/>
                <w:szCs w:val="20"/>
                <w:lang w:eastAsia="sl-SI"/>
              </w:rPr>
            </w:pPr>
          </w:p>
          <w:p w:rsidR="00E90D56" w:rsidRPr="00491876" w:rsidRDefault="00E90D56" w:rsidP="00E90D56">
            <w:pPr>
              <w:spacing w:before="80" w:after="120" w:line="240" w:lineRule="auto"/>
              <w:rPr>
                <w:rFonts w:cs="Arial"/>
                <w:b/>
                <w:iCs/>
                <w:szCs w:val="20"/>
                <w:lang w:eastAsia="sl-SI"/>
              </w:rPr>
            </w:pPr>
            <w:r w:rsidRPr="00491876">
              <w:rPr>
                <w:rFonts w:cs="Arial"/>
                <w:b/>
                <w:iCs/>
                <w:szCs w:val="20"/>
                <w:lang w:eastAsia="sl-SI"/>
              </w:rPr>
              <w:t>g. Dušan MARC, Visoko 124, 1292 IG</w:t>
            </w:r>
          </w:p>
          <w:p w:rsidR="00E90D56" w:rsidRDefault="00E90D56" w:rsidP="00E90D56">
            <w:pPr>
              <w:spacing w:before="80" w:after="40" w:line="240" w:lineRule="auto"/>
              <w:rPr>
                <w:rFonts w:cs="Arial"/>
                <w:iCs/>
                <w:szCs w:val="20"/>
                <w:lang w:eastAsia="sl-SI"/>
              </w:rPr>
            </w:pPr>
            <w:r w:rsidRPr="00491876">
              <w:rPr>
                <w:rFonts w:cs="Arial"/>
                <w:iCs/>
                <w:szCs w:val="20"/>
                <w:lang w:eastAsia="sl-SI"/>
              </w:rPr>
              <w:t>Pripomba na »neupoštevanje zahtev pravil ravnanja z odpadki, ki jih določa zakon o varstvu okolja, in sicer v zvezi z določbami sedmega odstavka 20. člena, ki urejajo razširjeno odgovornost proizvajalca«.</w:t>
            </w:r>
          </w:p>
          <w:p w:rsidR="00AE3577" w:rsidRPr="00491876" w:rsidRDefault="00AE3577" w:rsidP="00E90D56">
            <w:pPr>
              <w:spacing w:before="80" w:after="40" w:line="240" w:lineRule="auto"/>
              <w:rPr>
                <w:rFonts w:cs="Arial"/>
                <w:iCs/>
                <w:szCs w:val="20"/>
                <w:lang w:eastAsia="sl-SI"/>
              </w:rPr>
            </w:pPr>
          </w:p>
          <w:p w:rsidR="00E90D56" w:rsidRPr="00491876" w:rsidRDefault="00E90D56" w:rsidP="00E90D56">
            <w:pPr>
              <w:spacing w:before="80" w:after="40" w:line="240" w:lineRule="auto"/>
              <w:rPr>
                <w:rFonts w:cs="Arial"/>
                <w:iCs/>
                <w:szCs w:val="20"/>
                <w:lang w:eastAsia="sl-SI"/>
              </w:rPr>
            </w:pPr>
            <w:r w:rsidRPr="00491876">
              <w:rPr>
                <w:rFonts w:cs="Arial"/>
                <w:iCs/>
                <w:szCs w:val="20"/>
                <w:lang w:eastAsia="sl-SI"/>
              </w:rPr>
              <w:t xml:space="preserve">Predlog je bil upoštevan: </w:t>
            </w:r>
            <w:r w:rsidRPr="00491876">
              <w:rPr>
                <w:rFonts w:cs="Arial"/>
                <w:b/>
                <w:iCs/>
                <w:szCs w:val="20"/>
                <w:lang w:eastAsia="sl-SI"/>
              </w:rPr>
              <w:t>v celoti</w:t>
            </w:r>
            <w:r w:rsidRPr="00491876">
              <w:rPr>
                <w:rFonts w:cs="Arial"/>
                <w:iCs/>
                <w:szCs w:val="20"/>
                <w:lang w:eastAsia="sl-SI"/>
              </w:rPr>
              <w:t xml:space="preserve">. </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Bistvena mnenja, predlogi in pripombe, ki niso bili upoštevani, ter razlogi za neupoštevanje:</w:t>
            </w:r>
          </w:p>
          <w:p w:rsidR="001E5470" w:rsidRDefault="00E90D56"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Javnost je bila vključena v pripravo gradiva v skladu z Zakonom o </w:t>
            </w:r>
            <w:r w:rsidR="00E90D56">
              <w:rPr>
                <w:rFonts w:cs="Arial"/>
                <w:iCs/>
                <w:szCs w:val="20"/>
                <w:lang w:eastAsia="sl-SI"/>
              </w:rPr>
              <w:t>varstvu okolja (ZVO-1),</w:t>
            </w:r>
            <w:r w:rsidRPr="001E5470">
              <w:rPr>
                <w:rFonts w:cs="Arial"/>
                <w:iCs/>
                <w:szCs w:val="20"/>
                <w:lang w:eastAsia="sl-SI"/>
              </w:rPr>
              <w:t xml:space="preserve"> kar je navedeno v predlogu predpisa.)</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1E5470" w:rsidTr="00AE3577">
        <w:tc>
          <w:tcPr>
            <w:tcW w:w="6669" w:type="dxa"/>
            <w:gridSpan w:val="9"/>
            <w:vAlign w:val="center"/>
          </w:tcPr>
          <w:p w:rsidR="001E5470" w:rsidRPr="001E5470" w:rsidRDefault="001E5470" w:rsidP="001E5470">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lastRenderedPageBreak/>
              <w:t xml:space="preserve">9. Pri pripravi gradiva so bile upoštevane zahteve iz </w:t>
            </w:r>
            <w:r w:rsidR="00B82A07">
              <w:rPr>
                <w:rFonts w:cs="Arial"/>
                <w:b/>
                <w:szCs w:val="20"/>
                <w:lang w:eastAsia="sl-SI"/>
              </w:rPr>
              <w:br/>
            </w:r>
            <w:r w:rsidRPr="001E5470">
              <w:rPr>
                <w:rFonts w:cs="Arial"/>
                <w:b/>
                <w:szCs w:val="20"/>
                <w:lang w:eastAsia="sl-SI"/>
              </w:rPr>
              <w:t>Resolucije o normativni dejavnosti:</w:t>
            </w:r>
          </w:p>
        </w:tc>
        <w:tc>
          <w:tcPr>
            <w:tcW w:w="2494" w:type="dxa"/>
            <w:gridSpan w:val="3"/>
            <w:vAlign w:val="center"/>
          </w:tcPr>
          <w:p w:rsidR="001E5470" w:rsidRPr="001E5470" w:rsidRDefault="009F2397"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1E5470" w:rsidTr="00AE3577">
        <w:tc>
          <w:tcPr>
            <w:tcW w:w="6669" w:type="dxa"/>
            <w:gridSpan w:val="9"/>
            <w:vAlign w:val="center"/>
          </w:tcPr>
          <w:p w:rsidR="001E5470" w:rsidRPr="001E5470" w:rsidRDefault="001E5470" w:rsidP="001E5470">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94" w:type="dxa"/>
            <w:gridSpan w:val="3"/>
            <w:vAlign w:val="center"/>
          </w:tcPr>
          <w:p w:rsidR="001E5470" w:rsidRPr="001E5470" w:rsidRDefault="00E90D56" w:rsidP="001E5470">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1E5470" w:rsidRPr="001E5470" w:rsidTr="00AE3577">
        <w:tc>
          <w:tcPr>
            <w:tcW w:w="9163" w:type="dxa"/>
            <w:gridSpan w:val="12"/>
            <w:tcBorders>
              <w:top w:val="single" w:sz="4" w:space="0" w:color="000000"/>
              <w:left w:val="single" w:sz="4" w:space="0" w:color="000000"/>
              <w:bottom w:val="single" w:sz="4" w:space="0" w:color="000000"/>
              <w:right w:val="single" w:sz="4" w:space="0" w:color="000000"/>
            </w:tcBorders>
          </w:tcPr>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E90D56" w:rsidRDefault="00E90D56"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Default="00761FC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Irena Majcen</w:t>
            </w:r>
          </w:p>
          <w:p w:rsidR="00621C51" w:rsidRDefault="00621C51"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m</w:t>
            </w:r>
            <w:r w:rsidR="00761FC1">
              <w:rPr>
                <w:rFonts w:cs="Arial"/>
                <w:szCs w:val="20"/>
                <w:lang w:eastAsia="sl-SI"/>
              </w:rPr>
              <w:t>inistrica</w:t>
            </w:r>
          </w:p>
          <w:p w:rsidR="00E90D56" w:rsidRDefault="00E90D56"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p>
          <w:p w:rsidR="00B82A07" w:rsidRPr="001E5470" w:rsidRDefault="00B82A07"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p>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BE25CD" w:rsidRDefault="00BE25CD" w:rsidP="006F38D6">
      <w:pPr>
        <w:spacing w:line="240" w:lineRule="atLeast"/>
        <w:rPr>
          <w:rFonts w:cs="Arial"/>
          <w:b/>
          <w:iCs/>
          <w:szCs w:val="20"/>
        </w:rPr>
      </w:pPr>
    </w:p>
    <w:p w:rsidR="001311A3" w:rsidRPr="005279A2" w:rsidRDefault="001311A3" w:rsidP="001311A3">
      <w:pPr>
        <w:rPr>
          <w:rFonts w:cs="Arial"/>
          <w:szCs w:val="20"/>
        </w:rPr>
        <w:sectPr w:rsidR="001311A3" w:rsidRPr="005279A2" w:rsidSect="003D5B02">
          <w:headerReference w:type="default" r:id="rId10"/>
          <w:footerReference w:type="even" r:id="rId11"/>
          <w:footerReference w:type="default" r:id="rId12"/>
          <w:headerReference w:type="first" r:id="rId13"/>
          <w:pgSz w:w="11900" w:h="16840" w:code="9"/>
          <w:pgMar w:top="1701" w:right="1701" w:bottom="1134" w:left="1701" w:header="993" w:footer="794" w:gutter="0"/>
          <w:cols w:space="708"/>
          <w:titlePg/>
          <w:docGrid w:linePitch="272"/>
        </w:sectPr>
      </w:pPr>
    </w:p>
    <w:p w:rsidR="00E7152E" w:rsidRPr="00491876" w:rsidRDefault="00E7152E" w:rsidP="00E7152E">
      <w:pPr>
        <w:overflowPunct w:val="0"/>
        <w:autoSpaceDE w:val="0"/>
        <w:autoSpaceDN w:val="0"/>
        <w:adjustRightInd w:val="0"/>
        <w:spacing w:before="120" w:after="120" w:line="240" w:lineRule="auto"/>
        <w:jc w:val="right"/>
        <w:textAlignment w:val="baseline"/>
        <w:rPr>
          <w:rFonts w:cs="Arial"/>
          <w:iCs/>
          <w:szCs w:val="20"/>
          <w:lang w:eastAsia="sl-SI"/>
        </w:rPr>
      </w:pPr>
      <w:r w:rsidRPr="00491876">
        <w:rPr>
          <w:rFonts w:cs="Arial"/>
          <w:iCs/>
          <w:szCs w:val="20"/>
          <w:lang w:eastAsia="sl-SI"/>
        </w:rPr>
        <w:lastRenderedPageBreak/>
        <w:t>PREDLOG</w:t>
      </w:r>
    </w:p>
    <w:p w:rsidR="00E7152E" w:rsidRPr="00491876" w:rsidRDefault="00E7152E" w:rsidP="00E7152E">
      <w:pPr>
        <w:overflowPunct w:val="0"/>
        <w:autoSpaceDE w:val="0"/>
        <w:autoSpaceDN w:val="0"/>
        <w:adjustRightInd w:val="0"/>
        <w:spacing w:before="120" w:after="120" w:line="240" w:lineRule="auto"/>
        <w:jc w:val="right"/>
        <w:textAlignment w:val="baseline"/>
        <w:rPr>
          <w:rFonts w:cs="Arial"/>
          <w:iCs/>
          <w:szCs w:val="20"/>
          <w:lang w:eastAsia="sl-SI"/>
        </w:rPr>
      </w:pPr>
      <w:r w:rsidRPr="00491876">
        <w:rPr>
          <w:rFonts w:cs="Arial"/>
          <w:iCs/>
          <w:szCs w:val="20"/>
          <w:lang w:eastAsia="sl-SI"/>
        </w:rPr>
        <w:t>EVA 2015-2550-0024</w:t>
      </w:r>
    </w:p>
    <w:p w:rsidR="00E7152E" w:rsidRPr="00491876" w:rsidRDefault="00E7152E" w:rsidP="00E7152E">
      <w:pPr>
        <w:spacing w:before="120" w:after="120" w:line="240" w:lineRule="auto"/>
        <w:jc w:val="both"/>
        <w:rPr>
          <w:rFonts w:cs="Arial"/>
          <w:bCs/>
          <w:sz w:val="18"/>
          <w:szCs w:val="18"/>
        </w:rPr>
      </w:pPr>
      <w:r w:rsidRPr="00491876">
        <w:rPr>
          <w:rFonts w:cs="Arial"/>
          <w:bCs/>
          <w:szCs w:val="20"/>
        </w:rPr>
        <w:t xml:space="preserve">Na podlagi drugega odstavka 19. člena, petega, šestega in sedmega odstavka 20. člena ter za izvrševanje 36., 104. člena in četrtega odstavka 157. člena Zakona o varstvu okolja (Uradni list RS, št. 39/06 – uradno prečiščeno besedilo, 49/06 – ZMetD, 66/06 – </w:t>
      </w:r>
      <w:proofErr w:type="spellStart"/>
      <w:r w:rsidRPr="00491876">
        <w:rPr>
          <w:rFonts w:cs="Arial"/>
          <w:bCs/>
          <w:szCs w:val="20"/>
        </w:rPr>
        <w:t>odl</w:t>
      </w:r>
      <w:proofErr w:type="spellEnd"/>
      <w:r w:rsidRPr="00491876">
        <w:rPr>
          <w:rFonts w:cs="Arial"/>
          <w:bCs/>
          <w:szCs w:val="20"/>
        </w:rPr>
        <w:t>. US, 33/07 – ZPNačrt, 57/08 – ZFO-1A, 70/08, 108/09, 108/09 – ZPNačrt-A, 48/12, 57/12, 92/13 in 56/15) izdaja Vlada Republike Slovenije</w:t>
      </w:r>
    </w:p>
    <w:p w:rsidR="00E7152E" w:rsidRPr="00491876" w:rsidRDefault="00E7152E" w:rsidP="00E7152E">
      <w:pPr>
        <w:spacing w:before="480" w:after="240" w:line="240" w:lineRule="auto"/>
        <w:jc w:val="center"/>
        <w:rPr>
          <w:rFonts w:cs="Arial"/>
          <w:b/>
          <w:bCs/>
          <w:szCs w:val="20"/>
        </w:rPr>
      </w:pPr>
      <w:r w:rsidRPr="00491876">
        <w:rPr>
          <w:rFonts w:cs="Arial"/>
          <w:b/>
          <w:bCs/>
          <w:szCs w:val="20"/>
        </w:rPr>
        <w:t>U R E D B O</w:t>
      </w:r>
    </w:p>
    <w:p w:rsidR="00E7152E" w:rsidRPr="00491876" w:rsidRDefault="00E7152E" w:rsidP="00E7152E">
      <w:pPr>
        <w:spacing w:before="120" w:after="360" w:line="240" w:lineRule="auto"/>
        <w:jc w:val="center"/>
        <w:rPr>
          <w:rFonts w:cs="Arial"/>
          <w:b/>
          <w:bCs/>
          <w:szCs w:val="20"/>
        </w:rPr>
      </w:pPr>
      <w:r w:rsidRPr="00491876">
        <w:rPr>
          <w:rFonts w:cs="Arial"/>
          <w:b/>
          <w:bCs/>
          <w:szCs w:val="20"/>
        </w:rPr>
        <w:t xml:space="preserve">o spremembah in dopolnitvah Uredbe o ravnanju z baterijami in akumulatorji ter </w:t>
      </w:r>
      <w:r w:rsidRPr="00491876">
        <w:rPr>
          <w:rFonts w:cs="Arial"/>
          <w:b/>
          <w:bCs/>
          <w:szCs w:val="20"/>
        </w:rPr>
        <w:br/>
        <w:t>odpadnimi baterijami in akumulatorji</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D614AF" w:rsidRDefault="00D614AF" w:rsidP="00D614AF">
      <w:pPr>
        <w:spacing w:before="120" w:after="120" w:line="240" w:lineRule="auto"/>
        <w:jc w:val="both"/>
        <w:rPr>
          <w:rFonts w:cs="Arial"/>
          <w:bCs/>
          <w:szCs w:val="20"/>
        </w:rPr>
      </w:pPr>
      <w:r w:rsidRPr="00491876">
        <w:rPr>
          <w:rFonts w:cs="Arial"/>
          <w:bCs/>
          <w:szCs w:val="20"/>
        </w:rPr>
        <w:t xml:space="preserve">V Uredbi o ravnanju z baterijami in akumulatorji ter odpadnimi baterijami in akumulatorji (Uradni list RS, št. 3/10, 64/12 in 93/12) se </w:t>
      </w:r>
      <w:r>
        <w:rPr>
          <w:rFonts w:cs="Arial"/>
          <w:bCs/>
          <w:szCs w:val="20"/>
        </w:rPr>
        <w:t>v</w:t>
      </w:r>
      <w:r w:rsidRPr="002C6322">
        <w:rPr>
          <w:rFonts w:cs="Arial"/>
          <w:bCs/>
          <w:szCs w:val="20"/>
        </w:rPr>
        <w:t xml:space="preserve"> </w:t>
      </w:r>
      <w:r>
        <w:rPr>
          <w:rFonts w:cs="Arial"/>
          <w:bCs/>
          <w:szCs w:val="20"/>
        </w:rPr>
        <w:t xml:space="preserve">drugem, četrtem in petem odstavku </w:t>
      </w:r>
      <w:r w:rsidRPr="002C6322">
        <w:rPr>
          <w:rFonts w:cs="Arial"/>
          <w:bCs/>
          <w:szCs w:val="20"/>
        </w:rPr>
        <w:t>13.</w:t>
      </w:r>
      <w:r>
        <w:rPr>
          <w:rFonts w:cs="Arial"/>
          <w:bCs/>
          <w:szCs w:val="20"/>
        </w:rPr>
        <w:t xml:space="preserve"> člena</w:t>
      </w:r>
      <w:r w:rsidRPr="002C6322">
        <w:rPr>
          <w:rFonts w:cs="Arial"/>
          <w:bCs/>
          <w:szCs w:val="20"/>
        </w:rPr>
        <w:t xml:space="preserve">, </w:t>
      </w:r>
      <w:r>
        <w:rPr>
          <w:rFonts w:cs="Arial"/>
          <w:bCs/>
          <w:szCs w:val="20"/>
        </w:rPr>
        <w:t xml:space="preserve">v drugem odstavku </w:t>
      </w:r>
      <w:r w:rsidRPr="002C6322">
        <w:rPr>
          <w:rFonts w:cs="Arial"/>
          <w:bCs/>
          <w:szCs w:val="20"/>
        </w:rPr>
        <w:t>14.</w:t>
      </w:r>
      <w:r>
        <w:rPr>
          <w:rFonts w:cs="Arial"/>
          <w:bCs/>
          <w:szCs w:val="20"/>
        </w:rPr>
        <w:t xml:space="preserve"> člena</w:t>
      </w:r>
      <w:r w:rsidRPr="002C6322">
        <w:rPr>
          <w:rFonts w:cs="Arial"/>
          <w:bCs/>
          <w:szCs w:val="20"/>
        </w:rPr>
        <w:t>,</w:t>
      </w:r>
      <w:r>
        <w:rPr>
          <w:rFonts w:cs="Arial"/>
          <w:bCs/>
          <w:szCs w:val="20"/>
        </w:rPr>
        <w:t xml:space="preserve"> v drugem, četrtem in petem odstavku </w:t>
      </w:r>
      <w:r w:rsidRPr="002C6322">
        <w:rPr>
          <w:rFonts w:cs="Arial"/>
          <w:bCs/>
          <w:szCs w:val="20"/>
        </w:rPr>
        <w:t>22.</w:t>
      </w:r>
      <w:r>
        <w:rPr>
          <w:rFonts w:cs="Arial"/>
          <w:bCs/>
          <w:szCs w:val="20"/>
        </w:rPr>
        <w:t xml:space="preserve"> člena</w:t>
      </w:r>
      <w:r w:rsidRPr="002C6322">
        <w:rPr>
          <w:rFonts w:cs="Arial"/>
          <w:bCs/>
          <w:szCs w:val="20"/>
        </w:rPr>
        <w:t>,</w:t>
      </w:r>
      <w:r>
        <w:rPr>
          <w:rFonts w:cs="Arial"/>
          <w:bCs/>
          <w:szCs w:val="20"/>
        </w:rPr>
        <w:t xml:space="preserve"> v drugem odstavku</w:t>
      </w:r>
      <w:r w:rsidRPr="002C6322">
        <w:rPr>
          <w:rFonts w:cs="Arial"/>
          <w:bCs/>
          <w:szCs w:val="20"/>
        </w:rPr>
        <w:t xml:space="preserve"> 23.</w:t>
      </w:r>
      <w:r>
        <w:rPr>
          <w:rFonts w:cs="Arial"/>
          <w:bCs/>
          <w:szCs w:val="20"/>
        </w:rPr>
        <w:t xml:space="preserve"> člena</w:t>
      </w:r>
      <w:r w:rsidRPr="002C6322">
        <w:rPr>
          <w:rFonts w:cs="Arial"/>
          <w:bCs/>
          <w:szCs w:val="20"/>
        </w:rPr>
        <w:t xml:space="preserve">, </w:t>
      </w:r>
      <w:r>
        <w:rPr>
          <w:rFonts w:cs="Arial"/>
          <w:bCs/>
          <w:szCs w:val="20"/>
        </w:rPr>
        <w:t xml:space="preserve">v prvem odstavku </w:t>
      </w:r>
      <w:r w:rsidRPr="002C6322">
        <w:rPr>
          <w:rFonts w:cs="Arial"/>
          <w:bCs/>
          <w:szCs w:val="20"/>
        </w:rPr>
        <w:t>24</w:t>
      </w:r>
      <w:r>
        <w:rPr>
          <w:rFonts w:cs="Arial"/>
          <w:bCs/>
          <w:szCs w:val="20"/>
        </w:rPr>
        <w:t>. člena, v drugem, četrtem in petem odstavku 28. člena, v drugem odstavku 29. člena, v prvem odstavku 30. člena in v tretjem odstavku 40. člena</w:t>
      </w:r>
      <w:r w:rsidRPr="002C6322">
        <w:rPr>
          <w:rFonts w:cs="Arial"/>
          <w:bCs/>
          <w:szCs w:val="20"/>
        </w:rPr>
        <w:t xml:space="preserve"> </w:t>
      </w:r>
      <w:r>
        <w:rPr>
          <w:rFonts w:cs="Arial"/>
          <w:bCs/>
          <w:szCs w:val="20"/>
        </w:rPr>
        <w:t>besedilo »nosilec izvajanja skupnega načrta«, »nosilcu izvajanja skupnega načrta«, nosilca izvajanja skupnega načrta« in »nosilec izvajanja tega načrta« nadomesti z besedilom »nosilec skupnega načrta« v ustreznem sklonu.</w:t>
      </w:r>
    </w:p>
    <w:p w:rsidR="00E7152E" w:rsidRDefault="00E7152E" w:rsidP="00E7152E">
      <w:pPr>
        <w:spacing w:before="120" w:after="120" w:line="240" w:lineRule="auto"/>
        <w:jc w:val="both"/>
        <w:rPr>
          <w:rFonts w:cs="Arial"/>
          <w:bCs/>
          <w:szCs w:val="20"/>
        </w:rPr>
      </w:pPr>
    </w:p>
    <w:p w:rsidR="00E7152E" w:rsidRPr="00A11707"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A11707">
        <w:rPr>
          <w:rFonts w:ascii="Arial" w:hAnsi="Arial" w:cs="Arial"/>
          <w:b/>
          <w:bCs/>
          <w:sz w:val="20"/>
        </w:rPr>
        <w:t>člen</w:t>
      </w:r>
    </w:p>
    <w:p w:rsidR="00E7152E" w:rsidRDefault="00E7152E" w:rsidP="00E7152E">
      <w:pPr>
        <w:spacing w:before="120" w:after="120" w:line="240" w:lineRule="auto"/>
        <w:jc w:val="both"/>
        <w:rPr>
          <w:rFonts w:cs="Arial"/>
          <w:bCs/>
          <w:szCs w:val="20"/>
        </w:rPr>
      </w:pPr>
      <w:r>
        <w:rPr>
          <w:rFonts w:cs="Arial"/>
          <w:bCs/>
          <w:szCs w:val="20"/>
        </w:rPr>
        <w:t>Drugi odstavek 1. člena se spremeni tako, da se glasi:</w:t>
      </w:r>
    </w:p>
    <w:p w:rsidR="00E7152E" w:rsidRPr="00491876" w:rsidRDefault="00E7152E" w:rsidP="00E7152E">
      <w:pPr>
        <w:spacing w:before="120" w:after="120" w:line="240" w:lineRule="auto"/>
        <w:jc w:val="both"/>
        <w:rPr>
          <w:rFonts w:cs="Arial"/>
          <w:bCs/>
          <w:szCs w:val="20"/>
        </w:rPr>
      </w:pPr>
      <w:r w:rsidRPr="00491876">
        <w:rPr>
          <w:rFonts w:cs="Arial"/>
          <w:bCs/>
          <w:szCs w:val="20"/>
        </w:rPr>
        <w:t>»(2) Ta uredba vsebinsko povzema Direktivo 2006/66/ES Evropskega parlamenta in Sveta z dne 6. septembra 2006 o baterijah in akumulatorjih ter odpadnih baterijah in akumulatorjih in razveljavitvi Direktive 91/157/EGS (UL L št. 266 z dne 26. 9. 2006, str. 1), zadnjič spremenjeno z Direktivo 2013/56/EU Evropskega parlamenta in Sveta z dne 20. novembra 2013 o spremembi Direktive 2006/66/ES Evropskega parlamenta in Sveta o baterijah in akumulatorjih ter odpadnih baterijah in akumulatorjih glede dajanja na trg prenosnih baterij in akumulatorjev, ki vsebujejo kadmij, namenjenih za brezžično električno orodje, in gumbastih celic z nizko vsebnostjo živega srebra ter o razveljavitvi Odločbe Komisije 2009/603/ES (UL L št. 329 z dne 10. 12. 2013, str. 5), (v nadaljnjem besedilu: Direktiva 2006/66/ES).«.</w:t>
      </w:r>
    </w:p>
    <w:p w:rsidR="00E7152E" w:rsidRPr="00491876" w:rsidRDefault="00E7152E" w:rsidP="00E7152E">
      <w:pPr>
        <w:spacing w:before="120" w:after="120" w:line="240" w:lineRule="auto"/>
        <w:jc w:val="both"/>
        <w:rPr>
          <w:rFonts w:cs="Arial"/>
          <w:bCs/>
          <w:szCs w:val="20"/>
        </w:rPr>
      </w:pPr>
      <w:r w:rsidRPr="00491876">
        <w:rPr>
          <w:rFonts w:cs="Arial"/>
          <w:bCs/>
          <w:szCs w:val="20"/>
        </w:rPr>
        <w:t>Tretji odstavek se črta.</w:t>
      </w:r>
    </w:p>
    <w:p w:rsidR="00E7152E" w:rsidRPr="00491876" w:rsidRDefault="00E7152E" w:rsidP="00E7152E">
      <w:pPr>
        <w:spacing w:before="120" w:after="120" w:line="240" w:lineRule="auto"/>
        <w:jc w:val="both"/>
        <w:rPr>
          <w:rFonts w:cs="Arial"/>
          <w:bCs/>
          <w:szCs w:val="20"/>
        </w:rPr>
      </w:pPr>
      <w:r w:rsidRPr="00491876">
        <w:rPr>
          <w:rFonts w:cs="Arial"/>
          <w:bCs/>
          <w:szCs w:val="20"/>
        </w:rPr>
        <w:t>Dosedanji četrti odstavek postane tretji odstavek.</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V prvem odstavku 2. člena se črta beseda »motornimi«.</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V 3. členu se 13. točka spremeni tako, da se glasi:</w:t>
      </w:r>
    </w:p>
    <w:p w:rsidR="00E7152E" w:rsidRDefault="00E7152E" w:rsidP="00E7152E">
      <w:pPr>
        <w:spacing w:before="120" w:after="120" w:line="240" w:lineRule="auto"/>
        <w:jc w:val="both"/>
        <w:rPr>
          <w:rFonts w:cs="Arial"/>
          <w:bCs/>
          <w:szCs w:val="20"/>
        </w:rPr>
      </w:pPr>
      <w:r w:rsidRPr="00491876">
        <w:rPr>
          <w:rFonts w:cs="Arial"/>
          <w:bCs/>
          <w:szCs w:val="20"/>
        </w:rPr>
        <w:t xml:space="preserve">»13. </w:t>
      </w:r>
      <w:r w:rsidRPr="00491876">
        <w:rPr>
          <w:rFonts w:cs="Arial"/>
        </w:rPr>
        <w:t>izvorni proizvajalec baterij ali akumulatorjev je pravna oseba ali samostojni podjetnik posameznik, ki proizvaja baterije ali akumulatorje na ozemlju Republike Slovenije;</w:t>
      </w:r>
      <w:r w:rsidRPr="00491876">
        <w:rPr>
          <w:rFonts w:cs="Arial"/>
          <w:bCs/>
          <w:szCs w:val="20"/>
        </w:rPr>
        <w:t>«.</w:t>
      </w:r>
    </w:p>
    <w:p w:rsidR="00E7152E" w:rsidRPr="00491876" w:rsidRDefault="00E7152E" w:rsidP="00E7152E">
      <w:pPr>
        <w:spacing w:before="120" w:after="120" w:line="240" w:lineRule="auto"/>
        <w:jc w:val="both"/>
        <w:rPr>
          <w:rFonts w:cs="Arial"/>
          <w:bCs/>
          <w:szCs w:val="20"/>
        </w:rPr>
      </w:pPr>
      <w:r w:rsidRPr="00491876">
        <w:rPr>
          <w:rFonts w:cs="Arial"/>
          <w:bCs/>
          <w:szCs w:val="20"/>
        </w:rPr>
        <w:t>V 28. točki se pika nadomesti s podpičjem in dodata novi 29. in 30. točka, ki se glasita:</w:t>
      </w:r>
    </w:p>
    <w:p w:rsidR="00E7152E" w:rsidRPr="00491876" w:rsidRDefault="00E7152E" w:rsidP="00E7152E">
      <w:pPr>
        <w:spacing w:before="120" w:after="120" w:line="240" w:lineRule="auto"/>
        <w:jc w:val="both"/>
        <w:rPr>
          <w:rFonts w:cs="Arial"/>
        </w:rPr>
      </w:pPr>
      <w:r w:rsidRPr="00491876">
        <w:rPr>
          <w:rFonts w:cs="Arial"/>
          <w:bCs/>
          <w:szCs w:val="20"/>
        </w:rPr>
        <w:t xml:space="preserve">»29. izvorni </w:t>
      </w:r>
      <w:r w:rsidRPr="00491876">
        <w:rPr>
          <w:rFonts w:cs="Arial"/>
        </w:rPr>
        <w:t>proizvajalec naprav je pravna oseba ali samostojni podjetnik posameznik, ki na ozemlju Republike Slovenije proizvaja naprave, ne glede na to, ali se naprave tržijo z vgrajenimi baterijami ali akumulatorji ali brez njih;</w:t>
      </w:r>
    </w:p>
    <w:p w:rsidR="00E7152E" w:rsidRPr="00491876" w:rsidRDefault="00E7152E" w:rsidP="00E7152E">
      <w:pPr>
        <w:spacing w:before="120" w:after="120" w:line="240" w:lineRule="auto"/>
        <w:jc w:val="both"/>
        <w:rPr>
          <w:rFonts w:cs="Arial"/>
          <w:bCs/>
          <w:szCs w:val="20"/>
          <w:lang w:eastAsia="sl-SI"/>
        </w:rPr>
      </w:pPr>
      <w:r w:rsidRPr="00491876">
        <w:rPr>
          <w:rFonts w:cs="Arial"/>
        </w:rPr>
        <w:lastRenderedPageBreak/>
        <w:t>30. uvoznik naprav je pravna oseba ali samostojni podjetnik posameznik, ki na ozemlje Republike Slovenije uvaža iz tretjih držav naprave, ki se tržijo z vgrajenimi baterijami ali akumulatorji ali brez njih.</w:t>
      </w:r>
      <w:r w:rsidRPr="00491876">
        <w:rPr>
          <w:rFonts w:cs="Arial"/>
          <w:bCs/>
          <w:szCs w:val="20"/>
        </w:rPr>
        <w:t>«.</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V tretjem odstavku 4. člena se besedilo »Odločbo 2008/763/ES« nadomesti z besedilom »Odločbo Komisije z dne 29. septembra 2008 o vzpostavitvi skupne metodologije za izračun letne prodaje prenosnih baterij in akumulatorjev končnim uporabnikom v skladu z Direktivo 2006/66/ES Evropskega parlamenta in Sveta (UL L št. 262 z dne 1. 10. 2008, str. 39; Odločba 2008/763/ES).«.</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465A14" w:rsidRDefault="00465A14" w:rsidP="00465A14">
      <w:r>
        <w:t>»(1) Ne glede na določbe predpisa, ki ureja vsebnost nevarnih snovi v materialih in sestavnih delih motornih vozil, je prepovedano dajati v promet:</w:t>
      </w:r>
    </w:p>
    <w:p w:rsidR="00465A14" w:rsidRDefault="00465A14" w:rsidP="00465A14">
      <w:pPr>
        <w:ind w:left="284" w:hanging="284"/>
      </w:pPr>
      <w:r>
        <w:t>-</w:t>
      </w:r>
      <w:r>
        <w:tab/>
        <w:t>baterije ali akumulatorje, ne glede na to, ali so vgrajene v naprave ali ne, ki vsebujejo več kakor 0,0005</w:t>
      </w:r>
      <w:r>
        <w:rPr>
          <w:lang w:val="x-none"/>
        </w:rPr>
        <w:t> </w:t>
      </w:r>
      <w:r>
        <w:t>% živega srebra glede na celotno maso,</w:t>
      </w:r>
    </w:p>
    <w:p w:rsidR="00465A14" w:rsidRDefault="00465A14" w:rsidP="00465A14">
      <w:pPr>
        <w:ind w:left="284" w:hanging="284"/>
      </w:pPr>
      <w:r>
        <w:t>-</w:t>
      </w:r>
      <w:r>
        <w:tab/>
        <w:t>prenosne baterije ali akumulatorje, vključno z vgrajenimi v naprave, ki vsebujejo več kakor 0,002</w:t>
      </w:r>
      <w:r>
        <w:rPr>
          <w:lang w:val="x-none"/>
        </w:rPr>
        <w:t> </w:t>
      </w:r>
      <w:r>
        <w:t>% kadmija glede na celotno maso in</w:t>
      </w:r>
    </w:p>
    <w:p w:rsidR="00465A14" w:rsidRDefault="00465A14" w:rsidP="00465A14">
      <w:pPr>
        <w:spacing w:before="120" w:after="120" w:line="240" w:lineRule="auto"/>
        <w:ind w:left="284" w:hanging="284"/>
        <w:jc w:val="both"/>
        <w:rPr>
          <w:rFonts w:cs="Arial"/>
          <w:bCs/>
          <w:szCs w:val="20"/>
        </w:rPr>
      </w:pPr>
      <w:r>
        <w:rPr>
          <w:rFonts w:cs="Arial"/>
          <w:bCs/>
          <w:szCs w:val="20"/>
        </w:rPr>
        <w:t xml:space="preserve">- </w:t>
      </w:r>
      <w:r>
        <w:rPr>
          <w:rFonts w:cs="Arial"/>
          <w:bCs/>
          <w:szCs w:val="20"/>
        </w:rPr>
        <w:tab/>
        <w:t>gumbaste celice, ki vsebujejo največ 2</w:t>
      </w:r>
      <w:r>
        <w:rPr>
          <w:lang w:val="x-none"/>
        </w:rPr>
        <w:t> </w:t>
      </w:r>
      <w:r>
        <w:rPr>
          <w:rFonts w:cs="Arial"/>
          <w:bCs/>
          <w:szCs w:val="20"/>
        </w:rPr>
        <w:t>% živega srebra glede na celotno maso.</w:t>
      </w:r>
    </w:p>
    <w:p w:rsidR="00465A14" w:rsidRDefault="00465A14" w:rsidP="00465A14">
      <w:r>
        <w:t xml:space="preserve">(2) Prepoved iz druge </w:t>
      </w:r>
      <w:proofErr w:type="spellStart"/>
      <w:r>
        <w:t>alinee</w:t>
      </w:r>
      <w:proofErr w:type="spellEnd"/>
      <w:r>
        <w:t xml:space="preserve"> prvega odstavka tega člena se ne uporablja za prenosne baterije in akumulatorje, namenjene za:</w:t>
      </w:r>
    </w:p>
    <w:p w:rsidR="00465A14" w:rsidRDefault="00465A14" w:rsidP="00465A14">
      <w:pPr>
        <w:ind w:left="426"/>
      </w:pPr>
      <w:r>
        <w:t>1. varnostne in alarmne sisteme, vključno z zasilno razsvetljavo, in</w:t>
      </w:r>
    </w:p>
    <w:p w:rsidR="00465A14" w:rsidRDefault="00465A14" w:rsidP="00465A14">
      <w:pPr>
        <w:ind w:left="426"/>
      </w:pPr>
      <w:r>
        <w:t>2. medicinsko opremo.</w:t>
      </w:r>
    </w:p>
    <w:p w:rsidR="00465A14" w:rsidRDefault="00465A14" w:rsidP="00465A14">
      <w:r>
        <w:t>(3) Proizvajalec na zahtevo pristojnega inšpektorja omogoči vpogled v dokumentacijo o izpolnjevanju zahtev iz prvega in drugega odstavka tega člena za baterije in akumulatorje, ki jih daje prvič v promet na ozemlju Republike Slovenije.</w:t>
      </w:r>
    </w:p>
    <w:p w:rsidR="00465A14" w:rsidRPr="00491876" w:rsidRDefault="00465A14" w:rsidP="00E7152E">
      <w:pPr>
        <w:spacing w:before="120" w:after="120" w:line="240" w:lineRule="auto"/>
        <w:jc w:val="both"/>
        <w:rPr>
          <w:rFonts w:cs="Arial"/>
          <w:bCs/>
          <w:szCs w:val="20"/>
        </w:rPr>
      </w:pPr>
      <w:r>
        <w:rPr>
          <w:rFonts w:cs="Arial"/>
          <w:bCs/>
          <w:szCs w:val="20"/>
        </w:rPr>
        <w:t xml:space="preserve">(4) </w:t>
      </w:r>
      <w:r w:rsidRPr="00D467E6">
        <w:rPr>
          <w:rFonts w:cs="Arial"/>
          <w:bCs/>
          <w:szCs w:val="20"/>
        </w:rPr>
        <w:t>Za uvožene baterije in akumulatorje njihov proizvajalec pridobi dokumentacijo iz prejšnjega odstavka od izvornega proizvajalca baterij ali akumulatorjev iz države uvoza in jo posreduje pristojnemu i</w:t>
      </w:r>
      <w:r>
        <w:rPr>
          <w:rFonts w:cs="Arial"/>
          <w:bCs/>
          <w:szCs w:val="20"/>
        </w:rPr>
        <w:t>nšpektorju na njegovo zahtevo.«</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7. člen se spremeni tako, da se glasi:</w:t>
      </w:r>
    </w:p>
    <w:p w:rsidR="00E7152E" w:rsidRPr="00491876" w:rsidRDefault="00E7152E" w:rsidP="00E7152E">
      <w:pPr>
        <w:pStyle w:val="len"/>
        <w:spacing w:before="120" w:after="120"/>
        <w:rPr>
          <w:rFonts w:cs="Arial"/>
          <w:b w:val="0"/>
          <w:bCs/>
          <w:sz w:val="20"/>
          <w:szCs w:val="20"/>
        </w:rPr>
      </w:pPr>
      <w:r w:rsidRPr="00491876">
        <w:rPr>
          <w:rFonts w:cs="Arial"/>
          <w:b w:val="0"/>
          <w:bCs/>
          <w:sz w:val="20"/>
          <w:szCs w:val="20"/>
          <w:lang w:val="sl-SI"/>
        </w:rPr>
        <w:t>»7. člen</w:t>
      </w:r>
    </w:p>
    <w:p w:rsidR="00E7152E" w:rsidRPr="00491876" w:rsidRDefault="00E7152E" w:rsidP="00E7152E">
      <w:pPr>
        <w:pStyle w:val="lennaslov"/>
        <w:spacing w:before="120" w:after="120"/>
        <w:rPr>
          <w:rFonts w:cs="Arial"/>
          <w:b w:val="0"/>
          <w:bCs/>
          <w:sz w:val="20"/>
          <w:szCs w:val="20"/>
        </w:rPr>
      </w:pPr>
      <w:r w:rsidRPr="00491876">
        <w:rPr>
          <w:rFonts w:cs="Arial"/>
          <w:b w:val="0"/>
          <w:bCs/>
          <w:sz w:val="20"/>
          <w:szCs w:val="20"/>
          <w:lang w:val="sl-SI"/>
        </w:rPr>
        <w:t>(zahteve za naprave)</w:t>
      </w:r>
    </w:p>
    <w:p w:rsidR="00E7152E" w:rsidRPr="00491876" w:rsidRDefault="00E7152E" w:rsidP="00E7152E">
      <w:pPr>
        <w:pStyle w:val="Odstavek"/>
        <w:spacing w:before="120" w:after="120"/>
        <w:ind w:firstLine="0"/>
        <w:rPr>
          <w:rFonts w:cs="Arial"/>
          <w:bCs/>
          <w:sz w:val="20"/>
          <w:szCs w:val="20"/>
        </w:rPr>
      </w:pPr>
      <w:r w:rsidRPr="00491876">
        <w:rPr>
          <w:rFonts w:cs="Arial"/>
          <w:bCs/>
          <w:sz w:val="20"/>
          <w:szCs w:val="20"/>
          <w:lang w:eastAsia="en-US"/>
        </w:rPr>
        <w:t xml:space="preserve">(1) Izvorni proizvajalec naprav mora načrtovati naprave tako, da lahko odpadne baterije ali akumulatorje iz naprave brez težav odstrani končni uporabnik ali za to usposobljena oseba, ki je neodvisna od </w:t>
      </w:r>
      <w:r w:rsidRPr="00491876">
        <w:rPr>
          <w:rFonts w:cs="Arial"/>
          <w:bCs/>
          <w:sz w:val="20"/>
          <w:szCs w:val="20"/>
          <w:lang w:val="sl-SI" w:eastAsia="en-US"/>
        </w:rPr>
        <w:t xml:space="preserve">izvornega </w:t>
      </w:r>
      <w:r w:rsidRPr="00491876">
        <w:rPr>
          <w:rFonts w:cs="Arial"/>
          <w:bCs/>
          <w:sz w:val="20"/>
          <w:szCs w:val="20"/>
          <w:lang w:eastAsia="en-US"/>
        </w:rPr>
        <w:t>proizvajalca</w:t>
      </w:r>
      <w:r w:rsidRPr="00491876">
        <w:rPr>
          <w:rFonts w:cs="Arial"/>
          <w:bCs/>
          <w:sz w:val="20"/>
          <w:szCs w:val="20"/>
          <w:lang w:val="sl-SI" w:eastAsia="en-US"/>
        </w:rPr>
        <w:t xml:space="preserve"> naprav</w:t>
      </w:r>
      <w:r w:rsidRPr="00491876">
        <w:rPr>
          <w:rFonts w:cs="Arial"/>
          <w:bCs/>
          <w:sz w:val="20"/>
          <w:szCs w:val="20"/>
          <w:lang w:eastAsia="en-US"/>
        </w:rPr>
        <w:t xml:space="preserve">. </w:t>
      </w:r>
    </w:p>
    <w:p w:rsidR="00E7152E" w:rsidRPr="00491876" w:rsidRDefault="00E7152E" w:rsidP="00E7152E">
      <w:pPr>
        <w:pStyle w:val="Odstavek"/>
        <w:spacing w:before="120" w:after="120"/>
        <w:ind w:firstLine="0"/>
        <w:rPr>
          <w:rFonts w:cs="Arial"/>
          <w:bCs/>
          <w:sz w:val="20"/>
          <w:szCs w:val="20"/>
        </w:rPr>
      </w:pPr>
      <w:r w:rsidRPr="00491876">
        <w:rPr>
          <w:rFonts w:cs="Arial"/>
          <w:bCs/>
          <w:sz w:val="20"/>
          <w:szCs w:val="20"/>
          <w:lang w:eastAsia="en-US"/>
        </w:rPr>
        <w:t>(2) Izvorni proizvajalec naprav mora naprave opremiti z navodili, ki vsebujejo:</w:t>
      </w:r>
    </w:p>
    <w:p w:rsidR="00E7152E" w:rsidRPr="00491876" w:rsidRDefault="00E7152E" w:rsidP="00E7152E">
      <w:pPr>
        <w:pStyle w:val="Odstavek"/>
        <w:numPr>
          <w:ilvl w:val="0"/>
          <w:numId w:val="23"/>
        </w:numPr>
        <w:spacing w:before="120" w:after="120"/>
        <w:ind w:left="425" w:hanging="425"/>
        <w:rPr>
          <w:rFonts w:cs="Arial"/>
          <w:bCs/>
          <w:sz w:val="20"/>
          <w:szCs w:val="20"/>
        </w:rPr>
      </w:pPr>
      <w:r w:rsidRPr="00491876">
        <w:rPr>
          <w:rFonts w:cs="Arial"/>
          <w:bCs/>
          <w:sz w:val="20"/>
          <w:szCs w:val="20"/>
          <w:lang w:eastAsia="en-US"/>
        </w:rPr>
        <w:t>navedbo, kdo lahko iz naprave odstrani odpadne baterije in akumulatorje (končni uporabnik ali usposobljena oseba iz prejšnjega odstavka),</w:t>
      </w:r>
    </w:p>
    <w:p w:rsidR="00E7152E" w:rsidRPr="00491876" w:rsidRDefault="00E7152E" w:rsidP="00E7152E">
      <w:pPr>
        <w:pStyle w:val="Odstavek"/>
        <w:numPr>
          <w:ilvl w:val="0"/>
          <w:numId w:val="23"/>
        </w:numPr>
        <w:spacing w:before="120" w:after="120"/>
        <w:ind w:left="425" w:hanging="425"/>
        <w:rPr>
          <w:rFonts w:cs="Arial"/>
          <w:bCs/>
          <w:sz w:val="20"/>
          <w:szCs w:val="20"/>
        </w:rPr>
      </w:pPr>
      <w:r w:rsidRPr="00491876">
        <w:rPr>
          <w:rFonts w:cs="Arial"/>
          <w:bCs/>
          <w:sz w:val="20"/>
          <w:szCs w:val="20"/>
          <w:lang w:eastAsia="en-US"/>
        </w:rPr>
        <w:t>prikaz postopka varnega odstranjevanja baterij in akumulatorjev iz naprave ter</w:t>
      </w:r>
    </w:p>
    <w:p w:rsidR="00E7152E" w:rsidRPr="00491876" w:rsidRDefault="00E7152E" w:rsidP="00E7152E">
      <w:pPr>
        <w:pStyle w:val="Odstavek"/>
        <w:numPr>
          <w:ilvl w:val="0"/>
          <w:numId w:val="23"/>
        </w:numPr>
        <w:spacing w:before="120" w:after="120"/>
        <w:ind w:left="425" w:hanging="425"/>
        <w:rPr>
          <w:rFonts w:cs="Arial"/>
          <w:bCs/>
          <w:sz w:val="20"/>
          <w:szCs w:val="20"/>
        </w:rPr>
      </w:pPr>
      <w:r w:rsidRPr="00491876">
        <w:rPr>
          <w:rFonts w:cs="Arial"/>
          <w:bCs/>
          <w:sz w:val="20"/>
          <w:szCs w:val="20"/>
          <w:lang w:eastAsia="en-US"/>
        </w:rPr>
        <w:t>navedbo vrste baterij ali akumulatorjev, vgrajenih v napravo, kadar se naprava trži z vgrajenimi baterijami ali akumulatorji ali pa so baterije ali akumulatorji napravi priloženi in lahko odpadne baterije ali akumulatorje iz naprave odstrani končni uporabnik sam.</w:t>
      </w:r>
    </w:p>
    <w:p w:rsidR="00E7152E" w:rsidRPr="00491876" w:rsidRDefault="00E7152E" w:rsidP="00E7152E">
      <w:pPr>
        <w:pStyle w:val="Odstavek"/>
        <w:spacing w:before="80"/>
        <w:ind w:firstLine="0"/>
        <w:rPr>
          <w:rFonts w:cs="Arial"/>
          <w:bCs/>
          <w:sz w:val="20"/>
          <w:szCs w:val="20"/>
        </w:rPr>
      </w:pPr>
      <w:r w:rsidRPr="00491876">
        <w:rPr>
          <w:rFonts w:cs="Arial"/>
          <w:bCs/>
          <w:sz w:val="20"/>
          <w:szCs w:val="20"/>
          <w:lang w:eastAsia="en-US"/>
        </w:rPr>
        <w:t>(3) Uvoznik naprav zagotovi, da so izpolnjene zahteve iz prvega in drugega odstavka tega člena za naprave, ki jih uvozi.</w:t>
      </w:r>
    </w:p>
    <w:p w:rsidR="00E7152E" w:rsidRPr="0045608A" w:rsidRDefault="00E7152E" w:rsidP="00E7152E">
      <w:pPr>
        <w:pStyle w:val="Odstavek"/>
        <w:spacing w:before="120" w:after="120"/>
        <w:ind w:firstLine="0"/>
        <w:rPr>
          <w:rFonts w:cs="Arial"/>
          <w:bCs/>
          <w:sz w:val="20"/>
          <w:szCs w:val="20"/>
          <w:lang w:val="sl-SI"/>
        </w:rPr>
      </w:pPr>
      <w:r w:rsidRPr="00491876">
        <w:rPr>
          <w:rFonts w:cs="Arial"/>
          <w:bCs/>
          <w:sz w:val="20"/>
          <w:szCs w:val="20"/>
          <w:lang w:eastAsia="en-US"/>
        </w:rPr>
        <w:t>(4) Določbi prvega in drugega odstavka tega člena se ne uporabljata, kadar je treba zaradi varnostnih razlogov, zaradi delovanja ali iz razlogov medicinske ali podatkovne celovitosti stalno dovajati energijo, ki zahteva neprekinjeno povezavo med napravo in baterijo ali akumulatorjem.</w:t>
      </w:r>
      <w:r>
        <w:rPr>
          <w:rFonts w:cs="Arial"/>
          <w:bCs/>
          <w:sz w:val="20"/>
          <w:szCs w:val="20"/>
          <w:lang w:val="sl-SI" w:eastAsia="en-US"/>
        </w:rPr>
        <w:t>«.</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lastRenderedPageBreak/>
        <w:t>člen</w:t>
      </w:r>
    </w:p>
    <w:p w:rsidR="00E7152E" w:rsidRPr="00491876" w:rsidRDefault="00E7152E" w:rsidP="00E7152E">
      <w:pPr>
        <w:spacing w:before="120" w:after="120" w:line="240" w:lineRule="auto"/>
        <w:jc w:val="both"/>
        <w:rPr>
          <w:rFonts w:cs="Arial"/>
          <w:bCs/>
          <w:szCs w:val="20"/>
        </w:rPr>
      </w:pPr>
      <w:r w:rsidRPr="00491876">
        <w:rPr>
          <w:rFonts w:cs="Arial"/>
          <w:bCs/>
          <w:szCs w:val="20"/>
        </w:rPr>
        <w:t>Prvi odstavek 9. člena se črta.</w:t>
      </w:r>
    </w:p>
    <w:p w:rsidR="00E7152E" w:rsidRPr="00491876" w:rsidRDefault="00E7152E" w:rsidP="00E7152E">
      <w:pPr>
        <w:spacing w:before="120" w:after="120" w:line="240" w:lineRule="auto"/>
        <w:jc w:val="both"/>
        <w:rPr>
          <w:rFonts w:cs="Arial"/>
          <w:bCs/>
          <w:szCs w:val="20"/>
        </w:rPr>
      </w:pPr>
      <w:r w:rsidRPr="00491876">
        <w:rPr>
          <w:rFonts w:cs="Arial"/>
          <w:bCs/>
          <w:szCs w:val="20"/>
        </w:rPr>
        <w:t>Dosedanji drugi, tretji in četrti odstavek postanejo prvi, drugi in tretji odstavek.</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V četrtem odstavku 10. člena se beseda »tretjega« nadomesti z besedo »drugega«.</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V petem odstavku 26. člena se črtata beseda »motorna« in beseda »motornimi«.</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 xml:space="preserve"> člen</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V petem odstavku 28. člena se v prvi </w:t>
      </w:r>
      <w:proofErr w:type="spellStart"/>
      <w:r w:rsidRPr="00491876">
        <w:rPr>
          <w:rFonts w:cs="Arial"/>
          <w:bCs/>
          <w:szCs w:val="20"/>
        </w:rPr>
        <w:t>alinei</w:t>
      </w:r>
      <w:proofErr w:type="spellEnd"/>
      <w:r w:rsidRPr="00491876">
        <w:rPr>
          <w:rFonts w:cs="Arial"/>
          <w:bCs/>
          <w:szCs w:val="20"/>
        </w:rPr>
        <w:t xml:space="preserve"> za besedo beseda »industrijske« nadomesti z besedo »avtomobilske«.</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V tretjem odstavku 29. člena se beseda »industrijskimi« nadomesti z besedo »avtomobilskimi«.</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 xml:space="preserve"> člen</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V drugem odstavku 31. člena se črtata beseda »motornih« in beseda »motornimi«. </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 xml:space="preserve"> člen</w:t>
      </w:r>
    </w:p>
    <w:p w:rsidR="00E7152E" w:rsidRPr="00491876" w:rsidRDefault="00E7152E" w:rsidP="00E7152E">
      <w:pPr>
        <w:spacing w:before="120" w:after="120" w:line="240" w:lineRule="auto"/>
        <w:jc w:val="both"/>
        <w:rPr>
          <w:rFonts w:cs="Arial"/>
          <w:bCs/>
          <w:szCs w:val="20"/>
        </w:rPr>
      </w:pPr>
      <w:r w:rsidRPr="00491876">
        <w:rPr>
          <w:rFonts w:cs="Arial"/>
          <w:bCs/>
          <w:szCs w:val="20"/>
        </w:rPr>
        <w:t>33. člen se spremeni tako, da se glasi:</w:t>
      </w:r>
    </w:p>
    <w:p w:rsidR="00E7152E" w:rsidRPr="00491876" w:rsidRDefault="00E7152E" w:rsidP="00E7152E">
      <w:pPr>
        <w:spacing w:before="120" w:after="120" w:line="240" w:lineRule="auto"/>
        <w:jc w:val="center"/>
        <w:rPr>
          <w:rFonts w:cs="Arial"/>
          <w:bCs/>
          <w:szCs w:val="20"/>
        </w:rPr>
      </w:pPr>
      <w:r w:rsidRPr="00491876">
        <w:rPr>
          <w:rFonts w:cs="Arial"/>
          <w:bCs/>
          <w:szCs w:val="20"/>
        </w:rPr>
        <w:t>»33. člen</w:t>
      </w:r>
    </w:p>
    <w:p w:rsidR="00E7152E" w:rsidRPr="00491876" w:rsidRDefault="00E7152E" w:rsidP="00E7152E">
      <w:pPr>
        <w:spacing w:before="120" w:after="120" w:line="240" w:lineRule="auto"/>
        <w:jc w:val="center"/>
        <w:rPr>
          <w:rFonts w:cs="Arial"/>
          <w:bCs/>
          <w:szCs w:val="20"/>
        </w:rPr>
      </w:pPr>
      <w:r w:rsidRPr="00491876">
        <w:rPr>
          <w:rFonts w:cs="Arial"/>
          <w:bCs/>
          <w:szCs w:val="20"/>
        </w:rPr>
        <w:t>(označevanje baterij in akumulatorjev)</w:t>
      </w:r>
    </w:p>
    <w:p w:rsidR="00E7152E" w:rsidRPr="00491876" w:rsidRDefault="00E7152E" w:rsidP="00E7152E">
      <w:pPr>
        <w:spacing w:before="120" w:after="120" w:line="240" w:lineRule="auto"/>
        <w:jc w:val="both"/>
        <w:rPr>
          <w:rFonts w:cs="Arial"/>
          <w:bCs/>
          <w:szCs w:val="20"/>
        </w:rPr>
      </w:pPr>
      <w:r w:rsidRPr="00491876">
        <w:rPr>
          <w:rFonts w:cs="Arial"/>
          <w:bCs/>
          <w:szCs w:val="20"/>
        </w:rPr>
        <w:t>(1) Izvorni proizvajalec baterij ali akumulatorjev zagotovi, da so vse baterije, akumulatorji in baterijski sklopi označeni z znakom iz Priloge 2 te uredbe.</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(2) Izvorni proizvajalec prenosnih in avtomobilskih baterij ali akumulatorjev zagotovi, da je na prenosnih in avtomobilskih baterijah in akumulatorjih navedena zmogljivost v vidni, čitljivi in neizbrisni obliki. </w:t>
      </w:r>
    </w:p>
    <w:p w:rsidR="00E7152E" w:rsidRPr="00491876" w:rsidRDefault="00E7152E" w:rsidP="00E7152E">
      <w:pPr>
        <w:spacing w:before="120" w:after="120" w:line="240" w:lineRule="auto"/>
        <w:jc w:val="both"/>
        <w:rPr>
          <w:rFonts w:cs="Arial"/>
          <w:bCs/>
          <w:szCs w:val="20"/>
        </w:rPr>
      </w:pPr>
      <w:r w:rsidRPr="00491876">
        <w:rPr>
          <w:rFonts w:cs="Arial"/>
          <w:bCs/>
          <w:szCs w:val="20"/>
        </w:rPr>
        <w:t>(3) Izvorni proizvajalec prenosnih sekundarnih ali avtomobilskih baterij in akumulatorjev mora določiti njihovo zmogljivost in jo navesti na teh baterijah in akumulatorjih v skladu z Uredbo Komisije (EU) št. 1103/2010 z dne 29. novembra 2010 o določitvi, na podlagi Direktive 2006/66/ES Evropskega parlamenta in Sveta, pravil glede označevanja zmogljivosti prenosnih sekundarnih (možna ponovna polnitev) ter avtomobilskih baterij in akumulatorjev (UL L št. 313 z dne 30. 11. 2010, str. 3).</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(4) Izvorni proizvajalec baterij ali akumulatorjev zagotovi, da so baterije, akumulatorji in gumbaste celice, če vsebujejo več kakor 0,0005 % živega srebra, več kakor 0,002 % kadmija ali več kakor 0,004 % svinca, označene s kemijskim simbolom za ustrezno kovino, in sicer </w:t>
      </w:r>
      <w:proofErr w:type="spellStart"/>
      <w:r w:rsidRPr="00491876">
        <w:rPr>
          <w:rFonts w:cs="Arial"/>
          <w:bCs/>
          <w:szCs w:val="20"/>
        </w:rPr>
        <w:t>Hg</w:t>
      </w:r>
      <w:proofErr w:type="spellEnd"/>
      <w:r w:rsidRPr="00491876">
        <w:rPr>
          <w:rFonts w:cs="Arial"/>
          <w:bCs/>
          <w:szCs w:val="20"/>
        </w:rPr>
        <w:t xml:space="preserve">, </w:t>
      </w:r>
      <w:proofErr w:type="spellStart"/>
      <w:r w:rsidRPr="00491876">
        <w:rPr>
          <w:rFonts w:cs="Arial"/>
          <w:bCs/>
          <w:szCs w:val="20"/>
        </w:rPr>
        <w:t>Cd</w:t>
      </w:r>
      <w:proofErr w:type="spellEnd"/>
      <w:r w:rsidRPr="00491876">
        <w:rPr>
          <w:rFonts w:cs="Arial"/>
          <w:bCs/>
          <w:szCs w:val="20"/>
        </w:rPr>
        <w:t xml:space="preserve"> ali </w:t>
      </w:r>
      <w:proofErr w:type="spellStart"/>
      <w:r w:rsidRPr="00491876">
        <w:rPr>
          <w:rFonts w:cs="Arial"/>
          <w:bCs/>
          <w:szCs w:val="20"/>
        </w:rPr>
        <w:t>Pb</w:t>
      </w:r>
      <w:proofErr w:type="spellEnd"/>
      <w:r w:rsidRPr="00491876">
        <w:rPr>
          <w:rFonts w:cs="Arial"/>
          <w:bCs/>
          <w:szCs w:val="20"/>
        </w:rPr>
        <w:t>. Simbol, ki označuje vsebnost težke kovine, mora biti natisnjen pod znakom iz Priloge 2 te uredbe na površini, ki je enaka vsaj eni četrtini površine tega znaka.</w:t>
      </w:r>
    </w:p>
    <w:p w:rsidR="00E7152E" w:rsidRPr="00491876" w:rsidRDefault="00E7152E" w:rsidP="00E7152E">
      <w:pPr>
        <w:spacing w:before="120" w:after="120" w:line="240" w:lineRule="auto"/>
        <w:jc w:val="both"/>
        <w:rPr>
          <w:rFonts w:cs="Arial"/>
          <w:bCs/>
          <w:szCs w:val="20"/>
        </w:rPr>
      </w:pPr>
      <w:r w:rsidRPr="00491876">
        <w:rPr>
          <w:rFonts w:cs="Arial"/>
          <w:bCs/>
          <w:szCs w:val="20"/>
        </w:rPr>
        <w:t>(5) Izvorni proizvajalec baterij ali akumulatorjev zagotovi, da znak iz Priloge 2 te uredbe pokriva najmanj 3 % površine največje ploskve baterije, akumulatorja ali baterijskega sklopa in ne presega velikosti 5 × 5 cm. Pri valjastih celicah proizvajalci zagotovijo, da pokriva znak iz Priloge 2 te uredbe najmanj 1,5 % površine telesa baterije ali akumulatorja, ne sme pa presegati velikosti 5 × 5 cm.</w:t>
      </w:r>
    </w:p>
    <w:p w:rsidR="00E7152E" w:rsidRPr="00491876" w:rsidRDefault="00E7152E" w:rsidP="00E7152E">
      <w:pPr>
        <w:spacing w:before="120" w:after="120" w:line="240" w:lineRule="auto"/>
        <w:jc w:val="both"/>
        <w:rPr>
          <w:rFonts w:cs="Arial"/>
          <w:bCs/>
          <w:szCs w:val="20"/>
        </w:rPr>
      </w:pPr>
      <w:r w:rsidRPr="00491876">
        <w:rPr>
          <w:rFonts w:cs="Arial"/>
          <w:bCs/>
          <w:szCs w:val="20"/>
        </w:rPr>
        <w:t>(6) Če je zaradi velikosti baterije, akumulatorja ali baterijskega sklopa površina znaka manjša od 0,5 × 0,5 cm, izvorni proizvajalec baterij ali akumulatorjev namesto označevanja baterij, akumulatorjev ali baterijskih sklopov zagotovi označevanje z znakom s površino najmanj 1 × 1 cm, ki je natisnjen na embalaži.</w:t>
      </w:r>
    </w:p>
    <w:p w:rsidR="00E7152E" w:rsidRPr="00491876" w:rsidRDefault="00E7152E" w:rsidP="00E7152E">
      <w:pPr>
        <w:spacing w:before="120" w:after="120" w:line="240" w:lineRule="auto"/>
        <w:jc w:val="both"/>
        <w:rPr>
          <w:rFonts w:cs="Arial"/>
          <w:bCs/>
          <w:szCs w:val="20"/>
        </w:rPr>
      </w:pPr>
      <w:r w:rsidRPr="00491876">
        <w:rPr>
          <w:rFonts w:cs="Arial"/>
          <w:bCs/>
          <w:szCs w:val="20"/>
        </w:rPr>
        <w:lastRenderedPageBreak/>
        <w:t>(7) Izvorni proizvajalec baterij ali akumulatorjev zagotovi, da so baterije, akumulatorji, gumbaste celice in baterijski sklopi označeni s čitljivo oznako, natisnjeno na vidnem mestu tako, da je ni mogoče izbrisati.</w:t>
      </w:r>
    </w:p>
    <w:p w:rsidR="00E7152E" w:rsidRPr="00491876" w:rsidRDefault="00E7152E" w:rsidP="00E7152E">
      <w:pPr>
        <w:spacing w:before="120" w:after="120" w:line="240" w:lineRule="auto"/>
        <w:jc w:val="both"/>
        <w:rPr>
          <w:rFonts w:cs="Arial"/>
          <w:bCs/>
          <w:szCs w:val="20"/>
        </w:rPr>
      </w:pPr>
      <w:r w:rsidRPr="00491876">
        <w:rPr>
          <w:rFonts w:cs="Arial"/>
          <w:bCs/>
          <w:szCs w:val="20"/>
        </w:rPr>
        <w:t>(8) Izpolnjevanje določb prvega do sedmega odstavka tega člena za uvožene baterije in akumulatorje zagotavlja njihov proizvajalec.</w:t>
      </w:r>
    </w:p>
    <w:p w:rsidR="00E7152E" w:rsidRPr="00491876" w:rsidRDefault="00E7152E" w:rsidP="00E7152E">
      <w:pPr>
        <w:spacing w:before="120" w:after="120" w:line="240" w:lineRule="auto"/>
        <w:jc w:val="both"/>
        <w:rPr>
          <w:rFonts w:cs="Arial"/>
          <w:bCs/>
          <w:szCs w:val="20"/>
        </w:rPr>
      </w:pPr>
      <w:r w:rsidRPr="00491876">
        <w:rPr>
          <w:rFonts w:cs="Arial"/>
          <w:bCs/>
          <w:szCs w:val="20"/>
        </w:rPr>
        <w:t>(9) Proizvajalci prenosnih baterij in akumulatorjev, distributerji iz 10. člena te uredbe in nosilci skupnega načrta iz drugega odstavka 13. člena te uredbe ne smejo ob prodaji prenosnih baterij in akumulatorjev končnemu uporabniku prikazovati stroškov zbiranja, obdelave in recikliranja ločeno od prodajne cene prenosnih baterij in akumulatorjev.«.</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 xml:space="preserve"> člen</w:t>
      </w:r>
    </w:p>
    <w:p w:rsidR="00E7152E" w:rsidRPr="00491876" w:rsidRDefault="00E7152E" w:rsidP="00E7152E">
      <w:pPr>
        <w:spacing w:before="120" w:after="120" w:line="240" w:lineRule="auto"/>
        <w:jc w:val="both"/>
        <w:rPr>
          <w:rFonts w:cs="Arial"/>
          <w:bCs/>
          <w:szCs w:val="20"/>
        </w:rPr>
      </w:pPr>
      <w:r w:rsidRPr="00491876">
        <w:rPr>
          <w:rFonts w:cs="Arial"/>
          <w:bCs/>
          <w:szCs w:val="20"/>
        </w:rPr>
        <w:t>V drugem odstavku 35. člena se v 2. točki črtata beseda »motornih« in beseda »motornimi«.</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Za petim odstavkom se doda nov šesti odstavek, ki se glasi: </w:t>
      </w:r>
    </w:p>
    <w:p w:rsidR="00E7152E" w:rsidRPr="00491876" w:rsidRDefault="00E7152E" w:rsidP="00E7152E">
      <w:pPr>
        <w:spacing w:before="120" w:after="120" w:line="240" w:lineRule="auto"/>
        <w:jc w:val="both"/>
        <w:rPr>
          <w:rFonts w:cs="Arial"/>
          <w:bCs/>
          <w:szCs w:val="20"/>
        </w:rPr>
      </w:pPr>
      <w:r w:rsidRPr="00491876">
        <w:rPr>
          <w:rFonts w:cs="Arial"/>
          <w:bCs/>
          <w:szCs w:val="20"/>
        </w:rPr>
        <w:t>»(6) Izvajalec obdelave izračuna učinkovitost recikliranja postopka recikliranja odpadnih baterij in akumulatorjev ter stopnjo recikliranega vsebovanega svinca in kadmija in o tem vsako leto poroča ministrstvu v skladu z Uredbo Komisije (EU) št. 493/2012 z dne 11. junija 2012 o določitvi podrobnih pravil za izračun učinkovitosti recikliranja postopkov recikliranja odpadnih baterij in akumulatorjev v skladu z Direktivo 2006/66/ES Evropskega parlamenta in Sveta (UL L št. 151 z dne 12. 6. 2012, str. 9).«.</w:t>
      </w:r>
    </w:p>
    <w:p w:rsidR="00E7152E" w:rsidRPr="00491876" w:rsidRDefault="00E7152E" w:rsidP="00E7152E">
      <w:pPr>
        <w:spacing w:before="120" w:after="120" w:line="240" w:lineRule="auto"/>
        <w:jc w:val="both"/>
        <w:rPr>
          <w:rFonts w:cs="Arial"/>
          <w:bCs/>
          <w:szCs w:val="20"/>
        </w:rPr>
      </w:pPr>
      <w:r w:rsidRPr="00491876">
        <w:rPr>
          <w:rFonts w:cs="Arial"/>
          <w:bCs/>
          <w:szCs w:val="20"/>
        </w:rPr>
        <w:t>V dosedanjem šestem odstavku, ki postane sedmi odstavek, se besedilo »prejšnjega odstavka« nadomesti z besedilom »petega odstavka tega člena«.</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Pr>
          <w:rFonts w:ascii="Arial" w:hAnsi="Arial" w:cs="Arial"/>
          <w:b/>
          <w:bCs/>
          <w:sz w:val="20"/>
        </w:rPr>
        <w:t xml:space="preserve"> </w:t>
      </w: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V prvem odstavku 37. člena se prva </w:t>
      </w:r>
      <w:proofErr w:type="spellStart"/>
      <w:r w:rsidRPr="00491876">
        <w:rPr>
          <w:rFonts w:cs="Arial"/>
          <w:bCs/>
          <w:szCs w:val="20"/>
        </w:rPr>
        <w:t>alinea</w:t>
      </w:r>
      <w:proofErr w:type="spellEnd"/>
      <w:r w:rsidRPr="00491876">
        <w:rPr>
          <w:rFonts w:cs="Arial"/>
          <w:bCs/>
          <w:szCs w:val="20"/>
        </w:rPr>
        <w:t xml:space="preserve"> spremeni tako, da se glasi:</w:t>
      </w:r>
    </w:p>
    <w:p w:rsidR="00E7152E" w:rsidRPr="00491876" w:rsidRDefault="00E7152E" w:rsidP="00E7152E">
      <w:pPr>
        <w:spacing w:before="120" w:after="120" w:line="240" w:lineRule="auto"/>
        <w:jc w:val="both"/>
        <w:rPr>
          <w:rFonts w:cs="Arial"/>
          <w:bCs/>
          <w:szCs w:val="20"/>
        </w:rPr>
      </w:pPr>
      <w:r w:rsidRPr="00491876">
        <w:rPr>
          <w:rFonts w:cs="Arial"/>
          <w:bCs/>
          <w:szCs w:val="20"/>
        </w:rPr>
        <w:t>»– Uredbo (ES) št. 1013/2006 Evropskega parlamenta in Sveta z dne 14. junija 2006 o pošiljkah odpadkov (UL L št. 190 z dne 12. 7. 2006, str. 1), zadnjič spremenjeno z</w:t>
      </w:r>
      <w:r w:rsidRPr="00491876">
        <w:rPr>
          <w:rFonts w:cs="Arial"/>
        </w:rPr>
        <w:t xml:space="preserve"> </w:t>
      </w:r>
      <w:r w:rsidRPr="00491876">
        <w:rPr>
          <w:rFonts w:cs="Arial"/>
          <w:bCs/>
          <w:szCs w:val="20"/>
        </w:rPr>
        <w:t xml:space="preserve">Uredbo Komisije (EU) št. </w:t>
      </w:r>
      <w:r w:rsidRPr="00431EA1">
        <w:rPr>
          <w:rFonts w:cs="Arial"/>
          <w:bCs/>
          <w:szCs w:val="20"/>
        </w:rPr>
        <w:t>2015/2002</w:t>
      </w:r>
      <w:r>
        <w:rPr>
          <w:rFonts w:cs="Arial"/>
          <w:bCs/>
          <w:szCs w:val="20"/>
        </w:rPr>
        <w:t xml:space="preserve"> </w:t>
      </w:r>
      <w:r w:rsidRPr="00491876">
        <w:rPr>
          <w:rFonts w:cs="Arial"/>
          <w:bCs/>
          <w:szCs w:val="20"/>
        </w:rPr>
        <w:t xml:space="preserve">z dne </w:t>
      </w:r>
      <w:r w:rsidRPr="00431EA1">
        <w:rPr>
          <w:rFonts w:cs="Arial"/>
          <w:bCs/>
          <w:szCs w:val="20"/>
        </w:rPr>
        <w:t>z dne 10. novembra 2015</w:t>
      </w:r>
      <w:r>
        <w:rPr>
          <w:rFonts w:cs="Arial"/>
          <w:bCs/>
          <w:szCs w:val="20"/>
        </w:rPr>
        <w:t xml:space="preserve"> </w:t>
      </w:r>
      <w:r w:rsidRPr="00491876">
        <w:rPr>
          <w:rFonts w:cs="Arial"/>
          <w:bCs/>
          <w:szCs w:val="20"/>
        </w:rPr>
        <w:t xml:space="preserve">o spremembi prilog </w:t>
      </w:r>
      <w:r>
        <w:t>IC in V</w:t>
      </w:r>
      <w:r w:rsidRPr="00491876">
        <w:rPr>
          <w:rFonts w:cs="Arial"/>
          <w:bCs/>
          <w:szCs w:val="20"/>
        </w:rPr>
        <w:t xml:space="preserve"> k Uredbi (ES) št. 1013/2006 Evropskega parlamenta in Sveta o pošiljkah odpadkov (UL L št. </w:t>
      </w:r>
      <w:r>
        <w:rPr>
          <w:rFonts w:cs="Arial"/>
          <w:bCs/>
          <w:szCs w:val="20"/>
        </w:rPr>
        <w:t>294</w:t>
      </w:r>
      <w:r w:rsidRPr="00491876">
        <w:rPr>
          <w:rFonts w:cs="Arial"/>
          <w:bCs/>
          <w:szCs w:val="20"/>
        </w:rPr>
        <w:t xml:space="preserve"> z dne 1</w:t>
      </w:r>
      <w:r>
        <w:rPr>
          <w:rFonts w:cs="Arial"/>
          <w:bCs/>
          <w:szCs w:val="20"/>
        </w:rPr>
        <w:t>1</w:t>
      </w:r>
      <w:r w:rsidRPr="00491876">
        <w:rPr>
          <w:rFonts w:cs="Arial"/>
          <w:bCs/>
          <w:szCs w:val="20"/>
        </w:rPr>
        <w:t>. 11. 201</w:t>
      </w:r>
      <w:r>
        <w:rPr>
          <w:rFonts w:cs="Arial"/>
          <w:bCs/>
          <w:szCs w:val="20"/>
        </w:rPr>
        <w:t>5</w:t>
      </w:r>
      <w:r w:rsidRPr="00491876">
        <w:rPr>
          <w:rFonts w:cs="Arial"/>
          <w:bCs/>
          <w:szCs w:val="20"/>
        </w:rPr>
        <w:t xml:space="preserve">, str. </w:t>
      </w:r>
      <w:r>
        <w:rPr>
          <w:rFonts w:cs="Arial"/>
          <w:bCs/>
          <w:szCs w:val="20"/>
        </w:rPr>
        <w:t>1</w:t>
      </w:r>
      <w:r w:rsidRPr="00491876">
        <w:rPr>
          <w:rFonts w:cs="Arial"/>
          <w:bCs/>
          <w:szCs w:val="20"/>
        </w:rPr>
        <w:t>), (v nadaljnjem besedilu: Uredba 1013/2006/ES),«.</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Tretja </w:t>
      </w:r>
      <w:proofErr w:type="spellStart"/>
      <w:r w:rsidRPr="00491876">
        <w:rPr>
          <w:rFonts w:cs="Arial"/>
          <w:bCs/>
          <w:szCs w:val="20"/>
        </w:rPr>
        <w:t>alinea</w:t>
      </w:r>
      <w:proofErr w:type="spellEnd"/>
      <w:r w:rsidRPr="00491876">
        <w:rPr>
          <w:rFonts w:cs="Arial"/>
          <w:bCs/>
          <w:szCs w:val="20"/>
        </w:rPr>
        <w:t xml:space="preserve"> se spremeni tako, da se glasi:</w:t>
      </w:r>
    </w:p>
    <w:p w:rsidR="00E7152E" w:rsidRPr="00491876" w:rsidRDefault="00E7152E" w:rsidP="00E7152E">
      <w:pPr>
        <w:spacing w:before="120" w:after="120" w:line="240" w:lineRule="auto"/>
        <w:jc w:val="both"/>
        <w:rPr>
          <w:rFonts w:cs="Arial"/>
          <w:bCs/>
          <w:szCs w:val="20"/>
        </w:rPr>
      </w:pPr>
      <w:r w:rsidRPr="00491876">
        <w:rPr>
          <w:rFonts w:cs="Arial"/>
          <w:bCs/>
          <w:szCs w:val="20"/>
        </w:rPr>
        <w:t>»– Uredbo Komisije (ES) št. 1418/2007 z dne 29. novembra 2007 glede izvoza nekaterih odpadkov za predelavo iz Priloge III ali IIIA k Uredbi (ES) št. 1013/2006 Evropskega parlamenta in Sveta v nekatere države, za katere se Sklep OECD o nadzoru prehoda odpadkov preko meja ne uporablja (UL L št. 316 z dne 4. 12. 2007, str. 6), zadnjič spremenjeno z Uredbo Komisije (EU) št. 733/2014 z dne 24. junija 2014 o spremembi Uredbe (ES) št. 1418/2007 glede izvoza nekaterih odpadkov za predelavo v nekatere države, ki niso članice OECD (UL L št. 197 z dne 4. 7. 2014, str. 10).«.</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Pr>
          <w:rFonts w:ascii="Arial" w:hAnsi="Arial" w:cs="Arial"/>
          <w:b/>
          <w:bCs/>
          <w:sz w:val="20"/>
        </w:rPr>
        <w:t xml:space="preserve"> </w:t>
      </w:r>
      <w:r w:rsidRPr="00491876">
        <w:rPr>
          <w:rFonts w:ascii="Arial" w:hAnsi="Arial" w:cs="Arial"/>
          <w:b/>
          <w:bCs/>
          <w:sz w:val="20"/>
        </w:rPr>
        <w:t>člen</w:t>
      </w:r>
    </w:p>
    <w:p w:rsidR="00E7152E" w:rsidRPr="00491876" w:rsidRDefault="00E7152E" w:rsidP="00E7152E">
      <w:pPr>
        <w:spacing w:before="120" w:after="120" w:line="240" w:lineRule="auto"/>
        <w:jc w:val="both"/>
        <w:rPr>
          <w:rFonts w:cs="Arial"/>
          <w:bCs/>
          <w:szCs w:val="20"/>
        </w:rPr>
      </w:pPr>
      <w:r w:rsidRPr="00491876">
        <w:rPr>
          <w:rFonts w:cs="Arial"/>
          <w:bCs/>
          <w:szCs w:val="20"/>
        </w:rPr>
        <w:t>39. člen se spremeni tako, da se glasi:</w:t>
      </w:r>
    </w:p>
    <w:p w:rsidR="00E7152E" w:rsidRPr="00E06B7A" w:rsidRDefault="00E7152E" w:rsidP="00E7152E">
      <w:pPr>
        <w:spacing w:before="120" w:after="120" w:line="240" w:lineRule="auto"/>
        <w:jc w:val="center"/>
        <w:rPr>
          <w:rFonts w:cs="Arial"/>
          <w:bCs/>
          <w:szCs w:val="20"/>
        </w:rPr>
      </w:pPr>
      <w:r w:rsidRPr="00E06B7A">
        <w:rPr>
          <w:rFonts w:cs="Arial"/>
          <w:bCs/>
          <w:szCs w:val="20"/>
        </w:rPr>
        <w:t>»39. člen</w:t>
      </w:r>
    </w:p>
    <w:p w:rsidR="00E7152E" w:rsidRPr="00E06B7A" w:rsidRDefault="00E7152E" w:rsidP="00E7152E">
      <w:pPr>
        <w:spacing w:before="120" w:after="120" w:line="240" w:lineRule="auto"/>
        <w:jc w:val="center"/>
        <w:rPr>
          <w:rFonts w:cs="Arial"/>
          <w:bCs/>
          <w:szCs w:val="20"/>
        </w:rPr>
      </w:pPr>
      <w:r w:rsidRPr="00E06B7A">
        <w:rPr>
          <w:rFonts w:cs="Arial"/>
          <w:bCs/>
          <w:szCs w:val="20"/>
        </w:rPr>
        <w:t>(evidenca proizvajalcev baterij in akumulatorjev)</w:t>
      </w:r>
    </w:p>
    <w:p w:rsidR="00E7152E" w:rsidRPr="00E06B7A" w:rsidRDefault="00E7152E" w:rsidP="00E7152E">
      <w:pPr>
        <w:spacing w:before="120" w:after="120" w:line="240" w:lineRule="auto"/>
        <w:jc w:val="both"/>
        <w:rPr>
          <w:rFonts w:cs="Arial"/>
          <w:bCs/>
          <w:szCs w:val="20"/>
        </w:rPr>
      </w:pPr>
    </w:p>
    <w:p w:rsidR="00E7152E" w:rsidRDefault="00E7152E" w:rsidP="00E7152E">
      <w:pPr>
        <w:spacing w:before="120" w:after="120" w:line="240" w:lineRule="auto"/>
        <w:jc w:val="both"/>
        <w:rPr>
          <w:rFonts w:cs="Arial"/>
          <w:bCs/>
          <w:szCs w:val="20"/>
        </w:rPr>
      </w:pPr>
      <w:r w:rsidRPr="00E06B7A">
        <w:rPr>
          <w:rFonts w:cs="Arial"/>
          <w:bCs/>
          <w:szCs w:val="20"/>
        </w:rPr>
        <w:t>(1)</w:t>
      </w:r>
      <w:r>
        <w:rPr>
          <w:rFonts w:cs="Arial"/>
          <w:bCs/>
          <w:szCs w:val="20"/>
        </w:rPr>
        <w:t xml:space="preserve"> </w:t>
      </w:r>
      <w:r w:rsidRPr="00E06B7A">
        <w:rPr>
          <w:rFonts w:cs="Arial"/>
          <w:bCs/>
          <w:szCs w:val="20"/>
        </w:rPr>
        <w:t>Ministrstvo za spremljanje in nadzor izvajanja obveznosti proizvajalcev vodi in vzdržuje evidenco proizvajalcev baterij in akumulatorjev</w:t>
      </w:r>
      <w:r>
        <w:rPr>
          <w:rFonts w:cs="Arial"/>
          <w:bCs/>
          <w:szCs w:val="20"/>
        </w:rPr>
        <w:t>.</w:t>
      </w:r>
      <w:r w:rsidRPr="00E06B7A">
        <w:rPr>
          <w:rFonts w:cs="Arial"/>
          <w:bCs/>
          <w:szCs w:val="20"/>
        </w:rPr>
        <w:t xml:space="preserve"> </w:t>
      </w:r>
    </w:p>
    <w:p w:rsidR="00E7152E" w:rsidRPr="00E06B7A" w:rsidRDefault="00E7152E" w:rsidP="00E7152E">
      <w:pPr>
        <w:spacing w:before="120" w:after="120" w:line="240" w:lineRule="auto"/>
        <w:jc w:val="both"/>
        <w:rPr>
          <w:rFonts w:cs="Arial"/>
          <w:bCs/>
          <w:szCs w:val="20"/>
        </w:rPr>
      </w:pPr>
      <w:r>
        <w:rPr>
          <w:rFonts w:cs="Arial"/>
          <w:bCs/>
          <w:szCs w:val="20"/>
        </w:rPr>
        <w:t xml:space="preserve">(2) </w:t>
      </w:r>
      <w:r w:rsidRPr="00E06B7A">
        <w:rPr>
          <w:rFonts w:cs="Arial"/>
          <w:bCs/>
          <w:szCs w:val="20"/>
        </w:rPr>
        <w:t>Proizvajalec mora biti vpisan v evidenco proizvajalcev baterij in akumulatorjev in je</w:t>
      </w:r>
      <w:r>
        <w:rPr>
          <w:rFonts w:cs="Arial"/>
          <w:bCs/>
          <w:szCs w:val="20"/>
        </w:rPr>
        <w:t xml:space="preserve"> lahko v to evidenco vpisan samo enkrat.</w:t>
      </w:r>
    </w:p>
    <w:p w:rsidR="00E7152E" w:rsidRPr="00E06B7A" w:rsidRDefault="00E7152E" w:rsidP="00E7152E">
      <w:pPr>
        <w:spacing w:before="120" w:after="120" w:line="240" w:lineRule="auto"/>
        <w:jc w:val="both"/>
        <w:rPr>
          <w:rFonts w:cs="Arial"/>
          <w:bCs/>
          <w:szCs w:val="20"/>
        </w:rPr>
      </w:pPr>
      <w:r>
        <w:rPr>
          <w:rFonts w:cs="Arial"/>
          <w:bCs/>
          <w:szCs w:val="20"/>
        </w:rPr>
        <w:t xml:space="preserve">(3) </w:t>
      </w:r>
      <w:r w:rsidRPr="00E06B7A">
        <w:rPr>
          <w:rFonts w:cs="Arial"/>
          <w:bCs/>
          <w:szCs w:val="20"/>
        </w:rPr>
        <w:t>Evidenca iz prvega odstavka tega člena vsebuje podatke o:</w:t>
      </w:r>
    </w:p>
    <w:p w:rsidR="00E7152E" w:rsidRPr="00E06B7A" w:rsidRDefault="00E7152E" w:rsidP="00E7152E">
      <w:pPr>
        <w:tabs>
          <w:tab w:val="left" w:pos="567"/>
        </w:tabs>
        <w:spacing w:before="120" w:after="120" w:line="240" w:lineRule="auto"/>
        <w:ind w:left="567" w:hanging="283"/>
        <w:jc w:val="both"/>
        <w:rPr>
          <w:rFonts w:cs="Arial"/>
          <w:bCs/>
          <w:szCs w:val="20"/>
        </w:rPr>
      </w:pPr>
      <w:r w:rsidRPr="00E06B7A">
        <w:rPr>
          <w:rFonts w:cs="Arial"/>
          <w:bCs/>
          <w:szCs w:val="20"/>
        </w:rPr>
        <w:t>1.</w:t>
      </w:r>
      <w:r w:rsidRPr="00E06B7A">
        <w:rPr>
          <w:rFonts w:cs="Arial"/>
          <w:bCs/>
          <w:szCs w:val="20"/>
        </w:rPr>
        <w:tab/>
        <w:t>firmi in sedežu oziroma imenu in naslovu proizvajalca (ulica in hišna številka,</w:t>
      </w:r>
      <w:r>
        <w:rPr>
          <w:rFonts w:cs="Arial"/>
          <w:bCs/>
          <w:szCs w:val="20"/>
        </w:rPr>
        <w:t xml:space="preserve"> </w:t>
      </w:r>
      <w:r w:rsidRPr="00BF55DB">
        <w:rPr>
          <w:rFonts w:cs="Arial"/>
          <w:bCs/>
          <w:szCs w:val="20"/>
        </w:rPr>
        <w:t>poštna številka in kraj,</w:t>
      </w:r>
      <w:r w:rsidRPr="00E06B7A">
        <w:rPr>
          <w:rFonts w:cs="Arial"/>
          <w:bCs/>
          <w:szCs w:val="20"/>
        </w:rPr>
        <w:t xml:space="preserve"> država),</w:t>
      </w:r>
    </w:p>
    <w:p w:rsidR="00E7152E" w:rsidRPr="00E06B7A" w:rsidRDefault="00E7152E" w:rsidP="00E7152E">
      <w:pPr>
        <w:tabs>
          <w:tab w:val="left" w:pos="567"/>
        </w:tabs>
        <w:spacing w:before="120" w:after="120" w:line="240" w:lineRule="auto"/>
        <w:ind w:left="567" w:hanging="283"/>
        <w:jc w:val="both"/>
        <w:rPr>
          <w:rFonts w:cs="Arial"/>
          <w:bCs/>
          <w:szCs w:val="20"/>
        </w:rPr>
      </w:pPr>
      <w:r w:rsidRPr="00E06B7A">
        <w:rPr>
          <w:rFonts w:cs="Arial"/>
          <w:bCs/>
          <w:szCs w:val="20"/>
        </w:rPr>
        <w:lastRenderedPageBreak/>
        <w:t>2.</w:t>
      </w:r>
      <w:r w:rsidRPr="00E06B7A">
        <w:rPr>
          <w:rFonts w:cs="Arial"/>
          <w:bCs/>
          <w:szCs w:val="20"/>
        </w:rPr>
        <w:tab/>
        <w:t>matični in davčni številki proizvajalca,</w:t>
      </w:r>
    </w:p>
    <w:p w:rsidR="00E7152E" w:rsidRPr="00E06B7A" w:rsidRDefault="00E7152E" w:rsidP="00E7152E">
      <w:pPr>
        <w:tabs>
          <w:tab w:val="left" w:pos="567"/>
        </w:tabs>
        <w:spacing w:before="120" w:after="120" w:line="240" w:lineRule="auto"/>
        <w:ind w:left="567" w:hanging="283"/>
        <w:jc w:val="both"/>
        <w:rPr>
          <w:rFonts w:cs="Arial"/>
          <w:bCs/>
          <w:szCs w:val="20"/>
        </w:rPr>
      </w:pPr>
      <w:r w:rsidRPr="00E06B7A">
        <w:rPr>
          <w:rFonts w:cs="Arial"/>
          <w:bCs/>
          <w:szCs w:val="20"/>
        </w:rPr>
        <w:t>3.</w:t>
      </w:r>
      <w:r w:rsidRPr="00E06B7A">
        <w:rPr>
          <w:rFonts w:cs="Arial"/>
          <w:bCs/>
          <w:szCs w:val="20"/>
        </w:rPr>
        <w:tab/>
        <w:t>vrsti baterij in akumulatorjev, ki jih proizvajalec daje na trg,</w:t>
      </w:r>
    </w:p>
    <w:p w:rsidR="00E7152E" w:rsidRPr="00E06B7A" w:rsidRDefault="00E7152E" w:rsidP="00E7152E">
      <w:pPr>
        <w:tabs>
          <w:tab w:val="left" w:pos="567"/>
        </w:tabs>
        <w:spacing w:before="120" w:after="120" w:line="240" w:lineRule="auto"/>
        <w:ind w:left="567" w:hanging="283"/>
        <w:jc w:val="both"/>
        <w:rPr>
          <w:rFonts w:cs="Arial"/>
          <w:bCs/>
          <w:szCs w:val="20"/>
        </w:rPr>
      </w:pPr>
      <w:r w:rsidRPr="00E06B7A">
        <w:rPr>
          <w:rFonts w:cs="Arial"/>
          <w:bCs/>
          <w:szCs w:val="20"/>
        </w:rPr>
        <w:t>4.</w:t>
      </w:r>
      <w:r w:rsidRPr="00E06B7A">
        <w:rPr>
          <w:rFonts w:cs="Arial"/>
          <w:bCs/>
          <w:szCs w:val="20"/>
        </w:rPr>
        <w:tab/>
        <w:t>načinu izpolnjevanja obveznosti proizvajalca (načrt ali skupni načrt) in</w:t>
      </w:r>
    </w:p>
    <w:p w:rsidR="00E7152E" w:rsidRPr="00E06B7A" w:rsidRDefault="00E7152E" w:rsidP="00E7152E">
      <w:pPr>
        <w:tabs>
          <w:tab w:val="left" w:pos="567"/>
        </w:tabs>
        <w:spacing w:before="120" w:after="120" w:line="240" w:lineRule="auto"/>
        <w:ind w:left="567" w:hanging="283"/>
        <w:jc w:val="both"/>
        <w:rPr>
          <w:rFonts w:cs="Arial"/>
          <w:bCs/>
          <w:szCs w:val="20"/>
        </w:rPr>
      </w:pPr>
      <w:r w:rsidRPr="00E06B7A">
        <w:rPr>
          <w:rFonts w:cs="Arial"/>
          <w:bCs/>
          <w:szCs w:val="20"/>
        </w:rPr>
        <w:t>5.</w:t>
      </w:r>
      <w:r w:rsidRPr="00E06B7A">
        <w:rPr>
          <w:rFonts w:cs="Arial"/>
          <w:bCs/>
          <w:szCs w:val="20"/>
        </w:rPr>
        <w:tab/>
        <w:t>dodeljeni številki iz evidence.</w:t>
      </w:r>
    </w:p>
    <w:p w:rsidR="00E7152E" w:rsidRPr="00E06B7A" w:rsidRDefault="00E7152E" w:rsidP="00E7152E">
      <w:pPr>
        <w:spacing w:before="120" w:after="120" w:line="240" w:lineRule="auto"/>
        <w:jc w:val="both"/>
        <w:rPr>
          <w:rFonts w:cs="Arial"/>
          <w:bCs/>
          <w:szCs w:val="20"/>
        </w:rPr>
      </w:pPr>
    </w:p>
    <w:p w:rsidR="00E7152E" w:rsidRPr="00E06B7A" w:rsidRDefault="00E7152E" w:rsidP="00E7152E">
      <w:pPr>
        <w:spacing w:before="120" w:after="120" w:line="240" w:lineRule="auto"/>
        <w:jc w:val="both"/>
        <w:rPr>
          <w:rFonts w:cs="Arial"/>
          <w:bCs/>
          <w:szCs w:val="20"/>
        </w:rPr>
      </w:pPr>
      <w:r>
        <w:rPr>
          <w:rFonts w:cs="Arial"/>
          <w:bCs/>
          <w:szCs w:val="20"/>
        </w:rPr>
        <w:t xml:space="preserve">(4) </w:t>
      </w:r>
      <w:r w:rsidR="009D7E2D" w:rsidRPr="00E06B7A">
        <w:rPr>
          <w:rFonts w:cs="Arial"/>
          <w:bCs/>
          <w:szCs w:val="20"/>
        </w:rPr>
        <w:t xml:space="preserve">Ministrstvo vpiše proizvajalca v evidenco proizvajalcev baterij in akumulatorjev na podlagi njegove </w:t>
      </w:r>
      <w:r w:rsidR="009D7E2D">
        <w:rPr>
          <w:rFonts w:cs="Arial"/>
          <w:bCs/>
          <w:szCs w:val="20"/>
        </w:rPr>
        <w:t>pisne</w:t>
      </w:r>
      <w:r w:rsidR="009D7E2D" w:rsidRPr="00E06B7A">
        <w:rPr>
          <w:rFonts w:cs="Arial"/>
          <w:bCs/>
          <w:szCs w:val="20"/>
        </w:rPr>
        <w:t xml:space="preserve"> ali elektronsk</w:t>
      </w:r>
      <w:r w:rsidR="009D7E2D">
        <w:rPr>
          <w:rFonts w:cs="Arial"/>
          <w:bCs/>
          <w:szCs w:val="20"/>
        </w:rPr>
        <w:t>e</w:t>
      </w:r>
      <w:r w:rsidR="009D7E2D" w:rsidRPr="00E06B7A">
        <w:rPr>
          <w:rFonts w:cs="Arial"/>
          <w:bCs/>
          <w:szCs w:val="20"/>
        </w:rPr>
        <w:t xml:space="preserve"> </w:t>
      </w:r>
      <w:r w:rsidR="009D7E2D">
        <w:rPr>
          <w:rFonts w:cs="Arial"/>
          <w:bCs/>
          <w:szCs w:val="20"/>
        </w:rPr>
        <w:t>prijave</w:t>
      </w:r>
      <w:r w:rsidR="009D7E2D" w:rsidRPr="00E06B7A">
        <w:rPr>
          <w:rFonts w:cs="Arial"/>
          <w:bCs/>
          <w:szCs w:val="20"/>
        </w:rPr>
        <w:t xml:space="preserve">, ki mora poleg podatkov </w:t>
      </w:r>
      <w:r w:rsidR="009D7E2D">
        <w:rPr>
          <w:rFonts w:cs="Arial"/>
          <w:bCs/>
          <w:szCs w:val="20"/>
        </w:rPr>
        <w:t xml:space="preserve">od 1. – 4. točke </w:t>
      </w:r>
      <w:r w:rsidRPr="00E06B7A">
        <w:rPr>
          <w:rFonts w:cs="Arial"/>
          <w:bCs/>
          <w:szCs w:val="20"/>
        </w:rPr>
        <w:t>prejšnjega odstavka vsebovati še datum prijave, podatke o njegovi telefonski številki, številki telefaksa, elektronskem naslovu proizvajalca, kontaktni osebi ter blagovni znamki baterij in akumulatorjev, ki jih daje na trg (kadar obstaja blagovna znamka). K prijavi iz prejšnjega stavka mora biti priložena izjava proizvajalca o tem, da so predloženi podatki točni in resnični.</w:t>
      </w:r>
    </w:p>
    <w:p w:rsidR="0042504B" w:rsidRPr="00E06B7A" w:rsidRDefault="0042504B" w:rsidP="0042504B">
      <w:pPr>
        <w:spacing w:before="120" w:after="120" w:line="240" w:lineRule="auto"/>
        <w:jc w:val="both"/>
        <w:rPr>
          <w:rFonts w:cs="Arial"/>
          <w:bCs/>
          <w:szCs w:val="20"/>
        </w:rPr>
      </w:pPr>
      <w:r>
        <w:rPr>
          <w:rFonts w:cs="Arial"/>
          <w:bCs/>
          <w:szCs w:val="20"/>
        </w:rPr>
        <w:t xml:space="preserve">(5) </w:t>
      </w:r>
      <w:r w:rsidRPr="00E06B7A">
        <w:rPr>
          <w:rFonts w:cs="Arial"/>
          <w:bCs/>
          <w:szCs w:val="20"/>
        </w:rPr>
        <w:t xml:space="preserve">Ministrstvo proizvajalcu </w:t>
      </w:r>
      <w:r>
        <w:rPr>
          <w:rFonts w:cs="Arial"/>
          <w:bCs/>
          <w:szCs w:val="20"/>
        </w:rPr>
        <w:t xml:space="preserve">na njegovo zahtevo izda izpisek iz evidence </w:t>
      </w:r>
      <w:r w:rsidRPr="00E06B7A">
        <w:rPr>
          <w:rFonts w:cs="Arial"/>
          <w:bCs/>
          <w:szCs w:val="20"/>
        </w:rPr>
        <w:t>proizvajalcev baterij in akumulatorjev</w:t>
      </w:r>
      <w:r>
        <w:rPr>
          <w:rFonts w:cs="Arial"/>
          <w:bCs/>
          <w:szCs w:val="20"/>
        </w:rPr>
        <w:t>, ki vsebuje podatke</w:t>
      </w:r>
      <w:r w:rsidRPr="00E06B7A">
        <w:rPr>
          <w:rFonts w:cs="Arial"/>
          <w:bCs/>
          <w:szCs w:val="20"/>
        </w:rPr>
        <w:t xml:space="preserve"> </w:t>
      </w:r>
      <w:r>
        <w:rPr>
          <w:rFonts w:cs="Arial"/>
          <w:bCs/>
          <w:szCs w:val="20"/>
        </w:rPr>
        <w:t xml:space="preserve">iz </w:t>
      </w:r>
      <w:r w:rsidRPr="00E06B7A">
        <w:rPr>
          <w:rFonts w:cs="Arial"/>
          <w:bCs/>
          <w:szCs w:val="20"/>
        </w:rPr>
        <w:t xml:space="preserve">tretjega odstavka </w:t>
      </w:r>
      <w:r>
        <w:rPr>
          <w:rFonts w:cs="Arial"/>
          <w:bCs/>
          <w:szCs w:val="20"/>
        </w:rPr>
        <w:t>tega</w:t>
      </w:r>
      <w:r w:rsidRPr="00E06B7A">
        <w:rPr>
          <w:rFonts w:cs="Arial"/>
          <w:bCs/>
          <w:szCs w:val="20"/>
        </w:rPr>
        <w:t xml:space="preserve"> člena.</w:t>
      </w:r>
    </w:p>
    <w:p w:rsidR="0042504B" w:rsidRPr="00E06B7A" w:rsidRDefault="0042504B" w:rsidP="0042504B">
      <w:pPr>
        <w:spacing w:before="120" w:after="120" w:line="240" w:lineRule="auto"/>
        <w:jc w:val="both"/>
        <w:rPr>
          <w:rFonts w:cs="Arial"/>
          <w:bCs/>
          <w:szCs w:val="20"/>
        </w:rPr>
      </w:pPr>
      <w:r>
        <w:rPr>
          <w:rFonts w:cs="Arial"/>
          <w:bCs/>
          <w:szCs w:val="20"/>
        </w:rPr>
        <w:t xml:space="preserve">(6) </w:t>
      </w:r>
      <w:r w:rsidRPr="00E06B7A">
        <w:rPr>
          <w:rFonts w:cs="Arial"/>
          <w:bCs/>
          <w:szCs w:val="20"/>
        </w:rPr>
        <w:t xml:space="preserve">Proizvajalec mora o </w:t>
      </w:r>
      <w:r>
        <w:rPr>
          <w:rFonts w:cs="Arial"/>
          <w:bCs/>
          <w:szCs w:val="20"/>
        </w:rPr>
        <w:t>prenehanju izvajanju</w:t>
      </w:r>
      <w:r w:rsidRPr="00E06B7A">
        <w:rPr>
          <w:rFonts w:cs="Arial"/>
          <w:bCs/>
          <w:szCs w:val="20"/>
        </w:rPr>
        <w:t xml:space="preserve"> dejavnosti ali drugih spremembah podatkov iz tretjega in četrtega odstavka tega člena pisno ali v elektronski obliki obvestiti ministrstvo najpozneje v </w:t>
      </w:r>
      <w:r>
        <w:rPr>
          <w:rFonts w:cs="Arial"/>
          <w:bCs/>
          <w:szCs w:val="20"/>
        </w:rPr>
        <w:t>30</w:t>
      </w:r>
      <w:r w:rsidRPr="00E06B7A">
        <w:rPr>
          <w:rFonts w:cs="Arial"/>
          <w:bCs/>
          <w:szCs w:val="20"/>
        </w:rPr>
        <w:t xml:space="preserve"> dneh od nastale spremembe.</w:t>
      </w:r>
    </w:p>
    <w:p w:rsidR="00E7152E" w:rsidRPr="00E06B7A" w:rsidRDefault="00E7152E" w:rsidP="00E7152E">
      <w:pPr>
        <w:spacing w:before="120" w:after="120" w:line="240" w:lineRule="auto"/>
        <w:jc w:val="both"/>
        <w:rPr>
          <w:rFonts w:cs="Arial"/>
          <w:bCs/>
          <w:szCs w:val="20"/>
        </w:rPr>
      </w:pPr>
      <w:r>
        <w:rPr>
          <w:rFonts w:cs="Arial"/>
          <w:bCs/>
          <w:szCs w:val="20"/>
        </w:rPr>
        <w:t xml:space="preserve">(7) </w:t>
      </w:r>
      <w:r w:rsidRPr="00E06B7A">
        <w:rPr>
          <w:rFonts w:cs="Arial"/>
          <w:bCs/>
          <w:szCs w:val="20"/>
        </w:rPr>
        <w:t>Ministrstvo na podlagi obvestila o spremembah podatkov iz prejšnjega odstavka spremeni podatke oziroma izbriše proizvajalca iz evidence proizvajalcev baterij in akumulatorjev.</w:t>
      </w:r>
    </w:p>
    <w:p w:rsidR="00E7152E" w:rsidRPr="00491876" w:rsidRDefault="00E7152E" w:rsidP="00E7152E">
      <w:pPr>
        <w:spacing w:before="120" w:after="120" w:line="240" w:lineRule="auto"/>
        <w:jc w:val="both"/>
        <w:rPr>
          <w:rFonts w:cs="Arial"/>
          <w:bCs/>
          <w:szCs w:val="20"/>
        </w:rPr>
      </w:pPr>
      <w:r>
        <w:rPr>
          <w:rFonts w:cs="Arial"/>
          <w:bCs/>
          <w:szCs w:val="20"/>
        </w:rPr>
        <w:t xml:space="preserve">(8) </w:t>
      </w:r>
      <w:r w:rsidRPr="00E06B7A">
        <w:rPr>
          <w:rFonts w:cs="Arial"/>
          <w:bCs/>
          <w:szCs w:val="20"/>
        </w:rPr>
        <w:t>Podatki iz evidence proizvajalcev baterij in akumulatorjev so javno dostopni na spletnih straneh ministrstva.«.</w:t>
      </w: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 xml:space="preserve"> člen</w:t>
      </w:r>
    </w:p>
    <w:p w:rsidR="00E7152E" w:rsidRPr="00491876" w:rsidRDefault="00E7152E" w:rsidP="00E7152E">
      <w:pPr>
        <w:spacing w:before="120" w:after="120" w:line="240" w:lineRule="auto"/>
        <w:jc w:val="both"/>
        <w:rPr>
          <w:rFonts w:cs="Arial"/>
          <w:bCs/>
          <w:szCs w:val="20"/>
        </w:rPr>
      </w:pPr>
      <w:r w:rsidRPr="00491876">
        <w:rPr>
          <w:rFonts w:cs="Arial"/>
          <w:bCs/>
          <w:szCs w:val="20"/>
        </w:rPr>
        <w:t>Prvi odstavek 41. člena se spremeni tako, da se glasi:</w:t>
      </w:r>
    </w:p>
    <w:p w:rsidR="00E7152E" w:rsidRDefault="00E7152E" w:rsidP="00E7152E">
      <w:pPr>
        <w:spacing w:before="120" w:after="120" w:line="240" w:lineRule="auto"/>
        <w:jc w:val="both"/>
        <w:rPr>
          <w:rFonts w:cs="Arial"/>
          <w:bCs/>
          <w:szCs w:val="20"/>
        </w:rPr>
      </w:pPr>
      <w:r w:rsidRPr="00491876">
        <w:rPr>
          <w:rFonts w:cs="Arial"/>
          <w:bCs/>
          <w:szCs w:val="20"/>
        </w:rPr>
        <w:t>»(1) Ministrstvo pošlje Komisiji poročilo o izvajanju Direktive 2006/66/ES v skladu z Odločbo Komisije z dne 25. novembra 2009 o uvedbi vprašalnika za poročila držav članic o izvajanju Direktive 2006/66/ES Evropskega parlamenta in Sveta o baterijah in akumulatorjih ter odpadnih baterijah in akumulatorjih (UL L št. 312 z dne 27. 11. 2009, str. 56; Odločba 2009/851/ES).«.</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V </w:t>
      </w:r>
      <w:r>
        <w:rPr>
          <w:rFonts w:cs="Arial"/>
          <w:bCs/>
          <w:szCs w:val="20"/>
        </w:rPr>
        <w:t>drugem odstavku</w:t>
      </w:r>
      <w:r w:rsidRPr="00491876">
        <w:rPr>
          <w:rFonts w:cs="Arial"/>
          <w:bCs/>
          <w:szCs w:val="20"/>
        </w:rPr>
        <w:t xml:space="preserve"> se </w:t>
      </w:r>
      <w:r w:rsidR="0042504B">
        <w:rPr>
          <w:rFonts w:cs="Arial"/>
          <w:bCs/>
          <w:szCs w:val="20"/>
        </w:rPr>
        <w:t>za</w:t>
      </w:r>
      <w:r w:rsidR="0042504B" w:rsidRPr="00491876">
        <w:rPr>
          <w:rFonts w:cs="Arial"/>
          <w:bCs/>
          <w:szCs w:val="20"/>
        </w:rPr>
        <w:t xml:space="preserve"> </w:t>
      </w:r>
      <w:r w:rsidRPr="00491876">
        <w:rPr>
          <w:rFonts w:cs="Arial"/>
          <w:bCs/>
          <w:szCs w:val="20"/>
        </w:rPr>
        <w:t>besedo »</w:t>
      </w:r>
      <w:r w:rsidR="0042504B">
        <w:rPr>
          <w:rFonts w:cs="Arial"/>
          <w:bCs/>
          <w:szCs w:val="20"/>
        </w:rPr>
        <w:t>prvega</w:t>
      </w:r>
      <w:r w:rsidRPr="00491876">
        <w:rPr>
          <w:rFonts w:cs="Arial"/>
          <w:bCs/>
          <w:szCs w:val="20"/>
        </w:rPr>
        <w:t>« doda beseda »</w:t>
      </w:r>
      <w:r>
        <w:rPr>
          <w:rFonts w:cs="Arial"/>
          <w:bCs/>
          <w:szCs w:val="20"/>
        </w:rPr>
        <w:t>poročevalskega«.</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sidRPr="00491876">
        <w:rPr>
          <w:rFonts w:ascii="Arial" w:hAnsi="Arial" w:cs="Arial"/>
          <w:b/>
          <w:bCs/>
          <w:sz w:val="20"/>
        </w:rPr>
        <w:t xml:space="preserve"> člen</w:t>
      </w:r>
    </w:p>
    <w:p w:rsidR="00A35A17" w:rsidRPr="00A35A17" w:rsidRDefault="00A35A17" w:rsidP="00A35A17">
      <w:pPr>
        <w:spacing w:before="120" w:after="120" w:line="240" w:lineRule="auto"/>
        <w:jc w:val="both"/>
        <w:rPr>
          <w:rFonts w:cs="Arial"/>
          <w:bCs/>
          <w:szCs w:val="20"/>
        </w:rPr>
      </w:pPr>
      <w:r>
        <w:rPr>
          <w:rFonts w:cs="Arial"/>
          <w:bCs/>
          <w:szCs w:val="20"/>
        </w:rPr>
        <w:t xml:space="preserve">(1) </w:t>
      </w:r>
      <w:r w:rsidRPr="00A35A17">
        <w:rPr>
          <w:rFonts w:cs="Arial"/>
          <w:bCs/>
          <w:szCs w:val="20"/>
        </w:rPr>
        <w:t>Prvi odstavek 43. člena se spremeni tako, da se glasi:</w:t>
      </w:r>
    </w:p>
    <w:p w:rsidR="00A35A17" w:rsidRPr="00A35A17" w:rsidRDefault="00A35A17" w:rsidP="00A35A17">
      <w:pPr>
        <w:spacing w:before="120" w:after="120" w:line="240" w:lineRule="auto"/>
        <w:jc w:val="both"/>
        <w:rPr>
          <w:rFonts w:cs="Arial"/>
          <w:bCs/>
          <w:szCs w:val="20"/>
        </w:rPr>
      </w:pPr>
      <w:r w:rsidRPr="00A35A17">
        <w:rPr>
          <w:rFonts w:cs="Arial"/>
          <w:bCs/>
          <w:szCs w:val="20"/>
        </w:rPr>
        <w:t xml:space="preserve">»(1) Z globo od 4.000 </w:t>
      </w:r>
      <w:proofErr w:type="spellStart"/>
      <w:r w:rsidRPr="00A35A17">
        <w:rPr>
          <w:rFonts w:cs="Arial"/>
          <w:bCs/>
          <w:szCs w:val="20"/>
        </w:rPr>
        <w:t>eurov</w:t>
      </w:r>
      <w:proofErr w:type="spellEnd"/>
      <w:r w:rsidRPr="00A35A17">
        <w:rPr>
          <w:rFonts w:cs="Arial"/>
          <w:bCs/>
          <w:szCs w:val="20"/>
        </w:rPr>
        <w:t xml:space="preserve"> do 40.000 </w:t>
      </w:r>
      <w:proofErr w:type="spellStart"/>
      <w:r w:rsidRPr="00A35A17">
        <w:rPr>
          <w:rFonts w:cs="Arial"/>
          <w:bCs/>
          <w:szCs w:val="20"/>
        </w:rPr>
        <w:t>eurov</w:t>
      </w:r>
      <w:proofErr w:type="spellEnd"/>
      <w:r w:rsidRPr="00A35A17">
        <w:rPr>
          <w:rFonts w:cs="Arial"/>
          <w:bCs/>
          <w:szCs w:val="20"/>
        </w:rPr>
        <w:t xml:space="preserve"> je za prekršek kaznovan proizvajalec, ki je pravna oseba ali samostojni podjetnik posameznik, če: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v nasprotju s prvim odstavkom 5. člena te uredbe daje na trg baterije ali akumulatorje, ne glede na to, ali so vgrajene v naprave ali ne, ki vsebujejo več kakor 0,0005% živega srebra glede na celotno maso, ali prenosne baterije ali akumulatorje, vključno z vgrajenimi v naprave, ki vsebujejo več kakor 0,002% kadmija glede na celotno maso;</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je v skladu s tretjim odstavkom 5. člena te uredbe na zahtevo pristojnega inšpektorja omogočen vpogled v dokumentacijo o izpolnjevanju zahtev iz prvega in drugega odstavka 5.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za uvožene baterije in akumulatorje ne zagotovi, da je v skladu s šestim odstavkom 5. člena te uredbe dokumentacija iz petega odstavka 5. člena te uredbe pridobljena od izvornega proizvajalca baterij ali akumulatorjev iz države uvoza in posredovana pristojnemu i</w:t>
      </w:r>
      <w:r w:rsidR="00617D82">
        <w:rPr>
          <w:rFonts w:cs="Arial"/>
          <w:bCs/>
          <w:szCs w:val="20"/>
        </w:rPr>
        <w:t>nšpektorju na njegovo zahtevo;</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daje prenosne baterije in akumulatorje prvič na trg na ozemlju Republike Slovenije, ne da bi na svoje stroške zagotovil zbiranje odpadnih prenosnih baterij in akumulatorjev od končnih uporabnikov, distributerjev in izvajalcev javne službe ter obdelavo in recikliranje tako zbranih odpadnih prenosnih baterij in akumulatorjev v skladu s prvim odstavkom 11.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lastRenderedPageBreak/>
        <w:t>–</w:t>
      </w:r>
      <w:r w:rsidRPr="00A35A17">
        <w:rPr>
          <w:rFonts w:cs="Arial"/>
          <w:bCs/>
          <w:szCs w:val="20"/>
        </w:rPr>
        <w:tab/>
        <w:t>ne izpolnjuje svojih obveznosti na podlagi le enega načrta ravnanja z odpadnimi prenosnimi baterijami in akumulatorji ali le enega skupnega načrta ravnanja v skladu z drugim odstavkom 11. člena;</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mu v skladu s četrtim odstavkom 11. člena te uredbe zbiralec odpadnih prenosnih baterij in akumulatorjev redno pošilja podatke o zbranih ter oddanih v obdelavo in recikliranje odpadnih prenosnih baterijah in akumulatorjih oziroma da te podatke pošilja nosilcu skupnega načrta ravnanja z odpadnimi prenosnimi baterijami in akumulatorji, če je to skupni načrt ravnanja z odpadnimi prenosnimi baterijami in akumulatorji;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prijavi ministrstvu v skladu s tretjim odstavkom 14. člena te uredbe vsake spremembe načrta ravnanja z odpadnimi prenosnimi baterijami in akumulatorji, ki ima vpliv na izpolnjevanje njegovih obveznosti po tej uredbi;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zbiranja odpadnih industrijskih baterij in akumulatorjev od končnih uporabnikov ter obdelave in recikliranja zbranih odpadnih industrijskih baterij in akumulatorjev v skladu s prvim odstavkom 20.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izpolnjuje svojih obveznosti na podlagi le enega načrta ravnanja z odpadnimi industrijskimi baterijami in akumulatorji ali le enega skupnega načrta ravnanja v skladu z drugim odstavkom 20. člena;</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mu v skladu s četrtim odstavkom 20. člena te uredbe zbiralec odpadnih industrijskih baterij in akumulatorjev redno pošilja podatke o zbranih ter oddanih v obdelavo in recikliranje odpadnih industrijskih baterijah in akumulatorjih oziroma da te podatke pošilja nosilcu skupnega načrta ravnanja z odpadnimi industrijskimi baterijami in akumulatorji, če je to skupni načrt ravnanja z odpadnimi industrijskimi baterijami in akumulatorji;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prijavi ministrstvu v skladu s tretjim odstavkom 23. člena te uredbe vsake spremembe načrta ravnanja z odpadnimi industrijskimi baterijami in akumulatorji, ki ima vpliv na izpolnjevanje njegovih obveznosti po tej uredbi;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se v skladu s prvim odstavkom 25. člena te uredbe odpadne industrijske baterije in akumulatorji prevzemajo od končnih uporabnikov brezplačno ne glede na njihovo kemijsko sestavo ali izvor, ali če prevzem odpadne industrijske baterije ali akumulatorja pogojuje z nakupom nove industrijske baterije ali akumulatorja;</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zbira odpadne industrijske baterije in akumulatorje, ne da bi pridobil odločbo ministrstva o vpisu v evidenco zbiralcev odpadkov v skladu s tretjim odstavkom 25.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zbiranja odpadnih avtomobilskih baterij in akumulatorjev od končnih uporabnikov ter oddaje v obdelavo in recikliranje zbranih odpadnih avtomobilskih baterij in akumulatorjev v skladu s prvim odstavkom 26.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izpolnjuje svojih obveznosti na podlagi le enega načrta ravnanja z odpadnimi avtomobilskimi baterijami in akumulatorji ali le enega skupnega načrta ravnanja v skladu z drugim odstavkom 26. člena;</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mu v skladu s četrtim odstavkom 26. člena te uredbe zbiralec odpadnih avtomobilskih baterij in akumulatorjev redno pošilja podatke o zbranih ter oddanih v obdelavo in recikliranje odpadnih avtomobilskih baterijah in akumulatorjih oziroma da te podatke pošilja nosilcu skupnega načrta ravnanja z odpadnimi avtomobilskimi baterijami in akumulatorji, če je to skupni načrt ravnanja z odpadnimi avtomobilskimi baterijami in akumulatorji;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prijavi ministrstvu v skladu s tretjim odstavkom 29. člena te uredbe vsake spremembe načrta ravnanja z odpadnimi avtomobilskimi baterijami in akumulatorji, ki ima vpliv na izpolnjevanje njegovih obveznosti po tej uredbi;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se v skladu s prvim odstavkom 31. člena te uredbe odpadne avtomobilske baterije in akumulatorji prevzemajo od končnih uporabnikov brezplačno ne glede na njihov izvor, ali če prevzem odpadne avtomobilske baterije ali akumulatorja pogojuje z nakupom nove avtomobilske baterije ali akumulatorja;</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zbira odpadne avtomobilske baterije in akumulatorje, ne da bi pridobil odločbo ministrstva o vpisu v evidenco zbiralcev odpadkov v skladu s tretjim odstavkom 31.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lastRenderedPageBreak/>
        <w:t>–</w:t>
      </w:r>
      <w:r w:rsidRPr="00A35A17">
        <w:rPr>
          <w:rFonts w:cs="Arial"/>
          <w:bCs/>
          <w:szCs w:val="20"/>
        </w:rPr>
        <w:tab/>
        <w:t>ne zagotavlja obveščanja javnosti, zlasti končnih uporabnikov, v skladu s prvim, drugim in četrtim odstavkom 32.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zagotavlja financiranja vseh stroškov, ki nastanejo zaradi informacijskih kampanj za obveščanje javnosti o zbiranju, obdelovanju in recikliranju odpadnih baterij in akumulatorjev v skladu s tretjim odstavkom 32.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v nasprotju z osmim odstavkom 33. člena za uvožene baterije in akumulatorje ne zagotovi izpolnjevanja določb prvega do sedmega odstavka 33. člena te uredbe, če na ozemlju Republike Slovenije daje prvič v promet baterije ali akumulatorje, uvožene iz tretjih držav;«.</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v nasprotju z devetim odstavkom 33. člena te uredbe končnemu uporabniku prikazuje ob prodaji prenosnih baterij in akumulatorjev stroške zbiranja, obdelave in recikliranja ločeno od prodajne cene prenosnih baterij in akumulatorjev;</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w:t>
      </w:r>
      <w:r w:rsidRPr="00A35A17">
        <w:rPr>
          <w:rFonts w:cs="Arial"/>
          <w:bCs/>
          <w:szCs w:val="20"/>
        </w:rPr>
        <w:tab/>
        <w:t>ne zagotovi, da se v skladu z drugim odstavkom 35. člena:</w:t>
      </w:r>
    </w:p>
    <w:p w:rsidR="00A35A17" w:rsidRPr="00A35A17" w:rsidRDefault="00A35A17" w:rsidP="00A35A17">
      <w:pPr>
        <w:tabs>
          <w:tab w:val="left" w:pos="567"/>
        </w:tabs>
        <w:spacing w:before="120" w:after="120" w:line="240" w:lineRule="auto"/>
        <w:ind w:left="567" w:hanging="283"/>
        <w:jc w:val="both"/>
        <w:rPr>
          <w:rFonts w:cs="Arial"/>
          <w:bCs/>
          <w:szCs w:val="20"/>
        </w:rPr>
      </w:pPr>
      <w:r w:rsidRPr="00A35A17">
        <w:rPr>
          <w:rFonts w:cs="Arial"/>
          <w:bCs/>
          <w:szCs w:val="20"/>
        </w:rPr>
        <w:t xml:space="preserve">1. </w:t>
      </w:r>
      <w:r w:rsidRPr="00A35A17">
        <w:rPr>
          <w:rFonts w:cs="Arial"/>
          <w:bCs/>
          <w:szCs w:val="20"/>
        </w:rPr>
        <w:tab/>
        <w:t>omogoči obdelava in recikliranje odpadnih baterij in akumulatorjev z uporabo najboljših razpoložljivih tehnik in</w:t>
      </w:r>
    </w:p>
    <w:p w:rsidR="00A35A17" w:rsidRPr="00A35A17" w:rsidRDefault="00A35A17" w:rsidP="00A35A17">
      <w:pPr>
        <w:tabs>
          <w:tab w:val="left" w:pos="567"/>
        </w:tabs>
        <w:spacing w:before="120" w:after="120" w:line="240" w:lineRule="auto"/>
        <w:ind w:left="567" w:hanging="283"/>
        <w:jc w:val="both"/>
        <w:rPr>
          <w:rFonts w:cs="Arial"/>
          <w:bCs/>
          <w:szCs w:val="20"/>
        </w:rPr>
      </w:pPr>
      <w:r w:rsidRPr="00A35A17">
        <w:rPr>
          <w:rFonts w:cs="Arial"/>
          <w:bCs/>
          <w:szCs w:val="20"/>
        </w:rPr>
        <w:t xml:space="preserve">2. </w:t>
      </w:r>
      <w:r w:rsidRPr="00A35A17">
        <w:rPr>
          <w:rFonts w:cs="Arial"/>
          <w:bCs/>
          <w:szCs w:val="20"/>
        </w:rPr>
        <w:tab/>
        <w:t>odpadne baterije in akumulatorje, prevzete v skladu s to uredbo, ki se jih da identificirati, vključno s tistimi, prevzetimi od izvajalcev obdelave odpadnih naprav v skladu s predpisom, ki ureja ravnanje z odpadno električno in elektronsko opremo, in tistimi, prevzetimi od izvajalcev razgradnje izrabljenih vozil v skladu s predpisom, ki ureja ravnanje z izrabljenimi vozili, obdelajo in reciklirajo na način, ki ni v skladu s predpisi na področju varstva okolja, predvsem glede zdravja ljudi, varstva in ravnanja z odpadki;</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ni vpisan v evidenco proizvajalcev iz prvega odstavka 39.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v roku iz šestega odstavka 39. člena te uredbe ne obvesti ministrstva o opustitvi dejavnosti ali drugih spremembah v zvezi s podatki iz tretjega in četrtega odstavka 39.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posreduje poročila o ravnanju z odpadnimi prenosnimi, industrijskimi oziroma avtomobilskimi baterijami ministrstvu za preteklo koledarsko leto v roku in obliki, ki jo objavi ministrstvo na svojih spletnih straneh, v skladu s prvim odstavkom 40. člena te uredbe.«</w:t>
      </w:r>
    </w:p>
    <w:p w:rsidR="00A35A17" w:rsidRPr="00A35A17" w:rsidRDefault="00A35A17" w:rsidP="00A35A17">
      <w:pPr>
        <w:spacing w:before="120" w:after="120" w:line="240" w:lineRule="auto"/>
        <w:jc w:val="both"/>
        <w:rPr>
          <w:rFonts w:cs="Arial"/>
          <w:bCs/>
          <w:szCs w:val="20"/>
        </w:rPr>
      </w:pPr>
      <w:r>
        <w:rPr>
          <w:rFonts w:cs="Arial"/>
          <w:bCs/>
          <w:szCs w:val="20"/>
        </w:rPr>
        <w:t xml:space="preserve">(2) </w:t>
      </w:r>
      <w:r w:rsidRPr="00A35A17">
        <w:rPr>
          <w:rFonts w:cs="Arial"/>
          <w:bCs/>
          <w:szCs w:val="20"/>
        </w:rPr>
        <w:t>Drugi odstavek se spremeni tako, da se glasi:</w:t>
      </w:r>
    </w:p>
    <w:p w:rsidR="00A35A17" w:rsidRPr="00A35A17" w:rsidRDefault="00A35A17" w:rsidP="00A35A17">
      <w:pPr>
        <w:spacing w:before="120" w:after="120" w:line="240" w:lineRule="auto"/>
        <w:jc w:val="both"/>
        <w:rPr>
          <w:rFonts w:cs="Arial"/>
          <w:bCs/>
          <w:szCs w:val="20"/>
        </w:rPr>
      </w:pPr>
      <w:r w:rsidRPr="00A35A17">
        <w:rPr>
          <w:rFonts w:cs="Arial"/>
          <w:bCs/>
          <w:szCs w:val="20"/>
        </w:rPr>
        <w:t xml:space="preserve">»(2) Z globo od 4.000 </w:t>
      </w:r>
      <w:proofErr w:type="spellStart"/>
      <w:r w:rsidRPr="00A35A17">
        <w:rPr>
          <w:rFonts w:cs="Arial"/>
          <w:bCs/>
          <w:szCs w:val="20"/>
        </w:rPr>
        <w:t>eurov</w:t>
      </w:r>
      <w:proofErr w:type="spellEnd"/>
      <w:r w:rsidRPr="00A35A17">
        <w:rPr>
          <w:rFonts w:cs="Arial"/>
          <w:bCs/>
          <w:szCs w:val="20"/>
        </w:rPr>
        <w:t xml:space="preserve"> do 40.000 </w:t>
      </w:r>
      <w:proofErr w:type="spellStart"/>
      <w:r w:rsidRPr="00A35A17">
        <w:rPr>
          <w:rFonts w:cs="Arial"/>
          <w:bCs/>
          <w:szCs w:val="20"/>
        </w:rPr>
        <w:t>eurov</w:t>
      </w:r>
      <w:proofErr w:type="spellEnd"/>
      <w:r w:rsidRPr="00A35A17">
        <w:rPr>
          <w:rFonts w:cs="Arial"/>
          <w:bCs/>
          <w:szCs w:val="20"/>
        </w:rPr>
        <w:t xml:space="preserve"> je za prekršek kaznovan izvorni proizvajalec baterij in akumulatorjev, ki je pravna oseba ali samostojni podjetnik posameznik, če: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so baterije, akumulatorji in baterijski sklopi označeni v skladu s prvim odstavkom 33.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je na prenosnih in avtomobilskih baterijah ali akumulatorjih navedena zmogljivost v skladu z drugim odstavkom 33. člena te uredbe, če je izvorni proizvajalec prenosnih ali avtomobilskih baterij ali akumulatorjev;</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določi zmogljivosti prenosnih sekundarnih in avtomobilskih baterij in akumulatorjev v skladu s tretjim odstavkom 33. člena te uredbe, če je izvorni proizvajalec prenosnih sekundarnih ali avtomobilskih baterij ali akumulatorjev;</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so baterije, akumulatorji in gumbaste celice, ki vsebujejo več kakor 0,0005 % živega srebra, več kakor 0,002 % kadmija ali več kakor 0,004 % svinca, označene v skladu s četrtim odstavkom 33.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v skladu s petim odstavkom 33. člena te uredbe znak iz Priloge 2 te uredbe pokriva najmanj 3 % površine največje ploskve baterije, akumulatorja ali baterijskega sklopa in ne presega velikosti 5 x 5 cm oziroma pri valjastih celicah najmanj 1,5 % površine telesa baterije ali akumulatorja in ne presega velikosti 5 x 5 cm;</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so baterije, akumulatorji ali baterijski sklopi, katerih površina znaka je manjša od 0,5 x 0,5 cm, označeni v skladu s šestim odstavkom 33. člena te uredbe;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so baterije, akumulatorji, gumbaste celice in baterijski sklopi označeni v skladu s sedmim odstavkom 33. člena te uredbe.«</w:t>
      </w:r>
    </w:p>
    <w:p w:rsidR="00A35A17" w:rsidRPr="00A35A17" w:rsidRDefault="00A35A17" w:rsidP="00A35A17">
      <w:pPr>
        <w:spacing w:before="120" w:after="120" w:line="240" w:lineRule="auto"/>
        <w:jc w:val="both"/>
        <w:rPr>
          <w:rFonts w:cs="Arial"/>
          <w:bCs/>
          <w:szCs w:val="20"/>
        </w:rPr>
      </w:pPr>
    </w:p>
    <w:p w:rsidR="00A35A17" w:rsidRPr="00A35A17" w:rsidRDefault="00A35A17" w:rsidP="00A35A17">
      <w:pPr>
        <w:spacing w:before="120" w:after="120" w:line="240" w:lineRule="auto"/>
        <w:jc w:val="both"/>
        <w:rPr>
          <w:rFonts w:cs="Arial"/>
          <w:bCs/>
          <w:szCs w:val="20"/>
        </w:rPr>
      </w:pPr>
      <w:r>
        <w:rPr>
          <w:rFonts w:cs="Arial"/>
          <w:bCs/>
          <w:szCs w:val="20"/>
        </w:rPr>
        <w:lastRenderedPageBreak/>
        <w:t xml:space="preserve">(3) </w:t>
      </w:r>
      <w:r w:rsidRPr="00A35A17">
        <w:rPr>
          <w:rFonts w:cs="Arial"/>
          <w:bCs/>
          <w:szCs w:val="20"/>
        </w:rPr>
        <w:t>Četrti odstavek se spremeni tako, da se glasi:</w:t>
      </w:r>
    </w:p>
    <w:p w:rsidR="00A35A17" w:rsidRPr="00A35A17" w:rsidRDefault="00A35A17" w:rsidP="00A35A17">
      <w:pPr>
        <w:spacing w:before="120" w:after="120" w:line="240" w:lineRule="auto"/>
        <w:jc w:val="both"/>
        <w:rPr>
          <w:rFonts w:cs="Arial"/>
          <w:bCs/>
          <w:szCs w:val="20"/>
        </w:rPr>
      </w:pPr>
      <w:r w:rsidRPr="00A35A17">
        <w:rPr>
          <w:rFonts w:cs="Arial"/>
          <w:bCs/>
          <w:szCs w:val="20"/>
        </w:rPr>
        <w:t xml:space="preserve">»(4) Z globo od 4.000 </w:t>
      </w:r>
      <w:proofErr w:type="spellStart"/>
      <w:r w:rsidRPr="00A35A17">
        <w:rPr>
          <w:rFonts w:cs="Arial"/>
          <w:bCs/>
          <w:szCs w:val="20"/>
        </w:rPr>
        <w:t>eurov</w:t>
      </w:r>
      <w:proofErr w:type="spellEnd"/>
      <w:r w:rsidRPr="00A35A17">
        <w:rPr>
          <w:rFonts w:cs="Arial"/>
          <w:bCs/>
          <w:szCs w:val="20"/>
        </w:rPr>
        <w:t xml:space="preserve"> do 40.000 </w:t>
      </w:r>
      <w:proofErr w:type="spellStart"/>
      <w:r w:rsidRPr="00A35A17">
        <w:rPr>
          <w:rFonts w:cs="Arial"/>
          <w:bCs/>
          <w:szCs w:val="20"/>
        </w:rPr>
        <w:t>eurov</w:t>
      </w:r>
      <w:proofErr w:type="spellEnd"/>
      <w:r w:rsidRPr="00A35A17">
        <w:rPr>
          <w:rFonts w:cs="Arial"/>
          <w:bCs/>
          <w:szCs w:val="20"/>
        </w:rPr>
        <w:t xml:space="preserve"> je za prekršek kaznovan izvajalec javne službe, če:</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zagotovi, da je v skladu s prvim odstavkom 9. člena te uredbe končnim uporabnikom za odpadne prenosne baterije in akumulatorje, ki se razvrščajo med ločeno zbrane frakcije komunalnih odpadkov, dana možnost brezplačnega prepuščanja v zbirnih centrih ločeno zbranih frakcij komunalnih odpadkov ali v premični zbiralnici ločeno zbranih nevarnih frakcij komunalnih odpadkov;</w:t>
      </w:r>
    </w:p>
    <w:p w:rsidR="00A35A17" w:rsidRP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oddaja zbranih odpadnih prenosnih baterij in akumulatorjev zbiralcu odpadnih prenosnih baterij in akumulatorjev brez zahteve za plačilo zaradi morebitne vrednosti materialov v njih v skladu s tretjim odstavkom 9. člena te uredbe;</w:t>
      </w:r>
    </w:p>
    <w:p w:rsidR="00A35A17" w:rsidRDefault="00A35A17" w:rsidP="00A35A17">
      <w:pPr>
        <w:tabs>
          <w:tab w:val="left" w:pos="284"/>
        </w:tabs>
        <w:spacing w:before="120" w:after="120" w:line="240" w:lineRule="auto"/>
        <w:ind w:left="284" w:hanging="284"/>
        <w:jc w:val="both"/>
        <w:rPr>
          <w:rFonts w:cs="Arial"/>
          <w:bCs/>
          <w:szCs w:val="20"/>
        </w:rPr>
      </w:pPr>
      <w:r w:rsidRPr="00A35A17">
        <w:rPr>
          <w:rFonts w:cs="Arial"/>
          <w:bCs/>
          <w:szCs w:val="20"/>
        </w:rPr>
        <w:t xml:space="preserve">- </w:t>
      </w:r>
      <w:r w:rsidRPr="00A35A17">
        <w:rPr>
          <w:rFonts w:cs="Arial"/>
          <w:bCs/>
          <w:szCs w:val="20"/>
        </w:rPr>
        <w:tab/>
        <w:t>ne priznava stroškov ravnanja z odpadnimi prenosnimi baterijami in akumulatorji ob oddaji odpadnih prenosnih baterij in akumulatorjev zbiralcu prenosnih baterij in akumulatorjev in pri obračunu teh stroškov ne upošteva meril iz prvega odstavka 19. člena te uredbe.«</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(4) V petem odstavku se v osmi </w:t>
      </w:r>
      <w:proofErr w:type="spellStart"/>
      <w:r w:rsidRPr="00491876">
        <w:rPr>
          <w:rFonts w:cs="Arial"/>
          <w:bCs/>
          <w:szCs w:val="20"/>
        </w:rPr>
        <w:t>alinei</w:t>
      </w:r>
      <w:proofErr w:type="spellEnd"/>
      <w:r w:rsidRPr="00491876">
        <w:rPr>
          <w:rFonts w:cs="Arial"/>
          <w:bCs/>
          <w:szCs w:val="20"/>
        </w:rPr>
        <w:t xml:space="preserve"> besedi »s sedmim« nadomestita z besedama »z devetim«.</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(5) V prvi </w:t>
      </w:r>
      <w:proofErr w:type="spellStart"/>
      <w:r w:rsidRPr="00491876">
        <w:rPr>
          <w:rFonts w:cs="Arial"/>
          <w:bCs/>
          <w:szCs w:val="20"/>
        </w:rPr>
        <w:t>alinei</w:t>
      </w:r>
      <w:proofErr w:type="spellEnd"/>
      <w:r w:rsidRPr="00491876">
        <w:rPr>
          <w:rFonts w:cs="Arial"/>
          <w:bCs/>
          <w:szCs w:val="20"/>
        </w:rPr>
        <w:t xml:space="preserve"> šestega odstavka se besedi »prenosnih akumulatorjev« nadomestita z besedo »akumulatorjev«. </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V tretji </w:t>
      </w:r>
      <w:proofErr w:type="spellStart"/>
      <w:r w:rsidRPr="00491876">
        <w:rPr>
          <w:rFonts w:cs="Arial"/>
          <w:bCs/>
          <w:szCs w:val="20"/>
        </w:rPr>
        <w:t>alinei</w:t>
      </w:r>
      <w:proofErr w:type="spellEnd"/>
      <w:r w:rsidRPr="00491876">
        <w:rPr>
          <w:rFonts w:cs="Arial"/>
          <w:bCs/>
          <w:szCs w:val="20"/>
        </w:rPr>
        <w:t xml:space="preserve"> se beseda »kupcem« nadomesti z besedo »končnim uporabnikom«.</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V šesti </w:t>
      </w:r>
      <w:proofErr w:type="spellStart"/>
      <w:r w:rsidRPr="00491876">
        <w:rPr>
          <w:rFonts w:cs="Arial"/>
          <w:bCs/>
          <w:szCs w:val="20"/>
        </w:rPr>
        <w:t>alinei</w:t>
      </w:r>
      <w:proofErr w:type="spellEnd"/>
      <w:r w:rsidRPr="00491876">
        <w:rPr>
          <w:rFonts w:cs="Arial"/>
          <w:bCs/>
          <w:szCs w:val="20"/>
        </w:rPr>
        <w:t xml:space="preserve"> se besedi »s sedmim« nadomestita z besedama »z devetim«.</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(6) V peti </w:t>
      </w:r>
      <w:proofErr w:type="spellStart"/>
      <w:r w:rsidRPr="00491876">
        <w:rPr>
          <w:rFonts w:cs="Arial"/>
          <w:bCs/>
          <w:szCs w:val="20"/>
        </w:rPr>
        <w:t>alinei</w:t>
      </w:r>
      <w:proofErr w:type="spellEnd"/>
      <w:r w:rsidRPr="00491876">
        <w:rPr>
          <w:rFonts w:cs="Arial"/>
          <w:bCs/>
          <w:szCs w:val="20"/>
        </w:rPr>
        <w:t xml:space="preserve"> sedmega odstavka se pred besedo »skladiščenje« doda beseda »predhodno«.</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(7) V 1. točki prve </w:t>
      </w:r>
      <w:proofErr w:type="spellStart"/>
      <w:r w:rsidRPr="00491876">
        <w:rPr>
          <w:rFonts w:cs="Arial"/>
          <w:bCs/>
          <w:szCs w:val="20"/>
        </w:rPr>
        <w:t>alinee</w:t>
      </w:r>
      <w:proofErr w:type="spellEnd"/>
      <w:r w:rsidRPr="00491876">
        <w:rPr>
          <w:rFonts w:cs="Arial"/>
          <w:bCs/>
          <w:szCs w:val="20"/>
        </w:rPr>
        <w:t xml:space="preserve"> devetega odstavka se pred besedo »baterij« doda beseda »odpadnih«. </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Doda se nova druga </w:t>
      </w:r>
      <w:proofErr w:type="spellStart"/>
      <w:r w:rsidRPr="00491876">
        <w:rPr>
          <w:rFonts w:cs="Arial"/>
          <w:bCs/>
          <w:szCs w:val="20"/>
        </w:rPr>
        <w:t>alinea</w:t>
      </w:r>
      <w:proofErr w:type="spellEnd"/>
      <w:r w:rsidRPr="00491876">
        <w:rPr>
          <w:rFonts w:cs="Arial"/>
          <w:bCs/>
          <w:szCs w:val="20"/>
        </w:rPr>
        <w:t>, ki se glasi:</w:t>
      </w:r>
    </w:p>
    <w:p w:rsidR="00E7152E" w:rsidRPr="00491876" w:rsidRDefault="00E7152E" w:rsidP="00E7152E">
      <w:pPr>
        <w:spacing w:before="120" w:after="120" w:line="240" w:lineRule="auto"/>
        <w:jc w:val="both"/>
        <w:rPr>
          <w:rFonts w:cs="Arial"/>
          <w:bCs/>
          <w:szCs w:val="20"/>
        </w:rPr>
      </w:pPr>
      <w:r w:rsidRPr="00491876">
        <w:rPr>
          <w:rFonts w:cs="Arial"/>
          <w:bCs/>
          <w:szCs w:val="20"/>
        </w:rPr>
        <w:t>»</w:t>
      </w:r>
      <w:r w:rsidRPr="00491876">
        <w:rPr>
          <w:rFonts w:cs="Arial"/>
        </w:rPr>
        <w:t>v nasprotju s šestim odstavkom 35. člena te uredbe ne izračuna učinkovitosti recikliranja postopka recikliranja odpadnih baterij in akumulatorjev ter stopnje recikliranega vsebovanega svinca in kadmija ali o tem ne poroča ministrstvu;</w:t>
      </w:r>
      <w:r w:rsidRPr="00491876">
        <w:rPr>
          <w:rFonts w:cs="Arial"/>
          <w:bCs/>
          <w:szCs w:val="20"/>
        </w:rPr>
        <w:t>«</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Dosedanja druga </w:t>
      </w:r>
      <w:proofErr w:type="spellStart"/>
      <w:r w:rsidRPr="00491876">
        <w:rPr>
          <w:rFonts w:cs="Arial"/>
          <w:bCs/>
          <w:szCs w:val="20"/>
        </w:rPr>
        <w:t>alinea</w:t>
      </w:r>
      <w:proofErr w:type="spellEnd"/>
      <w:r w:rsidRPr="00491876">
        <w:rPr>
          <w:rFonts w:cs="Arial"/>
          <w:bCs/>
          <w:szCs w:val="20"/>
        </w:rPr>
        <w:t xml:space="preserve"> postane tretja </w:t>
      </w:r>
      <w:proofErr w:type="spellStart"/>
      <w:r w:rsidRPr="00491876">
        <w:rPr>
          <w:rFonts w:cs="Arial"/>
          <w:bCs/>
          <w:szCs w:val="20"/>
        </w:rPr>
        <w:t>alinea</w:t>
      </w:r>
      <w:proofErr w:type="spellEnd"/>
      <w:r w:rsidRPr="00491876">
        <w:rPr>
          <w:rFonts w:cs="Arial"/>
          <w:bCs/>
          <w:szCs w:val="20"/>
        </w:rPr>
        <w:t>.</w:t>
      </w:r>
    </w:p>
    <w:p w:rsidR="00E7152E" w:rsidRPr="00491876" w:rsidRDefault="00E7152E" w:rsidP="00E7152E">
      <w:pPr>
        <w:spacing w:before="120" w:after="120" w:line="240" w:lineRule="auto"/>
        <w:jc w:val="both"/>
        <w:rPr>
          <w:rFonts w:cs="Arial"/>
          <w:bCs/>
          <w:szCs w:val="20"/>
        </w:rPr>
      </w:pPr>
      <w:r w:rsidRPr="00491876">
        <w:rPr>
          <w:rFonts w:cs="Arial"/>
          <w:bCs/>
          <w:szCs w:val="20"/>
        </w:rPr>
        <w:t>(8) Dodata se nova deseti in enajsti odstavek, ki se glasita:</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»(10) Z globo od 4.000 </w:t>
      </w:r>
      <w:proofErr w:type="spellStart"/>
      <w:r w:rsidRPr="00491876">
        <w:rPr>
          <w:rFonts w:cs="Arial"/>
          <w:bCs/>
          <w:szCs w:val="20"/>
        </w:rPr>
        <w:t>eurov</w:t>
      </w:r>
      <w:proofErr w:type="spellEnd"/>
      <w:r w:rsidRPr="00491876">
        <w:rPr>
          <w:rFonts w:cs="Arial"/>
          <w:bCs/>
          <w:szCs w:val="20"/>
        </w:rPr>
        <w:t xml:space="preserve"> do 40.000 </w:t>
      </w:r>
      <w:proofErr w:type="spellStart"/>
      <w:r w:rsidRPr="00491876">
        <w:rPr>
          <w:rFonts w:cs="Arial"/>
          <w:bCs/>
          <w:szCs w:val="20"/>
        </w:rPr>
        <w:t>eurov</w:t>
      </w:r>
      <w:proofErr w:type="spellEnd"/>
      <w:r w:rsidRPr="00491876">
        <w:rPr>
          <w:rFonts w:cs="Arial"/>
          <w:bCs/>
          <w:szCs w:val="20"/>
        </w:rPr>
        <w:t xml:space="preserve"> je za prekršek kaznovan izvorni proizvajalec naprav, ki je pravna oseba ali samostojni podjetnik posameznik, če:</w:t>
      </w:r>
    </w:p>
    <w:p w:rsidR="00E7152E" w:rsidRPr="00491876" w:rsidRDefault="00E7152E" w:rsidP="00E7152E">
      <w:pPr>
        <w:pStyle w:val="Alineazaodstavkom"/>
        <w:numPr>
          <w:ilvl w:val="0"/>
          <w:numId w:val="22"/>
        </w:numPr>
        <w:tabs>
          <w:tab w:val="clear" w:pos="397"/>
          <w:tab w:val="num" w:pos="142"/>
        </w:tabs>
        <w:overflowPunct/>
        <w:autoSpaceDE/>
        <w:autoSpaceDN/>
        <w:adjustRightInd/>
        <w:spacing w:before="120" w:after="120" w:line="240" w:lineRule="auto"/>
        <w:ind w:left="142" w:hanging="142"/>
        <w:textAlignment w:val="auto"/>
        <w:rPr>
          <w:rFonts w:cs="Arial"/>
          <w:bCs/>
          <w:sz w:val="20"/>
          <w:szCs w:val="20"/>
        </w:rPr>
      </w:pPr>
      <w:r w:rsidRPr="00491876">
        <w:rPr>
          <w:rFonts w:cs="Arial"/>
          <w:bCs/>
          <w:sz w:val="20"/>
          <w:szCs w:val="20"/>
          <w:lang w:eastAsia="en-US"/>
        </w:rPr>
        <w:t>ne zagotovi, da so naprave načrtovane v skladu z določbo prvega odstavka 7. člena te uredbe;</w:t>
      </w:r>
    </w:p>
    <w:p w:rsidR="00E7152E" w:rsidRPr="00491876" w:rsidRDefault="00E7152E" w:rsidP="00E7152E">
      <w:pPr>
        <w:pStyle w:val="Alineazaodstavkom"/>
        <w:numPr>
          <w:ilvl w:val="0"/>
          <w:numId w:val="22"/>
        </w:numPr>
        <w:tabs>
          <w:tab w:val="clear" w:pos="397"/>
          <w:tab w:val="num" w:pos="142"/>
        </w:tabs>
        <w:overflowPunct/>
        <w:autoSpaceDE/>
        <w:autoSpaceDN/>
        <w:adjustRightInd/>
        <w:spacing w:before="120" w:after="120" w:line="240" w:lineRule="auto"/>
        <w:ind w:left="142" w:hanging="142"/>
        <w:textAlignment w:val="auto"/>
        <w:rPr>
          <w:rFonts w:cs="Arial"/>
          <w:bCs/>
          <w:sz w:val="20"/>
          <w:szCs w:val="20"/>
        </w:rPr>
      </w:pPr>
      <w:r w:rsidRPr="00491876">
        <w:rPr>
          <w:rFonts w:cs="Arial"/>
          <w:bCs/>
          <w:sz w:val="20"/>
          <w:szCs w:val="20"/>
          <w:lang w:eastAsia="en-US"/>
        </w:rPr>
        <w:t>ne zagotovi, da so naprave opremljene z navodili v skladu z drugim odstavkom 7. člena te uredbe ali ne zagotovi takšnih navodil, kot je predpisano v drugem odstavku 7. člena te uredbe.</w:t>
      </w:r>
    </w:p>
    <w:p w:rsidR="00E7152E" w:rsidRPr="00491876" w:rsidRDefault="00E7152E" w:rsidP="00E7152E">
      <w:pPr>
        <w:spacing w:before="120" w:after="120" w:line="240" w:lineRule="auto"/>
        <w:jc w:val="both"/>
        <w:rPr>
          <w:rFonts w:cs="Arial"/>
          <w:bCs/>
          <w:szCs w:val="20"/>
        </w:rPr>
      </w:pPr>
      <w:r w:rsidRPr="00491876">
        <w:rPr>
          <w:rFonts w:cs="Arial"/>
          <w:bCs/>
          <w:szCs w:val="20"/>
        </w:rPr>
        <w:t xml:space="preserve">(11) Z globo od 4.000 </w:t>
      </w:r>
      <w:proofErr w:type="spellStart"/>
      <w:r w:rsidRPr="00491876">
        <w:rPr>
          <w:rFonts w:cs="Arial"/>
          <w:bCs/>
          <w:szCs w:val="20"/>
        </w:rPr>
        <w:t>eurov</w:t>
      </w:r>
      <w:proofErr w:type="spellEnd"/>
      <w:r w:rsidRPr="00491876">
        <w:rPr>
          <w:rFonts w:cs="Arial"/>
          <w:bCs/>
          <w:szCs w:val="20"/>
        </w:rPr>
        <w:t xml:space="preserve"> do 40.000 </w:t>
      </w:r>
      <w:proofErr w:type="spellStart"/>
      <w:r w:rsidRPr="00491876">
        <w:rPr>
          <w:rFonts w:cs="Arial"/>
          <w:bCs/>
          <w:szCs w:val="20"/>
        </w:rPr>
        <w:t>eurov</w:t>
      </w:r>
      <w:proofErr w:type="spellEnd"/>
      <w:r w:rsidRPr="00491876">
        <w:rPr>
          <w:rFonts w:cs="Arial"/>
          <w:bCs/>
          <w:szCs w:val="20"/>
        </w:rPr>
        <w:t xml:space="preserve"> je za prekršek kaznovan uvoznik naprav, ki je pravna oseba ali samostojni podjetnik posameznik, če v nasprotju s tretjim odstavkom 7. člena te uredbe ne zagotovi izpolnjevanja določb prvega in drugega odstavka 7. člena te uredbe.«.</w:t>
      </w:r>
    </w:p>
    <w:p w:rsidR="00E7152E" w:rsidRPr="00491876" w:rsidRDefault="00E7152E" w:rsidP="00E7152E">
      <w:pPr>
        <w:spacing w:before="120" w:after="120" w:line="240" w:lineRule="auto"/>
        <w:jc w:val="both"/>
        <w:rPr>
          <w:rFonts w:cs="Arial"/>
          <w:bCs/>
          <w:szCs w:val="20"/>
        </w:rPr>
      </w:pPr>
      <w:r w:rsidRPr="00491876">
        <w:rPr>
          <w:rFonts w:cs="Arial"/>
          <w:bCs/>
          <w:szCs w:val="20"/>
        </w:rPr>
        <w:t>(9) Dosedanji deseti odstavek, ki postane dvanajsti odstavek, se spremeni tako, da se glasi:</w:t>
      </w:r>
    </w:p>
    <w:p w:rsidR="00E7152E" w:rsidRDefault="00E7152E" w:rsidP="00E7152E">
      <w:pPr>
        <w:tabs>
          <w:tab w:val="left" w:pos="142"/>
        </w:tabs>
        <w:spacing w:before="120" w:after="120" w:line="240" w:lineRule="auto"/>
        <w:jc w:val="both"/>
        <w:rPr>
          <w:rFonts w:cs="Arial"/>
          <w:bCs/>
          <w:szCs w:val="20"/>
        </w:rPr>
      </w:pPr>
      <w:r w:rsidRPr="00491876">
        <w:rPr>
          <w:rFonts w:cs="Arial"/>
          <w:bCs/>
          <w:szCs w:val="20"/>
        </w:rPr>
        <w:t xml:space="preserve">»(12) Z globo od 1.200 </w:t>
      </w:r>
      <w:proofErr w:type="spellStart"/>
      <w:r w:rsidRPr="00491876">
        <w:rPr>
          <w:rFonts w:cs="Arial"/>
          <w:bCs/>
          <w:szCs w:val="20"/>
        </w:rPr>
        <w:t>eurov</w:t>
      </w:r>
      <w:proofErr w:type="spellEnd"/>
      <w:r w:rsidRPr="00491876">
        <w:rPr>
          <w:rFonts w:cs="Arial"/>
          <w:bCs/>
          <w:szCs w:val="20"/>
        </w:rPr>
        <w:t xml:space="preserve"> do 4.100 </w:t>
      </w:r>
      <w:proofErr w:type="spellStart"/>
      <w:r w:rsidRPr="00491876">
        <w:rPr>
          <w:rFonts w:cs="Arial"/>
          <w:bCs/>
          <w:szCs w:val="20"/>
        </w:rPr>
        <w:t>eurov</w:t>
      </w:r>
      <w:proofErr w:type="spellEnd"/>
      <w:r w:rsidRPr="00491876">
        <w:rPr>
          <w:rFonts w:cs="Arial"/>
          <w:bCs/>
          <w:szCs w:val="20"/>
        </w:rPr>
        <w:t xml:space="preserve"> je za prekršek iz prvega odstavka tega člena kaznovana tudi odgovorna oseba proizvajalca, za prekršek iz drugega odstavka tega člena odgovorna oseba izvornega proizvajalca baterij in akumulatorjev, za prekršek iz tretjega odstavka tega člena odgovorna oseba končnega uporabnika baterij in akumulatorjev, ki je pravna oseba, ali samostojni podjetnik posameznik, za prekršek iz četrtega odstavka tega člena odgovorna oseba izvajalca javne službe, za prekršek iz petega odstavka tega člena odgovorna oseba nosilca skupnega načrta ravnanja z odpadnimi baterijami in akumulatorji, za prekršek iz šestega odstavka tega člena odgovorna oseba distributerja, za prekršek iz sedmega odstavka tega člena odgovorna oseba zbiralca odpadnih baterij in akumulatorjev, za prekršek iz osmega odstavka tega člena odgovorna oseba končnega uporabnika brez predhodnega dobavitelja, ki je pravna oseba, ali samostojni podjetnik posameznik, za prekršek iz devetega odstavka tega člena odgovorna oseba izvajalca obdelave odpadnih baterij in akumulatorjev, za prekršek iz desetega odstavka tega člena odgovorna oseba proizvajalca naprav ter za prekršek iz enajstega odstavka tega člena odgovorna oseba uvoznika naprav.«.</w:t>
      </w:r>
    </w:p>
    <w:p w:rsidR="00B70D2E" w:rsidRDefault="00B70D2E" w:rsidP="00E7152E">
      <w:pPr>
        <w:tabs>
          <w:tab w:val="left" w:pos="142"/>
        </w:tabs>
        <w:spacing w:before="120" w:after="120" w:line="240" w:lineRule="auto"/>
        <w:jc w:val="both"/>
        <w:rPr>
          <w:rFonts w:cs="Arial"/>
          <w:bCs/>
          <w:szCs w:val="20"/>
        </w:rPr>
      </w:pPr>
    </w:p>
    <w:p w:rsidR="00B70D2E" w:rsidRPr="00491876" w:rsidRDefault="00617D82" w:rsidP="00B70D2E">
      <w:pPr>
        <w:tabs>
          <w:tab w:val="left" w:pos="142"/>
        </w:tabs>
        <w:spacing w:before="120" w:after="120" w:line="240" w:lineRule="auto"/>
        <w:jc w:val="center"/>
        <w:rPr>
          <w:rFonts w:cs="Arial"/>
          <w:bCs/>
          <w:szCs w:val="20"/>
        </w:rPr>
      </w:pPr>
      <w:r>
        <w:rPr>
          <w:rFonts w:cs="Arial"/>
          <w:bCs/>
          <w:szCs w:val="20"/>
        </w:rPr>
        <w:t>»PREHODNE</w:t>
      </w:r>
      <w:r w:rsidR="00B70D2E">
        <w:rPr>
          <w:rFonts w:cs="Arial"/>
          <w:bCs/>
          <w:szCs w:val="20"/>
        </w:rPr>
        <w:t xml:space="preserve"> IN KONČNA DOLOČBA«</w:t>
      </w:r>
    </w:p>
    <w:p w:rsidR="00E7152E" w:rsidRPr="00A4611D"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Pr>
          <w:rFonts w:ascii="Arial" w:hAnsi="Arial" w:cs="Arial"/>
          <w:b/>
          <w:bCs/>
          <w:sz w:val="20"/>
        </w:rPr>
        <w:t xml:space="preserve"> </w:t>
      </w:r>
      <w:r w:rsidRPr="00F87EEC">
        <w:rPr>
          <w:rFonts w:ascii="Arial" w:hAnsi="Arial" w:cs="Arial"/>
          <w:b/>
          <w:bCs/>
          <w:sz w:val="20"/>
        </w:rPr>
        <w:t>člen</w:t>
      </w:r>
    </w:p>
    <w:p w:rsidR="00E7152E" w:rsidRPr="008825B8" w:rsidRDefault="00E7152E" w:rsidP="00E7152E">
      <w:pPr>
        <w:spacing w:before="120" w:after="120" w:line="240" w:lineRule="auto"/>
        <w:jc w:val="both"/>
        <w:rPr>
          <w:rFonts w:cs="Arial"/>
          <w:bCs/>
          <w:szCs w:val="20"/>
        </w:rPr>
      </w:pPr>
      <w:r>
        <w:rPr>
          <w:rFonts w:cs="Arial"/>
          <w:bCs/>
          <w:szCs w:val="20"/>
        </w:rPr>
        <w:t xml:space="preserve">(1) </w:t>
      </w:r>
      <w:r w:rsidRPr="008825B8">
        <w:rPr>
          <w:rFonts w:cs="Arial"/>
          <w:bCs/>
          <w:szCs w:val="20"/>
        </w:rPr>
        <w:t xml:space="preserve">Prepoved iz druge </w:t>
      </w:r>
      <w:proofErr w:type="spellStart"/>
      <w:r w:rsidRPr="008825B8">
        <w:rPr>
          <w:rFonts w:cs="Arial"/>
          <w:bCs/>
          <w:szCs w:val="20"/>
        </w:rPr>
        <w:t>alinee</w:t>
      </w:r>
      <w:proofErr w:type="spellEnd"/>
      <w:r w:rsidRPr="008825B8">
        <w:rPr>
          <w:rFonts w:cs="Arial"/>
          <w:bCs/>
          <w:szCs w:val="20"/>
        </w:rPr>
        <w:t xml:space="preserve"> prvega odstavka 5. člena </w:t>
      </w:r>
      <w:r w:rsidR="00B70D2E">
        <w:rPr>
          <w:rFonts w:cs="Arial"/>
          <w:bCs/>
          <w:szCs w:val="20"/>
        </w:rPr>
        <w:t xml:space="preserve">uredbe </w:t>
      </w:r>
      <w:r w:rsidRPr="008825B8">
        <w:rPr>
          <w:rFonts w:cs="Arial"/>
          <w:bCs/>
          <w:szCs w:val="20"/>
        </w:rPr>
        <w:t>se do 31. decembra 2016 ne uporablja za prenosne baterije in akumulatorje, namenjene za brezžično električno orodje.«.</w:t>
      </w:r>
    </w:p>
    <w:p w:rsidR="00E7152E" w:rsidRPr="008825B8" w:rsidRDefault="00E7152E" w:rsidP="00E7152E">
      <w:pPr>
        <w:spacing w:before="120" w:after="120" w:line="240" w:lineRule="auto"/>
        <w:jc w:val="both"/>
        <w:rPr>
          <w:rFonts w:cs="Arial"/>
          <w:bCs/>
          <w:szCs w:val="20"/>
        </w:rPr>
      </w:pPr>
      <w:r>
        <w:rPr>
          <w:rFonts w:cs="Arial"/>
          <w:bCs/>
          <w:szCs w:val="20"/>
        </w:rPr>
        <w:t xml:space="preserve">(2) </w:t>
      </w:r>
      <w:r w:rsidRPr="008825B8">
        <w:rPr>
          <w:rFonts w:cs="Arial"/>
          <w:bCs/>
          <w:szCs w:val="20"/>
        </w:rPr>
        <w:t>Prenosne baterije in akumulatorji, namenjeni za brezžično električno orodje, ki vsebujejo več kot 0,002 % kadmija gl</w:t>
      </w:r>
      <w:r w:rsidR="00B70D2E">
        <w:rPr>
          <w:rFonts w:cs="Arial"/>
          <w:bCs/>
          <w:szCs w:val="20"/>
        </w:rPr>
        <w:t xml:space="preserve">ede na celotno maso ter so </w:t>
      </w:r>
      <w:r w:rsidRPr="008825B8">
        <w:rPr>
          <w:rFonts w:cs="Arial"/>
          <w:bCs/>
          <w:szCs w:val="20"/>
        </w:rPr>
        <w:t xml:space="preserve">dani v promet </w:t>
      </w:r>
      <w:r w:rsidR="00B70D2E">
        <w:rPr>
          <w:rFonts w:cs="Arial"/>
          <w:bCs/>
          <w:szCs w:val="20"/>
        </w:rPr>
        <w:t>do 31. december 2016</w:t>
      </w:r>
      <w:r w:rsidRPr="008825B8">
        <w:rPr>
          <w:rFonts w:cs="Arial"/>
          <w:bCs/>
          <w:szCs w:val="20"/>
        </w:rPr>
        <w:t xml:space="preserve">, se lahko tržijo do odprodaje zalog.«. </w:t>
      </w:r>
    </w:p>
    <w:p w:rsidR="00E7152E" w:rsidRPr="00A11707" w:rsidRDefault="00E7152E" w:rsidP="00E7152E">
      <w:pPr>
        <w:spacing w:before="120" w:after="120" w:line="240" w:lineRule="auto"/>
        <w:jc w:val="both"/>
        <w:rPr>
          <w:rFonts w:cs="Arial"/>
          <w:bCs/>
          <w:szCs w:val="20"/>
        </w:rPr>
      </w:pPr>
      <w:r>
        <w:rPr>
          <w:rFonts w:cs="Arial"/>
          <w:bCs/>
          <w:szCs w:val="20"/>
        </w:rPr>
        <w:t xml:space="preserve">(3) </w:t>
      </w:r>
      <w:r w:rsidRPr="00A11707">
        <w:rPr>
          <w:rFonts w:cs="Arial"/>
          <w:bCs/>
          <w:szCs w:val="20"/>
        </w:rPr>
        <w:t>Gumbaste celice, ki vsebujejo več kot 0,0005 % in manj kot 2 % živega srebra glede na celotno maso ter so bile dane v promet pred 1. oktobrom 2015</w:t>
      </w:r>
      <w:bookmarkStart w:id="0" w:name="_GoBack"/>
      <w:bookmarkEnd w:id="0"/>
      <w:r w:rsidRPr="00A11707">
        <w:rPr>
          <w:rFonts w:cs="Arial"/>
          <w:bCs/>
          <w:szCs w:val="20"/>
        </w:rPr>
        <w:t>, se lahko tržijo do odprodaje zalog.</w:t>
      </w:r>
    </w:p>
    <w:p w:rsidR="00E7152E" w:rsidRPr="00F87EEC" w:rsidRDefault="00E7152E" w:rsidP="00E7152E">
      <w:pPr>
        <w:pStyle w:val="Odstavekseznama"/>
        <w:numPr>
          <w:ilvl w:val="0"/>
          <w:numId w:val="21"/>
        </w:numPr>
        <w:spacing w:before="240" w:after="120"/>
        <w:ind w:left="284" w:hanging="284"/>
        <w:contextualSpacing w:val="0"/>
        <w:jc w:val="center"/>
        <w:rPr>
          <w:rFonts w:ascii="Arial" w:hAnsi="Arial" w:cs="Arial"/>
          <w:b/>
          <w:bCs/>
          <w:sz w:val="20"/>
        </w:rPr>
      </w:pPr>
      <w:r>
        <w:rPr>
          <w:rFonts w:ascii="Arial" w:hAnsi="Arial" w:cs="Arial"/>
          <w:b/>
          <w:bCs/>
          <w:sz w:val="20"/>
        </w:rPr>
        <w:t xml:space="preserve"> </w:t>
      </w:r>
      <w:r w:rsidRPr="00F87EEC">
        <w:rPr>
          <w:rFonts w:ascii="Arial" w:hAnsi="Arial" w:cs="Arial"/>
          <w:b/>
          <w:bCs/>
          <w:sz w:val="20"/>
        </w:rPr>
        <w:t>člen</w:t>
      </w:r>
    </w:p>
    <w:p w:rsidR="00E7152E" w:rsidRPr="00491876" w:rsidRDefault="00E7152E" w:rsidP="00E7152E">
      <w:pPr>
        <w:spacing w:before="120" w:after="120" w:line="240" w:lineRule="auto"/>
        <w:rPr>
          <w:rFonts w:cs="Arial"/>
          <w:bCs/>
          <w:szCs w:val="20"/>
        </w:rPr>
      </w:pPr>
      <w:r w:rsidRPr="00491876">
        <w:rPr>
          <w:rFonts w:cs="Arial"/>
          <w:bCs/>
          <w:szCs w:val="20"/>
        </w:rPr>
        <w:t>Ta uredba začne veljati naslednji dan po objavi v Uradnem listu Republike Slovenije.</w:t>
      </w:r>
    </w:p>
    <w:p w:rsidR="00E7152E" w:rsidRPr="00491876" w:rsidRDefault="00E7152E" w:rsidP="00E7152E">
      <w:pPr>
        <w:spacing w:before="120" w:after="120" w:line="240" w:lineRule="auto"/>
        <w:rPr>
          <w:rFonts w:cs="Arial"/>
          <w:bCs/>
          <w:szCs w:val="20"/>
        </w:rPr>
      </w:pPr>
    </w:p>
    <w:p w:rsidR="00E7152E" w:rsidRPr="00491876" w:rsidRDefault="00E7152E" w:rsidP="00E7152E">
      <w:pPr>
        <w:spacing w:before="80" w:after="40" w:line="240" w:lineRule="auto"/>
        <w:rPr>
          <w:rFonts w:cs="Arial"/>
          <w:bCs/>
          <w:szCs w:val="20"/>
        </w:rPr>
      </w:pPr>
    </w:p>
    <w:p w:rsidR="00E7152E" w:rsidRPr="00491876" w:rsidRDefault="00E7152E" w:rsidP="00E7152E">
      <w:pPr>
        <w:spacing w:before="80" w:after="40" w:line="240" w:lineRule="auto"/>
        <w:rPr>
          <w:rFonts w:cs="Arial"/>
          <w:bCs/>
          <w:szCs w:val="20"/>
        </w:rPr>
      </w:pPr>
    </w:p>
    <w:p w:rsidR="00E7152E" w:rsidRPr="00491876" w:rsidRDefault="00E7152E" w:rsidP="00E7152E">
      <w:pPr>
        <w:spacing w:before="80" w:after="40" w:line="240" w:lineRule="auto"/>
        <w:rPr>
          <w:rFonts w:cs="Arial"/>
          <w:bCs/>
          <w:noProof/>
          <w:szCs w:val="20"/>
        </w:rPr>
      </w:pPr>
    </w:p>
    <w:p w:rsidR="00E7152E" w:rsidRPr="00491876" w:rsidRDefault="00E7152E" w:rsidP="00E7152E">
      <w:pPr>
        <w:spacing w:before="80" w:after="40" w:line="240" w:lineRule="auto"/>
        <w:rPr>
          <w:rFonts w:cs="Arial"/>
          <w:bCs/>
          <w:noProof/>
          <w:szCs w:val="20"/>
        </w:rPr>
      </w:pPr>
    </w:p>
    <w:p w:rsidR="00E7152E" w:rsidRPr="00491876" w:rsidRDefault="00E7152E" w:rsidP="00E7152E">
      <w:pPr>
        <w:spacing w:before="80" w:after="40" w:line="240" w:lineRule="auto"/>
        <w:rPr>
          <w:rFonts w:cs="Arial"/>
          <w:bCs/>
          <w:noProof/>
          <w:szCs w:val="20"/>
        </w:rPr>
      </w:pPr>
    </w:p>
    <w:p w:rsidR="00E7152E" w:rsidRPr="00491876" w:rsidRDefault="00E7152E" w:rsidP="00E7152E">
      <w:pPr>
        <w:spacing w:before="80" w:after="40" w:line="240" w:lineRule="auto"/>
        <w:rPr>
          <w:rFonts w:cs="Arial"/>
          <w:bCs/>
          <w:noProof/>
          <w:szCs w:val="20"/>
        </w:rPr>
      </w:pPr>
      <w:r w:rsidRPr="00491876">
        <w:rPr>
          <w:rFonts w:cs="Arial"/>
          <w:bCs/>
          <w:noProof/>
          <w:szCs w:val="20"/>
        </w:rPr>
        <w:t>Št.</w:t>
      </w:r>
      <w:r w:rsidRPr="00491876">
        <w:rPr>
          <w:rFonts w:cs="Arial"/>
          <w:bCs/>
          <w:szCs w:val="20"/>
        </w:rPr>
        <w:t xml:space="preserve"> 007-242/2015</w:t>
      </w:r>
    </w:p>
    <w:p w:rsidR="00E7152E" w:rsidRPr="00491876" w:rsidRDefault="00E7152E" w:rsidP="00E7152E">
      <w:pPr>
        <w:spacing w:before="80" w:after="40" w:line="240" w:lineRule="auto"/>
        <w:rPr>
          <w:rFonts w:cs="Arial"/>
          <w:bCs/>
          <w:noProof/>
          <w:szCs w:val="20"/>
        </w:rPr>
      </w:pPr>
      <w:r w:rsidRPr="00491876">
        <w:rPr>
          <w:rFonts w:cs="Arial"/>
          <w:bCs/>
          <w:noProof/>
          <w:szCs w:val="20"/>
        </w:rPr>
        <w:t xml:space="preserve">Ljubljana, dne </w:t>
      </w:r>
      <w:r w:rsidR="00864AAA">
        <w:rPr>
          <w:rFonts w:cs="Arial"/>
          <w:bCs/>
          <w:noProof/>
          <w:szCs w:val="20"/>
        </w:rPr>
        <w:t>14</w:t>
      </w:r>
      <w:r w:rsidRPr="00491876">
        <w:rPr>
          <w:rFonts w:cs="Arial"/>
          <w:bCs/>
          <w:noProof/>
          <w:szCs w:val="20"/>
        </w:rPr>
        <w:t xml:space="preserve">. </w:t>
      </w:r>
      <w:r>
        <w:rPr>
          <w:rFonts w:cs="Arial"/>
          <w:bCs/>
          <w:noProof/>
          <w:szCs w:val="20"/>
        </w:rPr>
        <w:t>decembra</w:t>
      </w:r>
      <w:r w:rsidRPr="00491876">
        <w:rPr>
          <w:rFonts w:cs="Arial"/>
          <w:bCs/>
          <w:noProof/>
          <w:szCs w:val="20"/>
        </w:rPr>
        <w:t xml:space="preserve"> 2015</w:t>
      </w:r>
    </w:p>
    <w:p w:rsidR="00E7152E" w:rsidRPr="00491876" w:rsidRDefault="00E7152E" w:rsidP="00E7152E">
      <w:pPr>
        <w:spacing w:before="80" w:after="40" w:line="240" w:lineRule="auto"/>
        <w:rPr>
          <w:rFonts w:cs="Arial"/>
          <w:bCs/>
          <w:noProof/>
          <w:szCs w:val="20"/>
        </w:rPr>
      </w:pPr>
    </w:p>
    <w:p w:rsidR="00E7152E" w:rsidRPr="00491876" w:rsidRDefault="00E7152E" w:rsidP="00E7152E">
      <w:pPr>
        <w:spacing w:before="80" w:after="40" w:line="240" w:lineRule="auto"/>
        <w:rPr>
          <w:rFonts w:cs="Arial"/>
          <w:bCs/>
          <w:noProof/>
          <w:szCs w:val="20"/>
        </w:rPr>
      </w:pPr>
      <w:r w:rsidRPr="00491876">
        <w:rPr>
          <w:rFonts w:cs="Arial"/>
          <w:bCs/>
          <w:noProof/>
          <w:szCs w:val="20"/>
        </w:rPr>
        <w:t>EVA 2015-2550-0024</w:t>
      </w:r>
    </w:p>
    <w:p w:rsidR="00E7152E" w:rsidRPr="00491876" w:rsidRDefault="00E7152E" w:rsidP="00E7152E">
      <w:pPr>
        <w:tabs>
          <w:tab w:val="center" w:pos="6804"/>
        </w:tabs>
        <w:spacing w:before="80" w:after="40" w:line="240" w:lineRule="auto"/>
        <w:rPr>
          <w:rFonts w:cs="Arial"/>
          <w:bCs/>
          <w:noProof/>
          <w:szCs w:val="20"/>
        </w:rPr>
      </w:pPr>
      <w:r w:rsidRPr="00491876">
        <w:rPr>
          <w:rFonts w:cs="Arial"/>
          <w:bCs/>
          <w:noProof/>
          <w:szCs w:val="20"/>
        </w:rPr>
        <w:tab/>
        <w:t>Vlada Republike Slovenije</w:t>
      </w:r>
    </w:p>
    <w:p w:rsidR="00E7152E" w:rsidRPr="00491876" w:rsidRDefault="00E7152E" w:rsidP="00E7152E">
      <w:pPr>
        <w:tabs>
          <w:tab w:val="center" w:pos="6804"/>
        </w:tabs>
        <w:spacing w:before="80" w:after="40" w:line="240" w:lineRule="auto"/>
        <w:rPr>
          <w:rFonts w:cs="Arial"/>
          <w:bCs/>
          <w:noProof/>
          <w:szCs w:val="20"/>
        </w:rPr>
      </w:pPr>
      <w:r w:rsidRPr="00491876">
        <w:rPr>
          <w:rFonts w:cs="Arial"/>
          <w:bCs/>
          <w:noProof/>
          <w:szCs w:val="20"/>
        </w:rPr>
        <w:tab/>
        <w:t>dr. Miro CERAR</w:t>
      </w:r>
    </w:p>
    <w:p w:rsidR="00E7152E" w:rsidRPr="00491876" w:rsidRDefault="00E7152E" w:rsidP="00E7152E">
      <w:pPr>
        <w:tabs>
          <w:tab w:val="center" w:pos="6804"/>
        </w:tabs>
        <w:spacing w:before="80" w:after="40" w:line="240" w:lineRule="auto"/>
        <w:rPr>
          <w:rFonts w:cs="Arial"/>
          <w:bCs/>
          <w:noProof/>
          <w:szCs w:val="20"/>
        </w:rPr>
      </w:pPr>
      <w:r w:rsidRPr="00491876">
        <w:rPr>
          <w:rFonts w:cs="Arial"/>
          <w:bCs/>
          <w:noProof/>
          <w:szCs w:val="20"/>
        </w:rPr>
        <w:tab/>
        <w:t>predsednik</w:t>
      </w:r>
    </w:p>
    <w:p w:rsidR="00E7152E" w:rsidRPr="00491876" w:rsidRDefault="00E7152E" w:rsidP="00E7152E">
      <w:pPr>
        <w:spacing w:line="240" w:lineRule="auto"/>
        <w:rPr>
          <w:rFonts w:cs="Arial"/>
          <w:iCs/>
          <w:szCs w:val="20"/>
          <w:lang w:eastAsia="sl-SI"/>
        </w:rPr>
      </w:pPr>
      <w:r w:rsidRPr="00491876">
        <w:rPr>
          <w:rFonts w:cs="Arial"/>
          <w:iCs/>
          <w:szCs w:val="20"/>
          <w:lang w:eastAsia="sl-SI"/>
        </w:rPr>
        <w:br w:type="page"/>
      </w:r>
    </w:p>
    <w:p w:rsidR="00E7152E" w:rsidRPr="00491876" w:rsidRDefault="00E7152E" w:rsidP="00E7152E">
      <w:pPr>
        <w:tabs>
          <w:tab w:val="left" w:pos="708"/>
        </w:tabs>
        <w:spacing w:before="60" w:after="60" w:line="240" w:lineRule="auto"/>
        <w:rPr>
          <w:rFonts w:cs="Arial"/>
          <w:b/>
          <w:szCs w:val="20"/>
        </w:rPr>
      </w:pPr>
      <w:r w:rsidRPr="00491876">
        <w:rPr>
          <w:rFonts w:cs="Arial"/>
          <w:b/>
          <w:szCs w:val="20"/>
        </w:rPr>
        <w:lastRenderedPageBreak/>
        <w:t>OBRAZLOŽITEV</w:t>
      </w:r>
    </w:p>
    <w:p w:rsidR="00E7152E" w:rsidRPr="00491876" w:rsidRDefault="00E7152E" w:rsidP="00E7152E">
      <w:pPr>
        <w:tabs>
          <w:tab w:val="left" w:pos="708"/>
        </w:tabs>
        <w:spacing w:before="60" w:after="60" w:line="240" w:lineRule="auto"/>
        <w:rPr>
          <w:rFonts w:cs="Arial"/>
          <w:b/>
          <w:szCs w:val="20"/>
        </w:rPr>
      </w:pPr>
    </w:p>
    <w:p w:rsidR="00E7152E" w:rsidRPr="00491876" w:rsidRDefault="00E7152E" w:rsidP="00E7152E">
      <w:pPr>
        <w:tabs>
          <w:tab w:val="left" w:pos="284"/>
        </w:tabs>
        <w:spacing w:before="120" w:after="120" w:line="240" w:lineRule="auto"/>
        <w:ind w:left="284" w:hanging="284"/>
        <w:rPr>
          <w:rFonts w:cs="Arial"/>
          <w:b/>
          <w:szCs w:val="20"/>
        </w:rPr>
      </w:pPr>
      <w:r w:rsidRPr="00491876">
        <w:rPr>
          <w:rFonts w:cs="Arial"/>
          <w:b/>
          <w:szCs w:val="20"/>
        </w:rPr>
        <w:t xml:space="preserve">I. </w:t>
      </w:r>
      <w:r w:rsidRPr="00491876">
        <w:rPr>
          <w:rFonts w:cs="Arial"/>
          <w:b/>
          <w:szCs w:val="20"/>
        </w:rPr>
        <w:tab/>
        <w:t>UVOD</w:t>
      </w:r>
    </w:p>
    <w:p w:rsidR="00E7152E" w:rsidRPr="00491876" w:rsidRDefault="00E7152E" w:rsidP="00E7152E">
      <w:pPr>
        <w:numPr>
          <w:ilvl w:val="0"/>
          <w:numId w:val="20"/>
        </w:numPr>
        <w:tabs>
          <w:tab w:val="clear" w:pos="720"/>
          <w:tab w:val="num" w:pos="284"/>
        </w:tabs>
        <w:spacing w:before="120" w:after="120" w:line="240" w:lineRule="auto"/>
        <w:ind w:left="284" w:hanging="284"/>
        <w:jc w:val="both"/>
        <w:rPr>
          <w:rFonts w:cs="Arial"/>
          <w:b/>
          <w:szCs w:val="20"/>
        </w:rPr>
      </w:pPr>
      <w:r w:rsidRPr="00491876">
        <w:rPr>
          <w:rFonts w:cs="Arial"/>
          <w:b/>
          <w:szCs w:val="20"/>
        </w:rPr>
        <w:t>Pravna podlaga (besedilo, vsebina zakonske določbe, ki je podlaga za izdajo predpisa):</w:t>
      </w:r>
    </w:p>
    <w:p w:rsidR="00E7152E" w:rsidRPr="00491876" w:rsidRDefault="00E7152E" w:rsidP="00E7152E">
      <w:pPr>
        <w:tabs>
          <w:tab w:val="num" w:pos="0"/>
        </w:tabs>
        <w:spacing w:before="60" w:after="60" w:line="240" w:lineRule="auto"/>
        <w:jc w:val="both"/>
        <w:rPr>
          <w:rFonts w:cs="Arial"/>
          <w:szCs w:val="20"/>
        </w:rPr>
      </w:pPr>
      <w:r w:rsidRPr="00491876">
        <w:rPr>
          <w:rFonts w:cs="Arial"/>
          <w:szCs w:val="20"/>
        </w:rPr>
        <w:t xml:space="preserve">Pravna podlaga za predlog Uredbe o spremembah in dopolnitvah Uredbe o ravnanju z baterijami in akumulatorji ter odpadnimi baterijami in akumulatorji sta drugi odstavek 19. člena in peti, šesti ter sedmi odstavek 20. člena Zakona o varstvu okolja (Uradni list RS, št. 39/06 – uradno prečiščeno besedilo, 49/06 – ZMetD, 66/06 – </w:t>
      </w:r>
      <w:proofErr w:type="spellStart"/>
      <w:r w:rsidRPr="00491876">
        <w:rPr>
          <w:rFonts w:cs="Arial"/>
          <w:szCs w:val="20"/>
        </w:rPr>
        <w:t>odl</w:t>
      </w:r>
      <w:proofErr w:type="spellEnd"/>
      <w:r w:rsidRPr="00491876">
        <w:rPr>
          <w:rFonts w:cs="Arial"/>
          <w:szCs w:val="20"/>
        </w:rPr>
        <w:t>. US, 33/07 – ZPNačrt, 57/08 – ZFO-1A, 70/08, 108/09, 108/09 – ZPNačrt-A, 48/12, 57/12, 92/13 in 56/15). Slednji določa, da Vlada RS s predpisom določi pravila ravnanja in druge pogoje za ravnanje z odpadki. Uredba vsebuje tudi določbe za izvrševanje 36. in 104. člena ter četrtega odstavka 157. člena istega zakona.</w:t>
      </w:r>
    </w:p>
    <w:p w:rsidR="00E7152E" w:rsidRPr="00E1141A" w:rsidRDefault="00E7152E" w:rsidP="00E1141A">
      <w:pPr>
        <w:tabs>
          <w:tab w:val="num" w:pos="0"/>
        </w:tabs>
        <w:spacing w:line="240" w:lineRule="auto"/>
        <w:jc w:val="both"/>
        <w:rPr>
          <w:rFonts w:cs="Arial"/>
          <w:sz w:val="10"/>
          <w:szCs w:val="10"/>
        </w:rPr>
      </w:pPr>
    </w:p>
    <w:p w:rsidR="00E7152E" w:rsidRPr="00491876" w:rsidRDefault="00E7152E" w:rsidP="00E7152E">
      <w:pPr>
        <w:numPr>
          <w:ilvl w:val="0"/>
          <w:numId w:val="20"/>
        </w:numPr>
        <w:tabs>
          <w:tab w:val="clear" w:pos="720"/>
          <w:tab w:val="num" w:pos="284"/>
        </w:tabs>
        <w:spacing w:before="120" w:after="120" w:line="240" w:lineRule="auto"/>
        <w:ind w:left="284" w:hanging="284"/>
        <w:jc w:val="both"/>
        <w:rPr>
          <w:rFonts w:cs="Arial"/>
          <w:b/>
          <w:szCs w:val="20"/>
        </w:rPr>
      </w:pPr>
      <w:r w:rsidRPr="00491876">
        <w:rPr>
          <w:rFonts w:cs="Arial"/>
          <w:b/>
          <w:szCs w:val="20"/>
        </w:rPr>
        <w:t>Rok za izdajo predpisa, ki ga je določil zakon: /</w:t>
      </w:r>
    </w:p>
    <w:p w:rsidR="00E7152E" w:rsidRPr="00491876" w:rsidRDefault="00E7152E" w:rsidP="00E7152E">
      <w:pPr>
        <w:spacing w:before="60" w:after="60" w:line="240" w:lineRule="auto"/>
        <w:jc w:val="both"/>
        <w:rPr>
          <w:rFonts w:cs="Arial"/>
          <w:bCs/>
          <w:szCs w:val="20"/>
        </w:rPr>
      </w:pPr>
      <w:r w:rsidRPr="00491876">
        <w:rPr>
          <w:rFonts w:cs="Arial"/>
          <w:bCs/>
          <w:szCs w:val="20"/>
        </w:rPr>
        <w:t>/</w:t>
      </w:r>
    </w:p>
    <w:p w:rsidR="00E7152E" w:rsidRPr="00491876" w:rsidRDefault="00E7152E" w:rsidP="00E7152E">
      <w:pPr>
        <w:numPr>
          <w:ilvl w:val="0"/>
          <w:numId w:val="20"/>
        </w:numPr>
        <w:tabs>
          <w:tab w:val="clear" w:pos="720"/>
          <w:tab w:val="num" w:pos="284"/>
        </w:tabs>
        <w:spacing w:before="120" w:after="120" w:line="240" w:lineRule="auto"/>
        <w:ind w:left="284" w:hanging="284"/>
        <w:jc w:val="both"/>
        <w:rPr>
          <w:rFonts w:cs="Arial"/>
          <w:b/>
          <w:szCs w:val="20"/>
        </w:rPr>
      </w:pPr>
      <w:r w:rsidRPr="00491876">
        <w:rPr>
          <w:rFonts w:cs="Arial"/>
          <w:b/>
          <w:szCs w:val="20"/>
        </w:rPr>
        <w:t>Splošna obrazložitev v zvezi s predlogom predpisa, če je potrebna:</w:t>
      </w:r>
    </w:p>
    <w:p w:rsidR="00E7152E" w:rsidRPr="00491876" w:rsidRDefault="00E7152E" w:rsidP="00E7152E">
      <w:pPr>
        <w:spacing w:before="60" w:after="60" w:line="240" w:lineRule="auto"/>
        <w:jc w:val="both"/>
        <w:rPr>
          <w:rFonts w:cs="Arial"/>
          <w:bCs/>
          <w:szCs w:val="20"/>
        </w:rPr>
      </w:pPr>
      <w:r w:rsidRPr="00491876">
        <w:rPr>
          <w:rFonts w:cs="Arial"/>
          <w:bCs/>
          <w:szCs w:val="20"/>
        </w:rPr>
        <w:t>Uredba o ravnanju z baterijami in akumulatorji ter odpadnimi baterijami in akumulatorji (Uradni list RS št. 3/10, 64/12 in 93/12; v nadaljnjem besedilu: uredba) v skladu z Direktivo 2006/66/ES Evropskega parlamenta in Sveta z dne 6. septembra 2006 o baterijah in akumulatorjih ter odpadnih baterijah in akumulatorjih in razveljavitvi Direktive 91/157/EGS (UL L št. 266 z dne 26. 9. 2006, str. 1; v nadaljnjem besedilu: Direktiva 2006/66/ES),med drugim določa pravila za dajanje baterij in akumulatorjev na trg, zlasti še prepoved dajanja na trg baterij in akumulatorjev, ki vsebujejo nevarne snovi, ter posebna pravila za zbiranje, obdelavo, recikliranje in odstranjevanje odpadnih baterij in akumulatorjev na področju ravnanja z odpadki.</w:t>
      </w:r>
    </w:p>
    <w:p w:rsidR="00E7152E" w:rsidRPr="00491876" w:rsidRDefault="00E7152E" w:rsidP="00E7152E">
      <w:pPr>
        <w:spacing w:before="60" w:after="60" w:line="240" w:lineRule="auto"/>
        <w:jc w:val="both"/>
        <w:rPr>
          <w:rFonts w:cs="Arial"/>
          <w:bCs/>
          <w:szCs w:val="20"/>
        </w:rPr>
      </w:pPr>
      <w:r w:rsidRPr="00491876">
        <w:rPr>
          <w:rFonts w:cs="Arial"/>
          <w:bCs/>
          <w:szCs w:val="20"/>
        </w:rPr>
        <w:t>Glavni razlog za spremembo in dopolnitev uredbe je prenos Direktive 2013/56/EU Evropskega parlamenta in Sveta z dne 20. novembra 2013 (UL L št. 329 z dne 10. 12. 2013, str. 5; v nadaljnjem besedilu: Direktiva 2013/56/EU) v pravni red Republike Slovenije.</w:t>
      </w:r>
    </w:p>
    <w:p w:rsidR="00E7152E" w:rsidRPr="00491876" w:rsidRDefault="00E7152E" w:rsidP="00E7152E">
      <w:pPr>
        <w:spacing w:before="60" w:after="60" w:line="240" w:lineRule="auto"/>
        <w:jc w:val="both"/>
        <w:rPr>
          <w:rFonts w:cs="Arial"/>
          <w:bCs/>
          <w:szCs w:val="20"/>
        </w:rPr>
      </w:pPr>
      <w:r w:rsidRPr="00491876">
        <w:rPr>
          <w:rFonts w:cs="Arial"/>
          <w:bCs/>
          <w:szCs w:val="20"/>
        </w:rPr>
        <w:t>Direktiva 2006/66/ES prepoveduje dajanje na trg prenosnih baterij in akumulatorjev, ki vsebujejo več kot 0,002 % kadmija glede na celotno maso, vključno s tistimi, vgrajenimi v naprave. Iz te prepovedi so bile izvzete prenosne baterije in akumulatorji, namenjeni za brezžično električno orodje. Za postopno zmanjšanje količine kadmija, sproščenega v okolje, je z Direktivo 2013/56/EU ta prepoved razširjena na prenosne baterije in akumulatorje, namenjene za brezžično električno orodje, saj so za take aplikacije na trgu dostopni primerni nadomestki brez kadmija, in sicer nikelj-kovinsko-</w:t>
      </w:r>
      <w:proofErr w:type="spellStart"/>
      <w:r w:rsidRPr="00491876">
        <w:rPr>
          <w:rFonts w:cs="Arial"/>
          <w:bCs/>
          <w:szCs w:val="20"/>
        </w:rPr>
        <w:t>hidridne</w:t>
      </w:r>
      <w:proofErr w:type="spellEnd"/>
      <w:r w:rsidRPr="00491876">
        <w:rPr>
          <w:rFonts w:cs="Arial"/>
          <w:bCs/>
          <w:szCs w:val="20"/>
        </w:rPr>
        <w:t xml:space="preserve"> in litij-ionske baterije. Izjema iz Direktive 2006/66/ES za prenosne baterije in akumulatorje, namenjene za brezžično električno orodje, velja še do 31. decembra 2016 zato, da se industrija recikliranja in potrošniki prilagodijo zadevnim nadomestnim tehnologijam.</w:t>
      </w:r>
    </w:p>
    <w:p w:rsidR="00E7152E" w:rsidRPr="00491876" w:rsidRDefault="00E7152E" w:rsidP="00E7152E">
      <w:pPr>
        <w:spacing w:before="60" w:after="60" w:line="240" w:lineRule="auto"/>
        <w:jc w:val="both"/>
        <w:rPr>
          <w:rFonts w:cs="Arial"/>
          <w:bCs/>
          <w:szCs w:val="20"/>
        </w:rPr>
      </w:pPr>
      <w:r w:rsidRPr="00491876">
        <w:rPr>
          <w:rFonts w:cs="Arial"/>
          <w:bCs/>
          <w:szCs w:val="20"/>
        </w:rPr>
        <w:t>Direktiva 2006/66/ES prepoveduje tudi dajanje na trg vseh baterij ali akumulatorjev, vgrajenih v naprave ali ne, ki vsebujejo več kot 0,0005 % živega srebra glede na celotno maso. Gumbaste celice z vsebnostjo živega srebra, ki ne presega 2 % glede na celotno maso, pa so izvzete iz te prepovedi. Ker je po ocenah Evropske komisije na trgu Unije že opazen premik h gumbastim celicam brez živega srebra, je z Direktivo 2013/56/EU prepovedano tudi trženje gumbastih celic z vsebnostjo živega srebra, ki presega 0,0005 % glede na celotno maso.</w:t>
      </w:r>
    </w:p>
    <w:p w:rsidR="00E7152E" w:rsidRPr="00491876" w:rsidRDefault="00E7152E" w:rsidP="00E7152E">
      <w:pPr>
        <w:spacing w:before="60" w:after="60" w:line="240" w:lineRule="auto"/>
        <w:jc w:val="both"/>
        <w:rPr>
          <w:rFonts w:cs="Arial"/>
          <w:bCs/>
          <w:szCs w:val="20"/>
        </w:rPr>
      </w:pPr>
      <w:r w:rsidRPr="00491876">
        <w:rPr>
          <w:rFonts w:cs="Arial"/>
          <w:bCs/>
          <w:szCs w:val="20"/>
        </w:rPr>
        <w:t xml:space="preserve">Zaradi tega se s to spremembo spreminjajo 1., 5., 7. in 43. člen uredbe. </w:t>
      </w:r>
    </w:p>
    <w:p w:rsidR="00E7152E" w:rsidRPr="00491876" w:rsidRDefault="00E7152E" w:rsidP="00E7152E">
      <w:pPr>
        <w:spacing w:before="60" w:after="60" w:line="240" w:lineRule="auto"/>
        <w:jc w:val="both"/>
        <w:rPr>
          <w:rFonts w:cs="Arial"/>
          <w:bCs/>
          <w:szCs w:val="20"/>
        </w:rPr>
      </w:pPr>
      <w:r w:rsidRPr="00491876">
        <w:rPr>
          <w:rFonts w:cs="Arial"/>
          <w:bCs/>
          <w:szCs w:val="20"/>
        </w:rPr>
        <w:t>Direktiva 2006/66/ES določa, da morajo biti proizvajalci baterij in akumulatorjev registrirani. Zaradi preprečevanja nepotrebnega upravnega bremena za proizvajalce so bile enake postopkovne zahteve, ki so veljale v vseh državah članicah, določene z Odločbo Komisije 2009/603/ES z dne 5. avgusta 2009 o določitvi zahtev po registraciji proizvajalcev baterij in akumulatorjev v skladu z Direktivo 2006/66/ES Evropskega parlamenta in Sveta (UL L 206 z dne 8. 8. 2009, str. 13; v nadaljnjem besedilu: Odločba 2009/603/ES). Z Direktivo 2013/56/EU je bila Odločba 2009/603/ES razveljavljena, zahteve iz te odločbe pa prenesene v direktivo. Zaradi tega se s to spremembo spreminjajo 1., 3., 4., 33., 35., 39., in 43. člen uredbe.</w:t>
      </w:r>
    </w:p>
    <w:p w:rsidR="00E7152E" w:rsidRPr="00491876" w:rsidRDefault="00E7152E" w:rsidP="00E7152E">
      <w:pPr>
        <w:spacing w:before="60" w:after="60" w:line="240" w:lineRule="auto"/>
        <w:jc w:val="both"/>
        <w:rPr>
          <w:rFonts w:cs="Arial"/>
          <w:bCs/>
          <w:szCs w:val="20"/>
        </w:rPr>
      </w:pPr>
      <w:r w:rsidRPr="00491876">
        <w:rPr>
          <w:rFonts w:cs="Arial"/>
          <w:bCs/>
          <w:szCs w:val="20"/>
        </w:rPr>
        <w:t>Poleg tega se spreminjajo še 2., 9., 10., 26., 28., 29., 31., in 37. člen uredbe.</w:t>
      </w:r>
    </w:p>
    <w:p w:rsidR="00E1141A" w:rsidRDefault="00E7152E" w:rsidP="00E1141A">
      <w:pPr>
        <w:spacing w:before="60" w:after="60" w:line="240" w:lineRule="auto"/>
        <w:jc w:val="both"/>
        <w:rPr>
          <w:rFonts w:cs="Arial"/>
          <w:b/>
          <w:szCs w:val="20"/>
        </w:rPr>
      </w:pPr>
      <w:r w:rsidRPr="00491876">
        <w:rPr>
          <w:rFonts w:cs="Arial"/>
          <w:bCs/>
          <w:szCs w:val="20"/>
        </w:rPr>
        <w:t>S tem predlogom se v druge člene uredbe o ravnanju z baterijami in akumulatorji ter odpadnimi baterijami in akumulatorji (Uradni list RS št. 3/10, 64/12 in 93/12) ne posega.</w:t>
      </w:r>
      <w:r w:rsidR="00E1141A">
        <w:rPr>
          <w:rFonts w:cs="Arial"/>
          <w:b/>
          <w:szCs w:val="20"/>
        </w:rPr>
        <w:br w:type="page"/>
      </w:r>
    </w:p>
    <w:p w:rsidR="00E7152E" w:rsidRPr="00491876" w:rsidRDefault="00E7152E" w:rsidP="00E1141A">
      <w:pPr>
        <w:tabs>
          <w:tab w:val="left" w:pos="284"/>
        </w:tabs>
        <w:spacing w:after="240" w:line="240" w:lineRule="auto"/>
        <w:jc w:val="both"/>
        <w:rPr>
          <w:rFonts w:cs="Arial"/>
          <w:b/>
          <w:bCs/>
          <w:szCs w:val="20"/>
        </w:rPr>
      </w:pPr>
      <w:r w:rsidRPr="00491876">
        <w:rPr>
          <w:rFonts w:cs="Arial"/>
          <w:b/>
          <w:bCs/>
          <w:szCs w:val="20"/>
        </w:rPr>
        <w:lastRenderedPageBreak/>
        <w:t>II. VSEBINSKA OBRAZLOŽITEV PREDLAGANIH REŠITEV</w:t>
      </w:r>
    </w:p>
    <w:p w:rsidR="00E7152E" w:rsidRPr="00491876" w:rsidRDefault="00E7152E" w:rsidP="00E7152E">
      <w:pPr>
        <w:spacing w:before="120" w:after="120" w:line="240" w:lineRule="auto"/>
        <w:jc w:val="both"/>
        <w:rPr>
          <w:rFonts w:cs="Arial"/>
          <w:b/>
          <w:bCs/>
          <w:szCs w:val="20"/>
        </w:rPr>
      </w:pPr>
      <w:r>
        <w:rPr>
          <w:rFonts w:cs="Arial"/>
          <w:b/>
          <w:bCs/>
          <w:szCs w:val="20"/>
        </w:rPr>
        <w:t>2</w:t>
      </w:r>
      <w:r w:rsidRPr="00491876">
        <w:rPr>
          <w:rFonts w:cs="Arial"/>
          <w:b/>
          <w:bCs/>
          <w:szCs w:val="20"/>
        </w:rPr>
        <w:t xml:space="preserve">., </w:t>
      </w:r>
      <w:r>
        <w:rPr>
          <w:rFonts w:cs="Arial"/>
          <w:b/>
          <w:bCs/>
          <w:szCs w:val="20"/>
        </w:rPr>
        <w:t>5</w:t>
      </w:r>
      <w:r w:rsidRPr="00491876">
        <w:rPr>
          <w:rFonts w:cs="Arial"/>
          <w:b/>
          <w:bCs/>
          <w:szCs w:val="20"/>
        </w:rPr>
        <w:t xml:space="preserve">. in </w:t>
      </w:r>
      <w:r>
        <w:rPr>
          <w:rFonts w:cs="Arial"/>
          <w:b/>
          <w:bCs/>
          <w:szCs w:val="20"/>
        </w:rPr>
        <w:t>18</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 xml:space="preserve">S </w:t>
      </w:r>
      <w:r>
        <w:rPr>
          <w:rFonts w:cs="Arial"/>
          <w:bCs/>
          <w:szCs w:val="20"/>
        </w:rPr>
        <w:t>2</w:t>
      </w:r>
      <w:r w:rsidRPr="00491876">
        <w:rPr>
          <w:rFonts w:cs="Arial"/>
          <w:bCs/>
          <w:szCs w:val="20"/>
        </w:rPr>
        <w:t xml:space="preserve">., </w:t>
      </w:r>
      <w:r>
        <w:rPr>
          <w:rFonts w:cs="Arial"/>
          <w:bCs/>
          <w:szCs w:val="20"/>
        </w:rPr>
        <w:t>5</w:t>
      </w:r>
      <w:r w:rsidRPr="00491876">
        <w:rPr>
          <w:rFonts w:cs="Arial"/>
          <w:bCs/>
          <w:szCs w:val="20"/>
        </w:rPr>
        <w:t xml:space="preserve">. in </w:t>
      </w:r>
      <w:r>
        <w:rPr>
          <w:rFonts w:cs="Arial"/>
          <w:bCs/>
          <w:szCs w:val="20"/>
        </w:rPr>
        <w:t>18</w:t>
      </w:r>
      <w:r w:rsidRPr="00491876">
        <w:rPr>
          <w:rFonts w:cs="Arial"/>
          <w:bCs/>
          <w:szCs w:val="20"/>
        </w:rPr>
        <w:t>. členom tega predloga se spreminjajo 1., 4., in 41. člen uredbe.</w:t>
      </w:r>
    </w:p>
    <w:p w:rsidR="00E7152E" w:rsidRPr="00491876" w:rsidRDefault="00E7152E" w:rsidP="00E7152E">
      <w:pPr>
        <w:spacing w:before="80" w:after="40" w:line="240" w:lineRule="auto"/>
        <w:jc w:val="both"/>
        <w:rPr>
          <w:rFonts w:cs="Arial"/>
          <w:bCs/>
          <w:szCs w:val="20"/>
        </w:rPr>
      </w:pPr>
      <w:r w:rsidRPr="00491876">
        <w:rPr>
          <w:rFonts w:cs="Arial"/>
          <w:bCs/>
          <w:szCs w:val="20"/>
        </w:rPr>
        <w:t xml:space="preserve">Direktiva 2006/66/ES je bila nazadnje spremenjena z Direktivo 2013/56/EU, zato je s </w:t>
      </w:r>
      <w:r>
        <w:rPr>
          <w:rFonts w:cs="Arial"/>
          <w:bCs/>
          <w:szCs w:val="20"/>
        </w:rPr>
        <w:t>2</w:t>
      </w:r>
      <w:r w:rsidRPr="00491876">
        <w:rPr>
          <w:rFonts w:cs="Arial"/>
          <w:bCs/>
          <w:szCs w:val="20"/>
        </w:rPr>
        <w:t xml:space="preserve">. členom tega predloga ustrezno popravljen sklic v drugem odstavku 1. člena uredbe. Dosedanji tretji odstavek 1. člena uredbe je črtan. Vsebina 1. in 3. točke tega odstavka je prenesena v tretji odstavek 4. člena uredbe oziroma prvi odstavek 41. člena uredbe, kar je urejeno v </w:t>
      </w:r>
      <w:r>
        <w:rPr>
          <w:rFonts w:cs="Arial"/>
          <w:bCs/>
          <w:szCs w:val="20"/>
        </w:rPr>
        <w:t>5</w:t>
      </w:r>
      <w:r w:rsidRPr="00491876">
        <w:rPr>
          <w:rFonts w:cs="Arial"/>
          <w:bCs/>
          <w:szCs w:val="20"/>
        </w:rPr>
        <w:t>. in 1</w:t>
      </w:r>
      <w:r>
        <w:rPr>
          <w:rFonts w:cs="Arial"/>
          <w:bCs/>
          <w:szCs w:val="20"/>
        </w:rPr>
        <w:t>8</w:t>
      </w:r>
      <w:r w:rsidRPr="00491876">
        <w:rPr>
          <w:rFonts w:cs="Arial"/>
          <w:bCs/>
          <w:szCs w:val="20"/>
        </w:rPr>
        <w:t>. členu tega predloga. 2. točka tretjega odstavka 1. člena uredbe pa je črtana zaradi razveljavitve Odločbe 2009/603/ES.</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spacing w:before="120" w:after="120" w:line="240" w:lineRule="auto"/>
        <w:jc w:val="both"/>
        <w:rPr>
          <w:rFonts w:cs="Arial"/>
          <w:b/>
          <w:bCs/>
          <w:szCs w:val="20"/>
        </w:rPr>
      </w:pPr>
      <w:r>
        <w:rPr>
          <w:rFonts w:cs="Arial"/>
          <w:b/>
          <w:bCs/>
          <w:szCs w:val="20"/>
        </w:rPr>
        <w:t>3</w:t>
      </w:r>
      <w:r w:rsidRPr="00491876">
        <w:rPr>
          <w:rFonts w:cs="Arial"/>
          <w:b/>
          <w:bCs/>
          <w:szCs w:val="20"/>
        </w:rPr>
        <w:t xml:space="preserve">., </w:t>
      </w:r>
      <w:r>
        <w:rPr>
          <w:rFonts w:cs="Arial"/>
          <w:b/>
          <w:bCs/>
          <w:szCs w:val="20"/>
        </w:rPr>
        <w:t>10</w:t>
      </w:r>
      <w:r w:rsidRPr="00491876">
        <w:rPr>
          <w:rFonts w:cs="Arial"/>
          <w:b/>
          <w:bCs/>
          <w:szCs w:val="20"/>
        </w:rPr>
        <w:t>. in 1</w:t>
      </w:r>
      <w:r>
        <w:rPr>
          <w:rFonts w:cs="Arial"/>
          <w:b/>
          <w:bCs/>
          <w:szCs w:val="20"/>
        </w:rPr>
        <w:t>3</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Pr>
          <w:rFonts w:cs="Arial"/>
          <w:bCs/>
          <w:szCs w:val="20"/>
        </w:rPr>
        <w:t>S</w:t>
      </w:r>
      <w:r w:rsidRPr="00491876">
        <w:rPr>
          <w:rFonts w:cs="Arial"/>
          <w:bCs/>
          <w:szCs w:val="20"/>
        </w:rPr>
        <w:t xml:space="preserve"> </w:t>
      </w:r>
      <w:r>
        <w:rPr>
          <w:rFonts w:cs="Arial"/>
          <w:bCs/>
          <w:szCs w:val="20"/>
        </w:rPr>
        <w:t>3</w:t>
      </w:r>
      <w:r w:rsidRPr="00491876">
        <w:rPr>
          <w:rFonts w:cs="Arial"/>
          <w:bCs/>
          <w:szCs w:val="20"/>
        </w:rPr>
        <w:t xml:space="preserve">., </w:t>
      </w:r>
      <w:r>
        <w:rPr>
          <w:rFonts w:cs="Arial"/>
          <w:bCs/>
          <w:szCs w:val="20"/>
        </w:rPr>
        <w:t>10</w:t>
      </w:r>
      <w:r w:rsidRPr="00491876">
        <w:rPr>
          <w:rFonts w:cs="Arial"/>
          <w:bCs/>
          <w:szCs w:val="20"/>
        </w:rPr>
        <w:t>. in 1</w:t>
      </w:r>
      <w:r>
        <w:rPr>
          <w:rFonts w:cs="Arial"/>
          <w:bCs/>
          <w:szCs w:val="20"/>
        </w:rPr>
        <w:t>3</w:t>
      </w:r>
      <w:r w:rsidRPr="00491876">
        <w:rPr>
          <w:rFonts w:cs="Arial"/>
          <w:bCs/>
          <w:szCs w:val="20"/>
        </w:rPr>
        <w:t>. členom tega predloga se spreminjajo 2., 26., in 31. člen uredbe.</w:t>
      </w:r>
    </w:p>
    <w:p w:rsidR="00E7152E" w:rsidRPr="00491876" w:rsidRDefault="00E7152E" w:rsidP="00E7152E">
      <w:pPr>
        <w:spacing w:before="120" w:after="120" w:line="240" w:lineRule="auto"/>
        <w:jc w:val="both"/>
        <w:rPr>
          <w:rFonts w:cs="Arial"/>
          <w:bCs/>
          <w:szCs w:val="20"/>
        </w:rPr>
      </w:pPr>
      <w:r w:rsidRPr="00491876">
        <w:rPr>
          <w:rFonts w:cs="Arial"/>
          <w:bCs/>
          <w:szCs w:val="20"/>
        </w:rPr>
        <w:t>Zaradi uskladitve s slovensko zakonodajo je popravljen sklic na predpis, ki ureja izrabljena vozila.</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spacing w:before="120" w:after="120" w:line="240" w:lineRule="auto"/>
        <w:jc w:val="both"/>
        <w:rPr>
          <w:rFonts w:cs="Arial"/>
          <w:b/>
          <w:bCs/>
          <w:szCs w:val="20"/>
        </w:rPr>
      </w:pPr>
      <w:r>
        <w:rPr>
          <w:rFonts w:cs="Arial"/>
          <w:b/>
          <w:bCs/>
          <w:szCs w:val="20"/>
        </w:rPr>
        <w:t>4</w:t>
      </w:r>
      <w:r w:rsidRPr="00491876">
        <w:rPr>
          <w:rFonts w:cs="Arial"/>
          <w:b/>
          <w:bCs/>
          <w:szCs w:val="20"/>
        </w:rPr>
        <w:t xml:space="preserve">., </w:t>
      </w:r>
      <w:r>
        <w:rPr>
          <w:rFonts w:cs="Arial"/>
          <w:b/>
          <w:bCs/>
          <w:szCs w:val="20"/>
        </w:rPr>
        <w:t>7</w:t>
      </w:r>
      <w:r w:rsidRPr="00491876">
        <w:rPr>
          <w:rFonts w:cs="Arial"/>
          <w:b/>
          <w:bCs/>
          <w:szCs w:val="20"/>
        </w:rPr>
        <w:t xml:space="preserve">. in </w:t>
      </w:r>
      <w:r>
        <w:rPr>
          <w:rFonts w:cs="Arial"/>
          <w:b/>
          <w:bCs/>
          <w:szCs w:val="20"/>
        </w:rPr>
        <w:t>14</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 xml:space="preserve">S </w:t>
      </w:r>
      <w:r>
        <w:rPr>
          <w:rFonts w:cs="Arial"/>
          <w:bCs/>
          <w:szCs w:val="20"/>
        </w:rPr>
        <w:t>4</w:t>
      </w:r>
      <w:r w:rsidRPr="00491876">
        <w:rPr>
          <w:rFonts w:cs="Arial"/>
          <w:bCs/>
          <w:szCs w:val="20"/>
        </w:rPr>
        <w:t xml:space="preserve">., </w:t>
      </w:r>
      <w:r>
        <w:rPr>
          <w:rFonts w:cs="Arial"/>
          <w:bCs/>
          <w:szCs w:val="20"/>
        </w:rPr>
        <w:t>7</w:t>
      </w:r>
      <w:r w:rsidRPr="00491876">
        <w:rPr>
          <w:rFonts w:cs="Arial"/>
          <w:bCs/>
          <w:szCs w:val="20"/>
        </w:rPr>
        <w:t xml:space="preserve">. in </w:t>
      </w:r>
      <w:r>
        <w:rPr>
          <w:rFonts w:cs="Arial"/>
          <w:bCs/>
          <w:szCs w:val="20"/>
        </w:rPr>
        <w:t>14</w:t>
      </w:r>
      <w:r w:rsidRPr="00491876">
        <w:rPr>
          <w:rFonts w:cs="Arial"/>
          <w:bCs/>
          <w:szCs w:val="20"/>
        </w:rPr>
        <w:t>. členom tega predloga se spreminjajo 3., 7. in 33. člen uredbe.</w:t>
      </w:r>
    </w:p>
    <w:p w:rsidR="00E7152E" w:rsidRPr="00491876" w:rsidRDefault="00E7152E" w:rsidP="00E7152E">
      <w:pPr>
        <w:spacing w:before="120" w:after="120" w:line="240" w:lineRule="auto"/>
        <w:jc w:val="both"/>
        <w:rPr>
          <w:rFonts w:cs="Arial"/>
          <w:bCs/>
          <w:szCs w:val="20"/>
        </w:rPr>
      </w:pPr>
      <w:r w:rsidRPr="00491876">
        <w:rPr>
          <w:rFonts w:cs="Arial"/>
          <w:bCs/>
          <w:szCs w:val="20"/>
        </w:rPr>
        <w:t>Direktiva 2006/66/ES določa obveznosti izvornega proizvajalca baterij ali akumulatorjev, proizvajalca baterij ali akumulatorjev ter proizvajalca in uvoznika naprav. Zaradi razmejitve obveznosti posameznih navedenih oseb je v 13. točki 3. člena na novo opredeljen izvorni proizvajalec baterij ali akumulatorjev kot pravna oseba ali samostojni podjetnik posameznik, ki proizvaja baterije ali akumulatorje na ozemlju Republike Slovenije. V novih 29. in 30. točki tega člena pa sta na novo opredeljena proizvajalec in uvoznik naprav.</w:t>
      </w:r>
    </w:p>
    <w:p w:rsidR="00E7152E" w:rsidRPr="00491876" w:rsidRDefault="00E7152E" w:rsidP="00E7152E">
      <w:pPr>
        <w:spacing w:before="120" w:after="120" w:line="240" w:lineRule="auto"/>
        <w:jc w:val="both"/>
        <w:rPr>
          <w:rFonts w:cs="Arial"/>
          <w:bCs/>
          <w:szCs w:val="20"/>
        </w:rPr>
      </w:pPr>
      <w:r w:rsidRPr="00491876">
        <w:rPr>
          <w:rFonts w:cs="Arial"/>
          <w:szCs w:val="20"/>
        </w:rPr>
        <w:t>Ustrezno so spremenjene tudi določbe 7. in 33. člena uredbe.</w:t>
      </w:r>
    </w:p>
    <w:p w:rsidR="00E7152E" w:rsidRPr="00491876" w:rsidRDefault="00E7152E" w:rsidP="00E7152E">
      <w:pPr>
        <w:spacing w:before="120" w:after="120" w:line="240" w:lineRule="auto"/>
        <w:jc w:val="both"/>
        <w:rPr>
          <w:rFonts w:cs="Arial"/>
          <w:bCs/>
          <w:szCs w:val="20"/>
        </w:rPr>
      </w:pPr>
      <w:r w:rsidRPr="00491876">
        <w:rPr>
          <w:rFonts w:cs="Arial"/>
          <w:bCs/>
          <w:szCs w:val="20"/>
        </w:rPr>
        <w:t>Zaradi novih 29. in 30. točke 3. člena uredbe je 7. člen spremenjen tako, da se obveznosti, povezane z napravami, nanašajo na proizvajalca oziroma uvoznika naprav.</w:t>
      </w:r>
    </w:p>
    <w:p w:rsidR="00E7152E" w:rsidRPr="00491876" w:rsidRDefault="00E7152E" w:rsidP="00E7152E">
      <w:pPr>
        <w:spacing w:before="120" w:after="120" w:line="240" w:lineRule="auto"/>
        <w:jc w:val="both"/>
        <w:rPr>
          <w:rFonts w:cs="Arial"/>
          <w:bCs/>
          <w:szCs w:val="20"/>
        </w:rPr>
      </w:pPr>
      <w:r w:rsidRPr="00491876">
        <w:rPr>
          <w:rFonts w:cs="Arial"/>
          <w:bCs/>
          <w:szCs w:val="20"/>
        </w:rPr>
        <w:t>Zaradi prenosa četrtega odstavka 1. člena Direktive 2013/56/EU, s katerim je spremenjen 11. člen Direktive 2006/66/ES, so v 7. členu uredbe zahteve, ki jih morajo izpolnjevati proizvajalci naprav, usklajene z zahtevami iz Direktive 2013/56/EU.</w:t>
      </w:r>
    </w:p>
    <w:p w:rsidR="00E7152E" w:rsidRPr="00491876" w:rsidRDefault="00E7152E" w:rsidP="00E7152E">
      <w:pPr>
        <w:spacing w:before="120" w:after="120" w:line="240" w:lineRule="auto"/>
        <w:jc w:val="both"/>
        <w:rPr>
          <w:rFonts w:cs="Arial"/>
          <w:bCs/>
          <w:szCs w:val="20"/>
        </w:rPr>
      </w:pPr>
      <w:r w:rsidRPr="00491876">
        <w:rPr>
          <w:rFonts w:cs="Arial"/>
          <w:bCs/>
          <w:szCs w:val="20"/>
        </w:rPr>
        <w:t>Zaradi spremembe 13. točke 3. člena je 33. člen spremenjen tako, da se obveznost označevanja baterij in akumulatorjev nanaša na izvornega proizvajalca. Za baterije in akumulatorje, katerih izvorni proizvajalec ni slovenska pravna ali fizična oseba, je to obveznost proizvajalca.</w:t>
      </w:r>
    </w:p>
    <w:p w:rsidR="00E7152E" w:rsidRPr="00491876" w:rsidRDefault="00E7152E" w:rsidP="00E7152E">
      <w:pPr>
        <w:spacing w:before="120" w:after="40"/>
        <w:rPr>
          <w:rFonts w:cs="Arial"/>
          <w:bCs/>
          <w:szCs w:val="20"/>
        </w:rPr>
      </w:pPr>
      <w:r w:rsidRPr="00491876">
        <w:rPr>
          <w:rFonts w:cs="Arial"/>
          <w:bCs/>
          <w:szCs w:val="20"/>
        </w:rPr>
        <w:t>Določanje zmogljivosti prenosnih sekundarnih ali avtomobilskih baterij in akumulatorjev ureja Uredba Komisije (EU) št. 1103/2010, zato je v tretjem odstavku 33. člena, ki določa obveznost izvornega proizvajalca tovrstnih baterij glede določanja njihove zmogljivosti, naveden sklic na to uredbo.</w:t>
      </w:r>
    </w:p>
    <w:p w:rsidR="00E7152E" w:rsidRPr="00491876" w:rsidRDefault="00E7152E" w:rsidP="00E7152E">
      <w:pPr>
        <w:spacing w:before="120" w:after="120" w:line="240" w:lineRule="auto"/>
        <w:jc w:val="both"/>
        <w:rPr>
          <w:rFonts w:cs="Arial"/>
          <w:b/>
          <w:bCs/>
          <w:szCs w:val="20"/>
        </w:rPr>
      </w:pPr>
    </w:p>
    <w:p w:rsidR="00E7152E" w:rsidRPr="00491876" w:rsidRDefault="00E7152E" w:rsidP="00E7152E">
      <w:pPr>
        <w:spacing w:before="120" w:after="120" w:line="240" w:lineRule="auto"/>
        <w:jc w:val="both"/>
        <w:rPr>
          <w:rFonts w:cs="Arial"/>
          <w:b/>
          <w:bCs/>
          <w:szCs w:val="20"/>
        </w:rPr>
      </w:pPr>
      <w:r>
        <w:rPr>
          <w:rFonts w:cs="Arial"/>
          <w:b/>
          <w:bCs/>
          <w:szCs w:val="20"/>
        </w:rPr>
        <w:t>6</w:t>
      </w:r>
      <w:r w:rsidRPr="00491876">
        <w:rPr>
          <w:rFonts w:cs="Arial"/>
          <w:b/>
          <w:bCs/>
          <w:szCs w:val="20"/>
        </w:rPr>
        <w:t xml:space="preserve">. </w:t>
      </w:r>
      <w:r>
        <w:rPr>
          <w:rFonts w:cs="Arial"/>
          <w:b/>
          <w:bCs/>
          <w:szCs w:val="20"/>
        </w:rPr>
        <w:t xml:space="preserve">in 20. </w:t>
      </w:r>
      <w:r w:rsidRPr="00491876">
        <w:rPr>
          <w:rFonts w:cs="Arial"/>
          <w:b/>
          <w:bCs/>
          <w:szCs w:val="20"/>
        </w:rPr>
        <w:t>člen</w:t>
      </w:r>
    </w:p>
    <w:p w:rsidR="00E7152E" w:rsidRPr="00491876" w:rsidRDefault="00E7152E" w:rsidP="00E7152E">
      <w:pPr>
        <w:spacing w:before="80" w:after="40" w:line="240" w:lineRule="auto"/>
        <w:jc w:val="both"/>
        <w:rPr>
          <w:rFonts w:cs="Arial"/>
          <w:bCs/>
          <w:szCs w:val="20"/>
        </w:rPr>
      </w:pPr>
      <w:r w:rsidRPr="00491876">
        <w:rPr>
          <w:rFonts w:cs="Arial"/>
          <w:bCs/>
          <w:szCs w:val="20"/>
        </w:rPr>
        <w:t xml:space="preserve">S </w:t>
      </w:r>
      <w:r>
        <w:rPr>
          <w:rFonts w:cs="Arial"/>
          <w:bCs/>
          <w:szCs w:val="20"/>
        </w:rPr>
        <w:t>6</w:t>
      </w:r>
      <w:r w:rsidRPr="00491876">
        <w:rPr>
          <w:rFonts w:cs="Arial"/>
          <w:bCs/>
          <w:szCs w:val="20"/>
        </w:rPr>
        <w:t>.</w:t>
      </w:r>
      <w:r>
        <w:rPr>
          <w:rFonts w:cs="Arial"/>
          <w:bCs/>
          <w:szCs w:val="20"/>
        </w:rPr>
        <w:t xml:space="preserve"> in 20.</w:t>
      </w:r>
      <w:r w:rsidRPr="00491876">
        <w:rPr>
          <w:rFonts w:cs="Arial"/>
          <w:bCs/>
          <w:szCs w:val="20"/>
        </w:rPr>
        <w:t xml:space="preserve"> členom tega predloga se spreminja 5. člen uredbe.</w:t>
      </w:r>
    </w:p>
    <w:p w:rsidR="00E7152E" w:rsidRPr="00491876" w:rsidRDefault="00E7152E" w:rsidP="00E7152E">
      <w:pPr>
        <w:spacing w:before="80" w:after="40" w:line="240" w:lineRule="auto"/>
        <w:jc w:val="both"/>
        <w:rPr>
          <w:rFonts w:cs="Arial"/>
          <w:bCs/>
          <w:szCs w:val="20"/>
        </w:rPr>
      </w:pPr>
      <w:r w:rsidRPr="00491876">
        <w:rPr>
          <w:rFonts w:cs="Arial"/>
          <w:bCs/>
          <w:szCs w:val="20"/>
        </w:rPr>
        <w:t>S tem členom se prenašata prvi in peti odstavek 1. člena Direktive 2013/56/EU, ki določa prepoved uporabe kadmija v prenosnih baterijah in akumulatorjih, namenjenih za brezžično električno orodje, ter prepoved trženja gumbastih celic z vsebnostjo živega srebra, ki presega 0,0005 % glede na celotno maso.</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spacing w:before="120" w:after="120" w:line="240" w:lineRule="auto"/>
        <w:jc w:val="both"/>
        <w:rPr>
          <w:rFonts w:cs="Arial"/>
          <w:b/>
          <w:bCs/>
          <w:szCs w:val="20"/>
        </w:rPr>
      </w:pPr>
      <w:r>
        <w:rPr>
          <w:rFonts w:cs="Arial"/>
          <w:b/>
          <w:bCs/>
          <w:szCs w:val="20"/>
        </w:rPr>
        <w:t>8</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Pr>
          <w:rFonts w:cs="Arial"/>
          <w:bCs/>
          <w:szCs w:val="20"/>
        </w:rPr>
        <w:t>Z 8</w:t>
      </w:r>
      <w:r w:rsidRPr="00491876">
        <w:rPr>
          <w:rFonts w:cs="Arial"/>
          <w:bCs/>
          <w:szCs w:val="20"/>
        </w:rPr>
        <w:t>. členom tega predloga se spreminja 9. člen uredbe.</w:t>
      </w:r>
    </w:p>
    <w:p w:rsidR="00E7152E" w:rsidRPr="00491876" w:rsidRDefault="00E7152E" w:rsidP="00E7152E">
      <w:pPr>
        <w:spacing w:before="120" w:after="120" w:line="240" w:lineRule="auto"/>
        <w:jc w:val="both"/>
        <w:rPr>
          <w:rFonts w:cs="Arial"/>
          <w:bCs/>
          <w:szCs w:val="20"/>
        </w:rPr>
      </w:pPr>
      <w:r w:rsidRPr="00491876">
        <w:rPr>
          <w:rFonts w:cs="Arial"/>
          <w:bCs/>
          <w:szCs w:val="20"/>
        </w:rPr>
        <w:lastRenderedPageBreak/>
        <w:t>Prvi odstavek 9. člena uredbe se črta zaradi uskladitve z 21. členom Uredbe o odpadkih, ki določa prepoved mešanja nevarnih odpadkov, vendar se v skladu z Direktivo 2008/98/ES o odpadkih ne uporablja za mešane komunalne odpadke iz gospodinjstev.</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spacing w:before="120" w:after="120" w:line="240" w:lineRule="auto"/>
        <w:jc w:val="both"/>
        <w:rPr>
          <w:rFonts w:cs="Arial"/>
          <w:b/>
          <w:bCs/>
          <w:szCs w:val="20"/>
        </w:rPr>
      </w:pPr>
      <w:r>
        <w:rPr>
          <w:rFonts w:cs="Arial"/>
          <w:b/>
          <w:bCs/>
          <w:szCs w:val="20"/>
        </w:rPr>
        <w:t>9</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 xml:space="preserve">Z </w:t>
      </w:r>
      <w:r>
        <w:rPr>
          <w:rFonts w:cs="Arial"/>
          <w:bCs/>
          <w:szCs w:val="20"/>
        </w:rPr>
        <w:t>9</w:t>
      </w:r>
      <w:r w:rsidRPr="00491876">
        <w:rPr>
          <w:rFonts w:cs="Arial"/>
          <w:bCs/>
          <w:szCs w:val="20"/>
        </w:rPr>
        <w:t>. členom tega predloga se spreminja 10. člen uredbe.</w:t>
      </w:r>
    </w:p>
    <w:p w:rsidR="00E7152E" w:rsidRPr="00491876" w:rsidRDefault="00E7152E" w:rsidP="00E7152E">
      <w:pPr>
        <w:spacing w:before="80" w:after="40" w:line="240" w:lineRule="auto"/>
        <w:jc w:val="both"/>
        <w:rPr>
          <w:rFonts w:cs="Arial"/>
          <w:bCs/>
          <w:szCs w:val="20"/>
        </w:rPr>
      </w:pPr>
      <w:r w:rsidRPr="00491876">
        <w:rPr>
          <w:rFonts w:cs="Arial"/>
          <w:bCs/>
          <w:szCs w:val="20"/>
        </w:rPr>
        <w:t>Zaradi sprememb 9. člena uredbe je v četrtem odstavku 10. člena uredbe popravljen sklic na ta člen.</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spacing w:before="120" w:after="120" w:line="240" w:lineRule="auto"/>
        <w:jc w:val="both"/>
        <w:rPr>
          <w:rFonts w:cs="Arial"/>
          <w:b/>
          <w:bCs/>
          <w:szCs w:val="20"/>
        </w:rPr>
      </w:pPr>
      <w:r w:rsidRPr="00491876">
        <w:rPr>
          <w:rFonts w:cs="Arial"/>
          <w:b/>
          <w:bCs/>
          <w:szCs w:val="20"/>
        </w:rPr>
        <w:t>1</w:t>
      </w:r>
      <w:r>
        <w:rPr>
          <w:rFonts w:cs="Arial"/>
          <w:b/>
          <w:bCs/>
          <w:szCs w:val="20"/>
        </w:rPr>
        <w:t>1</w:t>
      </w:r>
      <w:r w:rsidRPr="00491876">
        <w:rPr>
          <w:rFonts w:cs="Arial"/>
          <w:b/>
          <w:bCs/>
          <w:szCs w:val="20"/>
        </w:rPr>
        <w:t>. in 1</w:t>
      </w:r>
      <w:r>
        <w:rPr>
          <w:rFonts w:cs="Arial"/>
          <w:b/>
          <w:bCs/>
          <w:szCs w:val="20"/>
        </w:rPr>
        <w:t>2</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Z 1</w:t>
      </w:r>
      <w:r>
        <w:rPr>
          <w:rFonts w:cs="Arial"/>
          <w:bCs/>
          <w:szCs w:val="20"/>
        </w:rPr>
        <w:t>1</w:t>
      </w:r>
      <w:r w:rsidRPr="00491876">
        <w:rPr>
          <w:rFonts w:cs="Arial"/>
          <w:bCs/>
          <w:szCs w:val="20"/>
        </w:rPr>
        <w:t>. in 1</w:t>
      </w:r>
      <w:r>
        <w:rPr>
          <w:rFonts w:cs="Arial"/>
          <w:bCs/>
          <w:szCs w:val="20"/>
        </w:rPr>
        <w:t>2</w:t>
      </w:r>
      <w:r w:rsidRPr="00491876">
        <w:rPr>
          <w:rFonts w:cs="Arial"/>
          <w:bCs/>
          <w:szCs w:val="20"/>
        </w:rPr>
        <w:t>. členom tega predloga se spreminjata 28. in 29. člen uredbe.</w:t>
      </w:r>
    </w:p>
    <w:p w:rsidR="00E7152E" w:rsidRPr="00491876" w:rsidRDefault="00E7152E" w:rsidP="00E7152E">
      <w:pPr>
        <w:spacing w:before="120" w:after="120" w:line="240" w:lineRule="auto"/>
        <w:jc w:val="both"/>
        <w:rPr>
          <w:rFonts w:cs="Arial"/>
          <w:bCs/>
          <w:szCs w:val="20"/>
        </w:rPr>
      </w:pPr>
      <w:r w:rsidRPr="00491876">
        <w:rPr>
          <w:rFonts w:cs="Arial"/>
          <w:bCs/>
          <w:szCs w:val="20"/>
        </w:rPr>
        <w:t>V petem odstavku 28. člena in v tretjem odstavku 29. člena uredbe, ki določata obveznosti proizvajalcev avtomobilskih baterij in akumulatorjev, je napačno navedena zahteva za industrijske baterije in akumulatorje namesto avtomobilske baterije in akumulatorje. S to spremembo se napaka odpravlja.</w:t>
      </w:r>
    </w:p>
    <w:p w:rsidR="00E7152E" w:rsidRPr="00491876" w:rsidRDefault="00E7152E" w:rsidP="00E7152E">
      <w:pPr>
        <w:spacing w:before="120" w:after="120" w:line="240" w:lineRule="auto"/>
        <w:jc w:val="both"/>
        <w:rPr>
          <w:rFonts w:cs="Arial"/>
          <w:b/>
          <w:bCs/>
          <w:szCs w:val="20"/>
        </w:rPr>
      </w:pPr>
    </w:p>
    <w:p w:rsidR="00E7152E" w:rsidRPr="00491876" w:rsidRDefault="00E7152E" w:rsidP="00E7152E">
      <w:pPr>
        <w:spacing w:before="120" w:after="120" w:line="240" w:lineRule="auto"/>
        <w:jc w:val="both"/>
        <w:rPr>
          <w:rFonts w:cs="Arial"/>
          <w:b/>
          <w:bCs/>
          <w:szCs w:val="20"/>
        </w:rPr>
      </w:pPr>
      <w:r w:rsidRPr="00491876">
        <w:rPr>
          <w:rFonts w:cs="Arial"/>
          <w:b/>
          <w:bCs/>
          <w:szCs w:val="20"/>
        </w:rPr>
        <w:t>1</w:t>
      </w:r>
      <w:r>
        <w:rPr>
          <w:rFonts w:cs="Arial"/>
          <w:b/>
          <w:bCs/>
          <w:szCs w:val="20"/>
        </w:rPr>
        <w:t>5</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S 1</w:t>
      </w:r>
      <w:r>
        <w:rPr>
          <w:rFonts w:cs="Arial"/>
          <w:bCs/>
          <w:szCs w:val="20"/>
        </w:rPr>
        <w:t>5</w:t>
      </w:r>
      <w:r w:rsidRPr="00491876">
        <w:rPr>
          <w:rFonts w:cs="Arial"/>
          <w:bCs/>
          <w:szCs w:val="20"/>
        </w:rPr>
        <w:t>. členom tega predloga se spreminja 35. člen uredbe.</w:t>
      </w:r>
    </w:p>
    <w:p w:rsidR="00E7152E" w:rsidRPr="00491876" w:rsidRDefault="00E7152E" w:rsidP="00E7152E">
      <w:pPr>
        <w:spacing w:before="120" w:after="120" w:line="240" w:lineRule="auto"/>
        <w:jc w:val="both"/>
        <w:rPr>
          <w:rFonts w:cs="Arial"/>
          <w:bCs/>
          <w:szCs w:val="20"/>
        </w:rPr>
      </w:pPr>
      <w:r w:rsidRPr="00491876">
        <w:rPr>
          <w:rFonts w:cs="Arial"/>
          <w:bCs/>
          <w:szCs w:val="20"/>
        </w:rPr>
        <w:t>Zaradi uskladitve s slovensko zakonodajo je popravljen sklic na predpis, ki ureja izrabljena vozila.</w:t>
      </w:r>
    </w:p>
    <w:p w:rsidR="00E7152E" w:rsidRPr="00491876" w:rsidRDefault="00E7152E" w:rsidP="00E7152E">
      <w:pPr>
        <w:spacing w:before="120" w:after="120" w:line="240" w:lineRule="auto"/>
        <w:jc w:val="both"/>
        <w:rPr>
          <w:rFonts w:cs="Arial"/>
          <w:bCs/>
          <w:szCs w:val="20"/>
        </w:rPr>
      </w:pPr>
      <w:r w:rsidRPr="00491876">
        <w:rPr>
          <w:rFonts w:cs="Arial"/>
          <w:bCs/>
          <w:szCs w:val="20"/>
        </w:rPr>
        <w:t>Obveznosti izvajalca obdelave glede izračunavanja učinkovitosti recikliranja odpadnih baterij in akumulatorjev ter stopnjo recikliranega vsebovanega svinca in kadmija ter poročanja o tem pristojnemu ministrstvu ureja Uredba Komisije (EU) št. 493/2012, zato je v novem šestem odstavku 35. člena uredbe naveden sklic na Uredbo Komisije (EU) št. 493/2012.</w:t>
      </w:r>
    </w:p>
    <w:p w:rsidR="00E7152E" w:rsidRPr="00491876" w:rsidRDefault="00E7152E" w:rsidP="00E7152E">
      <w:pPr>
        <w:spacing w:before="120" w:after="120" w:line="240" w:lineRule="auto"/>
        <w:jc w:val="both"/>
        <w:rPr>
          <w:rFonts w:cs="Arial"/>
          <w:bCs/>
          <w:szCs w:val="20"/>
        </w:rPr>
      </w:pPr>
    </w:p>
    <w:p w:rsidR="00E7152E" w:rsidRPr="00491876" w:rsidRDefault="00E7152E" w:rsidP="00E7152E">
      <w:pPr>
        <w:spacing w:before="120" w:after="120" w:line="240" w:lineRule="auto"/>
        <w:jc w:val="both"/>
        <w:rPr>
          <w:rFonts w:cs="Arial"/>
          <w:b/>
          <w:bCs/>
          <w:szCs w:val="20"/>
        </w:rPr>
      </w:pPr>
      <w:r w:rsidRPr="00491876">
        <w:rPr>
          <w:rFonts w:cs="Arial"/>
          <w:b/>
          <w:bCs/>
          <w:szCs w:val="20"/>
        </w:rPr>
        <w:t>1</w:t>
      </w:r>
      <w:r>
        <w:rPr>
          <w:rFonts w:cs="Arial"/>
          <w:b/>
          <w:bCs/>
          <w:szCs w:val="20"/>
        </w:rPr>
        <w:t>7</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S 1</w:t>
      </w:r>
      <w:r>
        <w:rPr>
          <w:rFonts w:cs="Arial"/>
          <w:bCs/>
          <w:szCs w:val="20"/>
        </w:rPr>
        <w:t>7</w:t>
      </w:r>
      <w:r w:rsidRPr="00491876">
        <w:rPr>
          <w:rFonts w:cs="Arial"/>
          <w:bCs/>
          <w:szCs w:val="20"/>
        </w:rPr>
        <w:t>. členom tega predloga se spreminja 39. člen uredbe.</w:t>
      </w:r>
    </w:p>
    <w:p w:rsidR="00E7152E" w:rsidRPr="00491876" w:rsidRDefault="00E7152E" w:rsidP="00E7152E">
      <w:pPr>
        <w:spacing w:before="80" w:after="40" w:line="240" w:lineRule="auto"/>
        <w:jc w:val="both"/>
        <w:rPr>
          <w:rFonts w:cs="Arial"/>
          <w:bCs/>
          <w:szCs w:val="20"/>
        </w:rPr>
      </w:pPr>
      <w:r w:rsidRPr="00491876">
        <w:rPr>
          <w:rFonts w:cs="Arial"/>
          <w:bCs/>
          <w:szCs w:val="20"/>
        </w:rPr>
        <w:t>Direktiva 2013/56/EU določa, da za registracijo proizvajalcev v vseh državah članicah veljajo iste postopkovne zahteve, ki so določene v Prilogi IV te direktive. V skladu s tem so v 39. členu uredbe navedene postopkovne zahteve za registracijo (evidenca proizvajalcev baterij in akumulatorjev).</w:t>
      </w:r>
    </w:p>
    <w:p w:rsidR="00E7152E" w:rsidRPr="00491876" w:rsidRDefault="00E7152E" w:rsidP="00E7152E">
      <w:pPr>
        <w:spacing w:line="240" w:lineRule="auto"/>
        <w:rPr>
          <w:rFonts w:cs="Arial"/>
          <w:b/>
          <w:bCs/>
          <w:szCs w:val="20"/>
        </w:rPr>
      </w:pPr>
    </w:p>
    <w:p w:rsidR="00E7152E" w:rsidRPr="00491876" w:rsidRDefault="00E7152E" w:rsidP="00E7152E">
      <w:pPr>
        <w:spacing w:before="120" w:after="120" w:line="240" w:lineRule="auto"/>
        <w:jc w:val="both"/>
        <w:rPr>
          <w:rFonts w:cs="Arial"/>
          <w:b/>
          <w:bCs/>
          <w:szCs w:val="20"/>
        </w:rPr>
      </w:pPr>
      <w:r w:rsidRPr="00491876">
        <w:rPr>
          <w:rFonts w:cs="Arial"/>
          <w:b/>
          <w:bCs/>
          <w:szCs w:val="20"/>
        </w:rPr>
        <w:t>1</w:t>
      </w:r>
      <w:r>
        <w:rPr>
          <w:rFonts w:cs="Arial"/>
          <w:b/>
          <w:bCs/>
          <w:szCs w:val="20"/>
        </w:rPr>
        <w:t>9</w:t>
      </w:r>
      <w:r w:rsidRPr="00491876">
        <w:rPr>
          <w:rFonts w:cs="Arial"/>
          <w:b/>
          <w:bCs/>
          <w:szCs w:val="20"/>
        </w:rPr>
        <w:t>. člen</w:t>
      </w:r>
    </w:p>
    <w:p w:rsidR="00E7152E" w:rsidRPr="00491876" w:rsidRDefault="00E7152E" w:rsidP="00E7152E">
      <w:pPr>
        <w:spacing w:before="80" w:after="40" w:line="240" w:lineRule="auto"/>
        <w:jc w:val="both"/>
        <w:rPr>
          <w:rFonts w:cs="Arial"/>
          <w:bCs/>
          <w:szCs w:val="20"/>
        </w:rPr>
      </w:pPr>
      <w:r w:rsidRPr="00491876">
        <w:rPr>
          <w:rFonts w:cs="Arial"/>
          <w:bCs/>
          <w:szCs w:val="20"/>
        </w:rPr>
        <w:t>Z 1</w:t>
      </w:r>
      <w:r>
        <w:rPr>
          <w:rFonts w:cs="Arial"/>
          <w:bCs/>
          <w:szCs w:val="20"/>
        </w:rPr>
        <w:t>9</w:t>
      </w:r>
      <w:r w:rsidRPr="00491876">
        <w:rPr>
          <w:rFonts w:cs="Arial"/>
          <w:bCs/>
          <w:szCs w:val="20"/>
        </w:rPr>
        <w:t>. členom tega predloga se spreminja 43. člen uredbe (prekrški). Spremembe tega člena odražajo spremembe prej navedenih členov.</w:t>
      </w:r>
    </w:p>
    <w:p w:rsidR="00E7152E" w:rsidRPr="00491876" w:rsidRDefault="00E7152E" w:rsidP="00E7152E">
      <w:pPr>
        <w:spacing w:before="80" w:after="40" w:line="240" w:lineRule="auto"/>
        <w:jc w:val="both"/>
        <w:rPr>
          <w:rFonts w:cs="Arial"/>
          <w:bCs/>
          <w:szCs w:val="20"/>
        </w:rPr>
      </w:pPr>
    </w:p>
    <w:p w:rsidR="00E7152E" w:rsidRPr="00CC0FD4" w:rsidRDefault="00E7152E" w:rsidP="00E7152E">
      <w:pPr>
        <w:spacing w:before="40" w:after="40" w:line="240" w:lineRule="auto"/>
        <w:rPr>
          <w:rFonts w:eastAsiaTheme="minorHAnsi" w:cs="Arial"/>
          <w:b/>
          <w:szCs w:val="20"/>
        </w:rPr>
      </w:pPr>
      <w:r w:rsidRPr="00CC0FD4">
        <w:rPr>
          <w:rFonts w:eastAsiaTheme="minorHAnsi" w:cs="Arial"/>
          <w:b/>
          <w:szCs w:val="20"/>
        </w:rPr>
        <w:t>20. člen</w:t>
      </w:r>
    </w:p>
    <w:p w:rsidR="00E7152E" w:rsidRPr="00491876" w:rsidRDefault="00E7152E" w:rsidP="00E7152E">
      <w:pPr>
        <w:spacing w:before="40" w:after="40" w:line="240" w:lineRule="auto"/>
        <w:rPr>
          <w:rFonts w:eastAsiaTheme="minorHAnsi" w:cs="Arial"/>
          <w:szCs w:val="20"/>
        </w:rPr>
      </w:pPr>
      <w:r>
        <w:rPr>
          <w:rFonts w:eastAsiaTheme="minorHAnsi" w:cs="Arial"/>
          <w:szCs w:val="20"/>
        </w:rPr>
        <w:t xml:space="preserve">Z 20. členom smo določbe, ki so prehodne narave, umestili </w:t>
      </w:r>
      <w:r w:rsidRPr="00E1748A">
        <w:rPr>
          <w:rFonts w:eastAsiaTheme="minorHAnsi" w:cs="Arial"/>
          <w:szCs w:val="20"/>
        </w:rPr>
        <w:t>med prehodne določbe.</w:t>
      </w:r>
    </w:p>
    <w:p w:rsidR="00425789" w:rsidRPr="002D6D29" w:rsidRDefault="00425789" w:rsidP="00B82A07">
      <w:pPr>
        <w:tabs>
          <w:tab w:val="left" w:pos="708"/>
        </w:tabs>
        <w:rPr>
          <w:rFonts w:cs="Arial"/>
          <w:szCs w:val="20"/>
        </w:rPr>
      </w:pPr>
    </w:p>
    <w:sectPr w:rsidR="00425789" w:rsidRPr="002D6D29" w:rsidSect="00B70D2E">
      <w:pgSz w:w="11900" w:h="16840" w:code="9"/>
      <w:pgMar w:top="1701" w:right="1134"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9D" w:rsidRDefault="0031179D">
      <w:r>
        <w:separator/>
      </w:r>
    </w:p>
  </w:endnote>
  <w:endnote w:type="continuationSeparator" w:id="0">
    <w:p w:rsidR="0031179D" w:rsidRDefault="0031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Republika">
    <w:altName w:val="Times New Roman"/>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E" w:rsidRDefault="00B70D2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70D2E" w:rsidRDefault="00B70D2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E" w:rsidRDefault="00B70D2E"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02DD">
      <w:rPr>
        <w:rStyle w:val="tevilkastrani"/>
        <w:noProof/>
      </w:rPr>
      <w:t>14</w:t>
    </w:r>
    <w:r>
      <w:rPr>
        <w:rStyle w:val="tevilkastrani"/>
      </w:rPr>
      <w:fldChar w:fldCharType="end"/>
    </w:r>
  </w:p>
  <w:p w:rsidR="00B70D2E" w:rsidRDefault="00B70D2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9D" w:rsidRDefault="0031179D">
      <w:r>
        <w:separator/>
      </w:r>
    </w:p>
  </w:footnote>
  <w:footnote w:type="continuationSeparator" w:id="0">
    <w:p w:rsidR="0031179D" w:rsidRDefault="0031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E" w:rsidRPr="00110CBD" w:rsidRDefault="00B70D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70D2E" w:rsidRPr="008F3500" w:rsidTr="00D00FA4">
      <w:trPr>
        <w:cantSplit/>
        <w:trHeight w:hRule="exact" w:val="847"/>
      </w:trPr>
      <w:tc>
        <w:tcPr>
          <w:tcW w:w="649" w:type="dxa"/>
        </w:tcPr>
        <w:p w:rsidR="00B70D2E" w:rsidRDefault="00B70D2E"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p w:rsidR="00B70D2E" w:rsidRPr="006D42D9" w:rsidRDefault="00B70D2E" w:rsidP="00ED2E04">
          <w:pPr>
            <w:rPr>
              <w:rFonts w:ascii="Republika" w:hAnsi="Republika"/>
              <w:sz w:val="60"/>
              <w:szCs w:val="60"/>
            </w:rPr>
          </w:pPr>
        </w:p>
      </w:tc>
    </w:tr>
  </w:tbl>
  <w:p w:rsidR="00B70D2E" w:rsidRPr="00B95595" w:rsidRDefault="00B70D2E"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24E0E362" wp14:editId="627FFF8A">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rsidR="00B70D2E" w:rsidRPr="00B95595" w:rsidRDefault="00B70D2E"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B70D2E" w:rsidRDefault="00B70D2E"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B70D2E" w:rsidRDefault="00B70D2E"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B70D2E" w:rsidRDefault="00B70D2E"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B70D2E" w:rsidRDefault="00B70D2E"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B70D2E" w:rsidRPr="008F3500" w:rsidRDefault="00B70D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37B96450"/>
    <w:multiLevelType w:val="hybridMultilevel"/>
    <w:tmpl w:val="5ADE8798"/>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1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ED47EE9"/>
    <w:multiLevelType w:val="hybridMultilevel"/>
    <w:tmpl w:val="A2681FB8"/>
    <w:lvl w:ilvl="0" w:tplc="0424000F">
      <w:start w:val="1"/>
      <w:numFmt w:val="decimal"/>
      <w:lvlText w:val="%1."/>
      <w:lvlJc w:val="left"/>
      <w:pPr>
        <w:ind w:left="5039" w:hanging="360"/>
      </w:pPr>
      <w:rPr>
        <w:rFonts w:hint="default"/>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870AC5"/>
    <w:multiLevelType w:val="hybridMultilevel"/>
    <w:tmpl w:val="8578D1F8"/>
    <w:lvl w:ilvl="0" w:tplc="52D4F416">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lvlOverride w:ilvl="0">
      <w:startOverride w:val="1"/>
    </w:lvlOverride>
  </w:num>
  <w:num w:numId="4">
    <w:abstractNumId w:val="15"/>
  </w:num>
  <w:num w:numId="5">
    <w:abstractNumId w:val="0"/>
  </w:num>
  <w:num w:numId="6">
    <w:abstractNumId w:val="19"/>
  </w:num>
  <w:num w:numId="7">
    <w:abstractNumId w:val="8"/>
  </w:num>
  <w:num w:numId="8">
    <w:abstractNumId w:val="20"/>
  </w:num>
  <w:num w:numId="9">
    <w:abstractNumId w:val="17"/>
  </w:num>
  <w:num w:numId="10">
    <w:abstractNumId w:val="4"/>
  </w:num>
  <w:num w:numId="11">
    <w:abstractNumId w:val="21"/>
  </w:num>
  <w:num w:numId="12">
    <w:abstractNumId w:val="23"/>
  </w:num>
  <w:num w:numId="13">
    <w:abstractNumId w:val="14"/>
  </w:num>
  <w:num w:numId="14">
    <w:abstractNumId w:val="6"/>
  </w:num>
  <w:num w:numId="15">
    <w:abstractNumId w:val="2"/>
  </w:num>
  <w:num w:numId="16">
    <w:abstractNumId w:val="16"/>
  </w:num>
  <w:num w:numId="17">
    <w:abstractNumId w:val="18"/>
  </w:num>
  <w:num w:numId="18">
    <w:abstractNumId w:val="5"/>
  </w:num>
  <w:num w:numId="19">
    <w:abstractNumId w:val="3"/>
  </w:num>
  <w:num w:numId="20">
    <w:abstractNumId w:val="12"/>
  </w:num>
  <w:num w:numId="21">
    <w:abstractNumId w:val="13"/>
  </w:num>
  <w:num w:numId="22">
    <w:abstractNumId w:val="22"/>
  </w:num>
  <w:num w:numId="23">
    <w:abstractNumId w:val="9"/>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1341A"/>
    <w:rsid w:val="00014B69"/>
    <w:rsid w:val="00014FA6"/>
    <w:rsid w:val="0001582C"/>
    <w:rsid w:val="00017082"/>
    <w:rsid w:val="00021985"/>
    <w:rsid w:val="00022CEA"/>
    <w:rsid w:val="00023A88"/>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E0FFB"/>
    <w:rsid w:val="000E2D54"/>
    <w:rsid w:val="000E4C6F"/>
    <w:rsid w:val="000F0B8E"/>
    <w:rsid w:val="000F17AE"/>
    <w:rsid w:val="000F1D7F"/>
    <w:rsid w:val="000F2E84"/>
    <w:rsid w:val="000F3329"/>
    <w:rsid w:val="001012F1"/>
    <w:rsid w:val="00104727"/>
    <w:rsid w:val="00106128"/>
    <w:rsid w:val="00107555"/>
    <w:rsid w:val="001102DD"/>
    <w:rsid w:val="0011396C"/>
    <w:rsid w:val="001179AC"/>
    <w:rsid w:val="00124F21"/>
    <w:rsid w:val="001252E3"/>
    <w:rsid w:val="00125C05"/>
    <w:rsid w:val="001311A3"/>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C010C"/>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9D5"/>
    <w:rsid w:val="002A0472"/>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2D1B"/>
    <w:rsid w:val="002F25AE"/>
    <w:rsid w:val="002F25F1"/>
    <w:rsid w:val="002F2742"/>
    <w:rsid w:val="002F28C0"/>
    <w:rsid w:val="002F3960"/>
    <w:rsid w:val="002F4300"/>
    <w:rsid w:val="002F7BE4"/>
    <w:rsid w:val="00304106"/>
    <w:rsid w:val="0031179D"/>
    <w:rsid w:val="00311C70"/>
    <w:rsid w:val="0031360B"/>
    <w:rsid w:val="0031464F"/>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6C7"/>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04B"/>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5A14"/>
    <w:rsid w:val="004670F0"/>
    <w:rsid w:val="00467233"/>
    <w:rsid w:val="004679B6"/>
    <w:rsid w:val="004706A4"/>
    <w:rsid w:val="0047174F"/>
    <w:rsid w:val="00471F6A"/>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6481"/>
    <w:rsid w:val="004D705F"/>
    <w:rsid w:val="004E0217"/>
    <w:rsid w:val="004E1647"/>
    <w:rsid w:val="004E1B9F"/>
    <w:rsid w:val="004E1CA1"/>
    <w:rsid w:val="004E2A5D"/>
    <w:rsid w:val="004E3253"/>
    <w:rsid w:val="004E37D3"/>
    <w:rsid w:val="004E3F67"/>
    <w:rsid w:val="004E5291"/>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6B62"/>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17D82"/>
    <w:rsid w:val="006204BB"/>
    <w:rsid w:val="00620E03"/>
    <w:rsid w:val="00621099"/>
    <w:rsid w:val="00621BB8"/>
    <w:rsid w:val="00621C51"/>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2D2F"/>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66E7"/>
    <w:rsid w:val="00757714"/>
    <w:rsid w:val="00761FC1"/>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A28"/>
    <w:rsid w:val="007B21D5"/>
    <w:rsid w:val="007B2BE9"/>
    <w:rsid w:val="007B549B"/>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6B58"/>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4AAA"/>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1F7A"/>
    <w:rsid w:val="00892448"/>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5522"/>
    <w:rsid w:val="0099697B"/>
    <w:rsid w:val="009A0478"/>
    <w:rsid w:val="009A123F"/>
    <w:rsid w:val="009A3A26"/>
    <w:rsid w:val="009A401A"/>
    <w:rsid w:val="009A55F2"/>
    <w:rsid w:val="009A5F34"/>
    <w:rsid w:val="009A69B7"/>
    <w:rsid w:val="009B368D"/>
    <w:rsid w:val="009B574A"/>
    <w:rsid w:val="009B65AE"/>
    <w:rsid w:val="009B7D0F"/>
    <w:rsid w:val="009C49A3"/>
    <w:rsid w:val="009C740A"/>
    <w:rsid w:val="009D2485"/>
    <w:rsid w:val="009D34A9"/>
    <w:rsid w:val="009D4D32"/>
    <w:rsid w:val="009D593E"/>
    <w:rsid w:val="009D6BA3"/>
    <w:rsid w:val="009D7E2D"/>
    <w:rsid w:val="009E474D"/>
    <w:rsid w:val="009E5DDF"/>
    <w:rsid w:val="009F2397"/>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5A17"/>
    <w:rsid w:val="00A37122"/>
    <w:rsid w:val="00A411D9"/>
    <w:rsid w:val="00A418BE"/>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8620D"/>
    <w:rsid w:val="00A96AC3"/>
    <w:rsid w:val="00AA2340"/>
    <w:rsid w:val="00AA2819"/>
    <w:rsid w:val="00AA3212"/>
    <w:rsid w:val="00AA53C0"/>
    <w:rsid w:val="00AA5656"/>
    <w:rsid w:val="00AA7CB0"/>
    <w:rsid w:val="00AB1EFF"/>
    <w:rsid w:val="00AB26F1"/>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F19"/>
    <w:rsid w:val="00AE3577"/>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0D2E"/>
    <w:rsid w:val="00B76446"/>
    <w:rsid w:val="00B82A07"/>
    <w:rsid w:val="00B8547D"/>
    <w:rsid w:val="00B8551C"/>
    <w:rsid w:val="00B862DC"/>
    <w:rsid w:val="00B87F2C"/>
    <w:rsid w:val="00B92F78"/>
    <w:rsid w:val="00B938A3"/>
    <w:rsid w:val="00B93A74"/>
    <w:rsid w:val="00B96046"/>
    <w:rsid w:val="00B96646"/>
    <w:rsid w:val="00B97D3E"/>
    <w:rsid w:val="00BA1B0D"/>
    <w:rsid w:val="00BA635D"/>
    <w:rsid w:val="00BA64CD"/>
    <w:rsid w:val="00BA6F6A"/>
    <w:rsid w:val="00BA7302"/>
    <w:rsid w:val="00BB00A6"/>
    <w:rsid w:val="00BB2B01"/>
    <w:rsid w:val="00BB2B10"/>
    <w:rsid w:val="00BB2FDD"/>
    <w:rsid w:val="00BC11AF"/>
    <w:rsid w:val="00BC3E15"/>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574A"/>
    <w:rsid w:val="00C0648A"/>
    <w:rsid w:val="00C078A2"/>
    <w:rsid w:val="00C123F3"/>
    <w:rsid w:val="00C1581D"/>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0FA4"/>
    <w:rsid w:val="00D01658"/>
    <w:rsid w:val="00D01CBE"/>
    <w:rsid w:val="00D04605"/>
    <w:rsid w:val="00D06027"/>
    <w:rsid w:val="00D109F9"/>
    <w:rsid w:val="00D11D73"/>
    <w:rsid w:val="00D11F08"/>
    <w:rsid w:val="00D23207"/>
    <w:rsid w:val="00D248DE"/>
    <w:rsid w:val="00D3607A"/>
    <w:rsid w:val="00D362BD"/>
    <w:rsid w:val="00D37014"/>
    <w:rsid w:val="00D374D5"/>
    <w:rsid w:val="00D43A4F"/>
    <w:rsid w:val="00D44ECD"/>
    <w:rsid w:val="00D47472"/>
    <w:rsid w:val="00D509E1"/>
    <w:rsid w:val="00D5214F"/>
    <w:rsid w:val="00D530A5"/>
    <w:rsid w:val="00D600F9"/>
    <w:rsid w:val="00D614AF"/>
    <w:rsid w:val="00D640CE"/>
    <w:rsid w:val="00D660AE"/>
    <w:rsid w:val="00D67686"/>
    <w:rsid w:val="00D67F61"/>
    <w:rsid w:val="00D774F7"/>
    <w:rsid w:val="00D776CE"/>
    <w:rsid w:val="00D819CA"/>
    <w:rsid w:val="00D81BB1"/>
    <w:rsid w:val="00D83EA8"/>
    <w:rsid w:val="00D841E3"/>
    <w:rsid w:val="00D8542D"/>
    <w:rsid w:val="00D86711"/>
    <w:rsid w:val="00D91E2B"/>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1560"/>
    <w:rsid w:val="00DE1EE7"/>
    <w:rsid w:val="00DE2419"/>
    <w:rsid w:val="00DE31C8"/>
    <w:rsid w:val="00DE427B"/>
    <w:rsid w:val="00DE4A20"/>
    <w:rsid w:val="00DF330E"/>
    <w:rsid w:val="00DF5A1B"/>
    <w:rsid w:val="00DF5EC0"/>
    <w:rsid w:val="00E00270"/>
    <w:rsid w:val="00E003CD"/>
    <w:rsid w:val="00E004D8"/>
    <w:rsid w:val="00E027CB"/>
    <w:rsid w:val="00E0357D"/>
    <w:rsid w:val="00E0463E"/>
    <w:rsid w:val="00E0526D"/>
    <w:rsid w:val="00E06489"/>
    <w:rsid w:val="00E1141A"/>
    <w:rsid w:val="00E1166C"/>
    <w:rsid w:val="00E128DC"/>
    <w:rsid w:val="00E129E9"/>
    <w:rsid w:val="00E12E77"/>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4E28"/>
    <w:rsid w:val="00E56BF8"/>
    <w:rsid w:val="00E63CBE"/>
    <w:rsid w:val="00E64413"/>
    <w:rsid w:val="00E70112"/>
    <w:rsid w:val="00E712E3"/>
    <w:rsid w:val="00E7152E"/>
    <w:rsid w:val="00E724D0"/>
    <w:rsid w:val="00E77701"/>
    <w:rsid w:val="00E802BC"/>
    <w:rsid w:val="00E83BA0"/>
    <w:rsid w:val="00E9066E"/>
    <w:rsid w:val="00E90D56"/>
    <w:rsid w:val="00E92CDC"/>
    <w:rsid w:val="00E95987"/>
    <w:rsid w:val="00E97462"/>
    <w:rsid w:val="00EA64A7"/>
    <w:rsid w:val="00EA67EB"/>
    <w:rsid w:val="00EA6CED"/>
    <w:rsid w:val="00EA7FBE"/>
    <w:rsid w:val="00EB1E3C"/>
    <w:rsid w:val="00EB5CD0"/>
    <w:rsid w:val="00EB7E75"/>
    <w:rsid w:val="00EC1B03"/>
    <w:rsid w:val="00EC22D8"/>
    <w:rsid w:val="00EC3106"/>
    <w:rsid w:val="00EC7A0A"/>
    <w:rsid w:val="00EC7A6D"/>
    <w:rsid w:val="00ED1C3E"/>
    <w:rsid w:val="00ED260B"/>
    <w:rsid w:val="00ED2CD5"/>
    <w:rsid w:val="00ED2E04"/>
    <w:rsid w:val="00ED3D4B"/>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315C1"/>
    <w:rsid w:val="00F37DC6"/>
    <w:rsid w:val="00F438E7"/>
    <w:rsid w:val="00F4754C"/>
    <w:rsid w:val="00F511A3"/>
    <w:rsid w:val="00F54154"/>
    <w:rsid w:val="00F57FED"/>
    <w:rsid w:val="00F65D20"/>
    <w:rsid w:val="00F671B7"/>
    <w:rsid w:val="00F675BF"/>
    <w:rsid w:val="00F67BB0"/>
    <w:rsid w:val="00F7085B"/>
    <w:rsid w:val="00F72D15"/>
    <w:rsid w:val="00F72FF2"/>
    <w:rsid w:val="00F83AB5"/>
    <w:rsid w:val="00F83C9D"/>
    <w:rsid w:val="00F8668E"/>
    <w:rsid w:val="00F8708F"/>
    <w:rsid w:val="00F9057B"/>
    <w:rsid w:val="00F957B7"/>
    <w:rsid w:val="00F96D56"/>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E7152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E7152E"/>
    <w:rPr>
      <w:rFonts w:ascii="Arial" w:hAnsi="Arial"/>
      <w:b/>
      <w:sz w:val="22"/>
      <w:szCs w:val="22"/>
      <w:lang w:val="x-none" w:eastAsia="x-none"/>
    </w:rPr>
  </w:style>
  <w:style w:type="paragraph" w:customStyle="1" w:styleId="lennaslov">
    <w:name w:val="Člen_naslov"/>
    <w:basedOn w:val="len"/>
    <w:qFormat/>
    <w:rsid w:val="00E7152E"/>
    <w:pPr>
      <w:spacing w:before="0"/>
    </w:pPr>
  </w:style>
  <w:style w:type="character" w:customStyle="1" w:styleId="Bodytext3">
    <w:name w:val="Body text (3)_"/>
    <w:basedOn w:val="Privzetapisavaodstavka"/>
    <w:link w:val="Bodytext30"/>
    <w:rsid w:val="00E7152E"/>
    <w:rPr>
      <w:sz w:val="19"/>
      <w:szCs w:val="19"/>
      <w:shd w:val="clear" w:color="auto" w:fill="FFFFFF"/>
    </w:rPr>
  </w:style>
  <w:style w:type="paragraph" w:customStyle="1" w:styleId="Bodytext30">
    <w:name w:val="Body text (3)"/>
    <w:basedOn w:val="Navaden"/>
    <w:link w:val="Bodytext3"/>
    <w:rsid w:val="00E7152E"/>
    <w:pPr>
      <w:shd w:val="clear" w:color="auto" w:fill="FFFFFF"/>
      <w:spacing w:line="0" w:lineRule="atLeast"/>
    </w:pPr>
    <w:rPr>
      <w:rFonts w:ascii="Times New Roman" w:hAnsi="Times New Roman"/>
      <w:sz w:val="19"/>
      <w:szCs w:val="19"/>
      <w:lang w:eastAsia="sl-SI"/>
    </w:rPr>
  </w:style>
  <w:style w:type="character" w:customStyle="1" w:styleId="Tablecaption">
    <w:name w:val="Table caption_"/>
    <w:basedOn w:val="Privzetapisavaodstavka"/>
    <w:link w:val="Tablecaption0"/>
    <w:rsid w:val="00E7152E"/>
    <w:rPr>
      <w:sz w:val="19"/>
      <w:szCs w:val="19"/>
      <w:shd w:val="clear" w:color="auto" w:fill="FFFFFF"/>
    </w:rPr>
  </w:style>
  <w:style w:type="paragraph" w:customStyle="1" w:styleId="BodyText2">
    <w:name w:val="Body Text2"/>
    <w:basedOn w:val="Navaden"/>
    <w:rsid w:val="00E7152E"/>
    <w:pPr>
      <w:shd w:val="clear" w:color="auto" w:fill="FFFFFF"/>
      <w:spacing w:line="0" w:lineRule="atLeast"/>
    </w:pPr>
    <w:rPr>
      <w:rFonts w:ascii="Times New Roman" w:hAnsi="Times New Roman"/>
      <w:color w:val="000000"/>
      <w:sz w:val="19"/>
      <w:szCs w:val="19"/>
      <w:lang w:val="sl" w:eastAsia="sl-SI"/>
    </w:rPr>
  </w:style>
  <w:style w:type="paragraph" w:customStyle="1" w:styleId="Tablecaption0">
    <w:name w:val="Table caption"/>
    <w:basedOn w:val="Navaden"/>
    <w:link w:val="Tablecaption"/>
    <w:rsid w:val="00E7152E"/>
    <w:pPr>
      <w:shd w:val="clear" w:color="auto" w:fill="FFFFFF"/>
      <w:spacing w:line="451" w:lineRule="exact"/>
    </w:pPr>
    <w:rPr>
      <w:rFonts w:ascii="Times New Roman" w:hAnsi="Times New Roman"/>
      <w:sz w:val="19"/>
      <w:szCs w:val="19"/>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Člen"/>
    <w:basedOn w:val="Navaden"/>
    <w:link w:val="lenZnak"/>
    <w:qFormat/>
    <w:rsid w:val="00E7152E"/>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E7152E"/>
    <w:rPr>
      <w:rFonts w:ascii="Arial" w:hAnsi="Arial"/>
      <w:b/>
      <w:sz w:val="22"/>
      <w:szCs w:val="22"/>
      <w:lang w:val="x-none" w:eastAsia="x-none"/>
    </w:rPr>
  </w:style>
  <w:style w:type="paragraph" w:customStyle="1" w:styleId="lennaslov">
    <w:name w:val="Člen_naslov"/>
    <w:basedOn w:val="len"/>
    <w:qFormat/>
    <w:rsid w:val="00E7152E"/>
    <w:pPr>
      <w:spacing w:before="0"/>
    </w:pPr>
  </w:style>
  <w:style w:type="character" w:customStyle="1" w:styleId="Bodytext3">
    <w:name w:val="Body text (3)_"/>
    <w:basedOn w:val="Privzetapisavaodstavka"/>
    <w:link w:val="Bodytext30"/>
    <w:rsid w:val="00E7152E"/>
    <w:rPr>
      <w:sz w:val="19"/>
      <w:szCs w:val="19"/>
      <w:shd w:val="clear" w:color="auto" w:fill="FFFFFF"/>
    </w:rPr>
  </w:style>
  <w:style w:type="paragraph" w:customStyle="1" w:styleId="Bodytext30">
    <w:name w:val="Body text (3)"/>
    <w:basedOn w:val="Navaden"/>
    <w:link w:val="Bodytext3"/>
    <w:rsid w:val="00E7152E"/>
    <w:pPr>
      <w:shd w:val="clear" w:color="auto" w:fill="FFFFFF"/>
      <w:spacing w:line="0" w:lineRule="atLeast"/>
    </w:pPr>
    <w:rPr>
      <w:rFonts w:ascii="Times New Roman" w:hAnsi="Times New Roman"/>
      <w:sz w:val="19"/>
      <w:szCs w:val="19"/>
      <w:lang w:eastAsia="sl-SI"/>
    </w:rPr>
  </w:style>
  <w:style w:type="character" w:customStyle="1" w:styleId="Tablecaption">
    <w:name w:val="Table caption_"/>
    <w:basedOn w:val="Privzetapisavaodstavka"/>
    <w:link w:val="Tablecaption0"/>
    <w:rsid w:val="00E7152E"/>
    <w:rPr>
      <w:sz w:val="19"/>
      <w:szCs w:val="19"/>
      <w:shd w:val="clear" w:color="auto" w:fill="FFFFFF"/>
    </w:rPr>
  </w:style>
  <w:style w:type="paragraph" w:customStyle="1" w:styleId="BodyText2">
    <w:name w:val="Body Text2"/>
    <w:basedOn w:val="Navaden"/>
    <w:rsid w:val="00E7152E"/>
    <w:pPr>
      <w:shd w:val="clear" w:color="auto" w:fill="FFFFFF"/>
      <w:spacing w:line="0" w:lineRule="atLeast"/>
    </w:pPr>
    <w:rPr>
      <w:rFonts w:ascii="Times New Roman" w:hAnsi="Times New Roman"/>
      <w:color w:val="000000"/>
      <w:sz w:val="19"/>
      <w:szCs w:val="19"/>
      <w:lang w:val="sl" w:eastAsia="sl-SI"/>
    </w:rPr>
  </w:style>
  <w:style w:type="paragraph" w:customStyle="1" w:styleId="Tablecaption0">
    <w:name w:val="Table caption"/>
    <w:basedOn w:val="Navaden"/>
    <w:link w:val="Tablecaption"/>
    <w:rsid w:val="00E7152E"/>
    <w:pPr>
      <w:shd w:val="clear" w:color="auto" w:fill="FFFFFF"/>
      <w:spacing w:line="451" w:lineRule="exact"/>
    </w:pPr>
    <w:rPr>
      <w:rFonts w:ascii="Times New Roman" w:hAnsi="Times New Roman"/>
      <w:sz w:val="19"/>
      <w:szCs w:val="19"/>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FB0D-A6E4-4C36-BDB1-66A47D50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6960</Words>
  <Characters>39673</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46540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 PRISTOVNIK</dc:creator>
  <cp:lastModifiedBy>Andrej PRISTOVNIK</cp:lastModifiedBy>
  <cp:revision>4</cp:revision>
  <cp:lastPrinted>2014-02-17T08:10:00Z</cp:lastPrinted>
  <dcterms:created xsi:type="dcterms:W3CDTF">2015-12-14T14:07:00Z</dcterms:created>
  <dcterms:modified xsi:type="dcterms:W3CDTF">2015-12-14T14:44:00Z</dcterms:modified>
</cp:coreProperties>
</file>