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465"/>
        <w:tblW w:w="1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0"/>
        <w:gridCol w:w="2620"/>
        <w:gridCol w:w="2620"/>
        <w:gridCol w:w="2620"/>
        <w:gridCol w:w="2620"/>
        <w:gridCol w:w="2620"/>
      </w:tblGrid>
      <w:tr w:rsidR="00321A19" w:rsidRPr="0051701C" w:rsidTr="0051701C">
        <w:trPr>
          <w:trHeight w:val="300"/>
        </w:trPr>
        <w:tc>
          <w:tcPr>
            <w:tcW w:w="15720" w:type="dxa"/>
            <w:gridSpan w:val="6"/>
            <w:shd w:val="clear" w:color="auto" w:fill="auto"/>
            <w:noWrap/>
            <w:vAlign w:val="bottom"/>
            <w:hideMark/>
          </w:tcPr>
          <w:p w:rsidR="00321A19" w:rsidRPr="0051701C" w:rsidRDefault="00321A19" w:rsidP="00B67BFA">
            <w:pPr>
              <w:spacing w:after="0"/>
              <w:rPr>
                <w:color w:val="000000"/>
                <w:sz w:val="20"/>
                <w:szCs w:val="20"/>
              </w:rPr>
            </w:pPr>
            <w:r w:rsidRPr="0051701C">
              <w:rPr>
                <w:color w:val="000000"/>
                <w:sz w:val="20"/>
                <w:szCs w:val="20"/>
              </w:rPr>
              <w:t>najava stor</w:t>
            </w:r>
            <w:r w:rsidR="00B67BFA">
              <w:rPr>
                <w:color w:val="000000"/>
                <w:sz w:val="20"/>
                <w:szCs w:val="20"/>
              </w:rPr>
              <w:t>itev (čas + materialni stroški</w:t>
            </w:r>
            <w:r w:rsidRPr="0051701C">
              <w:rPr>
                <w:color w:val="000000"/>
                <w:sz w:val="20"/>
                <w:szCs w:val="20"/>
              </w:rPr>
              <w:t>)</w:t>
            </w:r>
            <w:r w:rsidR="00B67BFA">
              <w:rPr>
                <w:color w:val="000000"/>
                <w:sz w:val="20"/>
                <w:szCs w:val="20"/>
              </w:rPr>
              <w:t>, (</w:t>
            </w:r>
            <w:r w:rsidRPr="0051701C">
              <w:rPr>
                <w:color w:val="000000"/>
                <w:sz w:val="20"/>
                <w:szCs w:val="20"/>
              </w:rPr>
              <w:t>mail?</w:t>
            </w:r>
            <w:r w:rsidR="00B67BFA">
              <w:rPr>
                <w:color w:val="000000"/>
                <w:sz w:val="20"/>
                <w:szCs w:val="20"/>
              </w:rPr>
              <w:t>)</w:t>
            </w:r>
          </w:p>
        </w:tc>
      </w:tr>
      <w:tr w:rsidR="00321A19" w:rsidRPr="0051701C" w:rsidTr="0051701C">
        <w:trPr>
          <w:trHeight w:val="300"/>
        </w:trPr>
        <w:tc>
          <w:tcPr>
            <w:tcW w:w="15720" w:type="dxa"/>
            <w:gridSpan w:val="6"/>
            <w:shd w:val="clear" w:color="auto" w:fill="auto"/>
            <w:noWrap/>
            <w:vAlign w:val="bottom"/>
            <w:hideMark/>
          </w:tcPr>
          <w:p w:rsidR="00321A19" w:rsidRPr="0051701C" w:rsidRDefault="00321A19" w:rsidP="00856BBE">
            <w:pPr>
              <w:spacing w:after="0"/>
              <w:rPr>
                <w:color w:val="000000"/>
                <w:sz w:val="20"/>
                <w:szCs w:val="20"/>
              </w:rPr>
            </w:pPr>
            <w:r w:rsidRPr="0051701C">
              <w:rPr>
                <w:color w:val="000000"/>
                <w:sz w:val="20"/>
                <w:szCs w:val="20"/>
              </w:rPr>
              <w:t>priprava opreme (orodje, merilniki, …) čas</w:t>
            </w:r>
          </w:p>
        </w:tc>
      </w:tr>
      <w:tr w:rsidR="00321A19" w:rsidRPr="0051701C" w:rsidTr="0051701C">
        <w:trPr>
          <w:trHeight w:val="300"/>
        </w:trPr>
        <w:tc>
          <w:tcPr>
            <w:tcW w:w="15720" w:type="dxa"/>
            <w:gridSpan w:val="6"/>
            <w:shd w:val="clear" w:color="auto" w:fill="auto"/>
            <w:noWrap/>
            <w:vAlign w:val="bottom"/>
            <w:hideMark/>
          </w:tcPr>
          <w:p w:rsidR="00321A19" w:rsidRPr="0051701C" w:rsidRDefault="00321A19" w:rsidP="00856BBE">
            <w:pPr>
              <w:spacing w:after="0"/>
              <w:rPr>
                <w:color w:val="000000"/>
                <w:sz w:val="20"/>
                <w:szCs w:val="20"/>
              </w:rPr>
            </w:pPr>
            <w:r w:rsidRPr="0051701C">
              <w:rPr>
                <w:color w:val="000000"/>
                <w:sz w:val="20"/>
                <w:szCs w:val="20"/>
              </w:rPr>
              <w:t xml:space="preserve">prihod do uporabnika (potni stroški, čas, </w:t>
            </w:r>
            <w:r w:rsidR="00856BBE" w:rsidRPr="0051701C">
              <w:rPr>
                <w:color w:val="000000"/>
                <w:sz w:val="20"/>
                <w:szCs w:val="20"/>
              </w:rPr>
              <w:t>vzpostavitev pogojev za delo … )</w:t>
            </w:r>
          </w:p>
        </w:tc>
      </w:tr>
      <w:tr w:rsidR="00232267" w:rsidRPr="0051701C" w:rsidTr="00FB75D7">
        <w:trPr>
          <w:trHeight w:val="300"/>
        </w:trPr>
        <w:tc>
          <w:tcPr>
            <w:tcW w:w="15720" w:type="dxa"/>
            <w:gridSpan w:val="6"/>
            <w:shd w:val="clear" w:color="auto" w:fill="auto"/>
            <w:noWrap/>
            <w:vAlign w:val="bottom"/>
          </w:tcPr>
          <w:p w:rsidR="00232267" w:rsidRPr="0051701C" w:rsidRDefault="00232267" w:rsidP="00856BBE">
            <w:pPr>
              <w:spacing w:after="0"/>
              <w:rPr>
                <w:sz w:val="20"/>
                <w:szCs w:val="20"/>
              </w:rPr>
            </w:pPr>
          </w:p>
        </w:tc>
      </w:tr>
      <w:tr w:rsidR="0051701C" w:rsidRPr="0051701C" w:rsidTr="0051701C">
        <w:trPr>
          <w:trHeight w:val="300"/>
        </w:trPr>
        <w:tc>
          <w:tcPr>
            <w:tcW w:w="5240" w:type="dxa"/>
            <w:gridSpan w:val="2"/>
            <w:shd w:val="clear" w:color="auto" w:fill="auto"/>
            <w:noWrap/>
            <w:vAlign w:val="bottom"/>
            <w:hideMark/>
          </w:tcPr>
          <w:p w:rsidR="00321A19" w:rsidRPr="0051701C" w:rsidRDefault="00C36CCD" w:rsidP="00856BBE">
            <w:pPr>
              <w:spacing w:after="0"/>
              <w:rPr>
                <w:b/>
                <w:bCs/>
                <w:color w:val="000000"/>
                <w:sz w:val="20"/>
                <w:szCs w:val="20"/>
              </w:rPr>
            </w:pPr>
            <w:r w:rsidRPr="0051701C">
              <w:rPr>
                <w:b/>
                <w:bCs/>
                <w:color w:val="000000"/>
                <w:sz w:val="20"/>
                <w:szCs w:val="20"/>
              </w:rPr>
              <w:t>P</w:t>
            </w:r>
            <w:r w:rsidR="00321A19" w:rsidRPr="0051701C">
              <w:rPr>
                <w:b/>
                <w:bCs/>
                <w:color w:val="000000"/>
                <w:sz w:val="20"/>
                <w:szCs w:val="20"/>
              </w:rPr>
              <w:t>lin</w:t>
            </w:r>
          </w:p>
        </w:tc>
        <w:tc>
          <w:tcPr>
            <w:tcW w:w="5240" w:type="dxa"/>
            <w:gridSpan w:val="2"/>
            <w:shd w:val="clear" w:color="auto" w:fill="auto"/>
            <w:noWrap/>
            <w:vAlign w:val="bottom"/>
            <w:hideMark/>
          </w:tcPr>
          <w:p w:rsidR="00321A19" w:rsidRPr="0051701C" w:rsidRDefault="00321A19" w:rsidP="00856BBE">
            <w:pPr>
              <w:spacing w:after="0"/>
              <w:rPr>
                <w:b/>
                <w:bCs/>
                <w:color w:val="000000"/>
                <w:sz w:val="20"/>
                <w:szCs w:val="20"/>
              </w:rPr>
            </w:pPr>
            <w:r w:rsidRPr="0051701C">
              <w:rPr>
                <w:b/>
                <w:bCs/>
                <w:color w:val="000000"/>
                <w:sz w:val="20"/>
                <w:szCs w:val="20"/>
              </w:rPr>
              <w:t>olje</w:t>
            </w:r>
          </w:p>
        </w:tc>
        <w:tc>
          <w:tcPr>
            <w:tcW w:w="5240" w:type="dxa"/>
            <w:gridSpan w:val="2"/>
            <w:shd w:val="clear" w:color="auto" w:fill="auto"/>
            <w:noWrap/>
            <w:vAlign w:val="bottom"/>
            <w:hideMark/>
          </w:tcPr>
          <w:p w:rsidR="00321A19" w:rsidRPr="0051701C" w:rsidRDefault="00321A19" w:rsidP="00856BBE">
            <w:pPr>
              <w:spacing w:after="0"/>
              <w:rPr>
                <w:b/>
                <w:bCs/>
                <w:color w:val="000000"/>
                <w:sz w:val="20"/>
                <w:szCs w:val="20"/>
              </w:rPr>
            </w:pPr>
            <w:r w:rsidRPr="0051701C">
              <w:rPr>
                <w:b/>
                <w:bCs/>
                <w:color w:val="000000"/>
                <w:sz w:val="20"/>
                <w:szCs w:val="20"/>
              </w:rPr>
              <w:t>trdno gorivo</w:t>
            </w:r>
          </w:p>
        </w:tc>
      </w:tr>
      <w:tr w:rsidR="0087700C" w:rsidRPr="0051701C" w:rsidTr="0051701C">
        <w:trPr>
          <w:trHeight w:val="2954"/>
        </w:trPr>
        <w:tc>
          <w:tcPr>
            <w:tcW w:w="2620" w:type="dxa"/>
            <w:shd w:val="clear" w:color="auto" w:fill="auto"/>
          </w:tcPr>
          <w:p w:rsidR="0068327B" w:rsidRPr="00B67BFA" w:rsidRDefault="0068327B" w:rsidP="0068327B">
            <w:pPr>
              <w:spacing w:after="0" w:line="240" w:lineRule="auto"/>
              <w:rPr>
                <w:b/>
                <w:color w:val="000000"/>
                <w:sz w:val="20"/>
                <w:szCs w:val="20"/>
              </w:rPr>
            </w:pPr>
            <w:r w:rsidRPr="00B67BFA">
              <w:rPr>
                <w:b/>
                <w:color w:val="000000"/>
                <w:sz w:val="20"/>
                <w:szCs w:val="20"/>
              </w:rPr>
              <w:t>KN</w:t>
            </w:r>
          </w:p>
          <w:p w:rsidR="00C96AB8" w:rsidRPr="0051701C" w:rsidRDefault="00B67BFA" w:rsidP="00C96AB8">
            <w:pPr>
              <w:spacing w:after="0" w:line="240" w:lineRule="auto"/>
              <w:rPr>
                <w:color w:val="000000"/>
                <w:sz w:val="20"/>
                <w:szCs w:val="20"/>
              </w:rPr>
            </w:pPr>
            <w:r>
              <w:rPr>
                <w:color w:val="000000"/>
                <w:sz w:val="20"/>
                <w:szCs w:val="20"/>
              </w:rPr>
              <w:t xml:space="preserve">- </w:t>
            </w:r>
            <w:r w:rsidR="00232267">
              <w:rPr>
                <w:color w:val="000000"/>
                <w:sz w:val="20"/>
                <w:szCs w:val="20"/>
              </w:rPr>
              <w:t>odstranjevanje ostankov zgorevanja</w:t>
            </w:r>
            <w:r w:rsidR="007449E9">
              <w:rPr>
                <w:color w:val="000000"/>
                <w:sz w:val="20"/>
                <w:szCs w:val="20"/>
              </w:rPr>
              <w:t xml:space="preserve"> in drugih tujkov, ki ovirajo pot dimnih plinov ali </w:t>
            </w:r>
            <w:r w:rsidR="00C96AB8">
              <w:rPr>
                <w:color w:val="000000"/>
                <w:sz w:val="20"/>
                <w:szCs w:val="20"/>
              </w:rPr>
              <w:t>dovod zgorevalnega zraka z orodjem, ki se uporablja pri tehnično manj zahtevnih mehanskih postopkih čiščenja dimovodnih poti.</w:t>
            </w:r>
          </w:p>
        </w:tc>
        <w:tc>
          <w:tcPr>
            <w:tcW w:w="2620" w:type="dxa"/>
            <w:shd w:val="clear" w:color="auto" w:fill="auto"/>
          </w:tcPr>
          <w:p w:rsidR="0087700C" w:rsidRPr="00B67BFA" w:rsidRDefault="0068327B" w:rsidP="00856BBE">
            <w:pPr>
              <w:spacing w:after="0"/>
              <w:rPr>
                <w:b/>
                <w:color w:val="000000"/>
                <w:sz w:val="20"/>
                <w:szCs w:val="20"/>
              </w:rPr>
            </w:pPr>
            <w:r w:rsidRPr="00B67BFA">
              <w:rPr>
                <w:b/>
                <w:color w:val="000000"/>
                <w:sz w:val="20"/>
                <w:szCs w:val="20"/>
              </w:rPr>
              <w:t>Dimnik</w:t>
            </w:r>
          </w:p>
          <w:p w:rsidR="00B200D7" w:rsidRPr="0051701C" w:rsidRDefault="00232267" w:rsidP="00C96AB8">
            <w:pPr>
              <w:spacing w:after="0" w:line="240" w:lineRule="auto"/>
              <w:rPr>
                <w:color w:val="000000"/>
                <w:sz w:val="20"/>
                <w:szCs w:val="20"/>
              </w:rPr>
            </w:pPr>
            <w:r>
              <w:rPr>
                <w:color w:val="000000"/>
                <w:sz w:val="20"/>
                <w:szCs w:val="20"/>
              </w:rPr>
              <w:t>- odstranjevanje ostankov zgorevanja</w:t>
            </w:r>
            <w:r w:rsidR="00C96AB8">
              <w:rPr>
                <w:color w:val="000000"/>
                <w:sz w:val="20"/>
                <w:szCs w:val="20"/>
              </w:rPr>
              <w:t xml:space="preserve"> in drugih tujkov, ki ovirajo pot dimnih plinov iz dimniške tuljave, dimniških priključkov, zračnih kanalov za namensko prezračevanje, dimniškega plašča ali dimniškega jaška in pomožnih elementov dimovodne naprave z orodjem, ki se uporablja pri tehnično manj zahtevnih mehanskih postopkih čiščenja dimovodnih poti. </w:t>
            </w:r>
          </w:p>
        </w:tc>
        <w:tc>
          <w:tcPr>
            <w:tcW w:w="2620" w:type="dxa"/>
            <w:shd w:val="clear" w:color="auto" w:fill="auto"/>
            <w:noWrap/>
            <w:hideMark/>
          </w:tcPr>
          <w:p w:rsidR="0068327B" w:rsidRPr="00B67BFA" w:rsidRDefault="0068327B" w:rsidP="0068327B">
            <w:pPr>
              <w:spacing w:after="0" w:line="240" w:lineRule="auto"/>
              <w:rPr>
                <w:b/>
                <w:color w:val="000000"/>
                <w:sz w:val="20"/>
                <w:szCs w:val="20"/>
              </w:rPr>
            </w:pPr>
            <w:r w:rsidRPr="00B67BFA">
              <w:rPr>
                <w:b/>
                <w:color w:val="000000"/>
                <w:sz w:val="20"/>
                <w:szCs w:val="20"/>
              </w:rPr>
              <w:t>KN</w:t>
            </w:r>
          </w:p>
          <w:p w:rsidR="00232267" w:rsidRDefault="00232267" w:rsidP="00232267">
            <w:pPr>
              <w:spacing w:after="0" w:line="240" w:lineRule="auto"/>
              <w:rPr>
                <w:color w:val="000000"/>
                <w:sz w:val="20"/>
                <w:szCs w:val="20"/>
              </w:rPr>
            </w:pPr>
            <w:r>
              <w:rPr>
                <w:color w:val="000000"/>
                <w:sz w:val="20"/>
                <w:szCs w:val="20"/>
              </w:rPr>
              <w:t>- odstranjevanje ostankov zgorevanja</w:t>
            </w:r>
            <w:r w:rsidR="00C96AB8">
              <w:rPr>
                <w:color w:val="000000"/>
                <w:sz w:val="20"/>
                <w:szCs w:val="20"/>
              </w:rPr>
              <w:t xml:space="preserve"> in drugih tujkov, ki ovirajo pot dimnih plinov ali zraka  dovod zgorevalnega zraka z orodjem, ki se uporablja pri tehnično manj zahtevnih mehanskih postopkih čiščenja dimovodnih poti.</w:t>
            </w:r>
          </w:p>
          <w:p w:rsidR="0087700C" w:rsidRPr="0051701C" w:rsidRDefault="0087700C" w:rsidP="00232267">
            <w:pPr>
              <w:spacing w:after="0" w:line="240" w:lineRule="auto"/>
              <w:rPr>
                <w:color w:val="000000"/>
                <w:sz w:val="20"/>
                <w:szCs w:val="20"/>
              </w:rPr>
            </w:pPr>
          </w:p>
        </w:tc>
        <w:tc>
          <w:tcPr>
            <w:tcW w:w="2620" w:type="dxa"/>
            <w:shd w:val="clear" w:color="auto" w:fill="auto"/>
          </w:tcPr>
          <w:p w:rsidR="0087700C" w:rsidRPr="00B67BFA" w:rsidRDefault="0068327B" w:rsidP="00856BBE">
            <w:pPr>
              <w:spacing w:after="0"/>
              <w:rPr>
                <w:b/>
                <w:color w:val="000000"/>
                <w:sz w:val="20"/>
                <w:szCs w:val="20"/>
              </w:rPr>
            </w:pPr>
            <w:r w:rsidRPr="00B67BFA">
              <w:rPr>
                <w:b/>
                <w:color w:val="000000"/>
                <w:sz w:val="20"/>
                <w:szCs w:val="20"/>
              </w:rPr>
              <w:t>Dimnik</w:t>
            </w:r>
          </w:p>
          <w:p w:rsidR="00B200D7" w:rsidRPr="0051701C" w:rsidRDefault="00C96AB8" w:rsidP="00B200D7">
            <w:pPr>
              <w:spacing w:after="0"/>
              <w:rPr>
                <w:color w:val="000000"/>
                <w:sz w:val="20"/>
                <w:szCs w:val="20"/>
              </w:rPr>
            </w:pPr>
            <w:r>
              <w:rPr>
                <w:color w:val="000000"/>
                <w:sz w:val="20"/>
                <w:szCs w:val="20"/>
              </w:rPr>
              <w:t xml:space="preserve">- odstranjevanje ostankov zgorevanja in drugih tujkov, ki ovirajo pot dimnih plinov iz dimniške tuljave, dimniških priključkov, zračnih kanalov za namensko prezračevanje, dimniškega plašča ali dimniškega jaška in pomožnih elementov dimovodne naprave z orodjem, ki se uporablja pri tehnično manj zahtevnih mehanskih postopkih čiščenja dimovodnih poti. </w:t>
            </w:r>
          </w:p>
        </w:tc>
        <w:tc>
          <w:tcPr>
            <w:tcW w:w="2620" w:type="dxa"/>
            <w:shd w:val="clear" w:color="auto" w:fill="auto"/>
            <w:noWrap/>
            <w:hideMark/>
          </w:tcPr>
          <w:p w:rsidR="0068327B" w:rsidRPr="00B67BFA" w:rsidRDefault="0068327B" w:rsidP="0068327B">
            <w:pPr>
              <w:spacing w:after="0" w:line="240" w:lineRule="auto"/>
              <w:rPr>
                <w:b/>
                <w:color w:val="000000"/>
                <w:sz w:val="20"/>
                <w:szCs w:val="20"/>
              </w:rPr>
            </w:pPr>
            <w:r w:rsidRPr="00B67BFA">
              <w:rPr>
                <w:b/>
                <w:color w:val="000000"/>
                <w:sz w:val="20"/>
                <w:szCs w:val="20"/>
              </w:rPr>
              <w:t>KN</w:t>
            </w:r>
          </w:p>
          <w:p w:rsidR="0087700C" w:rsidRPr="0051701C" w:rsidRDefault="00232267" w:rsidP="00C96AB8">
            <w:pPr>
              <w:spacing w:after="0" w:line="240" w:lineRule="auto"/>
              <w:rPr>
                <w:sz w:val="20"/>
                <w:szCs w:val="20"/>
              </w:rPr>
            </w:pPr>
            <w:r>
              <w:rPr>
                <w:color w:val="000000"/>
                <w:sz w:val="20"/>
                <w:szCs w:val="20"/>
              </w:rPr>
              <w:t>- odstranjevanje ostankov zgorevanja</w:t>
            </w:r>
            <w:r w:rsidR="00C96AB8">
              <w:rPr>
                <w:color w:val="000000"/>
                <w:sz w:val="20"/>
                <w:szCs w:val="20"/>
              </w:rPr>
              <w:t xml:space="preserve"> in drugih tujkov, ki ovirajo pot dimnih plinov dovod zgorevalnega zraka z orodjem, ki se uporablja pri tehnično manj zahtevnih mehanskih postopkih čiščenja dimovodnih poti.</w:t>
            </w:r>
          </w:p>
        </w:tc>
        <w:tc>
          <w:tcPr>
            <w:tcW w:w="2620" w:type="dxa"/>
            <w:shd w:val="clear" w:color="auto" w:fill="auto"/>
          </w:tcPr>
          <w:p w:rsidR="0087700C" w:rsidRPr="00B67BFA" w:rsidRDefault="0068327B" w:rsidP="00856BBE">
            <w:pPr>
              <w:spacing w:after="0"/>
              <w:rPr>
                <w:b/>
                <w:color w:val="000000"/>
                <w:sz w:val="20"/>
                <w:szCs w:val="20"/>
              </w:rPr>
            </w:pPr>
            <w:r w:rsidRPr="00B67BFA">
              <w:rPr>
                <w:b/>
                <w:color w:val="000000"/>
                <w:sz w:val="20"/>
                <w:szCs w:val="20"/>
              </w:rPr>
              <w:t>Dimnik</w:t>
            </w:r>
          </w:p>
          <w:p w:rsidR="0051701C" w:rsidRPr="0051701C" w:rsidRDefault="00C96AB8" w:rsidP="0051701C">
            <w:pPr>
              <w:spacing w:after="0"/>
              <w:rPr>
                <w:sz w:val="20"/>
                <w:szCs w:val="20"/>
              </w:rPr>
            </w:pPr>
            <w:r>
              <w:rPr>
                <w:color w:val="000000"/>
                <w:sz w:val="20"/>
                <w:szCs w:val="20"/>
              </w:rPr>
              <w:t xml:space="preserve">- odstranjevanje ostankov zgorevanja in drugih tujkov, ki ovirajo pot dimnih plinov iz dimniške tuljave, dimniških priključkov, zračnih kanalov za namensko prezračevanje, dimniškega plašča ali dimniškega jaška in pomožnih elementov dimovodne naprave z orodjem, ki se uporablja pri tehnično manj zahtevnih mehanskih postopkih čiščenja dimovodnih poti. </w:t>
            </w:r>
          </w:p>
        </w:tc>
      </w:tr>
      <w:tr w:rsidR="0051701C" w:rsidRPr="0051701C" w:rsidTr="00B76E15">
        <w:trPr>
          <w:trHeight w:val="300"/>
        </w:trPr>
        <w:tc>
          <w:tcPr>
            <w:tcW w:w="15720" w:type="dxa"/>
            <w:gridSpan w:val="6"/>
            <w:shd w:val="clear" w:color="auto" w:fill="auto"/>
            <w:noWrap/>
            <w:vAlign w:val="bottom"/>
          </w:tcPr>
          <w:p w:rsidR="0051701C" w:rsidRPr="0051701C" w:rsidRDefault="0051701C" w:rsidP="0051701C">
            <w:pPr>
              <w:spacing w:after="0"/>
              <w:rPr>
                <w:sz w:val="20"/>
                <w:szCs w:val="20"/>
              </w:rPr>
            </w:pPr>
            <w:r w:rsidRPr="0051701C">
              <w:rPr>
                <w:sz w:val="20"/>
                <w:szCs w:val="20"/>
              </w:rPr>
              <w:t xml:space="preserve">Izstavitev </w:t>
            </w:r>
            <w:r>
              <w:rPr>
                <w:sz w:val="20"/>
                <w:szCs w:val="20"/>
              </w:rPr>
              <w:t>delovnega naloga in računa</w:t>
            </w:r>
          </w:p>
        </w:tc>
      </w:tr>
      <w:tr w:rsidR="0051701C" w:rsidRPr="0051701C" w:rsidTr="00B76E15">
        <w:trPr>
          <w:trHeight w:val="300"/>
        </w:trPr>
        <w:tc>
          <w:tcPr>
            <w:tcW w:w="15720" w:type="dxa"/>
            <w:gridSpan w:val="6"/>
            <w:shd w:val="clear" w:color="auto" w:fill="auto"/>
            <w:noWrap/>
            <w:vAlign w:val="bottom"/>
          </w:tcPr>
          <w:p w:rsidR="0051701C" w:rsidRPr="0051701C" w:rsidRDefault="0051701C" w:rsidP="0051701C">
            <w:pPr>
              <w:spacing w:after="0"/>
              <w:rPr>
                <w:sz w:val="20"/>
                <w:szCs w:val="20"/>
              </w:rPr>
            </w:pPr>
            <w:r>
              <w:rPr>
                <w:sz w:val="20"/>
                <w:szCs w:val="20"/>
              </w:rPr>
              <w:t>Opozorilo uporabniku ob morebitnih ugotovljenih nepravilnostih</w:t>
            </w:r>
          </w:p>
        </w:tc>
      </w:tr>
      <w:tr w:rsidR="0051701C" w:rsidRPr="0051701C" w:rsidTr="00B76E15">
        <w:trPr>
          <w:trHeight w:val="300"/>
        </w:trPr>
        <w:tc>
          <w:tcPr>
            <w:tcW w:w="15720" w:type="dxa"/>
            <w:gridSpan w:val="6"/>
            <w:shd w:val="clear" w:color="auto" w:fill="auto"/>
            <w:noWrap/>
            <w:vAlign w:val="bottom"/>
          </w:tcPr>
          <w:p w:rsidR="0051701C" w:rsidRPr="0051701C" w:rsidRDefault="0051701C" w:rsidP="0051701C">
            <w:pPr>
              <w:spacing w:after="0"/>
              <w:rPr>
                <w:sz w:val="20"/>
                <w:szCs w:val="20"/>
              </w:rPr>
            </w:pPr>
            <w:r>
              <w:rPr>
                <w:sz w:val="20"/>
                <w:szCs w:val="20"/>
              </w:rPr>
              <w:t>Vrnitev od uporabnika oz. odhod do drugega uporabnika</w:t>
            </w:r>
          </w:p>
        </w:tc>
      </w:tr>
      <w:tr w:rsidR="0051701C" w:rsidRPr="0051701C" w:rsidTr="00B76E15">
        <w:trPr>
          <w:trHeight w:val="300"/>
        </w:trPr>
        <w:tc>
          <w:tcPr>
            <w:tcW w:w="15720" w:type="dxa"/>
            <w:gridSpan w:val="6"/>
            <w:shd w:val="clear" w:color="auto" w:fill="auto"/>
            <w:noWrap/>
            <w:vAlign w:val="bottom"/>
          </w:tcPr>
          <w:p w:rsidR="0051701C" w:rsidRPr="0051701C" w:rsidRDefault="0051701C" w:rsidP="0051701C">
            <w:pPr>
              <w:spacing w:after="0"/>
              <w:rPr>
                <w:sz w:val="20"/>
                <w:szCs w:val="20"/>
              </w:rPr>
            </w:pPr>
            <w:r>
              <w:rPr>
                <w:sz w:val="20"/>
                <w:szCs w:val="20"/>
              </w:rPr>
              <w:t>Vpis storitev v evidenco</w:t>
            </w:r>
          </w:p>
        </w:tc>
      </w:tr>
      <w:tr w:rsidR="00B67BFA" w:rsidRPr="0051701C" w:rsidTr="00B76E15">
        <w:trPr>
          <w:trHeight w:val="300"/>
        </w:trPr>
        <w:tc>
          <w:tcPr>
            <w:tcW w:w="15720" w:type="dxa"/>
            <w:gridSpan w:val="6"/>
            <w:shd w:val="clear" w:color="auto" w:fill="auto"/>
            <w:noWrap/>
            <w:vAlign w:val="bottom"/>
          </w:tcPr>
          <w:p w:rsidR="00B67BFA" w:rsidRDefault="00B67BFA" w:rsidP="0051701C">
            <w:pPr>
              <w:spacing w:after="0"/>
              <w:rPr>
                <w:sz w:val="20"/>
                <w:szCs w:val="20"/>
              </w:rPr>
            </w:pPr>
            <w:r>
              <w:rPr>
                <w:sz w:val="20"/>
                <w:szCs w:val="20"/>
              </w:rPr>
              <w:t>Morebitna prijava inšpektorju</w:t>
            </w:r>
          </w:p>
        </w:tc>
      </w:tr>
      <w:tr w:rsidR="0051701C" w:rsidRPr="0051701C" w:rsidTr="00B76E15">
        <w:trPr>
          <w:trHeight w:val="300"/>
        </w:trPr>
        <w:tc>
          <w:tcPr>
            <w:tcW w:w="15720" w:type="dxa"/>
            <w:gridSpan w:val="6"/>
            <w:shd w:val="clear" w:color="auto" w:fill="auto"/>
            <w:noWrap/>
            <w:vAlign w:val="bottom"/>
          </w:tcPr>
          <w:p w:rsidR="0051701C" w:rsidRPr="0051701C" w:rsidRDefault="0051701C" w:rsidP="0051701C">
            <w:pPr>
              <w:spacing w:after="0"/>
              <w:rPr>
                <w:sz w:val="20"/>
                <w:szCs w:val="20"/>
              </w:rPr>
            </w:pPr>
            <w:r>
              <w:rPr>
                <w:sz w:val="20"/>
                <w:szCs w:val="20"/>
              </w:rPr>
              <w:t>Računovodske storitve</w:t>
            </w:r>
          </w:p>
        </w:tc>
      </w:tr>
      <w:tr w:rsidR="0051701C" w:rsidRPr="0051701C" w:rsidTr="00B76E15">
        <w:trPr>
          <w:trHeight w:val="300"/>
        </w:trPr>
        <w:tc>
          <w:tcPr>
            <w:tcW w:w="15720" w:type="dxa"/>
            <w:gridSpan w:val="6"/>
            <w:shd w:val="clear" w:color="auto" w:fill="auto"/>
            <w:noWrap/>
            <w:vAlign w:val="bottom"/>
          </w:tcPr>
          <w:p w:rsidR="0051701C" w:rsidRPr="0051701C" w:rsidRDefault="0051701C" w:rsidP="0051701C">
            <w:pPr>
              <w:spacing w:after="0"/>
              <w:rPr>
                <w:sz w:val="20"/>
                <w:szCs w:val="20"/>
              </w:rPr>
            </w:pPr>
          </w:p>
        </w:tc>
      </w:tr>
      <w:tr w:rsidR="0051701C" w:rsidRPr="0051701C" w:rsidTr="00B76E15">
        <w:trPr>
          <w:trHeight w:val="300"/>
        </w:trPr>
        <w:tc>
          <w:tcPr>
            <w:tcW w:w="15720" w:type="dxa"/>
            <w:gridSpan w:val="6"/>
            <w:shd w:val="clear" w:color="auto" w:fill="auto"/>
            <w:noWrap/>
            <w:vAlign w:val="bottom"/>
          </w:tcPr>
          <w:p w:rsidR="0051701C" w:rsidRPr="0051701C" w:rsidRDefault="0051701C" w:rsidP="0051701C">
            <w:pPr>
              <w:spacing w:after="0"/>
              <w:rPr>
                <w:sz w:val="20"/>
                <w:szCs w:val="20"/>
              </w:rPr>
            </w:pPr>
          </w:p>
        </w:tc>
      </w:tr>
      <w:tr w:rsidR="0051701C" w:rsidRPr="0051701C" w:rsidTr="00B76E15">
        <w:trPr>
          <w:trHeight w:val="300"/>
        </w:trPr>
        <w:tc>
          <w:tcPr>
            <w:tcW w:w="15720" w:type="dxa"/>
            <w:gridSpan w:val="6"/>
            <w:shd w:val="clear" w:color="auto" w:fill="auto"/>
            <w:noWrap/>
            <w:vAlign w:val="bottom"/>
          </w:tcPr>
          <w:p w:rsidR="0051701C" w:rsidRPr="0051701C" w:rsidRDefault="0051701C" w:rsidP="0051701C">
            <w:pPr>
              <w:spacing w:after="0"/>
              <w:rPr>
                <w:sz w:val="20"/>
                <w:szCs w:val="20"/>
              </w:rPr>
            </w:pPr>
          </w:p>
        </w:tc>
      </w:tr>
    </w:tbl>
    <w:p w:rsidR="00C36CCD" w:rsidRDefault="00232267">
      <w:pPr>
        <w:rPr>
          <w:color w:val="000000"/>
          <w:sz w:val="20"/>
          <w:szCs w:val="20"/>
        </w:rPr>
      </w:pPr>
      <w:r>
        <w:rPr>
          <w:sz w:val="20"/>
          <w:szCs w:val="20"/>
        </w:rPr>
        <w:t>ČIŠ</w:t>
      </w:r>
      <w:r w:rsidR="00C36CCD">
        <w:rPr>
          <w:color w:val="000000"/>
          <w:sz w:val="20"/>
          <w:szCs w:val="20"/>
        </w:rPr>
        <w:t>- odstranjevanje ostanko</w:t>
      </w:r>
    </w:p>
    <w:p w:rsidR="00384B24" w:rsidRPr="00C36CCD" w:rsidRDefault="00C36CCD">
      <w:pPr>
        <w:rPr>
          <w:color w:val="000000"/>
          <w:sz w:val="20"/>
          <w:szCs w:val="20"/>
        </w:rPr>
      </w:pPr>
      <w:r>
        <w:rPr>
          <w:color w:val="000000"/>
          <w:sz w:val="20"/>
          <w:szCs w:val="20"/>
        </w:rPr>
        <w:br w:type="page"/>
      </w:r>
      <w:r w:rsidR="00DE7D58" w:rsidRPr="00DE7D58">
        <w:rPr>
          <w:noProof/>
          <w:color w:val="000000"/>
          <w:sz w:val="20"/>
          <w:szCs w:val="20"/>
          <w:lang w:eastAsia="sl-SI"/>
        </w:rPr>
        <w:lastRenderedPageBreak/>
        <w:drawing>
          <wp:inline distT="0" distB="0" distL="0" distR="0">
            <wp:extent cx="9777730" cy="6896566"/>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7730" cy="6896566"/>
                    </a:xfrm>
                    <a:prstGeom prst="rect">
                      <a:avLst/>
                    </a:prstGeom>
                    <a:noFill/>
                    <a:ln>
                      <a:noFill/>
                    </a:ln>
                  </pic:spPr>
                </pic:pic>
              </a:graphicData>
            </a:graphic>
          </wp:inline>
        </w:drawing>
      </w:r>
      <w:bookmarkStart w:id="0" w:name="_GoBack"/>
      <w:bookmarkEnd w:id="0"/>
    </w:p>
    <w:sectPr w:rsidR="00384B24" w:rsidRPr="00C36CCD" w:rsidSect="00321A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A19" w:rsidRDefault="00321A19" w:rsidP="00321A19">
      <w:pPr>
        <w:spacing w:after="0" w:line="240" w:lineRule="auto"/>
      </w:pPr>
      <w:r>
        <w:separator/>
      </w:r>
    </w:p>
  </w:endnote>
  <w:endnote w:type="continuationSeparator" w:id="0">
    <w:p w:rsidR="00321A19" w:rsidRDefault="00321A19" w:rsidP="00321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A19" w:rsidRDefault="00321A19" w:rsidP="00321A19">
      <w:pPr>
        <w:spacing w:after="0" w:line="240" w:lineRule="auto"/>
      </w:pPr>
      <w:r>
        <w:separator/>
      </w:r>
    </w:p>
  </w:footnote>
  <w:footnote w:type="continuationSeparator" w:id="0">
    <w:p w:rsidR="00321A19" w:rsidRDefault="00321A19" w:rsidP="00321A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B6E94"/>
    <w:multiLevelType w:val="hybridMultilevel"/>
    <w:tmpl w:val="8C1238E4"/>
    <w:lvl w:ilvl="0" w:tplc="271CD22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37342FE"/>
    <w:multiLevelType w:val="hybridMultilevel"/>
    <w:tmpl w:val="30604FBA"/>
    <w:lvl w:ilvl="0" w:tplc="CF86020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792011D4"/>
    <w:multiLevelType w:val="hybridMultilevel"/>
    <w:tmpl w:val="FA4A999E"/>
    <w:lvl w:ilvl="0" w:tplc="E6B426A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BE25391"/>
    <w:multiLevelType w:val="hybridMultilevel"/>
    <w:tmpl w:val="97A8AD1E"/>
    <w:lvl w:ilvl="0" w:tplc="48148C36">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19"/>
    <w:rsid w:val="000F1685"/>
    <w:rsid w:val="00232267"/>
    <w:rsid w:val="00321A19"/>
    <w:rsid w:val="0051701C"/>
    <w:rsid w:val="00546EF8"/>
    <w:rsid w:val="0068327B"/>
    <w:rsid w:val="00722DA9"/>
    <w:rsid w:val="007449E9"/>
    <w:rsid w:val="00856BBE"/>
    <w:rsid w:val="00866AA2"/>
    <w:rsid w:val="0087700C"/>
    <w:rsid w:val="00895471"/>
    <w:rsid w:val="008F3E75"/>
    <w:rsid w:val="00B200D7"/>
    <w:rsid w:val="00B67BFA"/>
    <w:rsid w:val="00C36CCD"/>
    <w:rsid w:val="00C625C6"/>
    <w:rsid w:val="00C96AB8"/>
    <w:rsid w:val="00DB5FFF"/>
    <w:rsid w:val="00DC19A1"/>
    <w:rsid w:val="00DE7D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9BB7D-179C-45CE-9CE1-1A6BE703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21A19"/>
    <w:pPr>
      <w:tabs>
        <w:tab w:val="center" w:pos="4536"/>
        <w:tab w:val="right" w:pos="9072"/>
      </w:tabs>
      <w:spacing w:after="0" w:line="240" w:lineRule="auto"/>
    </w:pPr>
  </w:style>
  <w:style w:type="character" w:customStyle="1" w:styleId="GlavaZnak">
    <w:name w:val="Glava Znak"/>
    <w:basedOn w:val="Privzetapisavaodstavka"/>
    <w:link w:val="Glava"/>
    <w:uiPriority w:val="99"/>
    <w:rsid w:val="00321A19"/>
  </w:style>
  <w:style w:type="paragraph" w:styleId="Noga">
    <w:name w:val="footer"/>
    <w:basedOn w:val="Navaden"/>
    <w:link w:val="NogaZnak"/>
    <w:uiPriority w:val="99"/>
    <w:unhideWhenUsed/>
    <w:rsid w:val="00321A19"/>
    <w:pPr>
      <w:tabs>
        <w:tab w:val="center" w:pos="4536"/>
        <w:tab w:val="right" w:pos="9072"/>
      </w:tabs>
      <w:spacing w:after="0" w:line="240" w:lineRule="auto"/>
    </w:pPr>
  </w:style>
  <w:style w:type="character" w:customStyle="1" w:styleId="NogaZnak">
    <w:name w:val="Noga Znak"/>
    <w:basedOn w:val="Privzetapisavaodstavka"/>
    <w:link w:val="Noga"/>
    <w:uiPriority w:val="99"/>
    <w:rsid w:val="00321A19"/>
  </w:style>
  <w:style w:type="paragraph" w:styleId="Odstavekseznama">
    <w:name w:val="List Paragraph"/>
    <w:basedOn w:val="Navaden"/>
    <w:uiPriority w:val="34"/>
    <w:qFormat/>
    <w:rsid w:val="00683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08218">
      <w:bodyDiv w:val="1"/>
      <w:marLeft w:val="0"/>
      <w:marRight w:val="0"/>
      <w:marTop w:val="0"/>
      <w:marBottom w:val="0"/>
      <w:divBdr>
        <w:top w:val="none" w:sz="0" w:space="0" w:color="auto"/>
        <w:left w:val="none" w:sz="0" w:space="0" w:color="auto"/>
        <w:bottom w:val="none" w:sz="0" w:space="0" w:color="auto"/>
        <w:right w:val="none" w:sz="0" w:space="0" w:color="auto"/>
      </w:divBdr>
    </w:div>
    <w:div w:id="202185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6310AA-05AD-4110-B6CC-FAE13BF9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2</Pages>
  <Words>329</Words>
  <Characters>1878</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Vuga</dc:creator>
  <cp:keywords/>
  <dc:description/>
  <cp:lastModifiedBy>Andrej Vuga</cp:lastModifiedBy>
  <cp:revision>6</cp:revision>
  <dcterms:created xsi:type="dcterms:W3CDTF">2015-08-04T11:35:00Z</dcterms:created>
  <dcterms:modified xsi:type="dcterms:W3CDTF">2015-09-21T11:28:00Z</dcterms:modified>
</cp:coreProperties>
</file>