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8C1A3" w14:textId="1617421D" w:rsidR="00250C52" w:rsidRPr="00BB28FE" w:rsidRDefault="00250C52" w:rsidP="003C473C">
      <w:pPr>
        <w:spacing w:after="0"/>
        <w:jc w:val="left"/>
        <w:rPr>
          <w:rFonts w:asciiTheme="minorHAnsi" w:hAnsiTheme="minorHAnsi"/>
          <w:b/>
          <w:sz w:val="20"/>
          <w:szCs w:val="20"/>
        </w:rPr>
      </w:pPr>
      <w:bookmarkStart w:id="0" w:name="_GoBack"/>
      <w:bookmarkEnd w:id="0"/>
      <w:r w:rsidRPr="00BB28FE">
        <w:rPr>
          <w:rFonts w:asciiTheme="minorHAnsi" w:hAnsiTheme="minorHAnsi"/>
          <w:b/>
          <w:sz w:val="20"/>
          <w:szCs w:val="20"/>
        </w:rPr>
        <w:t>PRILOGA</w:t>
      </w:r>
      <w:r>
        <w:rPr>
          <w:rFonts w:asciiTheme="minorHAnsi" w:hAnsiTheme="minorHAnsi"/>
          <w:b/>
          <w:sz w:val="20"/>
          <w:szCs w:val="20"/>
        </w:rPr>
        <w:t xml:space="preserve"> </w:t>
      </w:r>
      <w:r w:rsidR="00E744DC">
        <w:rPr>
          <w:rFonts w:asciiTheme="minorHAnsi" w:hAnsiTheme="minorHAnsi"/>
          <w:b/>
          <w:sz w:val="20"/>
          <w:szCs w:val="20"/>
        </w:rPr>
        <w:t>4</w:t>
      </w:r>
    </w:p>
    <w:p w14:paraId="1448C1A4" w14:textId="77777777" w:rsidR="00250C52" w:rsidRPr="00BB28FE" w:rsidRDefault="00250C52" w:rsidP="003C473C">
      <w:pPr>
        <w:spacing w:after="0"/>
        <w:jc w:val="left"/>
        <w:rPr>
          <w:rFonts w:asciiTheme="minorHAnsi" w:hAnsiTheme="minorHAnsi" w:cs="Arial"/>
          <w:b/>
          <w:sz w:val="20"/>
          <w:szCs w:val="20"/>
        </w:rPr>
      </w:pPr>
      <w:r w:rsidRPr="00BB28FE">
        <w:rPr>
          <w:rFonts w:asciiTheme="minorHAnsi" w:hAnsiTheme="minorHAnsi" w:cs="Arial"/>
          <w:b/>
          <w:sz w:val="20"/>
          <w:szCs w:val="20"/>
        </w:rPr>
        <w:t>PRIPOMBE ZAINTERESIRANE JAVNOSTI NA PREDLOG  NOVELE ZDavP-2I (javna obravnava)</w:t>
      </w:r>
    </w:p>
    <w:p w14:paraId="1448C1A5" w14:textId="77777777" w:rsidR="00250C52" w:rsidRDefault="00250C52" w:rsidP="003C473C">
      <w:pPr>
        <w:spacing w:after="0"/>
      </w:pPr>
    </w:p>
    <w:tbl>
      <w:tblPr>
        <w:tblW w:w="13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4794"/>
        <w:gridCol w:w="1946"/>
        <w:gridCol w:w="5220"/>
      </w:tblGrid>
      <w:tr w:rsidR="00AB512D" w:rsidRPr="00AB512D" w14:paraId="1448C1AA" w14:textId="77777777" w:rsidTr="00EC73AA">
        <w:trPr>
          <w:trHeight w:val="300"/>
        </w:trPr>
        <w:tc>
          <w:tcPr>
            <w:tcW w:w="1600" w:type="dxa"/>
            <w:shd w:val="clear" w:color="auto" w:fill="auto"/>
            <w:vAlign w:val="center"/>
            <w:hideMark/>
          </w:tcPr>
          <w:p w14:paraId="1448C1A6" w14:textId="77777777" w:rsidR="00AB512D" w:rsidRPr="00AB512D" w:rsidRDefault="00AB512D" w:rsidP="003C473C">
            <w:pPr>
              <w:spacing w:after="0"/>
              <w:jc w:val="center"/>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PREDLAGATELJ</w:t>
            </w:r>
          </w:p>
        </w:tc>
        <w:tc>
          <w:tcPr>
            <w:tcW w:w="4794" w:type="dxa"/>
            <w:tcBorders>
              <w:bottom w:val="single" w:sz="4" w:space="0" w:color="auto"/>
            </w:tcBorders>
            <w:shd w:val="clear" w:color="auto" w:fill="auto"/>
            <w:vAlign w:val="center"/>
            <w:hideMark/>
          </w:tcPr>
          <w:p w14:paraId="1448C1A7" w14:textId="77777777" w:rsidR="00AB512D" w:rsidRPr="00AB512D" w:rsidRDefault="00AB512D" w:rsidP="003C473C">
            <w:pPr>
              <w:spacing w:after="0"/>
              <w:jc w:val="center"/>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PRIPOMBA/PREDLOG</w:t>
            </w:r>
          </w:p>
        </w:tc>
        <w:tc>
          <w:tcPr>
            <w:tcW w:w="1946" w:type="dxa"/>
            <w:tcBorders>
              <w:bottom w:val="single" w:sz="4" w:space="0" w:color="auto"/>
            </w:tcBorders>
            <w:shd w:val="clear" w:color="auto" w:fill="auto"/>
            <w:vAlign w:val="center"/>
            <w:hideMark/>
          </w:tcPr>
          <w:p w14:paraId="1448C1A8" w14:textId="77777777" w:rsidR="00AB512D" w:rsidRPr="00AB512D" w:rsidRDefault="00AB512D" w:rsidP="003C473C">
            <w:pPr>
              <w:spacing w:after="0"/>
              <w:jc w:val="center"/>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Upoštevano</w:t>
            </w:r>
          </w:p>
        </w:tc>
        <w:tc>
          <w:tcPr>
            <w:tcW w:w="5220" w:type="dxa"/>
            <w:tcBorders>
              <w:bottom w:val="single" w:sz="4" w:space="0" w:color="auto"/>
            </w:tcBorders>
            <w:shd w:val="clear" w:color="auto" w:fill="auto"/>
            <w:vAlign w:val="center"/>
            <w:hideMark/>
          </w:tcPr>
          <w:p w14:paraId="1448C1A9" w14:textId="77777777" w:rsidR="00AB512D" w:rsidRPr="00AB512D" w:rsidRDefault="00AB512D" w:rsidP="003C473C">
            <w:pPr>
              <w:spacing w:after="0"/>
              <w:jc w:val="center"/>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Razlog za neupoštevanje</w:t>
            </w:r>
          </w:p>
        </w:tc>
      </w:tr>
      <w:tr w:rsidR="00C57D98" w:rsidRPr="00AB512D" w14:paraId="1448C1B0" w14:textId="77777777" w:rsidTr="00EC73AA">
        <w:trPr>
          <w:trHeight w:val="480"/>
        </w:trPr>
        <w:tc>
          <w:tcPr>
            <w:tcW w:w="1600" w:type="dxa"/>
            <w:tcBorders>
              <w:right w:val="single" w:sz="4" w:space="0" w:color="auto"/>
            </w:tcBorders>
            <w:shd w:val="clear" w:color="auto" w:fill="auto"/>
            <w:hideMark/>
          </w:tcPr>
          <w:p w14:paraId="1448C1AB" w14:textId="77777777" w:rsidR="00AB512D" w:rsidRPr="00783EF2" w:rsidRDefault="00AB512D" w:rsidP="003C473C">
            <w:pPr>
              <w:spacing w:after="0"/>
              <w:jc w:val="left"/>
              <w:rPr>
                <w:rFonts w:ascii="Calibri" w:eastAsia="Times New Roman" w:hAnsi="Calibri" w:cs="Arial"/>
                <w:b/>
                <w:color w:val="000000"/>
                <w:sz w:val="20"/>
                <w:szCs w:val="20"/>
                <w:lang w:eastAsia="sl-SI"/>
              </w:rPr>
            </w:pPr>
            <w:r w:rsidRPr="00783EF2">
              <w:rPr>
                <w:rFonts w:ascii="Calibri" w:eastAsia="Times New Roman" w:hAnsi="Calibri" w:cs="Arial"/>
                <w:b/>
                <w:color w:val="000000"/>
                <w:sz w:val="20"/>
                <w:szCs w:val="20"/>
                <w:lang w:eastAsia="sl-SI"/>
              </w:rPr>
              <w:t>Gospodarska zbornica Slovenije</w:t>
            </w:r>
          </w:p>
        </w:tc>
        <w:tc>
          <w:tcPr>
            <w:tcW w:w="4794" w:type="dxa"/>
            <w:tcBorders>
              <w:top w:val="single" w:sz="4" w:space="0" w:color="auto"/>
              <w:left w:val="single" w:sz="4" w:space="0" w:color="auto"/>
              <w:right w:val="single" w:sz="4" w:space="0" w:color="auto"/>
            </w:tcBorders>
            <w:shd w:val="clear" w:color="auto" w:fill="auto"/>
            <w:hideMark/>
          </w:tcPr>
          <w:p w14:paraId="1448C1AC" w14:textId="77777777" w:rsidR="00AB512D" w:rsidRDefault="00AB512D"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Splošna pripomba</w:t>
            </w:r>
          </w:p>
          <w:p w14:paraId="1448C1AD" w14:textId="77777777" w:rsidR="00F651D1" w:rsidRPr="00AB512D" w:rsidRDefault="00F651D1"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glede opredelitve in uporabe pojma davčni organ in finančna uprava</w:t>
            </w:r>
            <w:r w:rsidR="008B5445">
              <w:rPr>
                <w:rFonts w:ascii="Calibri" w:eastAsia="Times New Roman" w:hAnsi="Calibri" w:cs="Arial"/>
                <w:color w:val="000000"/>
                <w:sz w:val="18"/>
                <w:szCs w:val="18"/>
                <w:lang w:eastAsia="sl-SI"/>
              </w:rPr>
              <w:t>,</w:t>
            </w:r>
          </w:p>
        </w:tc>
        <w:tc>
          <w:tcPr>
            <w:tcW w:w="1946" w:type="dxa"/>
            <w:tcBorders>
              <w:top w:val="single" w:sz="4" w:space="0" w:color="auto"/>
              <w:left w:val="single" w:sz="4" w:space="0" w:color="auto"/>
            </w:tcBorders>
            <w:shd w:val="clear" w:color="auto" w:fill="auto"/>
            <w:hideMark/>
          </w:tcPr>
          <w:p w14:paraId="1448C1AE"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tcBorders>
              <w:top w:val="single" w:sz="4" w:space="0" w:color="auto"/>
              <w:right w:val="single" w:sz="4" w:space="0" w:color="auto"/>
            </w:tcBorders>
            <w:shd w:val="clear" w:color="auto" w:fill="auto"/>
            <w:hideMark/>
          </w:tcPr>
          <w:p w14:paraId="1448C1AF" w14:textId="77777777" w:rsidR="00AB512D" w:rsidRPr="00AB512D" w:rsidRDefault="00AB512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Pojma sta v obstoječi zakonodaji že opredeljena (ZDavP-2, ZFU).</w:t>
            </w:r>
          </w:p>
        </w:tc>
      </w:tr>
      <w:tr w:rsidR="00C57D98" w:rsidRPr="00AB512D" w14:paraId="1448C1BA" w14:textId="77777777" w:rsidTr="00EC73AA">
        <w:trPr>
          <w:trHeight w:val="720"/>
        </w:trPr>
        <w:tc>
          <w:tcPr>
            <w:tcW w:w="1600" w:type="dxa"/>
            <w:tcBorders>
              <w:right w:val="single" w:sz="4" w:space="0" w:color="auto"/>
            </w:tcBorders>
            <w:shd w:val="clear" w:color="auto" w:fill="auto"/>
            <w:hideMark/>
          </w:tcPr>
          <w:p w14:paraId="1448C1B6"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tcBorders>
              <w:left w:val="single" w:sz="4" w:space="0" w:color="auto"/>
              <w:right w:val="single" w:sz="4" w:space="0" w:color="auto"/>
            </w:tcBorders>
            <w:shd w:val="clear" w:color="auto" w:fill="auto"/>
            <w:hideMark/>
          </w:tcPr>
          <w:p w14:paraId="614FA577" w14:textId="3102DE82" w:rsidR="007D7F8D" w:rsidRDefault="007D7F8D" w:rsidP="008B5445">
            <w:pPr>
              <w:spacing w:after="0"/>
              <w:rPr>
                <w:rFonts w:ascii="Calibri" w:eastAsia="Times New Roman" w:hAnsi="Calibri" w:cs="Arial"/>
                <w:color w:val="000000"/>
                <w:sz w:val="18"/>
                <w:szCs w:val="18"/>
                <w:u w:val="single"/>
                <w:lang w:eastAsia="sl-SI"/>
              </w:rPr>
            </w:pPr>
            <w:r w:rsidRPr="00AB512D">
              <w:rPr>
                <w:rFonts w:ascii="Calibri" w:eastAsia="Times New Roman" w:hAnsi="Calibri" w:cs="Arial"/>
                <w:b/>
                <w:bCs/>
                <w:color w:val="000000"/>
                <w:sz w:val="18"/>
                <w:szCs w:val="18"/>
                <w:lang w:eastAsia="sl-SI"/>
              </w:rPr>
              <w:t>K 4. členu</w:t>
            </w:r>
          </w:p>
          <w:p w14:paraId="641E484D" w14:textId="77777777" w:rsidR="007D7F8D" w:rsidRPr="007D7F8D" w:rsidRDefault="00AB512D" w:rsidP="008B5445">
            <w:pPr>
              <w:spacing w:after="0"/>
              <w:rPr>
                <w:rFonts w:ascii="Calibri" w:eastAsia="Times New Roman" w:hAnsi="Calibri" w:cs="Arial"/>
                <w:color w:val="000000"/>
                <w:sz w:val="18"/>
                <w:szCs w:val="18"/>
                <w:lang w:eastAsia="sl-SI"/>
              </w:rPr>
            </w:pPr>
            <w:r w:rsidRPr="007D7F8D">
              <w:rPr>
                <w:rFonts w:ascii="Calibri" w:eastAsia="Times New Roman" w:hAnsi="Calibri" w:cs="Arial"/>
                <w:color w:val="000000"/>
                <w:sz w:val="18"/>
                <w:szCs w:val="18"/>
                <w:lang w:eastAsia="sl-SI"/>
              </w:rPr>
              <w:t>14.b člen: Predlog preveritve dikcije zadnje alineje 1. odstavka (kdaj se šteje, da je transakcija pred iztekom).</w:t>
            </w:r>
          </w:p>
          <w:p w14:paraId="456E2545" w14:textId="77777777" w:rsidR="007D7F8D" w:rsidRPr="007D7F8D" w:rsidRDefault="007D7F8D" w:rsidP="008B5445">
            <w:pPr>
              <w:spacing w:after="0"/>
              <w:rPr>
                <w:rFonts w:ascii="Calibri" w:eastAsia="Times New Roman" w:hAnsi="Calibri" w:cs="Arial"/>
                <w:color w:val="000000"/>
                <w:sz w:val="18"/>
                <w:szCs w:val="18"/>
                <w:lang w:eastAsia="sl-SI"/>
              </w:rPr>
            </w:pPr>
          </w:p>
          <w:p w14:paraId="2D98AECB" w14:textId="02238803" w:rsidR="007D7F8D" w:rsidRPr="007D7F8D" w:rsidRDefault="007D7F8D" w:rsidP="008B5445">
            <w:pPr>
              <w:spacing w:after="0"/>
              <w:rPr>
                <w:rFonts w:ascii="Calibri" w:eastAsia="Times New Roman" w:hAnsi="Calibri" w:cs="Arial"/>
                <w:color w:val="000000"/>
                <w:sz w:val="18"/>
                <w:szCs w:val="18"/>
                <w:lang w:eastAsia="sl-SI"/>
              </w:rPr>
            </w:pPr>
            <w:r w:rsidRPr="007D7F8D">
              <w:rPr>
                <w:rFonts w:ascii="Calibri" w:eastAsia="Times New Roman" w:hAnsi="Calibri" w:cs="Arial"/>
                <w:color w:val="000000"/>
                <w:sz w:val="18"/>
                <w:szCs w:val="18"/>
                <w:lang w:eastAsia="sl-SI"/>
              </w:rPr>
              <w:t>14.d člen: Predlog dopolnitve člena glede zakonske opredelitve okvirne vsebine poročanja in posledic prenehanja veljavnosti sporazuma zaradi pravne varnosti davčnih zavezancev.</w:t>
            </w:r>
          </w:p>
          <w:p w14:paraId="170A2365" w14:textId="77777777" w:rsidR="007D7F8D" w:rsidRPr="007D7F8D" w:rsidRDefault="007D7F8D" w:rsidP="008B5445">
            <w:pPr>
              <w:spacing w:after="0"/>
              <w:rPr>
                <w:rFonts w:ascii="Calibri" w:eastAsia="Times New Roman" w:hAnsi="Calibri" w:cs="Arial"/>
                <w:color w:val="000000"/>
                <w:sz w:val="18"/>
                <w:szCs w:val="18"/>
                <w:lang w:eastAsia="sl-SI"/>
              </w:rPr>
            </w:pPr>
          </w:p>
          <w:p w14:paraId="7AFC975B" w14:textId="2A66F0C2" w:rsidR="007D7F8D" w:rsidRPr="007D7F8D" w:rsidRDefault="007D7F8D" w:rsidP="008B5445">
            <w:pPr>
              <w:spacing w:after="0"/>
              <w:rPr>
                <w:rFonts w:ascii="Calibri" w:eastAsia="Times New Roman" w:hAnsi="Calibri" w:cs="Arial"/>
                <w:color w:val="000000"/>
                <w:sz w:val="18"/>
                <w:szCs w:val="18"/>
                <w:lang w:eastAsia="sl-SI"/>
              </w:rPr>
            </w:pPr>
            <w:r w:rsidRPr="007D7F8D">
              <w:rPr>
                <w:rFonts w:ascii="Calibri" w:eastAsia="Times New Roman" w:hAnsi="Calibri" w:cs="Arial"/>
                <w:color w:val="000000"/>
                <w:sz w:val="18"/>
                <w:szCs w:val="18"/>
                <w:lang w:eastAsia="sl-SI"/>
              </w:rPr>
              <w:t>14.e člen:  Pripomba glede sorazmernosti sankcije ničnosti v primeru nepopolnosti podatkov in pristojnosti v povezavi z ugotavljanjem ničnosti.</w:t>
            </w:r>
          </w:p>
          <w:p w14:paraId="7B5A2621" w14:textId="77777777" w:rsidR="007D7F8D" w:rsidRPr="007D7F8D" w:rsidRDefault="007D7F8D" w:rsidP="008B5445">
            <w:pPr>
              <w:spacing w:after="0"/>
              <w:rPr>
                <w:rFonts w:ascii="Calibri" w:eastAsia="Times New Roman" w:hAnsi="Calibri" w:cs="Arial"/>
                <w:color w:val="000000"/>
                <w:sz w:val="18"/>
                <w:szCs w:val="18"/>
                <w:lang w:eastAsia="sl-SI"/>
              </w:rPr>
            </w:pPr>
          </w:p>
          <w:p w14:paraId="55920D21" w14:textId="5F0E9802" w:rsidR="007D7F8D" w:rsidRPr="007D7F8D" w:rsidRDefault="007D7F8D" w:rsidP="008B5445">
            <w:pPr>
              <w:spacing w:after="0"/>
              <w:rPr>
                <w:rFonts w:ascii="Calibri" w:eastAsia="Times New Roman" w:hAnsi="Calibri" w:cs="Arial"/>
                <w:color w:val="000000"/>
                <w:sz w:val="18"/>
                <w:szCs w:val="18"/>
                <w:lang w:eastAsia="sl-SI"/>
              </w:rPr>
            </w:pPr>
            <w:r w:rsidRPr="007D7F8D">
              <w:rPr>
                <w:rFonts w:ascii="Calibri" w:eastAsia="Times New Roman" w:hAnsi="Calibri" w:cs="Arial"/>
                <w:color w:val="000000"/>
                <w:sz w:val="18"/>
                <w:szCs w:val="18"/>
                <w:lang w:eastAsia="sl-SI"/>
              </w:rPr>
              <w:t>14.g člen: Pripomba  glede  omejitve pravice izvrševanja pooblastil finančni upravi.</w:t>
            </w:r>
          </w:p>
          <w:p w14:paraId="4F41AD5C" w14:textId="77777777" w:rsidR="007D7F8D" w:rsidRPr="007D7F8D" w:rsidRDefault="007D7F8D" w:rsidP="008B5445">
            <w:pPr>
              <w:spacing w:after="0"/>
              <w:rPr>
                <w:rFonts w:ascii="Calibri" w:eastAsia="Times New Roman" w:hAnsi="Calibri" w:cs="Arial"/>
                <w:color w:val="000000"/>
                <w:sz w:val="18"/>
                <w:szCs w:val="18"/>
                <w:lang w:eastAsia="sl-SI"/>
              </w:rPr>
            </w:pPr>
          </w:p>
          <w:p w14:paraId="1448C1B7" w14:textId="441D38F1" w:rsidR="00AB512D" w:rsidRPr="00AB512D" w:rsidRDefault="007D7F8D" w:rsidP="008B5445">
            <w:pPr>
              <w:spacing w:after="0"/>
              <w:rPr>
                <w:rFonts w:ascii="Calibri" w:eastAsia="Times New Roman" w:hAnsi="Calibri" w:cs="Arial"/>
                <w:color w:val="000000"/>
                <w:sz w:val="18"/>
                <w:szCs w:val="18"/>
                <w:u w:val="single"/>
                <w:lang w:eastAsia="sl-SI"/>
              </w:rPr>
            </w:pPr>
            <w:r w:rsidRPr="007D7F8D">
              <w:rPr>
                <w:rFonts w:ascii="Calibri" w:eastAsia="Times New Roman" w:hAnsi="Calibri" w:cs="Arial"/>
                <w:color w:val="000000"/>
                <w:sz w:val="18"/>
                <w:szCs w:val="18"/>
                <w:lang w:eastAsia="sl-SI"/>
              </w:rPr>
              <w:t>14.h člen: Pripomba glede opredelitve okvira stroškov, ki so v takem postopku</w:t>
            </w:r>
            <w:r w:rsidRPr="00AB512D">
              <w:rPr>
                <w:rFonts w:ascii="Calibri" w:eastAsia="Times New Roman" w:hAnsi="Calibri" w:cs="Arial"/>
                <w:color w:val="000000"/>
                <w:sz w:val="18"/>
                <w:szCs w:val="18"/>
                <w:lang w:eastAsia="sl-SI"/>
              </w:rPr>
              <w:t xml:space="preserve"> predvideni.</w:t>
            </w:r>
          </w:p>
        </w:tc>
        <w:tc>
          <w:tcPr>
            <w:tcW w:w="1946" w:type="dxa"/>
            <w:tcBorders>
              <w:left w:val="single" w:sz="4" w:space="0" w:color="auto"/>
            </w:tcBorders>
            <w:shd w:val="clear" w:color="auto" w:fill="auto"/>
            <w:hideMark/>
          </w:tcPr>
          <w:p w14:paraId="5067F576" w14:textId="77777777" w:rsidR="007D7F8D" w:rsidRDefault="007D7F8D" w:rsidP="003C473C">
            <w:pPr>
              <w:spacing w:after="0"/>
              <w:jc w:val="left"/>
              <w:rPr>
                <w:rFonts w:ascii="Calibri" w:eastAsia="Times New Roman" w:hAnsi="Calibri" w:cs="Arial"/>
                <w:color w:val="000000"/>
                <w:sz w:val="18"/>
                <w:szCs w:val="18"/>
                <w:lang w:eastAsia="sl-SI"/>
              </w:rPr>
            </w:pPr>
          </w:p>
          <w:p w14:paraId="28258893" w14:textId="77777777" w:rsidR="007D7F8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52C08978" w14:textId="77777777" w:rsidR="007D7F8D" w:rsidRDefault="007D7F8D" w:rsidP="003C473C">
            <w:pPr>
              <w:spacing w:after="0"/>
              <w:jc w:val="left"/>
              <w:rPr>
                <w:rFonts w:ascii="Calibri" w:eastAsia="Times New Roman" w:hAnsi="Calibri" w:cs="Arial"/>
                <w:color w:val="000000"/>
                <w:sz w:val="18"/>
                <w:szCs w:val="18"/>
                <w:lang w:eastAsia="sl-SI"/>
              </w:rPr>
            </w:pPr>
          </w:p>
          <w:p w14:paraId="3F66B482" w14:textId="77777777" w:rsidR="007D7F8D" w:rsidRDefault="007D7F8D" w:rsidP="003C473C">
            <w:pPr>
              <w:spacing w:after="0"/>
              <w:jc w:val="left"/>
              <w:rPr>
                <w:rFonts w:ascii="Calibri" w:eastAsia="Times New Roman" w:hAnsi="Calibri" w:cs="Arial"/>
                <w:color w:val="000000"/>
                <w:sz w:val="18"/>
                <w:szCs w:val="18"/>
                <w:lang w:eastAsia="sl-SI"/>
              </w:rPr>
            </w:pPr>
          </w:p>
          <w:p w14:paraId="49D86A4A" w14:textId="77777777" w:rsidR="007D7F8D" w:rsidRDefault="007D7F8D"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p w14:paraId="564384EA" w14:textId="77777777" w:rsidR="007D7F8D" w:rsidRDefault="007D7F8D" w:rsidP="003C473C">
            <w:pPr>
              <w:spacing w:after="0"/>
              <w:jc w:val="left"/>
              <w:rPr>
                <w:rFonts w:ascii="Calibri" w:eastAsia="Times New Roman" w:hAnsi="Calibri" w:cs="Arial"/>
                <w:color w:val="000000"/>
                <w:sz w:val="18"/>
                <w:szCs w:val="18"/>
                <w:lang w:eastAsia="sl-SI"/>
              </w:rPr>
            </w:pPr>
          </w:p>
          <w:p w14:paraId="774EEAAF" w14:textId="77777777" w:rsidR="007D7F8D" w:rsidRDefault="007D7F8D" w:rsidP="003C473C">
            <w:pPr>
              <w:spacing w:after="0"/>
              <w:jc w:val="left"/>
              <w:rPr>
                <w:rFonts w:ascii="Calibri" w:eastAsia="Times New Roman" w:hAnsi="Calibri" w:cs="Arial"/>
                <w:color w:val="000000"/>
                <w:sz w:val="18"/>
                <w:szCs w:val="18"/>
                <w:lang w:eastAsia="sl-SI"/>
              </w:rPr>
            </w:pPr>
          </w:p>
          <w:p w14:paraId="298E2812" w14:textId="77777777" w:rsidR="007D7F8D" w:rsidRDefault="007D7F8D" w:rsidP="003C473C">
            <w:pPr>
              <w:spacing w:after="0"/>
              <w:jc w:val="left"/>
              <w:rPr>
                <w:rFonts w:ascii="Calibri" w:eastAsia="Times New Roman" w:hAnsi="Calibri" w:cs="Arial"/>
                <w:color w:val="000000"/>
                <w:sz w:val="18"/>
                <w:szCs w:val="18"/>
                <w:lang w:eastAsia="sl-SI"/>
              </w:rPr>
            </w:pPr>
          </w:p>
          <w:p w14:paraId="4DA414FA" w14:textId="77777777" w:rsidR="007D7F8D" w:rsidRDefault="007D7F8D" w:rsidP="007D7F8D">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17F76A3E" w14:textId="77777777" w:rsidR="007D7F8D" w:rsidRDefault="007D7F8D" w:rsidP="007D7F8D">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Dikcija je spremenjena</w:t>
            </w:r>
          </w:p>
          <w:p w14:paraId="470E687D" w14:textId="77777777" w:rsidR="007D7F8D" w:rsidRDefault="007D7F8D" w:rsidP="007D7F8D">
            <w:pPr>
              <w:spacing w:after="0"/>
              <w:jc w:val="left"/>
              <w:rPr>
                <w:rFonts w:ascii="Calibri" w:eastAsia="Times New Roman" w:hAnsi="Calibri" w:cs="Arial"/>
                <w:color w:val="000000"/>
                <w:sz w:val="18"/>
                <w:szCs w:val="18"/>
                <w:lang w:eastAsia="sl-SI"/>
              </w:rPr>
            </w:pPr>
          </w:p>
          <w:p w14:paraId="0ECB6B1D" w14:textId="77777777" w:rsidR="007D7F8D" w:rsidRDefault="007D7F8D" w:rsidP="007D7F8D">
            <w:pPr>
              <w:spacing w:after="0"/>
              <w:jc w:val="left"/>
              <w:rPr>
                <w:rFonts w:ascii="Calibri" w:eastAsia="Times New Roman" w:hAnsi="Calibri" w:cs="Arial"/>
                <w:color w:val="000000"/>
                <w:sz w:val="18"/>
                <w:szCs w:val="18"/>
                <w:lang w:eastAsia="sl-SI"/>
              </w:rPr>
            </w:pPr>
          </w:p>
          <w:p w14:paraId="2CD8FA00" w14:textId="77777777" w:rsidR="007D7F8D" w:rsidRDefault="007D7F8D" w:rsidP="007D7F8D">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301E498C" w14:textId="364FDE78" w:rsidR="007D7F8D" w:rsidRDefault="007D7F8D" w:rsidP="007D7F8D">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Dikcija je spremenjena</w:t>
            </w:r>
          </w:p>
          <w:p w14:paraId="146572EC" w14:textId="77777777" w:rsidR="007D7F8D" w:rsidRDefault="007D7F8D" w:rsidP="007D7F8D">
            <w:pPr>
              <w:spacing w:after="0"/>
              <w:jc w:val="left"/>
              <w:rPr>
                <w:rFonts w:ascii="Calibri" w:eastAsia="Times New Roman" w:hAnsi="Calibri" w:cs="Arial"/>
                <w:color w:val="000000"/>
                <w:sz w:val="18"/>
                <w:szCs w:val="18"/>
                <w:lang w:eastAsia="sl-SI"/>
              </w:rPr>
            </w:pPr>
          </w:p>
          <w:p w14:paraId="1448C1B8" w14:textId="12F678BE" w:rsidR="00AB512D" w:rsidRPr="00AB512D" w:rsidRDefault="007D7F8D" w:rsidP="007D7F8D">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B3FD0BB" w14:textId="77777777" w:rsidR="00AB512D" w:rsidRDefault="00AB512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7A376534" w14:textId="77777777" w:rsidR="007D7F8D" w:rsidRDefault="007D7F8D" w:rsidP="002655FC">
            <w:pPr>
              <w:spacing w:after="0"/>
              <w:rPr>
                <w:rFonts w:ascii="Calibri" w:eastAsia="Times New Roman" w:hAnsi="Calibri" w:cs="Arial"/>
                <w:color w:val="000000"/>
                <w:sz w:val="18"/>
                <w:szCs w:val="18"/>
                <w:lang w:eastAsia="sl-SI"/>
              </w:rPr>
            </w:pPr>
          </w:p>
          <w:p w14:paraId="1A514DB5" w14:textId="77777777" w:rsidR="007D7F8D" w:rsidRDefault="007D7F8D" w:rsidP="002655FC">
            <w:pPr>
              <w:spacing w:after="0"/>
              <w:rPr>
                <w:rFonts w:ascii="Calibri" w:eastAsia="Times New Roman" w:hAnsi="Calibri" w:cs="Arial"/>
                <w:color w:val="000000"/>
                <w:sz w:val="18"/>
                <w:szCs w:val="18"/>
                <w:lang w:eastAsia="sl-SI"/>
              </w:rPr>
            </w:pPr>
          </w:p>
          <w:p w14:paraId="05BE7767" w14:textId="77777777" w:rsidR="007D7F8D" w:rsidRDefault="007D7F8D" w:rsidP="002655FC">
            <w:pPr>
              <w:spacing w:after="0"/>
              <w:rPr>
                <w:rFonts w:ascii="Calibri" w:eastAsia="Times New Roman" w:hAnsi="Calibri" w:cs="Arial"/>
                <w:color w:val="000000"/>
                <w:sz w:val="18"/>
                <w:szCs w:val="18"/>
                <w:lang w:eastAsia="sl-SI"/>
              </w:rPr>
            </w:pPr>
          </w:p>
          <w:p w14:paraId="6DEB7CF6" w14:textId="77777777" w:rsidR="007D7F8D" w:rsidRDefault="007D7F8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Podrobnosti poročanja bodo določene v podzakonskem aktu. Določeni elementi, ki so odvisni od vrste transakcije bodo opredeljeni v samem sporazumu oziroma, če se bo pokazala potreba se bodo uredili s podzakonskim aktom.</w:t>
            </w:r>
          </w:p>
          <w:p w14:paraId="0D8FEE09" w14:textId="77777777" w:rsidR="007D7F8D" w:rsidRDefault="007D7F8D" w:rsidP="002655FC">
            <w:pPr>
              <w:spacing w:after="0"/>
              <w:rPr>
                <w:rFonts w:ascii="Calibri" w:eastAsia="Times New Roman" w:hAnsi="Calibri" w:cs="Arial"/>
                <w:color w:val="000000"/>
                <w:sz w:val="18"/>
                <w:szCs w:val="18"/>
                <w:lang w:eastAsia="sl-SI"/>
              </w:rPr>
            </w:pPr>
          </w:p>
          <w:p w14:paraId="65AB7542" w14:textId="77777777" w:rsidR="007D7F8D" w:rsidRDefault="007D7F8D" w:rsidP="002655FC">
            <w:pPr>
              <w:spacing w:after="0"/>
              <w:rPr>
                <w:rFonts w:ascii="Calibri" w:eastAsia="Times New Roman" w:hAnsi="Calibri" w:cs="Arial"/>
                <w:color w:val="000000"/>
                <w:sz w:val="18"/>
                <w:szCs w:val="18"/>
                <w:lang w:eastAsia="sl-SI"/>
              </w:rPr>
            </w:pPr>
          </w:p>
          <w:p w14:paraId="7DBE4255" w14:textId="77777777" w:rsidR="007D7F8D" w:rsidRDefault="007D7F8D" w:rsidP="002655FC">
            <w:pPr>
              <w:spacing w:after="0"/>
              <w:rPr>
                <w:rFonts w:ascii="Calibri" w:eastAsia="Times New Roman" w:hAnsi="Calibri" w:cs="Arial"/>
                <w:color w:val="000000"/>
                <w:sz w:val="18"/>
                <w:szCs w:val="18"/>
                <w:lang w:eastAsia="sl-SI"/>
              </w:rPr>
            </w:pPr>
          </w:p>
          <w:p w14:paraId="0703C386" w14:textId="77777777" w:rsidR="007D7F8D" w:rsidRDefault="007D7F8D" w:rsidP="002655FC">
            <w:pPr>
              <w:spacing w:after="0"/>
              <w:rPr>
                <w:rFonts w:ascii="Calibri" w:eastAsia="Times New Roman" w:hAnsi="Calibri" w:cs="Arial"/>
                <w:color w:val="000000"/>
                <w:sz w:val="18"/>
                <w:szCs w:val="18"/>
                <w:lang w:eastAsia="sl-SI"/>
              </w:rPr>
            </w:pPr>
          </w:p>
          <w:p w14:paraId="36709CE9" w14:textId="77777777" w:rsidR="007D7F8D" w:rsidRDefault="007D7F8D" w:rsidP="002655FC">
            <w:pPr>
              <w:spacing w:after="0"/>
              <w:rPr>
                <w:rFonts w:ascii="Calibri" w:eastAsia="Times New Roman" w:hAnsi="Calibri" w:cs="Arial"/>
                <w:color w:val="000000"/>
                <w:sz w:val="18"/>
                <w:szCs w:val="18"/>
                <w:lang w:eastAsia="sl-SI"/>
              </w:rPr>
            </w:pPr>
          </w:p>
          <w:p w14:paraId="19405716" w14:textId="77777777" w:rsidR="007D7F8D" w:rsidRDefault="007D7F8D" w:rsidP="002655FC">
            <w:pPr>
              <w:spacing w:after="0"/>
              <w:rPr>
                <w:rFonts w:ascii="Calibri" w:eastAsia="Times New Roman" w:hAnsi="Calibri" w:cs="Arial"/>
                <w:color w:val="000000"/>
                <w:sz w:val="18"/>
                <w:szCs w:val="18"/>
                <w:lang w:eastAsia="sl-SI"/>
              </w:rPr>
            </w:pPr>
          </w:p>
          <w:p w14:paraId="5459A28F" w14:textId="77777777" w:rsidR="007D7F8D" w:rsidRPr="009C6520" w:rsidRDefault="007D7F8D" w:rsidP="002655FC">
            <w:pPr>
              <w:spacing w:after="0"/>
              <w:rPr>
                <w:rFonts w:ascii="Calibri" w:eastAsia="Times New Roman" w:hAnsi="Calibri"/>
                <w:sz w:val="18"/>
                <w:lang w:eastAsia="sl-SI"/>
              </w:rPr>
            </w:pPr>
          </w:p>
          <w:p w14:paraId="1448C1B9" w14:textId="516B016D" w:rsidR="007D7F8D" w:rsidRPr="00AB512D" w:rsidRDefault="007F3625" w:rsidP="007F3625">
            <w:pPr>
              <w:spacing w:after="0"/>
              <w:rPr>
                <w:rFonts w:ascii="Calibri" w:eastAsia="Times New Roman" w:hAnsi="Calibri" w:cs="Arial"/>
                <w:color w:val="000000"/>
                <w:sz w:val="18"/>
                <w:szCs w:val="18"/>
                <w:lang w:eastAsia="sl-SI"/>
              </w:rPr>
            </w:pPr>
            <w:r w:rsidRPr="009C6520">
              <w:rPr>
                <w:rFonts w:ascii="Calibri" w:eastAsia="Times New Roman" w:hAnsi="Calibri"/>
                <w:sz w:val="18"/>
                <w:lang w:eastAsia="sl-SI"/>
              </w:rPr>
              <w:t>Namen predloga člena je določitev plačila za APA sporazum, torej stroškov izdaje APA sporazuma. Vsebina je normirana na način, ki je v Zakonu o davčnem postopku uporabljen v osmem in devetem odstavku 14. člena (zavezujoča informacija).</w:t>
            </w:r>
          </w:p>
        </w:tc>
      </w:tr>
      <w:tr w:rsidR="00C57D98" w:rsidRPr="00AB512D" w14:paraId="1448C1D6" w14:textId="77777777" w:rsidTr="00EC73AA">
        <w:trPr>
          <w:trHeight w:val="1200"/>
        </w:trPr>
        <w:tc>
          <w:tcPr>
            <w:tcW w:w="1600" w:type="dxa"/>
            <w:tcBorders>
              <w:right w:val="single" w:sz="4" w:space="0" w:color="auto"/>
            </w:tcBorders>
            <w:shd w:val="clear" w:color="auto" w:fill="auto"/>
            <w:hideMark/>
          </w:tcPr>
          <w:p w14:paraId="1448C1D1"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tcBorders>
              <w:left w:val="single" w:sz="4" w:space="0" w:color="auto"/>
              <w:right w:val="single" w:sz="4" w:space="0" w:color="auto"/>
            </w:tcBorders>
            <w:shd w:val="clear" w:color="auto" w:fill="auto"/>
            <w:hideMark/>
          </w:tcPr>
          <w:p w14:paraId="1448C1D2" w14:textId="77777777" w:rsidR="00AB512D" w:rsidRDefault="00AB512D"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5. členu (36. člen ZDavP-2)</w:t>
            </w:r>
          </w:p>
          <w:p w14:paraId="1448C1D3" w14:textId="77777777" w:rsidR="00F651D1" w:rsidRPr="00AB512D" w:rsidRDefault="00F651D1"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glede vsebina iz 4. odstavka novega 36. Člena, ki bi morala biti predmet zakonske ureditve, zaradi zagotavljanja pravne varnosti</w:t>
            </w:r>
            <w:r w:rsidR="00F85ADF">
              <w:rPr>
                <w:rFonts w:ascii="Calibri" w:eastAsia="Times New Roman" w:hAnsi="Calibri" w:cs="Arial"/>
                <w:color w:val="000000"/>
                <w:sz w:val="18"/>
                <w:szCs w:val="18"/>
                <w:lang w:eastAsia="sl-SI"/>
              </w:rPr>
              <w:t>.</w:t>
            </w:r>
          </w:p>
        </w:tc>
        <w:tc>
          <w:tcPr>
            <w:tcW w:w="1946" w:type="dxa"/>
            <w:tcBorders>
              <w:left w:val="single" w:sz="4" w:space="0" w:color="auto"/>
            </w:tcBorders>
            <w:shd w:val="clear" w:color="auto" w:fill="auto"/>
            <w:hideMark/>
          </w:tcPr>
          <w:p w14:paraId="1448C1D4"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Zaradi črtanja predlagane spremembe 36. člena ZDavP-2 in ohranitve veljavnega člena pripomba ni več aktualna.</w:t>
            </w:r>
          </w:p>
        </w:tc>
        <w:tc>
          <w:tcPr>
            <w:tcW w:w="5220" w:type="dxa"/>
            <w:shd w:val="clear" w:color="auto" w:fill="auto"/>
            <w:hideMark/>
          </w:tcPr>
          <w:p w14:paraId="1448C1D5" w14:textId="77777777" w:rsidR="00AB512D" w:rsidRPr="00AB512D" w:rsidRDefault="00AB512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C57D98" w:rsidRPr="00AB512D" w14:paraId="1448C1DD" w14:textId="77777777" w:rsidTr="00EC73AA">
        <w:trPr>
          <w:trHeight w:val="285"/>
        </w:trPr>
        <w:tc>
          <w:tcPr>
            <w:tcW w:w="1600" w:type="dxa"/>
            <w:tcBorders>
              <w:right w:val="single" w:sz="4" w:space="0" w:color="auto"/>
            </w:tcBorders>
            <w:shd w:val="clear" w:color="auto" w:fill="auto"/>
            <w:hideMark/>
          </w:tcPr>
          <w:p w14:paraId="1448C1D7"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tcBorders>
              <w:left w:val="single" w:sz="4" w:space="0" w:color="auto"/>
              <w:right w:val="single" w:sz="4" w:space="0" w:color="auto"/>
            </w:tcBorders>
            <w:shd w:val="clear" w:color="auto" w:fill="auto"/>
            <w:hideMark/>
          </w:tcPr>
          <w:p w14:paraId="1448C1D8" w14:textId="77777777" w:rsidR="00AB512D" w:rsidRDefault="00AB512D"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15. členu (97. člen ZDavP-2)</w:t>
            </w:r>
          </w:p>
          <w:p w14:paraId="1448C1D9" w14:textId="77777777" w:rsidR="00F651D1" w:rsidRPr="00AB512D" w:rsidRDefault="00F651D1"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dopolnitve novega devetega odstavka 97. člena glede davčne terjatve davčnega zavezanca, ki ne more biti predmet razpolaganja v civilnih razmerjih niti predmet izvršbe</w:t>
            </w:r>
          </w:p>
        </w:tc>
        <w:tc>
          <w:tcPr>
            <w:tcW w:w="1946" w:type="dxa"/>
            <w:tcBorders>
              <w:left w:val="single" w:sz="4" w:space="0" w:color="auto"/>
            </w:tcBorders>
            <w:shd w:val="clear" w:color="auto" w:fill="auto"/>
            <w:hideMark/>
          </w:tcPr>
          <w:p w14:paraId="1448C1DA" w14:textId="77777777" w:rsid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1448C1DB" w14:textId="77777777" w:rsidR="00F651D1" w:rsidRPr="00AB512D" w:rsidRDefault="00F651D1"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Določba je popravljena na način, da je razvidno, da gre za terjatve iz naslova vračil davkov</w:t>
            </w:r>
            <w:r w:rsidR="002655FC">
              <w:rPr>
                <w:rFonts w:ascii="Calibri" w:eastAsia="Times New Roman" w:hAnsi="Calibri" w:cs="Arial"/>
                <w:color w:val="000000"/>
                <w:sz w:val="18"/>
                <w:szCs w:val="18"/>
                <w:lang w:eastAsia="sl-SI"/>
              </w:rPr>
              <w:t>.</w:t>
            </w:r>
          </w:p>
        </w:tc>
        <w:tc>
          <w:tcPr>
            <w:tcW w:w="5220" w:type="dxa"/>
            <w:shd w:val="clear" w:color="auto" w:fill="auto"/>
            <w:hideMark/>
          </w:tcPr>
          <w:p w14:paraId="1448C1DC" w14:textId="77777777" w:rsidR="00AB512D" w:rsidRPr="00AB512D" w:rsidRDefault="00AB512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C57D98" w:rsidRPr="00AB512D" w14:paraId="1448C1E3" w14:textId="77777777" w:rsidTr="00EC73AA">
        <w:trPr>
          <w:trHeight w:val="480"/>
        </w:trPr>
        <w:tc>
          <w:tcPr>
            <w:tcW w:w="1600" w:type="dxa"/>
            <w:tcBorders>
              <w:right w:val="single" w:sz="4" w:space="0" w:color="auto"/>
            </w:tcBorders>
            <w:shd w:val="clear" w:color="auto" w:fill="auto"/>
            <w:hideMark/>
          </w:tcPr>
          <w:p w14:paraId="1448C1DE"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tcBorders>
              <w:left w:val="single" w:sz="4" w:space="0" w:color="auto"/>
              <w:right w:val="single" w:sz="4" w:space="0" w:color="auto"/>
            </w:tcBorders>
            <w:shd w:val="clear" w:color="auto" w:fill="auto"/>
            <w:hideMark/>
          </w:tcPr>
          <w:p w14:paraId="1448C1DF" w14:textId="77777777" w:rsidR="00AB512D" w:rsidRDefault="00AB512D"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23. členu (127. člen ZDavP-2)</w:t>
            </w:r>
          </w:p>
          <w:p w14:paraId="1448C1E0" w14:textId="12614DE7" w:rsidR="00F85ADF" w:rsidRPr="00AB512D" w:rsidRDefault="00F85ADF"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xml:space="preserve">Pripomba glede opredelitve/razlikovanja med davčnim in </w:t>
            </w:r>
            <w:r w:rsidRPr="00AB512D">
              <w:rPr>
                <w:rFonts w:ascii="Calibri" w:eastAsia="Times New Roman" w:hAnsi="Calibri" w:cs="Arial"/>
                <w:color w:val="000000"/>
                <w:sz w:val="18"/>
                <w:szCs w:val="18"/>
                <w:lang w:eastAsia="sl-SI"/>
              </w:rPr>
              <w:lastRenderedPageBreak/>
              <w:t>finančnim nadzorom</w:t>
            </w:r>
            <w:r>
              <w:rPr>
                <w:rFonts w:ascii="Calibri" w:eastAsia="Times New Roman" w:hAnsi="Calibri" w:cs="Arial"/>
                <w:color w:val="000000"/>
                <w:sz w:val="18"/>
                <w:szCs w:val="18"/>
                <w:lang w:eastAsia="sl-SI"/>
              </w:rPr>
              <w:t>.</w:t>
            </w:r>
          </w:p>
        </w:tc>
        <w:tc>
          <w:tcPr>
            <w:tcW w:w="1946" w:type="dxa"/>
            <w:tcBorders>
              <w:left w:val="single" w:sz="4" w:space="0" w:color="auto"/>
            </w:tcBorders>
            <w:shd w:val="clear" w:color="auto" w:fill="auto"/>
            <w:hideMark/>
          </w:tcPr>
          <w:p w14:paraId="1448C1E1"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NE</w:t>
            </w:r>
          </w:p>
        </w:tc>
        <w:tc>
          <w:tcPr>
            <w:tcW w:w="5220" w:type="dxa"/>
            <w:shd w:val="clear" w:color="auto" w:fill="auto"/>
            <w:hideMark/>
          </w:tcPr>
          <w:p w14:paraId="1448C1E2" w14:textId="77777777" w:rsidR="00AB512D" w:rsidRPr="00AB512D" w:rsidRDefault="00AB512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Pojma sta v obstoječi zakonodaji že opredeljena (ZDavP-2, ZFU)</w:t>
            </w:r>
            <w:r w:rsidR="00C332FA">
              <w:rPr>
                <w:rFonts w:ascii="Calibri" w:eastAsia="Times New Roman" w:hAnsi="Calibri" w:cs="Arial"/>
                <w:color w:val="000000"/>
                <w:sz w:val="18"/>
                <w:szCs w:val="18"/>
                <w:lang w:eastAsia="sl-SI"/>
              </w:rPr>
              <w:t>.</w:t>
            </w:r>
          </w:p>
        </w:tc>
      </w:tr>
      <w:tr w:rsidR="00C57D98" w:rsidRPr="00AB512D" w14:paraId="1448C1EA" w14:textId="77777777" w:rsidTr="00EC73AA">
        <w:trPr>
          <w:trHeight w:val="1215"/>
        </w:trPr>
        <w:tc>
          <w:tcPr>
            <w:tcW w:w="1600" w:type="dxa"/>
            <w:tcBorders>
              <w:right w:val="single" w:sz="4" w:space="0" w:color="auto"/>
            </w:tcBorders>
            <w:shd w:val="clear" w:color="auto" w:fill="auto"/>
            <w:hideMark/>
          </w:tcPr>
          <w:p w14:paraId="1448C1E4"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tcBorders>
              <w:left w:val="single" w:sz="4" w:space="0" w:color="auto"/>
              <w:bottom w:val="single" w:sz="4" w:space="0" w:color="auto"/>
              <w:right w:val="single" w:sz="4" w:space="0" w:color="auto"/>
            </w:tcBorders>
            <w:shd w:val="clear" w:color="auto" w:fill="auto"/>
            <w:hideMark/>
          </w:tcPr>
          <w:p w14:paraId="1448C1E5" w14:textId="77777777" w:rsidR="00731849" w:rsidRDefault="00731849" w:rsidP="008B5445">
            <w:pPr>
              <w:spacing w:after="0"/>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K 25. členu (130. člen ZDavP-2)</w:t>
            </w:r>
          </w:p>
          <w:p w14:paraId="1448C1E6" w14:textId="77777777" w:rsidR="00AB512D" w:rsidRPr="00AB512D" w:rsidRDefault="00AB512D" w:rsidP="008B5445">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Predlog dopolnitve tretjega odstavka spremenjenega 130. člena glede podaljšanja roka za pripombe na zapisnik o davčnem inšpekcijskem nadzoru. </w:t>
            </w:r>
          </w:p>
        </w:tc>
        <w:tc>
          <w:tcPr>
            <w:tcW w:w="1946" w:type="dxa"/>
            <w:tcBorders>
              <w:left w:val="single" w:sz="4" w:space="0" w:color="auto"/>
            </w:tcBorders>
            <w:shd w:val="clear" w:color="auto" w:fill="auto"/>
            <w:hideMark/>
          </w:tcPr>
          <w:p w14:paraId="1448C1E7" w14:textId="77777777" w:rsidR="00731849" w:rsidRDefault="00731849"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p w14:paraId="1448C1E8"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Po vzoru 99. člena ZUP </w:t>
            </w:r>
            <w:r w:rsidR="00F85ADF">
              <w:rPr>
                <w:rFonts w:ascii="Calibri" w:eastAsia="Times New Roman" w:hAnsi="Calibri" w:cs="Arial"/>
                <w:color w:val="000000"/>
                <w:sz w:val="18"/>
                <w:szCs w:val="18"/>
                <w:lang w:eastAsia="sl-SI"/>
              </w:rPr>
              <w:t xml:space="preserve">je </w:t>
            </w:r>
            <w:r w:rsidRPr="00AB512D">
              <w:rPr>
                <w:rFonts w:ascii="Calibri" w:eastAsia="Times New Roman" w:hAnsi="Calibri" w:cs="Arial"/>
                <w:color w:val="000000"/>
                <w:sz w:val="18"/>
                <w:szCs w:val="18"/>
                <w:lang w:eastAsia="sl-SI"/>
              </w:rPr>
              <w:t>dodana možnost podaljšanja roka za pripombe (enako tudi v 129. in 140. členu).</w:t>
            </w:r>
          </w:p>
        </w:tc>
        <w:tc>
          <w:tcPr>
            <w:tcW w:w="5220" w:type="dxa"/>
            <w:shd w:val="clear" w:color="auto" w:fill="auto"/>
            <w:hideMark/>
          </w:tcPr>
          <w:p w14:paraId="1448C1E9" w14:textId="77777777" w:rsidR="00AB512D" w:rsidRPr="00AB512D" w:rsidRDefault="00AB512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F85ADF" w:rsidRPr="00AB512D" w14:paraId="1448C1F1" w14:textId="77777777" w:rsidTr="00EC73AA">
        <w:trPr>
          <w:trHeight w:val="480"/>
        </w:trPr>
        <w:tc>
          <w:tcPr>
            <w:tcW w:w="1600" w:type="dxa"/>
            <w:shd w:val="clear" w:color="auto" w:fill="auto"/>
            <w:hideMark/>
          </w:tcPr>
          <w:p w14:paraId="1448C1EB" w14:textId="77777777" w:rsidR="00F85ADF" w:rsidRPr="00783EF2" w:rsidRDefault="00F85ADF" w:rsidP="003C473C">
            <w:pPr>
              <w:spacing w:after="0"/>
              <w:jc w:val="left"/>
              <w:rPr>
                <w:rFonts w:ascii="Calibri" w:eastAsia="Times New Roman" w:hAnsi="Calibri" w:cs="Arial"/>
                <w:b/>
                <w:color w:val="000000"/>
                <w:sz w:val="20"/>
                <w:szCs w:val="20"/>
                <w:lang w:eastAsia="sl-SI"/>
              </w:rPr>
            </w:pPr>
            <w:r w:rsidRPr="00783EF2">
              <w:rPr>
                <w:rFonts w:ascii="Calibri" w:eastAsia="Times New Roman" w:hAnsi="Calibri" w:cs="Arial"/>
                <w:b/>
                <w:color w:val="000000"/>
                <w:sz w:val="20"/>
                <w:szCs w:val="20"/>
                <w:lang w:eastAsia="sl-SI"/>
              </w:rPr>
              <w:t>Slovensko zavarovalno združenje</w:t>
            </w:r>
          </w:p>
        </w:tc>
        <w:tc>
          <w:tcPr>
            <w:tcW w:w="4794" w:type="dxa"/>
            <w:tcBorders>
              <w:top w:val="single" w:sz="4" w:space="0" w:color="auto"/>
            </w:tcBorders>
            <w:shd w:val="clear" w:color="auto" w:fill="auto"/>
            <w:hideMark/>
          </w:tcPr>
          <w:p w14:paraId="1448C1EC" w14:textId="77777777" w:rsidR="00F85ADF" w:rsidRDefault="00F85ADF"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71. členu (novo 11. podpoglavje in novi 351.a do 351.i člen ZDavP-2)</w:t>
            </w:r>
          </w:p>
          <w:p w14:paraId="1448C1ED" w14:textId="77777777" w:rsidR="00F85ADF" w:rsidRPr="00AB512D" w:rsidRDefault="00F85ADF"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glede implementacije standarda poročanja in načinom izvajanja postopkov dolžne skrbnosti za potrebe avtomatične izmenjave informacij</w:t>
            </w:r>
            <w:r>
              <w:rPr>
                <w:rFonts w:ascii="Calibri" w:eastAsia="Times New Roman" w:hAnsi="Calibri" w:cs="Arial"/>
                <w:color w:val="000000"/>
                <w:sz w:val="18"/>
                <w:szCs w:val="18"/>
                <w:lang w:eastAsia="sl-SI"/>
              </w:rPr>
              <w:t>.</w:t>
            </w:r>
          </w:p>
        </w:tc>
        <w:tc>
          <w:tcPr>
            <w:tcW w:w="1946" w:type="dxa"/>
            <w:shd w:val="clear" w:color="auto" w:fill="auto"/>
            <w:hideMark/>
          </w:tcPr>
          <w:p w14:paraId="1448C1EE"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r>
              <w:rPr>
                <w:rFonts w:ascii="Calibri" w:eastAsia="Times New Roman" w:hAnsi="Calibri" w:cs="Arial"/>
                <w:color w:val="000000"/>
                <w:sz w:val="18"/>
                <w:szCs w:val="18"/>
                <w:lang w:eastAsia="sl-SI"/>
              </w:rPr>
              <w:t>DA</w:t>
            </w:r>
          </w:p>
        </w:tc>
        <w:tc>
          <w:tcPr>
            <w:tcW w:w="5220" w:type="dxa"/>
            <w:shd w:val="clear" w:color="auto" w:fill="auto"/>
            <w:hideMark/>
          </w:tcPr>
          <w:p w14:paraId="1448C1EF"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Sklicevanje neposredno na Direktivo 2014/107/EU, kjer so v oddelku III B Priloge I navedeni postopki dolžne skrbnosti pri že obstoječih računih posameznikov.</w:t>
            </w:r>
          </w:p>
          <w:p w14:paraId="1448C1F0"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V oddelku VII B pa so navedeni alternativni postopki za finančne račune, ki jih imajo posamezni upravičenci po zavarovalni pogodbi z odkupno vrednostjo ali pogodbi rentnega zavarovanja in za skupinske zavarovalne pogodbe z odkupno vrednostjo ali skupinske pogodbe rentnega zavarovanja.</w:t>
            </w:r>
          </w:p>
        </w:tc>
      </w:tr>
      <w:tr w:rsidR="00F85ADF" w:rsidRPr="00AB512D" w14:paraId="1448C1F7" w14:textId="77777777" w:rsidTr="00EC73AA">
        <w:trPr>
          <w:trHeight w:val="1440"/>
        </w:trPr>
        <w:tc>
          <w:tcPr>
            <w:tcW w:w="1600" w:type="dxa"/>
            <w:shd w:val="clear" w:color="auto" w:fill="auto"/>
            <w:hideMark/>
          </w:tcPr>
          <w:p w14:paraId="1448C1F2"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1F3" w14:textId="77777777" w:rsidR="00F85ADF" w:rsidRPr="00AB512D" w:rsidRDefault="00F85ADF" w:rsidP="008B5445">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 xml:space="preserve">Pripomba glede določbe predloga 351.i člena, da lahko minister podrobneje določi način izvajanja tega poglavja, naslavlja potrebo po ustrezni razširitvi določil predloga zakona, tudi glede dokumentiranja postopkov in hrambe dokumentacije. </w:t>
            </w:r>
          </w:p>
        </w:tc>
        <w:tc>
          <w:tcPr>
            <w:tcW w:w="1946" w:type="dxa"/>
            <w:shd w:val="clear" w:color="auto" w:fill="auto"/>
            <w:hideMark/>
          </w:tcPr>
          <w:p w14:paraId="1448C1F4" w14:textId="77777777" w:rsidR="00F85ADF" w:rsidRPr="00F85ADF" w:rsidRDefault="00F85ADF" w:rsidP="003C473C">
            <w:pPr>
              <w:spacing w:after="0"/>
              <w:jc w:val="left"/>
              <w:rPr>
                <w:rFonts w:ascii="Calibri" w:eastAsia="Times New Roman" w:hAnsi="Calibri" w:cs="Arial"/>
                <w:bCs/>
                <w:color w:val="000000"/>
                <w:sz w:val="18"/>
                <w:szCs w:val="18"/>
                <w:lang w:eastAsia="sl-SI"/>
              </w:rPr>
            </w:pPr>
            <w:r w:rsidRPr="00F85ADF">
              <w:rPr>
                <w:rFonts w:ascii="Calibri" w:eastAsia="Times New Roman" w:hAnsi="Calibri" w:cs="Arial"/>
                <w:bCs/>
                <w:color w:val="000000"/>
                <w:sz w:val="18"/>
                <w:szCs w:val="18"/>
                <w:lang w:eastAsia="sl-SI"/>
              </w:rPr>
              <w:t>DA</w:t>
            </w:r>
          </w:p>
        </w:tc>
        <w:tc>
          <w:tcPr>
            <w:tcW w:w="5220" w:type="dxa"/>
            <w:shd w:val="clear" w:color="auto" w:fill="auto"/>
            <w:hideMark/>
          </w:tcPr>
          <w:p w14:paraId="1448C1F5"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Sklicevanje neposredno na Direktivo 2014/107/EU. Iz obrazložitve četrtega odstavka 255.b člena izhaja, da mora biti iz dokumentacije poročevalske finančne institucije pri izvajanju postopkov dolžne skrbnosti in zbiranju informacij razvidno, kako je zbirala informacije. Del dokumentacije so npr. samopotrdila in dokazne listine. </w:t>
            </w:r>
          </w:p>
          <w:p w14:paraId="1448C1F6"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Dokazne listine so opredeljene v odstavku E oddelka VII priloge Direktive Sveta 2014/107/EU. Evidenca se hrani 10 let od poteka leta, na katero se nanaša, na način iz 32. člena zakona.</w:t>
            </w:r>
          </w:p>
        </w:tc>
      </w:tr>
      <w:tr w:rsidR="00F85ADF" w:rsidRPr="00AB512D" w14:paraId="1448C1FD" w14:textId="77777777" w:rsidTr="00EC73AA">
        <w:trPr>
          <w:trHeight w:val="480"/>
        </w:trPr>
        <w:tc>
          <w:tcPr>
            <w:tcW w:w="1600" w:type="dxa"/>
            <w:shd w:val="clear" w:color="auto" w:fill="auto"/>
            <w:hideMark/>
          </w:tcPr>
          <w:p w14:paraId="1448C1F8"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1F9" w14:textId="77777777" w:rsidR="00F85ADF" w:rsidRPr="00AB512D" w:rsidRDefault="00F85ADF" w:rsidP="008B5445">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 xml:space="preserve">Pripomba glede določila v zvezi z globami za davčne prekrške lastnika računa. </w:t>
            </w:r>
          </w:p>
        </w:tc>
        <w:tc>
          <w:tcPr>
            <w:tcW w:w="1946" w:type="dxa"/>
            <w:shd w:val="clear" w:color="auto" w:fill="auto"/>
            <w:hideMark/>
          </w:tcPr>
          <w:p w14:paraId="1448C1FA" w14:textId="77777777" w:rsidR="00F85ADF" w:rsidRDefault="00F85ADF"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p w14:paraId="1448C1FB"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Določilo v 400.b členu je črtano.</w:t>
            </w:r>
          </w:p>
        </w:tc>
        <w:tc>
          <w:tcPr>
            <w:tcW w:w="5220" w:type="dxa"/>
            <w:shd w:val="clear" w:color="auto" w:fill="auto"/>
            <w:hideMark/>
          </w:tcPr>
          <w:p w14:paraId="1448C1FC"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Z odstavkom A oddelka VII Priloge I Direktive je določeno, da se poročevalske finančne institucije ne morejo zanašati na samopotrdilo ali dokazne listine, če spoznajo ali utemeljeno domnevajo, da so samopotrdilo ali dokazne listine nepravilni ali nezanesljivi, zato so dolžne sprejeti ukrepe, s katerimi se prepreči uvajanje praks, katerih namen je izogibanje postopkom poročanja in dolžne skrbnosti.</w:t>
            </w:r>
          </w:p>
        </w:tc>
      </w:tr>
      <w:tr w:rsidR="00F85ADF" w:rsidRPr="00AB512D" w14:paraId="1448C203" w14:textId="77777777" w:rsidTr="00EC73AA">
        <w:trPr>
          <w:trHeight w:val="720"/>
        </w:trPr>
        <w:tc>
          <w:tcPr>
            <w:tcW w:w="1600" w:type="dxa"/>
            <w:shd w:val="clear" w:color="auto" w:fill="auto"/>
            <w:hideMark/>
          </w:tcPr>
          <w:p w14:paraId="1448C1FE"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1FF" w14:textId="77777777" w:rsidR="00F85ADF" w:rsidRPr="00AB512D" w:rsidRDefault="00F85ADF" w:rsidP="008B5445">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Predl</w:t>
            </w:r>
            <w:r w:rsidR="00EE2E1E">
              <w:rPr>
                <w:rFonts w:ascii="Calibri" w:eastAsia="Times New Roman" w:hAnsi="Calibri" w:cs="Arial"/>
                <w:color w:val="000000"/>
                <w:sz w:val="18"/>
                <w:szCs w:val="18"/>
                <w:lang w:eastAsia="sl-SI"/>
              </w:rPr>
              <w:t xml:space="preserve">og glede zagotavljanja podatkov, ki so predmet poročanja, </w:t>
            </w:r>
            <w:r w:rsidRPr="00AB512D">
              <w:rPr>
                <w:rFonts w:ascii="Calibri" w:eastAsia="Times New Roman" w:hAnsi="Calibri" w:cs="Arial"/>
                <w:color w:val="000000"/>
                <w:sz w:val="18"/>
                <w:szCs w:val="18"/>
                <w:lang w:eastAsia="sl-SI"/>
              </w:rPr>
              <w:t xml:space="preserve">posamezniku zaradi možnosti uveljavljanja pravice do varstva podatkov. </w:t>
            </w:r>
          </w:p>
        </w:tc>
        <w:tc>
          <w:tcPr>
            <w:tcW w:w="1946" w:type="dxa"/>
            <w:shd w:val="clear" w:color="auto" w:fill="auto"/>
            <w:hideMark/>
          </w:tcPr>
          <w:p w14:paraId="1448C200"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1448C201"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255.c člen</w:t>
            </w:r>
          </w:p>
        </w:tc>
        <w:tc>
          <w:tcPr>
            <w:tcW w:w="5220" w:type="dxa"/>
            <w:shd w:val="clear" w:color="auto" w:fill="auto"/>
            <w:hideMark/>
          </w:tcPr>
          <w:p w14:paraId="1448C202"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09" w14:textId="77777777" w:rsidTr="00EC73AA">
        <w:trPr>
          <w:trHeight w:val="480"/>
        </w:trPr>
        <w:tc>
          <w:tcPr>
            <w:tcW w:w="1600" w:type="dxa"/>
            <w:shd w:val="clear" w:color="auto" w:fill="auto"/>
            <w:hideMark/>
          </w:tcPr>
          <w:p w14:paraId="1448C204"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05" w14:textId="77777777" w:rsidR="00F85ADF" w:rsidRPr="00AB512D" w:rsidRDefault="00F85ADF" w:rsidP="008B5445">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Predlog podaljšanja roka za poročanje finančnih institucij na 30. junij.</w:t>
            </w:r>
          </w:p>
        </w:tc>
        <w:tc>
          <w:tcPr>
            <w:tcW w:w="1946" w:type="dxa"/>
            <w:shd w:val="clear" w:color="auto" w:fill="auto"/>
            <w:hideMark/>
          </w:tcPr>
          <w:p w14:paraId="1448C206"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1448C207" w14:textId="77777777" w:rsidR="00BA61D5" w:rsidRPr="00AB512D" w:rsidRDefault="00BA61D5" w:rsidP="00C332FA">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Določen enoten rok za poročanje finančnih institucij </w:t>
            </w:r>
            <w:r w:rsidR="00C332FA">
              <w:rPr>
                <w:rFonts w:ascii="Calibri" w:eastAsia="Times New Roman" w:hAnsi="Calibri" w:cs="Arial"/>
                <w:color w:val="000000"/>
                <w:sz w:val="18"/>
                <w:szCs w:val="18"/>
                <w:lang w:eastAsia="sl-SI"/>
              </w:rPr>
              <w:t xml:space="preserve">- </w:t>
            </w:r>
            <w:r w:rsidRPr="00AB512D">
              <w:rPr>
                <w:rFonts w:ascii="Calibri" w:eastAsia="Times New Roman" w:hAnsi="Calibri" w:cs="Arial"/>
                <w:color w:val="000000"/>
                <w:sz w:val="18"/>
                <w:szCs w:val="18"/>
                <w:lang w:eastAsia="sl-SI"/>
              </w:rPr>
              <w:t>30. junij.</w:t>
            </w:r>
          </w:p>
        </w:tc>
        <w:tc>
          <w:tcPr>
            <w:tcW w:w="5220" w:type="dxa"/>
            <w:shd w:val="clear" w:color="auto" w:fill="auto"/>
            <w:hideMark/>
          </w:tcPr>
          <w:p w14:paraId="1448C208"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0E" w14:textId="77777777" w:rsidTr="00EC73AA">
        <w:trPr>
          <w:trHeight w:val="1440"/>
        </w:trPr>
        <w:tc>
          <w:tcPr>
            <w:tcW w:w="1600" w:type="dxa"/>
            <w:shd w:val="clear" w:color="auto" w:fill="auto"/>
            <w:hideMark/>
          </w:tcPr>
          <w:p w14:paraId="1448C20A"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20B" w14:textId="77777777" w:rsidR="00F85ADF" w:rsidRPr="00AB512D" w:rsidRDefault="00F85ADF" w:rsidP="008B5445">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 xml:space="preserve">Predlog dopolnitve 351.b člena v povezavi z opredelitvijo </w:t>
            </w:r>
            <w:r w:rsidRPr="00AB512D">
              <w:rPr>
                <w:rFonts w:ascii="Calibri" w:eastAsia="Times New Roman" w:hAnsi="Calibri" w:cs="Arial"/>
                <w:color w:val="222222"/>
                <w:sz w:val="18"/>
                <w:szCs w:val="18"/>
                <w:lang w:eastAsia="sl-SI"/>
              </w:rPr>
              <w:t xml:space="preserve">neporočevalskih finančnih institucij in izključenih </w:t>
            </w:r>
            <w:r w:rsidRPr="00AB512D">
              <w:rPr>
                <w:rFonts w:ascii="Calibri" w:eastAsia="Times New Roman" w:hAnsi="Calibri" w:cs="Arial"/>
                <w:color w:val="000000"/>
                <w:sz w:val="18"/>
                <w:szCs w:val="18"/>
                <w:lang w:eastAsia="sl-SI"/>
              </w:rPr>
              <w:t>računov (izhajajoč iz Priloge II FATCA Sporazuma) in predlog oblikovanja novega 351.c člena (seznam izključenih računov s konkretizacijo generalne klavzule računa z nizkim tveganjem).</w:t>
            </w:r>
          </w:p>
        </w:tc>
        <w:tc>
          <w:tcPr>
            <w:tcW w:w="1946" w:type="dxa"/>
            <w:shd w:val="clear" w:color="auto" w:fill="auto"/>
            <w:hideMark/>
          </w:tcPr>
          <w:p w14:paraId="1448C20C"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                                              Novi 255.g člen</w:t>
            </w:r>
            <w:r w:rsidR="002655FC">
              <w:rPr>
                <w:rFonts w:ascii="Calibri" w:eastAsia="Times New Roman" w:hAnsi="Calibri" w:cs="Arial"/>
                <w:color w:val="000000"/>
                <w:sz w:val="18"/>
                <w:szCs w:val="18"/>
                <w:lang w:eastAsia="sl-SI"/>
              </w:rPr>
              <w:t>.</w:t>
            </w:r>
          </w:p>
        </w:tc>
        <w:tc>
          <w:tcPr>
            <w:tcW w:w="5220" w:type="dxa"/>
            <w:shd w:val="clear" w:color="auto" w:fill="auto"/>
            <w:hideMark/>
          </w:tcPr>
          <w:p w14:paraId="1448C20D"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14" w14:textId="77777777" w:rsidTr="00EC73AA">
        <w:trPr>
          <w:trHeight w:val="1680"/>
        </w:trPr>
        <w:tc>
          <w:tcPr>
            <w:tcW w:w="1600" w:type="dxa"/>
            <w:shd w:val="clear" w:color="auto" w:fill="auto"/>
            <w:hideMark/>
          </w:tcPr>
          <w:p w14:paraId="1448C20F" w14:textId="77777777" w:rsidR="00F85ADF" w:rsidRPr="00524735" w:rsidRDefault="00F85ADF" w:rsidP="003C473C">
            <w:pPr>
              <w:spacing w:after="0"/>
              <w:jc w:val="left"/>
              <w:rPr>
                <w:rFonts w:ascii="Calibri" w:eastAsia="Times New Roman" w:hAnsi="Calibri" w:cs="Arial"/>
                <w:b/>
                <w:color w:val="000000"/>
                <w:sz w:val="18"/>
                <w:szCs w:val="18"/>
                <w:lang w:eastAsia="sl-SI"/>
              </w:rPr>
            </w:pPr>
            <w:r w:rsidRPr="00AB512D">
              <w:rPr>
                <w:rFonts w:ascii="Calibri" w:eastAsia="Times New Roman" w:hAnsi="Calibri" w:cs="Arial"/>
                <w:color w:val="000000"/>
                <w:sz w:val="18"/>
                <w:szCs w:val="18"/>
                <w:lang w:eastAsia="sl-SI"/>
              </w:rPr>
              <w:t> </w:t>
            </w:r>
            <w:r w:rsidR="00524735" w:rsidRPr="00524735">
              <w:rPr>
                <w:rFonts w:ascii="Calibri" w:eastAsia="Times New Roman" w:hAnsi="Calibri" w:cs="Arial"/>
                <w:b/>
                <w:color w:val="000000"/>
                <w:sz w:val="18"/>
                <w:szCs w:val="18"/>
                <w:lang w:eastAsia="sl-SI"/>
              </w:rPr>
              <w:t>KPMG poslovno svetovanje d. o. o.</w:t>
            </w:r>
          </w:p>
        </w:tc>
        <w:tc>
          <w:tcPr>
            <w:tcW w:w="4794" w:type="dxa"/>
            <w:shd w:val="clear" w:color="auto" w:fill="auto"/>
            <w:hideMark/>
          </w:tcPr>
          <w:p w14:paraId="1448C210" w14:textId="77777777" w:rsidR="00524735" w:rsidRDefault="00524735" w:rsidP="008B5445">
            <w:pPr>
              <w:spacing w:after="0"/>
              <w:rPr>
                <w:rFonts w:eastAsia="Times New Roman" w:cs="Arial"/>
                <w:color w:val="000000"/>
                <w:sz w:val="18"/>
                <w:szCs w:val="18"/>
                <w:lang w:eastAsia="sl-SI"/>
              </w:rPr>
            </w:pPr>
            <w:r w:rsidRPr="00AB512D">
              <w:rPr>
                <w:rFonts w:ascii="Calibri" w:eastAsia="Times New Roman" w:hAnsi="Calibri" w:cs="Arial"/>
                <w:b/>
                <w:bCs/>
                <w:color w:val="000000"/>
                <w:sz w:val="18"/>
                <w:szCs w:val="18"/>
                <w:lang w:eastAsia="sl-SI"/>
              </w:rPr>
              <w:t>K prvemu odstavku 14.a člena ZDavP-2</w:t>
            </w:r>
          </w:p>
          <w:p w14:paraId="0F66928C" w14:textId="0B3B3A4D" w:rsidR="00F85ADF" w:rsidRDefault="00F85ADF" w:rsidP="00E31CA1">
            <w:pPr>
              <w:pStyle w:val="ListParagraph"/>
              <w:numPr>
                <w:ilvl w:val="0"/>
                <w:numId w:val="11"/>
              </w:num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Predlog jasnejšega zapisa, da se z vnaprejšnjim cenovnim sporazumom lahko določijo tudi primerna merila za določanje višine obrestne mere iz 19. člena ZDDPO-2 in dovoljenega razmerja dolg/kapital iz 32. člena ZDDPO-2 v primeru, da se zavezanec odloči za dokazovanje teh postavk po neodvisnem tržnem načelu. </w:t>
            </w:r>
          </w:p>
          <w:p w14:paraId="6698ED2F" w14:textId="77777777" w:rsidR="00E31CA1" w:rsidRDefault="00E31CA1" w:rsidP="00E31CA1">
            <w:pPr>
              <w:pStyle w:val="ListParagraph"/>
              <w:spacing w:after="0"/>
              <w:ind w:left="360"/>
              <w:rPr>
                <w:rFonts w:ascii="Calibri" w:eastAsia="Times New Roman" w:hAnsi="Calibri" w:cs="Arial"/>
                <w:color w:val="000000"/>
                <w:sz w:val="18"/>
                <w:szCs w:val="18"/>
                <w:lang w:eastAsia="sl-SI"/>
              </w:rPr>
            </w:pPr>
          </w:p>
          <w:p w14:paraId="10FD3E3E" w14:textId="77777777" w:rsidR="003B09A9" w:rsidRDefault="003B09A9" w:rsidP="00E31CA1">
            <w:pPr>
              <w:pStyle w:val="ListParagraph"/>
              <w:spacing w:after="0"/>
              <w:ind w:left="360"/>
              <w:rPr>
                <w:rFonts w:ascii="Calibri" w:eastAsia="Times New Roman" w:hAnsi="Calibri" w:cs="Arial"/>
                <w:color w:val="000000"/>
                <w:sz w:val="18"/>
                <w:szCs w:val="18"/>
                <w:lang w:eastAsia="sl-SI"/>
              </w:rPr>
            </w:pPr>
          </w:p>
          <w:p w14:paraId="64577BF4" w14:textId="55227E2A" w:rsidR="00E31CA1" w:rsidRPr="00E31CA1" w:rsidRDefault="00E31CA1" w:rsidP="00E31CA1">
            <w:pPr>
              <w:pStyle w:val="ListParagraph"/>
              <w:numPr>
                <w:ilvl w:val="0"/>
                <w:numId w:val="11"/>
              </w:num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izrecne vključitve izraza »transakcija« v povezavi z obrestmi in razmerjem dolg/kapital v sistem APA zaradi zmanjšanja davčnih rizikov tako na strani davčnega organa kot na strani družb za naknadno povečanje davčne osnove.</w:t>
            </w:r>
          </w:p>
          <w:p w14:paraId="2720B13C" w14:textId="77777777" w:rsidR="00F85ADF" w:rsidRDefault="00F85ADF" w:rsidP="008B5445">
            <w:pPr>
              <w:spacing w:after="0"/>
              <w:rPr>
                <w:rFonts w:eastAsia="Times New Roman" w:cs="Arial"/>
                <w:color w:val="000000"/>
                <w:sz w:val="18"/>
                <w:szCs w:val="18"/>
                <w:lang w:eastAsia="sl-SI"/>
              </w:rPr>
            </w:pPr>
          </w:p>
          <w:p w14:paraId="1C269F00" w14:textId="0494ADE3" w:rsidR="003B09A9" w:rsidRDefault="003B09A9" w:rsidP="008B5445">
            <w:pPr>
              <w:spacing w:after="0"/>
              <w:rPr>
                <w:rFonts w:eastAsia="Times New Roman" w:cs="Arial"/>
                <w:color w:val="000000"/>
                <w:sz w:val="18"/>
                <w:szCs w:val="18"/>
                <w:lang w:eastAsia="sl-SI"/>
              </w:rPr>
            </w:pPr>
          </w:p>
          <w:p w14:paraId="02B21322" w14:textId="77777777" w:rsidR="003B09A9" w:rsidRDefault="003B09A9" w:rsidP="008B5445">
            <w:pPr>
              <w:spacing w:after="0"/>
              <w:rPr>
                <w:rFonts w:eastAsia="Times New Roman" w:cs="Arial"/>
                <w:color w:val="000000"/>
                <w:sz w:val="18"/>
                <w:szCs w:val="18"/>
                <w:lang w:eastAsia="sl-SI"/>
              </w:rPr>
            </w:pPr>
          </w:p>
          <w:p w14:paraId="515D2EAB" w14:textId="77777777" w:rsidR="003B09A9" w:rsidRDefault="003B09A9" w:rsidP="008B5445">
            <w:pPr>
              <w:spacing w:after="0"/>
              <w:rPr>
                <w:rFonts w:eastAsia="Times New Roman" w:cs="Arial"/>
                <w:color w:val="000000"/>
                <w:sz w:val="18"/>
                <w:szCs w:val="18"/>
                <w:lang w:eastAsia="sl-SI"/>
              </w:rPr>
            </w:pPr>
          </w:p>
          <w:p w14:paraId="1448C211" w14:textId="396B4D8F" w:rsidR="00F85ADF" w:rsidRPr="00AB512D" w:rsidRDefault="003B09A9" w:rsidP="003B09A9">
            <w:pPr>
              <w:pStyle w:val="ListParagraph"/>
              <w:numPr>
                <w:ilvl w:val="0"/>
                <w:numId w:val="11"/>
              </w:numPr>
              <w:spacing w:after="0"/>
              <w:rPr>
                <w:rFonts w:eastAsia="Times New Roman" w:cs="Arial"/>
                <w:color w:val="000000"/>
                <w:sz w:val="18"/>
                <w:szCs w:val="18"/>
                <w:lang w:eastAsia="sl-SI"/>
              </w:rPr>
            </w:pPr>
            <w:r w:rsidRPr="003B09A9">
              <w:rPr>
                <w:rFonts w:ascii="Calibri" w:eastAsia="Times New Roman" w:hAnsi="Calibri" w:cs="Arial"/>
                <w:color w:val="000000"/>
                <w:sz w:val="18"/>
                <w:szCs w:val="18"/>
                <w:lang w:eastAsia="sl-SI"/>
              </w:rPr>
              <w:t>Predlog vključitve določanja davčne osnove nerezidenta – pripis dobička poslovni enoti nerezidenta na podlagi četrtega odstavka 12. člena ZDDPO-2, saj večina drugih držav pripis dobička poslovnim enotam nerezidenta vključuje v regulacijo z APA (npr. UK, Avstrija, Nemčija, Poljska itd.).</w:t>
            </w:r>
          </w:p>
        </w:tc>
        <w:tc>
          <w:tcPr>
            <w:tcW w:w="1946" w:type="dxa"/>
            <w:shd w:val="clear" w:color="auto" w:fill="auto"/>
            <w:hideMark/>
          </w:tcPr>
          <w:p w14:paraId="7B010633" w14:textId="77777777" w:rsidR="007F3625" w:rsidRDefault="007F3625" w:rsidP="003C473C">
            <w:pPr>
              <w:spacing w:after="0"/>
              <w:jc w:val="left"/>
              <w:rPr>
                <w:rFonts w:ascii="Calibri" w:eastAsia="Times New Roman" w:hAnsi="Calibri" w:cs="Arial"/>
                <w:color w:val="000000"/>
                <w:sz w:val="18"/>
                <w:szCs w:val="18"/>
                <w:lang w:eastAsia="sl-SI"/>
              </w:rPr>
            </w:pPr>
          </w:p>
          <w:p w14:paraId="56B5744A" w14:textId="77777777" w:rsidR="007F3625" w:rsidRDefault="007F3625" w:rsidP="003C473C">
            <w:pPr>
              <w:spacing w:after="0"/>
              <w:jc w:val="left"/>
              <w:rPr>
                <w:rFonts w:ascii="Calibri" w:eastAsia="Times New Roman" w:hAnsi="Calibri" w:cs="Arial"/>
                <w:color w:val="000000"/>
                <w:sz w:val="18"/>
                <w:szCs w:val="18"/>
                <w:lang w:eastAsia="sl-SI"/>
              </w:rPr>
            </w:pPr>
          </w:p>
          <w:p w14:paraId="1B9DFB7D"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p w14:paraId="16C5A4A2" w14:textId="77777777" w:rsidR="00E31CA1" w:rsidRDefault="00E31CA1" w:rsidP="003C473C">
            <w:pPr>
              <w:spacing w:after="0"/>
              <w:jc w:val="left"/>
              <w:rPr>
                <w:rFonts w:ascii="Calibri" w:eastAsia="Times New Roman" w:hAnsi="Calibri" w:cs="Arial"/>
                <w:color w:val="000000"/>
                <w:sz w:val="18"/>
                <w:szCs w:val="18"/>
                <w:lang w:eastAsia="sl-SI"/>
              </w:rPr>
            </w:pPr>
          </w:p>
          <w:p w14:paraId="797F59BC" w14:textId="77777777" w:rsidR="00E31CA1" w:rsidRDefault="00E31CA1" w:rsidP="003C473C">
            <w:pPr>
              <w:spacing w:after="0"/>
              <w:jc w:val="left"/>
              <w:rPr>
                <w:rFonts w:ascii="Calibri" w:eastAsia="Times New Roman" w:hAnsi="Calibri" w:cs="Arial"/>
                <w:color w:val="000000"/>
                <w:sz w:val="18"/>
                <w:szCs w:val="18"/>
                <w:lang w:eastAsia="sl-SI"/>
              </w:rPr>
            </w:pPr>
          </w:p>
          <w:p w14:paraId="63E1F92E" w14:textId="77777777" w:rsidR="00E31CA1" w:rsidRDefault="00E31CA1" w:rsidP="003C473C">
            <w:pPr>
              <w:spacing w:after="0"/>
              <w:jc w:val="left"/>
              <w:rPr>
                <w:rFonts w:ascii="Calibri" w:eastAsia="Times New Roman" w:hAnsi="Calibri" w:cs="Arial"/>
                <w:color w:val="000000"/>
                <w:sz w:val="18"/>
                <w:szCs w:val="18"/>
                <w:lang w:eastAsia="sl-SI"/>
              </w:rPr>
            </w:pPr>
          </w:p>
          <w:p w14:paraId="6F2141DC" w14:textId="77777777" w:rsidR="00E31CA1" w:rsidRDefault="00E31CA1" w:rsidP="003C473C">
            <w:pPr>
              <w:spacing w:after="0"/>
              <w:jc w:val="left"/>
              <w:rPr>
                <w:rFonts w:ascii="Calibri" w:eastAsia="Times New Roman" w:hAnsi="Calibri" w:cs="Arial"/>
                <w:color w:val="000000"/>
                <w:sz w:val="18"/>
                <w:szCs w:val="18"/>
                <w:lang w:eastAsia="sl-SI"/>
              </w:rPr>
            </w:pPr>
          </w:p>
          <w:p w14:paraId="69E88131" w14:textId="77777777" w:rsidR="00E31CA1" w:rsidRDefault="00E31CA1" w:rsidP="003C473C">
            <w:pPr>
              <w:spacing w:after="0"/>
              <w:jc w:val="left"/>
              <w:rPr>
                <w:rFonts w:ascii="Calibri" w:eastAsia="Times New Roman" w:hAnsi="Calibri" w:cs="Arial"/>
                <w:color w:val="000000"/>
                <w:sz w:val="18"/>
                <w:szCs w:val="18"/>
                <w:lang w:eastAsia="sl-SI"/>
              </w:rPr>
            </w:pPr>
          </w:p>
          <w:p w14:paraId="17B120C6" w14:textId="77777777" w:rsidR="00E31CA1" w:rsidRDefault="00E31CA1" w:rsidP="003C473C">
            <w:pPr>
              <w:spacing w:after="0"/>
              <w:jc w:val="left"/>
              <w:rPr>
                <w:rFonts w:ascii="Calibri" w:eastAsia="Times New Roman" w:hAnsi="Calibri" w:cs="Arial"/>
                <w:color w:val="000000"/>
                <w:sz w:val="18"/>
                <w:szCs w:val="18"/>
                <w:lang w:eastAsia="sl-SI"/>
              </w:rPr>
            </w:pPr>
          </w:p>
          <w:p w14:paraId="71284450"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p w14:paraId="30D1A427" w14:textId="77777777" w:rsidR="003B09A9" w:rsidRDefault="003B09A9" w:rsidP="003C473C">
            <w:pPr>
              <w:spacing w:after="0"/>
              <w:jc w:val="left"/>
              <w:rPr>
                <w:rFonts w:ascii="Calibri" w:eastAsia="Times New Roman" w:hAnsi="Calibri" w:cs="Arial"/>
                <w:color w:val="000000"/>
                <w:sz w:val="18"/>
                <w:szCs w:val="18"/>
                <w:lang w:eastAsia="sl-SI"/>
              </w:rPr>
            </w:pPr>
          </w:p>
          <w:p w14:paraId="2C88181D" w14:textId="77777777" w:rsidR="003B09A9" w:rsidRDefault="003B09A9" w:rsidP="003C473C">
            <w:pPr>
              <w:spacing w:after="0"/>
              <w:jc w:val="left"/>
              <w:rPr>
                <w:rFonts w:ascii="Calibri" w:eastAsia="Times New Roman" w:hAnsi="Calibri" w:cs="Arial"/>
                <w:color w:val="000000"/>
                <w:sz w:val="18"/>
                <w:szCs w:val="18"/>
                <w:lang w:eastAsia="sl-SI"/>
              </w:rPr>
            </w:pPr>
          </w:p>
          <w:p w14:paraId="54650D0C" w14:textId="77777777" w:rsidR="003B09A9" w:rsidRDefault="003B09A9" w:rsidP="003C473C">
            <w:pPr>
              <w:spacing w:after="0"/>
              <w:jc w:val="left"/>
              <w:rPr>
                <w:rFonts w:ascii="Calibri" w:eastAsia="Times New Roman" w:hAnsi="Calibri" w:cs="Arial"/>
                <w:color w:val="000000"/>
                <w:sz w:val="18"/>
                <w:szCs w:val="18"/>
                <w:lang w:eastAsia="sl-SI"/>
              </w:rPr>
            </w:pPr>
          </w:p>
          <w:p w14:paraId="43B27946" w14:textId="77777777" w:rsidR="003B09A9" w:rsidRDefault="003B09A9" w:rsidP="003C473C">
            <w:pPr>
              <w:spacing w:after="0"/>
              <w:jc w:val="left"/>
              <w:rPr>
                <w:rFonts w:ascii="Calibri" w:eastAsia="Times New Roman" w:hAnsi="Calibri" w:cs="Arial"/>
                <w:color w:val="000000"/>
                <w:sz w:val="18"/>
                <w:szCs w:val="18"/>
                <w:lang w:eastAsia="sl-SI"/>
              </w:rPr>
            </w:pPr>
          </w:p>
          <w:p w14:paraId="30E34C32" w14:textId="77777777" w:rsidR="003B09A9" w:rsidRDefault="003B09A9" w:rsidP="003C473C">
            <w:pPr>
              <w:spacing w:after="0"/>
              <w:jc w:val="left"/>
              <w:rPr>
                <w:rFonts w:ascii="Calibri" w:eastAsia="Times New Roman" w:hAnsi="Calibri" w:cs="Arial"/>
                <w:color w:val="000000"/>
                <w:sz w:val="18"/>
                <w:szCs w:val="18"/>
                <w:lang w:eastAsia="sl-SI"/>
              </w:rPr>
            </w:pPr>
          </w:p>
          <w:p w14:paraId="1AEEE4DF" w14:textId="77777777" w:rsidR="003B09A9" w:rsidRDefault="003B09A9" w:rsidP="003C473C">
            <w:pPr>
              <w:spacing w:after="0"/>
              <w:jc w:val="left"/>
              <w:rPr>
                <w:rFonts w:ascii="Calibri" w:eastAsia="Times New Roman" w:hAnsi="Calibri" w:cs="Arial"/>
                <w:color w:val="000000"/>
                <w:sz w:val="18"/>
                <w:szCs w:val="18"/>
                <w:lang w:eastAsia="sl-SI"/>
              </w:rPr>
            </w:pPr>
          </w:p>
          <w:p w14:paraId="59CEF628" w14:textId="77777777" w:rsidR="003B09A9" w:rsidRDefault="003B09A9" w:rsidP="003C473C">
            <w:pPr>
              <w:spacing w:after="0"/>
              <w:jc w:val="left"/>
              <w:rPr>
                <w:rFonts w:ascii="Calibri" w:eastAsia="Times New Roman" w:hAnsi="Calibri" w:cs="Arial"/>
                <w:color w:val="000000"/>
                <w:sz w:val="18"/>
                <w:szCs w:val="18"/>
                <w:lang w:eastAsia="sl-SI"/>
              </w:rPr>
            </w:pPr>
          </w:p>
          <w:p w14:paraId="73C650BE" w14:textId="77777777" w:rsidR="00E31CA1" w:rsidRDefault="00E31CA1" w:rsidP="003C473C">
            <w:pPr>
              <w:spacing w:after="0"/>
              <w:jc w:val="left"/>
              <w:rPr>
                <w:rFonts w:ascii="Calibri" w:eastAsia="Times New Roman" w:hAnsi="Calibri" w:cs="Arial"/>
                <w:color w:val="000000"/>
                <w:sz w:val="18"/>
                <w:szCs w:val="18"/>
                <w:lang w:eastAsia="sl-SI"/>
              </w:rPr>
            </w:pPr>
          </w:p>
          <w:p w14:paraId="1448C212" w14:textId="1A147EAA"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shd w:val="clear" w:color="auto" w:fill="auto"/>
            <w:hideMark/>
          </w:tcPr>
          <w:p w14:paraId="5CE34072" w14:textId="46FC50FF" w:rsidR="00F85ADF" w:rsidRPr="009C6520" w:rsidRDefault="00095C0F" w:rsidP="002655FC">
            <w:pPr>
              <w:spacing w:after="0"/>
              <w:rPr>
                <w:rFonts w:ascii="Calibri" w:eastAsia="Times New Roman" w:hAnsi="Calibri"/>
                <w:sz w:val="18"/>
                <w:lang w:eastAsia="sl-SI"/>
              </w:rPr>
            </w:pPr>
            <w:r w:rsidRPr="009C6520">
              <w:rPr>
                <w:rFonts w:ascii="Calibri" w:eastAsia="Times New Roman" w:hAnsi="Calibri"/>
                <w:sz w:val="18"/>
                <w:lang w:eastAsia="sl-SI"/>
              </w:rPr>
              <w:t>Pripomba ni bila sprejeta je pa d</w:t>
            </w:r>
            <w:r w:rsidR="00F85ADF" w:rsidRPr="009C6520">
              <w:rPr>
                <w:rFonts w:ascii="Calibri" w:eastAsia="Times New Roman" w:hAnsi="Calibri"/>
                <w:sz w:val="18"/>
                <w:lang w:eastAsia="sl-SI"/>
              </w:rPr>
              <w:t>opolnjena obrazložitev člena.</w:t>
            </w:r>
            <w:r w:rsidR="007F3625" w:rsidRPr="009C6520">
              <w:rPr>
                <w:rFonts w:ascii="Calibri" w:eastAsia="Times New Roman" w:hAnsi="Calibri"/>
                <w:sz w:val="18"/>
                <w:lang w:eastAsia="sl-SI"/>
              </w:rPr>
              <w:t xml:space="preserve"> Namreč 14. a člen določa splošno definicijo</w:t>
            </w:r>
            <w:r w:rsidR="00F85ADF" w:rsidRPr="009C6520">
              <w:rPr>
                <w:rFonts w:ascii="Calibri" w:eastAsia="Times New Roman" w:hAnsi="Calibri"/>
                <w:sz w:val="18"/>
                <w:lang w:eastAsia="sl-SI"/>
              </w:rPr>
              <w:t xml:space="preserve"> vnaprejšnjega cenovnega sporazuma, kot izhaja iz smernic za transferne cene</w:t>
            </w:r>
            <w:r w:rsidR="007F3625" w:rsidRPr="009C6520">
              <w:rPr>
                <w:rFonts w:ascii="Calibri" w:eastAsia="Times New Roman" w:hAnsi="Calibri"/>
                <w:sz w:val="18"/>
                <w:lang w:eastAsia="sl-SI"/>
              </w:rPr>
              <w:t xml:space="preserve">, pri čemer se za transakcijo </w:t>
            </w:r>
            <w:r w:rsidRPr="009C6520">
              <w:rPr>
                <w:rFonts w:ascii="Calibri" w:eastAsia="Times New Roman" w:hAnsi="Calibri"/>
                <w:sz w:val="18"/>
                <w:lang w:eastAsia="sl-SI"/>
              </w:rPr>
              <w:t>štejejo vse transakcije ne glede na njihovo vrsto</w:t>
            </w:r>
            <w:r w:rsidR="00F85ADF" w:rsidRPr="009C6520">
              <w:rPr>
                <w:rFonts w:ascii="Calibri" w:eastAsia="Times New Roman" w:hAnsi="Calibri"/>
                <w:sz w:val="18"/>
                <w:lang w:eastAsia="sl-SI"/>
              </w:rPr>
              <w:t xml:space="preserve">. </w:t>
            </w:r>
            <w:r w:rsidRPr="009C6520">
              <w:rPr>
                <w:rFonts w:ascii="Calibri" w:eastAsia="Times New Roman" w:hAnsi="Calibri"/>
                <w:sz w:val="18"/>
                <w:lang w:eastAsia="sl-SI"/>
              </w:rPr>
              <w:t>Eksplicitno navajanje posameznih vrst transakcije (obresti, dolg</w:t>
            </w:r>
            <w:r w:rsidR="007E1123" w:rsidRPr="009C6520">
              <w:rPr>
                <w:rFonts w:ascii="Calibri" w:eastAsia="Times New Roman" w:hAnsi="Calibri"/>
                <w:sz w:val="18"/>
                <w:lang w:eastAsia="sl-SI"/>
              </w:rPr>
              <w:t>, pripis dobička poslovni enoti) je</w:t>
            </w:r>
            <w:r w:rsidRPr="009C6520">
              <w:rPr>
                <w:rFonts w:ascii="Calibri" w:eastAsia="Times New Roman" w:hAnsi="Calibri"/>
                <w:sz w:val="18"/>
                <w:lang w:eastAsia="sl-SI"/>
              </w:rPr>
              <w:t xml:space="preserve"> zavajajoče</w:t>
            </w:r>
            <w:r w:rsidR="009C6520" w:rsidRPr="009C6520">
              <w:rPr>
                <w:rFonts w:ascii="Calibri" w:eastAsia="Times New Roman" w:hAnsi="Calibri" w:cs="Arial"/>
                <w:sz w:val="18"/>
                <w:szCs w:val="18"/>
                <w:lang w:eastAsia="sl-SI"/>
              </w:rPr>
              <w:t>,</w:t>
            </w:r>
            <w:r w:rsidR="00542554" w:rsidRPr="009C6520">
              <w:rPr>
                <w:rFonts w:ascii="Calibri" w:eastAsia="Times New Roman" w:hAnsi="Calibri"/>
                <w:sz w:val="18"/>
                <w:lang w:eastAsia="sl-SI"/>
              </w:rPr>
              <w:t xml:space="preserve"> </w:t>
            </w:r>
            <w:r w:rsidR="007E1123" w:rsidRPr="009C6520">
              <w:rPr>
                <w:rFonts w:ascii="Calibri" w:eastAsia="Times New Roman" w:hAnsi="Calibri"/>
                <w:sz w:val="18"/>
                <w:lang w:eastAsia="sl-SI"/>
              </w:rPr>
              <w:t>saj bi se lahko razumelo, da se za naštete transakcije APA sporazum lahko pridobi za ostale pa ne</w:t>
            </w:r>
            <w:r w:rsidRPr="009C6520">
              <w:rPr>
                <w:rFonts w:ascii="Calibri" w:eastAsia="Times New Roman" w:hAnsi="Calibri"/>
                <w:sz w:val="18"/>
                <w:lang w:eastAsia="sl-SI"/>
              </w:rPr>
              <w:t xml:space="preserve">. </w:t>
            </w:r>
          </w:p>
          <w:p w14:paraId="5DDFEFE7" w14:textId="77777777" w:rsidR="00E31CA1" w:rsidRPr="009C6520" w:rsidRDefault="00E31CA1" w:rsidP="002655FC">
            <w:pPr>
              <w:spacing w:after="0"/>
              <w:rPr>
                <w:rFonts w:ascii="Calibri" w:eastAsia="Times New Roman" w:hAnsi="Calibri"/>
                <w:sz w:val="18"/>
                <w:lang w:eastAsia="sl-SI"/>
              </w:rPr>
            </w:pPr>
          </w:p>
          <w:p w14:paraId="58484A0D" w14:textId="64F13F4D" w:rsidR="00542554" w:rsidRPr="009C6520" w:rsidRDefault="00542554" w:rsidP="00542554">
            <w:pPr>
              <w:spacing w:after="0"/>
              <w:rPr>
                <w:rFonts w:ascii="Calibri" w:eastAsia="Times New Roman" w:hAnsi="Calibri"/>
                <w:sz w:val="18"/>
                <w:lang w:eastAsia="sl-SI"/>
              </w:rPr>
            </w:pPr>
            <w:r w:rsidRPr="009C6520">
              <w:rPr>
                <w:rFonts w:ascii="Calibri" w:eastAsia="Times New Roman" w:hAnsi="Calibri"/>
                <w:sz w:val="18"/>
                <w:lang w:eastAsia="sl-SI"/>
              </w:rPr>
              <w:t xml:space="preserve">Pripomba ni bila sprejeta je pa dopolnjena obrazložitev člena. Namreč 14. a člen določa splošno definicijo vnaprejšnjega cenovnega sporazuma, kot izhaja iz smernic za transferne cene, pri čemer se za transakcijo štejejo vse transakcije ne glede na njihovo vrsto. </w:t>
            </w:r>
            <w:r w:rsidR="007E1123" w:rsidRPr="009C6520">
              <w:rPr>
                <w:rFonts w:ascii="Calibri" w:eastAsia="Times New Roman" w:hAnsi="Calibri"/>
                <w:sz w:val="18"/>
                <w:lang w:eastAsia="sl-SI"/>
              </w:rPr>
              <w:t>Eksplicitno navajanje posameznih vrst transakcije (obresti, dolg, pripis dobička poslovni enoti) je zavajajoče saj bi se lahko razumelo, da se za naštete transakcije APA sporazum lahko pridobi za ostale pa ne</w:t>
            </w:r>
            <w:r w:rsidRPr="009C6520">
              <w:rPr>
                <w:rFonts w:ascii="Calibri" w:eastAsia="Times New Roman" w:hAnsi="Calibri"/>
                <w:sz w:val="18"/>
                <w:lang w:eastAsia="sl-SI"/>
              </w:rPr>
              <w:t xml:space="preserve">. </w:t>
            </w:r>
          </w:p>
          <w:p w14:paraId="30D43EF2" w14:textId="77777777" w:rsidR="00542554" w:rsidRPr="009C6520" w:rsidRDefault="00542554" w:rsidP="002655FC">
            <w:pPr>
              <w:spacing w:after="0"/>
              <w:rPr>
                <w:rFonts w:ascii="Calibri" w:eastAsia="Times New Roman" w:hAnsi="Calibri"/>
                <w:sz w:val="18"/>
                <w:lang w:eastAsia="sl-SI"/>
              </w:rPr>
            </w:pPr>
          </w:p>
          <w:p w14:paraId="1448C213" w14:textId="087819CE" w:rsidR="00542554" w:rsidRPr="009C6520" w:rsidRDefault="003B09A9" w:rsidP="002655FC">
            <w:pPr>
              <w:spacing w:after="0"/>
              <w:rPr>
                <w:rFonts w:ascii="Calibri" w:eastAsia="Times New Roman" w:hAnsi="Calibri"/>
                <w:sz w:val="18"/>
                <w:lang w:eastAsia="sl-SI"/>
              </w:rPr>
            </w:pPr>
            <w:r w:rsidRPr="009C6520">
              <w:rPr>
                <w:rFonts w:ascii="Calibri" w:eastAsia="Times New Roman" w:hAnsi="Calibri"/>
                <w:sz w:val="18"/>
                <w:lang w:eastAsia="sl-SI"/>
              </w:rPr>
              <w:t>Pripomba ni bila sprejeta je pa dopolnjena obrazložitev člena. Namreč 14. a člen določa splošno definicijo vnaprejšnjega cenovnega sporazuma, kot izhaja iz smernic za transferne cene, pri čemer se za transakcijo štejejo vse transakcije ne glede na njihovo vrsto. Eksplicitno navajanje posameznih vrst transakcije (obresti, dolg, pripis dobička poslovni enoti) je zavajajoče saj bi se lahko razumelo, da se za naštete transakcije APA sporazum lahko pridobi za ostale pa ne.</w:t>
            </w:r>
          </w:p>
        </w:tc>
      </w:tr>
      <w:tr w:rsidR="00F85ADF" w:rsidRPr="00AB512D" w14:paraId="1448C22B" w14:textId="77777777" w:rsidTr="00EC73AA">
        <w:trPr>
          <w:trHeight w:val="285"/>
        </w:trPr>
        <w:tc>
          <w:tcPr>
            <w:tcW w:w="1600" w:type="dxa"/>
            <w:shd w:val="clear" w:color="auto" w:fill="auto"/>
            <w:hideMark/>
          </w:tcPr>
          <w:p w14:paraId="1448C21F"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20"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petemu odstavku 14.a člena ZDavP-2</w:t>
            </w:r>
          </w:p>
          <w:p w14:paraId="1448C221" w14:textId="77777777" w:rsidR="00EC73AA" w:rsidRPr="00EC73AA" w:rsidRDefault="00EC73AA" w:rsidP="003C473C">
            <w:pPr>
              <w:pStyle w:val="ListParagraph"/>
              <w:numPr>
                <w:ilvl w:val="0"/>
                <w:numId w:val="1"/>
              </w:numPr>
              <w:spacing w:after="0"/>
              <w:jc w:val="left"/>
              <w:rPr>
                <w:rFonts w:ascii="Calibri" w:eastAsia="Times New Roman" w:hAnsi="Calibri" w:cs="Arial"/>
                <w:b/>
                <w:bCs/>
                <w:color w:val="000000"/>
                <w:sz w:val="18"/>
                <w:szCs w:val="18"/>
                <w:lang w:eastAsia="sl-SI"/>
              </w:rPr>
            </w:pPr>
            <w:r w:rsidRPr="00EC73AA">
              <w:rPr>
                <w:rFonts w:ascii="Calibri" w:eastAsia="Times New Roman" w:hAnsi="Calibri" w:cs="Arial"/>
                <w:color w:val="000000"/>
                <w:sz w:val="18"/>
                <w:szCs w:val="18"/>
                <w:lang w:eastAsia="sl-SI"/>
              </w:rPr>
              <w:t>Opredelitev povezane osebe naj se razširi tudi na osebe iz 17. člena ZDDPO-2.</w:t>
            </w:r>
          </w:p>
          <w:p w14:paraId="1448C222" w14:textId="77777777" w:rsidR="00EC73AA" w:rsidRPr="00EC73AA" w:rsidRDefault="00EC73AA" w:rsidP="003C473C">
            <w:pPr>
              <w:pStyle w:val="ListParagraph"/>
              <w:numPr>
                <w:ilvl w:val="0"/>
                <w:numId w:val="1"/>
              </w:num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Vključitev oseb, kot so opredeljene v 32. členu ZDDPO.</w:t>
            </w:r>
          </w:p>
        </w:tc>
        <w:tc>
          <w:tcPr>
            <w:tcW w:w="1946" w:type="dxa"/>
            <w:shd w:val="clear" w:color="auto" w:fill="auto"/>
            <w:hideMark/>
          </w:tcPr>
          <w:p w14:paraId="1448C223" w14:textId="77777777" w:rsidR="00EC73AA" w:rsidRDefault="00EC73AA" w:rsidP="003C473C">
            <w:pPr>
              <w:spacing w:after="0"/>
              <w:jc w:val="left"/>
              <w:rPr>
                <w:rFonts w:ascii="Calibri" w:eastAsia="Times New Roman" w:hAnsi="Calibri" w:cs="Arial"/>
                <w:color w:val="000000"/>
                <w:sz w:val="18"/>
                <w:szCs w:val="18"/>
                <w:lang w:eastAsia="sl-SI"/>
              </w:rPr>
            </w:pPr>
          </w:p>
          <w:p w14:paraId="1448C224" w14:textId="77777777" w:rsidR="00EC73AA" w:rsidRDefault="00EC73AA"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p w14:paraId="1448C225" w14:textId="77777777" w:rsidR="00EC73AA" w:rsidRDefault="00EC73AA" w:rsidP="003C473C">
            <w:pPr>
              <w:spacing w:after="0"/>
              <w:jc w:val="left"/>
              <w:rPr>
                <w:rFonts w:ascii="Calibri" w:eastAsia="Times New Roman" w:hAnsi="Calibri" w:cs="Arial"/>
                <w:color w:val="000000"/>
                <w:sz w:val="18"/>
                <w:szCs w:val="18"/>
                <w:lang w:eastAsia="sl-SI"/>
              </w:rPr>
            </w:pPr>
          </w:p>
          <w:p w14:paraId="1448C226"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shd w:val="clear" w:color="auto" w:fill="auto"/>
            <w:noWrap/>
            <w:hideMark/>
          </w:tcPr>
          <w:p w14:paraId="1448C228" w14:textId="17B18061" w:rsidR="00EC73AA" w:rsidRPr="009C6520" w:rsidRDefault="00542554" w:rsidP="002655FC">
            <w:pPr>
              <w:spacing w:after="0"/>
              <w:rPr>
                <w:rFonts w:ascii="Calibri" w:eastAsia="Times New Roman" w:hAnsi="Calibri"/>
                <w:sz w:val="18"/>
                <w:lang w:eastAsia="sl-SI"/>
              </w:rPr>
            </w:pPr>
            <w:r w:rsidRPr="009C6520">
              <w:rPr>
                <w:rFonts w:ascii="Calibri" w:eastAsia="Times New Roman" w:hAnsi="Calibri"/>
                <w:sz w:val="18"/>
                <w:lang w:eastAsia="sl-SI"/>
              </w:rPr>
              <w:t>APA institut</w:t>
            </w:r>
            <w:r w:rsidR="00974B43" w:rsidRPr="009C6520">
              <w:rPr>
                <w:rFonts w:ascii="Calibri" w:eastAsia="Times New Roman" w:hAnsi="Calibri"/>
                <w:sz w:val="18"/>
                <w:lang w:eastAsia="sl-SI"/>
              </w:rPr>
              <w:t xml:space="preserve"> je</w:t>
            </w:r>
            <w:r w:rsidRPr="009C6520">
              <w:rPr>
                <w:rFonts w:ascii="Calibri" w:eastAsia="Times New Roman" w:hAnsi="Calibri"/>
                <w:sz w:val="18"/>
                <w:lang w:eastAsia="sl-SI"/>
              </w:rPr>
              <w:t xml:space="preserve"> namenjen določanju primernih meril za določanje transfernih cen v mednarodnih transakcijah med povezanimi osebami</w:t>
            </w:r>
            <w:r w:rsidR="00974B43" w:rsidRPr="009C6520">
              <w:rPr>
                <w:rFonts w:ascii="Calibri" w:eastAsia="Times New Roman" w:hAnsi="Calibri"/>
                <w:sz w:val="18"/>
                <w:lang w:eastAsia="sl-SI"/>
              </w:rPr>
              <w:t xml:space="preserve"> in ne za določanje transfernih cen med domačimi povezanimi osebami</w:t>
            </w:r>
            <w:r w:rsidRPr="009C6520">
              <w:rPr>
                <w:rFonts w:ascii="Calibri" w:eastAsia="Times New Roman" w:hAnsi="Calibri"/>
                <w:sz w:val="18"/>
                <w:lang w:eastAsia="sl-SI"/>
              </w:rPr>
              <w:t>.</w:t>
            </w:r>
            <w:r w:rsidR="007E1123" w:rsidRPr="009C6520">
              <w:rPr>
                <w:rFonts w:ascii="Calibri" w:eastAsia="Times New Roman" w:hAnsi="Calibri"/>
                <w:sz w:val="18"/>
                <w:lang w:eastAsia="sl-SI"/>
              </w:rPr>
              <w:t xml:space="preserve"> </w:t>
            </w:r>
            <w:r w:rsidR="00974B43" w:rsidRPr="009C6520">
              <w:rPr>
                <w:rFonts w:ascii="Calibri" w:eastAsia="Times New Roman" w:hAnsi="Calibri"/>
                <w:sz w:val="18"/>
                <w:lang w:eastAsia="sl-SI"/>
              </w:rPr>
              <w:t>To izhaja tudi iz smernic za transferne cene.</w:t>
            </w:r>
          </w:p>
          <w:p w14:paraId="1448C229" w14:textId="77777777" w:rsidR="00EC73AA" w:rsidRPr="009C6520" w:rsidRDefault="00EC73AA" w:rsidP="002655FC">
            <w:pPr>
              <w:spacing w:after="0"/>
              <w:rPr>
                <w:rFonts w:ascii="Calibri" w:eastAsia="Times New Roman" w:hAnsi="Calibri"/>
                <w:sz w:val="18"/>
                <w:lang w:eastAsia="sl-SI"/>
              </w:rPr>
            </w:pPr>
          </w:p>
          <w:p w14:paraId="1448C22A" w14:textId="3C6ABE1C" w:rsidR="00F85ADF" w:rsidRPr="009C6520" w:rsidRDefault="00974B43" w:rsidP="00974B43">
            <w:pPr>
              <w:spacing w:after="0"/>
              <w:rPr>
                <w:rFonts w:eastAsia="Times New Roman"/>
                <w:lang w:eastAsia="sl-SI"/>
              </w:rPr>
            </w:pPr>
            <w:r w:rsidRPr="009C6520">
              <w:rPr>
                <w:rFonts w:ascii="Calibri" w:eastAsia="Times New Roman" w:hAnsi="Calibri"/>
                <w:sz w:val="18"/>
                <w:lang w:eastAsia="sl-SI"/>
              </w:rPr>
              <w:t>O</w:t>
            </w:r>
            <w:r w:rsidR="00EC73AA" w:rsidRPr="009C6520">
              <w:rPr>
                <w:rFonts w:ascii="Calibri" w:eastAsia="Times New Roman" w:hAnsi="Calibri"/>
                <w:sz w:val="18"/>
                <w:lang w:eastAsia="sl-SI"/>
              </w:rPr>
              <w:t>sebe opredeljene v 32. členu ZDDPO</w:t>
            </w:r>
            <w:r w:rsidRPr="009C6520">
              <w:rPr>
                <w:rFonts w:ascii="Calibri" w:eastAsia="Times New Roman" w:hAnsi="Calibri"/>
                <w:sz w:val="18"/>
                <w:lang w:eastAsia="sl-SI"/>
              </w:rPr>
              <w:t>-2 so vključene</w:t>
            </w:r>
            <w:r w:rsidR="00EC73AA" w:rsidRPr="009C6520">
              <w:rPr>
                <w:rFonts w:ascii="Calibri" w:eastAsia="Times New Roman" w:hAnsi="Calibri"/>
                <w:sz w:val="18"/>
                <w:lang w:eastAsia="sl-SI"/>
              </w:rPr>
              <w:t>.</w:t>
            </w:r>
          </w:p>
        </w:tc>
      </w:tr>
      <w:tr w:rsidR="00F85ADF" w:rsidRPr="00AB512D" w14:paraId="1448C232" w14:textId="77777777" w:rsidTr="00EC73AA">
        <w:trPr>
          <w:trHeight w:val="285"/>
        </w:trPr>
        <w:tc>
          <w:tcPr>
            <w:tcW w:w="1600" w:type="dxa"/>
            <w:shd w:val="clear" w:color="auto" w:fill="auto"/>
            <w:hideMark/>
          </w:tcPr>
          <w:p w14:paraId="1448C22C"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2D"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drugemu odstavku 14.a člena ZDavP-2</w:t>
            </w:r>
          </w:p>
          <w:p w14:paraId="1448C22E" w14:textId="77777777" w:rsidR="00EC73AA" w:rsidRPr="00AB512D" w:rsidRDefault="00EC73AA"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popravka tretjega stavka.</w:t>
            </w:r>
          </w:p>
        </w:tc>
        <w:tc>
          <w:tcPr>
            <w:tcW w:w="1946" w:type="dxa"/>
            <w:shd w:val="clear" w:color="auto" w:fill="auto"/>
            <w:hideMark/>
          </w:tcPr>
          <w:p w14:paraId="1448C22F"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230" w14:textId="77777777" w:rsidR="00EC73AA" w:rsidRPr="00AB512D" w:rsidRDefault="00EC73AA"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231"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r w:rsidR="00EC73AA" w:rsidRPr="00AB512D">
              <w:rPr>
                <w:rFonts w:ascii="Calibri" w:eastAsia="Times New Roman" w:hAnsi="Calibri" w:cs="Arial"/>
                <w:color w:val="000000"/>
                <w:sz w:val="18"/>
                <w:szCs w:val="18"/>
                <w:lang w:eastAsia="sl-SI"/>
              </w:rPr>
              <w:t>Prvi odstavek poda definicijo APA sporazuma, drugi odstavek definira med katerimi osebami se APA sporazum sklene.</w:t>
            </w:r>
          </w:p>
        </w:tc>
      </w:tr>
      <w:tr w:rsidR="00F85ADF" w:rsidRPr="00AB512D" w14:paraId="1448C239" w14:textId="77777777" w:rsidTr="00EC73AA">
        <w:trPr>
          <w:trHeight w:val="285"/>
        </w:trPr>
        <w:tc>
          <w:tcPr>
            <w:tcW w:w="1600" w:type="dxa"/>
            <w:shd w:val="clear" w:color="auto" w:fill="auto"/>
            <w:hideMark/>
          </w:tcPr>
          <w:p w14:paraId="1448C233"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234" w14:textId="77777777" w:rsidR="00F85ADF" w:rsidRDefault="00F85ADF"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četrtemu odstavku 14.a člena ZDavP-2</w:t>
            </w:r>
          </w:p>
          <w:p w14:paraId="1448C235" w14:textId="77777777" w:rsidR="00EC73AA" w:rsidRPr="00AB512D" w:rsidRDefault="00EC73AA"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ureditve odstavka na način, da se pred pisno vlogo opravi najmanj en predsestanek  ter da osnutek sporazuma pripravi davčni zavezanec skladno s potekom postopka APA.</w:t>
            </w:r>
          </w:p>
        </w:tc>
        <w:tc>
          <w:tcPr>
            <w:tcW w:w="1946" w:type="dxa"/>
            <w:shd w:val="clear" w:color="auto" w:fill="auto"/>
            <w:hideMark/>
          </w:tcPr>
          <w:p w14:paraId="1448C236"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237" w14:textId="77777777" w:rsidR="00EC73AA" w:rsidRPr="00AB512D" w:rsidRDefault="00EC73AA"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tc>
        <w:tc>
          <w:tcPr>
            <w:tcW w:w="5220" w:type="dxa"/>
            <w:shd w:val="clear" w:color="auto" w:fill="auto"/>
            <w:hideMark/>
          </w:tcPr>
          <w:p w14:paraId="1448C238"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40" w14:textId="77777777" w:rsidTr="00EC73AA">
        <w:trPr>
          <w:trHeight w:val="285"/>
        </w:trPr>
        <w:tc>
          <w:tcPr>
            <w:tcW w:w="1600" w:type="dxa"/>
            <w:shd w:val="clear" w:color="auto" w:fill="auto"/>
            <w:hideMark/>
          </w:tcPr>
          <w:p w14:paraId="1448C23A"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3B"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14.b členu ZDavP-2</w:t>
            </w:r>
          </w:p>
          <w:p w14:paraId="1448C23C" w14:textId="77777777" w:rsidR="00EC73AA" w:rsidRPr="00AB512D" w:rsidRDefault="00EC73AA"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popravka dikcije.</w:t>
            </w:r>
          </w:p>
        </w:tc>
        <w:tc>
          <w:tcPr>
            <w:tcW w:w="1946" w:type="dxa"/>
            <w:shd w:val="clear" w:color="auto" w:fill="auto"/>
            <w:hideMark/>
          </w:tcPr>
          <w:p w14:paraId="1448C23D" w14:textId="77777777" w:rsidR="00EC73AA"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r w:rsidR="00EC73AA">
              <w:rPr>
                <w:rFonts w:ascii="Calibri" w:eastAsia="Times New Roman" w:hAnsi="Calibri" w:cs="Arial"/>
                <w:color w:val="000000"/>
                <w:sz w:val="18"/>
                <w:szCs w:val="18"/>
                <w:lang w:eastAsia="sl-SI"/>
              </w:rPr>
              <w:t xml:space="preserve">DA </w:t>
            </w:r>
          </w:p>
          <w:p w14:paraId="1448C23E" w14:textId="0A4C5E9D" w:rsidR="00EC73AA" w:rsidRPr="00AB512D" w:rsidRDefault="00EC73AA"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Dikcija je spremenjena</w:t>
            </w:r>
          </w:p>
        </w:tc>
        <w:tc>
          <w:tcPr>
            <w:tcW w:w="5220" w:type="dxa"/>
            <w:shd w:val="clear" w:color="auto" w:fill="auto"/>
            <w:hideMark/>
          </w:tcPr>
          <w:p w14:paraId="1448C23F" w14:textId="77777777" w:rsidR="00F85ADF" w:rsidRPr="00AB512D" w:rsidRDefault="00F85ADF" w:rsidP="002655FC">
            <w:pPr>
              <w:spacing w:after="0"/>
              <w:rPr>
                <w:rFonts w:eastAsia="Times New Roman" w:cs="Arial"/>
                <w:color w:val="000000"/>
                <w:sz w:val="18"/>
                <w:szCs w:val="18"/>
                <w:lang w:eastAsia="sl-SI"/>
              </w:rPr>
            </w:pPr>
            <w:r w:rsidRPr="00AB512D">
              <w:rPr>
                <w:rFonts w:eastAsia="Times New Roman" w:cs="Arial"/>
                <w:color w:val="000000"/>
                <w:sz w:val="18"/>
                <w:szCs w:val="18"/>
                <w:lang w:eastAsia="sl-SI"/>
              </w:rPr>
              <w:t> </w:t>
            </w:r>
          </w:p>
        </w:tc>
      </w:tr>
      <w:tr w:rsidR="00F85ADF" w:rsidRPr="00AB512D" w14:paraId="1448C247" w14:textId="77777777" w:rsidTr="00EC73AA">
        <w:trPr>
          <w:trHeight w:val="480"/>
        </w:trPr>
        <w:tc>
          <w:tcPr>
            <w:tcW w:w="1600" w:type="dxa"/>
            <w:shd w:val="clear" w:color="auto" w:fill="auto"/>
            <w:hideMark/>
          </w:tcPr>
          <w:p w14:paraId="1448C241" w14:textId="77777777" w:rsidR="00F85ADF" w:rsidRPr="00EC73AA" w:rsidRDefault="00F85ADF" w:rsidP="003C473C">
            <w:pPr>
              <w:spacing w:after="0"/>
              <w:jc w:val="left"/>
              <w:rPr>
                <w:rFonts w:ascii="Calibri" w:eastAsia="Times New Roman" w:hAnsi="Calibri" w:cs="Arial"/>
                <w:b/>
                <w:color w:val="000000"/>
                <w:sz w:val="20"/>
                <w:szCs w:val="20"/>
                <w:lang w:eastAsia="sl-SI"/>
              </w:rPr>
            </w:pPr>
            <w:r w:rsidRPr="00EC73AA">
              <w:rPr>
                <w:rFonts w:ascii="Calibri" w:eastAsia="Times New Roman" w:hAnsi="Calibri" w:cs="Arial"/>
                <w:b/>
                <w:color w:val="000000"/>
                <w:sz w:val="20"/>
                <w:szCs w:val="20"/>
                <w:lang w:eastAsia="sl-SI"/>
              </w:rPr>
              <w:t>Zveza svobodnih sindikatov Slovenije</w:t>
            </w:r>
          </w:p>
        </w:tc>
        <w:tc>
          <w:tcPr>
            <w:tcW w:w="4794" w:type="dxa"/>
            <w:shd w:val="clear" w:color="auto" w:fill="auto"/>
            <w:hideMark/>
          </w:tcPr>
          <w:p w14:paraId="1448C242" w14:textId="77777777" w:rsidR="00F85ADF" w:rsidRDefault="00F85ADF"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12. členu (93. člen ZDavP-2) in K 15. členu (97. člen ZDavP-2)</w:t>
            </w:r>
          </w:p>
          <w:p w14:paraId="1448C243" w14:textId="77777777" w:rsidR="00EC73AA" w:rsidRPr="00AB512D" w:rsidRDefault="00EC73AA"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(nestrinjanje s predlaganimi rešitvami) zaradi povečanja  netransparentnega prelivanja sredstev med posameznimi blagajnami javnih financ in zmanjševanja samostojnosti socialnega zavarovanja in njegovih institucij.</w:t>
            </w:r>
          </w:p>
        </w:tc>
        <w:tc>
          <w:tcPr>
            <w:tcW w:w="1946" w:type="dxa"/>
            <w:shd w:val="clear" w:color="auto" w:fill="auto"/>
            <w:hideMark/>
          </w:tcPr>
          <w:p w14:paraId="1448C244" w14:textId="77777777" w:rsidR="00EC73AA"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245" w14:textId="77777777" w:rsidR="00F85ADF" w:rsidRPr="00AB512D" w:rsidRDefault="00EC73AA"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246" w14:textId="311BA154" w:rsidR="00F85ADF" w:rsidRPr="00AB512D" w:rsidRDefault="00EC73AA"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Predlagana ureditev ne povečuje netransparentnosti, temveč omogoča učinkovito poplačilo neplačanih obveznosti, hkrati pa izboljšuje tudi položaj zavezanca za davek. V skladu z veljavno ureditvijo  lahko davčni organ v primerih, ko ima dolžnik preplačilo iz naslova prispevkov, izvede pobot le za istovrstne prispevke, medtem ko mora za poplačilo drugih neporavnanih obveznosti izdati sklep o izvršbi. Takšna ureditev ni v skladu z načelom gospodarnosti, saj davčnemu organu povzroča dodatno administriranje, davčnemu zavezancu pa dodatne stroške v zvezi z izdajo sklepa o izvršbi.  Pri tem je treba dodati, da se bo najprej pobotala istovrstna obveznost, ter šele nato katerikoli zapadli dolg v drugi blagajni po kriteriju najstarejšega oziroma najmanj zavarovanega dolga, ob upoštevanju vrstnega reda poplačila v skladu s 93. členom ZDavP-2</w:t>
            </w:r>
            <w:r>
              <w:rPr>
                <w:rFonts w:ascii="Calibri" w:eastAsia="Times New Roman" w:hAnsi="Calibri" w:cs="Arial"/>
                <w:color w:val="000000"/>
                <w:sz w:val="18"/>
                <w:szCs w:val="18"/>
                <w:lang w:eastAsia="sl-SI"/>
              </w:rPr>
              <w:t>.</w:t>
            </w:r>
          </w:p>
        </w:tc>
      </w:tr>
      <w:tr w:rsidR="00F85ADF" w:rsidRPr="00AB512D" w14:paraId="1448C24F" w14:textId="77777777" w:rsidTr="00EC73AA">
        <w:trPr>
          <w:trHeight w:val="285"/>
        </w:trPr>
        <w:tc>
          <w:tcPr>
            <w:tcW w:w="1600" w:type="dxa"/>
            <w:shd w:val="clear" w:color="auto" w:fill="auto"/>
            <w:hideMark/>
          </w:tcPr>
          <w:p w14:paraId="1448C248"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49"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21. členu (110. člen ZDavP-2)</w:t>
            </w:r>
          </w:p>
          <w:p w14:paraId="1448C24A" w14:textId="77777777" w:rsidR="00EC73AA" w:rsidRPr="00AB512D" w:rsidRDefault="00EC73AA" w:rsidP="002655FC">
            <w:pPr>
              <w:spacing w:after="0"/>
              <w:rPr>
                <w:rFonts w:ascii="Calibri" w:eastAsia="Times New Roman" w:hAnsi="Calibri" w:cs="Arial"/>
                <w:b/>
                <w:bCs/>
                <w:color w:val="000000"/>
                <w:sz w:val="18"/>
                <w:szCs w:val="18"/>
                <w:lang w:eastAsia="sl-SI"/>
              </w:rPr>
            </w:pPr>
            <w:r>
              <w:rPr>
                <w:rFonts w:ascii="Calibri" w:eastAsia="Times New Roman" w:hAnsi="Calibri" w:cs="Arial"/>
                <w:color w:val="000000"/>
                <w:sz w:val="18"/>
                <w:szCs w:val="18"/>
                <w:lang w:eastAsia="sl-SI"/>
              </w:rPr>
              <w:t>Predlog</w:t>
            </w:r>
            <w:r w:rsidRPr="00AB512D">
              <w:rPr>
                <w:rFonts w:ascii="Calibri" w:eastAsia="Times New Roman" w:hAnsi="Calibri" w:cs="Arial"/>
                <w:color w:val="000000"/>
                <w:sz w:val="18"/>
                <w:szCs w:val="18"/>
                <w:lang w:eastAsia="sl-SI"/>
              </w:rPr>
              <w:t>, da je</w:t>
            </w:r>
            <w:r>
              <w:rPr>
                <w:rFonts w:ascii="Calibri" w:eastAsia="Times New Roman" w:hAnsi="Calibri" w:cs="Arial"/>
                <w:color w:val="000000"/>
                <w:sz w:val="18"/>
                <w:szCs w:val="18"/>
                <w:lang w:eastAsia="sl-SI"/>
              </w:rPr>
              <w:t xml:space="preserve"> je v</w:t>
            </w:r>
            <w:r w:rsidRPr="00AB512D">
              <w:rPr>
                <w:rFonts w:ascii="Calibri" w:eastAsia="Times New Roman" w:hAnsi="Calibri" w:cs="Arial"/>
                <w:color w:val="000000"/>
                <w:sz w:val="18"/>
                <w:szCs w:val="18"/>
                <w:lang w:eastAsia="sl-SI"/>
              </w:rPr>
              <w:t xml:space="preserve"> ZDavP-2 jasen in nedvoumen zapis, da se odločbe o odlogu, odpisu ali obročnem plačilu v primeru prispevkov za socialno varnost ne smejo uporabljati.</w:t>
            </w:r>
          </w:p>
        </w:tc>
        <w:tc>
          <w:tcPr>
            <w:tcW w:w="1946" w:type="dxa"/>
            <w:shd w:val="clear" w:color="auto" w:fill="auto"/>
            <w:hideMark/>
          </w:tcPr>
          <w:p w14:paraId="1448C24B" w14:textId="77777777" w:rsidR="00EC73AA" w:rsidRDefault="00EC73AA" w:rsidP="003C473C">
            <w:pPr>
              <w:spacing w:after="0"/>
              <w:jc w:val="left"/>
              <w:rPr>
                <w:rFonts w:ascii="Calibri" w:eastAsia="Times New Roman" w:hAnsi="Calibri" w:cs="Arial"/>
                <w:color w:val="000000"/>
                <w:sz w:val="18"/>
                <w:szCs w:val="18"/>
                <w:lang w:eastAsia="sl-SI"/>
              </w:rPr>
            </w:pPr>
          </w:p>
          <w:p w14:paraId="1448C24C"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r w:rsidR="00EC73AA">
              <w:rPr>
                <w:rFonts w:ascii="Calibri" w:eastAsia="Times New Roman" w:hAnsi="Calibri" w:cs="Arial"/>
                <w:color w:val="000000"/>
                <w:sz w:val="18"/>
                <w:szCs w:val="18"/>
                <w:lang w:eastAsia="sl-SI"/>
              </w:rPr>
              <w:t>DA</w:t>
            </w:r>
          </w:p>
          <w:p w14:paraId="1448C24D" w14:textId="77777777" w:rsidR="00EC73AA" w:rsidRPr="00AB512D" w:rsidRDefault="00EC73AA"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Ohranitev veljavnega prvega odstavka.</w:t>
            </w:r>
          </w:p>
        </w:tc>
        <w:tc>
          <w:tcPr>
            <w:tcW w:w="5220" w:type="dxa"/>
            <w:shd w:val="clear" w:color="auto" w:fill="auto"/>
            <w:hideMark/>
          </w:tcPr>
          <w:p w14:paraId="1448C24E"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F85ADF" w:rsidRPr="00AB512D" w14:paraId="1448C258" w14:textId="77777777" w:rsidTr="00EC73AA">
        <w:trPr>
          <w:trHeight w:val="480"/>
        </w:trPr>
        <w:tc>
          <w:tcPr>
            <w:tcW w:w="1600" w:type="dxa"/>
            <w:shd w:val="clear" w:color="auto" w:fill="auto"/>
            <w:hideMark/>
          </w:tcPr>
          <w:p w14:paraId="1448C250" w14:textId="77777777" w:rsidR="00F85ADF" w:rsidRPr="00EC73AA" w:rsidRDefault="00F85ADF" w:rsidP="003C473C">
            <w:pPr>
              <w:spacing w:after="0"/>
              <w:jc w:val="left"/>
              <w:rPr>
                <w:rFonts w:ascii="Calibri" w:eastAsia="Times New Roman" w:hAnsi="Calibri" w:cs="Arial"/>
                <w:b/>
                <w:color w:val="000000"/>
                <w:sz w:val="20"/>
                <w:szCs w:val="20"/>
                <w:lang w:eastAsia="sl-SI"/>
              </w:rPr>
            </w:pPr>
            <w:r w:rsidRPr="00EC73AA">
              <w:rPr>
                <w:rFonts w:ascii="Calibri" w:eastAsia="Times New Roman" w:hAnsi="Calibri" w:cs="Arial"/>
                <w:b/>
                <w:color w:val="000000"/>
                <w:sz w:val="20"/>
                <w:szCs w:val="20"/>
                <w:lang w:eastAsia="sl-SI"/>
              </w:rPr>
              <w:t>Slovenski inštitut za revizijo</w:t>
            </w:r>
          </w:p>
        </w:tc>
        <w:tc>
          <w:tcPr>
            <w:tcW w:w="4794" w:type="dxa"/>
            <w:shd w:val="clear" w:color="auto" w:fill="auto"/>
            <w:hideMark/>
          </w:tcPr>
          <w:p w14:paraId="1448C251" w14:textId="77777777" w:rsidR="00EC73AA"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xml:space="preserve">K 1. členu (tretji odstavek 1. člena ZDavP-2) </w:t>
            </w:r>
          </w:p>
          <w:p w14:paraId="1448C252"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in k 351.a in 351-b členu</w:t>
            </w:r>
          </w:p>
          <w:p w14:paraId="1448C253" w14:textId="77777777" w:rsidR="00EC73AA" w:rsidRPr="00AB512D" w:rsidRDefault="00EC73AA"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v povezavi z objavo Večstranskega sporazuma med pristojnimi organi o avtomatični izmenjavi informacij o finančnih računih, ki ga je Slovenija podpisala 29. oktobra 2014.</w:t>
            </w:r>
          </w:p>
        </w:tc>
        <w:tc>
          <w:tcPr>
            <w:tcW w:w="1946" w:type="dxa"/>
            <w:shd w:val="clear" w:color="auto" w:fill="auto"/>
            <w:hideMark/>
          </w:tcPr>
          <w:p w14:paraId="1448C254"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255" w14:textId="77777777" w:rsidR="00EC73AA" w:rsidRDefault="00EC73AA"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p w14:paraId="1448C256" w14:textId="77777777" w:rsidR="00E42909" w:rsidRPr="00AB512D" w:rsidRDefault="00E42909"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Črtan je del, kjer je naveden  Večstranski sporazum.</w:t>
            </w:r>
          </w:p>
        </w:tc>
        <w:tc>
          <w:tcPr>
            <w:tcW w:w="5220" w:type="dxa"/>
            <w:shd w:val="clear" w:color="auto" w:fill="auto"/>
            <w:hideMark/>
          </w:tcPr>
          <w:p w14:paraId="1448C257"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A7" w14:textId="77777777" w:rsidTr="00EC73AA">
        <w:trPr>
          <w:trHeight w:val="285"/>
        </w:trPr>
        <w:tc>
          <w:tcPr>
            <w:tcW w:w="1600" w:type="dxa"/>
            <w:shd w:val="clear" w:color="auto" w:fill="auto"/>
            <w:hideMark/>
          </w:tcPr>
          <w:p w14:paraId="1448C259"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5A"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4. členu (novi 14.a do 14.h člen ZDavP-2)</w:t>
            </w:r>
          </w:p>
          <w:p w14:paraId="1448C25B" w14:textId="77777777" w:rsidR="00C10721" w:rsidRDefault="00C10721"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glede konkretizacije pogojev, postopkov in stroškov pri sklepanju vnaprejšnjega cenovnega sporazuma</w:t>
            </w:r>
          </w:p>
          <w:p w14:paraId="1448C25C" w14:textId="77777777" w:rsidR="00C10721" w:rsidRDefault="00C10721" w:rsidP="002655FC">
            <w:pPr>
              <w:spacing w:after="0"/>
              <w:rPr>
                <w:rFonts w:ascii="Calibri" w:eastAsia="Times New Roman" w:hAnsi="Calibri" w:cs="Arial"/>
                <w:color w:val="000000"/>
                <w:sz w:val="18"/>
                <w:szCs w:val="18"/>
                <w:lang w:eastAsia="sl-SI"/>
              </w:rPr>
            </w:pPr>
          </w:p>
          <w:p w14:paraId="1448C25D" w14:textId="77777777" w:rsidR="00C10721" w:rsidRPr="00165EE3" w:rsidRDefault="00C10721" w:rsidP="002655FC">
            <w:pPr>
              <w:pStyle w:val="ListParagraph"/>
              <w:numPr>
                <w:ilvl w:val="0"/>
                <w:numId w:val="7"/>
              </w:numPr>
              <w:spacing w:after="0"/>
              <w:rPr>
                <w:rFonts w:ascii="Calibri" w:eastAsia="Times New Roman" w:hAnsi="Calibri" w:cs="Arial"/>
                <w:color w:val="000000"/>
                <w:sz w:val="18"/>
                <w:szCs w:val="18"/>
                <w:lang w:eastAsia="sl-SI"/>
              </w:rPr>
            </w:pPr>
            <w:r w:rsidRPr="00165EE3">
              <w:rPr>
                <w:rFonts w:ascii="Calibri" w:eastAsia="Times New Roman" w:hAnsi="Calibri" w:cs="Arial"/>
                <w:color w:val="000000"/>
                <w:sz w:val="18"/>
                <w:szCs w:val="18"/>
                <w:lang w:eastAsia="sl-SI"/>
              </w:rPr>
              <w:t>14. a člen</w:t>
            </w:r>
          </w:p>
          <w:p w14:paraId="1448C25E" w14:textId="77777777" w:rsidR="00C10721" w:rsidRDefault="00C10721" w:rsidP="002655FC">
            <w:pPr>
              <w:pStyle w:val="ListParagraph"/>
              <w:spacing w:after="0"/>
              <w:ind w:left="360"/>
              <w:rPr>
                <w:rFonts w:ascii="Calibri" w:eastAsia="Times New Roman" w:hAnsi="Calibri" w:cs="Arial"/>
                <w:color w:val="000000"/>
                <w:sz w:val="18"/>
                <w:szCs w:val="18"/>
                <w:lang w:eastAsia="sl-SI"/>
              </w:rPr>
            </w:pPr>
          </w:p>
          <w:p w14:paraId="1448C25F" w14:textId="77777777" w:rsidR="00C10721" w:rsidRDefault="00C10721" w:rsidP="002655FC">
            <w:pPr>
              <w:pStyle w:val="ListParagraph"/>
              <w:numPr>
                <w:ilvl w:val="0"/>
                <w:numId w:val="7"/>
              </w:num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14. b člen (pogoji za sklenitev in vsebina sporazuma</w:t>
            </w:r>
          </w:p>
          <w:p w14:paraId="1448C260" w14:textId="77777777" w:rsidR="00C10721" w:rsidRDefault="00C10721" w:rsidP="002655FC">
            <w:pPr>
              <w:pStyle w:val="ListParagraph"/>
              <w:spacing w:after="0"/>
              <w:rPr>
                <w:rFonts w:ascii="Calibri" w:eastAsia="Times New Roman" w:hAnsi="Calibri" w:cs="Arial"/>
                <w:color w:val="000000"/>
                <w:sz w:val="18"/>
                <w:szCs w:val="18"/>
                <w:lang w:eastAsia="sl-SI"/>
              </w:rPr>
            </w:pPr>
          </w:p>
          <w:p w14:paraId="1448C261" w14:textId="77777777" w:rsidR="00C10721" w:rsidRDefault="00C10721" w:rsidP="007D7F8D">
            <w:pPr>
              <w:pStyle w:val="ListParagraph"/>
              <w:numPr>
                <w:ilvl w:val="0"/>
                <w:numId w:val="7"/>
              </w:numPr>
              <w:spacing w:after="0"/>
              <w:ind w:left="720"/>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 xml:space="preserve">prvi odstavek </w:t>
            </w:r>
          </w:p>
          <w:p w14:paraId="1448C262" w14:textId="77777777" w:rsidR="00C10721" w:rsidRDefault="00C10721" w:rsidP="007D7F8D">
            <w:pPr>
              <w:pStyle w:val="ListParagraph"/>
              <w:spacing w:after="0"/>
              <w:ind w:left="1080"/>
              <w:rPr>
                <w:rFonts w:ascii="Calibri" w:eastAsia="Times New Roman" w:hAnsi="Calibri" w:cs="Arial"/>
                <w:color w:val="000000"/>
                <w:sz w:val="18"/>
                <w:szCs w:val="18"/>
                <w:lang w:eastAsia="sl-SI"/>
              </w:rPr>
            </w:pPr>
          </w:p>
          <w:p w14:paraId="1448C263" w14:textId="77777777" w:rsidR="007932A9" w:rsidRDefault="007932A9" w:rsidP="007D7F8D">
            <w:pPr>
              <w:pStyle w:val="ListParagraph"/>
              <w:spacing w:after="0"/>
              <w:ind w:left="1080"/>
              <w:rPr>
                <w:rFonts w:ascii="Calibri" w:eastAsia="Times New Roman" w:hAnsi="Calibri" w:cs="Arial"/>
                <w:color w:val="000000"/>
                <w:sz w:val="18"/>
                <w:szCs w:val="18"/>
                <w:lang w:eastAsia="sl-SI"/>
              </w:rPr>
            </w:pPr>
          </w:p>
          <w:p w14:paraId="1448C264" w14:textId="77777777" w:rsidR="00C10721" w:rsidRPr="00CF6021" w:rsidRDefault="00CF6021" w:rsidP="007D7F8D">
            <w:pPr>
              <w:pStyle w:val="ListParagraph"/>
              <w:numPr>
                <w:ilvl w:val="0"/>
                <w:numId w:val="7"/>
              </w:numPr>
              <w:spacing w:after="0"/>
              <w:ind w:left="720"/>
              <w:rPr>
                <w:rFonts w:ascii="Calibri" w:eastAsia="Times New Roman" w:hAnsi="Calibri" w:cs="Arial"/>
                <w:color w:val="000000"/>
                <w:sz w:val="18"/>
                <w:szCs w:val="18"/>
                <w:lang w:eastAsia="sl-SI"/>
              </w:rPr>
            </w:pPr>
            <w:r w:rsidRPr="00AB512D">
              <w:rPr>
                <w:rFonts w:ascii="Calibri" w:eastAsia="Times New Roman" w:hAnsi="Calibri" w:cs="Courier New"/>
                <w:color w:val="000000"/>
                <w:sz w:val="18"/>
                <w:szCs w:val="18"/>
                <w:lang w:eastAsia="sl-SI"/>
              </w:rPr>
              <w:t xml:space="preserve">Predlog opredelitve zakonskega minimuma glede </w:t>
            </w:r>
            <w:r w:rsidRPr="00AB512D">
              <w:rPr>
                <w:rFonts w:ascii="Calibri" w:eastAsia="Times New Roman" w:hAnsi="Calibri" w:cs="Courier New"/>
                <w:color w:val="000000"/>
                <w:sz w:val="18"/>
                <w:szCs w:val="18"/>
                <w:lang w:eastAsia="sl-SI"/>
              </w:rPr>
              <w:lastRenderedPageBreak/>
              <w:t>trajanja veljavnosti sporazuma</w:t>
            </w:r>
          </w:p>
          <w:p w14:paraId="1448C265" w14:textId="77777777" w:rsidR="00CF6021" w:rsidRDefault="00CF6021" w:rsidP="007D7F8D">
            <w:pPr>
              <w:pStyle w:val="ListParagraph"/>
              <w:spacing w:after="0"/>
              <w:ind w:left="1080"/>
              <w:rPr>
                <w:rFonts w:ascii="Calibri" w:eastAsia="Times New Roman" w:hAnsi="Calibri" w:cs="Arial"/>
                <w:color w:val="000000"/>
                <w:sz w:val="18"/>
                <w:szCs w:val="18"/>
                <w:lang w:eastAsia="sl-SI"/>
              </w:rPr>
            </w:pPr>
          </w:p>
          <w:p w14:paraId="1448C266" w14:textId="77777777" w:rsidR="00CF6021" w:rsidRDefault="00CF6021" w:rsidP="007D7F8D">
            <w:pPr>
              <w:pStyle w:val="ListParagraph"/>
              <w:numPr>
                <w:ilvl w:val="0"/>
                <w:numId w:val="7"/>
              </w:numPr>
              <w:spacing w:after="0"/>
              <w:ind w:left="720"/>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drugi odstavek</w:t>
            </w:r>
          </w:p>
          <w:p w14:paraId="1448C267" w14:textId="77777777" w:rsidR="00165EE3" w:rsidRPr="00165EE3" w:rsidRDefault="00165EE3" w:rsidP="007D7F8D">
            <w:pPr>
              <w:pStyle w:val="ListParagraph"/>
              <w:spacing w:after="0"/>
              <w:ind w:left="1080"/>
              <w:rPr>
                <w:rFonts w:ascii="Calibri" w:eastAsia="Times New Roman" w:hAnsi="Calibri" w:cs="Arial"/>
                <w:color w:val="000000"/>
                <w:sz w:val="18"/>
                <w:szCs w:val="18"/>
                <w:lang w:eastAsia="sl-SI"/>
              </w:rPr>
            </w:pPr>
          </w:p>
          <w:p w14:paraId="1448C268" w14:textId="6867BD44" w:rsidR="00C10721" w:rsidRPr="00165EE3" w:rsidRDefault="004D0A9D" w:rsidP="007D7F8D">
            <w:pPr>
              <w:pStyle w:val="ListParagraph"/>
              <w:numPr>
                <w:ilvl w:val="0"/>
                <w:numId w:val="7"/>
              </w:numPr>
              <w:spacing w:after="0"/>
              <w:ind w:left="720"/>
              <w:rPr>
                <w:rFonts w:ascii="Calibri" w:eastAsia="Times New Roman" w:hAnsi="Calibri" w:cs="Arial"/>
                <w:b/>
                <w:bCs/>
                <w:color w:val="000000"/>
                <w:sz w:val="18"/>
                <w:szCs w:val="18"/>
                <w:lang w:eastAsia="sl-SI"/>
              </w:rPr>
            </w:pPr>
            <w:r>
              <w:rPr>
                <w:rFonts w:ascii="Calibri" w:eastAsia="Times New Roman" w:hAnsi="Calibri" w:cs="Courier New"/>
                <w:color w:val="000000"/>
                <w:sz w:val="18"/>
                <w:szCs w:val="18"/>
                <w:lang w:eastAsia="sl-SI"/>
              </w:rPr>
              <w:t xml:space="preserve">četrti odstavek glede </w:t>
            </w:r>
            <w:r w:rsidR="00165EE3" w:rsidRPr="00165EE3">
              <w:rPr>
                <w:rFonts w:ascii="Calibri" w:eastAsia="Times New Roman" w:hAnsi="Calibri" w:cs="Courier New"/>
                <w:color w:val="000000"/>
                <w:sz w:val="18"/>
                <w:szCs w:val="18"/>
                <w:lang w:eastAsia="sl-SI"/>
              </w:rPr>
              <w:t>zavrnitve vloge za sklenitev vnaprejšnjega sporazuma, če davčni organ ugotovi, da ni izpolnjen  eden ali več pogojev iz prvega odstavka tega člena.</w:t>
            </w:r>
          </w:p>
          <w:p w14:paraId="1448C269" w14:textId="77777777" w:rsidR="00165EE3" w:rsidRDefault="00165EE3" w:rsidP="002655FC">
            <w:pPr>
              <w:spacing w:after="0"/>
              <w:rPr>
                <w:rFonts w:ascii="Calibri" w:eastAsia="Times New Roman" w:hAnsi="Calibri" w:cs="Arial"/>
                <w:b/>
                <w:bCs/>
                <w:color w:val="000000"/>
                <w:sz w:val="18"/>
                <w:szCs w:val="18"/>
                <w:lang w:eastAsia="sl-SI"/>
              </w:rPr>
            </w:pPr>
          </w:p>
          <w:p w14:paraId="1448C26A" w14:textId="77777777" w:rsidR="00165EE3" w:rsidRDefault="00165EE3" w:rsidP="002655FC">
            <w:pPr>
              <w:pStyle w:val="ListParagraph"/>
              <w:numPr>
                <w:ilvl w:val="0"/>
                <w:numId w:val="7"/>
              </w:numPr>
              <w:spacing w:after="0"/>
              <w:rPr>
                <w:rFonts w:ascii="Calibri" w:eastAsia="Times New Roman" w:hAnsi="Calibri" w:cs="Arial"/>
                <w:color w:val="000000"/>
                <w:sz w:val="18"/>
                <w:szCs w:val="18"/>
                <w:lang w:eastAsia="sl-SI"/>
              </w:rPr>
            </w:pPr>
            <w:r w:rsidRPr="00165EE3">
              <w:rPr>
                <w:rFonts w:ascii="Calibri" w:eastAsia="Times New Roman" w:hAnsi="Calibri" w:cs="Arial"/>
                <w:color w:val="000000"/>
                <w:sz w:val="18"/>
                <w:szCs w:val="18"/>
                <w:lang w:eastAsia="sl-SI"/>
              </w:rPr>
              <w:t>14.c člen (poročanje v času veljavnosti)</w:t>
            </w:r>
          </w:p>
          <w:p w14:paraId="27FFA633" w14:textId="77777777" w:rsidR="00C04A18" w:rsidRPr="00C04A18" w:rsidRDefault="00C04A18" w:rsidP="00C04A18">
            <w:pPr>
              <w:pStyle w:val="ListParagraph"/>
              <w:rPr>
                <w:rFonts w:ascii="Calibri" w:eastAsia="Times New Roman" w:hAnsi="Calibri" w:cs="Arial"/>
                <w:color w:val="000000"/>
                <w:sz w:val="18"/>
                <w:szCs w:val="18"/>
                <w:lang w:eastAsia="sl-SI"/>
              </w:rPr>
            </w:pPr>
          </w:p>
          <w:p w14:paraId="76B20F3E" w14:textId="77777777" w:rsidR="00C04A18" w:rsidRDefault="00C04A18" w:rsidP="00C04A18">
            <w:pPr>
              <w:pStyle w:val="ListParagraph"/>
              <w:spacing w:after="0"/>
              <w:ind w:left="360"/>
              <w:rPr>
                <w:rFonts w:ascii="Calibri" w:eastAsia="Times New Roman" w:hAnsi="Calibri" w:cs="Arial"/>
                <w:color w:val="000000"/>
                <w:sz w:val="18"/>
                <w:szCs w:val="18"/>
                <w:lang w:eastAsia="sl-SI"/>
              </w:rPr>
            </w:pPr>
          </w:p>
          <w:p w14:paraId="1448C26B" w14:textId="77777777" w:rsidR="00165EE3" w:rsidRDefault="00165EE3" w:rsidP="002655FC">
            <w:pPr>
              <w:pStyle w:val="ListParagraph"/>
              <w:numPr>
                <w:ilvl w:val="0"/>
                <w:numId w:val="7"/>
              </w:num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14. č člen (postopek spremembe sporazuma)</w:t>
            </w:r>
          </w:p>
          <w:p w14:paraId="2C050AD4" w14:textId="77777777" w:rsidR="00C04A18" w:rsidRDefault="00C04A18" w:rsidP="00C04A18">
            <w:pPr>
              <w:pStyle w:val="ListParagraph"/>
              <w:spacing w:after="0"/>
              <w:ind w:left="360"/>
              <w:rPr>
                <w:rFonts w:ascii="Calibri" w:eastAsia="Times New Roman" w:hAnsi="Calibri" w:cs="Arial"/>
                <w:color w:val="000000"/>
                <w:sz w:val="18"/>
                <w:szCs w:val="18"/>
                <w:lang w:eastAsia="sl-SI"/>
              </w:rPr>
            </w:pPr>
          </w:p>
          <w:p w14:paraId="1448C26C" w14:textId="77777777" w:rsidR="00165EE3" w:rsidRPr="00C04A18" w:rsidRDefault="005C4A57" w:rsidP="002655FC">
            <w:pPr>
              <w:pStyle w:val="ListParagraph"/>
              <w:numPr>
                <w:ilvl w:val="0"/>
                <w:numId w:val="7"/>
              </w:num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14. d člen (prenehanje veljavnosti sklenjenega sporazuma)</w:t>
            </w:r>
          </w:p>
          <w:p w14:paraId="71BDD405" w14:textId="77777777" w:rsidR="00C04A18" w:rsidRPr="00C04A18" w:rsidRDefault="00C04A18" w:rsidP="00C04A18">
            <w:pPr>
              <w:pStyle w:val="ListParagraph"/>
              <w:rPr>
                <w:rFonts w:ascii="Calibri" w:eastAsia="Times New Roman" w:hAnsi="Calibri" w:cs="Arial"/>
                <w:b/>
                <w:bCs/>
                <w:color w:val="000000"/>
                <w:sz w:val="18"/>
                <w:szCs w:val="18"/>
                <w:lang w:eastAsia="sl-SI"/>
              </w:rPr>
            </w:pPr>
          </w:p>
          <w:p w14:paraId="2090E56A" w14:textId="77777777" w:rsidR="00C04A18" w:rsidRPr="005C4A57" w:rsidRDefault="00C04A18" w:rsidP="00C04A18">
            <w:pPr>
              <w:pStyle w:val="ListParagraph"/>
              <w:spacing w:after="0"/>
              <w:ind w:left="360"/>
              <w:rPr>
                <w:rFonts w:ascii="Calibri" w:eastAsia="Times New Roman" w:hAnsi="Calibri" w:cs="Arial"/>
                <w:b/>
                <w:bCs/>
                <w:color w:val="000000"/>
                <w:sz w:val="18"/>
                <w:szCs w:val="18"/>
                <w:lang w:eastAsia="sl-SI"/>
              </w:rPr>
            </w:pPr>
          </w:p>
          <w:p w14:paraId="1448C26D" w14:textId="77777777" w:rsidR="005C4A57" w:rsidRPr="005C4A57" w:rsidRDefault="005C4A57" w:rsidP="002655FC">
            <w:pPr>
              <w:pStyle w:val="ListParagraph"/>
              <w:numPr>
                <w:ilvl w:val="0"/>
                <w:numId w:val="7"/>
              </w:num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14. e člen (ničnost sporazuma)</w:t>
            </w:r>
          </w:p>
          <w:p w14:paraId="1448C26E" w14:textId="77777777" w:rsidR="005C4A57" w:rsidRDefault="005C4A57" w:rsidP="002655FC">
            <w:pPr>
              <w:spacing w:after="0"/>
              <w:rPr>
                <w:rFonts w:ascii="Calibri" w:eastAsia="Times New Roman" w:hAnsi="Calibri" w:cs="Arial"/>
                <w:b/>
                <w:bCs/>
                <w:color w:val="000000"/>
                <w:sz w:val="18"/>
                <w:szCs w:val="18"/>
                <w:lang w:eastAsia="sl-SI"/>
              </w:rPr>
            </w:pPr>
          </w:p>
          <w:p w14:paraId="1448C26F" w14:textId="77777777" w:rsidR="005C4A57" w:rsidRPr="005C4A57" w:rsidRDefault="005C4A57" w:rsidP="002655FC">
            <w:pPr>
              <w:spacing w:after="0"/>
              <w:rPr>
                <w:rFonts w:ascii="Calibri" w:eastAsia="Times New Roman" w:hAnsi="Calibri" w:cs="Arial"/>
                <w:b/>
                <w:bCs/>
                <w:color w:val="000000"/>
                <w:sz w:val="18"/>
                <w:szCs w:val="18"/>
                <w:lang w:eastAsia="sl-SI"/>
              </w:rPr>
            </w:pPr>
          </w:p>
          <w:p w14:paraId="1448C270" w14:textId="77777777" w:rsidR="005C4A57" w:rsidRPr="005C4A57" w:rsidRDefault="005C4A57" w:rsidP="002655FC">
            <w:pPr>
              <w:pStyle w:val="ListParagraph"/>
              <w:numPr>
                <w:ilvl w:val="0"/>
                <w:numId w:val="7"/>
              </w:num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14.f člen (plačilo)</w:t>
            </w:r>
          </w:p>
          <w:p w14:paraId="1448C271" w14:textId="77777777" w:rsidR="005C4A57" w:rsidRPr="005C4A57" w:rsidRDefault="005C4A57" w:rsidP="002655FC">
            <w:pPr>
              <w:pStyle w:val="ListParagraph"/>
              <w:numPr>
                <w:ilvl w:val="0"/>
                <w:numId w:val="8"/>
              </w:numPr>
              <w:spacing w:after="0"/>
              <w:rPr>
                <w:rFonts w:ascii="Calibri" w:eastAsia="Times New Roman" w:hAnsi="Calibri" w:cs="Arial"/>
                <w:b/>
                <w:bCs/>
                <w:color w:val="000000"/>
                <w:sz w:val="18"/>
                <w:szCs w:val="18"/>
                <w:lang w:eastAsia="sl-SI"/>
              </w:rPr>
            </w:pPr>
            <w:r w:rsidRPr="005C4A57">
              <w:rPr>
                <w:rFonts w:ascii="Calibri" w:eastAsia="Times New Roman" w:hAnsi="Calibri" w:cs="Courier New"/>
                <w:color w:val="000000"/>
                <w:sz w:val="18"/>
                <w:szCs w:val="18"/>
                <w:lang w:eastAsia="sl-SI"/>
              </w:rPr>
              <w:t>Pripomba glede  stroškov davčnega zavezanca v zvezi s sklenitvijo dvostranskega ali večstranskega vnaprejšnjega cenovnega sporazuma.</w:t>
            </w:r>
          </w:p>
          <w:p w14:paraId="1448C272" w14:textId="77777777" w:rsidR="005C4A57" w:rsidRPr="005C4A57" w:rsidRDefault="005C4A57" w:rsidP="002655FC">
            <w:pPr>
              <w:pStyle w:val="ListParagraph"/>
              <w:spacing w:after="0"/>
              <w:ind w:left="360"/>
              <w:rPr>
                <w:rFonts w:ascii="Calibri" w:eastAsia="Times New Roman" w:hAnsi="Calibri" w:cs="Arial"/>
                <w:b/>
                <w:bCs/>
                <w:color w:val="000000"/>
                <w:sz w:val="18"/>
                <w:szCs w:val="18"/>
                <w:lang w:eastAsia="sl-SI"/>
              </w:rPr>
            </w:pPr>
          </w:p>
          <w:p w14:paraId="1448C273" w14:textId="77777777" w:rsidR="005C4A57" w:rsidRPr="005C4A57" w:rsidRDefault="005C4A57" w:rsidP="002655FC">
            <w:pPr>
              <w:pStyle w:val="ListParagraph"/>
              <w:numPr>
                <w:ilvl w:val="0"/>
                <w:numId w:val="7"/>
              </w:num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14.g člen (pravice finančne uprave)</w:t>
            </w:r>
          </w:p>
          <w:p w14:paraId="1448C274" w14:textId="565A1036" w:rsidR="005C4A57" w:rsidRPr="005C4A57" w:rsidRDefault="005C4A57" w:rsidP="002655FC">
            <w:pPr>
              <w:pStyle w:val="ListParagraph"/>
              <w:numPr>
                <w:ilvl w:val="0"/>
                <w:numId w:val="8"/>
              </w:numPr>
              <w:spacing w:after="0"/>
              <w:rPr>
                <w:rFonts w:ascii="Calibri" w:eastAsia="Times New Roman" w:hAnsi="Calibri" w:cs="Arial"/>
                <w:b/>
                <w:bCs/>
                <w:color w:val="000000"/>
                <w:sz w:val="18"/>
                <w:szCs w:val="18"/>
                <w:lang w:eastAsia="sl-SI"/>
              </w:rPr>
            </w:pPr>
            <w:r w:rsidRPr="00AB512D">
              <w:rPr>
                <w:rFonts w:ascii="Calibri" w:eastAsia="Times New Roman" w:hAnsi="Calibri" w:cs="Courier New"/>
                <w:color w:val="000000"/>
                <w:sz w:val="18"/>
                <w:szCs w:val="18"/>
                <w:lang w:eastAsia="sl-SI"/>
              </w:rPr>
              <w:t>Pripomba glede predmeta davčnega nadzor</w:t>
            </w:r>
            <w:r w:rsidR="008F2381">
              <w:rPr>
                <w:rFonts w:ascii="Calibri" w:eastAsia="Times New Roman" w:hAnsi="Calibri" w:cs="Courier New"/>
                <w:color w:val="000000"/>
                <w:sz w:val="18"/>
                <w:szCs w:val="18"/>
                <w:lang w:eastAsia="sl-SI"/>
              </w:rPr>
              <w:t>a</w:t>
            </w:r>
            <w:r w:rsidRPr="00AB512D">
              <w:rPr>
                <w:rFonts w:ascii="Calibri" w:eastAsia="Times New Roman" w:hAnsi="Calibri" w:cs="Courier New"/>
                <w:color w:val="000000"/>
                <w:sz w:val="18"/>
                <w:szCs w:val="18"/>
                <w:lang w:eastAsia="sl-SI"/>
              </w:rPr>
              <w:t xml:space="preserve"> (zgolj na predmet sporazuma).</w:t>
            </w:r>
            <w:r w:rsidRPr="005C4A57">
              <w:rPr>
                <w:rFonts w:ascii="Calibri" w:eastAsia="Times New Roman" w:hAnsi="Calibri" w:cs="Arial"/>
                <w:b/>
                <w:bCs/>
                <w:color w:val="000000"/>
                <w:sz w:val="18"/>
                <w:szCs w:val="18"/>
                <w:lang w:eastAsia="sl-SI"/>
              </w:rPr>
              <w:t xml:space="preserve"> </w:t>
            </w:r>
          </w:p>
        </w:tc>
        <w:tc>
          <w:tcPr>
            <w:tcW w:w="1946" w:type="dxa"/>
            <w:shd w:val="clear" w:color="auto" w:fill="auto"/>
            <w:hideMark/>
          </w:tcPr>
          <w:p w14:paraId="1448C275" w14:textId="77777777" w:rsidR="00F85ADF" w:rsidRPr="009C6520" w:rsidRDefault="00F85ADF"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lastRenderedPageBreak/>
              <w:t> </w:t>
            </w:r>
          </w:p>
          <w:p w14:paraId="1448C276" w14:textId="77777777" w:rsidR="00C10721" w:rsidRPr="009C6520" w:rsidRDefault="00C10721" w:rsidP="003C473C">
            <w:pPr>
              <w:spacing w:after="0"/>
              <w:jc w:val="left"/>
              <w:rPr>
                <w:rFonts w:ascii="Calibri" w:eastAsia="Times New Roman" w:hAnsi="Calibri"/>
                <w:sz w:val="18"/>
                <w:lang w:eastAsia="sl-SI"/>
              </w:rPr>
            </w:pPr>
          </w:p>
          <w:p w14:paraId="1448C277" w14:textId="77777777" w:rsidR="00C10721" w:rsidRPr="009C6520" w:rsidRDefault="00C10721" w:rsidP="003C473C">
            <w:pPr>
              <w:spacing w:after="0"/>
              <w:jc w:val="left"/>
              <w:rPr>
                <w:rFonts w:ascii="Calibri" w:eastAsia="Times New Roman" w:hAnsi="Calibri"/>
                <w:sz w:val="18"/>
                <w:lang w:eastAsia="sl-SI"/>
              </w:rPr>
            </w:pPr>
          </w:p>
          <w:p w14:paraId="1448C278" w14:textId="77777777" w:rsidR="00C10721" w:rsidRPr="009C6520" w:rsidRDefault="00C10721" w:rsidP="003C473C">
            <w:pPr>
              <w:spacing w:after="0"/>
              <w:jc w:val="left"/>
              <w:rPr>
                <w:rFonts w:ascii="Calibri" w:eastAsia="Times New Roman" w:hAnsi="Calibri"/>
                <w:sz w:val="18"/>
                <w:lang w:eastAsia="sl-SI"/>
              </w:rPr>
            </w:pPr>
          </w:p>
          <w:p w14:paraId="1448C279" w14:textId="4D403C11" w:rsidR="00C10721" w:rsidRPr="009C6520" w:rsidRDefault="00C10721"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 xml:space="preserve">DA </w:t>
            </w:r>
          </w:p>
          <w:p w14:paraId="1448C27A" w14:textId="4DAEF3F7" w:rsidR="00C10721" w:rsidRPr="009C6520" w:rsidRDefault="00C10721"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N</w:t>
            </w:r>
            <w:r w:rsidR="00B253B9" w:rsidRPr="009C6520">
              <w:rPr>
                <w:rFonts w:ascii="Calibri" w:eastAsia="Times New Roman" w:hAnsi="Calibri"/>
                <w:sz w:val="18"/>
                <w:lang w:eastAsia="sl-SI"/>
              </w:rPr>
              <w:t>E</w:t>
            </w:r>
            <w:r w:rsidRPr="009C6520">
              <w:rPr>
                <w:rFonts w:ascii="Calibri" w:eastAsia="Times New Roman" w:hAnsi="Calibri"/>
                <w:sz w:val="18"/>
                <w:lang w:eastAsia="sl-SI"/>
              </w:rPr>
              <w:t xml:space="preserve"> – četrti odstavek</w:t>
            </w:r>
          </w:p>
          <w:p w14:paraId="1448C27B" w14:textId="77777777" w:rsidR="00C10721" w:rsidRPr="009C6520" w:rsidRDefault="00C10721" w:rsidP="003C473C">
            <w:pPr>
              <w:spacing w:after="0"/>
              <w:jc w:val="left"/>
              <w:rPr>
                <w:rFonts w:ascii="Calibri" w:eastAsia="Times New Roman" w:hAnsi="Calibri"/>
                <w:sz w:val="18"/>
                <w:lang w:eastAsia="sl-SI"/>
              </w:rPr>
            </w:pPr>
          </w:p>
          <w:p w14:paraId="1448C27C" w14:textId="77777777" w:rsidR="00C10721" w:rsidRPr="009C6520" w:rsidRDefault="00C10721" w:rsidP="003C473C">
            <w:pPr>
              <w:spacing w:after="0"/>
              <w:jc w:val="left"/>
              <w:rPr>
                <w:rFonts w:ascii="Calibri" w:eastAsia="Times New Roman" w:hAnsi="Calibri"/>
                <w:sz w:val="18"/>
                <w:lang w:eastAsia="sl-SI"/>
              </w:rPr>
            </w:pPr>
          </w:p>
          <w:p w14:paraId="1448C27D" w14:textId="77777777" w:rsidR="00C10721" w:rsidRPr="009C6520" w:rsidRDefault="00C10721"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NE- prva alineja</w:t>
            </w:r>
          </w:p>
          <w:p w14:paraId="1448C27E" w14:textId="77777777" w:rsidR="00C10721" w:rsidRPr="009C6520" w:rsidRDefault="00C10721"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DA –</w:t>
            </w:r>
            <w:r w:rsidR="00CF6021" w:rsidRPr="009C6520">
              <w:rPr>
                <w:rFonts w:ascii="Calibri" w:eastAsia="Times New Roman" w:hAnsi="Calibri"/>
                <w:sz w:val="18"/>
                <w:lang w:eastAsia="sl-SI"/>
              </w:rPr>
              <w:t xml:space="preserve"> </w:t>
            </w:r>
            <w:r w:rsidRPr="009C6520">
              <w:rPr>
                <w:rFonts w:ascii="Calibri" w:eastAsia="Times New Roman" w:hAnsi="Calibri"/>
                <w:sz w:val="18"/>
                <w:lang w:eastAsia="sl-SI"/>
              </w:rPr>
              <w:t>druga in četrta alineja</w:t>
            </w:r>
          </w:p>
          <w:p w14:paraId="6CE573B4" w14:textId="77777777" w:rsidR="00481D67" w:rsidRPr="009C6520" w:rsidRDefault="00481D67" w:rsidP="00481D67">
            <w:pPr>
              <w:spacing w:after="0"/>
              <w:jc w:val="left"/>
              <w:rPr>
                <w:rFonts w:ascii="Calibri" w:eastAsia="Times New Roman" w:hAnsi="Calibri"/>
                <w:sz w:val="18"/>
                <w:lang w:eastAsia="sl-SI"/>
              </w:rPr>
            </w:pPr>
            <w:r w:rsidRPr="009C6520">
              <w:rPr>
                <w:rFonts w:ascii="Calibri" w:eastAsia="Times New Roman" w:hAnsi="Calibri"/>
                <w:sz w:val="18"/>
                <w:lang w:eastAsia="sl-SI"/>
              </w:rPr>
              <w:t>Popravljena dikcija</w:t>
            </w:r>
          </w:p>
          <w:p w14:paraId="67DDE282" w14:textId="15178BBD" w:rsidR="002B56E0" w:rsidRPr="009C6520" w:rsidRDefault="00481D67"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lastRenderedPageBreak/>
              <w:t xml:space="preserve"> </w:t>
            </w:r>
          </w:p>
          <w:p w14:paraId="507D85F0" w14:textId="77777777" w:rsidR="00481D67" w:rsidRPr="009C6520" w:rsidRDefault="00481D67" w:rsidP="003C473C">
            <w:pPr>
              <w:spacing w:after="0"/>
              <w:jc w:val="left"/>
              <w:rPr>
                <w:rFonts w:ascii="Calibri" w:eastAsia="Times New Roman" w:hAnsi="Calibri"/>
                <w:sz w:val="18"/>
                <w:lang w:eastAsia="sl-SI"/>
              </w:rPr>
            </w:pPr>
          </w:p>
          <w:p w14:paraId="1448C280" w14:textId="7A88204D" w:rsidR="00CF6021" w:rsidRPr="009C6520" w:rsidRDefault="00481D67"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Popravljena dikcija</w:t>
            </w:r>
          </w:p>
          <w:p w14:paraId="1448C281" w14:textId="77777777" w:rsidR="00165EE3" w:rsidRPr="009C6520" w:rsidRDefault="00165EE3" w:rsidP="003C473C">
            <w:pPr>
              <w:spacing w:after="0"/>
              <w:jc w:val="left"/>
              <w:rPr>
                <w:rFonts w:ascii="Calibri" w:eastAsia="Times New Roman" w:hAnsi="Calibri"/>
                <w:sz w:val="18"/>
                <w:lang w:eastAsia="sl-SI"/>
              </w:rPr>
            </w:pPr>
          </w:p>
          <w:p w14:paraId="54BB5892" w14:textId="77777777" w:rsidR="00481D67" w:rsidRPr="009C6520" w:rsidRDefault="00481D67" w:rsidP="003C473C">
            <w:pPr>
              <w:spacing w:after="0"/>
              <w:jc w:val="left"/>
              <w:rPr>
                <w:rFonts w:ascii="Calibri" w:eastAsia="Times New Roman" w:hAnsi="Calibri"/>
                <w:sz w:val="18"/>
                <w:lang w:eastAsia="sl-SI"/>
              </w:rPr>
            </w:pPr>
          </w:p>
          <w:p w14:paraId="1448C282" w14:textId="5A4AC2DE" w:rsidR="00165EE3" w:rsidRPr="009C6520" w:rsidRDefault="002B56E0"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DA</w:t>
            </w:r>
          </w:p>
          <w:p w14:paraId="1448C283" w14:textId="77777777" w:rsidR="00165EE3" w:rsidRPr="009C6520" w:rsidRDefault="00165EE3" w:rsidP="003C473C">
            <w:pPr>
              <w:spacing w:after="0"/>
              <w:jc w:val="left"/>
              <w:rPr>
                <w:rFonts w:ascii="Calibri" w:eastAsia="Times New Roman" w:hAnsi="Calibri"/>
                <w:sz w:val="18"/>
                <w:lang w:eastAsia="sl-SI"/>
              </w:rPr>
            </w:pPr>
          </w:p>
          <w:p w14:paraId="1448C284" w14:textId="77777777" w:rsidR="00165EE3" w:rsidRPr="009C6520" w:rsidRDefault="00165EE3" w:rsidP="003C473C">
            <w:pPr>
              <w:spacing w:after="0"/>
              <w:jc w:val="left"/>
              <w:rPr>
                <w:rFonts w:ascii="Calibri" w:eastAsia="Times New Roman" w:hAnsi="Calibri"/>
                <w:sz w:val="18"/>
                <w:lang w:eastAsia="sl-SI"/>
              </w:rPr>
            </w:pPr>
          </w:p>
          <w:p w14:paraId="1448C285" w14:textId="77777777" w:rsidR="00481D67" w:rsidRPr="009C6520" w:rsidRDefault="00481D67" w:rsidP="003C473C">
            <w:pPr>
              <w:spacing w:after="0"/>
              <w:jc w:val="left"/>
              <w:rPr>
                <w:rFonts w:ascii="Calibri" w:eastAsia="Times New Roman" w:hAnsi="Calibri"/>
                <w:sz w:val="18"/>
                <w:lang w:eastAsia="sl-SI"/>
              </w:rPr>
            </w:pPr>
          </w:p>
          <w:p w14:paraId="1448C288" w14:textId="77777777" w:rsidR="00165EE3" w:rsidRPr="009C6520" w:rsidRDefault="00165EE3"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NE</w:t>
            </w:r>
          </w:p>
          <w:p w14:paraId="1448C289" w14:textId="77777777" w:rsidR="005C4A57" w:rsidRPr="009C6520" w:rsidRDefault="005C4A57" w:rsidP="003C473C">
            <w:pPr>
              <w:spacing w:after="0"/>
              <w:jc w:val="left"/>
              <w:rPr>
                <w:rFonts w:ascii="Calibri" w:eastAsia="Times New Roman" w:hAnsi="Calibri"/>
                <w:sz w:val="18"/>
                <w:lang w:eastAsia="sl-SI"/>
              </w:rPr>
            </w:pPr>
          </w:p>
          <w:p w14:paraId="1448C28A" w14:textId="77777777" w:rsidR="005C4A57" w:rsidRPr="009C6520" w:rsidRDefault="005C4A57" w:rsidP="003C473C">
            <w:pPr>
              <w:spacing w:after="0"/>
              <w:jc w:val="left"/>
              <w:rPr>
                <w:rFonts w:ascii="Calibri" w:eastAsia="Times New Roman" w:hAnsi="Calibri"/>
                <w:sz w:val="18"/>
                <w:lang w:eastAsia="sl-SI"/>
              </w:rPr>
            </w:pPr>
          </w:p>
          <w:p w14:paraId="1448C28B" w14:textId="592B9CEA" w:rsidR="005C4A57" w:rsidRPr="009C6520" w:rsidRDefault="00481D67"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NE</w:t>
            </w:r>
          </w:p>
          <w:p w14:paraId="67EAB255" w14:textId="77777777" w:rsidR="00C04A18" w:rsidRPr="009C6520" w:rsidRDefault="00C04A18" w:rsidP="003C473C">
            <w:pPr>
              <w:spacing w:after="0"/>
              <w:jc w:val="left"/>
              <w:rPr>
                <w:rFonts w:ascii="Calibri" w:eastAsia="Times New Roman" w:hAnsi="Calibri"/>
                <w:sz w:val="18"/>
                <w:lang w:eastAsia="sl-SI"/>
              </w:rPr>
            </w:pPr>
          </w:p>
          <w:p w14:paraId="741AF6E7" w14:textId="620B3CA8" w:rsidR="00C04A18" w:rsidRPr="009C6520" w:rsidRDefault="00481D67"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Popravljena določba</w:t>
            </w:r>
          </w:p>
          <w:p w14:paraId="260B74E9" w14:textId="77777777" w:rsidR="00C04A18" w:rsidRPr="009C6520" w:rsidRDefault="00C04A18" w:rsidP="003C473C">
            <w:pPr>
              <w:spacing w:after="0"/>
              <w:jc w:val="left"/>
              <w:rPr>
                <w:rFonts w:ascii="Calibri" w:eastAsia="Times New Roman" w:hAnsi="Calibri"/>
                <w:sz w:val="18"/>
                <w:lang w:eastAsia="sl-SI"/>
              </w:rPr>
            </w:pPr>
          </w:p>
          <w:p w14:paraId="79D81A43" w14:textId="77777777" w:rsidR="00822F83" w:rsidRPr="009C6520" w:rsidRDefault="00822F83" w:rsidP="003C473C">
            <w:pPr>
              <w:spacing w:after="0"/>
              <w:jc w:val="left"/>
              <w:rPr>
                <w:rFonts w:ascii="Calibri" w:eastAsia="Times New Roman" w:hAnsi="Calibri"/>
                <w:sz w:val="18"/>
                <w:lang w:eastAsia="sl-SI"/>
              </w:rPr>
            </w:pPr>
          </w:p>
          <w:p w14:paraId="1448C28C" w14:textId="497EF1B4" w:rsidR="005C4A57" w:rsidRPr="009C6520" w:rsidRDefault="005C4A57"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Določba o ničnosti je črtana.</w:t>
            </w:r>
          </w:p>
          <w:p w14:paraId="1448C28D" w14:textId="77777777" w:rsidR="005C4A57" w:rsidRPr="009C6520" w:rsidRDefault="005C4A57" w:rsidP="003C473C">
            <w:pPr>
              <w:spacing w:after="0"/>
              <w:jc w:val="left"/>
              <w:rPr>
                <w:rFonts w:ascii="Calibri" w:eastAsia="Times New Roman" w:hAnsi="Calibri"/>
                <w:sz w:val="18"/>
                <w:lang w:eastAsia="sl-SI"/>
              </w:rPr>
            </w:pPr>
          </w:p>
          <w:p w14:paraId="1448C28E" w14:textId="77777777" w:rsidR="007932A9" w:rsidRPr="009C6520" w:rsidRDefault="007932A9" w:rsidP="003C473C">
            <w:pPr>
              <w:spacing w:after="0"/>
              <w:jc w:val="left"/>
              <w:rPr>
                <w:rFonts w:ascii="Calibri" w:eastAsia="Times New Roman" w:hAnsi="Calibri"/>
                <w:sz w:val="18"/>
                <w:highlight w:val="yellow"/>
                <w:lang w:eastAsia="sl-SI"/>
              </w:rPr>
            </w:pPr>
          </w:p>
          <w:p w14:paraId="1448C292" w14:textId="666F28DA" w:rsidR="005C4A57" w:rsidRPr="009C6520" w:rsidRDefault="00974B43"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NE</w:t>
            </w:r>
          </w:p>
          <w:p w14:paraId="192DEB78" w14:textId="77777777" w:rsidR="00C04A18" w:rsidRPr="009C6520" w:rsidRDefault="00C04A18" w:rsidP="003C473C">
            <w:pPr>
              <w:spacing w:after="0"/>
              <w:jc w:val="left"/>
              <w:rPr>
                <w:rFonts w:ascii="Calibri" w:eastAsia="Times New Roman" w:hAnsi="Calibri"/>
                <w:sz w:val="18"/>
                <w:lang w:eastAsia="sl-SI"/>
              </w:rPr>
            </w:pPr>
          </w:p>
          <w:p w14:paraId="5DB89CF2" w14:textId="77777777" w:rsidR="00C04A18" w:rsidRPr="009C6520" w:rsidRDefault="00C04A18" w:rsidP="003C473C">
            <w:pPr>
              <w:spacing w:after="0"/>
              <w:jc w:val="left"/>
              <w:rPr>
                <w:rFonts w:ascii="Calibri" w:eastAsia="Times New Roman" w:hAnsi="Calibri"/>
                <w:sz w:val="18"/>
                <w:lang w:eastAsia="sl-SI"/>
              </w:rPr>
            </w:pPr>
          </w:p>
          <w:p w14:paraId="1448C294" w14:textId="0E69E15C" w:rsidR="005C4A57" w:rsidRPr="009C6520" w:rsidRDefault="005C4A57"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Ne glede na sklenjen sporazum  davčni organ ni omejen pri opravljanju davčnega nadzora, kar pomeni, da se nadzor lahko opravlja tudi za zadeve, ki se ne nanašajo na predmet nadzora.</w:t>
            </w:r>
          </w:p>
        </w:tc>
        <w:tc>
          <w:tcPr>
            <w:tcW w:w="5220" w:type="dxa"/>
            <w:shd w:val="clear" w:color="auto" w:fill="auto"/>
            <w:hideMark/>
          </w:tcPr>
          <w:p w14:paraId="1448C295" w14:textId="77777777" w:rsidR="00F85ADF" w:rsidRPr="009C6520" w:rsidRDefault="00C10721" w:rsidP="002655FC">
            <w:pPr>
              <w:spacing w:after="0"/>
              <w:rPr>
                <w:rFonts w:ascii="Calibri" w:eastAsia="Times New Roman" w:hAnsi="Calibri"/>
                <w:sz w:val="18"/>
                <w:lang w:eastAsia="sl-SI"/>
              </w:rPr>
            </w:pPr>
            <w:r w:rsidRPr="00AB512D">
              <w:rPr>
                <w:rFonts w:ascii="Calibri" w:eastAsia="Times New Roman" w:hAnsi="Calibri" w:cs="Arial"/>
                <w:color w:val="000000"/>
                <w:sz w:val="18"/>
                <w:szCs w:val="18"/>
                <w:lang w:eastAsia="sl-SI"/>
              </w:rPr>
              <w:lastRenderedPageBreak/>
              <w:t xml:space="preserve">Določeni elementi, ki so odvisni od vrste transakcije, bodo opredeljeni v samem sporazumu oziroma, če se bo pokazala potreba, se bodo </w:t>
            </w:r>
            <w:r w:rsidRPr="009C6520">
              <w:rPr>
                <w:rFonts w:ascii="Calibri" w:eastAsia="Times New Roman" w:hAnsi="Calibri"/>
                <w:sz w:val="18"/>
                <w:lang w:eastAsia="sl-SI"/>
              </w:rPr>
              <w:t>uredili v podzakonskem aktu.</w:t>
            </w:r>
          </w:p>
          <w:p w14:paraId="39EA7C05" w14:textId="77777777" w:rsidR="00B253B9" w:rsidRPr="009C6520" w:rsidRDefault="00B253B9" w:rsidP="002655FC">
            <w:pPr>
              <w:spacing w:after="0"/>
              <w:rPr>
                <w:rFonts w:ascii="Calibri" w:eastAsia="Times New Roman" w:hAnsi="Calibri"/>
                <w:sz w:val="18"/>
                <w:lang w:eastAsia="sl-SI"/>
              </w:rPr>
            </w:pPr>
          </w:p>
          <w:p w14:paraId="1448C297" w14:textId="58D91267" w:rsidR="00C10721" w:rsidRPr="009C6520" w:rsidRDefault="00C10721" w:rsidP="002655FC">
            <w:pPr>
              <w:spacing w:after="0"/>
              <w:rPr>
                <w:rFonts w:ascii="Calibri" w:eastAsia="Times New Roman" w:hAnsi="Calibri"/>
                <w:sz w:val="18"/>
                <w:lang w:eastAsia="sl-SI"/>
              </w:rPr>
            </w:pPr>
            <w:r w:rsidRPr="009C6520">
              <w:rPr>
                <w:rFonts w:ascii="Calibri" w:eastAsia="Times New Roman" w:hAnsi="Calibri"/>
                <w:sz w:val="18"/>
                <w:lang w:eastAsia="sl-SI"/>
              </w:rPr>
              <w:t xml:space="preserve">Termin »dejstva in okoliščine« </w:t>
            </w:r>
            <w:r w:rsidR="00B253B9" w:rsidRPr="009C6520">
              <w:rPr>
                <w:rFonts w:ascii="Calibri" w:eastAsia="Times New Roman" w:hAnsi="Calibri"/>
                <w:sz w:val="18"/>
                <w:lang w:eastAsia="sl-SI"/>
              </w:rPr>
              <w:t xml:space="preserve">je </w:t>
            </w:r>
            <w:r w:rsidRPr="009C6520">
              <w:rPr>
                <w:rFonts w:ascii="Calibri" w:eastAsia="Times New Roman" w:hAnsi="Calibri"/>
                <w:sz w:val="18"/>
                <w:lang w:eastAsia="sl-SI"/>
              </w:rPr>
              <w:t>šir</w:t>
            </w:r>
            <w:r w:rsidR="00B253B9" w:rsidRPr="009C6520">
              <w:rPr>
                <w:rFonts w:ascii="Calibri" w:eastAsia="Times New Roman" w:hAnsi="Calibri"/>
                <w:sz w:val="18"/>
                <w:lang w:eastAsia="sl-SI"/>
              </w:rPr>
              <w:t>ši</w:t>
            </w:r>
            <w:r w:rsidRPr="009C6520">
              <w:rPr>
                <w:rFonts w:ascii="Calibri" w:eastAsia="Times New Roman" w:hAnsi="Calibri"/>
                <w:sz w:val="18"/>
                <w:lang w:eastAsia="sl-SI"/>
              </w:rPr>
              <w:t xml:space="preserve"> pojem</w:t>
            </w:r>
            <w:r w:rsidR="00B253B9" w:rsidRPr="009C6520">
              <w:rPr>
                <w:rFonts w:ascii="Calibri" w:eastAsia="Times New Roman" w:hAnsi="Calibri"/>
                <w:sz w:val="18"/>
                <w:lang w:eastAsia="sl-SI"/>
              </w:rPr>
              <w:t xml:space="preserve"> od termina »merila«</w:t>
            </w:r>
            <w:r w:rsidRPr="009C6520">
              <w:rPr>
                <w:rFonts w:ascii="Calibri" w:eastAsia="Times New Roman" w:hAnsi="Calibri"/>
                <w:sz w:val="18"/>
                <w:lang w:eastAsia="sl-SI"/>
              </w:rPr>
              <w:t xml:space="preserve"> -  zavezanec mora namreč pojasniti,  zakaj predlaga določeno metodo in tudi predložiti primerne primerljivke.</w:t>
            </w:r>
          </w:p>
          <w:p w14:paraId="1448C298" w14:textId="77777777" w:rsidR="00C10721" w:rsidRDefault="00C10721" w:rsidP="002655FC">
            <w:pPr>
              <w:spacing w:after="0"/>
              <w:rPr>
                <w:rFonts w:ascii="Calibri" w:eastAsia="Times New Roman" w:hAnsi="Calibri" w:cs="Arial"/>
                <w:color w:val="000000"/>
                <w:sz w:val="18"/>
                <w:szCs w:val="18"/>
                <w:lang w:eastAsia="sl-SI"/>
              </w:rPr>
            </w:pPr>
          </w:p>
          <w:p w14:paraId="1448C29B" w14:textId="77777777" w:rsidR="00CF6021" w:rsidRDefault="00CF6021"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Trajanje sporazuma, je odvisno od same  transakcije in bo določeno v sporazumu.</w:t>
            </w:r>
          </w:p>
          <w:p w14:paraId="40B88B34" w14:textId="77777777" w:rsidR="007915AD" w:rsidRDefault="007915AD" w:rsidP="002655FC">
            <w:pPr>
              <w:spacing w:after="0"/>
              <w:rPr>
                <w:rFonts w:ascii="Calibri" w:eastAsia="Times New Roman" w:hAnsi="Calibri" w:cs="Arial"/>
                <w:color w:val="000000"/>
                <w:sz w:val="18"/>
                <w:szCs w:val="18"/>
                <w:lang w:eastAsia="sl-SI"/>
              </w:rPr>
            </w:pPr>
          </w:p>
          <w:p w14:paraId="1448C29C" w14:textId="534C1B30" w:rsidR="00CF6021" w:rsidRDefault="00CF6021" w:rsidP="002655FC">
            <w:pPr>
              <w:spacing w:after="0"/>
              <w:rPr>
                <w:rFonts w:ascii="Calibri" w:eastAsia="Times New Roman" w:hAnsi="Calibri" w:cs="Arial"/>
                <w:color w:val="000000"/>
                <w:sz w:val="18"/>
                <w:szCs w:val="18"/>
                <w:lang w:eastAsia="sl-SI"/>
              </w:rPr>
            </w:pPr>
          </w:p>
          <w:p w14:paraId="1448C29D" w14:textId="77777777" w:rsidR="00165EE3" w:rsidRDefault="00165EE3" w:rsidP="002655FC">
            <w:pPr>
              <w:spacing w:after="0"/>
              <w:rPr>
                <w:rFonts w:ascii="Calibri" w:eastAsia="Times New Roman" w:hAnsi="Calibri" w:cs="Arial"/>
                <w:color w:val="000000"/>
                <w:sz w:val="18"/>
                <w:szCs w:val="18"/>
                <w:lang w:eastAsia="sl-SI"/>
              </w:rPr>
            </w:pPr>
          </w:p>
          <w:p w14:paraId="1448C29E" w14:textId="77777777" w:rsidR="00165EE3" w:rsidRDefault="00165EE3" w:rsidP="002655FC">
            <w:pPr>
              <w:spacing w:after="0"/>
              <w:rPr>
                <w:rFonts w:ascii="Calibri" w:eastAsia="Times New Roman" w:hAnsi="Calibri" w:cs="Arial"/>
                <w:b/>
                <w:bCs/>
                <w:color w:val="000000"/>
                <w:sz w:val="18"/>
                <w:szCs w:val="18"/>
                <w:lang w:eastAsia="sl-SI"/>
              </w:rPr>
            </w:pPr>
          </w:p>
          <w:p w14:paraId="1448C29F" w14:textId="77777777" w:rsidR="00165EE3" w:rsidRDefault="00165EE3" w:rsidP="002655FC">
            <w:pPr>
              <w:spacing w:after="0"/>
              <w:rPr>
                <w:rFonts w:ascii="Calibri" w:eastAsia="Times New Roman" w:hAnsi="Calibri" w:cs="Arial"/>
                <w:b/>
                <w:bCs/>
                <w:color w:val="000000"/>
                <w:sz w:val="18"/>
                <w:szCs w:val="18"/>
                <w:lang w:eastAsia="sl-SI"/>
              </w:rPr>
            </w:pPr>
          </w:p>
          <w:p w14:paraId="1448C2A0" w14:textId="77777777" w:rsidR="00165EE3" w:rsidRDefault="00165EE3" w:rsidP="002655FC">
            <w:pPr>
              <w:spacing w:after="0"/>
              <w:rPr>
                <w:rFonts w:ascii="Calibri" w:eastAsia="Times New Roman" w:hAnsi="Calibri" w:cs="Arial"/>
                <w:b/>
                <w:bCs/>
                <w:color w:val="000000"/>
                <w:sz w:val="18"/>
                <w:szCs w:val="18"/>
                <w:lang w:eastAsia="sl-SI"/>
              </w:rPr>
            </w:pPr>
          </w:p>
          <w:p w14:paraId="1448C2A1" w14:textId="77777777" w:rsidR="00165EE3" w:rsidRDefault="00165EE3" w:rsidP="002655FC">
            <w:pPr>
              <w:spacing w:after="0"/>
              <w:rPr>
                <w:rFonts w:ascii="Calibri" w:eastAsia="Times New Roman" w:hAnsi="Calibri" w:cs="Arial"/>
                <w:b/>
                <w:bCs/>
                <w:color w:val="000000"/>
                <w:sz w:val="18"/>
                <w:szCs w:val="18"/>
                <w:lang w:eastAsia="sl-SI"/>
              </w:rPr>
            </w:pPr>
          </w:p>
          <w:p w14:paraId="1448C2A2" w14:textId="77777777" w:rsidR="00165EE3" w:rsidRDefault="00165EE3" w:rsidP="002655FC">
            <w:pPr>
              <w:spacing w:after="0"/>
              <w:rPr>
                <w:rFonts w:ascii="Calibri" w:eastAsia="Times New Roman" w:hAnsi="Calibri" w:cs="Arial"/>
                <w:b/>
                <w:bCs/>
                <w:color w:val="000000"/>
                <w:sz w:val="18"/>
                <w:szCs w:val="18"/>
                <w:lang w:eastAsia="sl-SI"/>
              </w:rPr>
            </w:pPr>
          </w:p>
          <w:p w14:paraId="7D7DF4D9" w14:textId="77777777" w:rsidR="00C04A18" w:rsidRDefault="00C04A18" w:rsidP="002655FC">
            <w:pPr>
              <w:spacing w:after="0"/>
              <w:rPr>
                <w:rFonts w:ascii="Calibri" w:eastAsia="Times New Roman" w:hAnsi="Calibri" w:cs="Arial"/>
                <w:color w:val="000000"/>
                <w:sz w:val="18"/>
                <w:szCs w:val="18"/>
                <w:lang w:eastAsia="sl-SI"/>
              </w:rPr>
            </w:pPr>
          </w:p>
          <w:p w14:paraId="237D4D14" w14:textId="77777777" w:rsidR="00C04A18" w:rsidRDefault="00C04A18" w:rsidP="002655FC">
            <w:pPr>
              <w:spacing w:after="0"/>
              <w:rPr>
                <w:rFonts w:ascii="Calibri" w:eastAsia="Times New Roman" w:hAnsi="Calibri" w:cs="Arial"/>
                <w:color w:val="000000"/>
                <w:sz w:val="18"/>
                <w:szCs w:val="18"/>
                <w:lang w:eastAsia="sl-SI"/>
              </w:rPr>
            </w:pPr>
          </w:p>
          <w:p w14:paraId="18FE5124" w14:textId="77777777" w:rsidR="00C04A18" w:rsidRDefault="00C04A18" w:rsidP="002655FC">
            <w:pPr>
              <w:spacing w:after="0"/>
              <w:rPr>
                <w:rFonts w:ascii="Calibri" w:eastAsia="Times New Roman" w:hAnsi="Calibri" w:cs="Arial"/>
                <w:color w:val="000000"/>
                <w:sz w:val="18"/>
                <w:szCs w:val="18"/>
                <w:lang w:eastAsia="sl-SI"/>
              </w:rPr>
            </w:pPr>
          </w:p>
          <w:p w14:paraId="4ABC7AB8" w14:textId="490EEF4A" w:rsidR="00E40D56" w:rsidRDefault="004D0A9D" w:rsidP="00E40D56">
            <w:pPr>
              <w:spacing w:after="0"/>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Z</w:t>
            </w:r>
            <w:r w:rsidR="00E40D56" w:rsidRPr="00AB512D">
              <w:rPr>
                <w:rFonts w:ascii="Calibri" w:eastAsia="Times New Roman" w:hAnsi="Calibri" w:cs="Arial"/>
                <w:color w:val="000000"/>
                <w:sz w:val="18"/>
                <w:szCs w:val="18"/>
                <w:lang w:eastAsia="sl-SI"/>
              </w:rPr>
              <w:t>avezanec</w:t>
            </w:r>
            <w:r>
              <w:rPr>
                <w:rFonts w:ascii="Calibri" w:eastAsia="Times New Roman" w:hAnsi="Calibri" w:cs="Arial"/>
                <w:color w:val="000000"/>
                <w:sz w:val="18"/>
                <w:szCs w:val="18"/>
                <w:lang w:eastAsia="sl-SI"/>
              </w:rPr>
              <w:t xml:space="preserve"> bo</w:t>
            </w:r>
            <w:r w:rsidR="00E40D56" w:rsidRPr="00AB512D">
              <w:rPr>
                <w:rFonts w:ascii="Calibri" w:eastAsia="Times New Roman" w:hAnsi="Calibri" w:cs="Arial"/>
                <w:color w:val="000000"/>
                <w:sz w:val="18"/>
                <w:szCs w:val="18"/>
                <w:lang w:eastAsia="sl-SI"/>
              </w:rPr>
              <w:t xml:space="preserve"> davčnemu organu </w:t>
            </w:r>
            <w:r w:rsidRPr="00AB512D">
              <w:rPr>
                <w:rFonts w:ascii="Calibri" w:eastAsia="Times New Roman" w:hAnsi="Calibri" w:cs="Arial"/>
                <w:color w:val="000000"/>
                <w:sz w:val="18"/>
                <w:szCs w:val="18"/>
                <w:lang w:eastAsia="sl-SI"/>
              </w:rPr>
              <w:t xml:space="preserve">moral </w:t>
            </w:r>
            <w:r w:rsidR="00E40D56" w:rsidRPr="00AB512D">
              <w:rPr>
                <w:rFonts w:ascii="Calibri" w:eastAsia="Times New Roman" w:hAnsi="Calibri" w:cs="Arial"/>
                <w:color w:val="000000"/>
                <w:sz w:val="18"/>
                <w:szCs w:val="18"/>
                <w:lang w:eastAsia="sl-SI"/>
              </w:rPr>
              <w:t>poročati, kar bo urejeno s podzakonskim aktom</w:t>
            </w:r>
            <w:r w:rsidR="00E40D56">
              <w:rPr>
                <w:rFonts w:ascii="Calibri" w:eastAsia="Times New Roman" w:hAnsi="Calibri" w:cs="Arial"/>
                <w:color w:val="000000"/>
                <w:sz w:val="18"/>
                <w:szCs w:val="18"/>
                <w:lang w:eastAsia="sl-SI"/>
              </w:rPr>
              <w:t>.</w:t>
            </w:r>
          </w:p>
          <w:p w14:paraId="6F7BA3A3" w14:textId="77777777" w:rsidR="00C04A18" w:rsidRPr="009C6520" w:rsidRDefault="00C04A18" w:rsidP="002655FC">
            <w:pPr>
              <w:spacing w:after="0"/>
              <w:rPr>
                <w:rFonts w:ascii="Calibri" w:eastAsia="Times New Roman" w:hAnsi="Calibri"/>
                <w:sz w:val="18"/>
                <w:lang w:eastAsia="sl-SI"/>
              </w:rPr>
            </w:pPr>
          </w:p>
          <w:p w14:paraId="75418655" w14:textId="1E27028C" w:rsidR="00E40D56" w:rsidRPr="009C6520" w:rsidRDefault="00481D67" w:rsidP="002655FC">
            <w:pPr>
              <w:spacing w:after="0"/>
              <w:rPr>
                <w:rFonts w:ascii="Calibri" w:eastAsia="Times New Roman" w:hAnsi="Calibri"/>
                <w:sz w:val="18"/>
                <w:lang w:eastAsia="sl-SI"/>
              </w:rPr>
            </w:pPr>
            <w:r w:rsidRPr="009C6520">
              <w:rPr>
                <w:rFonts w:ascii="Calibri" w:eastAsia="Times New Roman" w:hAnsi="Calibri"/>
                <w:sz w:val="18"/>
                <w:lang w:eastAsia="sl-SI"/>
              </w:rPr>
              <w:t>Postopek bo urejen v podzakonskem aktu.</w:t>
            </w:r>
          </w:p>
          <w:p w14:paraId="47E618E8" w14:textId="77777777" w:rsidR="00481D67" w:rsidRPr="009C6520" w:rsidRDefault="00481D67" w:rsidP="002655FC">
            <w:pPr>
              <w:spacing w:after="0"/>
              <w:rPr>
                <w:rFonts w:ascii="Calibri" w:eastAsia="Times New Roman" w:hAnsi="Calibri"/>
                <w:sz w:val="18"/>
                <w:lang w:eastAsia="sl-SI"/>
              </w:rPr>
            </w:pPr>
          </w:p>
          <w:p w14:paraId="1448C2A5" w14:textId="77777777" w:rsidR="005C4A57" w:rsidRPr="009C6520" w:rsidRDefault="005C4A57" w:rsidP="002655FC">
            <w:pPr>
              <w:spacing w:after="0"/>
              <w:rPr>
                <w:rFonts w:ascii="Calibri" w:eastAsia="Times New Roman" w:hAnsi="Calibri"/>
                <w:sz w:val="18"/>
                <w:lang w:eastAsia="sl-SI"/>
              </w:rPr>
            </w:pPr>
            <w:r w:rsidRPr="009C6520">
              <w:rPr>
                <w:rFonts w:ascii="Calibri" w:eastAsia="Times New Roman" w:hAnsi="Calibri"/>
                <w:sz w:val="18"/>
                <w:lang w:eastAsia="sl-SI"/>
              </w:rPr>
              <w:t>Prenehanje v načelu velja od takrat naprej, ko nastopi dogodek. Podrobneje bo urejeno tudi v samem sporazumu.</w:t>
            </w:r>
          </w:p>
          <w:p w14:paraId="13B931B6" w14:textId="77777777" w:rsidR="00974B43" w:rsidRPr="009C6520" w:rsidRDefault="00974B43" w:rsidP="002655FC">
            <w:pPr>
              <w:spacing w:after="0"/>
              <w:rPr>
                <w:rFonts w:ascii="Calibri" w:eastAsia="Times New Roman" w:hAnsi="Calibri"/>
                <w:sz w:val="18"/>
                <w:lang w:eastAsia="sl-SI"/>
              </w:rPr>
            </w:pPr>
          </w:p>
          <w:p w14:paraId="17ED73FB" w14:textId="77777777" w:rsidR="00974B43" w:rsidRPr="009C6520" w:rsidRDefault="00974B43" w:rsidP="002655FC">
            <w:pPr>
              <w:spacing w:after="0"/>
              <w:rPr>
                <w:rFonts w:ascii="Calibri" w:eastAsia="Times New Roman" w:hAnsi="Calibri"/>
                <w:b/>
                <w:sz w:val="18"/>
                <w:lang w:eastAsia="sl-SI"/>
              </w:rPr>
            </w:pPr>
          </w:p>
          <w:p w14:paraId="6A888B88" w14:textId="192939B1" w:rsidR="00E40D56" w:rsidRPr="009C6520" w:rsidRDefault="00E40D56" w:rsidP="002655FC">
            <w:pPr>
              <w:spacing w:after="0"/>
              <w:rPr>
                <w:rFonts w:ascii="Calibri" w:eastAsia="Times New Roman" w:hAnsi="Calibri"/>
                <w:sz w:val="18"/>
                <w:lang w:eastAsia="sl-SI"/>
              </w:rPr>
            </w:pPr>
          </w:p>
          <w:p w14:paraId="7C81C32B" w14:textId="77777777" w:rsidR="00E40D56" w:rsidRPr="009C6520" w:rsidRDefault="00E40D56" w:rsidP="002655FC">
            <w:pPr>
              <w:spacing w:after="0"/>
              <w:rPr>
                <w:rFonts w:ascii="Calibri" w:eastAsia="Times New Roman" w:hAnsi="Calibri"/>
                <w:sz w:val="18"/>
                <w:lang w:eastAsia="sl-SI"/>
              </w:rPr>
            </w:pPr>
          </w:p>
          <w:p w14:paraId="5B9807A0" w14:textId="77777777" w:rsidR="00E40D56" w:rsidRPr="009C6520" w:rsidRDefault="00E40D56" w:rsidP="002655FC">
            <w:pPr>
              <w:spacing w:after="0"/>
              <w:rPr>
                <w:rFonts w:ascii="Calibri" w:eastAsia="Times New Roman" w:hAnsi="Calibri"/>
                <w:sz w:val="18"/>
                <w:lang w:eastAsia="sl-SI"/>
              </w:rPr>
            </w:pPr>
          </w:p>
          <w:p w14:paraId="1448C2A6" w14:textId="483E54C8" w:rsidR="00974B43" w:rsidRPr="00AB512D" w:rsidRDefault="00E40D56" w:rsidP="00E40D56">
            <w:pPr>
              <w:spacing w:after="0"/>
              <w:rPr>
                <w:rFonts w:ascii="Calibri" w:eastAsia="Times New Roman" w:hAnsi="Calibri" w:cs="Arial"/>
                <w:b/>
                <w:bCs/>
                <w:color w:val="000000"/>
                <w:sz w:val="18"/>
                <w:szCs w:val="18"/>
                <w:lang w:eastAsia="sl-SI"/>
              </w:rPr>
            </w:pPr>
            <w:r w:rsidRPr="009C6520">
              <w:rPr>
                <w:rFonts w:ascii="Calibri" w:eastAsia="Times New Roman" w:hAnsi="Calibri"/>
                <w:sz w:val="18"/>
                <w:lang w:eastAsia="sl-SI"/>
              </w:rPr>
              <w:t>Stroški za posamezno vrsto APA sporazuma bodo urejeni v podzakonskem aktu.</w:t>
            </w:r>
          </w:p>
        </w:tc>
      </w:tr>
      <w:tr w:rsidR="00F85ADF" w:rsidRPr="00AB512D" w14:paraId="1448C2AD" w14:textId="77777777" w:rsidTr="00EC73AA">
        <w:trPr>
          <w:trHeight w:val="720"/>
        </w:trPr>
        <w:tc>
          <w:tcPr>
            <w:tcW w:w="1600" w:type="dxa"/>
            <w:shd w:val="clear" w:color="auto" w:fill="auto"/>
            <w:hideMark/>
          </w:tcPr>
          <w:p w14:paraId="1448C2A8"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2A9" w14:textId="77777777" w:rsidR="00ED6EA5" w:rsidRDefault="00ED6EA5"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K 5. členu (36. člen ZDavP-2)</w:t>
            </w:r>
          </w:p>
          <w:p w14:paraId="1448C2AA"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ustrezne nomotehnične dikcije glede določitve pogojev in načina zagotavljanja evidence plačil.</w:t>
            </w:r>
          </w:p>
        </w:tc>
        <w:tc>
          <w:tcPr>
            <w:tcW w:w="1946" w:type="dxa"/>
            <w:shd w:val="clear" w:color="auto" w:fill="auto"/>
            <w:hideMark/>
          </w:tcPr>
          <w:p w14:paraId="44F60E2F" w14:textId="77777777" w:rsidR="000F2E4F" w:rsidRDefault="000F2E4F" w:rsidP="003C473C">
            <w:pPr>
              <w:spacing w:after="0"/>
              <w:jc w:val="left"/>
              <w:rPr>
                <w:rFonts w:ascii="Calibri" w:eastAsia="Times New Roman" w:hAnsi="Calibri" w:cs="Arial"/>
                <w:color w:val="000000"/>
                <w:sz w:val="18"/>
                <w:szCs w:val="18"/>
                <w:lang w:eastAsia="sl-SI"/>
              </w:rPr>
            </w:pPr>
          </w:p>
          <w:p w14:paraId="1448C2AB" w14:textId="77777777" w:rsidR="00F85ADF" w:rsidRPr="00AB512D" w:rsidRDefault="00ED6EA5"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ni več aktualna, saj je predlagana sprememba 36. člena ZDavP-2 črtana,  ohranjen je veljavni člen.</w:t>
            </w:r>
          </w:p>
        </w:tc>
        <w:tc>
          <w:tcPr>
            <w:tcW w:w="5220" w:type="dxa"/>
            <w:shd w:val="clear" w:color="auto" w:fill="auto"/>
            <w:hideMark/>
          </w:tcPr>
          <w:p w14:paraId="1448C2AC"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B4" w14:textId="77777777" w:rsidTr="00EC73AA">
        <w:trPr>
          <w:trHeight w:val="285"/>
        </w:trPr>
        <w:tc>
          <w:tcPr>
            <w:tcW w:w="1600" w:type="dxa"/>
            <w:shd w:val="clear" w:color="auto" w:fill="auto"/>
            <w:hideMark/>
          </w:tcPr>
          <w:p w14:paraId="1448C2AE"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2AF"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7. členu (50. člen ZDavP-2)</w:t>
            </w:r>
          </w:p>
          <w:p w14:paraId="1448C2B0" w14:textId="77777777" w:rsidR="00ED6EA5" w:rsidRPr="00AB512D" w:rsidRDefault="00ED6EA5"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neuporabe pogojnika, ker  je ugotovitev višine davka obligatorna, vendar se ta zaradi načela ekonomičnosti ne odmeri.</w:t>
            </w:r>
          </w:p>
        </w:tc>
        <w:tc>
          <w:tcPr>
            <w:tcW w:w="1946" w:type="dxa"/>
            <w:shd w:val="clear" w:color="auto" w:fill="auto"/>
            <w:hideMark/>
          </w:tcPr>
          <w:p w14:paraId="1448C2B1"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2B2" w14:textId="77777777" w:rsidR="00ED6EA5" w:rsidRPr="00ED6EA5" w:rsidRDefault="00ED6EA5" w:rsidP="003C473C">
            <w:pPr>
              <w:spacing w:after="0"/>
              <w:jc w:val="left"/>
              <w:rPr>
                <w:rFonts w:ascii="Calibri" w:eastAsia="Times New Roman" w:hAnsi="Calibri" w:cs="Arial"/>
                <w:bCs/>
                <w:color w:val="000000"/>
                <w:sz w:val="18"/>
                <w:szCs w:val="18"/>
                <w:lang w:eastAsia="sl-SI"/>
              </w:rPr>
            </w:pPr>
            <w:r w:rsidRPr="00ED6EA5">
              <w:rPr>
                <w:rFonts w:ascii="Calibri" w:eastAsia="Times New Roman" w:hAnsi="Calibri" w:cs="Arial"/>
                <w:bCs/>
                <w:color w:val="000000"/>
                <w:sz w:val="18"/>
                <w:szCs w:val="18"/>
                <w:lang w:eastAsia="sl-SI"/>
              </w:rPr>
              <w:t>DA</w:t>
            </w:r>
          </w:p>
        </w:tc>
        <w:tc>
          <w:tcPr>
            <w:tcW w:w="5220" w:type="dxa"/>
            <w:shd w:val="clear" w:color="auto" w:fill="auto"/>
            <w:hideMark/>
          </w:tcPr>
          <w:p w14:paraId="1448C2B3"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BB" w14:textId="77777777" w:rsidTr="00EC73AA">
        <w:trPr>
          <w:trHeight w:val="1200"/>
        </w:trPr>
        <w:tc>
          <w:tcPr>
            <w:tcW w:w="1600" w:type="dxa"/>
            <w:shd w:val="clear" w:color="auto" w:fill="auto"/>
            <w:hideMark/>
          </w:tcPr>
          <w:p w14:paraId="1448C2B5"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B6"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8. členu (58. člen ZDavP-2)</w:t>
            </w:r>
          </w:p>
          <w:p w14:paraId="1448C2B7" w14:textId="2083BB85" w:rsidR="00ED6EA5" w:rsidRPr="00AB512D" w:rsidRDefault="00ED6EA5" w:rsidP="002655FC">
            <w:pPr>
              <w:spacing w:after="0"/>
              <w:rPr>
                <w:rFonts w:ascii="Calibri" w:eastAsia="Times New Roman" w:hAnsi="Calibri" w:cs="Arial"/>
                <w:b/>
                <w:bCs/>
                <w:color w:val="000000"/>
                <w:sz w:val="18"/>
                <w:szCs w:val="18"/>
                <w:lang w:eastAsia="sl-SI"/>
              </w:rPr>
            </w:pPr>
            <w:r w:rsidRPr="00B632FC">
              <w:rPr>
                <w:rFonts w:ascii="Calibri" w:eastAsia="Times New Roman" w:hAnsi="Calibri"/>
                <w:color w:val="000000"/>
                <w:sz w:val="18"/>
                <w:lang w:eastAsia="sl-SI"/>
              </w:rPr>
              <w:t>Redakcijski predlog uporabe veljavne zakonske terminologije</w:t>
            </w:r>
            <w:r w:rsidRPr="00B632FC">
              <w:rPr>
                <w:rFonts w:ascii="Calibri" w:eastAsia="Times New Roman" w:hAnsi="Calibri" w:cs="Arial"/>
                <w:color w:val="000000"/>
                <w:sz w:val="18"/>
                <w:szCs w:val="18"/>
                <w:lang w:eastAsia="sl-SI"/>
              </w:rPr>
              <w:t>.</w:t>
            </w:r>
          </w:p>
        </w:tc>
        <w:tc>
          <w:tcPr>
            <w:tcW w:w="1946" w:type="dxa"/>
            <w:shd w:val="clear" w:color="auto" w:fill="auto"/>
            <w:hideMark/>
          </w:tcPr>
          <w:p w14:paraId="1448C2B8" w14:textId="77777777" w:rsidR="00ED6EA5" w:rsidRDefault="00ED6EA5" w:rsidP="003C473C">
            <w:pPr>
              <w:spacing w:after="0"/>
              <w:jc w:val="left"/>
              <w:rPr>
                <w:rFonts w:ascii="Calibri" w:eastAsia="Times New Roman" w:hAnsi="Calibri" w:cs="Arial"/>
                <w:color w:val="000000"/>
                <w:sz w:val="18"/>
                <w:szCs w:val="18"/>
                <w:lang w:eastAsia="sl-SI"/>
              </w:rPr>
            </w:pPr>
          </w:p>
          <w:p w14:paraId="1448C2B9" w14:textId="77777777" w:rsidR="00F85ADF" w:rsidRPr="00AB512D" w:rsidRDefault="00ED6EA5"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tc>
        <w:tc>
          <w:tcPr>
            <w:tcW w:w="5220" w:type="dxa"/>
            <w:shd w:val="clear" w:color="auto" w:fill="auto"/>
            <w:hideMark/>
          </w:tcPr>
          <w:p w14:paraId="1448C2BA"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F85ADF" w:rsidRPr="00AB512D" w14:paraId="1448C2C3" w14:textId="77777777" w:rsidTr="00EC73AA">
        <w:trPr>
          <w:trHeight w:val="1200"/>
        </w:trPr>
        <w:tc>
          <w:tcPr>
            <w:tcW w:w="1600" w:type="dxa"/>
            <w:shd w:val="clear" w:color="auto" w:fill="auto"/>
            <w:hideMark/>
          </w:tcPr>
          <w:p w14:paraId="1448C2BC"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BD"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15. členu (97. člen ZDavP-2)</w:t>
            </w:r>
          </w:p>
          <w:p w14:paraId="1448C2BE" w14:textId="77777777" w:rsidR="00ED6EA5" w:rsidRPr="00AB512D" w:rsidRDefault="00ED6EA5"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črtanja devetega odstavka 97. člena zaradi pravno nedopustne omejitve ustavno zajamčene pravice do zasebne lastnine (33. člen Ustave RS) oziroma lastnine (67. člen Ustave RS).</w:t>
            </w:r>
          </w:p>
        </w:tc>
        <w:tc>
          <w:tcPr>
            <w:tcW w:w="1946" w:type="dxa"/>
            <w:shd w:val="clear" w:color="auto" w:fill="auto"/>
            <w:hideMark/>
          </w:tcPr>
          <w:p w14:paraId="1448C2BF" w14:textId="77777777" w:rsidR="00ED6EA5" w:rsidRDefault="00F85ADF" w:rsidP="003C473C">
            <w:pPr>
              <w:spacing w:after="0"/>
              <w:jc w:val="left"/>
              <w:rPr>
                <w:rFonts w:ascii="Calibri" w:eastAsia="Times New Roman" w:hAnsi="Calibri" w:cs="Arial"/>
                <w:sz w:val="18"/>
                <w:szCs w:val="18"/>
                <w:lang w:eastAsia="sl-SI"/>
              </w:rPr>
            </w:pPr>
            <w:r w:rsidRPr="00ED6EA5">
              <w:rPr>
                <w:rFonts w:ascii="Calibri" w:eastAsia="Times New Roman" w:hAnsi="Calibri" w:cs="Arial"/>
                <w:sz w:val="18"/>
                <w:szCs w:val="18"/>
                <w:lang w:eastAsia="sl-SI"/>
              </w:rPr>
              <w:t> </w:t>
            </w:r>
          </w:p>
          <w:p w14:paraId="1448C2C0" w14:textId="77777777" w:rsidR="00F85ADF" w:rsidRPr="00AB512D" w:rsidRDefault="00ED6EA5" w:rsidP="003C473C">
            <w:pPr>
              <w:spacing w:after="0"/>
              <w:jc w:val="left"/>
              <w:rPr>
                <w:rFonts w:ascii="Calibri" w:eastAsia="Times New Roman" w:hAnsi="Calibri" w:cs="Arial"/>
                <w:color w:val="FF0000"/>
                <w:sz w:val="18"/>
                <w:szCs w:val="18"/>
                <w:lang w:eastAsia="sl-SI"/>
              </w:rPr>
            </w:pPr>
            <w:r w:rsidRPr="00ED6EA5">
              <w:rPr>
                <w:rFonts w:ascii="Calibri" w:eastAsia="Times New Roman" w:hAnsi="Calibri" w:cs="Arial"/>
                <w:sz w:val="18"/>
                <w:szCs w:val="18"/>
                <w:lang w:eastAsia="sl-SI"/>
              </w:rPr>
              <w:t>NE</w:t>
            </w:r>
          </w:p>
        </w:tc>
        <w:tc>
          <w:tcPr>
            <w:tcW w:w="5220" w:type="dxa"/>
            <w:shd w:val="clear" w:color="auto" w:fill="auto"/>
            <w:hideMark/>
          </w:tcPr>
          <w:p w14:paraId="1448C2C1"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S predlagano določbo se ne omejuje razpolaganja s katerokoli terjatvijo, ki jo ima davčni zavezanec do davčnega organa, temveč le razpolaganje s terjatvami iz naslova vračil davkov (v tem smislu smo tudi popravili predlagano določbo). </w:t>
            </w:r>
          </w:p>
          <w:p w14:paraId="1448C2C2" w14:textId="77777777" w:rsidR="00ED6EA5" w:rsidRPr="00AB512D" w:rsidRDefault="00ED6EA5"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417. člen OZ določa: Upnik lahko s pogodbo, ki jo sklene s kom tretjim, prenese nanj svojo terjatev, izvzemši tiste terjatve, </w:t>
            </w:r>
            <w:r w:rsidRPr="00AB512D">
              <w:rPr>
                <w:rFonts w:ascii="Calibri" w:eastAsia="Times New Roman" w:hAnsi="Calibri" w:cs="Arial"/>
                <w:i/>
                <w:iCs/>
                <w:color w:val="000000"/>
                <w:sz w:val="18"/>
                <w:szCs w:val="18"/>
                <w:lang w:eastAsia="sl-SI"/>
              </w:rPr>
              <w:t>katerih prenos je z zakonom prepovedan</w:t>
            </w:r>
            <w:r w:rsidRPr="00AB512D">
              <w:rPr>
                <w:rFonts w:ascii="Calibri" w:eastAsia="Times New Roman" w:hAnsi="Calibri" w:cs="Arial"/>
                <w:color w:val="000000"/>
                <w:sz w:val="18"/>
                <w:szCs w:val="18"/>
                <w:lang w:eastAsia="sl-SI"/>
              </w:rPr>
              <w:t>, kot tudi tiste, ki so povezane z osebnostjo upnika ali njihova narava nasprotuje prenosu na drugega</w:t>
            </w:r>
            <w:r>
              <w:rPr>
                <w:rFonts w:ascii="Calibri" w:eastAsia="Times New Roman" w:hAnsi="Calibri" w:cs="Arial"/>
                <w:color w:val="000000"/>
                <w:sz w:val="18"/>
                <w:szCs w:val="18"/>
                <w:lang w:eastAsia="sl-SI"/>
              </w:rPr>
              <w:t>.</w:t>
            </w:r>
          </w:p>
        </w:tc>
      </w:tr>
      <w:tr w:rsidR="00F85ADF" w:rsidRPr="00AB512D" w14:paraId="1448C2CB" w14:textId="77777777" w:rsidTr="00EC73AA">
        <w:trPr>
          <w:trHeight w:val="1680"/>
        </w:trPr>
        <w:tc>
          <w:tcPr>
            <w:tcW w:w="1600" w:type="dxa"/>
            <w:shd w:val="clear" w:color="auto" w:fill="auto"/>
            <w:hideMark/>
          </w:tcPr>
          <w:p w14:paraId="1448C2C4"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C5"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w:t>
            </w:r>
            <w:r w:rsidR="00ED6EA5" w:rsidRPr="00AB512D">
              <w:rPr>
                <w:rFonts w:ascii="Calibri" w:eastAsia="Times New Roman" w:hAnsi="Calibri" w:cs="Arial"/>
                <w:b/>
                <w:bCs/>
                <w:color w:val="000000"/>
                <w:sz w:val="18"/>
                <w:szCs w:val="18"/>
                <w:lang w:eastAsia="sl-SI"/>
              </w:rPr>
              <w:t>K 23. členu (127. člen ZDavP-2)</w:t>
            </w:r>
          </w:p>
          <w:p w14:paraId="1448C2C6" w14:textId="77777777" w:rsidR="00ED6EA5" w:rsidRPr="006C032D" w:rsidRDefault="006C032D" w:rsidP="002655FC">
            <w:pPr>
              <w:spacing w:after="0"/>
              <w:rPr>
                <w:rFonts w:asciiTheme="minorHAnsi" w:eastAsia="Times New Roman" w:hAnsiTheme="minorHAnsi" w:cs="Arial"/>
                <w:color w:val="000000"/>
                <w:sz w:val="18"/>
                <w:szCs w:val="18"/>
                <w:lang w:eastAsia="sl-SI"/>
              </w:rPr>
            </w:pPr>
            <w:r w:rsidRPr="006C032D">
              <w:rPr>
                <w:rFonts w:asciiTheme="minorHAnsi" w:eastAsia="Times New Roman" w:hAnsiTheme="minorHAnsi" w:cs="Arial"/>
                <w:color w:val="000000"/>
                <w:sz w:val="18"/>
                <w:szCs w:val="18"/>
                <w:lang w:eastAsia="sl-SI"/>
              </w:rPr>
              <w:t xml:space="preserve">Pripomba glede </w:t>
            </w:r>
            <w:r w:rsidR="00ED6EA5" w:rsidRPr="006C032D">
              <w:rPr>
                <w:rFonts w:asciiTheme="minorHAnsi" w:eastAsia="Times New Roman" w:hAnsiTheme="minorHAnsi" w:cs="Arial"/>
                <w:color w:val="000000"/>
                <w:sz w:val="18"/>
                <w:szCs w:val="18"/>
                <w:lang w:eastAsia="sl-SI"/>
              </w:rPr>
              <w:t xml:space="preserve">spremembe drugega odstavka 127. člena </w:t>
            </w:r>
            <w:r w:rsidRPr="006C032D">
              <w:rPr>
                <w:rFonts w:asciiTheme="minorHAnsi" w:eastAsia="Times New Roman" w:hAnsiTheme="minorHAnsi" w:cs="Arial"/>
                <w:color w:val="000000"/>
                <w:sz w:val="18"/>
                <w:szCs w:val="18"/>
                <w:lang w:eastAsia="sl-SI"/>
              </w:rPr>
              <w:t>(črtanje druge točke -</w:t>
            </w:r>
            <w:r w:rsidRPr="006C032D" w:rsidDel="00BA4674">
              <w:rPr>
                <w:rFonts w:asciiTheme="minorHAnsi" w:eastAsia="Times New Roman" w:hAnsiTheme="minorHAnsi" w:cs="Arial"/>
                <w:sz w:val="18"/>
                <w:szCs w:val="18"/>
                <w:lang w:eastAsia="sl-SI"/>
              </w:rPr>
              <w:t xml:space="preserve"> </w:t>
            </w:r>
            <w:r w:rsidRPr="006C032D">
              <w:rPr>
                <w:rFonts w:asciiTheme="minorHAnsi" w:eastAsia="Times New Roman" w:hAnsiTheme="minorHAnsi" w:cs="Arial"/>
                <w:sz w:val="18"/>
                <w:szCs w:val="18"/>
                <w:lang w:eastAsia="sl-SI"/>
              </w:rPr>
              <w:t>davčni nadzor posameznega področja poslovanja</w:t>
            </w:r>
            <w:r>
              <w:rPr>
                <w:rFonts w:asciiTheme="minorHAnsi" w:eastAsia="Times New Roman" w:hAnsiTheme="minorHAnsi" w:cs="Arial"/>
                <w:sz w:val="18"/>
                <w:szCs w:val="18"/>
                <w:lang w:eastAsia="sl-SI"/>
              </w:rPr>
              <w:t>)</w:t>
            </w:r>
            <w:r w:rsidR="00ED6EA5" w:rsidRPr="006C032D">
              <w:rPr>
                <w:rFonts w:asciiTheme="minorHAnsi" w:eastAsia="Times New Roman" w:hAnsiTheme="minorHAnsi" w:cs="Arial"/>
                <w:color w:val="000000"/>
                <w:sz w:val="18"/>
                <w:szCs w:val="18"/>
                <w:lang w:eastAsia="sl-SI"/>
              </w:rPr>
              <w:t xml:space="preserve"> zaradi diskriminatorne izločitve inšpiciranja.</w:t>
            </w:r>
            <w:r w:rsidR="00B0652B">
              <w:rPr>
                <w:rFonts w:asciiTheme="minorHAnsi" w:eastAsia="Times New Roman" w:hAnsiTheme="minorHAnsi" w:cs="Arial"/>
                <w:color w:val="000000"/>
                <w:sz w:val="18"/>
                <w:szCs w:val="18"/>
                <w:lang w:eastAsia="sl-SI"/>
              </w:rPr>
              <w:t xml:space="preserve"> </w:t>
            </w:r>
          </w:p>
        </w:tc>
        <w:tc>
          <w:tcPr>
            <w:tcW w:w="1946" w:type="dxa"/>
            <w:shd w:val="clear" w:color="auto" w:fill="auto"/>
            <w:hideMark/>
          </w:tcPr>
          <w:p w14:paraId="1448C2C7" w14:textId="77777777" w:rsidR="00F85ADF" w:rsidRDefault="00F85ADF" w:rsidP="003C473C">
            <w:pPr>
              <w:spacing w:after="0"/>
              <w:jc w:val="left"/>
              <w:rPr>
                <w:rFonts w:ascii="Calibri" w:eastAsia="Times New Roman" w:hAnsi="Calibri" w:cs="Arial"/>
                <w:color w:val="000000"/>
                <w:sz w:val="18"/>
                <w:szCs w:val="18"/>
                <w:lang w:eastAsia="sl-SI"/>
              </w:rPr>
            </w:pPr>
          </w:p>
          <w:p w14:paraId="1448C2C8" w14:textId="77777777" w:rsidR="00ED6EA5" w:rsidRPr="00AB512D" w:rsidRDefault="00ED6EA5"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2C9" w14:textId="77777777" w:rsidR="00ED6EA5"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Menimo, da ne gre za diskriminatorno izločitev inšpiciranja posameznega področja poslovanja. Davčni organ bo v okviru tega nadzora preverjal posamezna dejanja zavezanca za davek le za določeno področje poslovanja. Ne gre torej za enak obseg nadzora kot pri davčnem inšpekcijskem nadzoru, kjer se nadzira dve ali več področji poslovanja oz. en ali več davkov za eno ali več obdob</w:t>
            </w:r>
            <w:r w:rsidR="00673AE2">
              <w:rPr>
                <w:rFonts w:ascii="Calibri" w:eastAsia="Times New Roman" w:hAnsi="Calibri" w:cs="Arial"/>
                <w:color w:val="000000"/>
                <w:sz w:val="18"/>
                <w:szCs w:val="18"/>
                <w:lang w:eastAsia="sl-SI"/>
              </w:rPr>
              <w:t>ij.</w:t>
            </w:r>
          </w:p>
          <w:p w14:paraId="1448C2CA" w14:textId="77777777" w:rsidR="00673AE2" w:rsidRPr="00AB512D" w:rsidRDefault="00673AE2" w:rsidP="002655FC">
            <w:pPr>
              <w:spacing w:after="0"/>
              <w:rPr>
                <w:rFonts w:ascii="Calibri" w:eastAsia="Times New Roman" w:hAnsi="Calibri" w:cs="Arial"/>
                <w:color w:val="000000"/>
                <w:sz w:val="18"/>
                <w:szCs w:val="18"/>
                <w:lang w:eastAsia="sl-SI"/>
              </w:rPr>
            </w:pPr>
          </w:p>
        </w:tc>
      </w:tr>
      <w:tr w:rsidR="00F85ADF" w:rsidRPr="00AB512D" w14:paraId="1448C2D6" w14:textId="77777777" w:rsidTr="00EC73AA">
        <w:trPr>
          <w:trHeight w:val="960"/>
        </w:trPr>
        <w:tc>
          <w:tcPr>
            <w:tcW w:w="1600" w:type="dxa"/>
            <w:shd w:val="clear" w:color="auto" w:fill="auto"/>
            <w:hideMark/>
          </w:tcPr>
          <w:p w14:paraId="1448C2CC"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CD"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25. členu (130. člen ZDavP-2)</w:t>
            </w:r>
          </w:p>
          <w:p w14:paraId="1448C2CE" w14:textId="77777777" w:rsidR="007932A9" w:rsidRPr="00AB512D" w:rsidRDefault="007932A9"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w:t>
            </w:r>
            <w:r w:rsidR="00C46F16">
              <w:rPr>
                <w:rFonts w:ascii="Calibri" w:eastAsia="Times New Roman" w:hAnsi="Calibri" w:cs="Arial"/>
                <w:color w:val="000000"/>
                <w:sz w:val="18"/>
                <w:szCs w:val="18"/>
                <w:lang w:eastAsia="sl-SI"/>
              </w:rPr>
              <w:t xml:space="preserve">edlog </w:t>
            </w:r>
            <w:r>
              <w:rPr>
                <w:rFonts w:ascii="Calibri" w:eastAsia="Times New Roman" w:hAnsi="Calibri" w:cs="Arial"/>
                <w:color w:val="000000"/>
                <w:sz w:val="18"/>
                <w:szCs w:val="18"/>
                <w:lang w:eastAsia="sl-SI"/>
              </w:rPr>
              <w:t xml:space="preserve"> </w:t>
            </w:r>
            <w:r w:rsidR="00C46F16">
              <w:rPr>
                <w:rFonts w:ascii="Calibri" w:eastAsia="Times New Roman" w:hAnsi="Calibri" w:cs="Arial"/>
                <w:color w:val="000000"/>
                <w:sz w:val="18"/>
                <w:szCs w:val="18"/>
                <w:lang w:eastAsia="sl-SI"/>
              </w:rPr>
              <w:t>za neizločitev</w:t>
            </w:r>
            <w:r w:rsidRPr="00AB512D">
              <w:rPr>
                <w:rFonts w:ascii="Calibri" w:eastAsia="Times New Roman" w:hAnsi="Calibri" w:cs="Arial"/>
                <w:color w:val="000000"/>
                <w:sz w:val="18"/>
                <w:szCs w:val="18"/>
                <w:lang w:eastAsia="sl-SI"/>
              </w:rPr>
              <w:t xml:space="preserve"> delnega inšpekcijskega pregleda iz obstoječega davčnega inšpekcijskega pregleda in s tem odpravo dejanj obvezne izdaje sklepa o začetku davčnega postopka in sklepa o razširitvi predmeta davčnega inšpekcijskega nadzora, ki pomeni poenostavitev le za davčni organ, vendar v škodo davčnih zavezancev, v obliki zmanjšanja obsega instrumentov procesnega varstva.</w:t>
            </w:r>
          </w:p>
        </w:tc>
        <w:tc>
          <w:tcPr>
            <w:tcW w:w="1946" w:type="dxa"/>
            <w:shd w:val="clear" w:color="auto" w:fill="auto"/>
            <w:hideMark/>
          </w:tcPr>
          <w:p w14:paraId="1448C2CF"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2D0" w14:textId="5E1AD778" w:rsidR="00C46F16" w:rsidRDefault="00DD2DA7"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 xml:space="preserve">Povezano s </w:t>
            </w:r>
            <w:r w:rsidR="00B0652B">
              <w:rPr>
                <w:rFonts w:ascii="Calibri" w:eastAsia="Times New Roman" w:hAnsi="Calibri" w:cs="Arial"/>
                <w:color w:val="000000"/>
                <w:sz w:val="18"/>
                <w:szCs w:val="18"/>
                <w:lang w:eastAsia="sl-SI"/>
              </w:rPr>
              <w:t>pripombo</w:t>
            </w:r>
            <w:r w:rsidR="002655FC">
              <w:rPr>
                <w:rFonts w:ascii="Calibri" w:eastAsia="Times New Roman" w:hAnsi="Calibri" w:cs="Arial"/>
                <w:color w:val="000000"/>
                <w:sz w:val="18"/>
                <w:szCs w:val="18"/>
                <w:lang w:eastAsia="sl-SI"/>
              </w:rPr>
              <w:t xml:space="preserve"> glede 127. </w:t>
            </w:r>
            <w:r>
              <w:rPr>
                <w:rFonts w:ascii="Calibri" w:eastAsia="Times New Roman" w:hAnsi="Calibri" w:cs="Arial"/>
                <w:color w:val="000000"/>
                <w:sz w:val="18"/>
                <w:szCs w:val="18"/>
                <w:lang w:eastAsia="sl-SI"/>
              </w:rPr>
              <w:t>č</w:t>
            </w:r>
            <w:r w:rsidR="002655FC">
              <w:rPr>
                <w:rFonts w:ascii="Calibri" w:eastAsia="Times New Roman" w:hAnsi="Calibri" w:cs="Arial"/>
                <w:color w:val="000000"/>
                <w:sz w:val="18"/>
                <w:szCs w:val="18"/>
                <w:lang w:eastAsia="sl-SI"/>
              </w:rPr>
              <w:t>lena.</w:t>
            </w:r>
          </w:p>
          <w:p w14:paraId="1448C2D1" w14:textId="77777777" w:rsidR="00C46F16" w:rsidRPr="00AB512D" w:rsidRDefault="00C46F16" w:rsidP="003C473C">
            <w:pPr>
              <w:spacing w:after="0"/>
              <w:jc w:val="left"/>
              <w:rPr>
                <w:rFonts w:ascii="Calibri" w:eastAsia="Times New Roman" w:hAnsi="Calibri" w:cs="Arial"/>
                <w:color w:val="000000"/>
                <w:sz w:val="18"/>
                <w:szCs w:val="18"/>
                <w:lang w:eastAsia="sl-SI"/>
              </w:rPr>
            </w:pPr>
          </w:p>
        </w:tc>
        <w:tc>
          <w:tcPr>
            <w:tcW w:w="5220" w:type="dxa"/>
            <w:shd w:val="clear" w:color="auto" w:fill="auto"/>
            <w:hideMark/>
          </w:tcPr>
          <w:p w14:paraId="1448C2D2" w14:textId="77777777" w:rsidR="007932A9" w:rsidRDefault="007932A9"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Postopek davčnega inšpekcijskega nadzora po 132. členu je obsežnejši kot postopek nadzora posameznega področja poslovanju po 130. členu, zato so temu prilagojene tudi določbe. Ne gre torej za neenakopravno obravnavanje zavezancev, saj postopkov po 130. in 132. členu ni mogoče enačiti.  </w:t>
            </w:r>
          </w:p>
          <w:p w14:paraId="1448C2D3" w14:textId="77777777" w:rsidR="007932A9" w:rsidRDefault="007932A9" w:rsidP="002655FC">
            <w:pPr>
              <w:spacing w:after="0"/>
              <w:rPr>
                <w:rFonts w:ascii="Calibri" w:eastAsia="Times New Roman" w:hAnsi="Calibri" w:cs="Arial"/>
                <w:color w:val="000000"/>
                <w:sz w:val="18"/>
                <w:szCs w:val="18"/>
                <w:lang w:eastAsia="sl-SI"/>
              </w:rPr>
            </w:pPr>
          </w:p>
          <w:p w14:paraId="1448C2D4" w14:textId="77777777" w:rsidR="007932A9" w:rsidRDefault="007932A9"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Predlagatelj zakona je deloma tudi upošteval prejete pripombe, ki se nanašajo na domnevno zmanjšan obseg pravnega varstva v primeru nadzora posameznega področja poslovanja, tako da je dodana možnost podaljšanja roka za pripombe na zapisnik. Glede na obseg in predmet nadzora menimo, da je zavezancu za davek zagotovljeno ustrezno procesno varstvo.</w:t>
            </w:r>
          </w:p>
          <w:p w14:paraId="1448C2D5" w14:textId="77777777" w:rsidR="00F85ADF" w:rsidRPr="00AB512D" w:rsidRDefault="00F85ADF" w:rsidP="002655FC">
            <w:pPr>
              <w:spacing w:after="0"/>
              <w:rPr>
                <w:rFonts w:ascii="Calibri" w:eastAsia="Times New Roman" w:hAnsi="Calibri" w:cs="Arial"/>
                <w:color w:val="000000"/>
                <w:sz w:val="18"/>
                <w:szCs w:val="18"/>
                <w:lang w:eastAsia="sl-SI"/>
              </w:rPr>
            </w:pPr>
          </w:p>
        </w:tc>
      </w:tr>
      <w:tr w:rsidR="00F85ADF" w:rsidRPr="00AB512D" w14:paraId="1448C2DF" w14:textId="77777777" w:rsidTr="00EC73AA">
        <w:trPr>
          <w:trHeight w:val="285"/>
        </w:trPr>
        <w:tc>
          <w:tcPr>
            <w:tcW w:w="1600" w:type="dxa"/>
            <w:shd w:val="clear" w:color="auto" w:fill="auto"/>
            <w:hideMark/>
          </w:tcPr>
          <w:p w14:paraId="1448C2D7"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D8" w14:textId="77777777" w:rsidR="00F85ADF" w:rsidRDefault="00F85ADF"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26. členu (132. člen ZDavP-2)</w:t>
            </w:r>
          </w:p>
          <w:p w14:paraId="1448C2D9" w14:textId="5496446F" w:rsidR="00B0652B" w:rsidRPr="00AB512D" w:rsidRDefault="00B0652B" w:rsidP="003C473C">
            <w:pPr>
              <w:spacing w:after="0"/>
              <w:rPr>
                <w:rFonts w:ascii="Calibri" w:eastAsia="Times New Roman" w:hAnsi="Calibri" w:cs="Arial"/>
                <w:b/>
                <w:bCs/>
                <w:color w:val="000000"/>
                <w:sz w:val="18"/>
                <w:szCs w:val="18"/>
                <w:lang w:eastAsia="sl-SI"/>
              </w:rPr>
            </w:pPr>
            <w:r>
              <w:rPr>
                <w:rFonts w:ascii="Calibri" w:eastAsia="Times New Roman" w:hAnsi="Calibri" w:cs="Arial"/>
                <w:color w:val="000000"/>
                <w:sz w:val="18"/>
                <w:szCs w:val="18"/>
                <w:lang w:eastAsia="sl-SI"/>
              </w:rPr>
              <w:t xml:space="preserve">Predlog </w:t>
            </w:r>
            <w:r w:rsidRPr="00AB512D">
              <w:rPr>
                <w:rFonts w:ascii="Calibri" w:eastAsia="Times New Roman" w:hAnsi="Calibri" w:cs="Arial"/>
                <w:color w:val="000000"/>
                <w:sz w:val="18"/>
                <w:szCs w:val="18"/>
                <w:lang w:eastAsia="sl-SI"/>
              </w:rPr>
              <w:t xml:space="preserve"> sprememba besedila drugega odstavka 132</w:t>
            </w:r>
            <w:r>
              <w:rPr>
                <w:rFonts w:ascii="Calibri" w:eastAsia="Times New Roman" w:hAnsi="Calibri" w:cs="Arial"/>
                <w:color w:val="000000"/>
                <w:sz w:val="18"/>
                <w:szCs w:val="18"/>
                <w:lang w:eastAsia="sl-SI"/>
              </w:rPr>
              <w:t>.</w:t>
            </w:r>
            <w:r w:rsidR="000B40F9">
              <w:rPr>
                <w:rFonts w:ascii="Calibri" w:eastAsia="Times New Roman" w:hAnsi="Calibri" w:cs="Arial"/>
                <w:color w:val="000000"/>
                <w:sz w:val="18"/>
                <w:szCs w:val="18"/>
                <w:lang w:eastAsia="sl-SI"/>
              </w:rPr>
              <w:t xml:space="preserve"> </w:t>
            </w:r>
            <w:r w:rsidRPr="00AB512D">
              <w:rPr>
                <w:rFonts w:ascii="Calibri" w:eastAsia="Times New Roman" w:hAnsi="Calibri" w:cs="Arial"/>
                <w:color w:val="000000"/>
                <w:sz w:val="18"/>
                <w:szCs w:val="18"/>
                <w:lang w:eastAsia="sl-SI"/>
              </w:rPr>
              <w:t xml:space="preserve">člena </w:t>
            </w:r>
            <w:r w:rsidRPr="00AB512D">
              <w:rPr>
                <w:rFonts w:ascii="Calibri" w:eastAsia="Times New Roman" w:hAnsi="Calibri" w:cs="Arial"/>
                <w:color w:val="000000"/>
                <w:sz w:val="18"/>
                <w:szCs w:val="18"/>
                <w:lang w:eastAsia="sl-SI"/>
              </w:rPr>
              <w:lastRenderedPageBreak/>
              <w:t>ZDavP</w:t>
            </w:r>
            <w:r w:rsidR="000B40F9">
              <w:rPr>
                <w:rFonts w:ascii="Calibri" w:eastAsia="Times New Roman" w:hAnsi="Calibri" w:cs="Arial"/>
                <w:color w:val="000000"/>
                <w:sz w:val="18"/>
                <w:szCs w:val="18"/>
                <w:lang w:eastAsia="sl-SI"/>
              </w:rPr>
              <w:t>-2</w:t>
            </w:r>
            <w:r w:rsidRPr="00AB512D">
              <w:rPr>
                <w:rFonts w:ascii="Calibri" w:eastAsia="Times New Roman" w:hAnsi="Calibri" w:cs="Arial"/>
                <w:color w:val="000000"/>
                <w:sz w:val="18"/>
                <w:szCs w:val="18"/>
                <w:lang w:eastAsia="sl-SI"/>
              </w:rPr>
              <w:t xml:space="preserve"> zaradi obstoja možnosti kršitev ustavno zajamčenih pravic</w:t>
            </w:r>
            <w:r>
              <w:rPr>
                <w:rFonts w:ascii="Calibri" w:eastAsia="Times New Roman" w:hAnsi="Calibri" w:cs="Arial"/>
                <w:color w:val="000000"/>
                <w:sz w:val="18"/>
                <w:szCs w:val="18"/>
                <w:lang w:eastAsia="sl-SI"/>
              </w:rPr>
              <w:t>.</w:t>
            </w:r>
          </w:p>
        </w:tc>
        <w:tc>
          <w:tcPr>
            <w:tcW w:w="1946" w:type="dxa"/>
            <w:shd w:val="clear" w:color="auto" w:fill="auto"/>
            <w:hideMark/>
          </w:tcPr>
          <w:p w14:paraId="1448C2DA"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p w14:paraId="1448C2DB" w14:textId="77777777" w:rsidR="00B0652B" w:rsidRDefault="00B0652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p w14:paraId="1448C2DD" w14:textId="682B9435" w:rsidR="00B0652B" w:rsidRPr="00AB512D" w:rsidRDefault="00B0652B" w:rsidP="000B40F9">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lastRenderedPageBreak/>
              <w:t xml:space="preserve">Besedilo je spremenjeno, </w:t>
            </w:r>
            <w:r w:rsidRPr="00AB512D">
              <w:rPr>
                <w:rFonts w:ascii="Calibri" w:eastAsia="Times New Roman" w:hAnsi="Calibri" w:cs="Arial"/>
                <w:color w:val="000000"/>
                <w:sz w:val="18"/>
                <w:szCs w:val="18"/>
                <w:lang w:eastAsia="sl-SI"/>
              </w:rPr>
              <w:t>tretji  in četrti odstavek pa sta črtana, ker je ta del pokrit že s splošno določbo drugega odstavka.</w:t>
            </w:r>
          </w:p>
        </w:tc>
        <w:tc>
          <w:tcPr>
            <w:tcW w:w="5220" w:type="dxa"/>
            <w:shd w:val="clear" w:color="auto" w:fill="auto"/>
            <w:hideMark/>
          </w:tcPr>
          <w:p w14:paraId="1448C2DE" w14:textId="77777777" w:rsidR="00F85ADF" w:rsidRPr="00AB512D" w:rsidRDefault="00F85ADF" w:rsidP="003C473C">
            <w:pPr>
              <w:spacing w:after="0"/>
              <w:jc w:val="left"/>
              <w:rPr>
                <w:rFonts w:eastAsia="Times New Roman" w:cs="Arial"/>
                <w:color w:val="000000"/>
                <w:sz w:val="18"/>
                <w:szCs w:val="18"/>
                <w:lang w:eastAsia="sl-SI"/>
              </w:rPr>
            </w:pPr>
            <w:r w:rsidRPr="00AB512D">
              <w:rPr>
                <w:rFonts w:eastAsia="Times New Roman" w:cs="Arial"/>
                <w:color w:val="000000"/>
                <w:sz w:val="18"/>
                <w:szCs w:val="18"/>
                <w:lang w:eastAsia="sl-SI"/>
              </w:rPr>
              <w:lastRenderedPageBreak/>
              <w:t> </w:t>
            </w:r>
          </w:p>
        </w:tc>
      </w:tr>
      <w:tr w:rsidR="00F85ADF" w:rsidRPr="00AB512D" w14:paraId="1448C2FD" w14:textId="77777777" w:rsidTr="00EC73AA">
        <w:trPr>
          <w:trHeight w:val="285"/>
        </w:trPr>
        <w:tc>
          <w:tcPr>
            <w:tcW w:w="1600" w:type="dxa"/>
            <w:shd w:val="clear" w:color="auto" w:fill="auto"/>
            <w:hideMark/>
          </w:tcPr>
          <w:p w14:paraId="1448C2E0"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2E1" w14:textId="77777777" w:rsidR="00F85ADF" w:rsidRDefault="00F85ADF"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28. členu (138. člen ZDavP-2)</w:t>
            </w:r>
          </w:p>
          <w:p w14:paraId="1448C2E2" w14:textId="77777777" w:rsidR="00B0652B" w:rsidRPr="00E33AE3" w:rsidRDefault="00B0652B" w:rsidP="003C473C">
            <w:pPr>
              <w:spacing w:after="0"/>
              <w:rPr>
                <w:rFonts w:ascii="Calibri" w:eastAsia="Times New Roman" w:hAnsi="Calibri" w:cs="Arial"/>
                <w:color w:val="000000"/>
                <w:sz w:val="18"/>
                <w:szCs w:val="18"/>
                <w:lang w:eastAsia="sl-SI"/>
              </w:rPr>
            </w:pPr>
            <w:r w:rsidRPr="00E33AE3">
              <w:rPr>
                <w:rFonts w:ascii="Calibri" w:eastAsia="Times New Roman" w:hAnsi="Calibri" w:cs="Arial"/>
                <w:color w:val="000000"/>
                <w:sz w:val="18"/>
                <w:szCs w:val="18"/>
                <w:lang w:eastAsia="sl-SI"/>
              </w:rPr>
              <w:t>Predlog  dopolnitve drugega odstavka 138. člena v povezavi s pridobivanjem podatkov »od tretjih oseb«.</w:t>
            </w:r>
          </w:p>
          <w:p w14:paraId="1448C2E3" w14:textId="77777777" w:rsidR="00240906" w:rsidRDefault="00240906" w:rsidP="003C473C">
            <w:pPr>
              <w:pStyle w:val="ListParagraph"/>
              <w:spacing w:after="0"/>
              <w:rPr>
                <w:rFonts w:ascii="Calibri" w:eastAsia="Times New Roman" w:hAnsi="Calibri" w:cs="Arial"/>
                <w:color w:val="000000"/>
                <w:sz w:val="18"/>
                <w:szCs w:val="18"/>
                <w:lang w:eastAsia="sl-SI"/>
              </w:rPr>
            </w:pPr>
          </w:p>
          <w:p w14:paraId="1448C2E4" w14:textId="77777777" w:rsidR="00240906" w:rsidRDefault="00240906" w:rsidP="003C473C">
            <w:pPr>
              <w:pStyle w:val="ListParagraph"/>
              <w:spacing w:after="0"/>
              <w:rPr>
                <w:rFonts w:ascii="Calibri" w:eastAsia="Times New Roman" w:hAnsi="Calibri" w:cs="Arial"/>
                <w:color w:val="000000"/>
                <w:sz w:val="18"/>
                <w:szCs w:val="18"/>
                <w:lang w:eastAsia="sl-SI"/>
              </w:rPr>
            </w:pPr>
          </w:p>
          <w:p w14:paraId="1448C2E5" w14:textId="77777777" w:rsidR="00673AE2" w:rsidRDefault="00673AE2" w:rsidP="003C473C">
            <w:pPr>
              <w:pStyle w:val="ListParagraph"/>
              <w:spacing w:after="0"/>
              <w:rPr>
                <w:rFonts w:ascii="Calibri" w:eastAsia="Times New Roman" w:hAnsi="Calibri" w:cs="Arial"/>
                <w:color w:val="000000"/>
                <w:sz w:val="18"/>
                <w:szCs w:val="18"/>
                <w:lang w:eastAsia="sl-SI"/>
              </w:rPr>
            </w:pPr>
          </w:p>
          <w:p w14:paraId="1448C2E6" w14:textId="77777777" w:rsidR="00240906" w:rsidRDefault="00240906" w:rsidP="003C473C">
            <w:pPr>
              <w:pStyle w:val="ListParagraph"/>
              <w:spacing w:after="0"/>
              <w:rPr>
                <w:rFonts w:ascii="Calibri" w:eastAsia="Times New Roman" w:hAnsi="Calibri" w:cs="Arial"/>
                <w:color w:val="000000"/>
                <w:sz w:val="18"/>
                <w:szCs w:val="18"/>
                <w:lang w:eastAsia="sl-SI"/>
              </w:rPr>
            </w:pPr>
          </w:p>
          <w:p w14:paraId="1448C2E7" w14:textId="77777777" w:rsidR="00673AE2" w:rsidRDefault="00673AE2" w:rsidP="003C473C">
            <w:pPr>
              <w:spacing w:after="0"/>
              <w:rPr>
                <w:rFonts w:asciiTheme="minorHAnsi" w:hAnsiTheme="minorHAnsi" w:cs="Arial"/>
                <w:b/>
                <w:sz w:val="18"/>
                <w:szCs w:val="18"/>
              </w:rPr>
            </w:pPr>
            <w:r w:rsidRPr="00673AE2">
              <w:rPr>
                <w:rFonts w:asciiTheme="minorHAnsi" w:hAnsiTheme="minorHAnsi" w:cs="Arial"/>
                <w:b/>
                <w:sz w:val="18"/>
                <w:szCs w:val="18"/>
              </w:rPr>
              <w:t>Predlog za spremembo tretjega odstavka 140. člena ZDavP-2</w:t>
            </w:r>
          </w:p>
          <w:p w14:paraId="1448C2E8" w14:textId="77777777" w:rsidR="00240906" w:rsidRPr="00240906" w:rsidRDefault="00240906" w:rsidP="003C473C">
            <w:pPr>
              <w:spacing w:after="0"/>
              <w:rPr>
                <w:rFonts w:ascii="Calibri" w:eastAsia="Times New Roman" w:hAnsi="Calibri" w:cs="Arial"/>
                <w:color w:val="000000"/>
                <w:sz w:val="18"/>
                <w:szCs w:val="18"/>
                <w:lang w:eastAsia="sl-SI"/>
              </w:rPr>
            </w:pPr>
            <w:r w:rsidRPr="00240906">
              <w:rPr>
                <w:rFonts w:ascii="Calibri" w:eastAsia="Times New Roman" w:hAnsi="Calibri" w:cs="Arial"/>
                <w:color w:val="000000"/>
                <w:sz w:val="18"/>
                <w:szCs w:val="18"/>
                <w:lang w:eastAsia="sl-SI"/>
              </w:rPr>
              <w:t>Predlog črtanja določbe tretjega odstavka 140. člena ZDavP-2, s katerim je določeno, da lahko zavezanec za davek v pripombah k zapisniku iz prvega odstavka tega člena predlaga nova dejstva in dokaze, vendar mora obrazložiti, zakaj jih ni navedel že pred izdajo zapisnika.</w:t>
            </w:r>
          </w:p>
          <w:p w14:paraId="1448C2E9" w14:textId="77777777" w:rsidR="00B0652B" w:rsidRDefault="00B0652B" w:rsidP="003C473C">
            <w:pPr>
              <w:pStyle w:val="ListParagraph"/>
              <w:spacing w:after="0"/>
              <w:rPr>
                <w:rFonts w:ascii="Calibri" w:eastAsia="Times New Roman" w:hAnsi="Calibri" w:cs="Arial"/>
                <w:color w:val="000000"/>
                <w:sz w:val="18"/>
                <w:szCs w:val="18"/>
                <w:lang w:eastAsia="sl-SI"/>
              </w:rPr>
            </w:pPr>
          </w:p>
          <w:p w14:paraId="1448C2EA" w14:textId="77777777" w:rsidR="00B0652B" w:rsidRPr="00AB512D" w:rsidRDefault="00B0652B" w:rsidP="003C473C">
            <w:pPr>
              <w:spacing w:after="0"/>
              <w:rPr>
                <w:rFonts w:ascii="Calibri" w:eastAsia="Times New Roman" w:hAnsi="Calibri" w:cs="Arial"/>
                <w:b/>
                <w:bCs/>
                <w:color w:val="000000"/>
                <w:sz w:val="18"/>
                <w:szCs w:val="18"/>
                <w:lang w:eastAsia="sl-SI"/>
              </w:rPr>
            </w:pPr>
          </w:p>
        </w:tc>
        <w:tc>
          <w:tcPr>
            <w:tcW w:w="1946" w:type="dxa"/>
            <w:shd w:val="clear" w:color="auto" w:fill="auto"/>
            <w:hideMark/>
          </w:tcPr>
          <w:p w14:paraId="1448C2EB" w14:textId="77777777" w:rsidR="00F85ADF" w:rsidRDefault="00B0652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Ta del je črtan, saj to ureja že ZFU, obveznost dajanja podatkov pa je predpisana tudi v 39. členu ZDavP-2.</w:t>
            </w:r>
          </w:p>
          <w:p w14:paraId="1448C2EC" w14:textId="77777777" w:rsidR="00240906" w:rsidRDefault="00240906" w:rsidP="003C473C">
            <w:pPr>
              <w:spacing w:after="0"/>
              <w:jc w:val="left"/>
              <w:rPr>
                <w:rFonts w:ascii="Calibri" w:eastAsia="Times New Roman" w:hAnsi="Calibri" w:cs="Arial"/>
                <w:color w:val="000000"/>
                <w:sz w:val="18"/>
                <w:szCs w:val="18"/>
                <w:lang w:eastAsia="sl-SI"/>
              </w:rPr>
            </w:pPr>
          </w:p>
          <w:p w14:paraId="1448C2ED" w14:textId="77777777" w:rsidR="008561D0" w:rsidRDefault="008561D0" w:rsidP="003C473C">
            <w:pPr>
              <w:spacing w:after="0"/>
              <w:jc w:val="left"/>
              <w:rPr>
                <w:rFonts w:ascii="Calibri" w:eastAsia="Times New Roman" w:hAnsi="Calibri" w:cs="Arial"/>
                <w:color w:val="000000"/>
                <w:sz w:val="18"/>
                <w:szCs w:val="18"/>
                <w:lang w:eastAsia="sl-SI"/>
              </w:rPr>
            </w:pPr>
          </w:p>
          <w:p w14:paraId="1448C2EE" w14:textId="77777777" w:rsidR="00673AE2" w:rsidRDefault="00673AE2" w:rsidP="003C473C">
            <w:pPr>
              <w:spacing w:after="0"/>
              <w:jc w:val="left"/>
              <w:rPr>
                <w:rFonts w:ascii="Calibri" w:eastAsia="Times New Roman" w:hAnsi="Calibri" w:cs="Arial"/>
                <w:color w:val="000000"/>
                <w:sz w:val="18"/>
                <w:szCs w:val="18"/>
                <w:lang w:eastAsia="sl-SI"/>
              </w:rPr>
            </w:pPr>
          </w:p>
          <w:p w14:paraId="1448C2EF" w14:textId="77777777" w:rsidR="00240906" w:rsidRPr="00AB512D" w:rsidRDefault="00240906"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2F0" w14:textId="77777777" w:rsidR="00F85ADF" w:rsidRDefault="00F85ADF" w:rsidP="003C473C">
            <w:pPr>
              <w:spacing w:after="0"/>
              <w:jc w:val="left"/>
              <w:rPr>
                <w:rFonts w:eastAsia="Times New Roman" w:cs="Arial"/>
                <w:color w:val="000000"/>
                <w:sz w:val="18"/>
                <w:szCs w:val="18"/>
                <w:lang w:eastAsia="sl-SI"/>
              </w:rPr>
            </w:pPr>
            <w:r w:rsidRPr="00AB512D">
              <w:rPr>
                <w:rFonts w:eastAsia="Times New Roman" w:cs="Arial"/>
                <w:color w:val="000000"/>
                <w:sz w:val="18"/>
                <w:szCs w:val="18"/>
                <w:lang w:eastAsia="sl-SI"/>
              </w:rPr>
              <w:t> </w:t>
            </w:r>
          </w:p>
          <w:p w14:paraId="1448C2F1" w14:textId="77777777" w:rsidR="00240906" w:rsidRDefault="00240906" w:rsidP="003C473C">
            <w:pPr>
              <w:spacing w:after="0"/>
              <w:jc w:val="left"/>
              <w:rPr>
                <w:rFonts w:eastAsia="Times New Roman" w:cs="Arial"/>
                <w:color w:val="000000"/>
                <w:sz w:val="18"/>
                <w:szCs w:val="18"/>
                <w:lang w:eastAsia="sl-SI"/>
              </w:rPr>
            </w:pPr>
          </w:p>
          <w:p w14:paraId="1448C2F2" w14:textId="77777777" w:rsidR="00240906" w:rsidRDefault="00240906" w:rsidP="003C473C">
            <w:pPr>
              <w:spacing w:after="0"/>
              <w:jc w:val="left"/>
              <w:rPr>
                <w:rFonts w:eastAsia="Times New Roman" w:cs="Arial"/>
                <w:color w:val="000000"/>
                <w:sz w:val="18"/>
                <w:szCs w:val="18"/>
                <w:lang w:eastAsia="sl-SI"/>
              </w:rPr>
            </w:pPr>
          </w:p>
          <w:p w14:paraId="1448C2F3" w14:textId="77777777" w:rsidR="00240906" w:rsidRDefault="00240906" w:rsidP="003C473C">
            <w:pPr>
              <w:spacing w:after="0"/>
              <w:jc w:val="left"/>
              <w:rPr>
                <w:rFonts w:eastAsia="Times New Roman" w:cs="Arial"/>
                <w:color w:val="000000"/>
                <w:sz w:val="18"/>
                <w:szCs w:val="18"/>
                <w:lang w:eastAsia="sl-SI"/>
              </w:rPr>
            </w:pPr>
          </w:p>
          <w:p w14:paraId="1448C2F4" w14:textId="77777777" w:rsidR="00240906" w:rsidRDefault="00240906" w:rsidP="003C473C">
            <w:pPr>
              <w:spacing w:after="0"/>
              <w:jc w:val="left"/>
              <w:rPr>
                <w:rFonts w:eastAsia="Times New Roman" w:cs="Arial"/>
                <w:color w:val="000000"/>
                <w:sz w:val="18"/>
                <w:szCs w:val="18"/>
                <w:lang w:eastAsia="sl-SI"/>
              </w:rPr>
            </w:pPr>
          </w:p>
          <w:p w14:paraId="1448C2F5" w14:textId="77777777" w:rsidR="00240906" w:rsidRDefault="00240906" w:rsidP="003C473C">
            <w:pPr>
              <w:spacing w:after="0"/>
              <w:jc w:val="left"/>
              <w:rPr>
                <w:rFonts w:eastAsia="Times New Roman" w:cs="Arial"/>
                <w:color w:val="000000"/>
                <w:sz w:val="18"/>
                <w:szCs w:val="18"/>
                <w:lang w:eastAsia="sl-SI"/>
              </w:rPr>
            </w:pPr>
          </w:p>
          <w:p w14:paraId="1448C2F6" w14:textId="77777777" w:rsidR="00240906" w:rsidRDefault="00240906" w:rsidP="003C473C">
            <w:pPr>
              <w:spacing w:after="0"/>
              <w:jc w:val="left"/>
              <w:rPr>
                <w:rFonts w:eastAsia="Times New Roman" w:cs="Arial"/>
                <w:color w:val="000000"/>
                <w:sz w:val="18"/>
                <w:szCs w:val="18"/>
                <w:lang w:eastAsia="sl-SI"/>
              </w:rPr>
            </w:pPr>
          </w:p>
          <w:p w14:paraId="5E07EC59" w14:textId="77777777" w:rsidR="000B40F9" w:rsidRDefault="000B40F9" w:rsidP="002655FC">
            <w:pPr>
              <w:spacing w:after="0"/>
              <w:rPr>
                <w:rFonts w:ascii="Calibri" w:eastAsia="Times New Roman" w:hAnsi="Calibri" w:cs="Arial"/>
                <w:color w:val="000000"/>
                <w:sz w:val="18"/>
                <w:szCs w:val="18"/>
                <w:lang w:eastAsia="sl-SI"/>
              </w:rPr>
            </w:pPr>
          </w:p>
          <w:p w14:paraId="1448C2F8" w14:textId="77777777" w:rsidR="00240906" w:rsidRPr="00673AE2" w:rsidRDefault="00240906" w:rsidP="002655FC">
            <w:pPr>
              <w:spacing w:after="0"/>
              <w:rPr>
                <w:rFonts w:asciiTheme="minorHAnsi" w:eastAsia="Times New Roman" w:hAnsiTheme="minorHAnsi" w:cs="Arial"/>
                <w:color w:val="000000"/>
                <w:sz w:val="18"/>
                <w:szCs w:val="18"/>
                <w:lang w:eastAsia="sl-SI"/>
              </w:rPr>
            </w:pPr>
            <w:r w:rsidRPr="00AB512D">
              <w:rPr>
                <w:rFonts w:ascii="Calibri" w:eastAsia="Times New Roman" w:hAnsi="Calibri" w:cs="Arial"/>
                <w:color w:val="000000"/>
                <w:sz w:val="18"/>
                <w:szCs w:val="18"/>
                <w:lang w:eastAsia="sl-SI"/>
              </w:rPr>
              <w:t xml:space="preserve">Določba, katere črtanje se predlaga, je bila v zakon vključena z novelo </w:t>
            </w:r>
            <w:r w:rsidRPr="00673AE2">
              <w:rPr>
                <w:rFonts w:asciiTheme="minorHAnsi" w:eastAsia="Times New Roman" w:hAnsiTheme="minorHAnsi" w:cs="Arial"/>
                <w:color w:val="000000"/>
                <w:sz w:val="18"/>
                <w:szCs w:val="18"/>
                <w:lang w:eastAsia="sl-SI"/>
              </w:rPr>
              <w:t>ZDavP-2G, in sicer zaradi ugotovitev davčnega organa iz prakse.  Ugotovljeno je namreč bilo, da so zavezanci za davek  pogosto predlagali listine in druge dokaze šele v pripombah na zapisnik in ne v postopku pred izdajo zapisnika, čeprav bi to lahko storili. Večinoma je šlo za dokaze, ki jih je davčni organ zahteval že pred izdajo zapisnika in so v tem času že obstajali. Na ta način so se po nepotrebnem zavlačevali postopki davčnega inšpekcijskega nadzora.</w:t>
            </w:r>
          </w:p>
          <w:p w14:paraId="1448C2F9" w14:textId="77777777" w:rsidR="00673AE2" w:rsidRPr="00673AE2" w:rsidRDefault="00673AE2" w:rsidP="002655FC">
            <w:pPr>
              <w:spacing w:after="0"/>
              <w:rPr>
                <w:rFonts w:asciiTheme="minorHAnsi" w:eastAsia="Times New Roman" w:hAnsiTheme="minorHAnsi" w:cs="Arial"/>
                <w:color w:val="000000"/>
                <w:sz w:val="18"/>
                <w:szCs w:val="18"/>
                <w:lang w:eastAsia="sl-SI"/>
              </w:rPr>
            </w:pPr>
          </w:p>
          <w:p w14:paraId="1448C2FA" w14:textId="77777777" w:rsidR="00673AE2" w:rsidRPr="00673AE2" w:rsidRDefault="00673AE2" w:rsidP="002655FC">
            <w:pPr>
              <w:spacing w:after="0"/>
              <w:rPr>
                <w:rFonts w:asciiTheme="minorHAnsi" w:eastAsia="Times New Roman" w:hAnsiTheme="minorHAnsi" w:cs="Arial"/>
                <w:color w:val="000000"/>
                <w:sz w:val="18"/>
                <w:szCs w:val="18"/>
                <w:lang w:eastAsia="sl-SI"/>
              </w:rPr>
            </w:pPr>
            <w:r w:rsidRPr="00673AE2">
              <w:rPr>
                <w:rFonts w:asciiTheme="minorHAnsi" w:eastAsia="Times New Roman" w:hAnsiTheme="minorHAnsi" w:cs="Arial"/>
                <w:color w:val="000000"/>
                <w:sz w:val="18"/>
                <w:szCs w:val="18"/>
                <w:lang w:eastAsia="sl-SI"/>
              </w:rPr>
              <w:t>Menimo, da davčnemu zavezancu ni kršena pravica do zaslišanja oz. pravica, da se izjavi o vseh dejstvih in okoliščinah, ki so pomembne za odločbo. Davčni zavezanec ima namreč možnost sodelovati pri davčnem inšpekcijskem nadzoru, predlagati dejstva in dokaze ter se izjaviti o dejstvih in okoliščinah že pred samo izdajo zapisnika, davčni organ pa upošteva tudi tista dejstva in dokaze, ki jih zavezanec predlaga v pripombah k zapisniku, če ima zavezanec upravičene razloge za to, da jih ni navedel že pred izdajo zapisnika.</w:t>
            </w:r>
          </w:p>
          <w:p w14:paraId="1448C2FB" w14:textId="77777777" w:rsidR="00673AE2" w:rsidRPr="00673AE2" w:rsidRDefault="00673AE2" w:rsidP="002655FC">
            <w:pPr>
              <w:spacing w:after="0"/>
              <w:rPr>
                <w:rFonts w:asciiTheme="minorHAnsi" w:eastAsia="Times New Roman" w:hAnsiTheme="minorHAnsi" w:cs="Arial"/>
                <w:color w:val="000000"/>
                <w:sz w:val="18"/>
                <w:szCs w:val="18"/>
                <w:lang w:eastAsia="sl-SI"/>
              </w:rPr>
            </w:pPr>
          </w:p>
          <w:p w14:paraId="1448C2FC" w14:textId="77777777" w:rsidR="00673AE2" w:rsidRPr="00AB512D" w:rsidRDefault="00673AE2" w:rsidP="002655FC">
            <w:pPr>
              <w:spacing w:after="0"/>
              <w:rPr>
                <w:rFonts w:eastAsia="Times New Roman" w:cs="Arial"/>
                <w:color w:val="000000"/>
                <w:sz w:val="18"/>
                <w:szCs w:val="18"/>
                <w:lang w:eastAsia="sl-SI"/>
              </w:rPr>
            </w:pPr>
            <w:r w:rsidRPr="00673AE2">
              <w:rPr>
                <w:rFonts w:asciiTheme="minorHAnsi" w:hAnsiTheme="minorHAnsi" w:cs="Arial"/>
                <w:sz w:val="18"/>
                <w:szCs w:val="18"/>
              </w:rPr>
              <w:t xml:space="preserve">Glede na navedeno menimo, da je predlog neutemeljen, saj veljavna ureditev v 140. členu ZDavP-2 smiselno sledi ureditvi ZUP ter nikakor ne zmanjšuje pravne varnosti zavezanca za davek. </w:t>
            </w:r>
          </w:p>
        </w:tc>
      </w:tr>
      <w:tr w:rsidR="00F85ADF" w:rsidRPr="00AB512D" w14:paraId="1448C30C" w14:textId="77777777" w:rsidTr="00EC73AA">
        <w:trPr>
          <w:trHeight w:val="285"/>
        </w:trPr>
        <w:tc>
          <w:tcPr>
            <w:tcW w:w="1600" w:type="dxa"/>
            <w:shd w:val="clear" w:color="auto" w:fill="auto"/>
            <w:hideMark/>
          </w:tcPr>
          <w:p w14:paraId="1448C2FE" w14:textId="77777777" w:rsidR="00F85ADF" w:rsidRPr="00673AE2" w:rsidRDefault="00F85ADF" w:rsidP="003C473C">
            <w:pPr>
              <w:spacing w:after="0"/>
              <w:jc w:val="left"/>
              <w:rPr>
                <w:rFonts w:ascii="Calibri" w:eastAsia="Times New Roman" w:hAnsi="Calibri" w:cs="Arial"/>
                <w:b/>
                <w:color w:val="000000"/>
                <w:sz w:val="20"/>
                <w:szCs w:val="20"/>
                <w:lang w:eastAsia="sl-SI"/>
              </w:rPr>
            </w:pPr>
            <w:r w:rsidRPr="00673AE2">
              <w:rPr>
                <w:rFonts w:ascii="Calibri" w:eastAsia="Times New Roman" w:hAnsi="Calibri" w:cs="Arial"/>
                <w:b/>
                <w:color w:val="000000"/>
                <w:sz w:val="20"/>
                <w:szCs w:val="20"/>
                <w:lang w:eastAsia="sl-SI"/>
              </w:rPr>
              <w:t>Zbornica davčnih svetovalcev Slovenije</w:t>
            </w:r>
          </w:p>
        </w:tc>
        <w:tc>
          <w:tcPr>
            <w:tcW w:w="4794" w:type="dxa"/>
            <w:shd w:val="clear" w:color="auto" w:fill="auto"/>
            <w:hideMark/>
          </w:tcPr>
          <w:p w14:paraId="1448C2FF"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3. členu (13. člen ZDavP-2)</w:t>
            </w:r>
          </w:p>
          <w:p w14:paraId="1448C300" w14:textId="77777777" w:rsidR="00673AE2" w:rsidRPr="00AB512D" w:rsidRDefault="00673AE2"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ohranitve veljavnega dosedanjega besedila 13. člena in dopolnitev člena z dodanim novim drugim odstavkom, da se navodila in pojasnila objavijo na spletnih straneh izdajatelja</w:t>
            </w:r>
          </w:p>
        </w:tc>
        <w:tc>
          <w:tcPr>
            <w:tcW w:w="1946" w:type="dxa"/>
            <w:shd w:val="clear" w:color="auto" w:fill="auto"/>
            <w:hideMark/>
          </w:tcPr>
          <w:p w14:paraId="1448C301"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302" w14:textId="77777777" w:rsidR="00673AE2" w:rsidRPr="00AB512D" w:rsidRDefault="00673AE2"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303" w14:textId="77777777" w:rsidR="00F85ADF" w:rsidRDefault="00673AE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Obveznost uslužbencev davčnega organa, da ravnajo v skladu z navodili, izhaja že iz Zakona o javnih uslužbencih, zato menimo, da določitev te obveznosti tudi v ZDavP-2 ni potrebna in ne bi prispevala k večji preglednosti in izboljšani pravni varnosti davčnih zavezancev.</w:t>
            </w:r>
          </w:p>
          <w:p w14:paraId="1448C304" w14:textId="77777777" w:rsidR="00673AE2" w:rsidRDefault="00673AE2" w:rsidP="002655FC">
            <w:pPr>
              <w:spacing w:after="0"/>
              <w:rPr>
                <w:rFonts w:ascii="Calibri" w:eastAsia="Times New Roman" w:hAnsi="Calibri" w:cs="Arial"/>
                <w:color w:val="000000"/>
                <w:sz w:val="18"/>
                <w:szCs w:val="18"/>
                <w:lang w:eastAsia="sl-SI"/>
              </w:rPr>
            </w:pPr>
          </w:p>
          <w:p w14:paraId="1448C305" w14:textId="77777777" w:rsidR="00673AE2" w:rsidRDefault="00673AE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Navodila, ki jih nadrejeni upravni organ oblikuje za usmerjanje delovanja nižjih upravnih organov, nimajo neposrednega (zunanjega) učinka nasproti tretjim osebam, zato tretja oseba zoper njih tudi ni upravičena sprožiti pravnega varstva. Gre torej za akte uprave z internim učinkovanjem, ki so izdani s strani pristojnega upravnega organa in so namenjeni usmerjanju delovanja podrejenega organa (povzeto po: Upravno procesno pravo: upravni postopek in upravni spor/Vilko Androjna, Erik Kerševan. – Predelana in dopolnjena izd. – Ljubljana: GV Založba, 2006, str. 116, 117).</w:t>
            </w:r>
          </w:p>
          <w:p w14:paraId="1448C306" w14:textId="77777777" w:rsidR="00673AE2" w:rsidRDefault="00673AE2" w:rsidP="002655FC">
            <w:pPr>
              <w:spacing w:after="0"/>
              <w:rPr>
                <w:rFonts w:ascii="Calibri" w:eastAsia="Times New Roman" w:hAnsi="Calibri" w:cs="Arial"/>
                <w:color w:val="000000"/>
                <w:sz w:val="18"/>
                <w:szCs w:val="18"/>
                <w:lang w:eastAsia="sl-SI"/>
              </w:rPr>
            </w:pPr>
          </w:p>
          <w:p w14:paraId="1448C307" w14:textId="77777777" w:rsidR="00673AE2" w:rsidRDefault="00673AE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Sicer pa je v skladu z določbami ZDavP-2 davčni organ v davčnem postopku zavezan načelu zakonitosti in mora odločati v okviru in na podlagi mednarodnih pogodb, ki obvezujejo Republiko Slovenijo, zakonov in splošnih aktov po ZDavP-2, ZFU ali zakonu o obdavčenju, prav tako pa davčni organ tudi ne sme postopati pristransko.</w:t>
            </w:r>
          </w:p>
          <w:p w14:paraId="1448C308" w14:textId="77777777" w:rsidR="00673AE2" w:rsidRDefault="00673AE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V kolikor davčni zavezanec meni, da davčni organ v konkretnem primeru ni ravnal zakonito, so v ta namen predvidena pravna sredstva zoper konkretni upravni akt (odločbo, sklep).</w:t>
            </w:r>
          </w:p>
          <w:p w14:paraId="1448C309" w14:textId="77777777" w:rsidR="008821CB" w:rsidRDefault="008821CB" w:rsidP="002655FC">
            <w:pPr>
              <w:spacing w:after="0"/>
              <w:rPr>
                <w:rFonts w:ascii="Calibri" w:eastAsia="Times New Roman" w:hAnsi="Calibri" w:cs="Arial"/>
                <w:color w:val="000000"/>
                <w:sz w:val="18"/>
                <w:szCs w:val="18"/>
                <w:lang w:eastAsia="sl-SI"/>
              </w:rPr>
            </w:pPr>
          </w:p>
          <w:p w14:paraId="1448C30A" w14:textId="77777777" w:rsidR="008821CB" w:rsidRDefault="008821CB"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V predlogu zakona je določeno, da se pojasnila objavijo na spletni strani izdajatelja.</w:t>
            </w:r>
          </w:p>
          <w:p w14:paraId="1448C30B" w14:textId="77777777" w:rsidR="00673AE2" w:rsidRPr="00AB512D" w:rsidRDefault="00673AE2" w:rsidP="002655FC">
            <w:pPr>
              <w:spacing w:after="0"/>
              <w:rPr>
                <w:rFonts w:ascii="Calibri" w:eastAsia="Times New Roman" w:hAnsi="Calibri" w:cs="Arial"/>
                <w:color w:val="000000"/>
                <w:sz w:val="18"/>
                <w:szCs w:val="18"/>
                <w:lang w:eastAsia="sl-SI"/>
              </w:rPr>
            </w:pPr>
          </w:p>
        </w:tc>
      </w:tr>
      <w:tr w:rsidR="00F85ADF" w:rsidRPr="00AB512D" w14:paraId="1448C325" w14:textId="77777777" w:rsidTr="00EC73AA">
        <w:trPr>
          <w:trHeight w:val="1200"/>
        </w:trPr>
        <w:tc>
          <w:tcPr>
            <w:tcW w:w="1600" w:type="dxa"/>
            <w:shd w:val="clear" w:color="auto" w:fill="auto"/>
            <w:hideMark/>
          </w:tcPr>
          <w:p w14:paraId="1448C30D"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30E" w14:textId="77777777" w:rsidR="008821CB" w:rsidRDefault="008821CB" w:rsidP="003C473C">
            <w:pPr>
              <w:spacing w:after="0"/>
              <w:rPr>
                <w:rFonts w:asciiTheme="minorHAnsi" w:hAnsiTheme="minorHAnsi" w:cs="Arial"/>
                <w:b/>
                <w:sz w:val="18"/>
                <w:szCs w:val="18"/>
              </w:rPr>
            </w:pPr>
            <w:r w:rsidRPr="008821CB">
              <w:rPr>
                <w:rFonts w:asciiTheme="minorHAnsi" w:hAnsiTheme="minorHAnsi" w:cs="Arial"/>
                <w:b/>
                <w:sz w:val="18"/>
                <w:szCs w:val="18"/>
              </w:rPr>
              <w:t>K 4. členu (novi 14.a do 14.h člen ZDavP-2)</w:t>
            </w:r>
          </w:p>
          <w:p w14:paraId="1448C30F" w14:textId="77777777" w:rsidR="00F85ADF" w:rsidRDefault="008821CB" w:rsidP="003C473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glede določitve roka (v 14.a oziroma v 14. b členu), v katerem je davčni organ dolžan odgovoriti davčnemu zavezancu na njegovo pisno vlogo in opredelitve do kdaj je davčni zavezanec za vsako leto trajanja sporazuma dolžan davčni organ obvestiti o veljavnosti kritičnih predpostavk in o opravljenih prilagoditvah.</w:t>
            </w:r>
          </w:p>
          <w:p w14:paraId="1448C310" w14:textId="77777777" w:rsidR="008821CB" w:rsidRDefault="008821CB" w:rsidP="003C473C">
            <w:pPr>
              <w:spacing w:after="0"/>
              <w:rPr>
                <w:rFonts w:ascii="Calibri" w:eastAsia="Times New Roman" w:hAnsi="Calibri" w:cs="Arial"/>
                <w:color w:val="000000"/>
                <w:sz w:val="18"/>
                <w:szCs w:val="18"/>
                <w:lang w:eastAsia="sl-SI"/>
              </w:rPr>
            </w:pPr>
          </w:p>
          <w:p w14:paraId="1448C311" w14:textId="77777777" w:rsidR="008821CB" w:rsidRDefault="008821CB" w:rsidP="003C473C">
            <w:pPr>
              <w:pStyle w:val="ListParagraph"/>
              <w:numPr>
                <w:ilvl w:val="0"/>
                <w:numId w:val="8"/>
              </w:numPr>
              <w:spacing w:after="0"/>
              <w:rPr>
                <w:rFonts w:ascii="Calibri" w:eastAsia="Times New Roman" w:hAnsi="Calibri" w:cs="Arial"/>
                <w:color w:val="000000"/>
                <w:sz w:val="18"/>
                <w:szCs w:val="18"/>
                <w:lang w:eastAsia="sl-SI"/>
              </w:rPr>
            </w:pPr>
            <w:r w:rsidRPr="008821CB">
              <w:rPr>
                <w:rFonts w:ascii="Calibri" w:eastAsia="Times New Roman" w:hAnsi="Calibri" w:cs="Arial"/>
                <w:color w:val="000000"/>
                <w:sz w:val="18"/>
                <w:szCs w:val="18"/>
                <w:lang w:eastAsia="sl-SI"/>
              </w:rPr>
              <w:t xml:space="preserve">predlog spremembe </w:t>
            </w:r>
            <w:r w:rsidR="00E33AE3">
              <w:rPr>
                <w:rFonts w:ascii="Calibri" w:eastAsia="Times New Roman" w:hAnsi="Calibri" w:cs="Arial"/>
                <w:color w:val="000000"/>
                <w:sz w:val="18"/>
                <w:szCs w:val="18"/>
                <w:lang w:eastAsia="sl-SI"/>
              </w:rPr>
              <w:t>1</w:t>
            </w:r>
            <w:r w:rsidRPr="008821CB">
              <w:rPr>
                <w:rFonts w:ascii="Calibri" w:eastAsia="Times New Roman" w:hAnsi="Calibri" w:cs="Arial"/>
                <w:color w:val="000000"/>
                <w:sz w:val="18"/>
                <w:szCs w:val="18"/>
                <w:lang w:eastAsia="sl-SI"/>
              </w:rPr>
              <w:t>4.c člena</w:t>
            </w:r>
          </w:p>
          <w:p w14:paraId="62BB1476" w14:textId="77777777" w:rsidR="006D149F" w:rsidRDefault="006D149F" w:rsidP="00BD50C7">
            <w:pPr>
              <w:pStyle w:val="ListParagraph"/>
              <w:spacing w:after="0"/>
              <w:rPr>
                <w:rFonts w:ascii="Calibri" w:eastAsia="Times New Roman" w:hAnsi="Calibri" w:cs="Arial"/>
                <w:color w:val="000000"/>
                <w:sz w:val="18"/>
                <w:szCs w:val="18"/>
                <w:lang w:eastAsia="sl-SI"/>
              </w:rPr>
            </w:pPr>
          </w:p>
          <w:p w14:paraId="1448C312" w14:textId="77777777" w:rsidR="008821CB" w:rsidRPr="008821CB" w:rsidRDefault="008821CB" w:rsidP="003C473C">
            <w:pPr>
              <w:pStyle w:val="ListParagraph"/>
              <w:numPr>
                <w:ilvl w:val="0"/>
                <w:numId w:val="8"/>
              </w:num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spremembe besedila 14.g člena</w:t>
            </w:r>
          </w:p>
          <w:p w14:paraId="1448C313" w14:textId="77777777" w:rsidR="008821CB" w:rsidRPr="00AB512D" w:rsidRDefault="008821CB" w:rsidP="003C473C">
            <w:pPr>
              <w:spacing w:after="0"/>
              <w:rPr>
                <w:rFonts w:ascii="Calibri" w:eastAsia="Times New Roman" w:hAnsi="Calibri" w:cs="Arial"/>
                <w:color w:val="000000"/>
                <w:sz w:val="18"/>
                <w:szCs w:val="18"/>
                <w:lang w:eastAsia="sl-SI"/>
              </w:rPr>
            </w:pPr>
          </w:p>
        </w:tc>
        <w:tc>
          <w:tcPr>
            <w:tcW w:w="1946" w:type="dxa"/>
            <w:shd w:val="clear" w:color="auto" w:fill="auto"/>
            <w:hideMark/>
          </w:tcPr>
          <w:p w14:paraId="1448C314" w14:textId="77777777" w:rsidR="00E33AE3" w:rsidRDefault="00E33AE3" w:rsidP="003C473C">
            <w:pPr>
              <w:spacing w:after="0"/>
              <w:jc w:val="left"/>
              <w:rPr>
                <w:rFonts w:ascii="Calibri" w:eastAsia="Times New Roman" w:hAnsi="Calibri" w:cs="Arial"/>
                <w:color w:val="000000"/>
                <w:sz w:val="18"/>
                <w:szCs w:val="18"/>
                <w:lang w:eastAsia="sl-SI"/>
              </w:rPr>
            </w:pPr>
          </w:p>
          <w:p w14:paraId="1448C315" w14:textId="32C49355" w:rsidR="00F85ADF" w:rsidRPr="00914FCB" w:rsidRDefault="00914FCB" w:rsidP="003C473C">
            <w:pPr>
              <w:spacing w:after="0"/>
              <w:jc w:val="left"/>
              <w:rPr>
                <w:rFonts w:ascii="Calibri" w:eastAsia="Times New Roman" w:hAnsi="Calibri" w:cs="Arial"/>
                <w:color w:val="FF0000"/>
                <w:sz w:val="18"/>
                <w:szCs w:val="18"/>
                <w:lang w:eastAsia="sl-SI"/>
              </w:rPr>
            </w:pPr>
            <w:r w:rsidRPr="00914FCB">
              <w:rPr>
                <w:rFonts w:ascii="Calibri" w:eastAsia="Times New Roman" w:hAnsi="Calibri" w:cs="Arial"/>
                <w:color w:val="FF0000"/>
                <w:sz w:val="18"/>
                <w:szCs w:val="18"/>
                <w:lang w:eastAsia="sl-SI"/>
              </w:rPr>
              <w:t>Popravljena določba</w:t>
            </w:r>
          </w:p>
          <w:p w14:paraId="1448C316" w14:textId="77777777" w:rsidR="008821CB" w:rsidRDefault="008821CB" w:rsidP="003C473C">
            <w:pPr>
              <w:spacing w:after="0"/>
              <w:jc w:val="left"/>
              <w:rPr>
                <w:rFonts w:ascii="Calibri" w:eastAsia="Times New Roman" w:hAnsi="Calibri" w:cs="Arial"/>
                <w:color w:val="000000"/>
                <w:sz w:val="18"/>
                <w:szCs w:val="18"/>
                <w:lang w:eastAsia="sl-SI"/>
              </w:rPr>
            </w:pPr>
          </w:p>
          <w:p w14:paraId="1448C317" w14:textId="77777777" w:rsidR="008821CB" w:rsidRDefault="008821CB" w:rsidP="003C473C">
            <w:pPr>
              <w:spacing w:after="0"/>
              <w:jc w:val="left"/>
              <w:rPr>
                <w:rFonts w:ascii="Calibri" w:eastAsia="Times New Roman" w:hAnsi="Calibri" w:cs="Arial"/>
                <w:color w:val="000000"/>
                <w:sz w:val="18"/>
                <w:szCs w:val="18"/>
                <w:lang w:eastAsia="sl-SI"/>
              </w:rPr>
            </w:pPr>
          </w:p>
          <w:p w14:paraId="1448C318" w14:textId="77777777" w:rsidR="008821CB" w:rsidRDefault="008821CB" w:rsidP="003C473C">
            <w:pPr>
              <w:spacing w:after="0"/>
              <w:jc w:val="left"/>
              <w:rPr>
                <w:rFonts w:ascii="Calibri" w:eastAsia="Times New Roman" w:hAnsi="Calibri" w:cs="Arial"/>
                <w:color w:val="000000"/>
                <w:sz w:val="18"/>
                <w:szCs w:val="18"/>
                <w:lang w:eastAsia="sl-SI"/>
              </w:rPr>
            </w:pPr>
          </w:p>
          <w:p w14:paraId="1448C319" w14:textId="77777777" w:rsidR="008821CB" w:rsidRDefault="008821CB" w:rsidP="003C473C">
            <w:pPr>
              <w:spacing w:after="0"/>
              <w:jc w:val="left"/>
              <w:rPr>
                <w:rFonts w:ascii="Calibri" w:eastAsia="Times New Roman" w:hAnsi="Calibri" w:cs="Arial"/>
                <w:color w:val="000000"/>
                <w:sz w:val="18"/>
                <w:szCs w:val="18"/>
                <w:lang w:eastAsia="sl-SI"/>
              </w:rPr>
            </w:pPr>
          </w:p>
          <w:p w14:paraId="1448C31A" w14:textId="77777777" w:rsidR="008821CB" w:rsidRDefault="008821CB" w:rsidP="003C473C">
            <w:pPr>
              <w:spacing w:after="0"/>
              <w:jc w:val="left"/>
              <w:rPr>
                <w:rFonts w:ascii="Calibri" w:eastAsia="Times New Roman" w:hAnsi="Calibri" w:cs="Arial"/>
                <w:color w:val="000000"/>
                <w:sz w:val="18"/>
                <w:szCs w:val="18"/>
                <w:lang w:eastAsia="sl-SI"/>
              </w:rPr>
            </w:pPr>
          </w:p>
          <w:p w14:paraId="1448C31B" w14:textId="77777777" w:rsidR="008821CB" w:rsidRDefault="008821CB" w:rsidP="003C473C">
            <w:pPr>
              <w:spacing w:after="0"/>
              <w:jc w:val="left"/>
              <w:rPr>
                <w:rFonts w:ascii="Calibri" w:eastAsia="Times New Roman" w:hAnsi="Calibri" w:cs="Arial"/>
                <w:color w:val="000000"/>
                <w:sz w:val="18"/>
                <w:szCs w:val="18"/>
                <w:lang w:eastAsia="sl-SI"/>
              </w:rPr>
            </w:pPr>
          </w:p>
          <w:p w14:paraId="1448C31C" w14:textId="77777777" w:rsidR="008821CB" w:rsidRDefault="008821C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p w14:paraId="15913843" w14:textId="77777777" w:rsidR="006D149F" w:rsidRDefault="006D149F" w:rsidP="003C473C">
            <w:pPr>
              <w:spacing w:after="0"/>
              <w:jc w:val="left"/>
              <w:rPr>
                <w:rFonts w:ascii="Calibri" w:eastAsia="Times New Roman" w:hAnsi="Calibri" w:cs="Arial"/>
                <w:color w:val="000000"/>
                <w:sz w:val="18"/>
                <w:szCs w:val="18"/>
                <w:lang w:eastAsia="sl-SI"/>
              </w:rPr>
            </w:pPr>
          </w:p>
          <w:p w14:paraId="1448C31D" w14:textId="77777777" w:rsidR="008821CB" w:rsidRPr="00AB512D" w:rsidRDefault="008821C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31F" w14:textId="77777777" w:rsidR="008821CB" w:rsidRDefault="008821CB" w:rsidP="002655FC">
            <w:pPr>
              <w:spacing w:after="0"/>
              <w:rPr>
                <w:rFonts w:ascii="Calibri" w:eastAsia="Times New Roman" w:hAnsi="Calibri" w:cs="Arial"/>
                <w:color w:val="000000"/>
                <w:sz w:val="18"/>
                <w:szCs w:val="18"/>
                <w:lang w:eastAsia="sl-SI"/>
              </w:rPr>
            </w:pPr>
          </w:p>
          <w:p w14:paraId="1448C320" w14:textId="77777777" w:rsidR="008821CB" w:rsidRDefault="008821CB" w:rsidP="002655FC">
            <w:pPr>
              <w:spacing w:after="0"/>
              <w:rPr>
                <w:rFonts w:ascii="Calibri" w:eastAsia="Times New Roman" w:hAnsi="Calibri" w:cs="Arial"/>
                <w:color w:val="000000"/>
                <w:sz w:val="18"/>
                <w:szCs w:val="18"/>
                <w:lang w:eastAsia="sl-SI"/>
              </w:rPr>
            </w:pPr>
          </w:p>
          <w:p w14:paraId="1448C321" w14:textId="77777777" w:rsidR="008821CB" w:rsidRDefault="008821CB" w:rsidP="002655FC">
            <w:pPr>
              <w:spacing w:after="0"/>
              <w:rPr>
                <w:rFonts w:ascii="Calibri" w:eastAsia="Times New Roman" w:hAnsi="Calibri" w:cs="Arial"/>
                <w:color w:val="000000"/>
                <w:sz w:val="18"/>
                <w:szCs w:val="18"/>
                <w:lang w:eastAsia="sl-SI"/>
              </w:rPr>
            </w:pPr>
          </w:p>
          <w:p w14:paraId="392C5A1D" w14:textId="77777777" w:rsidR="00613DA3" w:rsidRDefault="00613DA3" w:rsidP="002655FC">
            <w:pPr>
              <w:spacing w:after="0"/>
              <w:rPr>
                <w:rFonts w:ascii="Calibri" w:eastAsia="Times New Roman" w:hAnsi="Calibri" w:cs="Arial"/>
                <w:color w:val="000000"/>
                <w:sz w:val="18"/>
                <w:szCs w:val="18"/>
                <w:lang w:eastAsia="sl-SI"/>
              </w:rPr>
            </w:pPr>
          </w:p>
          <w:p w14:paraId="4561702D" w14:textId="77777777" w:rsidR="00613DA3" w:rsidRDefault="00613DA3" w:rsidP="002655FC">
            <w:pPr>
              <w:spacing w:after="0"/>
              <w:rPr>
                <w:rFonts w:ascii="Calibri" w:eastAsia="Times New Roman" w:hAnsi="Calibri" w:cs="Arial"/>
                <w:color w:val="000000"/>
                <w:sz w:val="18"/>
                <w:szCs w:val="18"/>
                <w:lang w:eastAsia="sl-SI"/>
              </w:rPr>
            </w:pPr>
          </w:p>
          <w:p w14:paraId="461954C6" w14:textId="77777777" w:rsidR="00613DA3" w:rsidRDefault="00613DA3" w:rsidP="002655FC">
            <w:pPr>
              <w:spacing w:after="0"/>
              <w:rPr>
                <w:rFonts w:ascii="Calibri" w:eastAsia="Times New Roman" w:hAnsi="Calibri" w:cs="Arial"/>
                <w:color w:val="000000"/>
                <w:sz w:val="18"/>
                <w:szCs w:val="18"/>
                <w:lang w:eastAsia="sl-SI"/>
              </w:rPr>
            </w:pPr>
          </w:p>
          <w:p w14:paraId="54D61562" w14:textId="77777777" w:rsidR="00613DA3" w:rsidRDefault="00613DA3" w:rsidP="002655FC">
            <w:pPr>
              <w:spacing w:after="0"/>
              <w:rPr>
                <w:rFonts w:ascii="Calibri" w:eastAsia="Times New Roman" w:hAnsi="Calibri" w:cs="Arial"/>
                <w:color w:val="000000"/>
                <w:sz w:val="18"/>
                <w:szCs w:val="18"/>
                <w:lang w:eastAsia="sl-SI"/>
              </w:rPr>
            </w:pPr>
          </w:p>
          <w:p w14:paraId="1448C322" w14:textId="7589DFF3" w:rsidR="008821CB" w:rsidRDefault="008821CB"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Poročanje zavezanca o veljavnosti kritičnih predpostavk bo urejeno v podzakonskem aktu.</w:t>
            </w:r>
          </w:p>
          <w:p w14:paraId="1448C324" w14:textId="51F00AD8" w:rsidR="008821CB" w:rsidRPr="00AB512D" w:rsidRDefault="00CB2C3D" w:rsidP="00CB2C3D">
            <w:pPr>
              <w:spacing w:after="0"/>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Slednje</w:t>
            </w:r>
            <w:r w:rsidR="008821CB" w:rsidRPr="00AB512D">
              <w:rPr>
                <w:rFonts w:ascii="Calibri" w:eastAsia="Times New Roman" w:hAnsi="Calibri" w:cs="Arial"/>
                <w:color w:val="000000"/>
                <w:sz w:val="18"/>
                <w:szCs w:val="18"/>
                <w:lang w:eastAsia="sl-SI"/>
              </w:rPr>
              <w:t xml:space="preserve"> izhaja že iz samega</w:t>
            </w:r>
            <w:r>
              <w:rPr>
                <w:rFonts w:ascii="Calibri" w:eastAsia="Times New Roman" w:hAnsi="Calibri" w:cs="Arial"/>
                <w:color w:val="000000"/>
                <w:sz w:val="18"/>
                <w:szCs w:val="18"/>
                <w:lang w:eastAsia="sl-SI"/>
              </w:rPr>
              <w:t xml:space="preserve"> APA</w:t>
            </w:r>
            <w:r w:rsidR="008821CB" w:rsidRPr="00AB512D">
              <w:rPr>
                <w:rFonts w:ascii="Calibri" w:eastAsia="Times New Roman" w:hAnsi="Calibri" w:cs="Arial"/>
                <w:color w:val="000000"/>
                <w:sz w:val="18"/>
                <w:szCs w:val="18"/>
                <w:lang w:eastAsia="sl-SI"/>
              </w:rPr>
              <w:t xml:space="preserve"> sporazuma. Namreč sporazum se sklene tako z strinjanjem zavezanca, kot davčnega organa – slednje pomeni, da se davčni organ strinja z metodologijo za določanje transferne cene.</w:t>
            </w:r>
          </w:p>
        </w:tc>
      </w:tr>
      <w:tr w:rsidR="00F85ADF" w:rsidRPr="00AB512D" w14:paraId="1448C32B" w14:textId="77777777" w:rsidTr="00EC73AA">
        <w:trPr>
          <w:trHeight w:val="960"/>
        </w:trPr>
        <w:tc>
          <w:tcPr>
            <w:tcW w:w="1600" w:type="dxa"/>
            <w:shd w:val="clear" w:color="auto" w:fill="auto"/>
            <w:hideMark/>
          </w:tcPr>
          <w:p w14:paraId="1448C326"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27" w14:textId="77777777" w:rsidR="00F85ADF" w:rsidRDefault="00AD451B"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10. členu (85.a člen ZDavP-2)</w:t>
            </w:r>
          </w:p>
          <w:p w14:paraId="1448C328" w14:textId="77777777" w:rsidR="00AD451B" w:rsidRPr="00AB512D" w:rsidRDefault="00AD451B"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w:t>
            </w:r>
            <w:r>
              <w:rPr>
                <w:rFonts w:ascii="Calibri" w:eastAsia="Times New Roman" w:hAnsi="Calibri" w:cs="Arial"/>
                <w:color w:val="000000"/>
                <w:sz w:val="18"/>
                <w:szCs w:val="18"/>
                <w:lang w:eastAsia="sl-SI"/>
              </w:rPr>
              <w:t xml:space="preserve">edlog spremembe besedila 8. točke </w:t>
            </w:r>
            <w:r w:rsidRPr="00AB512D">
              <w:rPr>
                <w:rFonts w:ascii="Calibri" w:eastAsia="Times New Roman" w:hAnsi="Calibri" w:cs="Arial"/>
                <w:color w:val="000000"/>
                <w:sz w:val="18"/>
                <w:szCs w:val="18"/>
                <w:lang w:eastAsia="sl-SI"/>
              </w:rPr>
              <w:t>85. a čl. ZDavP-2 zaradi nezagotav</w:t>
            </w:r>
            <w:r>
              <w:rPr>
                <w:rFonts w:ascii="Calibri" w:eastAsia="Times New Roman" w:hAnsi="Calibri" w:cs="Arial"/>
                <w:color w:val="000000"/>
                <w:sz w:val="18"/>
                <w:szCs w:val="18"/>
                <w:lang w:eastAsia="sl-SI"/>
              </w:rPr>
              <w:t>ljanja zadostne pravne varnosti, ker ni taksativno določeno za katere primere ne velja vročanje po 85.a členu.</w:t>
            </w:r>
          </w:p>
        </w:tc>
        <w:tc>
          <w:tcPr>
            <w:tcW w:w="1946" w:type="dxa"/>
            <w:shd w:val="clear" w:color="auto" w:fill="auto"/>
            <w:hideMark/>
          </w:tcPr>
          <w:p w14:paraId="1448C329" w14:textId="77777777" w:rsidR="00F85ADF" w:rsidRPr="00AD451B" w:rsidRDefault="00F85ADF" w:rsidP="003C473C">
            <w:pPr>
              <w:spacing w:after="0"/>
              <w:jc w:val="left"/>
              <w:rPr>
                <w:rFonts w:ascii="Calibri" w:eastAsia="Times New Roman" w:hAnsi="Calibri" w:cs="Arial"/>
                <w:bCs/>
                <w:color w:val="000000"/>
                <w:sz w:val="18"/>
                <w:szCs w:val="18"/>
                <w:lang w:eastAsia="sl-SI"/>
              </w:rPr>
            </w:pPr>
            <w:r w:rsidRPr="00AB512D">
              <w:rPr>
                <w:rFonts w:ascii="Calibri" w:eastAsia="Times New Roman" w:hAnsi="Calibri" w:cs="Arial"/>
                <w:b/>
                <w:bCs/>
                <w:color w:val="000000"/>
                <w:sz w:val="18"/>
                <w:szCs w:val="18"/>
                <w:lang w:eastAsia="sl-SI"/>
              </w:rPr>
              <w:t> </w:t>
            </w:r>
            <w:r w:rsidR="00AD451B" w:rsidRPr="00AD451B">
              <w:rPr>
                <w:rFonts w:ascii="Calibri" w:eastAsia="Times New Roman" w:hAnsi="Calibri" w:cs="Arial"/>
                <w:bCs/>
                <w:color w:val="000000"/>
                <w:sz w:val="18"/>
                <w:szCs w:val="18"/>
                <w:lang w:eastAsia="sl-SI"/>
              </w:rPr>
              <w:t>NE</w:t>
            </w:r>
          </w:p>
        </w:tc>
        <w:tc>
          <w:tcPr>
            <w:tcW w:w="5220" w:type="dxa"/>
            <w:shd w:val="clear" w:color="auto" w:fill="auto"/>
            <w:hideMark/>
          </w:tcPr>
          <w:p w14:paraId="1448C32A"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Menimo, da je določba dovolj jasna – dikcija splošne narave »zakon o obdavčenju« se nanaša na vse zakone s področja obdavčevanja (materialne zakone), ki urejajo specialne ureditve vročanja. </w:t>
            </w:r>
          </w:p>
        </w:tc>
      </w:tr>
      <w:tr w:rsidR="00D8452E" w:rsidRPr="00AB512D" w14:paraId="1448C333" w14:textId="77777777" w:rsidTr="00EC73AA">
        <w:trPr>
          <w:trHeight w:val="960"/>
        </w:trPr>
        <w:tc>
          <w:tcPr>
            <w:tcW w:w="1600" w:type="dxa"/>
            <w:shd w:val="clear" w:color="auto" w:fill="auto"/>
          </w:tcPr>
          <w:p w14:paraId="1448C32C" w14:textId="77777777" w:rsidR="00D8452E" w:rsidRPr="00AB512D" w:rsidRDefault="00D8452E" w:rsidP="003C473C">
            <w:pPr>
              <w:spacing w:after="0"/>
              <w:jc w:val="left"/>
              <w:rPr>
                <w:rFonts w:ascii="Calibri" w:eastAsia="Times New Roman" w:hAnsi="Calibri" w:cs="Arial"/>
                <w:color w:val="000000"/>
                <w:sz w:val="18"/>
                <w:szCs w:val="18"/>
                <w:lang w:eastAsia="sl-SI"/>
              </w:rPr>
            </w:pPr>
          </w:p>
        </w:tc>
        <w:tc>
          <w:tcPr>
            <w:tcW w:w="4794" w:type="dxa"/>
            <w:shd w:val="clear" w:color="auto" w:fill="auto"/>
          </w:tcPr>
          <w:p w14:paraId="1448C32D" w14:textId="77777777" w:rsidR="00D8452E" w:rsidRDefault="00D8452E"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11. členu (85.b člen ZDavP-2)</w:t>
            </w:r>
          </w:p>
          <w:p w14:paraId="1448C32E" w14:textId="77777777" w:rsidR="00D8452E" w:rsidRPr="00AB512D" w:rsidRDefault="00D8452E"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glede predlagane spremembe 85. b čl. ZDavP-2 zaradi subsidiarne uporabe določb ZUP, je ta določba nepotrebna</w:t>
            </w:r>
            <w:r>
              <w:rPr>
                <w:rFonts w:ascii="Calibri" w:eastAsia="Times New Roman" w:hAnsi="Calibri" w:cs="Arial"/>
                <w:color w:val="000000"/>
                <w:sz w:val="18"/>
                <w:szCs w:val="18"/>
                <w:lang w:eastAsia="sl-SI"/>
              </w:rPr>
              <w:t>.</w:t>
            </w:r>
          </w:p>
        </w:tc>
        <w:tc>
          <w:tcPr>
            <w:tcW w:w="1946" w:type="dxa"/>
            <w:shd w:val="clear" w:color="auto" w:fill="auto"/>
          </w:tcPr>
          <w:p w14:paraId="1448C32F" w14:textId="77777777" w:rsidR="00D8452E" w:rsidRPr="00D8452E" w:rsidRDefault="00D8452E" w:rsidP="003C473C">
            <w:pPr>
              <w:spacing w:after="0"/>
              <w:jc w:val="left"/>
              <w:rPr>
                <w:rFonts w:ascii="Calibri" w:eastAsia="Times New Roman" w:hAnsi="Calibri" w:cs="Arial"/>
                <w:b/>
                <w:bCs/>
                <w:color w:val="000000"/>
                <w:sz w:val="18"/>
                <w:szCs w:val="18"/>
                <w:highlight w:val="yellow"/>
                <w:lang w:eastAsia="sl-SI"/>
              </w:rPr>
            </w:pPr>
          </w:p>
          <w:p w14:paraId="1A3B4F95" w14:textId="77777777" w:rsidR="00D8452E" w:rsidRDefault="00D8452E" w:rsidP="003C473C">
            <w:pPr>
              <w:spacing w:after="0"/>
              <w:jc w:val="left"/>
              <w:rPr>
                <w:rFonts w:ascii="Calibri" w:eastAsia="Times New Roman" w:hAnsi="Calibri" w:cs="Arial"/>
                <w:bCs/>
                <w:color w:val="000000"/>
                <w:sz w:val="18"/>
                <w:szCs w:val="18"/>
                <w:lang w:eastAsia="sl-SI"/>
              </w:rPr>
            </w:pPr>
            <w:r w:rsidRPr="006E2C7C">
              <w:rPr>
                <w:rFonts w:ascii="Calibri" w:eastAsia="Times New Roman" w:hAnsi="Calibri"/>
                <w:color w:val="000000"/>
                <w:sz w:val="18"/>
                <w:lang w:eastAsia="sl-SI"/>
              </w:rPr>
              <w:t>DA</w:t>
            </w:r>
          </w:p>
          <w:p w14:paraId="1448C330" w14:textId="68AF001D" w:rsidR="00D8452E" w:rsidRPr="006E2C7C" w:rsidRDefault="006E2C7C" w:rsidP="003C473C">
            <w:pPr>
              <w:spacing w:after="0"/>
              <w:jc w:val="left"/>
              <w:rPr>
                <w:rFonts w:ascii="Calibri" w:eastAsia="Times New Roman" w:hAnsi="Calibri"/>
                <w:color w:val="000000"/>
                <w:sz w:val="18"/>
                <w:highlight w:val="yellow"/>
                <w:lang w:eastAsia="sl-SI"/>
              </w:rPr>
            </w:pPr>
            <w:r>
              <w:rPr>
                <w:rFonts w:ascii="Calibri" w:eastAsia="Times New Roman" w:hAnsi="Calibri" w:cs="Arial"/>
                <w:bCs/>
                <w:color w:val="000000"/>
                <w:sz w:val="18"/>
                <w:szCs w:val="18"/>
                <w:lang w:eastAsia="sl-SI"/>
              </w:rPr>
              <w:t>Določba je črtana.</w:t>
            </w:r>
          </w:p>
        </w:tc>
        <w:tc>
          <w:tcPr>
            <w:tcW w:w="5220" w:type="dxa"/>
            <w:shd w:val="clear" w:color="auto" w:fill="auto"/>
          </w:tcPr>
          <w:p w14:paraId="1448C331" w14:textId="77777777" w:rsidR="00D8452E" w:rsidRPr="00D8452E" w:rsidRDefault="00D8452E" w:rsidP="003C473C">
            <w:pPr>
              <w:spacing w:after="0"/>
              <w:jc w:val="left"/>
              <w:rPr>
                <w:rFonts w:ascii="Calibri" w:eastAsia="Times New Roman" w:hAnsi="Calibri" w:cs="Arial"/>
                <w:color w:val="000000"/>
                <w:sz w:val="18"/>
                <w:szCs w:val="18"/>
                <w:highlight w:val="yellow"/>
                <w:lang w:eastAsia="sl-SI"/>
              </w:rPr>
            </w:pPr>
          </w:p>
          <w:p w14:paraId="1448C332" w14:textId="0E9D7F8C" w:rsidR="00D8452E" w:rsidRPr="00D8452E" w:rsidRDefault="00D8452E" w:rsidP="003C473C">
            <w:pPr>
              <w:spacing w:after="0"/>
              <w:jc w:val="left"/>
              <w:rPr>
                <w:rFonts w:ascii="Calibri" w:eastAsia="Times New Roman" w:hAnsi="Calibri" w:cs="Arial"/>
                <w:color w:val="000000"/>
                <w:sz w:val="18"/>
                <w:szCs w:val="18"/>
                <w:highlight w:val="yellow"/>
                <w:lang w:eastAsia="sl-SI"/>
              </w:rPr>
            </w:pPr>
          </w:p>
        </w:tc>
      </w:tr>
      <w:tr w:rsidR="00E33AE3" w:rsidRPr="00AB512D" w14:paraId="1448C33C" w14:textId="77777777" w:rsidTr="00EC73AA">
        <w:trPr>
          <w:trHeight w:val="285"/>
        </w:trPr>
        <w:tc>
          <w:tcPr>
            <w:tcW w:w="1600" w:type="dxa"/>
            <w:shd w:val="clear" w:color="auto" w:fill="auto"/>
          </w:tcPr>
          <w:p w14:paraId="1448C334" w14:textId="77777777" w:rsidR="00E33AE3" w:rsidRPr="00AB512D" w:rsidRDefault="00E33AE3" w:rsidP="003C473C">
            <w:pPr>
              <w:spacing w:after="0"/>
              <w:jc w:val="left"/>
              <w:rPr>
                <w:rFonts w:ascii="Calibri" w:eastAsia="Times New Roman" w:hAnsi="Calibri" w:cs="Arial"/>
                <w:color w:val="000000"/>
                <w:sz w:val="18"/>
                <w:szCs w:val="18"/>
                <w:lang w:eastAsia="sl-SI"/>
              </w:rPr>
            </w:pPr>
          </w:p>
        </w:tc>
        <w:tc>
          <w:tcPr>
            <w:tcW w:w="4794" w:type="dxa"/>
            <w:shd w:val="clear" w:color="auto" w:fill="auto"/>
          </w:tcPr>
          <w:p w14:paraId="1448C335" w14:textId="77777777" w:rsidR="00E33AE3" w:rsidRDefault="00E33AE3" w:rsidP="003C473C">
            <w:pPr>
              <w:spacing w:after="0"/>
              <w:rPr>
                <w:rFonts w:asciiTheme="minorHAnsi" w:hAnsiTheme="minorHAnsi" w:cs="Arial"/>
                <w:b/>
                <w:sz w:val="18"/>
                <w:szCs w:val="18"/>
              </w:rPr>
            </w:pPr>
            <w:r w:rsidRPr="00E33AE3">
              <w:rPr>
                <w:rFonts w:asciiTheme="minorHAnsi" w:hAnsiTheme="minorHAnsi" w:cs="Arial"/>
                <w:b/>
                <w:sz w:val="18"/>
                <w:szCs w:val="18"/>
              </w:rPr>
              <w:t>K 13. členu (95. člen ZDavP-2)</w:t>
            </w:r>
          </w:p>
          <w:p w14:paraId="1448C336" w14:textId="77777777" w:rsidR="00E33AE3" w:rsidRPr="00E33AE3" w:rsidRDefault="00E33AE3" w:rsidP="003C473C">
            <w:pPr>
              <w:spacing w:after="0"/>
              <w:rPr>
                <w:rFonts w:asciiTheme="minorHAnsi" w:hAnsiTheme="minorHAnsi" w:cs="Arial"/>
                <w:sz w:val="18"/>
                <w:szCs w:val="18"/>
              </w:rPr>
            </w:pPr>
            <w:r w:rsidRPr="00E33AE3">
              <w:rPr>
                <w:rFonts w:asciiTheme="minorHAnsi" w:hAnsiTheme="minorHAnsi" w:cs="Arial"/>
                <w:sz w:val="18"/>
                <w:szCs w:val="18"/>
              </w:rPr>
              <w:t>Pripomba na predlog spremembe 95. člena ZDavP-2, glede odgovornosti zavezanca za davek za preveč vrnjen davek, če je vračilo posledica napake davčnega organa</w:t>
            </w:r>
          </w:p>
          <w:p w14:paraId="1448C337" w14:textId="77777777" w:rsidR="00E33AE3" w:rsidRPr="00AB512D" w:rsidRDefault="00E33AE3" w:rsidP="003C473C">
            <w:pPr>
              <w:spacing w:after="0"/>
              <w:rPr>
                <w:rFonts w:ascii="Calibri" w:eastAsia="Times New Roman" w:hAnsi="Calibri" w:cs="Arial"/>
                <w:b/>
                <w:bCs/>
                <w:color w:val="000000"/>
                <w:sz w:val="18"/>
                <w:szCs w:val="18"/>
                <w:lang w:eastAsia="sl-SI"/>
              </w:rPr>
            </w:pPr>
          </w:p>
        </w:tc>
        <w:tc>
          <w:tcPr>
            <w:tcW w:w="1946" w:type="dxa"/>
            <w:shd w:val="clear" w:color="auto" w:fill="auto"/>
          </w:tcPr>
          <w:p w14:paraId="1448C338" w14:textId="77777777" w:rsidR="00E33AE3" w:rsidRDefault="00E33AE3" w:rsidP="003C473C">
            <w:pPr>
              <w:spacing w:after="0"/>
              <w:jc w:val="left"/>
              <w:rPr>
                <w:rFonts w:asciiTheme="minorHAnsi" w:hAnsiTheme="minorHAnsi" w:cs="Arial"/>
                <w:sz w:val="18"/>
                <w:szCs w:val="18"/>
              </w:rPr>
            </w:pPr>
            <w:r>
              <w:rPr>
                <w:rFonts w:asciiTheme="minorHAnsi" w:hAnsiTheme="minorHAnsi" w:cs="Arial"/>
                <w:sz w:val="18"/>
                <w:szCs w:val="18"/>
              </w:rPr>
              <w:t>DA</w:t>
            </w:r>
          </w:p>
          <w:p w14:paraId="1448C339" w14:textId="77777777" w:rsidR="00E33AE3" w:rsidRPr="00E33AE3" w:rsidRDefault="00E33AE3" w:rsidP="003C473C">
            <w:pPr>
              <w:spacing w:after="0"/>
              <w:jc w:val="left"/>
              <w:rPr>
                <w:rFonts w:asciiTheme="minorHAnsi" w:hAnsiTheme="minorHAnsi" w:cs="Arial"/>
                <w:sz w:val="18"/>
                <w:szCs w:val="18"/>
              </w:rPr>
            </w:pPr>
            <w:r w:rsidRPr="00E33AE3">
              <w:rPr>
                <w:rFonts w:asciiTheme="minorHAnsi" w:hAnsiTheme="minorHAnsi" w:cs="Arial"/>
                <w:sz w:val="18"/>
                <w:szCs w:val="18"/>
              </w:rPr>
              <w:t>Člen je ustrezno dopolnjen (»iz razlogov, ki so na strani zavezanca za davek«)</w:t>
            </w:r>
            <w:r w:rsidR="002655FC">
              <w:rPr>
                <w:rFonts w:asciiTheme="minorHAnsi" w:hAnsiTheme="minorHAnsi" w:cs="Arial"/>
                <w:sz w:val="18"/>
                <w:szCs w:val="18"/>
              </w:rPr>
              <w:t>.</w:t>
            </w:r>
          </w:p>
          <w:p w14:paraId="1448C33A" w14:textId="77777777" w:rsidR="00E33AE3" w:rsidRPr="00AB512D" w:rsidRDefault="00E33AE3" w:rsidP="003C473C">
            <w:pPr>
              <w:spacing w:after="0"/>
              <w:jc w:val="left"/>
              <w:rPr>
                <w:rFonts w:ascii="Calibri" w:eastAsia="Times New Roman" w:hAnsi="Calibri" w:cs="Arial"/>
                <w:b/>
                <w:bCs/>
                <w:color w:val="000000"/>
                <w:sz w:val="18"/>
                <w:szCs w:val="18"/>
                <w:lang w:eastAsia="sl-SI"/>
              </w:rPr>
            </w:pPr>
          </w:p>
        </w:tc>
        <w:tc>
          <w:tcPr>
            <w:tcW w:w="5220" w:type="dxa"/>
            <w:shd w:val="clear" w:color="auto" w:fill="auto"/>
          </w:tcPr>
          <w:p w14:paraId="1448C33B" w14:textId="77777777" w:rsidR="00E33AE3" w:rsidRPr="00AB512D" w:rsidRDefault="00E33AE3" w:rsidP="003C473C">
            <w:pPr>
              <w:spacing w:after="0"/>
              <w:jc w:val="left"/>
              <w:rPr>
                <w:rFonts w:ascii="Calibri" w:eastAsia="Times New Roman" w:hAnsi="Calibri" w:cs="Arial"/>
                <w:color w:val="000000"/>
                <w:sz w:val="18"/>
                <w:szCs w:val="18"/>
                <w:lang w:eastAsia="sl-SI"/>
              </w:rPr>
            </w:pPr>
          </w:p>
        </w:tc>
      </w:tr>
      <w:tr w:rsidR="00F85ADF" w:rsidRPr="00AB512D" w14:paraId="1448C345" w14:textId="77777777" w:rsidTr="00C861F0">
        <w:trPr>
          <w:trHeight w:val="796"/>
        </w:trPr>
        <w:tc>
          <w:tcPr>
            <w:tcW w:w="1600" w:type="dxa"/>
            <w:shd w:val="clear" w:color="auto" w:fill="auto"/>
            <w:hideMark/>
          </w:tcPr>
          <w:p w14:paraId="1448C33D"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3E" w14:textId="7960DE90" w:rsidR="00E33AE3" w:rsidRPr="00E33AE3" w:rsidRDefault="00E33AE3" w:rsidP="003C473C">
            <w:pPr>
              <w:spacing w:after="0"/>
              <w:rPr>
                <w:rFonts w:asciiTheme="minorHAnsi" w:hAnsiTheme="minorHAnsi" w:cs="Arial"/>
                <w:b/>
                <w:sz w:val="18"/>
                <w:szCs w:val="18"/>
              </w:rPr>
            </w:pPr>
            <w:r w:rsidRPr="00E33AE3">
              <w:rPr>
                <w:rFonts w:asciiTheme="minorHAnsi" w:hAnsiTheme="minorHAnsi" w:cs="Arial"/>
                <w:b/>
                <w:sz w:val="18"/>
                <w:szCs w:val="18"/>
              </w:rPr>
              <w:t>K 15. členu (97. člen ZDavP-2)</w:t>
            </w:r>
          </w:p>
          <w:p w14:paraId="1448C33F" w14:textId="77777777" w:rsidR="00F85ADF" w:rsidRPr="00AB512D" w:rsidRDefault="00E33AE3" w:rsidP="003C473C">
            <w:pPr>
              <w:spacing w:after="0"/>
              <w:rPr>
                <w:rFonts w:ascii="Calibri" w:eastAsia="Times New Roman" w:hAnsi="Calibri" w:cs="Arial"/>
                <w:b/>
                <w:bCs/>
                <w:color w:val="000000"/>
                <w:sz w:val="18"/>
                <w:szCs w:val="18"/>
                <w:lang w:eastAsia="sl-SI"/>
              </w:rPr>
            </w:pPr>
            <w:r w:rsidRPr="00E33AE3">
              <w:rPr>
                <w:rFonts w:asciiTheme="minorHAnsi" w:hAnsiTheme="minorHAnsi" w:cs="Arial"/>
                <w:sz w:val="18"/>
                <w:szCs w:val="18"/>
              </w:rPr>
              <w:t>Predlog spremembe osmega odstavka 97. čl. ZDavP-2I glede razširitve možnosti pobota davkov in drugih nedavčnih denarnih dajatev s preveč plačanimi prispevki ali davki je nedopustna. Predlagano je še, da v kolikor pa bo dejansko sprejeta takšna določba, je potrebno precizirati, da sme do pobota priti le za tiste neplačane denarne obveznosti zavezanca, glede katerih je zavezanec že izkoristil vsa pravna sredstva in so tako pravnomočne kot izvršljive</w:t>
            </w:r>
            <w:r>
              <w:rPr>
                <w:rFonts w:asciiTheme="minorHAnsi" w:hAnsiTheme="minorHAnsi" w:cs="Arial"/>
                <w:sz w:val="18"/>
                <w:szCs w:val="18"/>
              </w:rPr>
              <w:t>.</w:t>
            </w:r>
          </w:p>
        </w:tc>
        <w:tc>
          <w:tcPr>
            <w:tcW w:w="1946" w:type="dxa"/>
            <w:shd w:val="clear" w:color="auto" w:fill="auto"/>
            <w:hideMark/>
          </w:tcPr>
          <w:p w14:paraId="1448C340"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41" w14:textId="77777777" w:rsidR="00C861F0" w:rsidRPr="00C861F0" w:rsidRDefault="00C861F0" w:rsidP="003C473C">
            <w:pPr>
              <w:spacing w:after="0"/>
              <w:jc w:val="left"/>
              <w:rPr>
                <w:rFonts w:ascii="Calibri" w:eastAsia="Times New Roman" w:hAnsi="Calibri" w:cs="Arial"/>
                <w:bCs/>
                <w:color w:val="000000"/>
                <w:sz w:val="18"/>
                <w:szCs w:val="18"/>
                <w:lang w:eastAsia="sl-SI"/>
              </w:rPr>
            </w:pPr>
            <w:r w:rsidRPr="00C861F0">
              <w:rPr>
                <w:rFonts w:ascii="Calibri" w:eastAsia="Times New Roman" w:hAnsi="Calibri" w:cs="Arial"/>
                <w:bCs/>
                <w:color w:val="000000"/>
                <w:sz w:val="18"/>
                <w:szCs w:val="18"/>
                <w:lang w:eastAsia="sl-SI"/>
              </w:rPr>
              <w:t>NE</w:t>
            </w:r>
          </w:p>
        </w:tc>
        <w:tc>
          <w:tcPr>
            <w:tcW w:w="5220" w:type="dxa"/>
            <w:shd w:val="clear" w:color="auto" w:fill="auto"/>
            <w:hideMark/>
          </w:tcPr>
          <w:p w14:paraId="1448C342"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Davčni organ lahko izterjuje zgolj tiste denarne nedavčne obveznosti, glede katerih je že potekel rok plačila in so glede na določbe predpisov, ki posamezno obveznost urejajo, že postale izvršljive. Bojazen, da bi se s preplačilom davka poravnavale nedavčne obveznosti, ki še niso postale izvršljive, je tako odveč. </w:t>
            </w:r>
          </w:p>
          <w:p w14:paraId="1448C343" w14:textId="77777777" w:rsidR="00C861F0" w:rsidRDefault="00C861F0" w:rsidP="003C473C">
            <w:pPr>
              <w:spacing w:after="0"/>
              <w:jc w:val="left"/>
              <w:rPr>
                <w:rFonts w:ascii="Calibri" w:eastAsia="Times New Roman" w:hAnsi="Calibri" w:cs="Arial"/>
                <w:color w:val="000000"/>
                <w:sz w:val="18"/>
                <w:szCs w:val="18"/>
                <w:lang w:eastAsia="sl-SI"/>
              </w:rPr>
            </w:pPr>
          </w:p>
          <w:p w14:paraId="1448C344" w14:textId="77777777" w:rsidR="00C861F0" w:rsidRPr="00AB512D" w:rsidRDefault="00C861F0"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Poleg tega je potrebno dodati, da je procesna predpostavka za izterjavo nedavčne obveznosti izvršljivost izvršilnega naslova (npr. plačilnega naloga, odločbe, sklepa oz. druge listine, ki je opremljena s potrdilom o izvršljivosti) in ne njegova pravnomočnost. Nekateri akti tako lahko postanejo izvršljivi še pred samo pravnomočnostjo oz. preden zavezanec izkoristi vsa pravna sredstva (v primeru, ko pritožba po izrecni zakonski določbi ne zadrži izvršitve), zato predlagana sprememba ni ustrezna.</w:t>
            </w:r>
          </w:p>
        </w:tc>
      </w:tr>
      <w:tr w:rsidR="00F85ADF" w:rsidRPr="00AB512D" w14:paraId="1448C351" w14:textId="77777777" w:rsidTr="00EC73AA">
        <w:trPr>
          <w:trHeight w:val="960"/>
        </w:trPr>
        <w:tc>
          <w:tcPr>
            <w:tcW w:w="1600" w:type="dxa"/>
            <w:shd w:val="clear" w:color="auto" w:fill="auto"/>
            <w:hideMark/>
          </w:tcPr>
          <w:p w14:paraId="1448C346"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47" w14:textId="77777777" w:rsidR="00C861F0" w:rsidRPr="00C861F0" w:rsidRDefault="00C861F0" w:rsidP="003C473C">
            <w:pPr>
              <w:spacing w:after="0"/>
              <w:rPr>
                <w:rFonts w:asciiTheme="minorHAnsi" w:hAnsiTheme="minorHAnsi" w:cs="Arial"/>
                <w:b/>
                <w:sz w:val="18"/>
                <w:szCs w:val="18"/>
              </w:rPr>
            </w:pPr>
            <w:r w:rsidRPr="00C861F0">
              <w:rPr>
                <w:rFonts w:asciiTheme="minorHAnsi" w:hAnsiTheme="minorHAnsi" w:cs="Arial"/>
                <w:b/>
                <w:sz w:val="18"/>
                <w:szCs w:val="18"/>
              </w:rPr>
              <w:t>K 18. členu (103. člen ZDavP-2)</w:t>
            </w:r>
          </w:p>
          <w:p w14:paraId="1448C348" w14:textId="77777777" w:rsidR="00C861F0" w:rsidRPr="00C861F0" w:rsidRDefault="00C861F0" w:rsidP="003C473C">
            <w:pPr>
              <w:spacing w:after="0"/>
              <w:rPr>
                <w:rFonts w:asciiTheme="minorHAnsi" w:hAnsiTheme="minorHAnsi" w:cs="Arial"/>
                <w:sz w:val="18"/>
                <w:szCs w:val="18"/>
              </w:rPr>
            </w:pPr>
            <w:r>
              <w:rPr>
                <w:rFonts w:asciiTheme="minorHAnsi" w:hAnsiTheme="minorHAnsi" w:cs="Arial"/>
                <w:sz w:val="18"/>
                <w:szCs w:val="18"/>
              </w:rPr>
              <w:t>Predlog spremembe</w:t>
            </w:r>
            <w:r w:rsidRPr="00C861F0">
              <w:rPr>
                <w:rFonts w:asciiTheme="minorHAnsi" w:hAnsiTheme="minorHAnsi" w:cs="Arial"/>
                <w:sz w:val="18"/>
                <w:szCs w:val="18"/>
              </w:rPr>
              <w:t xml:space="preserve"> določbe, s katero se podaljšuje čas odloga oziroma števila obrokov za največ 24 mesecev, vendar z možnostjo podaljšanja do datuma veljavnosti zavarovanja oziroma do poteka roka za vložitev pravnega sredstva zoper pravnomočno odločitev organa.</w:t>
            </w:r>
          </w:p>
          <w:p w14:paraId="1448C349"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4A"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4B" w14:textId="77777777" w:rsidR="00C861F0" w:rsidRPr="00C861F0" w:rsidRDefault="00C861F0" w:rsidP="003C473C">
            <w:pPr>
              <w:spacing w:after="0"/>
              <w:jc w:val="left"/>
              <w:rPr>
                <w:rFonts w:ascii="Calibri" w:eastAsia="Times New Roman" w:hAnsi="Calibri" w:cs="Arial"/>
                <w:bCs/>
                <w:color w:val="000000"/>
                <w:sz w:val="18"/>
                <w:szCs w:val="18"/>
                <w:lang w:eastAsia="sl-SI"/>
              </w:rPr>
            </w:pPr>
            <w:r w:rsidRPr="00C861F0">
              <w:rPr>
                <w:rFonts w:ascii="Calibri" w:eastAsia="Times New Roman" w:hAnsi="Calibri" w:cs="Arial"/>
                <w:bCs/>
                <w:color w:val="000000"/>
                <w:sz w:val="18"/>
                <w:szCs w:val="18"/>
                <w:lang w:eastAsia="sl-SI"/>
              </w:rPr>
              <w:t>NE</w:t>
            </w:r>
          </w:p>
          <w:p w14:paraId="1448C34C" w14:textId="77777777" w:rsidR="00C861F0" w:rsidRPr="00AB512D" w:rsidRDefault="00C861F0" w:rsidP="003C473C">
            <w:pPr>
              <w:spacing w:after="0"/>
              <w:jc w:val="left"/>
              <w:rPr>
                <w:rFonts w:ascii="Calibri" w:eastAsia="Times New Roman" w:hAnsi="Calibri" w:cs="Arial"/>
                <w:b/>
                <w:bCs/>
                <w:color w:val="000000"/>
                <w:sz w:val="18"/>
                <w:szCs w:val="18"/>
                <w:lang w:eastAsia="sl-SI"/>
              </w:rPr>
            </w:pPr>
          </w:p>
        </w:tc>
        <w:tc>
          <w:tcPr>
            <w:tcW w:w="5220" w:type="dxa"/>
            <w:shd w:val="clear" w:color="auto" w:fill="auto"/>
            <w:hideMark/>
          </w:tcPr>
          <w:p w14:paraId="1448C34D"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Zavezanec za davek ima na podlagi veljavne ureditve in ob upoštevanju z novelo predlaganih sprememb dovolj možnosti, ki mu omogočajo odlog oz. obročno plačilo v primeru likvidnostnih težav. </w:t>
            </w:r>
            <w:r w:rsidR="00C861F0" w:rsidRPr="00AB512D">
              <w:rPr>
                <w:rFonts w:ascii="Calibri" w:eastAsia="Times New Roman" w:hAnsi="Calibri" w:cs="Arial"/>
                <w:color w:val="000000"/>
                <w:sz w:val="18"/>
                <w:szCs w:val="18"/>
                <w:lang w:eastAsia="sl-SI"/>
              </w:rPr>
              <w:t>Davčni organ tako pri odločanju o odlogu oz. obročnem plačilu upošteva likvidnostne težave zavezanca oz. dejstvo, da bi mu lahko nastala hujša gospodarska škoda (102. člen ZDavP-2) in glede na izkazane okoliščine določi primerno obdobje odloga oz. število obrokov.</w:t>
            </w:r>
          </w:p>
          <w:p w14:paraId="1448C34E" w14:textId="77777777" w:rsidR="00C861F0" w:rsidRDefault="00C861F0"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V primeru iz 103. člena zavezancu ni potrebno dokazovati likvidnostnih težav, temveč je dovolj, da predloži ustrezen instrument zavarovanja.</w:t>
            </w:r>
          </w:p>
          <w:p w14:paraId="1448C34F" w14:textId="77777777" w:rsidR="00C861F0" w:rsidRDefault="00C861F0" w:rsidP="003C473C">
            <w:pPr>
              <w:spacing w:after="0"/>
              <w:jc w:val="left"/>
              <w:rPr>
                <w:rFonts w:ascii="Calibri" w:eastAsia="Times New Roman" w:hAnsi="Calibri" w:cs="Arial"/>
                <w:color w:val="000000"/>
                <w:sz w:val="18"/>
                <w:szCs w:val="18"/>
                <w:lang w:eastAsia="sl-SI"/>
              </w:rPr>
            </w:pPr>
          </w:p>
          <w:p w14:paraId="1448C350" w14:textId="77777777" w:rsidR="00C861F0" w:rsidRPr="00AB512D" w:rsidRDefault="00C861F0"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Sicer pa predlog zakona med drugim uvaja možnost obročnega plačila v največ 60 mesečnih obrokih v primeru preventivnega finančnega prestrukturiranja po ZFPPIPP, s čimer so zavezancu za davek dane dodatne možnosti za lažje izpolnjevanje davčnih </w:t>
            </w:r>
            <w:r w:rsidRPr="00AB512D">
              <w:rPr>
                <w:rFonts w:ascii="Calibri" w:eastAsia="Times New Roman" w:hAnsi="Calibri" w:cs="Arial"/>
                <w:color w:val="000000"/>
                <w:sz w:val="18"/>
                <w:szCs w:val="18"/>
                <w:lang w:eastAsia="sl-SI"/>
              </w:rPr>
              <w:lastRenderedPageBreak/>
              <w:t>obveznosti.</w:t>
            </w:r>
          </w:p>
        </w:tc>
      </w:tr>
      <w:tr w:rsidR="00F85ADF" w:rsidRPr="00AB512D" w14:paraId="1448C358" w14:textId="77777777" w:rsidTr="00EC73AA">
        <w:trPr>
          <w:trHeight w:val="720"/>
        </w:trPr>
        <w:tc>
          <w:tcPr>
            <w:tcW w:w="1600" w:type="dxa"/>
            <w:shd w:val="clear" w:color="auto" w:fill="auto"/>
            <w:hideMark/>
          </w:tcPr>
          <w:p w14:paraId="1448C352"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353" w14:textId="77777777" w:rsidR="00C861F0" w:rsidRPr="00C861F0" w:rsidRDefault="00C861F0" w:rsidP="003C473C">
            <w:pPr>
              <w:spacing w:after="0"/>
              <w:rPr>
                <w:rFonts w:asciiTheme="minorHAnsi" w:hAnsiTheme="minorHAnsi" w:cs="Arial"/>
                <w:b/>
                <w:sz w:val="18"/>
                <w:szCs w:val="18"/>
              </w:rPr>
            </w:pPr>
            <w:r w:rsidRPr="00C861F0">
              <w:rPr>
                <w:rFonts w:asciiTheme="minorHAnsi" w:hAnsiTheme="minorHAnsi" w:cs="Arial"/>
                <w:b/>
                <w:sz w:val="18"/>
                <w:szCs w:val="18"/>
              </w:rPr>
              <w:t>K 24. členu (129. člen ZDavP-2)</w:t>
            </w:r>
          </w:p>
          <w:p w14:paraId="1448C354" w14:textId="77777777" w:rsidR="00C861F0" w:rsidRDefault="00C861F0" w:rsidP="003C473C">
            <w:pPr>
              <w:autoSpaceDE w:val="0"/>
              <w:autoSpaceDN w:val="0"/>
              <w:adjustRightInd w:val="0"/>
              <w:spacing w:after="0"/>
              <w:rPr>
                <w:rFonts w:cs="Arial"/>
                <w:sz w:val="20"/>
                <w:szCs w:val="20"/>
              </w:rPr>
            </w:pPr>
            <w:r w:rsidRPr="00C861F0">
              <w:rPr>
                <w:rFonts w:asciiTheme="minorHAnsi" w:hAnsiTheme="minorHAnsi" w:cs="Arial"/>
                <w:sz w:val="18"/>
                <w:szCs w:val="18"/>
              </w:rPr>
              <w:t>Predlog dopolnitve člena, da mora biti zavezancu izdan sklep, ki mora biti obrazložen</w:t>
            </w:r>
            <w:r>
              <w:rPr>
                <w:rFonts w:cs="Arial"/>
                <w:sz w:val="20"/>
                <w:szCs w:val="20"/>
              </w:rPr>
              <w:t>.</w:t>
            </w:r>
          </w:p>
          <w:p w14:paraId="1448C355" w14:textId="77777777" w:rsidR="00F85ADF" w:rsidRPr="00AB512D" w:rsidRDefault="00F85ADF" w:rsidP="003C473C">
            <w:pPr>
              <w:spacing w:after="0"/>
              <w:jc w:val="left"/>
              <w:rPr>
                <w:rFonts w:ascii="Calibri" w:eastAsia="Times New Roman" w:hAnsi="Calibri" w:cs="Arial"/>
                <w:color w:val="000000"/>
                <w:sz w:val="18"/>
                <w:szCs w:val="18"/>
                <w:lang w:eastAsia="sl-SI"/>
              </w:rPr>
            </w:pPr>
          </w:p>
        </w:tc>
        <w:tc>
          <w:tcPr>
            <w:tcW w:w="1946" w:type="dxa"/>
            <w:shd w:val="clear" w:color="auto" w:fill="auto"/>
            <w:hideMark/>
          </w:tcPr>
          <w:p w14:paraId="1448C356" w14:textId="77777777" w:rsidR="00F85ADF" w:rsidRPr="00AB512D" w:rsidRDefault="00C861F0"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tc>
        <w:tc>
          <w:tcPr>
            <w:tcW w:w="5220" w:type="dxa"/>
            <w:shd w:val="clear" w:color="auto" w:fill="auto"/>
            <w:hideMark/>
          </w:tcPr>
          <w:p w14:paraId="1448C357"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Dodano je besedilo, da mora biti o tem, da bo opravljen nadzor po 130. členu, izdan sklep. Sklep o začetku DIN pa je tako obvezen že po 135. členu ZDavP-2.</w:t>
            </w:r>
          </w:p>
        </w:tc>
      </w:tr>
      <w:tr w:rsidR="00F85ADF" w:rsidRPr="00AB512D" w14:paraId="1448C361" w14:textId="77777777" w:rsidTr="00EC73AA">
        <w:trPr>
          <w:trHeight w:val="285"/>
        </w:trPr>
        <w:tc>
          <w:tcPr>
            <w:tcW w:w="1600" w:type="dxa"/>
            <w:shd w:val="clear" w:color="auto" w:fill="auto"/>
            <w:hideMark/>
          </w:tcPr>
          <w:p w14:paraId="1448C359"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5A" w14:textId="77777777" w:rsidR="00C861F0" w:rsidRPr="00C861F0" w:rsidRDefault="00F85ADF" w:rsidP="003C473C">
            <w:pPr>
              <w:spacing w:after="0"/>
              <w:rPr>
                <w:rFonts w:asciiTheme="minorHAnsi" w:hAnsiTheme="minorHAnsi" w:cs="Arial"/>
                <w:b/>
                <w:sz w:val="18"/>
                <w:szCs w:val="18"/>
              </w:rPr>
            </w:pPr>
            <w:r w:rsidRPr="00AB512D">
              <w:rPr>
                <w:rFonts w:ascii="Calibri" w:eastAsia="Times New Roman" w:hAnsi="Calibri" w:cs="Arial"/>
                <w:color w:val="000000"/>
                <w:sz w:val="18"/>
                <w:szCs w:val="18"/>
                <w:lang w:eastAsia="sl-SI"/>
              </w:rPr>
              <w:t> </w:t>
            </w:r>
            <w:r w:rsidR="00C861F0" w:rsidRPr="00C861F0">
              <w:rPr>
                <w:rFonts w:asciiTheme="minorHAnsi" w:hAnsiTheme="minorHAnsi" w:cs="Arial"/>
                <w:b/>
                <w:sz w:val="18"/>
                <w:szCs w:val="18"/>
              </w:rPr>
              <w:t>K 25. členu (130. člen ZDavP-2)</w:t>
            </w:r>
          </w:p>
          <w:p w14:paraId="1448C35B" w14:textId="77777777" w:rsidR="00F85ADF" w:rsidRPr="00AB512D" w:rsidRDefault="00A1680B" w:rsidP="003C473C">
            <w:pPr>
              <w:spacing w:after="0"/>
              <w:rPr>
                <w:rFonts w:ascii="Calibri" w:eastAsia="Times New Roman" w:hAnsi="Calibri" w:cs="Arial"/>
                <w:color w:val="000000"/>
                <w:sz w:val="18"/>
                <w:szCs w:val="18"/>
                <w:lang w:eastAsia="sl-SI"/>
              </w:rPr>
            </w:pPr>
            <w:r>
              <w:rPr>
                <w:rFonts w:asciiTheme="minorHAnsi" w:hAnsiTheme="minorHAnsi" w:cs="Arial"/>
                <w:sz w:val="18"/>
                <w:szCs w:val="18"/>
              </w:rPr>
              <w:t>Ocenjuje se, da je p</w:t>
            </w:r>
            <w:r w:rsidR="00C861F0" w:rsidRPr="00C861F0">
              <w:rPr>
                <w:rFonts w:asciiTheme="minorHAnsi" w:hAnsiTheme="minorHAnsi" w:cs="Arial"/>
                <w:sz w:val="18"/>
                <w:szCs w:val="18"/>
              </w:rPr>
              <w:t>redlagana sprememba</w:t>
            </w:r>
            <w:r>
              <w:rPr>
                <w:rFonts w:asciiTheme="minorHAnsi" w:hAnsiTheme="minorHAnsi" w:cs="Arial"/>
                <w:sz w:val="18"/>
                <w:szCs w:val="18"/>
              </w:rPr>
              <w:t xml:space="preserve"> 130. čl. ZDavP-2 </w:t>
            </w:r>
            <w:r w:rsidR="00C861F0" w:rsidRPr="00C861F0">
              <w:rPr>
                <w:rFonts w:asciiTheme="minorHAnsi" w:hAnsiTheme="minorHAnsi" w:cs="Arial"/>
                <w:sz w:val="18"/>
                <w:szCs w:val="18"/>
              </w:rPr>
              <w:t>nepotrebna, zato se predlaga ali spremembo predlaganega besedila 130. člena ali pa d</w:t>
            </w:r>
            <w:r>
              <w:rPr>
                <w:rFonts w:asciiTheme="minorHAnsi" w:hAnsiTheme="minorHAnsi" w:cs="Arial"/>
                <w:sz w:val="18"/>
                <w:szCs w:val="18"/>
              </w:rPr>
              <w:t>oloči</w:t>
            </w:r>
            <w:r w:rsidR="00C861F0" w:rsidRPr="00C861F0">
              <w:rPr>
                <w:rFonts w:asciiTheme="minorHAnsi" w:hAnsiTheme="minorHAnsi" w:cs="Arial"/>
                <w:sz w:val="18"/>
                <w:szCs w:val="18"/>
              </w:rPr>
              <w:t xml:space="preserve"> da se tudi za nadzor posameznega področja poslovanja uporabljajo določbe, ki veljajo za DIN glede pisne seznanitve oz. vrnitve k sklepnemu razgovoru, kot tudi za rok za podajo pripomb na zapisnik</w:t>
            </w:r>
            <w:r>
              <w:rPr>
                <w:rFonts w:asciiTheme="minorHAnsi" w:hAnsiTheme="minorHAnsi" w:cs="Arial"/>
                <w:sz w:val="18"/>
                <w:szCs w:val="18"/>
              </w:rPr>
              <w:t>.</w:t>
            </w:r>
          </w:p>
        </w:tc>
        <w:tc>
          <w:tcPr>
            <w:tcW w:w="1946" w:type="dxa"/>
            <w:shd w:val="clear" w:color="auto" w:fill="auto"/>
            <w:hideMark/>
          </w:tcPr>
          <w:p w14:paraId="1448C35C"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5D" w14:textId="77777777" w:rsidR="00A1680B" w:rsidRPr="00A1680B" w:rsidRDefault="00A1680B" w:rsidP="003C473C">
            <w:pPr>
              <w:spacing w:after="0"/>
              <w:jc w:val="left"/>
              <w:rPr>
                <w:rFonts w:ascii="Calibri" w:eastAsia="Times New Roman" w:hAnsi="Calibri" w:cs="Arial"/>
                <w:bCs/>
                <w:color w:val="000000"/>
                <w:sz w:val="18"/>
                <w:szCs w:val="18"/>
                <w:lang w:eastAsia="sl-SI"/>
              </w:rPr>
            </w:pPr>
            <w:r w:rsidRPr="00A1680B">
              <w:rPr>
                <w:rFonts w:ascii="Calibri" w:eastAsia="Times New Roman" w:hAnsi="Calibri" w:cs="Arial"/>
                <w:bCs/>
                <w:color w:val="000000"/>
                <w:sz w:val="18"/>
                <w:szCs w:val="18"/>
                <w:lang w:eastAsia="sl-SI"/>
              </w:rPr>
              <w:t>NE</w:t>
            </w:r>
          </w:p>
        </w:tc>
        <w:tc>
          <w:tcPr>
            <w:tcW w:w="5220" w:type="dxa"/>
            <w:shd w:val="clear" w:color="auto" w:fill="auto"/>
            <w:hideMark/>
          </w:tcPr>
          <w:p w14:paraId="1448C35E" w14:textId="77777777" w:rsidR="00A1680B" w:rsidRDefault="00A1680B" w:rsidP="003C473C">
            <w:pPr>
              <w:spacing w:after="0"/>
              <w:rPr>
                <w:rFonts w:asciiTheme="minorHAnsi" w:eastAsia="Times New Roman" w:hAnsiTheme="minorHAnsi" w:cs="Arial"/>
                <w:b/>
                <w:bCs/>
                <w:color w:val="000000"/>
                <w:sz w:val="18"/>
                <w:szCs w:val="18"/>
                <w:lang w:eastAsia="sl-SI"/>
              </w:rPr>
            </w:pPr>
          </w:p>
          <w:p w14:paraId="1448C35F" w14:textId="77777777" w:rsidR="00A1680B" w:rsidRPr="00A1680B" w:rsidRDefault="00A1680B" w:rsidP="003C473C">
            <w:pPr>
              <w:spacing w:after="0"/>
              <w:rPr>
                <w:rFonts w:asciiTheme="minorHAnsi" w:hAnsiTheme="minorHAnsi" w:cs="Arial"/>
                <w:b/>
                <w:sz w:val="18"/>
                <w:szCs w:val="18"/>
              </w:rPr>
            </w:pPr>
            <w:r w:rsidRPr="00A1680B">
              <w:rPr>
                <w:rFonts w:asciiTheme="minorHAnsi" w:hAnsiTheme="minorHAnsi" w:cs="Arial"/>
                <w:sz w:val="18"/>
                <w:szCs w:val="18"/>
              </w:rPr>
              <w:t>Obrazložitev neupoštevanja predloga je navedena v opredelitvi k pripombam Slovenskega inštituta za revizijo</w:t>
            </w:r>
          </w:p>
          <w:p w14:paraId="1448C360" w14:textId="77777777" w:rsidR="00F85ADF" w:rsidRPr="00A1680B" w:rsidRDefault="00F85ADF" w:rsidP="003C473C">
            <w:pPr>
              <w:spacing w:after="0"/>
              <w:jc w:val="left"/>
              <w:rPr>
                <w:rFonts w:asciiTheme="minorHAnsi" w:eastAsia="Times New Roman" w:hAnsiTheme="minorHAnsi" w:cs="Arial"/>
                <w:b/>
                <w:bCs/>
                <w:color w:val="000000"/>
                <w:sz w:val="18"/>
                <w:szCs w:val="18"/>
                <w:lang w:eastAsia="sl-SI"/>
              </w:rPr>
            </w:pPr>
          </w:p>
        </w:tc>
      </w:tr>
      <w:tr w:rsidR="00F85ADF" w:rsidRPr="00AB512D" w14:paraId="1448C36B" w14:textId="77777777" w:rsidTr="00EC73AA">
        <w:trPr>
          <w:trHeight w:val="285"/>
        </w:trPr>
        <w:tc>
          <w:tcPr>
            <w:tcW w:w="1600" w:type="dxa"/>
            <w:shd w:val="clear" w:color="auto" w:fill="auto"/>
            <w:hideMark/>
          </w:tcPr>
          <w:p w14:paraId="1448C362"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63" w14:textId="77777777" w:rsidR="00A1680B" w:rsidRPr="00A1680B" w:rsidRDefault="00A1680B" w:rsidP="003C473C">
            <w:pPr>
              <w:spacing w:after="0"/>
              <w:rPr>
                <w:rFonts w:asciiTheme="minorHAnsi" w:hAnsiTheme="minorHAnsi" w:cs="Arial"/>
                <w:b/>
                <w:sz w:val="18"/>
                <w:szCs w:val="18"/>
              </w:rPr>
            </w:pPr>
            <w:r w:rsidRPr="00A1680B">
              <w:rPr>
                <w:rFonts w:asciiTheme="minorHAnsi" w:hAnsiTheme="minorHAnsi" w:cs="Arial"/>
                <w:b/>
                <w:sz w:val="18"/>
                <w:szCs w:val="18"/>
              </w:rPr>
              <w:t>K 26. členu (132. člen ZDavP-2)</w:t>
            </w:r>
          </w:p>
          <w:p w14:paraId="1448C364" w14:textId="77777777" w:rsidR="00A1680B" w:rsidRPr="00A1680B" w:rsidRDefault="00A1680B" w:rsidP="003C473C">
            <w:pPr>
              <w:autoSpaceDE w:val="0"/>
              <w:autoSpaceDN w:val="0"/>
              <w:adjustRightInd w:val="0"/>
              <w:spacing w:after="0"/>
              <w:rPr>
                <w:rFonts w:asciiTheme="minorHAnsi" w:hAnsiTheme="minorHAnsi" w:cs="Arial"/>
                <w:sz w:val="18"/>
                <w:szCs w:val="18"/>
              </w:rPr>
            </w:pPr>
            <w:r w:rsidRPr="00A1680B">
              <w:rPr>
                <w:rFonts w:asciiTheme="minorHAnsi" w:hAnsiTheme="minorHAnsi" w:cs="Arial"/>
                <w:sz w:val="18"/>
                <w:szCs w:val="18"/>
              </w:rPr>
              <w:t xml:space="preserve">Predlagano je, da se v 132. čl. ZDavP-2  dodata novi 5. in 6. odstavek glede vročitve obvestila davčnemu zavezancu o uvedbi postopka davčnega nadzora in možnost uvedbe davčnega inšpekcijskega nadzora za daljše obdobje, saj primerjalno pravno potekajo davčni nadzori v EU izključno na podlagi obvestila o uvedbi davčnega nadzora. </w:t>
            </w:r>
          </w:p>
          <w:p w14:paraId="1448C365"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66"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367" w14:textId="77777777" w:rsidR="00A1680B" w:rsidRPr="00AB512D" w:rsidRDefault="00A1680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368" w14:textId="77777777" w:rsidR="00A1680B" w:rsidRPr="00A1680B" w:rsidRDefault="00A1680B" w:rsidP="003C473C">
            <w:pPr>
              <w:spacing w:after="0"/>
              <w:rPr>
                <w:rFonts w:asciiTheme="minorHAnsi" w:hAnsiTheme="minorHAnsi" w:cs="Arial"/>
                <w:sz w:val="18"/>
                <w:szCs w:val="18"/>
              </w:rPr>
            </w:pPr>
            <w:r w:rsidRPr="00A1680B">
              <w:rPr>
                <w:rFonts w:asciiTheme="minorHAnsi" w:hAnsiTheme="minorHAnsi" w:cs="Arial"/>
                <w:sz w:val="18"/>
                <w:szCs w:val="18"/>
              </w:rPr>
              <w:t>Menimo, da predlog ni utemeljen. Ureditev iz 135. člena ZDavP-2, po katerem se davčni inšpekcijski nadzor začne z vročitvijo sklepa o davčnem inšpekcijskem nadzoru, nadzor pa se lahko začne opravljati po poteku osmih dni od vročitve sklepa, je po našem mnenju zadostna in primerna ter zavezancu za davek nudi ustrezno procesno varstvo.</w:t>
            </w:r>
          </w:p>
          <w:p w14:paraId="1448C369" w14:textId="77777777" w:rsidR="00A1680B" w:rsidRPr="00A1680B" w:rsidRDefault="00A1680B" w:rsidP="003C473C">
            <w:pPr>
              <w:spacing w:after="0"/>
              <w:rPr>
                <w:rFonts w:asciiTheme="minorHAnsi" w:hAnsiTheme="minorHAnsi" w:cs="Arial"/>
                <w:sz w:val="18"/>
                <w:szCs w:val="18"/>
              </w:rPr>
            </w:pPr>
            <w:r w:rsidRPr="00A1680B">
              <w:rPr>
                <w:rFonts w:asciiTheme="minorHAnsi" w:hAnsiTheme="minorHAnsi" w:cs="Arial"/>
                <w:sz w:val="18"/>
                <w:szCs w:val="18"/>
              </w:rPr>
              <w:t xml:space="preserve">V zvezi s pripombo glede suma o obstoju kaznivega dejanja: že 145. člen Zakona o kazenskem postopku (ZKP) določa,  da so vsi državni organi in organizacije z javnimi pooblastili dolžni naznaniti kazniva dejanja, za katera se storilec preganja po uradni dolžnosti, če so o njih obveščeni, ali če kako drugače zvedo zanje. Prav tako ZKP ureja procesne pravice osumljenca. </w:t>
            </w:r>
          </w:p>
          <w:p w14:paraId="1448C36A"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r>
      <w:tr w:rsidR="00F85ADF" w:rsidRPr="00AB512D" w14:paraId="1448C378" w14:textId="77777777" w:rsidTr="00EC73AA">
        <w:trPr>
          <w:trHeight w:val="480"/>
        </w:trPr>
        <w:tc>
          <w:tcPr>
            <w:tcW w:w="1600" w:type="dxa"/>
            <w:shd w:val="clear" w:color="auto" w:fill="auto"/>
            <w:hideMark/>
          </w:tcPr>
          <w:p w14:paraId="1448C36C"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6D" w14:textId="77777777" w:rsidR="00A1680B" w:rsidRPr="00A1680B" w:rsidRDefault="00A1680B" w:rsidP="003C473C">
            <w:pPr>
              <w:spacing w:after="0"/>
              <w:rPr>
                <w:rFonts w:asciiTheme="minorHAnsi" w:hAnsiTheme="minorHAnsi" w:cs="Arial"/>
                <w:b/>
                <w:sz w:val="18"/>
                <w:szCs w:val="18"/>
              </w:rPr>
            </w:pPr>
            <w:r w:rsidRPr="00A1680B">
              <w:rPr>
                <w:rFonts w:asciiTheme="minorHAnsi" w:hAnsiTheme="minorHAnsi" w:cs="Arial"/>
                <w:b/>
                <w:sz w:val="18"/>
                <w:szCs w:val="18"/>
              </w:rPr>
              <w:t>K 28. členu (138. člen ZDavP-2)</w:t>
            </w:r>
          </w:p>
          <w:p w14:paraId="1448C36E" w14:textId="77777777" w:rsidR="00A1680B" w:rsidRPr="00A1680B" w:rsidRDefault="00A1680B" w:rsidP="003C473C">
            <w:pPr>
              <w:autoSpaceDE w:val="0"/>
              <w:autoSpaceDN w:val="0"/>
              <w:adjustRightInd w:val="0"/>
              <w:spacing w:after="0"/>
              <w:rPr>
                <w:rFonts w:asciiTheme="minorHAnsi" w:hAnsiTheme="minorHAnsi" w:cs="Arial"/>
                <w:sz w:val="18"/>
                <w:szCs w:val="18"/>
              </w:rPr>
            </w:pPr>
            <w:r w:rsidRPr="00A1680B">
              <w:rPr>
                <w:rFonts w:asciiTheme="minorHAnsi" w:hAnsiTheme="minorHAnsi" w:cs="Arial"/>
                <w:sz w:val="18"/>
                <w:szCs w:val="18"/>
              </w:rPr>
              <w:t xml:space="preserve">Pripomba je, da je sprememba 138. čl. ZDavP-2 je nedopustna z vidika pravne varnosti davčnega zavezanca. Predlaga se še, da v kolikor ostane predlagana sprememba v veljavi, se na novo dodajo 3. – 8. odstavek 138. člena ZDavP-2 glede ureditve, po kateri organ zahteva podatke od oseb, ki niso pooblaščene za sodelovanje z organom, ker ni skladna s temeljnimi pravili, ki urejajo zastopanje zavezancev v pravnem prometu. </w:t>
            </w:r>
          </w:p>
          <w:p w14:paraId="1448C36F"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70"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71" w14:textId="77777777" w:rsidR="00A1680B" w:rsidRPr="00D8452E" w:rsidRDefault="00A1680B" w:rsidP="003C473C">
            <w:pPr>
              <w:spacing w:after="0"/>
              <w:jc w:val="left"/>
              <w:rPr>
                <w:rFonts w:ascii="Calibri" w:eastAsia="Times New Roman" w:hAnsi="Calibri" w:cs="Arial"/>
                <w:bCs/>
                <w:color w:val="000000"/>
                <w:sz w:val="18"/>
                <w:szCs w:val="18"/>
                <w:lang w:eastAsia="sl-SI"/>
              </w:rPr>
            </w:pPr>
            <w:r w:rsidRPr="00D8452E">
              <w:rPr>
                <w:rFonts w:ascii="Calibri" w:eastAsia="Times New Roman" w:hAnsi="Calibri" w:cs="Arial"/>
                <w:bCs/>
                <w:color w:val="000000"/>
                <w:sz w:val="18"/>
                <w:szCs w:val="18"/>
                <w:lang w:eastAsia="sl-SI"/>
              </w:rPr>
              <w:t>NE</w:t>
            </w:r>
          </w:p>
        </w:tc>
        <w:tc>
          <w:tcPr>
            <w:tcW w:w="5220" w:type="dxa"/>
            <w:shd w:val="clear" w:color="auto" w:fill="auto"/>
            <w:hideMark/>
          </w:tcPr>
          <w:p w14:paraId="1448C372" w14:textId="77777777" w:rsidR="00F85ADF" w:rsidRPr="00D8452E" w:rsidRDefault="00A1680B" w:rsidP="003C473C">
            <w:pPr>
              <w:spacing w:after="0"/>
              <w:jc w:val="left"/>
              <w:rPr>
                <w:rFonts w:asciiTheme="minorHAnsi" w:hAnsiTheme="minorHAnsi" w:cs="Arial"/>
                <w:sz w:val="18"/>
                <w:szCs w:val="18"/>
              </w:rPr>
            </w:pPr>
            <w:r w:rsidRPr="00D8452E">
              <w:rPr>
                <w:rFonts w:asciiTheme="minorHAnsi" w:hAnsiTheme="minorHAnsi" w:cs="Arial"/>
                <w:sz w:val="18"/>
                <w:szCs w:val="18"/>
              </w:rPr>
              <w:t>Pooblastila uradnih oseb finančne uprave so določena v 14. do 44. členu ZFU.</w:t>
            </w:r>
          </w:p>
          <w:p w14:paraId="1448C373" w14:textId="77777777" w:rsidR="00D8452E" w:rsidRPr="00D8452E" w:rsidRDefault="00D8452E" w:rsidP="003C473C">
            <w:pPr>
              <w:spacing w:after="0"/>
              <w:jc w:val="left"/>
              <w:rPr>
                <w:rFonts w:asciiTheme="minorHAnsi" w:hAnsiTheme="minorHAnsi" w:cs="Arial"/>
                <w:sz w:val="18"/>
                <w:szCs w:val="18"/>
              </w:rPr>
            </w:pPr>
          </w:p>
          <w:p w14:paraId="1448C374" w14:textId="77777777" w:rsidR="00A1680B" w:rsidRPr="00D8452E" w:rsidRDefault="00D8452E" w:rsidP="003C473C">
            <w:pPr>
              <w:spacing w:after="0"/>
              <w:jc w:val="left"/>
              <w:rPr>
                <w:rFonts w:asciiTheme="minorHAnsi" w:hAnsiTheme="minorHAnsi" w:cs="Arial"/>
                <w:sz w:val="18"/>
                <w:szCs w:val="18"/>
              </w:rPr>
            </w:pPr>
            <w:r w:rsidRPr="00D8452E">
              <w:rPr>
                <w:rFonts w:asciiTheme="minorHAnsi" w:hAnsiTheme="minorHAnsi" w:cs="Arial"/>
                <w:sz w:val="18"/>
                <w:szCs w:val="18"/>
              </w:rPr>
              <w:t>Zastopanje strank v upravnem postopku je urejeno v ZUP. Slednji v 61. členu tudi določa, da je stranki treba dovoliti, da pripelje v zadevah, za katere se zahteva strokovno poznavanje vprašanj v zvezi s predmetom postopka, strokovnjaka, ki ji bo dajal pojasnila in nasvete (strokovni pomočnik).</w:t>
            </w:r>
          </w:p>
          <w:p w14:paraId="1448C375" w14:textId="77777777" w:rsidR="00D8452E" w:rsidRPr="00D8452E" w:rsidRDefault="00D8452E" w:rsidP="003C473C">
            <w:pPr>
              <w:spacing w:after="0"/>
              <w:jc w:val="left"/>
              <w:rPr>
                <w:rFonts w:asciiTheme="minorHAnsi" w:eastAsia="Times New Roman" w:hAnsiTheme="minorHAnsi" w:cs="Arial"/>
                <w:color w:val="000000"/>
                <w:sz w:val="18"/>
                <w:szCs w:val="18"/>
                <w:lang w:eastAsia="sl-SI"/>
              </w:rPr>
            </w:pPr>
          </w:p>
          <w:p w14:paraId="1448C376" w14:textId="77777777" w:rsidR="00D8452E" w:rsidRPr="00D8452E" w:rsidRDefault="00D8452E" w:rsidP="003C473C">
            <w:pPr>
              <w:spacing w:after="0"/>
              <w:jc w:val="left"/>
              <w:rPr>
                <w:rFonts w:asciiTheme="minorHAnsi" w:hAnsiTheme="minorHAnsi" w:cs="Arial"/>
                <w:sz w:val="18"/>
                <w:szCs w:val="18"/>
              </w:rPr>
            </w:pPr>
            <w:r w:rsidRPr="00D8452E">
              <w:rPr>
                <w:rFonts w:asciiTheme="minorHAnsi" w:hAnsiTheme="minorHAnsi" w:cs="Arial"/>
                <w:sz w:val="18"/>
                <w:szCs w:val="18"/>
              </w:rPr>
              <w:t xml:space="preserve">145. člen Zakona o kazenskem postopku (ZKP) določa,  da so vsi državni organi in organizacije z javnimi pooblastili dolžni naznaniti kazniva dejanja, za katera se storilec preganja po uradni dolžnosti, če </w:t>
            </w:r>
            <w:r w:rsidRPr="00D8452E">
              <w:rPr>
                <w:rFonts w:asciiTheme="minorHAnsi" w:hAnsiTheme="minorHAnsi" w:cs="Arial"/>
                <w:sz w:val="18"/>
                <w:szCs w:val="18"/>
              </w:rPr>
              <w:lastRenderedPageBreak/>
              <w:t>so o njih obveščeni, ali če kako drugače zvedo zanje. Prav tako ZKP ureja procesne pravice osumljenca.</w:t>
            </w:r>
          </w:p>
          <w:p w14:paraId="1448C377" w14:textId="77777777" w:rsidR="00D8452E" w:rsidRPr="00D8452E" w:rsidRDefault="00D8452E" w:rsidP="003C473C">
            <w:pPr>
              <w:spacing w:after="0"/>
              <w:jc w:val="left"/>
              <w:rPr>
                <w:rFonts w:asciiTheme="minorHAnsi" w:eastAsia="Times New Roman" w:hAnsiTheme="minorHAnsi" w:cs="Arial"/>
                <w:color w:val="000000"/>
                <w:sz w:val="18"/>
                <w:szCs w:val="18"/>
                <w:lang w:eastAsia="sl-SI"/>
              </w:rPr>
            </w:pPr>
            <w:r w:rsidRPr="00D8452E">
              <w:rPr>
                <w:rFonts w:asciiTheme="minorHAnsi" w:hAnsiTheme="minorHAnsi" w:cs="Arial"/>
                <w:sz w:val="18"/>
                <w:szCs w:val="18"/>
              </w:rPr>
              <w:t>Varovanje podatkov je urejeno v 15. do 30. členu ZDavP-</w:t>
            </w:r>
            <w:r>
              <w:rPr>
                <w:rFonts w:asciiTheme="minorHAnsi" w:hAnsiTheme="minorHAnsi" w:cs="Arial"/>
                <w:sz w:val="18"/>
                <w:szCs w:val="18"/>
              </w:rPr>
              <w:t>2.</w:t>
            </w:r>
          </w:p>
        </w:tc>
      </w:tr>
      <w:tr w:rsidR="00F85ADF" w:rsidRPr="00AB512D" w14:paraId="1448C381" w14:textId="77777777" w:rsidTr="00EC73AA">
        <w:trPr>
          <w:trHeight w:val="285"/>
        </w:trPr>
        <w:tc>
          <w:tcPr>
            <w:tcW w:w="1600" w:type="dxa"/>
            <w:shd w:val="clear" w:color="auto" w:fill="auto"/>
            <w:hideMark/>
          </w:tcPr>
          <w:p w14:paraId="1448C379"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37A" w14:textId="77777777" w:rsidR="000D6F3F" w:rsidRPr="000D6F3F" w:rsidRDefault="000D6F3F" w:rsidP="003C473C">
            <w:pPr>
              <w:spacing w:after="0"/>
              <w:jc w:val="left"/>
              <w:rPr>
                <w:rFonts w:asciiTheme="minorHAnsi" w:eastAsia="Times New Roman" w:hAnsiTheme="minorHAnsi" w:cs="Arial"/>
                <w:color w:val="000000"/>
                <w:sz w:val="18"/>
                <w:szCs w:val="18"/>
                <w:lang w:eastAsia="sl-SI"/>
              </w:rPr>
            </w:pPr>
            <w:r w:rsidRPr="000D6F3F">
              <w:rPr>
                <w:rFonts w:asciiTheme="minorHAnsi" w:hAnsiTheme="minorHAnsi" w:cs="Arial"/>
                <w:b/>
                <w:sz w:val="18"/>
                <w:szCs w:val="18"/>
              </w:rPr>
              <w:t>K 33. členu (148. člen ZDavP-2</w:t>
            </w:r>
          </w:p>
          <w:p w14:paraId="1448C37B" w14:textId="77777777" w:rsidR="00F85ADF" w:rsidRPr="00AB512D" w:rsidRDefault="000D6F3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na predlagani drugi odstavek 148. čl. ZDavP-2, da se v primeru, ko se dolg ne da izterjati od dolžnika, nosilca kmetije, ta dolg izterja od članov kmečkega gospodinjstva, je protiustaven in ni skladen z določbami OZ, zato se predlaga dopolnitev določbe, ki naj bi vzdržala pravno presojo.</w:t>
            </w:r>
          </w:p>
        </w:tc>
        <w:tc>
          <w:tcPr>
            <w:tcW w:w="1946" w:type="dxa"/>
            <w:shd w:val="clear" w:color="auto" w:fill="auto"/>
            <w:hideMark/>
          </w:tcPr>
          <w:p w14:paraId="1448C37C"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7D" w14:textId="77777777" w:rsidR="000D6F3F" w:rsidRPr="000D6F3F" w:rsidRDefault="000D6F3F" w:rsidP="003C473C">
            <w:pPr>
              <w:spacing w:after="0"/>
              <w:jc w:val="left"/>
              <w:rPr>
                <w:rFonts w:ascii="Calibri" w:eastAsia="Times New Roman" w:hAnsi="Calibri" w:cs="Arial"/>
                <w:bCs/>
                <w:color w:val="000000"/>
                <w:sz w:val="18"/>
                <w:szCs w:val="18"/>
                <w:lang w:eastAsia="sl-SI"/>
              </w:rPr>
            </w:pPr>
            <w:r w:rsidRPr="000D6F3F">
              <w:rPr>
                <w:rFonts w:ascii="Calibri" w:eastAsia="Times New Roman" w:hAnsi="Calibri" w:cs="Arial"/>
                <w:bCs/>
                <w:color w:val="000000"/>
                <w:sz w:val="18"/>
                <w:szCs w:val="18"/>
                <w:lang w:eastAsia="sl-SI"/>
              </w:rPr>
              <w:t>NE</w:t>
            </w:r>
          </w:p>
        </w:tc>
        <w:tc>
          <w:tcPr>
            <w:tcW w:w="5220" w:type="dxa"/>
            <w:shd w:val="clear" w:color="auto" w:fill="auto"/>
            <w:hideMark/>
          </w:tcPr>
          <w:p w14:paraId="1448C37E" w14:textId="77777777" w:rsidR="000D6F3F" w:rsidRPr="000D6F3F" w:rsidRDefault="000D6F3F" w:rsidP="003C473C">
            <w:pPr>
              <w:spacing w:after="0"/>
              <w:rPr>
                <w:rFonts w:asciiTheme="minorHAnsi" w:hAnsiTheme="minorHAnsi" w:cs="Arial"/>
                <w:sz w:val="18"/>
                <w:szCs w:val="18"/>
              </w:rPr>
            </w:pPr>
            <w:r w:rsidRPr="000D6F3F">
              <w:rPr>
                <w:rFonts w:asciiTheme="minorHAnsi" w:hAnsiTheme="minorHAnsi" w:cs="Arial"/>
                <w:sz w:val="18"/>
                <w:szCs w:val="18"/>
              </w:rPr>
              <w:t>Menimo, da predlagana ureditev ni protiustavna.</w:t>
            </w:r>
          </w:p>
          <w:p w14:paraId="54ED4F39" w14:textId="77777777" w:rsidR="006817A5" w:rsidRDefault="006817A5" w:rsidP="003C473C">
            <w:pPr>
              <w:spacing w:after="0"/>
              <w:jc w:val="left"/>
              <w:rPr>
                <w:rFonts w:asciiTheme="minorHAnsi" w:hAnsiTheme="minorHAnsi" w:cs="Arial"/>
                <w:sz w:val="18"/>
                <w:szCs w:val="18"/>
              </w:rPr>
            </w:pPr>
          </w:p>
          <w:p w14:paraId="1448C380" w14:textId="48CF0009" w:rsidR="00F85ADF" w:rsidRPr="00AB512D" w:rsidRDefault="000D6F3F" w:rsidP="003C473C">
            <w:pPr>
              <w:spacing w:after="0"/>
              <w:jc w:val="left"/>
              <w:rPr>
                <w:rFonts w:ascii="Calibri" w:eastAsia="Times New Roman" w:hAnsi="Calibri" w:cs="Arial"/>
                <w:b/>
                <w:bCs/>
                <w:color w:val="000000"/>
                <w:sz w:val="18"/>
                <w:szCs w:val="18"/>
                <w:lang w:eastAsia="sl-SI"/>
              </w:rPr>
            </w:pPr>
            <w:r w:rsidRPr="000D6F3F">
              <w:rPr>
                <w:rFonts w:asciiTheme="minorHAnsi" w:hAnsiTheme="minorHAnsi" w:cs="Arial"/>
                <w:sz w:val="18"/>
                <w:szCs w:val="18"/>
              </w:rPr>
              <w:t>Glede na to, da so člani kmečkega gospodinjstva ekonomski lastniki tega dohodka, je predlagana ureditev utemeljena, ne da bi člani ob priglasitvi podajali izjavo o solidarni odgovornosti za davek, ki se nanaša na osnovno kmetijsko in gozdarsko dejavnost</w:t>
            </w:r>
            <w:r>
              <w:rPr>
                <w:rFonts w:asciiTheme="minorHAnsi" w:hAnsiTheme="minorHAnsi" w:cs="Arial"/>
                <w:sz w:val="18"/>
                <w:szCs w:val="18"/>
              </w:rPr>
              <w:t>.</w:t>
            </w:r>
          </w:p>
        </w:tc>
      </w:tr>
      <w:tr w:rsidR="00F85ADF" w:rsidRPr="00AB512D" w14:paraId="1448C386" w14:textId="77777777" w:rsidTr="00EC73AA">
        <w:trPr>
          <w:trHeight w:val="285"/>
        </w:trPr>
        <w:tc>
          <w:tcPr>
            <w:tcW w:w="1600" w:type="dxa"/>
            <w:shd w:val="clear" w:color="auto" w:fill="auto"/>
            <w:hideMark/>
          </w:tcPr>
          <w:p w14:paraId="1448C382"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83"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84"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5220" w:type="dxa"/>
            <w:shd w:val="clear" w:color="auto" w:fill="auto"/>
            <w:hideMark/>
          </w:tcPr>
          <w:p w14:paraId="1448C385"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39E" w14:textId="77777777" w:rsidTr="00EC73AA">
        <w:trPr>
          <w:trHeight w:val="960"/>
        </w:trPr>
        <w:tc>
          <w:tcPr>
            <w:tcW w:w="1600" w:type="dxa"/>
            <w:shd w:val="clear" w:color="auto" w:fill="auto"/>
            <w:hideMark/>
          </w:tcPr>
          <w:p w14:paraId="1448C387"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88" w14:textId="77777777" w:rsidR="000D6F3F" w:rsidRPr="000D6F3F" w:rsidRDefault="000D6F3F" w:rsidP="003C473C">
            <w:pPr>
              <w:autoSpaceDE w:val="0"/>
              <w:autoSpaceDN w:val="0"/>
              <w:adjustRightInd w:val="0"/>
              <w:spacing w:after="0"/>
              <w:rPr>
                <w:rFonts w:asciiTheme="minorHAnsi" w:hAnsiTheme="minorHAnsi" w:cs="Arial"/>
                <w:b/>
                <w:color w:val="000000" w:themeColor="text1"/>
                <w:sz w:val="18"/>
                <w:szCs w:val="18"/>
              </w:rPr>
            </w:pPr>
            <w:r w:rsidRPr="000D6F3F">
              <w:rPr>
                <w:rFonts w:asciiTheme="minorHAnsi" w:hAnsiTheme="minorHAnsi" w:cs="Arial"/>
                <w:b/>
                <w:color w:val="000000" w:themeColor="text1"/>
                <w:sz w:val="18"/>
                <w:szCs w:val="18"/>
              </w:rPr>
              <w:t>K</w:t>
            </w:r>
            <w:r w:rsidRPr="008C251D">
              <w:rPr>
                <w:rFonts w:cs="Arial"/>
                <w:b/>
                <w:color w:val="000000" w:themeColor="text1"/>
                <w:sz w:val="20"/>
                <w:szCs w:val="20"/>
              </w:rPr>
              <w:t xml:space="preserve"> </w:t>
            </w:r>
            <w:r w:rsidRPr="000D6F3F">
              <w:rPr>
                <w:rFonts w:asciiTheme="minorHAnsi" w:hAnsiTheme="minorHAnsi" w:cs="Arial"/>
                <w:b/>
                <w:color w:val="000000" w:themeColor="text1"/>
                <w:sz w:val="18"/>
                <w:szCs w:val="18"/>
              </w:rPr>
              <w:t>40. členu (182. člen ZDavP-2)</w:t>
            </w:r>
          </w:p>
          <w:p w14:paraId="1448C389" w14:textId="77777777" w:rsidR="000D6F3F" w:rsidRPr="000D6F3F" w:rsidRDefault="000D6F3F" w:rsidP="003C473C">
            <w:pPr>
              <w:autoSpaceDE w:val="0"/>
              <w:autoSpaceDN w:val="0"/>
              <w:adjustRightInd w:val="0"/>
              <w:spacing w:after="0"/>
              <w:rPr>
                <w:rFonts w:asciiTheme="minorHAnsi" w:hAnsiTheme="minorHAnsi" w:cs="Arial"/>
                <w:sz w:val="18"/>
                <w:szCs w:val="18"/>
              </w:rPr>
            </w:pPr>
            <w:r>
              <w:rPr>
                <w:rFonts w:asciiTheme="minorHAnsi" w:hAnsiTheme="minorHAnsi" w:cs="Arial"/>
                <w:sz w:val="18"/>
                <w:szCs w:val="18"/>
              </w:rPr>
              <w:t>Predl</w:t>
            </w:r>
            <w:r w:rsidRPr="000D6F3F">
              <w:rPr>
                <w:rFonts w:asciiTheme="minorHAnsi" w:hAnsiTheme="minorHAnsi" w:cs="Arial"/>
                <w:sz w:val="18"/>
                <w:szCs w:val="18"/>
              </w:rPr>
              <w:t>o</w:t>
            </w:r>
            <w:r>
              <w:rPr>
                <w:rFonts w:asciiTheme="minorHAnsi" w:hAnsiTheme="minorHAnsi" w:cs="Arial"/>
                <w:sz w:val="18"/>
                <w:szCs w:val="18"/>
              </w:rPr>
              <w:t>g za</w:t>
            </w:r>
            <w:r w:rsidRPr="000D6F3F">
              <w:rPr>
                <w:rFonts w:asciiTheme="minorHAnsi" w:hAnsiTheme="minorHAnsi" w:cs="Arial"/>
                <w:sz w:val="18"/>
                <w:szCs w:val="18"/>
              </w:rPr>
              <w:t xml:space="preserve"> spremembe oz. dopolnitve določb:</w:t>
            </w:r>
          </w:p>
          <w:p w14:paraId="1448C38A" w14:textId="1DF62345" w:rsidR="000D6F3F" w:rsidRPr="000D6F3F" w:rsidRDefault="000D6F3F" w:rsidP="003C473C">
            <w:pPr>
              <w:pStyle w:val="ListParagraph"/>
              <w:numPr>
                <w:ilvl w:val="0"/>
                <w:numId w:val="9"/>
              </w:numPr>
              <w:autoSpaceDE w:val="0"/>
              <w:autoSpaceDN w:val="0"/>
              <w:adjustRightInd w:val="0"/>
              <w:spacing w:after="0"/>
              <w:rPr>
                <w:rFonts w:asciiTheme="minorHAnsi" w:hAnsiTheme="minorHAnsi" w:cs="Arial"/>
                <w:sz w:val="18"/>
                <w:szCs w:val="18"/>
              </w:rPr>
            </w:pPr>
            <w:r w:rsidRPr="000D6F3F">
              <w:rPr>
                <w:rFonts w:asciiTheme="minorHAnsi" w:hAnsiTheme="minorHAnsi" w:cs="Arial"/>
                <w:sz w:val="18"/>
                <w:szCs w:val="18"/>
              </w:rPr>
              <w:t>petega odstavka glede opredelitve konkretnih kriterijev in meril za proda</w:t>
            </w:r>
            <w:r w:rsidR="00900A88">
              <w:rPr>
                <w:rFonts w:asciiTheme="minorHAnsi" w:hAnsiTheme="minorHAnsi" w:cs="Arial"/>
                <w:sz w:val="18"/>
                <w:szCs w:val="18"/>
              </w:rPr>
              <w:t>jo sporne in zarubljene stvari.</w:t>
            </w:r>
          </w:p>
          <w:p w14:paraId="1448C38B" w14:textId="06B3D0D5" w:rsidR="000D6F3F" w:rsidRPr="000D6F3F" w:rsidRDefault="000D6F3F" w:rsidP="003C473C">
            <w:pPr>
              <w:pStyle w:val="ListParagraph"/>
              <w:numPr>
                <w:ilvl w:val="0"/>
                <w:numId w:val="9"/>
              </w:numPr>
              <w:spacing w:after="0"/>
              <w:jc w:val="left"/>
              <w:rPr>
                <w:rFonts w:asciiTheme="minorHAnsi" w:eastAsia="Times New Roman" w:hAnsiTheme="minorHAnsi" w:cs="Arial"/>
                <w:color w:val="000000"/>
                <w:sz w:val="18"/>
                <w:szCs w:val="18"/>
                <w:lang w:eastAsia="sl-SI"/>
              </w:rPr>
            </w:pPr>
            <w:r w:rsidRPr="000D6F3F">
              <w:rPr>
                <w:rFonts w:asciiTheme="minorHAnsi" w:hAnsiTheme="minorHAnsi" w:cs="Arial"/>
                <w:sz w:val="18"/>
                <w:szCs w:val="18"/>
              </w:rPr>
              <w:t>šestega odstavka glede vrnitve zarubljene stvari, na kateri je izkazana lastninske pravice tretje osebe</w:t>
            </w:r>
            <w:r w:rsidR="00900A88">
              <w:rPr>
                <w:rFonts w:asciiTheme="minorHAnsi" w:hAnsiTheme="minorHAnsi" w:cs="Arial"/>
                <w:sz w:val="18"/>
                <w:szCs w:val="18"/>
              </w:rPr>
              <w:t>.</w:t>
            </w:r>
          </w:p>
          <w:p w14:paraId="1448C38C" w14:textId="77777777" w:rsidR="00F85ADF" w:rsidRPr="00AB512D" w:rsidRDefault="00F85ADF" w:rsidP="003C473C">
            <w:pPr>
              <w:spacing w:after="0"/>
              <w:jc w:val="left"/>
              <w:rPr>
                <w:rFonts w:ascii="Calibri" w:eastAsia="Times New Roman" w:hAnsi="Calibri" w:cs="Arial"/>
                <w:color w:val="000000"/>
                <w:sz w:val="18"/>
                <w:szCs w:val="18"/>
                <w:lang w:eastAsia="sl-SI"/>
              </w:rPr>
            </w:pPr>
          </w:p>
        </w:tc>
        <w:tc>
          <w:tcPr>
            <w:tcW w:w="1946" w:type="dxa"/>
            <w:shd w:val="clear" w:color="auto" w:fill="auto"/>
            <w:hideMark/>
          </w:tcPr>
          <w:p w14:paraId="1448C38D"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38E" w14:textId="77777777" w:rsidR="00124EEF" w:rsidRPr="00AB512D" w:rsidRDefault="00124EEF"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38F"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Tovrstno »nujno prodajo« omogočajo tudi ZKP-1 (506.a člen), ZOPNI (41. člen) in ZP-1 (123. člen), zato menimo, da so neutemeljene pripombe glede nedopustnosti oz. neustavnosti takšne ureditve. </w:t>
            </w:r>
          </w:p>
          <w:p w14:paraId="1448C390" w14:textId="77777777" w:rsidR="000D6F3F" w:rsidRDefault="000D6F3F" w:rsidP="003C473C">
            <w:pPr>
              <w:spacing w:after="0"/>
              <w:jc w:val="left"/>
              <w:rPr>
                <w:rFonts w:ascii="Calibri" w:eastAsia="Times New Roman" w:hAnsi="Calibri" w:cs="Arial"/>
                <w:color w:val="000000"/>
                <w:sz w:val="18"/>
                <w:szCs w:val="18"/>
                <w:lang w:eastAsia="sl-SI"/>
              </w:rPr>
            </w:pPr>
          </w:p>
          <w:p w14:paraId="1448C391" w14:textId="77777777" w:rsidR="000D6F3F" w:rsidRDefault="000D6F3F" w:rsidP="003C473C">
            <w:pPr>
              <w:spacing w:after="0"/>
              <w:jc w:val="left"/>
              <w:rPr>
                <w:rFonts w:ascii="Calibri" w:eastAsia="Times New Roman" w:hAnsi="Calibri" w:cs="Arial"/>
                <w:strike/>
                <w:color w:val="FF0000"/>
                <w:sz w:val="18"/>
                <w:szCs w:val="18"/>
                <w:lang w:eastAsia="sl-SI"/>
              </w:rPr>
            </w:pPr>
            <w:r w:rsidRPr="00AB512D">
              <w:rPr>
                <w:rFonts w:ascii="Calibri" w:eastAsia="Times New Roman" w:hAnsi="Calibri" w:cs="Arial"/>
                <w:color w:val="000000"/>
                <w:sz w:val="18"/>
                <w:szCs w:val="18"/>
                <w:lang w:eastAsia="sl-SI"/>
              </w:rPr>
              <w:t xml:space="preserve">Tretja oseba lahko zahteva odškodnino že po splošnih pravilih Obligacijskega zakonika, zato ni potrebna določitev tudi v ZDavP-2. Sicer pa so pravila vračanja v primeru neupravičene pridobitve urejena v Obligacijskem zakoniku. </w:t>
            </w:r>
            <w:r w:rsidRPr="00AB512D">
              <w:rPr>
                <w:rFonts w:ascii="Calibri" w:eastAsia="Times New Roman" w:hAnsi="Calibri" w:cs="Arial"/>
                <w:strike/>
                <w:color w:val="FF0000"/>
                <w:sz w:val="18"/>
                <w:szCs w:val="18"/>
                <w:lang w:eastAsia="sl-SI"/>
              </w:rPr>
              <w:t xml:space="preserve"> </w:t>
            </w:r>
          </w:p>
          <w:p w14:paraId="1448C392" w14:textId="77777777" w:rsidR="000D6F3F" w:rsidRDefault="000D6F3F" w:rsidP="003C473C">
            <w:pPr>
              <w:spacing w:after="0"/>
              <w:jc w:val="left"/>
              <w:rPr>
                <w:rFonts w:ascii="Calibri" w:eastAsia="Times New Roman" w:hAnsi="Calibri" w:cs="Arial"/>
                <w:color w:val="000000"/>
                <w:sz w:val="18"/>
                <w:szCs w:val="18"/>
                <w:lang w:eastAsia="sl-SI"/>
              </w:rPr>
            </w:pPr>
          </w:p>
          <w:p w14:paraId="1448C393" w14:textId="77777777" w:rsidR="000D6F3F" w:rsidRDefault="000D6F3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ZUP v 10. členu določa, da o tem, katera dejstva je šteti za dokazana, presodi uradna oseba, pooblaščena za vodenje postopka oziroma odločanje v upravni zadevi po svojem prepričanju, na podlagi vestne in skrbne presoje vsakega dokaza posebej in vseh dokazov skupaj ter na podlagi uspeha celotnega postopka.</w:t>
            </w:r>
          </w:p>
          <w:p w14:paraId="1448C394" w14:textId="77777777" w:rsidR="000D6F3F" w:rsidRDefault="000D6F3F" w:rsidP="003C473C">
            <w:pPr>
              <w:spacing w:after="0"/>
              <w:jc w:val="left"/>
              <w:rPr>
                <w:rFonts w:ascii="Calibri" w:eastAsia="Times New Roman" w:hAnsi="Calibri" w:cs="Arial"/>
                <w:color w:val="000000"/>
                <w:sz w:val="18"/>
                <w:szCs w:val="18"/>
                <w:lang w:eastAsia="sl-SI"/>
              </w:rPr>
            </w:pPr>
          </w:p>
          <w:p w14:paraId="1448C395" w14:textId="77777777" w:rsidR="000D6F3F" w:rsidRDefault="000D6F3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Zgolj izjava tretje osebe oz. priče, ob odsotnosti ostalih dokazov, sama po sebi nikakor ne omogoča zaključka, da je lastninska pravica tretje osebe izkazana.</w:t>
            </w:r>
          </w:p>
          <w:p w14:paraId="1448C396" w14:textId="77777777" w:rsidR="000D6F3F" w:rsidRDefault="000D6F3F" w:rsidP="003C473C">
            <w:pPr>
              <w:spacing w:after="0"/>
              <w:jc w:val="left"/>
              <w:rPr>
                <w:rFonts w:ascii="Calibri" w:eastAsia="Times New Roman" w:hAnsi="Calibri" w:cs="Arial"/>
                <w:color w:val="000000"/>
                <w:sz w:val="18"/>
                <w:szCs w:val="18"/>
                <w:lang w:eastAsia="sl-SI"/>
              </w:rPr>
            </w:pPr>
          </w:p>
          <w:p w14:paraId="1448C397" w14:textId="77777777" w:rsidR="000D6F3F" w:rsidRDefault="000D6F3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 vprašanju, kdo je lastnik stvari, ki je predmet izvršbe, je potrebno upoštevati tudi določbe ZUP, ki urejajo predhodno vprašanje.</w:t>
            </w:r>
          </w:p>
          <w:p w14:paraId="1448C398" w14:textId="77777777" w:rsidR="000D6F3F" w:rsidRDefault="000D6F3F" w:rsidP="003C473C">
            <w:pPr>
              <w:spacing w:after="0"/>
              <w:jc w:val="left"/>
              <w:rPr>
                <w:rFonts w:ascii="Calibri" w:eastAsia="Times New Roman" w:hAnsi="Calibri" w:cs="Arial"/>
                <w:color w:val="000000"/>
                <w:sz w:val="18"/>
                <w:szCs w:val="18"/>
                <w:lang w:eastAsia="sl-SI"/>
              </w:rPr>
            </w:pPr>
          </w:p>
          <w:p w14:paraId="1448C399" w14:textId="77777777" w:rsidR="000D6F3F" w:rsidRDefault="000D6F3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147. člen določa: »Če organ, ki vodi postopek, naleti na tako vprašanje, da brez njegove rešitve ni mogoče rešiti same zadeve, to vprašanje pa je samostojna pravna celota, ki spada v pristojnost sodišča ali kakšnega drugega organa (predhodno vprašanje), ga lahko ob pogojih iz tega zakona organ sam obravnava ali pa prekine postopek, dokler ga ne reši pristojni organ. O prekinitvi postopka izda sklep, zoper katerega je dovoljena pritožba, razen če ga je izdal organ druge stopnje.«</w:t>
            </w:r>
          </w:p>
          <w:p w14:paraId="1448C39A" w14:textId="77777777" w:rsidR="000D6F3F" w:rsidRDefault="000D6F3F" w:rsidP="003C473C">
            <w:pPr>
              <w:spacing w:after="0"/>
              <w:jc w:val="left"/>
              <w:rPr>
                <w:rFonts w:ascii="Calibri" w:eastAsia="Times New Roman" w:hAnsi="Calibri" w:cs="Arial"/>
                <w:color w:val="000000"/>
                <w:sz w:val="18"/>
                <w:szCs w:val="18"/>
                <w:lang w:eastAsia="sl-SI"/>
              </w:rPr>
            </w:pPr>
          </w:p>
          <w:p w14:paraId="1448C39B" w14:textId="77777777" w:rsidR="000D6F3F" w:rsidRDefault="000D6F3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151. člen ZUP: »V zadevi, v kateri se začne postopek za rešitev predhodnega vprašanja na vlogo (zahtevo, tožbo ipd.) stranke, lahko naloži organ, ki vodi upravni postopek, s sklepom eni izmed strank, naj vloži pri pristojnem organu vlogo za začetek postopka za rešitev predhodnega vprašanja; hkrati ji določi rok, v katerem mora to storiti in mu o tem predložiti dokazilo. Če stranka v določenem roku ne predloži dokazila, da je pri pristojnem organu vložila vlogo za začetek postopka o predhodnem vprašanju, se šteje, da je stranka, na katere zahtevo je bil postopek začet, to zahtevo umaknila, organ pa s sklepom ustavi postopek. Če dokazila ni predložila katerakoli druga stranka v postopku, organ nadaljuje postopek in odloči o zadevi.«</w:t>
            </w:r>
          </w:p>
          <w:p w14:paraId="1448C39C" w14:textId="77777777" w:rsidR="000D6F3F" w:rsidRDefault="000D6F3F" w:rsidP="003C473C">
            <w:pPr>
              <w:spacing w:after="0"/>
              <w:jc w:val="left"/>
              <w:rPr>
                <w:rFonts w:ascii="Calibri" w:eastAsia="Times New Roman" w:hAnsi="Calibri" w:cs="Arial"/>
                <w:color w:val="000000"/>
                <w:sz w:val="18"/>
                <w:szCs w:val="18"/>
                <w:lang w:eastAsia="sl-SI"/>
              </w:rPr>
            </w:pPr>
          </w:p>
          <w:p w14:paraId="1448C39D" w14:textId="77777777" w:rsidR="000D6F3F" w:rsidRPr="00AB512D" w:rsidRDefault="000D6F3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Ureditev v 182. členu ZDavP-2 torej smiselno sledi določbam ZUP, ki urejajo postopek odločanja o predhodnem vprašanju.</w:t>
            </w:r>
          </w:p>
        </w:tc>
      </w:tr>
      <w:tr w:rsidR="00F85ADF" w:rsidRPr="00AB512D" w14:paraId="1448C3A8" w14:textId="77777777" w:rsidTr="00EC73AA">
        <w:trPr>
          <w:trHeight w:val="2880"/>
        </w:trPr>
        <w:tc>
          <w:tcPr>
            <w:tcW w:w="1600" w:type="dxa"/>
            <w:shd w:val="clear" w:color="auto" w:fill="auto"/>
            <w:hideMark/>
          </w:tcPr>
          <w:p w14:paraId="1448C39F"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3A0" w14:textId="77777777" w:rsidR="000911C1" w:rsidRPr="000911C1" w:rsidRDefault="00F85ADF" w:rsidP="003C473C">
            <w:pPr>
              <w:autoSpaceDE w:val="0"/>
              <w:autoSpaceDN w:val="0"/>
              <w:adjustRightInd w:val="0"/>
              <w:spacing w:after="0"/>
              <w:rPr>
                <w:rFonts w:asciiTheme="minorHAnsi" w:hAnsiTheme="minorHAnsi" w:cs="Arial"/>
                <w:b/>
                <w:sz w:val="18"/>
                <w:szCs w:val="18"/>
              </w:rPr>
            </w:pPr>
            <w:r w:rsidRPr="000911C1">
              <w:rPr>
                <w:rFonts w:asciiTheme="minorHAnsi" w:eastAsia="Times New Roman" w:hAnsiTheme="minorHAnsi" w:cs="Arial"/>
                <w:b/>
                <w:bCs/>
                <w:color w:val="000000"/>
                <w:sz w:val="18"/>
                <w:szCs w:val="18"/>
                <w:lang w:eastAsia="sl-SI"/>
              </w:rPr>
              <w:t> </w:t>
            </w:r>
            <w:r w:rsidR="000911C1" w:rsidRPr="000911C1">
              <w:rPr>
                <w:rFonts w:asciiTheme="minorHAnsi" w:hAnsiTheme="minorHAnsi" w:cs="Arial"/>
                <w:b/>
                <w:sz w:val="18"/>
                <w:szCs w:val="18"/>
              </w:rPr>
              <w:t>K 55. členu (288. člen ZDavP-2)</w:t>
            </w:r>
          </w:p>
          <w:p w14:paraId="1448C3A1" w14:textId="3F335EBA" w:rsidR="000911C1" w:rsidRPr="000911C1" w:rsidRDefault="000911C1" w:rsidP="003C473C">
            <w:pPr>
              <w:autoSpaceDE w:val="0"/>
              <w:autoSpaceDN w:val="0"/>
              <w:adjustRightInd w:val="0"/>
              <w:spacing w:after="0"/>
              <w:rPr>
                <w:rFonts w:asciiTheme="minorHAnsi" w:hAnsiTheme="minorHAnsi" w:cs="Arial"/>
                <w:sz w:val="18"/>
                <w:szCs w:val="18"/>
              </w:rPr>
            </w:pPr>
            <w:r>
              <w:rPr>
                <w:rFonts w:asciiTheme="minorHAnsi" w:hAnsiTheme="minorHAnsi" w:cs="Arial"/>
                <w:sz w:val="18"/>
                <w:szCs w:val="18"/>
              </w:rPr>
              <w:t>Predlog</w:t>
            </w:r>
            <w:r w:rsidRPr="000911C1">
              <w:rPr>
                <w:rFonts w:asciiTheme="minorHAnsi" w:hAnsiTheme="minorHAnsi" w:cs="Arial"/>
                <w:sz w:val="18"/>
                <w:szCs w:val="18"/>
              </w:rPr>
              <w:t xml:space="preserve"> dodatn</w:t>
            </w:r>
            <w:r>
              <w:rPr>
                <w:rFonts w:asciiTheme="minorHAnsi" w:hAnsiTheme="minorHAnsi" w:cs="Arial"/>
                <w:sz w:val="18"/>
                <w:szCs w:val="18"/>
              </w:rPr>
              <w:t>e</w:t>
            </w:r>
            <w:r w:rsidRPr="000911C1">
              <w:rPr>
                <w:rFonts w:asciiTheme="minorHAnsi" w:hAnsiTheme="minorHAnsi" w:cs="Arial"/>
                <w:sz w:val="18"/>
                <w:szCs w:val="18"/>
              </w:rPr>
              <w:t xml:space="preserve"> sprememb</w:t>
            </w:r>
            <w:r>
              <w:rPr>
                <w:rFonts w:asciiTheme="minorHAnsi" w:hAnsiTheme="minorHAnsi" w:cs="Arial"/>
                <w:sz w:val="18"/>
                <w:szCs w:val="18"/>
              </w:rPr>
              <w:t>e</w:t>
            </w:r>
            <w:r w:rsidRPr="000911C1">
              <w:rPr>
                <w:rFonts w:asciiTheme="minorHAnsi" w:hAnsiTheme="minorHAnsi" w:cs="Arial"/>
                <w:sz w:val="18"/>
                <w:szCs w:val="18"/>
              </w:rPr>
              <w:t xml:space="preserve"> </w:t>
            </w:r>
            <w:r w:rsidR="00856B23">
              <w:rPr>
                <w:rFonts w:asciiTheme="minorHAnsi" w:hAnsiTheme="minorHAnsi" w:cs="Arial"/>
                <w:sz w:val="18"/>
                <w:szCs w:val="18"/>
              </w:rPr>
              <w:t>tretjega</w:t>
            </w:r>
            <w:r w:rsidRPr="000911C1">
              <w:rPr>
                <w:rFonts w:asciiTheme="minorHAnsi" w:hAnsiTheme="minorHAnsi" w:cs="Arial"/>
                <w:sz w:val="18"/>
                <w:szCs w:val="18"/>
              </w:rPr>
              <w:t xml:space="preserve"> in </w:t>
            </w:r>
            <w:r w:rsidR="00856B23">
              <w:rPr>
                <w:rFonts w:asciiTheme="minorHAnsi" w:hAnsiTheme="minorHAnsi" w:cs="Arial"/>
                <w:sz w:val="18"/>
                <w:szCs w:val="18"/>
              </w:rPr>
              <w:t>četrtega</w:t>
            </w:r>
            <w:r w:rsidRPr="000911C1">
              <w:rPr>
                <w:rFonts w:asciiTheme="minorHAnsi" w:hAnsiTheme="minorHAnsi" w:cs="Arial"/>
                <w:sz w:val="18"/>
                <w:szCs w:val="18"/>
              </w:rPr>
              <w:t xml:space="preserve"> odstavka 288. člena ZDavP</w:t>
            </w:r>
            <w:r>
              <w:rPr>
                <w:rFonts w:asciiTheme="minorHAnsi" w:hAnsiTheme="minorHAnsi" w:cs="Arial"/>
                <w:sz w:val="18"/>
                <w:szCs w:val="18"/>
              </w:rPr>
              <w:t>-2</w:t>
            </w:r>
            <w:r w:rsidRPr="000911C1">
              <w:rPr>
                <w:rFonts w:asciiTheme="minorHAnsi" w:hAnsiTheme="minorHAnsi" w:cs="Arial"/>
                <w:sz w:val="18"/>
                <w:szCs w:val="18"/>
              </w:rPr>
              <w:t>, s katero bi se v ta dva odstavka vkl</w:t>
            </w:r>
            <w:r>
              <w:rPr>
                <w:rFonts w:asciiTheme="minorHAnsi" w:hAnsiTheme="minorHAnsi" w:cs="Arial"/>
                <w:sz w:val="18"/>
                <w:szCs w:val="18"/>
              </w:rPr>
              <w:t xml:space="preserve">jučile tudi osebe, ki prejemajo </w:t>
            </w:r>
            <w:r w:rsidRPr="000911C1">
              <w:rPr>
                <w:rFonts w:asciiTheme="minorHAnsi" w:hAnsiTheme="minorHAnsi" w:cs="Arial"/>
                <w:sz w:val="18"/>
                <w:szCs w:val="18"/>
              </w:rPr>
              <w:t>redni mesečni dohodek na podlag</w:t>
            </w:r>
            <w:r>
              <w:rPr>
                <w:rFonts w:asciiTheme="minorHAnsi" w:hAnsiTheme="minorHAnsi" w:cs="Arial"/>
                <w:sz w:val="18"/>
                <w:szCs w:val="18"/>
              </w:rPr>
              <w:t xml:space="preserve">i drugega pogodbenega razmerja. </w:t>
            </w:r>
            <w:r w:rsidRPr="000911C1">
              <w:rPr>
                <w:rFonts w:asciiTheme="minorHAnsi" w:hAnsiTheme="minorHAnsi" w:cs="Arial"/>
                <w:sz w:val="18"/>
                <w:szCs w:val="18"/>
              </w:rPr>
              <w:t>Zdaj so v ta dva odstavka vključene le osebe, ki prejemajo dohodek iz delovnega razmerja ali pokojnino.</w:t>
            </w:r>
          </w:p>
          <w:p w14:paraId="1448C3A2"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A3" w14:textId="77777777" w:rsidR="000911C1" w:rsidRDefault="000911C1" w:rsidP="003C473C">
            <w:pPr>
              <w:spacing w:after="0"/>
              <w:jc w:val="left"/>
              <w:rPr>
                <w:rFonts w:ascii="Calibri" w:eastAsia="Times New Roman" w:hAnsi="Calibri" w:cs="Arial"/>
                <w:color w:val="000000"/>
                <w:sz w:val="18"/>
                <w:szCs w:val="18"/>
                <w:lang w:eastAsia="sl-SI"/>
              </w:rPr>
            </w:pPr>
          </w:p>
          <w:p w14:paraId="1448C3A4"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shd w:val="clear" w:color="auto" w:fill="auto"/>
            <w:hideMark/>
          </w:tcPr>
          <w:p w14:paraId="1448C3A5"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Predmetna poenostavitev je utemeljena in smiselna z vidika poenostavitve samo za zavezance, ki prejemajo dohodke po pravnih podlagah, ki po svoji naravi pomenijo dokaj trajno razmerje z vnaprej določenimi pravicami iz predmetnega razmerja. Torej dohodek je reden in se v načelu njegova višina mesečno bistveno ne spreminja. Takšno naravo dohodka lahko pripišemo zgolj dohodkom iz delovnega razmerja in pokojninam. Drugo pogodbeno razmerje (npr. pogodba o delu, avtorska pogodba) po svoji naravi oziroma vsebini v načelu ne ustreza navedenim pogojem, ker je po svoji naravi namenjeno za začasna in občasna dela oziroma opravljanje storitev.  </w:t>
            </w:r>
          </w:p>
          <w:p w14:paraId="1448C3A6" w14:textId="77777777" w:rsidR="000911C1" w:rsidRDefault="000911C1" w:rsidP="003C473C">
            <w:pPr>
              <w:spacing w:after="0"/>
              <w:jc w:val="left"/>
              <w:rPr>
                <w:rFonts w:ascii="Calibri" w:eastAsia="Times New Roman" w:hAnsi="Calibri" w:cs="Arial"/>
                <w:color w:val="000000"/>
                <w:sz w:val="18"/>
                <w:szCs w:val="18"/>
                <w:lang w:eastAsia="sl-SI"/>
              </w:rPr>
            </w:pPr>
          </w:p>
          <w:p w14:paraId="1448C3A7" w14:textId="77777777" w:rsidR="000911C1" w:rsidRPr="00AB512D" w:rsidRDefault="000911C1" w:rsidP="003C473C">
            <w:pPr>
              <w:spacing w:after="0"/>
              <w:jc w:val="left"/>
              <w:rPr>
                <w:rFonts w:ascii="Calibri" w:eastAsia="Times New Roman" w:hAnsi="Calibri" w:cs="Arial"/>
                <w:color w:val="000000"/>
                <w:sz w:val="18"/>
                <w:szCs w:val="18"/>
                <w:lang w:eastAsia="sl-SI"/>
              </w:rPr>
            </w:pPr>
          </w:p>
        </w:tc>
      </w:tr>
      <w:tr w:rsidR="00F85ADF" w:rsidRPr="00AB512D" w14:paraId="1448C3BF" w14:textId="77777777" w:rsidTr="000911C1">
        <w:trPr>
          <w:trHeight w:val="285"/>
        </w:trPr>
        <w:tc>
          <w:tcPr>
            <w:tcW w:w="1600" w:type="dxa"/>
            <w:shd w:val="clear" w:color="auto" w:fill="auto"/>
            <w:hideMark/>
          </w:tcPr>
          <w:p w14:paraId="1448C3A9"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tcPr>
          <w:p w14:paraId="1448C3AA" w14:textId="77777777" w:rsidR="000911C1" w:rsidRPr="000911C1" w:rsidRDefault="000911C1" w:rsidP="003C473C">
            <w:pPr>
              <w:autoSpaceDE w:val="0"/>
              <w:autoSpaceDN w:val="0"/>
              <w:adjustRightInd w:val="0"/>
              <w:spacing w:after="0"/>
              <w:rPr>
                <w:rFonts w:asciiTheme="minorHAnsi" w:hAnsiTheme="minorHAnsi" w:cs="Arial"/>
                <w:b/>
                <w:sz w:val="18"/>
                <w:szCs w:val="18"/>
              </w:rPr>
            </w:pPr>
            <w:r w:rsidRPr="000911C1">
              <w:rPr>
                <w:rFonts w:asciiTheme="minorHAnsi" w:hAnsiTheme="minorHAnsi" w:cs="Arial"/>
                <w:b/>
                <w:sz w:val="18"/>
                <w:szCs w:val="18"/>
              </w:rPr>
              <w:t>K 56. členu (289. člen ZDavP-2)</w:t>
            </w:r>
          </w:p>
          <w:p w14:paraId="1448C3AB" w14:textId="77777777" w:rsidR="000911C1" w:rsidRPr="000911C1" w:rsidRDefault="000911C1" w:rsidP="003C473C">
            <w:pPr>
              <w:autoSpaceDE w:val="0"/>
              <w:autoSpaceDN w:val="0"/>
              <w:adjustRightInd w:val="0"/>
              <w:spacing w:after="0"/>
              <w:rPr>
                <w:rFonts w:asciiTheme="minorHAnsi" w:hAnsiTheme="minorHAnsi" w:cs="Arial"/>
                <w:sz w:val="18"/>
                <w:szCs w:val="18"/>
              </w:rPr>
            </w:pPr>
            <w:r>
              <w:rPr>
                <w:rFonts w:asciiTheme="minorHAnsi" w:hAnsiTheme="minorHAnsi" w:cs="Arial"/>
                <w:sz w:val="18"/>
                <w:szCs w:val="18"/>
              </w:rPr>
              <w:t>Predlog  spremembe prvega</w:t>
            </w:r>
            <w:r w:rsidRPr="000911C1">
              <w:rPr>
                <w:rFonts w:asciiTheme="minorHAnsi" w:hAnsiTheme="minorHAnsi" w:cs="Arial"/>
                <w:sz w:val="18"/>
                <w:szCs w:val="18"/>
              </w:rPr>
              <w:t xml:space="preserve"> od</w:t>
            </w:r>
            <w:r>
              <w:rPr>
                <w:rFonts w:asciiTheme="minorHAnsi" w:hAnsiTheme="minorHAnsi" w:cs="Arial"/>
                <w:sz w:val="18"/>
                <w:szCs w:val="18"/>
              </w:rPr>
              <w:t xml:space="preserve">stavka 289. člena, da se </w:t>
            </w:r>
            <w:r w:rsidRPr="000911C1">
              <w:rPr>
                <w:rFonts w:asciiTheme="minorHAnsi" w:hAnsiTheme="minorHAnsi" w:cs="Arial"/>
                <w:sz w:val="18"/>
                <w:szCs w:val="18"/>
              </w:rPr>
              <w:t xml:space="preserve">rok 5. februar, nadomesti in se določi rok 28.februar. </w:t>
            </w:r>
          </w:p>
          <w:p w14:paraId="1448C3AC" w14:textId="77777777" w:rsidR="000911C1" w:rsidRPr="000911C1" w:rsidRDefault="000911C1" w:rsidP="003C473C">
            <w:pPr>
              <w:autoSpaceDE w:val="0"/>
              <w:autoSpaceDN w:val="0"/>
              <w:adjustRightInd w:val="0"/>
              <w:spacing w:after="0"/>
              <w:rPr>
                <w:rFonts w:asciiTheme="minorHAnsi" w:hAnsiTheme="minorHAnsi" w:cs="Arial"/>
                <w:sz w:val="18"/>
                <w:szCs w:val="18"/>
              </w:rPr>
            </w:pPr>
          </w:p>
          <w:p w14:paraId="1448C3AD" w14:textId="77777777" w:rsidR="000911C1" w:rsidRPr="000911C1" w:rsidRDefault="000911C1" w:rsidP="003C473C">
            <w:pPr>
              <w:autoSpaceDE w:val="0"/>
              <w:autoSpaceDN w:val="0"/>
              <w:adjustRightInd w:val="0"/>
              <w:spacing w:after="0"/>
              <w:rPr>
                <w:rFonts w:asciiTheme="minorHAnsi" w:hAnsiTheme="minorHAnsi" w:cs="Arial"/>
                <w:sz w:val="18"/>
                <w:szCs w:val="18"/>
              </w:rPr>
            </w:pPr>
            <w:r>
              <w:rPr>
                <w:rFonts w:asciiTheme="minorHAnsi" w:hAnsiTheme="minorHAnsi" w:cs="Arial"/>
                <w:sz w:val="18"/>
                <w:szCs w:val="18"/>
              </w:rPr>
              <w:t>Predlog</w:t>
            </w:r>
            <w:r w:rsidRPr="000911C1">
              <w:rPr>
                <w:rFonts w:asciiTheme="minorHAnsi" w:hAnsiTheme="minorHAnsi" w:cs="Arial"/>
                <w:sz w:val="18"/>
                <w:szCs w:val="18"/>
              </w:rPr>
              <w:t xml:space="preserve"> sprememb</w:t>
            </w:r>
            <w:r>
              <w:rPr>
                <w:rFonts w:asciiTheme="minorHAnsi" w:hAnsiTheme="minorHAnsi" w:cs="Arial"/>
                <w:sz w:val="18"/>
                <w:szCs w:val="18"/>
              </w:rPr>
              <w:t>e</w:t>
            </w:r>
            <w:r w:rsidRPr="000911C1">
              <w:rPr>
                <w:rFonts w:asciiTheme="minorHAnsi" w:hAnsiTheme="minorHAnsi" w:cs="Arial"/>
                <w:sz w:val="18"/>
                <w:szCs w:val="18"/>
              </w:rPr>
              <w:t xml:space="preserve"> drugega odstavka 270. člena ZDavP-2 (načini in roki vložitve napovedi ter podatki v napovedi in informativnem izračunu) pri čemer se rok 5. februar nadomesti in se določi rok »najpozneje do 28. februarja tekočega leta.« </w:t>
            </w:r>
          </w:p>
          <w:p w14:paraId="1448C3AE" w14:textId="77777777" w:rsidR="000911C1" w:rsidRPr="000911C1" w:rsidRDefault="000911C1" w:rsidP="003C473C">
            <w:pPr>
              <w:autoSpaceDE w:val="0"/>
              <w:autoSpaceDN w:val="0"/>
              <w:adjustRightInd w:val="0"/>
              <w:spacing w:after="0"/>
              <w:rPr>
                <w:rFonts w:asciiTheme="minorHAnsi" w:hAnsiTheme="minorHAnsi" w:cs="Arial"/>
                <w:sz w:val="18"/>
                <w:szCs w:val="18"/>
              </w:rPr>
            </w:pPr>
          </w:p>
          <w:p w14:paraId="1448C3AF" w14:textId="77777777" w:rsidR="000911C1" w:rsidRPr="000911C1" w:rsidRDefault="000911C1" w:rsidP="003C473C">
            <w:pPr>
              <w:autoSpaceDE w:val="0"/>
              <w:autoSpaceDN w:val="0"/>
              <w:adjustRightInd w:val="0"/>
              <w:spacing w:after="0"/>
              <w:rPr>
                <w:rFonts w:asciiTheme="minorHAnsi" w:hAnsiTheme="minorHAnsi" w:cs="Arial"/>
                <w:sz w:val="18"/>
                <w:szCs w:val="18"/>
              </w:rPr>
            </w:pPr>
            <w:r w:rsidRPr="000911C1">
              <w:rPr>
                <w:rFonts w:asciiTheme="minorHAnsi" w:hAnsiTheme="minorHAnsi" w:cs="Arial"/>
                <w:sz w:val="18"/>
                <w:szCs w:val="18"/>
              </w:rPr>
              <w:t>Predlagana je tudi sprememba 38. čl. ZDoh-2, katere namen je doseči administrativno poenostavitev na tem področju.</w:t>
            </w:r>
          </w:p>
          <w:p w14:paraId="1448C3B0"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B1"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B2" w14:textId="77777777" w:rsidR="000911C1" w:rsidRDefault="000911C1" w:rsidP="003C473C">
            <w:pPr>
              <w:spacing w:after="0"/>
              <w:jc w:val="left"/>
              <w:rPr>
                <w:rFonts w:ascii="Calibri" w:eastAsia="Times New Roman" w:hAnsi="Calibri" w:cs="Arial"/>
                <w:bCs/>
                <w:color w:val="000000"/>
                <w:sz w:val="18"/>
                <w:szCs w:val="18"/>
                <w:lang w:eastAsia="sl-SI"/>
              </w:rPr>
            </w:pPr>
            <w:r w:rsidRPr="000911C1">
              <w:rPr>
                <w:rFonts w:ascii="Calibri" w:eastAsia="Times New Roman" w:hAnsi="Calibri" w:cs="Arial"/>
                <w:bCs/>
                <w:color w:val="000000"/>
                <w:sz w:val="18"/>
                <w:szCs w:val="18"/>
                <w:lang w:eastAsia="sl-SI"/>
              </w:rPr>
              <w:t>NE</w:t>
            </w:r>
          </w:p>
          <w:p w14:paraId="1448C3B3" w14:textId="77777777" w:rsidR="000911C1" w:rsidRDefault="000911C1" w:rsidP="003C473C">
            <w:pPr>
              <w:spacing w:after="0"/>
              <w:jc w:val="left"/>
              <w:rPr>
                <w:rFonts w:ascii="Calibri" w:eastAsia="Times New Roman" w:hAnsi="Calibri" w:cs="Arial"/>
                <w:bCs/>
                <w:color w:val="000000"/>
                <w:sz w:val="18"/>
                <w:szCs w:val="18"/>
                <w:lang w:eastAsia="sl-SI"/>
              </w:rPr>
            </w:pPr>
          </w:p>
          <w:p w14:paraId="1448C3B4" w14:textId="77777777" w:rsidR="000911C1" w:rsidRDefault="000911C1" w:rsidP="003C473C">
            <w:pPr>
              <w:spacing w:after="0"/>
              <w:jc w:val="left"/>
              <w:rPr>
                <w:rFonts w:ascii="Calibri" w:eastAsia="Times New Roman" w:hAnsi="Calibri" w:cs="Arial"/>
                <w:bCs/>
                <w:color w:val="000000"/>
                <w:sz w:val="18"/>
                <w:szCs w:val="18"/>
                <w:lang w:eastAsia="sl-SI"/>
              </w:rPr>
            </w:pPr>
          </w:p>
          <w:p w14:paraId="1448C3B5" w14:textId="77777777" w:rsidR="000911C1" w:rsidRDefault="000911C1" w:rsidP="003C473C">
            <w:pPr>
              <w:spacing w:after="0"/>
              <w:jc w:val="left"/>
              <w:rPr>
                <w:rFonts w:ascii="Calibri" w:eastAsia="Times New Roman" w:hAnsi="Calibri" w:cs="Arial"/>
                <w:bCs/>
                <w:color w:val="000000"/>
                <w:sz w:val="18"/>
                <w:szCs w:val="18"/>
                <w:lang w:eastAsia="sl-SI"/>
              </w:rPr>
            </w:pPr>
            <w:r>
              <w:rPr>
                <w:rFonts w:ascii="Calibri" w:eastAsia="Times New Roman" w:hAnsi="Calibri" w:cs="Arial"/>
                <w:bCs/>
                <w:color w:val="000000"/>
                <w:sz w:val="18"/>
                <w:szCs w:val="18"/>
                <w:lang w:eastAsia="sl-SI"/>
              </w:rPr>
              <w:t>NE</w:t>
            </w:r>
          </w:p>
          <w:p w14:paraId="1448C3B6" w14:textId="77777777" w:rsidR="000911C1" w:rsidRDefault="000911C1" w:rsidP="003C473C">
            <w:pPr>
              <w:spacing w:after="0"/>
              <w:jc w:val="left"/>
              <w:rPr>
                <w:rFonts w:ascii="Calibri" w:eastAsia="Times New Roman" w:hAnsi="Calibri" w:cs="Arial"/>
                <w:bCs/>
                <w:color w:val="000000"/>
                <w:sz w:val="18"/>
                <w:szCs w:val="18"/>
                <w:lang w:eastAsia="sl-SI"/>
              </w:rPr>
            </w:pPr>
          </w:p>
          <w:p w14:paraId="1448C3B7" w14:textId="77777777" w:rsidR="000911C1" w:rsidRDefault="000911C1" w:rsidP="003C473C">
            <w:pPr>
              <w:spacing w:after="0"/>
              <w:jc w:val="left"/>
              <w:rPr>
                <w:rFonts w:ascii="Calibri" w:eastAsia="Times New Roman" w:hAnsi="Calibri" w:cs="Arial"/>
                <w:bCs/>
                <w:color w:val="000000"/>
                <w:sz w:val="18"/>
                <w:szCs w:val="18"/>
                <w:lang w:eastAsia="sl-SI"/>
              </w:rPr>
            </w:pPr>
          </w:p>
          <w:p w14:paraId="1448C3B8" w14:textId="77777777" w:rsidR="000911C1" w:rsidRDefault="000911C1" w:rsidP="003C473C">
            <w:pPr>
              <w:spacing w:after="0"/>
              <w:jc w:val="left"/>
              <w:rPr>
                <w:rFonts w:ascii="Calibri" w:eastAsia="Times New Roman" w:hAnsi="Calibri" w:cs="Arial"/>
                <w:bCs/>
                <w:color w:val="000000"/>
                <w:sz w:val="18"/>
                <w:szCs w:val="18"/>
                <w:lang w:eastAsia="sl-SI"/>
              </w:rPr>
            </w:pPr>
          </w:p>
          <w:p w14:paraId="1448C3B9" w14:textId="77777777" w:rsidR="000911C1" w:rsidRDefault="000911C1" w:rsidP="003C473C">
            <w:pPr>
              <w:spacing w:after="0"/>
              <w:jc w:val="left"/>
              <w:rPr>
                <w:rFonts w:ascii="Calibri" w:eastAsia="Times New Roman" w:hAnsi="Calibri" w:cs="Arial"/>
                <w:bCs/>
                <w:color w:val="000000"/>
                <w:sz w:val="18"/>
                <w:szCs w:val="18"/>
                <w:lang w:eastAsia="sl-SI"/>
              </w:rPr>
            </w:pPr>
          </w:p>
          <w:p w14:paraId="1448C3BA" w14:textId="77777777" w:rsidR="000911C1" w:rsidRDefault="000911C1" w:rsidP="003C473C">
            <w:pPr>
              <w:spacing w:after="0"/>
              <w:jc w:val="left"/>
              <w:rPr>
                <w:rFonts w:ascii="Calibri" w:eastAsia="Times New Roman" w:hAnsi="Calibri" w:cs="Arial"/>
                <w:bCs/>
                <w:color w:val="000000"/>
                <w:sz w:val="18"/>
                <w:szCs w:val="18"/>
                <w:lang w:eastAsia="sl-SI"/>
              </w:rPr>
            </w:pPr>
            <w:r>
              <w:rPr>
                <w:rFonts w:ascii="Calibri" w:eastAsia="Times New Roman" w:hAnsi="Calibri" w:cs="Arial"/>
                <w:bCs/>
                <w:color w:val="000000"/>
                <w:sz w:val="18"/>
                <w:szCs w:val="18"/>
                <w:lang w:eastAsia="sl-SI"/>
              </w:rPr>
              <w:t>NE</w:t>
            </w:r>
          </w:p>
          <w:p w14:paraId="1448C3BB" w14:textId="77777777" w:rsidR="000911C1" w:rsidRPr="000911C1" w:rsidRDefault="000911C1" w:rsidP="003C473C">
            <w:pPr>
              <w:spacing w:after="0"/>
              <w:jc w:val="left"/>
              <w:rPr>
                <w:rFonts w:ascii="Calibri" w:eastAsia="Times New Roman" w:hAnsi="Calibri" w:cs="Arial"/>
                <w:bCs/>
                <w:color w:val="000000"/>
                <w:sz w:val="18"/>
                <w:szCs w:val="18"/>
                <w:lang w:eastAsia="sl-SI"/>
              </w:rPr>
            </w:pPr>
          </w:p>
        </w:tc>
        <w:tc>
          <w:tcPr>
            <w:tcW w:w="5220" w:type="dxa"/>
            <w:shd w:val="clear" w:color="auto" w:fill="auto"/>
            <w:hideMark/>
          </w:tcPr>
          <w:p w14:paraId="1448C3BC" w14:textId="77777777" w:rsidR="00F85ADF" w:rsidRDefault="000911C1"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Uveljavljanje olajšave za vzdrževane družinske člane ter uveljavljanje dejanskih stroškov ni pogojevano z višino doseženega dohodka v preteklem letu, zato argument o prekratkem roku vezan na razpolaganje zavezanca s podatkom o višini dohodka doseženega v preteklem letu ne zdrži. Poleg navedenega je potrebno poudariti, da zavezanec s podatkom o prejetem dohodku razpolaga že med letom (plačilna lista, pravna podlaga, na podlagi katere se dohodek izplačuje).  Nadalje je uveljavljanje davčne olajšave za vzdrževane družinske člane v skladu z drugim odstavkom 270. člena ZDavP-2, le ena izmed številnih možnosti za uveljavljanje predmetne olajšave (pri delodajalcu, v ugovoru zoper informativni izračun, v napovedi oziroma v primeru napovedi iz šestega odstavka 267. člena v roku za </w:t>
            </w:r>
            <w:r w:rsidRPr="00AB512D">
              <w:rPr>
                <w:rFonts w:ascii="Calibri" w:eastAsia="Times New Roman" w:hAnsi="Calibri" w:cs="Arial"/>
                <w:color w:val="000000"/>
                <w:sz w:val="18"/>
                <w:szCs w:val="18"/>
                <w:lang w:eastAsia="sl-SI"/>
              </w:rPr>
              <w:lastRenderedPageBreak/>
              <w:t>pritožbo na odločbo o odmeri dohodnine).  Enako velja tudi za uveljavljanje dejanskih stroškov, in sicer je uveljavljanje v roku do 5. februarja na podlagi posebnega zahtevka samo ena   od možnosti, in tudi ne zadnja. Opozoriti pa je potrebno tudi, da bi podaljšanje predmetnega roka zahtevalo tudi podaljšanje roka, do katerega mora najpozneje davčni organ za davčnega zavezanca rezidenta sestaviti in odpremiti informativni izračun</w:t>
            </w:r>
            <w:r>
              <w:rPr>
                <w:rFonts w:ascii="Calibri" w:eastAsia="Times New Roman" w:hAnsi="Calibri" w:cs="Arial"/>
                <w:color w:val="000000"/>
                <w:sz w:val="18"/>
                <w:szCs w:val="18"/>
                <w:lang w:eastAsia="sl-SI"/>
              </w:rPr>
              <w:t>.</w:t>
            </w:r>
          </w:p>
          <w:p w14:paraId="1448C3BD" w14:textId="77777777" w:rsidR="00EF2A71" w:rsidRDefault="00EF2A71" w:rsidP="003C473C">
            <w:pPr>
              <w:spacing w:after="0"/>
              <w:jc w:val="left"/>
              <w:rPr>
                <w:rFonts w:ascii="Calibri" w:eastAsia="Times New Roman" w:hAnsi="Calibri" w:cs="Arial"/>
                <w:color w:val="000000"/>
                <w:sz w:val="18"/>
                <w:szCs w:val="18"/>
                <w:lang w:eastAsia="sl-SI"/>
              </w:rPr>
            </w:pPr>
          </w:p>
          <w:p w14:paraId="1448C3BE" w14:textId="77777777" w:rsidR="00EF2A71" w:rsidRPr="00AB512D" w:rsidRDefault="00EF2A71"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za poseganje v 38. člen ZDoh-2 ni sprejemljiv, in sicer tako z nomotehničnega oziroma sistemskega vidika kot tudi z vsebinskega vidika. Neprimerno in nesprejemljivo je enačenje dohodkov iz delovnega razmerja z dohodki iz drugega pogodbenega razmerja, saj temeljijo na povsem različnih pravnih podlagah. Splošna narava oziroma vsebina delovnega razmerja in posledično  pravic in obveznosti delodajalca in delavca, ki iz tega razmerja izhajajo, ni primerljiva z splošno naravo oziroma vsebino npr. pogodbe o delu ali avtorske pogodbe, ali druge pravne podlage, na podlagi katere se opravlja delo. Navedeno še posebej velja za povračila stroškov. Delodajalec je delavcu v delovnem razmerju po zakonu, ki ureja delovna razmerja, dolžan poleg plačila za opravljeno delo, zagotoviti tudi določena povračila stroškov v zvezi z delom in zagotoviti vsa potrebna sredstva za delo. Take obveznosti pri drugih pogodbenih razmerjih v splošnem ni. Po vsebini se naročnik zaveže, da bo plačal opravljeno delo oziroma storitev, izvajalec pa se zaveže, da bo to delo opravil. Splošna narava oziroma vsebina navedenih razmerij ni v tem, da naročnik zagotovi pogoje za delo, sredstva za delo in posebej povrne določene stroške. Izhajajoč iz navedenega izplačevalec dohodka (naročnik) v načelu ne razpolaga s podatkom o dejansko nastalih stroških pri opravljanju določenega dela ali storitev, zato jih tudi ne more ustrezno upoštevati pri obračunu davčne obveznosti. Dejstvo, da je v praksi že kar splošen pojav, da se delo formalno opravlja na neustreznih pravnih podlagah glede na vsebino oziroma način opravljanja dela (npr. podani vsi elementi delovnega razmerja, pa se delo opravlja na drugi pravni podlagi (ne na podlagi pogodbe o zaposlitvi) ali v statusu samostojnega opravljanja dejavnosti), je še dodaten razlog, da takega predloga, glede na dejansko stanje v praksi ne moremo podpreti. Z davčnimi predpisi zasledujemo in bomo zasledovali izhodišče, da v splošnem obstajata dva temeljna načina opravljanja dela fizičnih oseb, in sicer opravljanje dela v odvisnem razmerju na podlagi pogodbe o zaposlitvi, ter v neodvisnem razmerju na podlagi ustreznega statusa fizične osebe, ki opravlja dejavnost.</w:t>
            </w:r>
          </w:p>
        </w:tc>
      </w:tr>
      <w:tr w:rsidR="00F85ADF" w:rsidRPr="00AB512D" w14:paraId="1448C3CA" w14:textId="77777777" w:rsidTr="00EC73AA">
        <w:trPr>
          <w:trHeight w:val="1440"/>
        </w:trPr>
        <w:tc>
          <w:tcPr>
            <w:tcW w:w="1600" w:type="dxa"/>
            <w:shd w:val="clear" w:color="auto" w:fill="auto"/>
            <w:hideMark/>
          </w:tcPr>
          <w:p w14:paraId="1448C3C0"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3C1" w14:textId="77777777" w:rsidR="00513A0C" w:rsidRPr="00513A0C" w:rsidRDefault="00513A0C" w:rsidP="003C473C">
            <w:pPr>
              <w:autoSpaceDE w:val="0"/>
              <w:autoSpaceDN w:val="0"/>
              <w:adjustRightInd w:val="0"/>
              <w:spacing w:after="0"/>
              <w:rPr>
                <w:rFonts w:asciiTheme="minorHAnsi" w:hAnsiTheme="minorHAnsi" w:cs="Arial"/>
                <w:b/>
                <w:sz w:val="18"/>
                <w:szCs w:val="18"/>
              </w:rPr>
            </w:pPr>
            <w:r w:rsidRPr="00513A0C">
              <w:rPr>
                <w:rFonts w:asciiTheme="minorHAnsi" w:hAnsiTheme="minorHAnsi" w:cs="Arial"/>
                <w:b/>
                <w:sz w:val="18"/>
                <w:szCs w:val="18"/>
              </w:rPr>
              <w:t>K 76. členu (402.a člen ZDavP-2)</w:t>
            </w:r>
          </w:p>
          <w:p w14:paraId="1448C3C2" w14:textId="07EE7139" w:rsidR="00513A0C" w:rsidRPr="00513A0C" w:rsidRDefault="00513A0C" w:rsidP="003C473C">
            <w:pPr>
              <w:autoSpaceDE w:val="0"/>
              <w:autoSpaceDN w:val="0"/>
              <w:adjustRightInd w:val="0"/>
              <w:spacing w:after="0"/>
              <w:rPr>
                <w:rFonts w:asciiTheme="minorHAnsi" w:hAnsiTheme="minorHAnsi" w:cs="Arial"/>
                <w:sz w:val="18"/>
                <w:szCs w:val="18"/>
              </w:rPr>
            </w:pPr>
            <w:r w:rsidRPr="00513A0C">
              <w:rPr>
                <w:rFonts w:asciiTheme="minorHAnsi" w:hAnsiTheme="minorHAnsi" w:cs="Arial"/>
                <w:sz w:val="18"/>
                <w:szCs w:val="18"/>
              </w:rPr>
              <w:t xml:space="preserve">Pripomba glede spremembe 402.a </w:t>
            </w:r>
            <w:r w:rsidR="00856B23">
              <w:rPr>
                <w:rFonts w:asciiTheme="minorHAnsi" w:hAnsiTheme="minorHAnsi" w:cs="Arial"/>
                <w:sz w:val="18"/>
                <w:szCs w:val="18"/>
              </w:rPr>
              <w:t>člena</w:t>
            </w:r>
            <w:r w:rsidRPr="00513A0C">
              <w:rPr>
                <w:rFonts w:asciiTheme="minorHAnsi" w:hAnsiTheme="minorHAnsi" w:cs="Arial"/>
                <w:sz w:val="18"/>
                <w:szCs w:val="18"/>
              </w:rPr>
              <w:t xml:space="preserve"> ZDavP-2, ki je nedopustna z vidika pravne varnosti davčnega zavezanca, saj lahko posamezen davčni inšpektor v davčnem postopku po subjektivni presoji za davčne prekrške določi tudi najvišjo globo. </w:t>
            </w:r>
          </w:p>
          <w:p w14:paraId="1448C3C3"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617A5885"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C4" w14:textId="6AA158BF" w:rsidR="00F85ADF" w:rsidRPr="00856B23" w:rsidRDefault="00856B23" w:rsidP="003C473C">
            <w:pPr>
              <w:spacing w:after="0"/>
              <w:jc w:val="left"/>
              <w:rPr>
                <w:rFonts w:ascii="Calibri" w:eastAsia="Times New Roman" w:hAnsi="Calibri"/>
                <w:color w:val="000000"/>
                <w:sz w:val="18"/>
                <w:lang w:eastAsia="sl-SI"/>
              </w:rPr>
            </w:pPr>
            <w:r w:rsidRPr="00856B23">
              <w:rPr>
                <w:rFonts w:ascii="Calibri" w:eastAsia="Times New Roman" w:hAnsi="Calibri" w:cs="Arial"/>
                <w:bCs/>
                <w:color w:val="000000"/>
                <w:sz w:val="18"/>
                <w:szCs w:val="18"/>
                <w:lang w:eastAsia="sl-SI"/>
              </w:rPr>
              <w:t>NE</w:t>
            </w:r>
          </w:p>
        </w:tc>
        <w:tc>
          <w:tcPr>
            <w:tcW w:w="5220" w:type="dxa"/>
            <w:shd w:val="clear" w:color="auto" w:fill="auto"/>
            <w:hideMark/>
          </w:tcPr>
          <w:p w14:paraId="1448C3C5"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Tretji odstavek 52. člena Zakona o prekrških (ZP-1) določa, da se v hitrem postopku storilcu izreče globa v znesku, v katerem je predpisana, če je predpisana v razponu, pa se izreče najnižja predpisana mera globe, če z zakonom ni določeno drugače. Predlagana ureditev ima podlago v zgoraj navedeni določbi ZP-1. </w:t>
            </w:r>
          </w:p>
          <w:p w14:paraId="1448C3C6" w14:textId="77777777" w:rsidR="00513A0C" w:rsidRDefault="00513A0C" w:rsidP="003C473C">
            <w:pPr>
              <w:spacing w:after="0"/>
              <w:jc w:val="left"/>
              <w:rPr>
                <w:rFonts w:ascii="Calibri" w:eastAsia="Times New Roman" w:hAnsi="Calibri" w:cs="Arial"/>
                <w:color w:val="000000"/>
                <w:sz w:val="18"/>
                <w:szCs w:val="18"/>
                <w:lang w:eastAsia="sl-SI"/>
              </w:rPr>
            </w:pPr>
          </w:p>
          <w:p w14:paraId="1448C3C7" w14:textId="77777777" w:rsidR="00513A0C" w:rsidRDefault="00513A0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84. člen ZFU določa, da morajo uslužbenci finančne uprave glede na naloge delovnega mesta, za katero so sklenili delovno razmerje, opraviti ustrezne strokovne izpite. Tako morajo opraviti strokovni izpit iz upravnega postopka v skladu z zakonom, ki ureja splošni upravni postopek, in preizkus znanja za vodenje in odločanje v prekrškovnem postopku v skladu z zakonom, ki ureja prekrške.</w:t>
            </w:r>
          </w:p>
          <w:p w14:paraId="1448C3C8" w14:textId="77777777" w:rsidR="00513A0C" w:rsidRDefault="00513A0C" w:rsidP="003C473C">
            <w:pPr>
              <w:spacing w:after="0"/>
              <w:jc w:val="left"/>
              <w:rPr>
                <w:rFonts w:ascii="Calibri" w:eastAsia="Times New Roman" w:hAnsi="Calibri" w:cs="Arial"/>
                <w:color w:val="000000"/>
                <w:sz w:val="18"/>
                <w:szCs w:val="18"/>
                <w:lang w:eastAsia="sl-SI"/>
              </w:rPr>
            </w:pPr>
          </w:p>
          <w:p w14:paraId="1448C3C9" w14:textId="77777777" w:rsidR="00513A0C" w:rsidRPr="00AB512D" w:rsidRDefault="00513A0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Sicer pa ima posameznik v skladu z ZP-1 tudi možnost, da zoper odločbo o prekršku, ki jo je izdal davčni organ, vloži zahtevo za sodno varstvo.</w:t>
            </w:r>
          </w:p>
        </w:tc>
      </w:tr>
      <w:tr w:rsidR="00F85ADF" w:rsidRPr="00AB512D" w14:paraId="1448C3DA" w14:textId="77777777" w:rsidTr="00EC73AA">
        <w:trPr>
          <w:trHeight w:val="2160"/>
        </w:trPr>
        <w:tc>
          <w:tcPr>
            <w:tcW w:w="1600" w:type="dxa"/>
            <w:shd w:val="clear" w:color="auto" w:fill="auto"/>
            <w:hideMark/>
          </w:tcPr>
          <w:p w14:paraId="1448C3CB"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CC" w14:textId="77777777" w:rsidR="00513A0C" w:rsidRPr="00513A0C" w:rsidRDefault="00513A0C" w:rsidP="003C473C">
            <w:pPr>
              <w:autoSpaceDE w:val="0"/>
              <w:autoSpaceDN w:val="0"/>
              <w:adjustRightInd w:val="0"/>
              <w:spacing w:after="0"/>
              <w:rPr>
                <w:rFonts w:asciiTheme="minorHAnsi" w:hAnsiTheme="minorHAnsi" w:cs="Arial"/>
                <w:b/>
                <w:sz w:val="18"/>
                <w:szCs w:val="18"/>
              </w:rPr>
            </w:pPr>
            <w:r w:rsidRPr="00513A0C">
              <w:rPr>
                <w:rFonts w:asciiTheme="minorHAnsi" w:hAnsiTheme="minorHAnsi" w:cs="Arial"/>
                <w:b/>
                <w:sz w:val="18"/>
                <w:szCs w:val="18"/>
              </w:rPr>
              <w:t>K 81. členu predloga</w:t>
            </w:r>
          </w:p>
          <w:p w14:paraId="1448C3CD" w14:textId="77777777" w:rsidR="00513A0C" w:rsidRPr="00513A0C" w:rsidRDefault="00513A0C" w:rsidP="003C473C">
            <w:pPr>
              <w:spacing w:after="0"/>
              <w:rPr>
                <w:rFonts w:asciiTheme="minorHAnsi" w:hAnsiTheme="minorHAnsi" w:cs="Arial"/>
                <w:sz w:val="18"/>
                <w:szCs w:val="18"/>
              </w:rPr>
            </w:pPr>
            <w:r w:rsidRPr="00513A0C">
              <w:rPr>
                <w:rFonts w:asciiTheme="minorHAnsi" w:hAnsiTheme="minorHAnsi" w:cs="Arial"/>
                <w:sz w:val="18"/>
                <w:szCs w:val="18"/>
              </w:rPr>
              <w:t>Predlog dopolnitve 81. člena predloga zakona je podan zaradi razloga kršitev načela sorazmernosti v postopku izrekanja glob zaradi davčnega prek</w:t>
            </w:r>
            <w:r>
              <w:rPr>
                <w:rFonts w:asciiTheme="minorHAnsi" w:hAnsiTheme="minorHAnsi" w:cs="Arial"/>
                <w:sz w:val="18"/>
                <w:szCs w:val="18"/>
              </w:rPr>
              <w:t>rška po 31.a. členu ZDavP-2,</w:t>
            </w:r>
            <w:r w:rsidRPr="00513A0C">
              <w:rPr>
                <w:rFonts w:asciiTheme="minorHAnsi" w:hAnsiTheme="minorHAnsi" w:cs="Arial"/>
                <w:sz w:val="18"/>
                <w:szCs w:val="18"/>
              </w:rPr>
              <w:t xml:space="preserve"> na kar sta bila pristojno Ministrstvo in FURS že opozorjena. </w:t>
            </w:r>
          </w:p>
          <w:p w14:paraId="1448C3CE" w14:textId="77777777" w:rsidR="001F0B05" w:rsidRDefault="001F0B05" w:rsidP="003C473C">
            <w:pPr>
              <w:autoSpaceDE w:val="0"/>
              <w:autoSpaceDN w:val="0"/>
              <w:adjustRightInd w:val="0"/>
              <w:spacing w:after="0"/>
              <w:rPr>
                <w:rFonts w:asciiTheme="minorHAnsi" w:hAnsiTheme="minorHAnsi" w:cs="Arial"/>
                <w:sz w:val="18"/>
                <w:szCs w:val="18"/>
              </w:rPr>
            </w:pPr>
          </w:p>
          <w:p w14:paraId="1448C3CF" w14:textId="77777777" w:rsidR="001F0B05" w:rsidRDefault="001F0B05" w:rsidP="003C473C">
            <w:pPr>
              <w:autoSpaceDE w:val="0"/>
              <w:autoSpaceDN w:val="0"/>
              <w:adjustRightInd w:val="0"/>
              <w:spacing w:after="0"/>
              <w:rPr>
                <w:rFonts w:asciiTheme="minorHAnsi" w:hAnsiTheme="minorHAnsi" w:cs="Arial"/>
                <w:sz w:val="18"/>
                <w:szCs w:val="18"/>
              </w:rPr>
            </w:pPr>
          </w:p>
          <w:p w14:paraId="1448C3D0" w14:textId="77777777" w:rsidR="001F0B05" w:rsidRPr="001F0B05" w:rsidRDefault="001F0B05" w:rsidP="003C473C">
            <w:pPr>
              <w:autoSpaceDE w:val="0"/>
              <w:autoSpaceDN w:val="0"/>
              <w:adjustRightInd w:val="0"/>
              <w:spacing w:after="0"/>
              <w:rPr>
                <w:rFonts w:asciiTheme="minorHAnsi" w:hAnsiTheme="minorHAnsi" w:cs="Arial"/>
                <w:sz w:val="18"/>
                <w:szCs w:val="18"/>
              </w:rPr>
            </w:pPr>
          </w:p>
          <w:p w14:paraId="1448C3D1" w14:textId="77777777" w:rsidR="001F0B05" w:rsidRPr="001F0B05" w:rsidRDefault="001F0B05" w:rsidP="003C473C">
            <w:pPr>
              <w:autoSpaceDE w:val="0"/>
              <w:autoSpaceDN w:val="0"/>
              <w:adjustRightInd w:val="0"/>
              <w:spacing w:after="0"/>
              <w:rPr>
                <w:rFonts w:asciiTheme="minorHAnsi" w:hAnsiTheme="minorHAnsi" w:cs="Arial"/>
                <w:sz w:val="18"/>
                <w:szCs w:val="18"/>
              </w:rPr>
            </w:pPr>
            <w:r>
              <w:rPr>
                <w:rFonts w:asciiTheme="minorHAnsi" w:hAnsiTheme="minorHAnsi" w:cs="Arial"/>
                <w:sz w:val="18"/>
                <w:szCs w:val="18"/>
              </w:rPr>
              <w:t>Podan je tudi pr</w:t>
            </w:r>
            <w:r w:rsidR="00636CFB">
              <w:rPr>
                <w:rFonts w:asciiTheme="minorHAnsi" w:hAnsiTheme="minorHAnsi" w:cs="Arial"/>
                <w:sz w:val="18"/>
                <w:szCs w:val="18"/>
              </w:rPr>
              <w:t>e</w:t>
            </w:r>
            <w:r>
              <w:rPr>
                <w:rFonts w:asciiTheme="minorHAnsi" w:hAnsiTheme="minorHAnsi" w:cs="Arial"/>
                <w:sz w:val="18"/>
                <w:szCs w:val="18"/>
              </w:rPr>
              <w:t>dlog</w:t>
            </w:r>
            <w:r w:rsidRPr="001F0B05">
              <w:rPr>
                <w:rFonts w:asciiTheme="minorHAnsi" w:hAnsiTheme="minorHAnsi" w:cs="Arial"/>
                <w:sz w:val="18"/>
                <w:szCs w:val="18"/>
              </w:rPr>
              <w:t>, da bi morala biti pripravljena rešitev, ki bi zavezancem, katerih postopki so se že končali, in ki so zato morali plačati nesorazmerno visoko globo glede na težo prekrška, dala zakonsko možnost v  samem ZDavP-2, da smejo podati predlog za obnovo postopka glede odmere višine globe oziroma ponovno odmero po določbah novele.</w:t>
            </w:r>
          </w:p>
          <w:p w14:paraId="1448C3D2"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D3"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D4" w14:textId="77777777" w:rsidR="001F0B05" w:rsidRPr="001F0B05" w:rsidRDefault="001F0B05" w:rsidP="003C473C">
            <w:pPr>
              <w:spacing w:after="0"/>
              <w:jc w:val="left"/>
              <w:rPr>
                <w:rFonts w:ascii="Calibri" w:eastAsia="Times New Roman" w:hAnsi="Calibri" w:cs="Arial"/>
                <w:bCs/>
                <w:color w:val="000000"/>
                <w:sz w:val="18"/>
                <w:szCs w:val="18"/>
                <w:lang w:eastAsia="sl-SI"/>
              </w:rPr>
            </w:pPr>
            <w:r w:rsidRPr="001F0B05">
              <w:rPr>
                <w:rFonts w:ascii="Calibri" w:eastAsia="Times New Roman" w:hAnsi="Calibri" w:cs="Arial"/>
                <w:bCs/>
                <w:color w:val="000000"/>
                <w:sz w:val="18"/>
                <w:szCs w:val="18"/>
                <w:lang w:eastAsia="sl-SI"/>
              </w:rPr>
              <w:t>NE</w:t>
            </w:r>
          </w:p>
        </w:tc>
        <w:tc>
          <w:tcPr>
            <w:tcW w:w="5220" w:type="dxa"/>
            <w:shd w:val="clear" w:color="auto" w:fill="auto"/>
            <w:hideMark/>
          </w:tcPr>
          <w:p w14:paraId="1448C3D5" w14:textId="77777777" w:rsidR="00C332FA" w:rsidRDefault="00C332FA" w:rsidP="003C473C">
            <w:pPr>
              <w:spacing w:after="0"/>
              <w:jc w:val="left"/>
              <w:rPr>
                <w:rFonts w:ascii="Calibri" w:eastAsia="Times New Roman" w:hAnsi="Calibri" w:cs="Arial"/>
                <w:color w:val="000000"/>
                <w:sz w:val="18"/>
                <w:szCs w:val="18"/>
                <w:lang w:eastAsia="sl-SI"/>
              </w:rPr>
            </w:pPr>
          </w:p>
          <w:p w14:paraId="1448C3D6"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ZP-1 v drugem odstavku 2. člena določa, da se v primeru, če se po storitvi prekrška enkrat ali večkrat spremenijo materialnopravne določbe tega zakona ali predpis, ki določa prekršek, uporabi zakon ali predpis, ki je za storilca milejši. Že iz samega ZP-1, ki je sistemski predpis na področju prekrškov, torej izhaja, da je v primeru, ko je predpisana sankcija po novem zakonu nižja od tiste, ki je bila predpisana v času storitve prekrška, pri izreku sankcije potrebno uporabiti kasnejši (milejši) predpis. </w:t>
            </w:r>
          </w:p>
          <w:p w14:paraId="1448C3D7" w14:textId="77777777" w:rsidR="001F0B05" w:rsidRDefault="001F0B05" w:rsidP="003C473C">
            <w:pPr>
              <w:spacing w:after="0"/>
              <w:jc w:val="left"/>
              <w:rPr>
                <w:rFonts w:ascii="Calibri" w:eastAsia="Times New Roman" w:hAnsi="Calibri" w:cs="Arial"/>
                <w:color w:val="000000"/>
                <w:sz w:val="18"/>
                <w:szCs w:val="18"/>
                <w:lang w:eastAsia="sl-SI"/>
              </w:rPr>
            </w:pPr>
          </w:p>
          <w:p w14:paraId="1448C3D8" w14:textId="77777777" w:rsidR="001F0B05" w:rsidRDefault="001F0B05" w:rsidP="003C473C">
            <w:pPr>
              <w:spacing w:after="0"/>
              <w:jc w:val="left"/>
              <w:rPr>
                <w:rFonts w:ascii="Calibri" w:eastAsia="Times New Roman" w:hAnsi="Calibri" w:cs="Arial"/>
                <w:color w:val="000000"/>
                <w:sz w:val="18"/>
                <w:szCs w:val="18"/>
                <w:lang w:eastAsia="sl-SI"/>
              </w:rPr>
            </w:pPr>
          </w:p>
          <w:p w14:paraId="1448C3D9" w14:textId="77777777" w:rsidR="001F0B05" w:rsidRPr="00AB512D" w:rsidRDefault="001F0B05"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Pravna sredstva so urejena v ZP-1, ki obnove ne predvideva.</w:t>
            </w:r>
          </w:p>
        </w:tc>
      </w:tr>
      <w:tr w:rsidR="00F85ADF" w:rsidRPr="00AB512D" w14:paraId="1448C3E2" w14:textId="77777777" w:rsidTr="00EC73AA">
        <w:trPr>
          <w:trHeight w:val="480"/>
        </w:trPr>
        <w:tc>
          <w:tcPr>
            <w:tcW w:w="1600" w:type="dxa"/>
            <w:shd w:val="clear" w:color="auto" w:fill="auto"/>
            <w:hideMark/>
          </w:tcPr>
          <w:p w14:paraId="1448C3DB"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DC" w14:textId="77777777" w:rsidR="00636CFB" w:rsidRDefault="00F85ADF"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Dodaten predlog - sprememba 271. člena ZDavP-2</w:t>
            </w:r>
          </w:p>
          <w:p w14:paraId="1448C3DD" w14:textId="77777777" w:rsidR="00F85ADF" w:rsidRPr="00AB512D" w:rsidRDefault="00636CFB"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Predlogo spremembe in dopolnitve drugega odstavka 271. člena ZDavP-2 glede možnosti uveljavljati olajšave za vzdrževane družinske</w:t>
            </w:r>
            <w:r>
              <w:rPr>
                <w:rFonts w:ascii="Calibri" w:eastAsia="Times New Roman" w:hAnsi="Calibri" w:cs="Arial"/>
                <w:color w:val="000000"/>
                <w:sz w:val="18"/>
                <w:szCs w:val="18"/>
                <w:lang w:eastAsia="sl-SI"/>
              </w:rPr>
              <w:t xml:space="preserve"> </w:t>
            </w:r>
            <w:r w:rsidRPr="00AB512D">
              <w:rPr>
                <w:rFonts w:ascii="Calibri" w:eastAsia="Times New Roman" w:hAnsi="Calibri" w:cs="Arial"/>
                <w:color w:val="000000"/>
                <w:sz w:val="18"/>
                <w:szCs w:val="18"/>
                <w:lang w:eastAsia="sl-SI"/>
              </w:rPr>
              <w:t>člane najpozneje v roku za pritožbo na odmero dohodnine</w:t>
            </w:r>
            <w:r>
              <w:rPr>
                <w:rFonts w:ascii="Calibri" w:eastAsia="Times New Roman" w:hAnsi="Calibri" w:cs="Arial"/>
                <w:color w:val="000000"/>
                <w:sz w:val="18"/>
                <w:szCs w:val="18"/>
                <w:lang w:eastAsia="sl-SI"/>
              </w:rPr>
              <w:t>.</w:t>
            </w:r>
          </w:p>
        </w:tc>
        <w:tc>
          <w:tcPr>
            <w:tcW w:w="1946" w:type="dxa"/>
            <w:shd w:val="clear" w:color="auto" w:fill="auto"/>
            <w:hideMark/>
          </w:tcPr>
          <w:p w14:paraId="1448C3DE"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3DF" w14:textId="77777777" w:rsidR="00636CFB" w:rsidRPr="00AB512D" w:rsidRDefault="00636CF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noWrap/>
            <w:hideMark/>
          </w:tcPr>
          <w:p w14:paraId="1448C3E0" w14:textId="77777777" w:rsidR="00636CFB" w:rsidRPr="00636CFB" w:rsidRDefault="00636CFB" w:rsidP="003C473C">
            <w:pPr>
              <w:spacing w:after="0"/>
              <w:rPr>
                <w:rFonts w:asciiTheme="minorHAnsi" w:hAnsiTheme="minorHAnsi"/>
                <w:sz w:val="18"/>
                <w:szCs w:val="18"/>
              </w:rPr>
            </w:pPr>
            <w:r w:rsidRPr="00636CFB">
              <w:rPr>
                <w:rFonts w:asciiTheme="minorHAnsi" w:hAnsiTheme="minorHAnsi" w:cs="Arial"/>
                <w:sz w:val="18"/>
                <w:szCs w:val="18"/>
              </w:rPr>
              <w:t xml:space="preserve">Veljavna ureditev je ustrezna, kar, kot navajate, potrjuje tudi sodna praksa. Roki za uveljavljanje olajšave za vzdrževane družinske člane so prekluzivni, kar pa ne pomeni, da je bila zavezancu vzeta pravica do olajšave. Zavezanec sam olajšave ni uveljavil v predpisanih rokih in s tem izgubil pravico. Takšna ureditev velja tudi na mnogih drugih področjih. Ob tem je potrebno poudariti tudi, da davčni zavezanec, ki iz opravičljivih razlogov zamudi rok za predložitev davčne napovedi, lahko pri pristojnem davčnem organu vloži predlog za vrnitev v prejšnje stanje Če davčni organ dovoli predložitev davčne napovedi po izteku predpisanega roka, se tako vložena davčna napoved šteje </w:t>
            </w:r>
            <w:r w:rsidRPr="00636CFB">
              <w:rPr>
                <w:rFonts w:asciiTheme="minorHAnsi" w:hAnsiTheme="minorHAnsi" w:cs="Arial"/>
                <w:sz w:val="18"/>
                <w:szCs w:val="18"/>
              </w:rPr>
              <w:lastRenderedPageBreak/>
              <w:t>za pravočasno vloženo, in posledično se v takem primeru lahko uveljavlja tudi olajšavo za vzdrževane družinske člane</w:t>
            </w:r>
            <w:r>
              <w:rPr>
                <w:rFonts w:asciiTheme="minorHAnsi" w:hAnsiTheme="minorHAnsi" w:cs="Arial"/>
                <w:sz w:val="18"/>
                <w:szCs w:val="18"/>
              </w:rPr>
              <w:t>.</w:t>
            </w:r>
          </w:p>
          <w:p w14:paraId="1448C3E1" w14:textId="77777777" w:rsidR="00F85ADF" w:rsidRPr="00AB512D" w:rsidRDefault="00F85ADF" w:rsidP="003C473C">
            <w:pPr>
              <w:spacing w:after="0"/>
              <w:jc w:val="left"/>
              <w:rPr>
                <w:rFonts w:eastAsia="Times New Roman" w:cs="Arial"/>
                <w:color w:val="000000"/>
                <w:sz w:val="18"/>
                <w:szCs w:val="18"/>
                <w:lang w:eastAsia="sl-SI"/>
              </w:rPr>
            </w:pPr>
          </w:p>
        </w:tc>
      </w:tr>
      <w:tr w:rsidR="00F85ADF" w:rsidRPr="00AB512D" w14:paraId="1448C3E7" w14:textId="77777777" w:rsidTr="00EC73AA">
        <w:trPr>
          <w:trHeight w:val="720"/>
        </w:trPr>
        <w:tc>
          <w:tcPr>
            <w:tcW w:w="1600" w:type="dxa"/>
            <w:shd w:val="clear" w:color="auto" w:fill="auto"/>
            <w:hideMark/>
          </w:tcPr>
          <w:p w14:paraId="1448C3E3" w14:textId="77777777" w:rsidR="00F85ADF" w:rsidRPr="00636CFB" w:rsidRDefault="00F85ADF" w:rsidP="003C473C">
            <w:pPr>
              <w:spacing w:after="0"/>
              <w:jc w:val="left"/>
              <w:rPr>
                <w:rFonts w:ascii="Calibri" w:eastAsia="Times New Roman" w:hAnsi="Calibri" w:cs="Arial"/>
                <w:b/>
                <w:color w:val="000000"/>
                <w:sz w:val="20"/>
                <w:szCs w:val="20"/>
                <w:lang w:eastAsia="sl-SI"/>
              </w:rPr>
            </w:pPr>
          </w:p>
        </w:tc>
        <w:tc>
          <w:tcPr>
            <w:tcW w:w="4794" w:type="dxa"/>
            <w:shd w:val="clear" w:color="auto" w:fill="auto"/>
            <w:hideMark/>
          </w:tcPr>
          <w:p w14:paraId="1448C3E4" w14:textId="77777777" w:rsidR="00F85ADF" w:rsidRPr="00AB512D" w:rsidRDefault="00F85ADF" w:rsidP="003C473C">
            <w:pPr>
              <w:spacing w:after="0"/>
              <w:jc w:val="left"/>
              <w:rPr>
                <w:rFonts w:ascii="Calibri" w:eastAsia="Times New Roman" w:hAnsi="Calibri" w:cs="Arial"/>
                <w:sz w:val="18"/>
                <w:szCs w:val="18"/>
                <w:lang w:eastAsia="sl-SI"/>
              </w:rPr>
            </w:pPr>
            <w:r w:rsidRPr="00AB512D">
              <w:rPr>
                <w:rFonts w:ascii="Calibri" w:eastAsia="Times New Roman" w:hAnsi="Calibri" w:cs="Arial"/>
                <w:sz w:val="18"/>
                <w:szCs w:val="18"/>
                <w:lang w:eastAsia="sl-SI"/>
              </w:rPr>
              <w:t> </w:t>
            </w:r>
          </w:p>
        </w:tc>
        <w:tc>
          <w:tcPr>
            <w:tcW w:w="1946" w:type="dxa"/>
            <w:shd w:val="clear" w:color="auto" w:fill="auto"/>
            <w:hideMark/>
          </w:tcPr>
          <w:p w14:paraId="1448C3E5" w14:textId="77777777" w:rsidR="00F85ADF" w:rsidRPr="00AB512D" w:rsidRDefault="00F85ADF" w:rsidP="003C473C">
            <w:pPr>
              <w:spacing w:after="0"/>
              <w:jc w:val="left"/>
              <w:rPr>
                <w:rFonts w:ascii="Calibri" w:eastAsia="Times New Roman" w:hAnsi="Calibri" w:cs="Arial"/>
                <w:color w:val="000000"/>
                <w:sz w:val="18"/>
                <w:szCs w:val="18"/>
                <w:lang w:eastAsia="sl-SI"/>
              </w:rPr>
            </w:pPr>
          </w:p>
        </w:tc>
        <w:tc>
          <w:tcPr>
            <w:tcW w:w="5220" w:type="dxa"/>
            <w:shd w:val="clear" w:color="auto" w:fill="auto"/>
            <w:hideMark/>
          </w:tcPr>
          <w:p w14:paraId="1448C3E6"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400" w14:textId="77777777" w:rsidTr="00EC73AA">
        <w:trPr>
          <w:trHeight w:val="1440"/>
        </w:trPr>
        <w:tc>
          <w:tcPr>
            <w:tcW w:w="1600" w:type="dxa"/>
            <w:shd w:val="clear" w:color="auto" w:fill="auto"/>
            <w:hideMark/>
          </w:tcPr>
          <w:p w14:paraId="1448C3E8" w14:textId="77777777" w:rsidR="00F85ADF" w:rsidRPr="00AB512D" w:rsidRDefault="00636CFB" w:rsidP="003C473C">
            <w:pPr>
              <w:spacing w:after="0"/>
              <w:jc w:val="left"/>
              <w:rPr>
                <w:rFonts w:ascii="Calibri" w:eastAsia="Times New Roman" w:hAnsi="Calibri" w:cs="Arial"/>
                <w:color w:val="000000"/>
                <w:sz w:val="18"/>
                <w:szCs w:val="18"/>
                <w:lang w:eastAsia="sl-SI"/>
              </w:rPr>
            </w:pPr>
            <w:r w:rsidRPr="00636CFB">
              <w:rPr>
                <w:rFonts w:ascii="Calibri" w:eastAsia="Times New Roman" w:hAnsi="Calibri" w:cs="Arial"/>
                <w:b/>
                <w:color w:val="000000"/>
                <w:sz w:val="20"/>
                <w:szCs w:val="20"/>
                <w:lang w:eastAsia="sl-SI"/>
              </w:rPr>
              <w:t>Združenje članov borze vrednostnih papirjev</w:t>
            </w:r>
          </w:p>
        </w:tc>
        <w:tc>
          <w:tcPr>
            <w:tcW w:w="4794" w:type="dxa"/>
            <w:shd w:val="clear" w:color="auto" w:fill="auto"/>
            <w:hideMark/>
          </w:tcPr>
          <w:p w14:paraId="1448C3E9" w14:textId="77777777" w:rsidR="00F85ADF" w:rsidRDefault="00F85ADF" w:rsidP="003C473C">
            <w:pPr>
              <w:spacing w:after="0"/>
              <w:jc w:val="left"/>
              <w:rPr>
                <w:rFonts w:ascii="Calibri" w:eastAsia="Times New Roman" w:hAnsi="Calibri" w:cs="Arial"/>
                <w:sz w:val="18"/>
                <w:szCs w:val="18"/>
                <w:lang w:eastAsia="sl-SI"/>
              </w:rPr>
            </w:pPr>
            <w:r w:rsidRPr="00AB512D">
              <w:rPr>
                <w:rFonts w:ascii="Calibri" w:eastAsia="Times New Roman" w:hAnsi="Calibri" w:cs="Arial"/>
                <w:sz w:val="18"/>
                <w:szCs w:val="18"/>
                <w:lang w:eastAsia="sl-SI"/>
              </w:rPr>
              <w:t>Predlog čimprejšnjega pričetka aktivnega dialoga med FURS in finančnimi institucijami v zvezi z implementacijo zahtev OECD CRS in EU DAC2 in vzpostavitev nove spletne strani za namen avtomatične izmenjave informacij.</w:t>
            </w:r>
          </w:p>
          <w:p w14:paraId="1448C3EA" w14:textId="77777777" w:rsidR="00636CFB" w:rsidRDefault="00636CFB" w:rsidP="003C473C">
            <w:pPr>
              <w:spacing w:after="0"/>
              <w:jc w:val="left"/>
              <w:rPr>
                <w:rFonts w:ascii="Calibri" w:eastAsia="Times New Roman" w:hAnsi="Calibri" w:cs="Arial"/>
                <w:sz w:val="18"/>
                <w:szCs w:val="18"/>
                <w:lang w:eastAsia="sl-SI"/>
              </w:rPr>
            </w:pPr>
          </w:p>
          <w:p w14:paraId="1448C3EB" w14:textId="77777777" w:rsidR="00636CFB" w:rsidRDefault="00636CFB" w:rsidP="003C473C">
            <w:pPr>
              <w:spacing w:after="0"/>
              <w:jc w:val="left"/>
              <w:rPr>
                <w:rFonts w:ascii="Calibri" w:eastAsia="Times New Roman" w:hAnsi="Calibri" w:cs="Arial"/>
                <w:sz w:val="18"/>
                <w:szCs w:val="18"/>
                <w:lang w:eastAsia="sl-SI"/>
              </w:rPr>
            </w:pPr>
          </w:p>
          <w:p w14:paraId="1448C3EC" w14:textId="77777777" w:rsidR="00636CFB" w:rsidRDefault="00636CFB" w:rsidP="003C473C">
            <w:pPr>
              <w:spacing w:after="0"/>
              <w:jc w:val="left"/>
              <w:rPr>
                <w:rFonts w:ascii="Calibri" w:eastAsia="Times New Roman" w:hAnsi="Calibri" w:cs="Arial"/>
                <w:sz w:val="18"/>
                <w:szCs w:val="18"/>
                <w:lang w:eastAsia="sl-SI"/>
              </w:rPr>
            </w:pPr>
          </w:p>
          <w:p w14:paraId="1448C3ED" w14:textId="77777777" w:rsidR="00636CFB" w:rsidRDefault="00636CFB" w:rsidP="003C473C">
            <w:pPr>
              <w:spacing w:after="0"/>
              <w:jc w:val="left"/>
              <w:rPr>
                <w:rFonts w:ascii="Calibri" w:eastAsia="Times New Roman" w:hAnsi="Calibri" w:cs="Arial"/>
                <w:sz w:val="18"/>
                <w:szCs w:val="18"/>
                <w:lang w:eastAsia="sl-SI"/>
              </w:rPr>
            </w:pPr>
          </w:p>
          <w:p w14:paraId="1448C3EE" w14:textId="77777777" w:rsidR="00636CFB" w:rsidRPr="00AB512D" w:rsidRDefault="00636CFB" w:rsidP="003C473C">
            <w:pPr>
              <w:spacing w:after="0"/>
              <w:jc w:val="left"/>
              <w:rPr>
                <w:rFonts w:ascii="Calibri" w:eastAsia="Times New Roman" w:hAnsi="Calibri" w:cs="Arial"/>
                <w:sz w:val="18"/>
                <w:szCs w:val="18"/>
                <w:lang w:eastAsia="sl-SI"/>
              </w:rPr>
            </w:pPr>
            <w:r w:rsidRPr="00AB512D">
              <w:rPr>
                <w:rFonts w:ascii="Calibri" w:eastAsia="Times New Roman" w:hAnsi="Calibri" w:cs="Arial"/>
                <w:sz w:val="18"/>
                <w:szCs w:val="18"/>
                <w:lang w:eastAsia="sl-SI"/>
              </w:rPr>
              <w:t>Pripomba glede razpoložljivosti dokumentov OECD, potrebnih za pravilno in pravočasno implementacijo, ki so na razpolago samo v angleškem jeziku, zato je podan predlog zagotovitve uradnega prevoda OECD enotnega standarda poročanja s komentarjem in čimprejšnje objave končne oblik zahtev v obliki podzakonskih aktov.</w:t>
            </w:r>
          </w:p>
        </w:tc>
        <w:tc>
          <w:tcPr>
            <w:tcW w:w="1946" w:type="dxa"/>
            <w:shd w:val="clear" w:color="auto" w:fill="auto"/>
            <w:hideMark/>
          </w:tcPr>
          <w:p w14:paraId="1448C3EF" w14:textId="77777777" w:rsidR="00636CFB" w:rsidRDefault="00636CF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1448C3F0"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V sodelovanju s FURS (na način kot pri implementaciji FATCA) - priprava informacij, pojasnila na spletni strani, vodiči brošure.</w:t>
            </w:r>
          </w:p>
          <w:p w14:paraId="1448C3F1" w14:textId="77777777" w:rsidR="00636CFB" w:rsidRDefault="00636CFB" w:rsidP="003C473C">
            <w:pPr>
              <w:spacing w:after="0"/>
              <w:jc w:val="left"/>
              <w:rPr>
                <w:rFonts w:ascii="Calibri" w:eastAsia="Times New Roman" w:hAnsi="Calibri" w:cs="Arial"/>
                <w:color w:val="000000"/>
                <w:sz w:val="18"/>
                <w:szCs w:val="18"/>
                <w:lang w:eastAsia="sl-SI"/>
              </w:rPr>
            </w:pPr>
          </w:p>
          <w:p w14:paraId="1448C3F2" w14:textId="77777777" w:rsidR="00636CFB" w:rsidRDefault="00636CF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p w14:paraId="1448C3F3" w14:textId="77777777" w:rsidR="00636CFB" w:rsidRPr="00AB512D" w:rsidRDefault="00636CFB" w:rsidP="003C473C">
            <w:pPr>
              <w:spacing w:after="0"/>
              <w:jc w:val="left"/>
              <w:rPr>
                <w:rFonts w:ascii="Calibri" w:eastAsia="Times New Roman" w:hAnsi="Calibri" w:cs="Arial"/>
                <w:color w:val="000000"/>
                <w:sz w:val="18"/>
                <w:szCs w:val="18"/>
                <w:lang w:eastAsia="sl-SI"/>
              </w:rPr>
            </w:pPr>
          </w:p>
        </w:tc>
        <w:tc>
          <w:tcPr>
            <w:tcW w:w="5220" w:type="dxa"/>
            <w:shd w:val="clear" w:color="auto" w:fill="auto"/>
            <w:hideMark/>
          </w:tcPr>
          <w:p w14:paraId="1448C3F4"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F5"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6"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7"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8"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9"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A"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B"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C" w14:textId="77777777" w:rsidR="00636CFB" w:rsidRDefault="00636CFB"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xml:space="preserve">Enotni standard poročanja je </w:t>
            </w:r>
            <w:r w:rsidR="00C332FA">
              <w:rPr>
                <w:rFonts w:ascii="Calibri" w:eastAsia="Times New Roman" w:hAnsi="Calibri" w:cs="Arial"/>
                <w:color w:val="000000"/>
                <w:sz w:val="18"/>
                <w:szCs w:val="18"/>
                <w:lang w:eastAsia="sl-SI"/>
              </w:rPr>
              <w:t>prenesen v Direktivo 2014/107/EU</w:t>
            </w:r>
            <w:r w:rsidRPr="00AB512D">
              <w:rPr>
                <w:rFonts w:ascii="Calibri" w:eastAsia="Times New Roman" w:hAnsi="Calibri" w:cs="Arial"/>
                <w:color w:val="000000"/>
                <w:sz w:val="18"/>
                <w:szCs w:val="18"/>
                <w:lang w:eastAsia="sl-SI"/>
              </w:rPr>
              <w:t>, ki je je v slovenskem jeziku.</w:t>
            </w:r>
            <w:r>
              <w:rPr>
                <w:rFonts w:ascii="Calibri" w:eastAsia="Times New Roman" w:hAnsi="Calibri" w:cs="Arial"/>
                <w:color w:val="000000"/>
                <w:sz w:val="18"/>
                <w:szCs w:val="18"/>
                <w:lang w:eastAsia="sl-SI"/>
              </w:rPr>
              <w:t xml:space="preserve"> </w:t>
            </w:r>
          </w:p>
          <w:p w14:paraId="1448C3FD"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E"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F" w14:textId="77777777" w:rsidR="00636CFB" w:rsidRPr="00AB512D" w:rsidRDefault="00636CFB" w:rsidP="003C473C">
            <w:pPr>
              <w:spacing w:after="0"/>
              <w:jc w:val="left"/>
              <w:rPr>
                <w:rFonts w:ascii="Calibri" w:eastAsia="Times New Roman" w:hAnsi="Calibri" w:cs="Arial"/>
                <w:b/>
                <w:bCs/>
                <w:color w:val="000000"/>
                <w:sz w:val="18"/>
                <w:szCs w:val="18"/>
                <w:lang w:eastAsia="sl-SI"/>
              </w:rPr>
            </w:pPr>
          </w:p>
        </w:tc>
      </w:tr>
      <w:tr w:rsidR="00F85ADF" w:rsidRPr="00AB512D" w14:paraId="1448C406" w14:textId="77777777" w:rsidTr="00EC73AA">
        <w:trPr>
          <w:trHeight w:val="480"/>
        </w:trPr>
        <w:tc>
          <w:tcPr>
            <w:tcW w:w="1600" w:type="dxa"/>
            <w:shd w:val="clear" w:color="auto" w:fill="auto"/>
            <w:hideMark/>
          </w:tcPr>
          <w:p w14:paraId="1448C401"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02"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5. členu (36. člen ZDavP-2) in k 6. členu (37. člen ZDavP-2)</w:t>
            </w:r>
          </w:p>
          <w:p w14:paraId="1448C403" w14:textId="77777777" w:rsidR="00746BAC" w:rsidRPr="00AB512D" w:rsidRDefault="00746BAC"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sz w:val="18"/>
                <w:szCs w:val="18"/>
                <w:lang w:eastAsia="sl-SI"/>
              </w:rPr>
              <w:t>Pripomba glede vrste računov, ki niso transakcijski računi v povezavi s pojmom »plačilni račun«.</w:t>
            </w:r>
          </w:p>
        </w:tc>
        <w:tc>
          <w:tcPr>
            <w:tcW w:w="1946" w:type="dxa"/>
            <w:shd w:val="clear" w:color="auto" w:fill="auto"/>
            <w:hideMark/>
          </w:tcPr>
          <w:p w14:paraId="1448C404" w14:textId="3866BF1F" w:rsidR="00F85ADF" w:rsidRPr="00AB512D" w:rsidRDefault="00746BA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Pripomba ni več aktualna, saj je predlagana sprememba 36. člena ZDavP-2 črtana in je ohranjen veljavni člen, določba glede obveznosti objave računa v RTR pa je tudi črtana oz. spremenjen je tretji odstavek veljavnega 37. člena tako, da se glasi: » (3) Osebe iz 31. člena tega zakona morajo imeti pri ponudniku plačilnih storitev odprt transakcijski račun.«.</w:t>
            </w:r>
          </w:p>
        </w:tc>
        <w:tc>
          <w:tcPr>
            <w:tcW w:w="5220" w:type="dxa"/>
            <w:shd w:val="clear" w:color="auto" w:fill="auto"/>
            <w:hideMark/>
          </w:tcPr>
          <w:p w14:paraId="1448C405"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411" w14:textId="77777777" w:rsidTr="00EC73AA">
        <w:trPr>
          <w:trHeight w:val="285"/>
        </w:trPr>
        <w:tc>
          <w:tcPr>
            <w:tcW w:w="1600" w:type="dxa"/>
            <w:shd w:val="clear" w:color="auto" w:fill="auto"/>
            <w:hideMark/>
          </w:tcPr>
          <w:p w14:paraId="1448C40C" w14:textId="77777777" w:rsidR="00F85ADF" w:rsidRPr="00746BAC" w:rsidRDefault="00746BAC" w:rsidP="003C473C">
            <w:pPr>
              <w:spacing w:after="0"/>
              <w:jc w:val="left"/>
              <w:rPr>
                <w:rFonts w:ascii="Calibri" w:eastAsia="Times New Roman" w:hAnsi="Calibri" w:cs="Arial"/>
                <w:b/>
                <w:color w:val="000000"/>
                <w:sz w:val="20"/>
                <w:szCs w:val="20"/>
                <w:lang w:eastAsia="sl-SI"/>
              </w:rPr>
            </w:pPr>
            <w:r w:rsidRPr="00746BAC">
              <w:rPr>
                <w:rFonts w:ascii="Calibri" w:eastAsia="Times New Roman" w:hAnsi="Calibri" w:cs="Arial"/>
                <w:b/>
                <w:color w:val="000000"/>
                <w:sz w:val="20"/>
                <w:szCs w:val="20"/>
                <w:lang w:eastAsia="sl-SI"/>
              </w:rPr>
              <w:t xml:space="preserve">Združenje družb za upravljanje investicijskih </w:t>
            </w:r>
            <w:r w:rsidRPr="00746BAC">
              <w:rPr>
                <w:rFonts w:ascii="Calibri" w:eastAsia="Times New Roman" w:hAnsi="Calibri" w:cs="Arial"/>
                <w:b/>
                <w:color w:val="000000"/>
                <w:sz w:val="20"/>
                <w:szCs w:val="20"/>
                <w:lang w:eastAsia="sl-SI"/>
              </w:rPr>
              <w:lastRenderedPageBreak/>
              <w:t>skladov – GIZ</w:t>
            </w:r>
          </w:p>
        </w:tc>
        <w:tc>
          <w:tcPr>
            <w:tcW w:w="4794" w:type="dxa"/>
            <w:shd w:val="clear" w:color="auto" w:fill="auto"/>
            <w:hideMark/>
          </w:tcPr>
          <w:p w14:paraId="1448C40D"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sz w:val="18"/>
                <w:szCs w:val="18"/>
                <w:lang w:eastAsia="sl-SI"/>
              </w:rPr>
              <w:lastRenderedPageBreak/>
              <w:t> </w:t>
            </w:r>
            <w:r w:rsidR="00746BAC" w:rsidRPr="00AB512D">
              <w:rPr>
                <w:rFonts w:ascii="Calibri" w:eastAsia="Times New Roman" w:hAnsi="Calibri" w:cs="Arial"/>
                <w:b/>
                <w:bCs/>
                <w:color w:val="000000"/>
                <w:sz w:val="18"/>
                <w:szCs w:val="18"/>
                <w:lang w:eastAsia="sl-SI"/>
              </w:rPr>
              <w:t>K novemu 351.f členu ZDavP-2</w:t>
            </w:r>
          </w:p>
          <w:p w14:paraId="1448C40E" w14:textId="77777777" w:rsidR="00746BAC" w:rsidRPr="00AB512D" w:rsidRDefault="00746BAC" w:rsidP="003C473C">
            <w:pPr>
              <w:spacing w:after="0"/>
              <w:jc w:val="left"/>
              <w:rPr>
                <w:rFonts w:ascii="Calibri" w:eastAsia="Times New Roman" w:hAnsi="Calibri" w:cs="Arial"/>
                <w:sz w:val="18"/>
                <w:szCs w:val="18"/>
                <w:lang w:eastAsia="sl-SI"/>
              </w:rPr>
            </w:pPr>
            <w:r w:rsidRPr="00AB512D">
              <w:rPr>
                <w:rFonts w:ascii="Calibri" w:eastAsia="Times New Roman" w:hAnsi="Calibri" w:cs="Arial"/>
                <w:color w:val="000000"/>
                <w:sz w:val="18"/>
                <w:szCs w:val="18"/>
                <w:lang w:eastAsia="sl-SI"/>
              </w:rPr>
              <w:t>Predlog za podaljšanje roka za poročanje.</w:t>
            </w:r>
          </w:p>
        </w:tc>
        <w:tc>
          <w:tcPr>
            <w:tcW w:w="1946" w:type="dxa"/>
            <w:shd w:val="clear" w:color="auto" w:fill="auto"/>
            <w:hideMark/>
          </w:tcPr>
          <w:p w14:paraId="1448C40F"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r w:rsidR="00746BAC">
              <w:rPr>
                <w:rFonts w:ascii="Calibri" w:eastAsia="Times New Roman" w:hAnsi="Calibri" w:cs="Arial"/>
                <w:color w:val="000000"/>
                <w:sz w:val="18"/>
                <w:szCs w:val="18"/>
                <w:lang w:eastAsia="sl-SI"/>
              </w:rPr>
              <w:t>DA</w:t>
            </w:r>
          </w:p>
        </w:tc>
        <w:tc>
          <w:tcPr>
            <w:tcW w:w="5220" w:type="dxa"/>
            <w:shd w:val="clear" w:color="auto" w:fill="auto"/>
            <w:hideMark/>
          </w:tcPr>
          <w:p w14:paraId="1448C410"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426" w14:textId="77777777" w:rsidTr="00EC73AA">
        <w:trPr>
          <w:trHeight w:val="1440"/>
        </w:trPr>
        <w:tc>
          <w:tcPr>
            <w:tcW w:w="1600" w:type="dxa"/>
            <w:shd w:val="clear" w:color="auto" w:fill="auto"/>
            <w:hideMark/>
          </w:tcPr>
          <w:p w14:paraId="1448C412"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r w:rsidR="003C473C" w:rsidRPr="003C473C">
              <w:rPr>
                <w:rFonts w:ascii="Calibri" w:eastAsia="Times New Roman" w:hAnsi="Calibri" w:cs="Arial"/>
                <w:b/>
                <w:color w:val="000000"/>
                <w:sz w:val="20"/>
                <w:szCs w:val="20"/>
                <w:lang w:eastAsia="sl-SI"/>
              </w:rPr>
              <w:t>Trgovinska zbornica Slovenije</w:t>
            </w:r>
          </w:p>
        </w:tc>
        <w:tc>
          <w:tcPr>
            <w:tcW w:w="4794" w:type="dxa"/>
            <w:shd w:val="clear" w:color="auto" w:fill="auto"/>
            <w:hideMark/>
          </w:tcPr>
          <w:p w14:paraId="1448C413" w14:textId="77777777" w:rsidR="003C473C" w:rsidRDefault="003C473C" w:rsidP="003C473C">
            <w:pPr>
              <w:spacing w:after="0"/>
              <w:jc w:val="left"/>
              <w:rPr>
                <w:rFonts w:ascii="Calibri" w:eastAsia="Times New Roman" w:hAnsi="Calibri" w:cs="Arial"/>
                <w:color w:val="000000"/>
                <w:sz w:val="18"/>
                <w:szCs w:val="18"/>
                <w:u w:val="single"/>
                <w:lang w:eastAsia="sl-SI"/>
              </w:rPr>
            </w:pPr>
            <w:r w:rsidRPr="00AB512D">
              <w:rPr>
                <w:rFonts w:ascii="Calibri" w:eastAsia="Times New Roman" w:hAnsi="Calibri" w:cs="Arial"/>
                <w:b/>
                <w:bCs/>
                <w:color w:val="000000"/>
                <w:sz w:val="18"/>
                <w:szCs w:val="18"/>
                <w:lang w:eastAsia="sl-SI"/>
              </w:rPr>
              <w:t>K 4. členu (novi 14.a, 14.b in 14.c člen ZDavP-2)</w:t>
            </w:r>
          </w:p>
          <w:p w14:paraId="1448C414" w14:textId="77777777" w:rsidR="00F85ADF" w:rsidRPr="003C473C" w:rsidRDefault="00F85ADF" w:rsidP="003C473C">
            <w:pPr>
              <w:spacing w:after="0"/>
              <w:jc w:val="left"/>
              <w:rPr>
                <w:rFonts w:ascii="Calibri" w:eastAsia="Times New Roman" w:hAnsi="Calibri" w:cs="Arial"/>
                <w:color w:val="000000"/>
                <w:sz w:val="18"/>
                <w:szCs w:val="18"/>
                <w:lang w:eastAsia="sl-SI"/>
              </w:rPr>
            </w:pPr>
            <w:r w:rsidRPr="003C473C">
              <w:rPr>
                <w:rFonts w:ascii="Calibri" w:eastAsia="Times New Roman" w:hAnsi="Calibri" w:cs="Arial"/>
                <w:color w:val="000000"/>
                <w:sz w:val="18"/>
                <w:szCs w:val="18"/>
                <w:lang w:eastAsia="sl-SI"/>
              </w:rPr>
              <w:t>14.a in 14.b člen:</w:t>
            </w:r>
          </w:p>
          <w:p w14:paraId="1448C415" w14:textId="77777777" w:rsidR="003C473C" w:rsidRDefault="003C473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Pripomba glede roka za odgovor davčnega organa davčnemu zavezancu na njegovo pisno vlogo za sklenitev sporazuma</w:t>
            </w:r>
            <w:r>
              <w:rPr>
                <w:rFonts w:ascii="Calibri" w:eastAsia="Times New Roman" w:hAnsi="Calibri" w:cs="Arial"/>
                <w:color w:val="000000"/>
                <w:sz w:val="18"/>
                <w:szCs w:val="18"/>
                <w:lang w:eastAsia="sl-SI"/>
              </w:rPr>
              <w:t>.</w:t>
            </w:r>
          </w:p>
          <w:p w14:paraId="1448C416" w14:textId="77777777" w:rsidR="003C473C" w:rsidRDefault="003C473C" w:rsidP="003C473C">
            <w:pPr>
              <w:spacing w:after="0"/>
              <w:jc w:val="left"/>
              <w:rPr>
                <w:rFonts w:ascii="Calibri" w:eastAsia="Times New Roman" w:hAnsi="Calibri" w:cs="Arial"/>
                <w:color w:val="000000"/>
                <w:sz w:val="18"/>
                <w:szCs w:val="18"/>
                <w:lang w:eastAsia="sl-SI"/>
              </w:rPr>
            </w:pPr>
          </w:p>
          <w:p w14:paraId="1448C417" w14:textId="77777777" w:rsidR="003C473C" w:rsidRDefault="003C473C" w:rsidP="003C473C">
            <w:pPr>
              <w:spacing w:after="0"/>
              <w:jc w:val="left"/>
              <w:rPr>
                <w:rFonts w:ascii="Calibri" w:eastAsia="Times New Roman" w:hAnsi="Calibri" w:cs="Arial"/>
                <w:color w:val="000000"/>
                <w:sz w:val="18"/>
                <w:szCs w:val="18"/>
                <w:lang w:eastAsia="sl-SI"/>
              </w:rPr>
            </w:pPr>
          </w:p>
          <w:p w14:paraId="1448C418" w14:textId="77777777" w:rsidR="003C473C" w:rsidRPr="0085105A" w:rsidRDefault="003C473C" w:rsidP="003C473C">
            <w:pPr>
              <w:spacing w:after="0"/>
              <w:jc w:val="left"/>
              <w:rPr>
                <w:rFonts w:ascii="Calibri" w:eastAsia="Times New Roman" w:hAnsi="Calibri" w:cs="Arial"/>
                <w:color w:val="000000"/>
                <w:sz w:val="18"/>
                <w:szCs w:val="18"/>
                <w:lang w:eastAsia="sl-SI"/>
              </w:rPr>
            </w:pPr>
            <w:r w:rsidRPr="0085105A">
              <w:rPr>
                <w:rFonts w:ascii="Calibri" w:eastAsia="Times New Roman" w:hAnsi="Calibri" w:cs="Arial"/>
                <w:color w:val="000000"/>
                <w:sz w:val="18"/>
                <w:szCs w:val="18"/>
                <w:lang w:eastAsia="sl-SI"/>
              </w:rPr>
              <w:t>14.c člen :</w:t>
            </w:r>
          </w:p>
          <w:p w14:paraId="1448C419" w14:textId="77777777" w:rsidR="003C473C" w:rsidRPr="00AB512D" w:rsidRDefault="003C473C" w:rsidP="003C473C">
            <w:pPr>
              <w:spacing w:after="0"/>
              <w:jc w:val="left"/>
              <w:rPr>
                <w:rFonts w:ascii="Calibri" w:eastAsia="Times New Roman" w:hAnsi="Calibri" w:cs="Arial"/>
                <w:color w:val="000000"/>
                <w:sz w:val="18"/>
                <w:szCs w:val="18"/>
                <w:u w:val="single"/>
                <w:lang w:eastAsia="sl-SI"/>
              </w:rPr>
            </w:pPr>
            <w:r w:rsidRPr="00AB512D">
              <w:rPr>
                <w:rFonts w:ascii="Calibri" w:eastAsia="Times New Roman" w:hAnsi="Calibri" w:cs="Arial"/>
                <w:color w:val="000000"/>
                <w:sz w:val="18"/>
                <w:szCs w:val="18"/>
                <w:lang w:eastAsia="sl-SI"/>
              </w:rPr>
              <w:t>Pripomba glede roka poročanja - do kdaj je davčni zavezanec za vsako leto trajanja sporazuma dolžan davčni organ obvestiti o veljavnosti kritičnih predpostavk in o opravljenih prilagoditvah</w:t>
            </w:r>
            <w:r>
              <w:rPr>
                <w:rFonts w:ascii="Calibri" w:eastAsia="Times New Roman" w:hAnsi="Calibri" w:cs="Arial"/>
                <w:color w:val="000000"/>
                <w:sz w:val="18"/>
                <w:szCs w:val="18"/>
                <w:lang w:eastAsia="sl-SI"/>
              </w:rPr>
              <w:t>.</w:t>
            </w:r>
          </w:p>
        </w:tc>
        <w:tc>
          <w:tcPr>
            <w:tcW w:w="1946" w:type="dxa"/>
            <w:shd w:val="clear" w:color="auto" w:fill="auto"/>
            <w:hideMark/>
          </w:tcPr>
          <w:p w14:paraId="1448C41A"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41B" w14:textId="77777777" w:rsidR="003C473C" w:rsidRDefault="003C473C" w:rsidP="003C473C">
            <w:pPr>
              <w:spacing w:after="0"/>
              <w:jc w:val="left"/>
              <w:rPr>
                <w:rFonts w:ascii="Calibri" w:eastAsia="Times New Roman" w:hAnsi="Calibri" w:cs="Arial"/>
                <w:b/>
                <w:bCs/>
                <w:color w:val="000000"/>
                <w:sz w:val="18"/>
                <w:szCs w:val="18"/>
                <w:lang w:eastAsia="sl-SI"/>
              </w:rPr>
            </w:pPr>
          </w:p>
          <w:p w14:paraId="1448C41C" w14:textId="2414531A" w:rsidR="003C473C" w:rsidRPr="00CB2C3D" w:rsidRDefault="00CB2C3D" w:rsidP="003C473C">
            <w:pPr>
              <w:spacing w:after="0"/>
              <w:jc w:val="left"/>
              <w:rPr>
                <w:rFonts w:ascii="Calibri" w:eastAsia="Times New Roman" w:hAnsi="Calibri" w:cs="Arial"/>
                <w:bCs/>
                <w:color w:val="FF0000"/>
                <w:sz w:val="18"/>
                <w:szCs w:val="18"/>
                <w:lang w:eastAsia="sl-SI"/>
              </w:rPr>
            </w:pPr>
            <w:r w:rsidRPr="00CB2C3D">
              <w:rPr>
                <w:rFonts w:ascii="Calibri" w:eastAsia="Times New Roman" w:hAnsi="Calibri" w:cs="Arial"/>
                <w:bCs/>
                <w:color w:val="FF0000"/>
                <w:sz w:val="18"/>
                <w:szCs w:val="18"/>
                <w:lang w:eastAsia="sl-SI"/>
              </w:rPr>
              <w:t>Popravljena d</w:t>
            </w:r>
            <w:r>
              <w:rPr>
                <w:rFonts w:ascii="Calibri" w:eastAsia="Times New Roman" w:hAnsi="Calibri" w:cs="Arial"/>
                <w:bCs/>
                <w:color w:val="FF0000"/>
                <w:sz w:val="18"/>
                <w:szCs w:val="18"/>
                <w:lang w:eastAsia="sl-SI"/>
              </w:rPr>
              <w:t>oločba</w:t>
            </w:r>
          </w:p>
          <w:p w14:paraId="1448C41D" w14:textId="77777777" w:rsidR="003C473C" w:rsidRDefault="003C473C" w:rsidP="003C473C">
            <w:pPr>
              <w:spacing w:after="0"/>
              <w:jc w:val="left"/>
              <w:rPr>
                <w:rFonts w:ascii="Calibri" w:eastAsia="Times New Roman" w:hAnsi="Calibri" w:cs="Arial"/>
                <w:bCs/>
                <w:color w:val="000000"/>
                <w:sz w:val="18"/>
                <w:szCs w:val="18"/>
                <w:lang w:eastAsia="sl-SI"/>
              </w:rPr>
            </w:pPr>
          </w:p>
          <w:p w14:paraId="1448C41E" w14:textId="77777777" w:rsidR="003C473C" w:rsidRDefault="003C473C" w:rsidP="003C473C">
            <w:pPr>
              <w:spacing w:after="0"/>
              <w:jc w:val="left"/>
              <w:rPr>
                <w:rFonts w:ascii="Calibri" w:eastAsia="Times New Roman" w:hAnsi="Calibri" w:cs="Arial"/>
                <w:bCs/>
                <w:color w:val="000000"/>
                <w:sz w:val="18"/>
                <w:szCs w:val="18"/>
                <w:lang w:eastAsia="sl-SI"/>
              </w:rPr>
            </w:pPr>
          </w:p>
          <w:p w14:paraId="1448C41F" w14:textId="77777777" w:rsidR="003C473C" w:rsidRDefault="003C473C" w:rsidP="003C473C">
            <w:pPr>
              <w:spacing w:after="0"/>
              <w:jc w:val="left"/>
              <w:rPr>
                <w:rFonts w:ascii="Calibri" w:eastAsia="Times New Roman" w:hAnsi="Calibri" w:cs="Arial"/>
                <w:bCs/>
                <w:color w:val="000000"/>
                <w:sz w:val="18"/>
                <w:szCs w:val="18"/>
                <w:lang w:eastAsia="sl-SI"/>
              </w:rPr>
            </w:pPr>
          </w:p>
          <w:p w14:paraId="1448C420" w14:textId="77777777" w:rsidR="003C473C" w:rsidRDefault="003C473C" w:rsidP="003C473C">
            <w:pPr>
              <w:spacing w:after="0"/>
              <w:jc w:val="left"/>
              <w:rPr>
                <w:rFonts w:ascii="Calibri" w:eastAsia="Times New Roman" w:hAnsi="Calibri" w:cs="Arial"/>
                <w:bCs/>
                <w:color w:val="000000"/>
                <w:sz w:val="18"/>
                <w:szCs w:val="18"/>
                <w:lang w:eastAsia="sl-SI"/>
              </w:rPr>
            </w:pPr>
          </w:p>
          <w:p w14:paraId="1448C421" w14:textId="77777777" w:rsidR="003C473C" w:rsidRDefault="003C473C" w:rsidP="003C473C">
            <w:pPr>
              <w:spacing w:after="0"/>
              <w:jc w:val="left"/>
              <w:rPr>
                <w:rFonts w:ascii="Calibri" w:eastAsia="Times New Roman" w:hAnsi="Calibri" w:cs="Arial"/>
                <w:bCs/>
                <w:color w:val="000000"/>
                <w:sz w:val="18"/>
                <w:szCs w:val="18"/>
                <w:lang w:eastAsia="sl-SI"/>
              </w:rPr>
            </w:pPr>
            <w:r>
              <w:rPr>
                <w:rFonts w:ascii="Calibri" w:eastAsia="Times New Roman" w:hAnsi="Calibri" w:cs="Arial"/>
                <w:bCs/>
                <w:color w:val="000000"/>
                <w:sz w:val="18"/>
                <w:szCs w:val="18"/>
                <w:lang w:eastAsia="sl-SI"/>
              </w:rPr>
              <w:t>NE</w:t>
            </w:r>
          </w:p>
          <w:p w14:paraId="1448C422" w14:textId="77777777" w:rsidR="003C473C" w:rsidRPr="003C473C" w:rsidRDefault="003C473C" w:rsidP="003C473C">
            <w:pPr>
              <w:spacing w:after="0"/>
              <w:jc w:val="left"/>
              <w:rPr>
                <w:rFonts w:ascii="Calibri" w:eastAsia="Times New Roman" w:hAnsi="Calibri" w:cs="Arial"/>
                <w:bCs/>
                <w:color w:val="000000"/>
                <w:sz w:val="18"/>
                <w:szCs w:val="18"/>
                <w:lang w:eastAsia="sl-SI"/>
              </w:rPr>
            </w:pPr>
          </w:p>
        </w:tc>
        <w:tc>
          <w:tcPr>
            <w:tcW w:w="5220" w:type="dxa"/>
            <w:shd w:val="clear" w:color="auto" w:fill="auto"/>
            <w:hideMark/>
          </w:tcPr>
          <w:p w14:paraId="1448C424" w14:textId="77777777" w:rsidR="003C473C" w:rsidRDefault="003C473C" w:rsidP="002655FC">
            <w:pPr>
              <w:spacing w:after="0"/>
              <w:rPr>
                <w:rFonts w:ascii="Calibri" w:eastAsia="Times New Roman" w:hAnsi="Calibri" w:cs="Arial"/>
                <w:color w:val="000000"/>
                <w:sz w:val="18"/>
                <w:szCs w:val="18"/>
                <w:lang w:eastAsia="sl-SI"/>
              </w:rPr>
            </w:pPr>
          </w:p>
          <w:p w14:paraId="298AAEA9" w14:textId="21583B9C" w:rsidR="00CB2C3D" w:rsidRDefault="00CB2C3D" w:rsidP="002655FC">
            <w:pPr>
              <w:spacing w:after="0"/>
              <w:rPr>
                <w:rFonts w:ascii="Calibri" w:eastAsia="Times New Roman" w:hAnsi="Calibri" w:cs="Arial"/>
                <w:color w:val="000000"/>
                <w:sz w:val="18"/>
                <w:szCs w:val="18"/>
                <w:lang w:eastAsia="sl-SI"/>
              </w:rPr>
            </w:pPr>
          </w:p>
          <w:p w14:paraId="36F648EB" w14:textId="77777777" w:rsidR="00CB2C3D" w:rsidRDefault="00CB2C3D" w:rsidP="002655FC">
            <w:pPr>
              <w:spacing w:after="0"/>
              <w:rPr>
                <w:rFonts w:ascii="Calibri" w:eastAsia="Times New Roman" w:hAnsi="Calibri" w:cs="Arial"/>
                <w:color w:val="000000"/>
                <w:sz w:val="18"/>
                <w:szCs w:val="18"/>
                <w:lang w:eastAsia="sl-SI"/>
              </w:rPr>
            </w:pPr>
          </w:p>
          <w:p w14:paraId="7E3AA997" w14:textId="77777777" w:rsidR="00CB2C3D" w:rsidRDefault="00CB2C3D" w:rsidP="002655FC">
            <w:pPr>
              <w:spacing w:after="0"/>
              <w:rPr>
                <w:rFonts w:ascii="Calibri" w:eastAsia="Times New Roman" w:hAnsi="Calibri" w:cs="Arial"/>
                <w:color w:val="000000"/>
                <w:sz w:val="18"/>
                <w:szCs w:val="18"/>
                <w:lang w:eastAsia="sl-SI"/>
              </w:rPr>
            </w:pPr>
          </w:p>
          <w:p w14:paraId="2F4661C9" w14:textId="77777777" w:rsidR="00CB2C3D" w:rsidRDefault="00CB2C3D" w:rsidP="002655FC">
            <w:pPr>
              <w:spacing w:after="0"/>
              <w:rPr>
                <w:rFonts w:ascii="Calibri" w:eastAsia="Times New Roman" w:hAnsi="Calibri" w:cs="Arial"/>
                <w:color w:val="000000"/>
                <w:sz w:val="18"/>
                <w:szCs w:val="18"/>
                <w:lang w:eastAsia="sl-SI"/>
              </w:rPr>
            </w:pPr>
          </w:p>
          <w:p w14:paraId="330C546B" w14:textId="77777777" w:rsidR="00CB2C3D" w:rsidRDefault="00CB2C3D" w:rsidP="002655FC">
            <w:pPr>
              <w:spacing w:after="0"/>
              <w:rPr>
                <w:rFonts w:ascii="Calibri" w:eastAsia="Times New Roman" w:hAnsi="Calibri" w:cs="Arial"/>
                <w:color w:val="000000"/>
                <w:sz w:val="18"/>
                <w:szCs w:val="18"/>
                <w:lang w:eastAsia="sl-SI"/>
              </w:rPr>
            </w:pPr>
          </w:p>
          <w:p w14:paraId="6B54DCD6" w14:textId="77777777" w:rsidR="00CB2C3D" w:rsidRDefault="00CB2C3D" w:rsidP="002655FC">
            <w:pPr>
              <w:spacing w:after="0"/>
              <w:rPr>
                <w:rFonts w:ascii="Calibri" w:eastAsia="Times New Roman" w:hAnsi="Calibri" w:cs="Arial"/>
                <w:color w:val="000000"/>
                <w:sz w:val="18"/>
                <w:szCs w:val="18"/>
                <w:lang w:eastAsia="sl-SI"/>
              </w:rPr>
            </w:pPr>
          </w:p>
          <w:p w14:paraId="1448C425" w14:textId="77777777" w:rsidR="003C473C" w:rsidRPr="00AB512D" w:rsidRDefault="003C473C"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Poročanje zavezanca o veljavnosti kritičnih predpostavk bo urejeno v podzakonskem aktu.</w:t>
            </w:r>
          </w:p>
        </w:tc>
      </w:tr>
      <w:tr w:rsidR="00F85ADF" w:rsidRPr="00AB512D" w14:paraId="1448C42D" w14:textId="77777777" w:rsidTr="00EC73AA">
        <w:trPr>
          <w:trHeight w:val="960"/>
        </w:trPr>
        <w:tc>
          <w:tcPr>
            <w:tcW w:w="1600" w:type="dxa"/>
            <w:shd w:val="clear" w:color="auto" w:fill="auto"/>
            <w:hideMark/>
          </w:tcPr>
          <w:p w14:paraId="1448C427"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28"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w:t>
            </w:r>
            <w:r w:rsidR="003C473C" w:rsidRPr="00AB512D">
              <w:rPr>
                <w:rFonts w:ascii="Calibri" w:eastAsia="Times New Roman" w:hAnsi="Calibri" w:cs="Arial"/>
                <w:b/>
                <w:bCs/>
                <w:color w:val="000000"/>
                <w:sz w:val="18"/>
                <w:szCs w:val="18"/>
                <w:lang w:eastAsia="sl-SI"/>
              </w:rPr>
              <w:t>K 15. členu (osmi odstavek 97. člena ZDavP-2)</w:t>
            </w:r>
          </w:p>
          <w:p w14:paraId="1448C429" w14:textId="611F92E1" w:rsidR="003C473C" w:rsidRPr="00AB512D" w:rsidRDefault="003C473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Pripomba glede pobota terjatev s strani davčnega organa pri zavezancu tudi iz naslova prispevkov, glob in stroškov postopka</w:t>
            </w:r>
            <w:r w:rsidR="00092A2B">
              <w:rPr>
                <w:rFonts w:ascii="Calibri" w:eastAsia="Times New Roman" w:hAnsi="Calibri" w:cs="Arial"/>
                <w:color w:val="000000"/>
                <w:sz w:val="18"/>
                <w:szCs w:val="18"/>
                <w:lang w:eastAsia="sl-SI"/>
              </w:rPr>
              <w:t>.</w:t>
            </w:r>
          </w:p>
        </w:tc>
        <w:tc>
          <w:tcPr>
            <w:tcW w:w="1946" w:type="dxa"/>
            <w:shd w:val="clear" w:color="auto" w:fill="auto"/>
            <w:hideMark/>
          </w:tcPr>
          <w:p w14:paraId="1448C42A"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2B" w14:textId="77777777" w:rsidR="003C473C" w:rsidRPr="00AB512D" w:rsidRDefault="003C473C"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42C" w14:textId="54355647" w:rsidR="00F85ADF" w:rsidRPr="00AB512D" w:rsidRDefault="00916BC4" w:rsidP="002655FC">
            <w:pPr>
              <w:spacing w:after="0"/>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ZDavP določa posledice preplačila davka.</w:t>
            </w:r>
          </w:p>
        </w:tc>
      </w:tr>
      <w:tr w:rsidR="00F85ADF" w:rsidRPr="00AB512D" w14:paraId="1448C434" w14:textId="77777777" w:rsidTr="00EC73AA">
        <w:trPr>
          <w:trHeight w:val="720"/>
        </w:trPr>
        <w:tc>
          <w:tcPr>
            <w:tcW w:w="1600" w:type="dxa"/>
            <w:shd w:val="clear" w:color="auto" w:fill="auto"/>
            <w:hideMark/>
          </w:tcPr>
          <w:p w14:paraId="1448C42E"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2F"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w:t>
            </w:r>
            <w:r w:rsidR="003C473C" w:rsidRPr="00AB512D">
              <w:rPr>
                <w:rFonts w:ascii="Calibri" w:eastAsia="Times New Roman" w:hAnsi="Calibri" w:cs="Arial"/>
                <w:b/>
                <w:bCs/>
                <w:color w:val="000000"/>
                <w:sz w:val="18"/>
                <w:szCs w:val="18"/>
                <w:lang w:eastAsia="sl-SI"/>
              </w:rPr>
              <w:t>K 24. členu (sedmi odstavek 129. člena ZDavP-2)</w:t>
            </w:r>
          </w:p>
          <w:p w14:paraId="1448C430" w14:textId="77777777" w:rsidR="003C473C" w:rsidRPr="00AB512D" w:rsidRDefault="003C473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Pripomba glede pisnega obvestila o uvedbi postopka nadzora.</w:t>
            </w:r>
          </w:p>
        </w:tc>
        <w:tc>
          <w:tcPr>
            <w:tcW w:w="1946" w:type="dxa"/>
            <w:shd w:val="clear" w:color="auto" w:fill="auto"/>
            <w:hideMark/>
          </w:tcPr>
          <w:p w14:paraId="1448C431"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32" w14:textId="77777777" w:rsidR="003C473C" w:rsidRPr="00AB512D" w:rsidRDefault="003C473C"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tc>
        <w:tc>
          <w:tcPr>
            <w:tcW w:w="5220" w:type="dxa"/>
            <w:shd w:val="clear" w:color="auto" w:fill="auto"/>
            <w:hideMark/>
          </w:tcPr>
          <w:p w14:paraId="1448C433"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Dodali smo besedilo, da mora biti o tem, da bo opravljen nadzor po 130. členu, izdan sklep. Sklep o začetku DIN pa je tako obvezen že po 135. členu ZDavP-2.</w:t>
            </w:r>
          </w:p>
        </w:tc>
      </w:tr>
      <w:tr w:rsidR="00F85ADF" w:rsidRPr="00AB512D" w14:paraId="1448C443" w14:textId="77777777" w:rsidTr="00EC73AA">
        <w:trPr>
          <w:trHeight w:val="960"/>
        </w:trPr>
        <w:tc>
          <w:tcPr>
            <w:tcW w:w="1600" w:type="dxa"/>
            <w:shd w:val="clear" w:color="auto" w:fill="auto"/>
            <w:hideMark/>
          </w:tcPr>
          <w:p w14:paraId="1448C435"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36" w14:textId="77777777" w:rsidR="003C473C" w:rsidRDefault="003C473C"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25. členu (130. člen ZDavP-2)</w:t>
            </w:r>
          </w:p>
          <w:p w14:paraId="1448C437" w14:textId="77777777" w:rsidR="003C473C" w:rsidRDefault="003C473C" w:rsidP="003C473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Pripomba glede drugega odstavka 130. člena v povezavi s sedmim odstavkom 129. člena </w:t>
            </w:r>
            <w:r>
              <w:rPr>
                <w:rFonts w:ascii="Calibri" w:eastAsia="Times New Roman" w:hAnsi="Calibri" w:cs="Arial"/>
                <w:color w:val="000000"/>
                <w:sz w:val="18"/>
                <w:szCs w:val="18"/>
                <w:lang w:eastAsia="sl-SI"/>
              </w:rPr>
              <w:t xml:space="preserve"> - poenotenje </w:t>
            </w:r>
            <w:r w:rsidRPr="00AB512D">
              <w:rPr>
                <w:rFonts w:ascii="Calibri" w:eastAsia="Times New Roman" w:hAnsi="Calibri" w:cs="Arial"/>
                <w:color w:val="000000"/>
                <w:sz w:val="18"/>
                <w:szCs w:val="18"/>
                <w:lang w:eastAsia="sl-SI"/>
              </w:rPr>
              <w:t xml:space="preserve">rokov. </w:t>
            </w:r>
          </w:p>
          <w:p w14:paraId="1448C438" w14:textId="77777777" w:rsidR="003C473C" w:rsidRDefault="003C473C" w:rsidP="003C473C">
            <w:pPr>
              <w:spacing w:after="0"/>
              <w:rPr>
                <w:rFonts w:ascii="Calibri" w:eastAsia="Times New Roman" w:hAnsi="Calibri" w:cs="Arial"/>
                <w:color w:val="000000"/>
                <w:sz w:val="18"/>
                <w:szCs w:val="18"/>
                <w:lang w:eastAsia="sl-SI"/>
              </w:rPr>
            </w:pPr>
          </w:p>
          <w:p w14:paraId="1448C439" w14:textId="77777777" w:rsidR="00F85ADF" w:rsidRPr="00AB512D" w:rsidRDefault="003C473C"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Podan je predlog, da se roki poenotijo s splošnim rokom za podajo pripomb, ki velja že sedaj v davčnem inšpekcijskem nadzoru (20 dni z mo</w:t>
            </w:r>
            <w:r>
              <w:rPr>
                <w:rFonts w:ascii="Calibri" w:eastAsia="Times New Roman" w:hAnsi="Calibri" w:cs="Arial"/>
                <w:color w:val="000000"/>
                <w:sz w:val="18"/>
                <w:szCs w:val="18"/>
                <w:lang w:eastAsia="sl-SI"/>
              </w:rPr>
              <w:t>žnostjo podaljšanja za 10 dni).</w:t>
            </w:r>
          </w:p>
        </w:tc>
        <w:tc>
          <w:tcPr>
            <w:tcW w:w="1946" w:type="dxa"/>
            <w:shd w:val="clear" w:color="auto" w:fill="auto"/>
            <w:hideMark/>
          </w:tcPr>
          <w:p w14:paraId="1448C43A"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3B" w14:textId="77777777" w:rsidR="003C473C" w:rsidRPr="00AB512D" w:rsidRDefault="003C473C"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 - delno</w:t>
            </w:r>
          </w:p>
        </w:tc>
        <w:tc>
          <w:tcPr>
            <w:tcW w:w="5220" w:type="dxa"/>
            <w:shd w:val="clear" w:color="auto" w:fill="auto"/>
            <w:hideMark/>
          </w:tcPr>
          <w:p w14:paraId="1448C43C"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Pri davčnem nadzoru posameznega področja poslovanja ne gre za enak obseg nadzora kot pri davčnem inšpekcijskem nadzoru, kjer se nadzira dve ali več področji poslovanja oz. en ali več davkov za eno ali več obdobij. </w:t>
            </w:r>
          </w:p>
          <w:p w14:paraId="1448C43D" w14:textId="77777777" w:rsidR="003C473C" w:rsidRDefault="003C473C" w:rsidP="002655FC">
            <w:pPr>
              <w:spacing w:after="0"/>
              <w:rPr>
                <w:rFonts w:ascii="Calibri" w:eastAsia="Times New Roman" w:hAnsi="Calibri" w:cs="Arial"/>
                <w:color w:val="000000"/>
                <w:sz w:val="18"/>
                <w:szCs w:val="18"/>
                <w:lang w:eastAsia="sl-SI"/>
              </w:rPr>
            </w:pPr>
          </w:p>
          <w:p w14:paraId="1448C43E" w14:textId="77777777" w:rsidR="003C473C" w:rsidRDefault="003C473C"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Postopek davčnega inšpekcijskega nadzora po 132. členu je obsežnejši kot postopek nadzora posameznega področja poslovanju po 130. členu, zato so temu prilagojene tudi določbe. Ne gre torej za neenakopravno obravnavanje zavezancev, saj postopkov po 130. in 132. členu ni mogoče enačiti.  </w:t>
            </w:r>
          </w:p>
          <w:p w14:paraId="1448C43F" w14:textId="77777777" w:rsidR="003C473C" w:rsidRDefault="003C473C" w:rsidP="002655FC">
            <w:pPr>
              <w:spacing w:after="0"/>
              <w:rPr>
                <w:rFonts w:ascii="Calibri" w:eastAsia="Times New Roman" w:hAnsi="Calibri" w:cs="Arial"/>
                <w:color w:val="000000"/>
                <w:sz w:val="18"/>
                <w:szCs w:val="18"/>
                <w:lang w:eastAsia="sl-SI"/>
              </w:rPr>
            </w:pPr>
          </w:p>
          <w:p w14:paraId="1448C440" w14:textId="77777777" w:rsidR="003C473C" w:rsidRDefault="003C473C"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Predlagatelj zakona je deloma tudi upošteval prejete pripombe, ki se nanašajo na domnevno zmanjšan obseg pravnega varstva v primeru nadzora posameznega področja poslovanja, tako da je dodana možnost podaljšanja roka za pripombe na zapisnik. Poleg tega se v 129. členu doda besedilo, da mora biti o tem, da bo opravljen nadzor po 130. členu, izdan sklep. Sklep o začetku DIN pa je tako obvezen že po 135. členu.</w:t>
            </w:r>
          </w:p>
          <w:p w14:paraId="1448C441" w14:textId="77777777" w:rsidR="003C473C" w:rsidRDefault="003C473C" w:rsidP="002655FC">
            <w:pPr>
              <w:spacing w:after="0"/>
              <w:rPr>
                <w:rFonts w:ascii="Calibri" w:eastAsia="Times New Roman" w:hAnsi="Calibri" w:cs="Arial"/>
                <w:color w:val="000000"/>
                <w:sz w:val="18"/>
                <w:szCs w:val="18"/>
                <w:lang w:eastAsia="sl-SI"/>
              </w:rPr>
            </w:pPr>
          </w:p>
          <w:p w14:paraId="1448C442" w14:textId="77777777" w:rsidR="003C473C" w:rsidRPr="00AB512D" w:rsidRDefault="003C473C"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Glede na obseg in predmet nadzora menimo, da je zavezancu za davek zagotovljeno ustrezno procesno varstvo.</w:t>
            </w:r>
          </w:p>
        </w:tc>
      </w:tr>
      <w:tr w:rsidR="00F85ADF" w:rsidRPr="00AB512D" w14:paraId="1448C455" w14:textId="77777777" w:rsidTr="00EC73AA">
        <w:trPr>
          <w:trHeight w:val="1440"/>
        </w:trPr>
        <w:tc>
          <w:tcPr>
            <w:tcW w:w="1600" w:type="dxa"/>
            <w:shd w:val="clear" w:color="auto" w:fill="auto"/>
            <w:hideMark/>
          </w:tcPr>
          <w:p w14:paraId="1448C444"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445" w14:textId="77777777" w:rsidR="001A18DB" w:rsidRDefault="00F85ADF" w:rsidP="003C473C">
            <w:pPr>
              <w:spacing w:after="0"/>
              <w:jc w:val="left"/>
              <w:rPr>
                <w:rFonts w:ascii="Calibri" w:eastAsia="Times New Roman" w:hAnsi="Calibri" w:cs="Arial"/>
                <w:b/>
                <w:bCs/>
                <w:sz w:val="18"/>
                <w:szCs w:val="18"/>
                <w:lang w:eastAsia="sl-SI"/>
              </w:rPr>
            </w:pPr>
            <w:r w:rsidRPr="003C473C">
              <w:rPr>
                <w:rFonts w:ascii="Calibri" w:eastAsia="Times New Roman" w:hAnsi="Calibri" w:cs="Arial"/>
                <w:b/>
                <w:bCs/>
                <w:sz w:val="18"/>
                <w:szCs w:val="18"/>
                <w:lang w:eastAsia="sl-SI"/>
              </w:rPr>
              <w:t> </w:t>
            </w:r>
            <w:r w:rsidR="001A18DB" w:rsidRPr="00AB512D">
              <w:rPr>
                <w:rFonts w:ascii="Calibri" w:eastAsia="Times New Roman" w:hAnsi="Calibri" w:cs="Arial"/>
                <w:b/>
                <w:bCs/>
                <w:color w:val="000000"/>
                <w:sz w:val="18"/>
                <w:szCs w:val="18"/>
                <w:lang w:eastAsia="sl-SI"/>
              </w:rPr>
              <w:t>K 76. členu (402.a člen ZDavP-2)</w:t>
            </w:r>
          </w:p>
          <w:p w14:paraId="1448C446" w14:textId="77777777" w:rsidR="00F85ADF" w:rsidRDefault="001A18DB" w:rsidP="001A18DB">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 xml:space="preserve">Predlog  črtanja spremembe člena zaradi </w:t>
            </w:r>
            <w:r w:rsidRPr="00AB512D">
              <w:rPr>
                <w:rFonts w:ascii="Calibri" w:eastAsia="Times New Roman" w:hAnsi="Calibri" w:cs="Arial"/>
                <w:color w:val="000000"/>
                <w:sz w:val="18"/>
                <w:szCs w:val="18"/>
                <w:lang w:eastAsia="sl-SI"/>
              </w:rPr>
              <w:t>zmanjševanja pravne varnosti zavezancev</w:t>
            </w:r>
            <w:r>
              <w:rPr>
                <w:rFonts w:ascii="Calibri" w:eastAsia="Times New Roman" w:hAnsi="Calibri" w:cs="Arial"/>
                <w:color w:val="000000"/>
                <w:sz w:val="18"/>
                <w:szCs w:val="18"/>
                <w:lang w:eastAsia="sl-SI"/>
              </w:rPr>
              <w:t>.</w:t>
            </w:r>
          </w:p>
          <w:p w14:paraId="1448C447" w14:textId="77777777" w:rsidR="00BA69A9" w:rsidRDefault="00BA69A9" w:rsidP="001A18DB">
            <w:pPr>
              <w:spacing w:after="0"/>
              <w:jc w:val="left"/>
              <w:rPr>
                <w:rFonts w:ascii="Calibri" w:eastAsia="Times New Roman" w:hAnsi="Calibri" w:cs="Arial"/>
                <w:b/>
                <w:bCs/>
                <w:color w:val="000000"/>
                <w:sz w:val="18"/>
                <w:szCs w:val="18"/>
                <w:lang w:eastAsia="sl-SI"/>
              </w:rPr>
            </w:pPr>
          </w:p>
          <w:p w14:paraId="1448C448" w14:textId="77777777" w:rsidR="00BA69A9" w:rsidRDefault="00BA69A9" w:rsidP="001A18DB">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Dodaten predlog</w:t>
            </w:r>
          </w:p>
          <w:p w14:paraId="1448C449" w14:textId="3B4D3FE0" w:rsidR="00BA69A9" w:rsidRPr="00BA69A9" w:rsidRDefault="00BA69A9" w:rsidP="00BA69A9">
            <w:pPr>
              <w:pStyle w:val="ListParagraph"/>
              <w:numPr>
                <w:ilvl w:val="0"/>
                <w:numId w:val="9"/>
              </w:numPr>
              <w:spacing w:after="0"/>
              <w:jc w:val="left"/>
              <w:rPr>
                <w:rFonts w:ascii="Calibri" w:eastAsia="Times New Roman" w:hAnsi="Calibri" w:cs="Arial"/>
                <w:b/>
                <w:bCs/>
                <w:sz w:val="18"/>
                <w:szCs w:val="18"/>
                <w:lang w:eastAsia="sl-SI"/>
              </w:rPr>
            </w:pPr>
            <w:r w:rsidRPr="00BA69A9">
              <w:rPr>
                <w:rFonts w:ascii="Calibri" w:eastAsia="Times New Roman" w:hAnsi="Calibri" w:cs="Arial"/>
                <w:color w:val="000000"/>
                <w:sz w:val="18"/>
                <w:szCs w:val="18"/>
                <w:lang w:eastAsia="sl-SI"/>
              </w:rPr>
              <w:t>pregled določenih nezavezujočih – instrukcijskih rokov, ki veljajo za davčni organ in spremembo teh v zavezujoče roke.</w:t>
            </w:r>
          </w:p>
        </w:tc>
        <w:tc>
          <w:tcPr>
            <w:tcW w:w="1946" w:type="dxa"/>
            <w:shd w:val="clear" w:color="auto" w:fill="auto"/>
            <w:hideMark/>
          </w:tcPr>
          <w:p w14:paraId="1448C44A" w14:textId="77777777" w:rsidR="00F85ADF" w:rsidRPr="003C473C" w:rsidRDefault="00F85ADF" w:rsidP="003C473C">
            <w:pPr>
              <w:spacing w:after="0"/>
              <w:jc w:val="left"/>
              <w:rPr>
                <w:rFonts w:ascii="Calibri" w:eastAsia="Times New Roman" w:hAnsi="Calibri" w:cs="Arial"/>
                <w:sz w:val="18"/>
                <w:szCs w:val="18"/>
                <w:lang w:eastAsia="sl-SI"/>
              </w:rPr>
            </w:pPr>
            <w:r w:rsidRPr="003C473C">
              <w:rPr>
                <w:rFonts w:ascii="Calibri" w:eastAsia="Times New Roman" w:hAnsi="Calibri" w:cs="Arial"/>
                <w:sz w:val="18"/>
                <w:szCs w:val="18"/>
                <w:lang w:eastAsia="sl-SI"/>
              </w:rPr>
              <w:t> </w:t>
            </w:r>
          </w:p>
          <w:p w14:paraId="1448C44B" w14:textId="77777777" w:rsidR="003C473C" w:rsidRPr="003C473C" w:rsidRDefault="003C473C" w:rsidP="003C473C">
            <w:pPr>
              <w:spacing w:after="0"/>
              <w:jc w:val="left"/>
              <w:rPr>
                <w:rFonts w:ascii="Calibri" w:eastAsia="Times New Roman" w:hAnsi="Calibri" w:cs="Arial"/>
                <w:sz w:val="18"/>
                <w:szCs w:val="18"/>
                <w:lang w:eastAsia="sl-SI"/>
              </w:rPr>
            </w:pPr>
            <w:r w:rsidRPr="003C473C">
              <w:rPr>
                <w:rFonts w:ascii="Calibri" w:eastAsia="Times New Roman" w:hAnsi="Calibri" w:cs="Arial"/>
                <w:sz w:val="18"/>
                <w:szCs w:val="18"/>
                <w:lang w:eastAsia="sl-SI"/>
              </w:rPr>
              <w:t>NE</w:t>
            </w:r>
          </w:p>
        </w:tc>
        <w:tc>
          <w:tcPr>
            <w:tcW w:w="5220" w:type="dxa"/>
            <w:shd w:val="clear" w:color="auto" w:fill="auto"/>
            <w:hideMark/>
          </w:tcPr>
          <w:p w14:paraId="1448C44C"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Tretji odstavek 52. člena Zakona o prekrških (ZP-1) določa, da se v hitrem postopku storilcu izreče globa v znesku, v katerem je predpisana, če je predpisana v razponu, pa se izreče najnižja predpisana mera globe, če z zakonom ni določeno drugače. Predlagana ureditev ima podlago v zgoraj navedeni določbi ZP-1. </w:t>
            </w:r>
          </w:p>
          <w:p w14:paraId="1448C44D" w14:textId="77777777" w:rsidR="00BA69A9" w:rsidRDefault="00BA69A9" w:rsidP="002655FC">
            <w:pPr>
              <w:spacing w:after="0"/>
              <w:rPr>
                <w:rFonts w:ascii="Calibri" w:eastAsia="Times New Roman" w:hAnsi="Calibri" w:cs="Arial"/>
                <w:color w:val="000000"/>
                <w:sz w:val="18"/>
                <w:szCs w:val="18"/>
                <w:lang w:eastAsia="sl-SI"/>
              </w:rPr>
            </w:pPr>
          </w:p>
          <w:p w14:paraId="1448C44E" w14:textId="77777777" w:rsidR="00BA69A9" w:rsidRDefault="00BA69A9"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84. člen ZFU določa, da morajo uslužbenci finančne uprave glede na naloge delovnega mesta, za katero so sklenili delovno razmerje, opraviti ustrezne strokovne izpite. Tako morajo opraviti strokovni izpit iz upravnega postopka v skladu z zakonom, ki ureja splošni upravni postopek, in preizkus znanja za vodenje in odločanje v prekrškovnem postopku v skladu z zakonom, ki ureja prekrške.</w:t>
            </w:r>
          </w:p>
          <w:p w14:paraId="1448C44F" w14:textId="77777777" w:rsidR="00BA69A9" w:rsidRDefault="00BA69A9" w:rsidP="002655FC">
            <w:pPr>
              <w:spacing w:after="0"/>
              <w:rPr>
                <w:rFonts w:ascii="Calibri" w:eastAsia="Times New Roman" w:hAnsi="Calibri" w:cs="Arial"/>
                <w:color w:val="000000"/>
                <w:sz w:val="18"/>
                <w:szCs w:val="18"/>
                <w:lang w:eastAsia="sl-SI"/>
              </w:rPr>
            </w:pPr>
          </w:p>
          <w:p w14:paraId="1448C450" w14:textId="77777777" w:rsidR="00BA69A9" w:rsidRDefault="00BA69A9"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Sicer pa ima posameznik v skladu z ZP-1 tudi možnost, da zoper odločbo o prekršku, ki jo je izdal davčni organ, vloži zahtevo za sodno varstvo.</w:t>
            </w:r>
          </w:p>
          <w:p w14:paraId="1448C451" w14:textId="77777777" w:rsidR="00BA69A9" w:rsidRDefault="00BA69A9" w:rsidP="002655FC">
            <w:pPr>
              <w:spacing w:after="0"/>
              <w:rPr>
                <w:rFonts w:ascii="Calibri" w:eastAsia="Times New Roman" w:hAnsi="Calibri" w:cs="Arial"/>
                <w:color w:val="000000"/>
                <w:sz w:val="18"/>
                <w:szCs w:val="18"/>
                <w:lang w:eastAsia="sl-SI"/>
              </w:rPr>
            </w:pPr>
          </w:p>
          <w:p w14:paraId="1448C452" w14:textId="77777777" w:rsidR="00BA69A9" w:rsidRDefault="00BA69A9"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Roki za organe so vedno instrukcijski. Posameznik ima v primeru zamude instrukcijskega roka možnost vložiti pritožbo oz. tožbo zaradi molka organa.</w:t>
            </w:r>
          </w:p>
          <w:p w14:paraId="1448C453" w14:textId="77777777" w:rsidR="00BA69A9" w:rsidRDefault="00BA69A9" w:rsidP="002655FC">
            <w:pPr>
              <w:spacing w:after="0"/>
              <w:rPr>
                <w:rFonts w:ascii="Calibri" w:eastAsia="Times New Roman" w:hAnsi="Calibri" w:cs="Arial"/>
                <w:color w:val="000000"/>
                <w:sz w:val="18"/>
                <w:szCs w:val="18"/>
                <w:lang w:eastAsia="sl-SI"/>
              </w:rPr>
            </w:pPr>
          </w:p>
          <w:p w14:paraId="1448C454" w14:textId="77777777" w:rsidR="00BA69A9" w:rsidRPr="00AB512D" w:rsidRDefault="00BA69A9" w:rsidP="002655FC">
            <w:pPr>
              <w:spacing w:after="0"/>
              <w:rPr>
                <w:rFonts w:ascii="Calibri" w:eastAsia="Times New Roman" w:hAnsi="Calibri" w:cs="Arial"/>
                <w:color w:val="000000"/>
                <w:sz w:val="18"/>
                <w:szCs w:val="18"/>
                <w:lang w:eastAsia="sl-SI"/>
              </w:rPr>
            </w:pPr>
          </w:p>
        </w:tc>
      </w:tr>
      <w:tr w:rsidR="00F85ADF" w:rsidRPr="00AB512D" w14:paraId="1448C48F" w14:textId="77777777" w:rsidTr="00EC73AA">
        <w:trPr>
          <w:trHeight w:val="570"/>
        </w:trPr>
        <w:tc>
          <w:tcPr>
            <w:tcW w:w="1600" w:type="dxa"/>
            <w:shd w:val="clear" w:color="auto" w:fill="auto"/>
            <w:hideMark/>
          </w:tcPr>
          <w:p w14:paraId="1448C456" w14:textId="77777777" w:rsidR="00F85ADF" w:rsidRPr="0085105A" w:rsidRDefault="00F85ADF" w:rsidP="003C473C">
            <w:pPr>
              <w:spacing w:after="0"/>
              <w:jc w:val="left"/>
              <w:rPr>
                <w:rFonts w:ascii="Calibri" w:eastAsia="Times New Roman" w:hAnsi="Calibri" w:cs="Arial"/>
                <w:b/>
                <w:color w:val="000000"/>
                <w:sz w:val="20"/>
                <w:szCs w:val="20"/>
                <w:lang w:eastAsia="sl-SI"/>
              </w:rPr>
            </w:pPr>
            <w:r w:rsidRPr="0085105A">
              <w:rPr>
                <w:rFonts w:ascii="Calibri" w:eastAsia="Times New Roman" w:hAnsi="Calibri" w:cs="Arial"/>
                <w:b/>
                <w:color w:val="000000"/>
                <w:sz w:val="20"/>
                <w:szCs w:val="20"/>
                <w:lang w:eastAsia="sl-SI"/>
              </w:rPr>
              <w:t>Združenje bank Slovenije</w:t>
            </w:r>
          </w:p>
        </w:tc>
        <w:tc>
          <w:tcPr>
            <w:tcW w:w="4794" w:type="dxa"/>
            <w:shd w:val="clear" w:color="auto" w:fill="auto"/>
            <w:hideMark/>
          </w:tcPr>
          <w:p w14:paraId="1448C457"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4. členu (novi 14.b in 14.d člen ZDavP-2)</w:t>
            </w:r>
          </w:p>
          <w:p w14:paraId="1448C458" w14:textId="77777777" w:rsidR="0085105A" w:rsidRDefault="0085105A" w:rsidP="003C473C">
            <w:pPr>
              <w:spacing w:after="0"/>
              <w:jc w:val="left"/>
              <w:rPr>
                <w:rFonts w:ascii="Calibri" w:eastAsia="Times New Roman" w:hAnsi="Calibri" w:cs="Arial"/>
                <w:color w:val="000000"/>
                <w:sz w:val="18"/>
                <w:szCs w:val="18"/>
                <w:lang w:eastAsia="sl-SI"/>
              </w:rPr>
            </w:pPr>
            <w:r w:rsidRPr="0085105A">
              <w:rPr>
                <w:rFonts w:ascii="Calibri" w:eastAsia="Times New Roman" w:hAnsi="Calibri" w:cs="Arial"/>
                <w:color w:val="000000"/>
                <w:sz w:val="18"/>
                <w:szCs w:val="18"/>
                <w:lang w:eastAsia="sl-SI"/>
              </w:rPr>
              <w:t>14.b člen:</w:t>
            </w:r>
          </w:p>
          <w:p w14:paraId="1448C459" w14:textId="77777777" w:rsidR="0085105A" w:rsidRPr="0085105A" w:rsidRDefault="0085105A" w:rsidP="0085105A">
            <w:pPr>
              <w:pStyle w:val="ListParagraph"/>
              <w:numPr>
                <w:ilvl w:val="0"/>
                <w:numId w:val="9"/>
              </w:numPr>
              <w:spacing w:after="0"/>
              <w:jc w:val="left"/>
              <w:rPr>
                <w:rFonts w:ascii="Calibri" w:eastAsia="Times New Roman" w:hAnsi="Calibri" w:cs="Arial"/>
                <w:color w:val="000000"/>
                <w:sz w:val="18"/>
                <w:szCs w:val="18"/>
                <w:lang w:eastAsia="sl-SI"/>
              </w:rPr>
            </w:pPr>
            <w:r w:rsidRPr="0085105A">
              <w:rPr>
                <w:rFonts w:ascii="Calibri" w:eastAsia="Times New Roman" w:hAnsi="Calibri" w:cs="Arial"/>
                <w:color w:val="000000"/>
                <w:sz w:val="18"/>
                <w:szCs w:val="18"/>
                <w:lang w:eastAsia="sl-SI"/>
              </w:rPr>
              <w:t>Predlog za spremembe dikcije prvega odstavka</w:t>
            </w:r>
            <w:r w:rsidR="000059FD">
              <w:rPr>
                <w:rFonts w:ascii="Calibri" w:eastAsia="Times New Roman" w:hAnsi="Calibri" w:cs="Arial"/>
                <w:color w:val="000000"/>
                <w:sz w:val="18"/>
                <w:szCs w:val="18"/>
                <w:lang w:eastAsia="sl-SI"/>
              </w:rPr>
              <w:t>.</w:t>
            </w:r>
          </w:p>
          <w:p w14:paraId="1448C45A" w14:textId="77777777" w:rsidR="0085105A" w:rsidRDefault="0085105A" w:rsidP="003C473C">
            <w:pPr>
              <w:spacing w:after="0"/>
              <w:jc w:val="left"/>
              <w:rPr>
                <w:rFonts w:ascii="Calibri" w:eastAsia="Times New Roman" w:hAnsi="Calibri" w:cs="Arial"/>
                <w:color w:val="000000"/>
                <w:sz w:val="18"/>
                <w:szCs w:val="18"/>
                <w:lang w:eastAsia="sl-SI"/>
              </w:rPr>
            </w:pPr>
          </w:p>
          <w:p w14:paraId="1448C45B" w14:textId="77777777" w:rsidR="0085105A" w:rsidRDefault="0085105A" w:rsidP="003C473C">
            <w:pPr>
              <w:spacing w:after="0"/>
              <w:jc w:val="left"/>
              <w:rPr>
                <w:rFonts w:ascii="Calibri" w:eastAsia="Times New Roman" w:hAnsi="Calibri" w:cs="Arial"/>
                <w:color w:val="000000"/>
                <w:sz w:val="18"/>
                <w:szCs w:val="18"/>
                <w:lang w:eastAsia="sl-SI"/>
              </w:rPr>
            </w:pPr>
          </w:p>
          <w:p w14:paraId="1448C45C" w14:textId="77777777" w:rsidR="0085105A" w:rsidRDefault="0085105A" w:rsidP="0085105A">
            <w:pPr>
              <w:pStyle w:val="ListParagraph"/>
              <w:numPr>
                <w:ilvl w:val="0"/>
                <w:numId w:val="9"/>
              </w:numPr>
              <w:spacing w:after="0"/>
              <w:jc w:val="left"/>
              <w:rPr>
                <w:rFonts w:ascii="Calibri" w:eastAsia="Times New Roman" w:hAnsi="Calibri" w:cs="Arial"/>
                <w:color w:val="000000"/>
                <w:sz w:val="18"/>
                <w:szCs w:val="18"/>
                <w:lang w:eastAsia="sl-SI"/>
              </w:rPr>
            </w:pPr>
            <w:r w:rsidRPr="0085105A">
              <w:rPr>
                <w:rFonts w:ascii="Calibri" w:eastAsia="Times New Roman" w:hAnsi="Calibri" w:cs="Arial"/>
                <w:color w:val="000000"/>
                <w:sz w:val="18"/>
                <w:szCs w:val="18"/>
                <w:lang w:eastAsia="sl-SI"/>
              </w:rPr>
              <w:t>Predlog za spremembe dikcije tretje alineje prvega odstavka tega člena z obrazložitvijo, da sporazum ni enostranski izkaz volje, temveč</w:t>
            </w:r>
            <w:r>
              <w:rPr>
                <w:rFonts w:ascii="Calibri" w:eastAsia="Times New Roman" w:hAnsi="Calibri" w:cs="Arial"/>
                <w:color w:val="000000"/>
                <w:sz w:val="18"/>
                <w:szCs w:val="18"/>
                <w:lang w:eastAsia="sl-SI"/>
              </w:rPr>
              <w:t xml:space="preserve"> da gre za sporazum dveh strank</w:t>
            </w:r>
            <w:r w:rsidR="000059FD">
              <w:rPr>
                <w:rFonts w:ascii="Calibri" w:eastAsia="Times New Roman" w:hAnsi="Calibri" w:cs="Arial"/>
                <w:color w:val="000000"/>
                <w:sz w:val="18"/>
                <w:szCs w:val="18"/>
                <w:lang w:eastAsia="sl-SI"/>
              </w:rPr>
              <w:t>.</w:t>
            </w:r>
          </w:p>
          <w:p w14:paraId="1448C45D" w14:textId="77777777" w:rsidR="0085105A" w:rsidRDefault="0085105A" w:rsidP="0085105A">
            <w:pPr>
              <w:pStyle w:val="ListParagraph"/>
              <w:spacing w:after="0"/>
              <w:jc w:val="left"/>
              <w:rPr>
                <w:rFonts w:ascii="Calibri" w:eastAsia="Times New Roman" w:hAnsi="Calibri" w:cs="Arial"/>
                <w:color w:val="000000"/>
                <w:sz w:val="18"/>
                <w:szCs w:val="18"/>
                <w:lang w:eastAsia="sl-SI"/>
              </w:rPr>
            </w:pPr>
          </w:p>
          <w:p w14:paraId="1448C45E" w14:textId="77777777" w:rsidR="0085105A" w:rsidRDefault="0085105A" w:rsidP="0085105A">
            <w:pPr>
              <w:pStyle w:val="ListParagraph"/>
              <w:numPr>
                <w:ilvl w:val="0"/>
                <w:numId w:val="9"/>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da se v besedilo četrte alineje prvega odstavka tega člena vključi tudi definicijo termina »primerno t</w:t>
            </w:r>
            <w:r w:rsidR="000059FD">
              <w:rPr>
                <w:rFonts w:ascii="Calibri" w:eastAsia="Times New Roman" w:hAnsi="Calibri" w:cs="Arial"/>
                <w:color w:val="000000"/>
                <w:sz w:val="18"/>
                <w:szCs w:val="18"/>
                <w:lang w:eastAsia="sl-SI"/>
              </w:rPr>
              <w:t>rajanje« in »primerna gotovost«.</w:t>
            </w:r>
          </w:p>
          <w:p w14:paraId="1448C45F" w14:textId="77777777" w:rsidR="000059FD" w:rsidRPr="000059FD" w:rsidRDefault="000059FD" w:rsidP="000059FD">
            <w:pPr>
              <w:pStyle w:val="ListParagraph"/>
              <w:rPr>
                <w:rFonts w:ascii="Calibri" w:eastAsia="Times New Roman" w:hAnsi="Calibri" w:cs="Arial"/>
                <w:color w:val="000000"/>
                <w:sz w:val="18"/>
                <w:szCs w:val="18"/>
                <w:lang w:eastAsia="sl-SI"/>
              </w:rPr>
            </w:pPr>
          </w:p>
          <w:p w14:paraId="1448C460" w14:textId="77777777" w:rsidR="000059FD" w:rsidRDefault="000059FD" w:rsidP="0085105A">
            <w:pPr>
              <w:pStyle w:val="ListParagraph"/>
              <w:numPr>
                <w:ilvl w:val="0"/>
                <w:numId w:val="9"/>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da se v besedilo četrtega odstavka tega člena vključi tudi opredelitev »primernega časovnega okvira«, v katerem davčni organ obvesti davčnega zavezanca.</w:t>
            </w:r>
          </w:p>
          <w:p w14:paraId="1448C461" w14:textId="77777777" w:rsidR="000059FD" w:rsidRPr="000059FD" w:rsidRDefault="000059FD" w:rsidP="000059FD">
            <w:pPr>
              <w:pStyle w:val="ListParagraph"/>
              <w:rPr>
                <w:rFonts w:ascii="Calibri" w:eastAsia="Times New Roman" w:hAnsi="Calibri" w:cs="Arial"/>
                <w:color w:val="000000"/>
                <w:sz w:val="18"/>
                <w:szCs w:val="18"/>
                <w:lang w:eastAsia="sl-SI"/>
              </w:rPr>
            </w:pPr>
          </w:p>
          <w:p w14:paraId="1448C462" w14:textId="77777777" w:rsidR="000059FD" w:rsidRPr="0085105A" w:rsidRDefault="000059FD" w:rsidP="0085105A">
            <w:pPr>
              <w:pStyle w:val="ListParagraph"/>
              <w:numPr>
                <w:ilvl w:val="0"/>
                <w:numId w:val="9"/>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Predlog, da se postopek vnaprejšnjih cenovnih sporazumov dopolni še s postopkom t.i. predhodnega posveta</w:t>
            </w:r>
            <w:r>
              <w:rPr>
                <w:rFonts w:ascii="Calibri" w:eastAsia="Times New Roman" w:hAnsi="Calibri" w:cs="Arial"/>
                <w:color w:val="000000"/>
                <w:sz w:val="18"/>
                <w:szCs w:val="18"/>
                <w:lang w:eastAsia="sl-SI"/>
              </w:rPr>
              <w:t>.</w:t>
            </w:r>
          </w:p>
          <w:p w14:paraId="1448C463" w14:textId="77777777" w:rsidR="000059FD" w:rsidRDefault="000059FD" w:rsidP="000059FD">
            <w:pPr>
              <w:spacing w:after="0"/>
              <w:jc w:val="left"/>
              <w:rPr>
                <w:rFonts w:ascii="Calibri" w:eastAsia="Times New Roman" w:hAnsi="Calibri" w:cs="Arial"/>
                <w:color w:val="000000"/>
                <w:sz w:val="18"/>
                <w:szCs w:val="18"/>
                <w:lang w:eastAsia="sl-SI"/>
              </w:rPr>
            </w:pPr>
          </w:p>
          <w:p w14:paraId="1448C464" w14:textId="77777777" w:rsidR="000059FD" w:rsidRDefault="000059FD" w:rsidP="000059FD">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14.d</w:t>
            </w:r>
            <w:r w:rsidRPr="0085105A">
              <w:rPr>
                <w:rFonts w:ascii="Calibri" w:eastAsia="Times New Roman" w:hAnsi="Calibri" w:cs="Arial"/>
                <w:color w:val="000000"/>
                <w:sz w:val="18"/>
                <w:szCs w:val="18"/>
                <w:lang w:eastAsia="sl-SI"/>
              </w:rPr>
              <w:t xml:space="preserve"> člen:</w:t>
            </w:r>
          </w:p>
          <w:p w14:paraId="1448C465" w14:textId="77777777" w:rsidR="0085105A" w:rsidRPr="000059FD" w:rsidRDefault="000059FD" w:rsidP="000059FD">
            <w:pPr>
              <w:pStyle w:val="ListParagraph"/>
              <w:numPr>
                <w:ilvl w:val="0"/>
                <w:numId w:val="10"/>
              </w:numPr>
              <w:spacing w:after="0"/>
              <w:jc w:val="left"/>
              <w:rPr>
                <w:rFonts w:ascii="Calibri" w:eastAsia="Times New Roman" w:hAnsi="Calibri" w:cs="Arial"/>
                <w:color w:val="000000"/>
                <w:sz w:val="18"/>
                <w:szCs w:val="18"/>
                <w:lang w:eastAsia="sl-SI"/>
              </w:rPr>
            </w:pPr>
            <w:r w:rsidRPr="000059FD">
              <w:rPr>
                <w:rFonts w:ascii="Calibri" w:eastAsia="Times New Roman" w:hAnsi="Calibri" w:cs="Arial"/>
                <w:color w:val="000000"/>
                <w:sz w:val="18"/>
                <w:szCs w:val="18"/>
                <w:lang w:eastAsia="sl-SI"/>
              </w:rPr>
              <w:t>Predlog, da se v drugem odstavku tega člena določi primeren časovni okvir, v katerem davčni organ pisno obvesti davčnega zavezanca.</w:t>
            </w:r>
          </w:p>
          <w:p w14:paraId="1448C466" w14:textId="77777777" w:rsidR="0085105A" w:rsidRPr="0085105A" w:rsidRDefault="0085105A" w:rsidP="0085105A">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467" w14:textId="77777777" w:rsidR="0085105A" w:rsidRDefault="00F85ADF" w:rsidP="0085105A">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p w14:paraId="1448C468" w14:textId="77777777" w:rsidR="0085105A" w:rsidRDefault="0085105A" w:rsidP="0085105A">
            <w:pPr>
              <w:spacing w:after="0"/>
              <w:jc w:val="left"/>
              <w:rPr>
                <w:rFonts w:ascii="Calibri" w:eastAsia="Times New Roman" w:hAnsi="Calibri" w:cs="Arial"/>
                <w:color w:val="000000"/>
                <w:sz w:val="18"/>
                <w:szCs w:val="18"/>
                <w:lang w:eastAsia="sl-SI"/>
              </w:rPr>
            </w:pPr>
          </w:p>
          <w:p w14:paraId="1448C469" w14:textId="460B909A" w:rsidR="0085105A" w:rsidRDefault="0085105A" w:rsidP="0085105A">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DA </w:t>
            </w:r>
          </w:p>
          <w:p w14:paraId="1448C46A" w14:textId="77777777" w:rsidR="000059FD" w:rsidRDefault="000059FD" w:rsidP="0085105A">
            <w:pPr>
              <w:spacing w:after="0"/>
              <w:jc w:val="left"/>
              <w:rPr>
                <w:rFonts w:ascii="Calibri" w:eastAsia="Times New Roman" w:hAnsi="Calibri" w:cs="Arial"/>
                <w:color w:val="000000"/>
                <w:sz w:val="18"/>
                <w:szCs w:val="18"/>
                <w:lang w:eastAsia="sl-SI"/>
              </w:rPr>
            </w:pPr>
          </w:p>
          <w:p w14:paraId="0E498BF2" w14:textId="77777777" w:rsidR="00CB2C3D" w:rsidRDefault="00CB2C3D" w:rsidP="0085105A">
            <w:pPr>
              <w:spacing w:after="0"/>
              <w:jc w:val="left"/>
              <w:rPr>
                <w:rFonts w:ascii="Calibri" w:eastAsia="Times New Roman" w:hAnsi="Calibri" w:cs="Arial"/>
                <w:color w:val="000000"/>
                <w:sz w:val="18"/>
                <w:szCs w:val="18"/>
                <w:lang w:eastAsia="sl-SI"/>
              </w:rPr>
            </w:pPr>
          </w:p>
          <w:p w14:paraId="1448C46B" w14:textId="77777777" w:rsidR="0085105A" w:rsidRDefault="0085105A" w:rsidP="0085105A">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p w14:paraId="1448C46C" w14:textId="77777777" w:rsidR="0085105A" w:rsidRDefault="0085105A" w:rsidP="0085105A">
            <w:pPr>
              <w:spacing w:after="0"/>
              <w:jc w:val="left"/>
              <w:rPr>
                <w:rFonts w:ascii="Calibri" w:eastAsia="Times New Roman" w:hAnsi="Calibri" w:cs="Arial"/>
                <w:color w:val="000000"/>
                <w:sz w:val="18"/>
                <w:szCs w:val="18"/>
                <w:lang w:eastAsia="sl-SI"/>
              </w:rPr>
            </w:pPr>
          </w:p>
          <w:p w14:paraId="1448C46D" w14:textId="77777777" w:rsidR="0085105A" w:rsidRDefault="0085105A" w:rsidP="0085105A">
            <w:pPr>
              <w:spacing w:after="0"/>
              <w:jc w:val="left"/>
              <w:rPr>
                <w:rFonts w:ascii="Calibri" w:eastAsia="Times New Roman" w:hAnsi="Calibri" w:cs="Arial"/>
                <w:color w:val="000000"/>
                <w:sz w:val="18"/>
                <w:szCs w:val="18"/>
                <w:lang w:eastAsia="sl-SI"/>
              </w:rPr>
            </w:pPr>
          </w:p>
          <w:p w14:paraId="1448C46E" w14:textId="77777777" w:rsidR="0085105A" w:rsidRDefault="0085105A" w:rsidP="0085105A">
            <w:pPr>
              <w:spacing w:after="0"/>
              <w:jc w:val="left"/>
              <w:rPr>
                <w:rFonts w:ascii="Calibri" w:eastAsia="Times New Roman" w:hAnsi="Calibri" w:cs="Arial"/>
                <w:color w:val="000000"/>
                <w:sz w:val="18"/>
                <w:szCs w:val="18"/>
                <w:lang w:eastAsia="sl-SI"/>
              </w:rPr>
            </w:pPr>
          </w:p>
          <w:p w14:paraId="1448C46F" w14:textId="77777777" w:rsidR="0085105A" w:rsidRDefault="0085105A" w:rsidP="0085105A">
            <w:pPr>
              <w:spacing w:after="0"/>
              <w:jc w:val="left"/>
              <w:rPr>
                <w:rFonts w:ascii="Calibri" w:eastAsia="Times New Roman" w:hAnsi="Calibri" w:cs="Arial"/>
                <w:color w:val="000000"/>
                <w:sz w:val="18"/>
                <w:szCs w:val="18"/>
                <w:lang w:eastAsia="sl-SI"/>
              </w:rPr>
            </w:pPr>
          </w:p>
          <w:p w14:paraId="0A4F715A" w14:textId="16BBAAEB" w:rsidR="00B03048" w:rsidRPr="00CB2C3D" w:rsidRDefault="00CB2C3D" w:rsidP="00B03048">
            <w:pPr>
              <w:spacing w:after="0"/>
              <w:jc w:val="left"/>
              <w:rPr>
                <w:rFonts w:ascii="Calibri" w:eastAsia="Times New Roman" w:hAnsi="Calibri" w:cs="Arial"/>
                <w:color w:val="FF0000"/>
                <w:sz w:val="18"/>
                <w:szCs w:val="18"/>
                <w:lang w:eastAsia="sl-SI"/>
              </w:rPr>
            </w:pPr>
            <w:r w:rsidRPr="00CB2C3D">
              <w:rPr>
                <w:rFonts w:ascii="Calibri" w:eastAsia="Times New Roman" w:hAnsi="Calibri" w:cs="Arial"/>
                <w:color w:val="FF0000"/>
                <w:sz w:val="18"/>
                <w:szCs w:val="18"/>
                <w:lang w:eastAsia="sl-SI"/>
              </w:rPr>
              <w:t>Popravljena dikcija</w:t>
            </w:r>
          </w:p>
          <w:p w14:paraId="1448C471" w14:textId="387759FD" w:rsidR="0085105A" w:rsidRDefault="0085105A" w:rsidP="000059FD">
            <w:pPr>
              <w:spacing w:after="0"/>
              <w:jc w:val="left"/>
              <w:rPr>
                <w:rFonts w:ascii="Calibri" w:eastAsia="Times New Roman" w:hAnsi="Calibri" w:cs="Arial"/>
                <w:color w:val="000000"/>
                <w:sz w:val="18"/>
                <w:szCs w:val="18"/>
                <w:lang w:eastAsia="sl-SI"/>
              </w:rPr>
            </w:pPr>
          </w:p>
          <w:p w14:paraId="1448C472" w14:textId="77777777" w:rsidR="000059FD" w:rsidRDefault="000059FD" w:rsidP="000059FD">
            <w:pPr>
              <w:spacing w:after="0"/>
              <w:jc w:val="left"/>
              <w:rPr>
                <w:rFonts w:ascii="Calibri" w:eastAsia="Times New Roman" w:hAnsi="Calibri" w:cs="Arial"/>
                <w:color w:val="000000"/>
                <w:sz w:val="18"/>
                <w:szCs w:val="18"/>
                <w:lang w:eastAsia="sl-SI"/>
              </w:rPr>
            </w:pPr>
          </w:p>
          <w:p w14:paraId="1448C473" w14:textId="77777777" w:rsidR="000059FD" w:rsidRDefault="000059FD" w:rsidP="000059FD">
            <w:pPr>
              <w:spacing w:after="0"/>
              <w:jc w:val="left"/>
              <w:rPr>
                <w:rFonts w:ascii="Calibri" w:eastAsia="Times New Roman" w:hAnsi="Calibri" w:cs="Arial"/>
                <w:color w:val="000000"/>
                <w:sz w:val="18"/>
                <w:szCs w:val="18"/>
                <w:lang w:eastAsia="sl-SI"/>
              </w:rPr>
            </w:pPr>
          </w:p>
          <w:p w14:paraId="1448C474" w14:textId="72311740" w:rsidR="000059FD" w:rsidRPr="004E4EB0" w:rsidRDefault="004E4EB0" w:rsidP="000059FD">
            <w:pPr>
              <w:spacing w:after="0"/>
              <w:jc w:val="left"/>
              <w:rPr>
                <w:rFonts w:ascii="Calibri" w:eastAsia="Times New Roman" w:hAnsi="Calibri" w:cs="Arial"/>
                <w:color w:val="FF0000"/>
                <w:sz w:val="18"/>
                <w:szCs w:val="18"/>
                <w:lang w:eastAsia="sl-SI"/>
              </w:rPr>
            </w:pPr>
            <w:r w:rsidRPr="004E4EB0">
              <w:rPr>
                <w:rFonts w:ascii="Calibri" w:eastAsia="Times New Roman" w:hAnsi="Calibri" w:cs="Arial"/>
                <w:color w:val="FF0000"/>
                <w:sz w:val="18"/>
                <w:szCs w:val="18"/>
                <w:lang w:eastAsia="sl-SI"/>
              </w:rPr>
              <w:t>DA</w:t>
            </w:r>
          </w:p>
          <w:p w14:paraId="1448C475" w14:textId="77777777" w:rsidR="000059FD" w:rsidRDefault="000059FD" w:rsidP="000059FD">
            <w:pPr>
              <w:spacing w:after="0"/>
              <w:jc w:val="left"/>
              <w:rPr>
                <w:rFonts w:ascii="Calibri" w:eastAsia="Times New Roman" w:hAnsi="Calibri" w:cs="Arial"/>
                <w:color w:val="000000"/>
                <w:sz w:val="18"/>
                <w:szCs w:val="18"/>
                <w:lang w:eastAsia="sl-SI"/>
              </w:rPr>
            </w:pPr>
          </w:p>
          <w:p w14:paraId="1448C476" w14:textId="77777777" w:rsidR="000059FD" w:rsidRDefault="000059FD" w:rsidP="000059FD">
            <w:pPr>
              <w:spacing w:after="0"/>
              <w:jc w:val="left"/>
              <w:rPr>
                <w:rFonts w:ascii="Calibri" w:eastAsia="Times New Roman" w:hAnsi="Calibri" w:cs="Arial"/>
                <w:color w:val="000000"/>
                <w:sz w:val="18"/>
                <w:szCs w:val="18"/>
                <w:lang w:eastAsia="sl-SI"/>
              </w:rPr>
            </w:pPr>
          </w:p>
          <w:p w14:paraId="1448C477" w14:textId="77777777" w:rsidR="000059FD" w:rsidRDefault="000059FD" w:rsidP="000059FD">
            <w:pPr>
              <w:spacing w:after="0"/>
              <w:jc w:val="left"/>
              <w:rPr>
                <w:rFonts w:ascii="Calibri" w:eastAsia="Times New Roman" w:hAnsi="Calibri" w:cs="Arial"/>
                <w:color w:val="000000"/>
                <w:sz w:val="18"/>
                <w:szCs w:val="18"/>
                <w:lang w:eastAsia="sl-SI"/>
              </w:rPr>
            </w:pPr>
          </w:p>
          <w:p w14:paraId="1448C478" w14:textId="77777777" w:rsidR="000059FD" w:rsidRDefault="000059FD" w:rsidP="000059FD">
            <w:pPr>
              <w:spacing w:after="0"/>
              <w:jc w:val="left"/>
              <w:rPr>
                <w:rFonts w:ascii="Calibri" w:eastAsia="Times New Roman" w:hAnsi="Calibri" w:cs="Arial"/>
                <w:color w:val="000000"/>
                <w:sz w:val="18"/>
                <w:szCs w:val="18"/>
                <w:lang w:eastAsia="sl-SI"/>
              </w:rPr>
            </w:pPr>
          </w:p>
          <w:p w14:paraId="1448C479" w14:textId="77777777" w:rsidR="000059FD" w:rsidRDefault="000059FD" w:rsidP="000059FD">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lastRenderedPageBreak/>
              <w:t>DA</w:t>
            </w:r>
          </w:p>
          <w:p w14:paraId="1448C47A" w14:textId="77777777" w:rsidR="000059FD" w:rsidRDefault="000059FD" w:rsidP="000059FD">
            <w:pPr>
              <w:spacing w:after="0"/>
              <w:jc w:val="left"/>
              <w:rPr>
                <w:rFonts w:ascii="Calibri" w:eastAsia="Times New Roman" w:hAnsi="Calibri" w:cs="Arial"/>
                <w:color w:val="000000"/>
                <w:sz w:val="18"/>
                <w:szCs w:val="18"/>
                <w:lang w:eastAsia="sl-SI"/>
              </w:rPr>
            </w:pPr>
          </w:p>
          <w:p w14:paraId="1448C47B" w14:textId="77777777" w:rsidR="000059FD" w:rsidRDefault="000059FD" w:rsidP="000059FD">
            <w:pPr>
              <w:spacing w:after="0"/>
              <w:jc w:val="left"/>
              <w:rPr>
                <w:rFonts w:ascii="Calibri" w:eastAsia="Times New Roman" w:hAnsi="Calibri" w:cs="Arial"/>
                <w:color w:val="000000"/>
                <w:sz w:val="18"/>
                <w:szCs w:val="18"/>
                <w:lang w:eastAsia="sl-SI"/>
              </w:rPr>
            </w:pPr>
          </w:p>
          <w:p w14:paraId="1448C47C" w14:textId="77777777" w:rsidR="000059FD" w:rsidRDefault="000059FD" w:rsidP="000059FD">
            <w:pPr>
              <w:spacing w:after="0"/>
              <w:jc w:val="left"/>
              <w:rPr>
                <w:rFonts w:ascii="Calibri" w:eastAsia="Times New Roman" w:hAnsi="Calibri" w:cs="Arial"/>
                <w:color w:val="000000"/>
                <w:sz w:val="18"/>
                <w:szCs w:val="18"/>
                <w:lang w:eastAsia="sl-SI"/>
              </w:rPr>
            </w:pPr>
          </w:p>
          <w:p w14:paraId="1448C47D" w14:textId="77777777" w:rsidR="000059FD" w:rsidRDefault="000059FD" w:rsidP="000059FD">
            <w:pPr>
              <w:spacing w:after="0"/>
              <w:jc w:val="left"/>
              <w:rPr>
                <w:rFonts w:ascii="Calibri" w:eastAsia="Times New Roman" w:hAnsi="Calibri" w:cs="Arial"/>
                <w:color w:val="000000"/>
                <w:sz w:val="18"/>
                <w:szCs w:val="18"/>
                <w:lang w:eastAsia="sl-SI"/>
              </w:rPr>
            </w:pPr>
          </w:p>
          <w:p w14:paraId="1448C47E" w14:textId="77777777" w:rsidR="000059FD" w:rsidRPr="00AB512D" w:rsidRDefault="000059FD" w:rsidP="000059FD">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tc>
        <w:tc>
          <w:tcPr>
            <w:tcW w:w="5220" w:type="dxa"/>
            <w:shd w:val="clear" w:color="auto" w:fill="auto"/>
            <w:hideMark/>
          </w:tcPr>
          <w:p w14:paraId="1448C47F" w14:textId="4FCCFCA8"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lastRenderedPageBreak/>
              <w:t> </w:t>
            </w:r>
          </w:p>
          <w:p w14:paraId="6EABCC64" w14:textId="77777777" w:rsidR="00CB2C3D" w:rsidRDefault="00CB2C3D" w:rsidP="002655FC">
            <w:pPr>
              <w:spacing w:after="0"/>
              <w:rPr>
                <w:rFonts w:ascii="Calibri" w:eastAsia="Times New Roman" w:hAnsi="Calibri" w:cs="Arial"/>
                <w:b/>
                <w:bCs/>
                <w:color w:val="000000"/>
                <w:sz w:val="18"/>
                <w:szCs w:val="18"/>
                <w:lang w:eastAsia="sl-SI"/>
              </w:rPr>
            </w:pPr>
          </w:p>
          <w:p w14:paraId="423768AA" w14:textId="77777777" w:rsidR="00CB2C3D" w:rsidRDefault="00CB2C3D" w:rsidP="002655FC">
            <w:pPr>
              <w:spacing w:after="0"/>
              <w:rPr>
                <w:rFonts w:ascii="Calibri" w:eastAsia="Times New Roman" w:hAnsi="Calibri" w:cs="Arial"/>
                <w:b/>
                <w:bCs/>
                <w:color w:val="000000"/>
                <w:sz w:val="18"/>
                <w:szCs w:val="18"/>
                <w:lang w:eastAsia="sl-SI"/>
              </w:rPr>
            </w:pPr>
          </w:p>
          <w:p w14:paraId="24A3D407" w14:textId="77777777" w:rsidR="00CB2C3D" w:rsidRDefault="00CB2C3D" w:rsidP="002655FC">
            <w:pPr>
              <w:spacing w:after="0"/>
              <w:rPr>
                <w:rFonts w:ascii="Calibri" w:eastAsia="Times New Roman" w:hAnsi="Calibri" w:cs="Arial"/>
                <w:color w:val="000000"/>
                <w:sz w:val="18"/>
                <w:szCs w:val="18"/>
                <w:lang w:eastAsia="sl-SI"/>
              </w:rPr>
            </w:pPr>
          </w:p>
          <w:p w14:paraId="1448C480" w14:textId="77777777" w:rsidR="0085105A" w:rsidRDefault="0085105A" w:rsidP="002655FC">
            <w:pPr>
              <w:spacing w:after="0"/>
              <w:rPr>
                <w:rFonts w:ascii="Calibri" w:eastAsia="Times New Roman" w:hAnsi="Calibri" w:cs="Arial"/>
                <w:color w:val="000000"/>
                <w:sz w:val="18"/>
                <w:szCs w:val="18"/>
                <w:lang w:eastAsia="sl-SI"/>
              </w:rPr>
            </w:pPr>
          </w:p>
          <w:p w14:paraId="1448C481" w14:textId="77777777" w:rsidR="0085105A" w:rsidRDefault="0085105A"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Menimo, da bi bila takšna določba nejasna, saj bi bilo potrebno opredeliti, kdo so podpisniki (davčni zavezanec, njegov zastopnik…).</w:t>
            </w:r>
          </w:p>
          <w:p w14:paraId="1448C482" w14:textId="77777777" w:rsidR="000059FD" w:rsidRDefault="000059FD" w:rsidP="002655FC">
            <w:pPr>
              <w:spacing w:after="0"/>
              <w:rPr>
                <w:rFonts w:ascii="Calibri" w:eastAsia="Times New Roman" w:hAnsi="Calibri" w:cs="Arial"/>
                <w:color w:val="000000"/>
                <w:sz w:val="18"/>
                <w:szCs w:val="18"/>
                <w:lang w:eastAsia="sl-SI"/>
              </w:rPr>
            </w:pPr>
          </w:p>
          <w:p w14:paraId="1448C483" w14:textId="77777777" w:rsidR="000059FD" w:rsidRDefault="000059FD" w:rsidP="002655FC">
            <w:pPr>
              <w:spacing w:after="0"/>
              <w:rPr>
                <w:rFonts w:ascii="Calibri" w:eastAsia="Times New Roman" w:hAnsi="Calibri" w:cs="Arial"/>
                <w:color w:val="000000"/>
                <w:sz w:val="18"/>
                <w:szCs w:val="18"/>
                <w:lang w:eastAsia="sl-SI"/>
              </w:rPr>
            </w:pPr>
          </w:p>
          <w:p w14:paraId="1448C484" w14:textId="77777777" w:rsidR="000059FD" w:rsidRDefault="000059FD" w:rsidP="002655FC">
            <w:pPr>
              <w:spacing w:after="0"/>
              <w:rPr>
                <w:rFonts w:ascii="Calibri" w:eastAsia="Times New Roman" w:hAnsi="Calibri" w:cs="Arial"/>
                <w:color w:val="000000"/>
                <w:sz w:val="18"/>
                <w:szCs w:val="18"/>
                <w:lang w:eastAsia="sl-SI"/>
              </w:rPr>
            </w:pPr>
          </w:p>
          <w:p w14:paraId="1448C485" w14:textId="77777777" w:rsidR="000059FD" w:rsidRDefault="000059FD" w:rsidP="002655FC">
            <w:pPr>
              <w:spacing w:after="0"/>
              <w:rPr>
                <w:rFonts w:ascii="Calibri" w:eastAsia="Times New Roman" w:hAnsi="Calibri" w:cs="Arial"/>
                <w:color w:val="000000"/>
                <w:sz w:val="18"/>
                <w:szCs w:val="18"/>
                <w:lang w:eastAsia="sl-SI"/>
              </w:rPr>
            </w:pPr>
          </w:p>
          <w:p w14:paraId="1448C486" w14:textId="77777777" w:rsidR="000059FD" w:rsidRDefault="000059FD" w:rsidP="002655FC">
            <w:pPr>
              <w:spacing w:after="0"/>
              <w:rPr>
                <w:rFonts w:ascii="Calibri" w:eastAsia="Times New Roman" w:hAnsi="Calibri" w:cs="Arial"/>
                <w:color w:val="000000"/>
                <w:sz w:val="18"/>
                <w:szCs w:val="18"/>
                <w:lang w:eastAsia="sl-SI"/>
              </w:rPr>
            </w:pPr>
          </w:p>
          <w:p w14:paraId="1448C487" w14:textId="77777777" w:rsidR="000059FD" w:rsidRDefault="000059FD" w:rsidP="002655FC">
            <w:pPr>
              <w:spacing w:after="0"/>
              <w:rPr>
                <w:rFonts w:ascii="Calibri" w:eastAsia="Times New Roman" w:hAnsi="Calibri" w:cs="Arial"/>
                <w:color w:val="000000"/>
                <w:sz w:val="18"/>
                <w:szCs w:val="18"/>
                <w:lang w:eastAsia="sl-SI"/>
              </w:rPr>
            </w:pPr>
          </w:p>
          <w:p w14:paraId="1448C488" w14:textId="77777777" w:rsidR="000059FD" w:rsidRDefault="000059FD" w:rsidP="002655FC">
            <w:pPr>
              <w:spacing w:after="0"/>
              <w:rPr>
                <w:rFonts w:ascii="Calibri" w:eastAsia="Times New Roman" w:hAnsi="Calibri" w:cs="Arial"/>
                <w:color w:val="000000"/>
                <w:sz w:val="18"/>
                <w:szCs w:val="18"/>
                <w:lang w:eastAsia="sl-SI"/>
              </w:rPr>
            </w:pPr>
          </w:p>
          <w:p w14:paraId="1448C48A" w14:textId="77777777" w:rsidR="000059FD" w:rsidRDefault="000059FD" w:rsidP="002655FC">
            <w:pPr>
              <w:spacing w:after="0"/>
              <w:rPr>
                <w:rFonts w:ascii="Calibri" w:eastAsia="Times New Roman" w:hAnsi="Calibri" w:cs="Arial"/>
                <w:color w:val="000000"/>
                <w:sz w:val="18"/>
                <w:szCs w:val="18"/>
                <w:lang w:eastAsia="sl-SI"/>
              </w:rPr>
            </w:pPr>
          </w:p>
          <w:p w14:paraId="1448C48B" w14:textId="77777777" w:rsidR="000059FD" w:rsidRDefault="000059FD" w:rsidP="002655FC">
            <w:pPr>
              <w:spacing w:after="0"/>
              <w:rPr>
                <w:rFonts w:ascii="Calibri" w:eastAsia="Times New Roman" w:hAnsi="Calibri" w:cs="Arial"/>
                <w:color w:val="000000"/>
                <w:sz w:val="18"/>
                <w:szCs w:val="18"/>
                <w:lang w:eastAsia="sl-SI"/>
              </w:rPr>
            </w:pPr>
          </w:p>
          <w:p w14:paraId="1448C48C" w14:textId="77777777" w:rsidR="000059FD" w:rsidRDefault="000059FD" w:rsidP="002655FC">
            <w:pPr>
              <w:spacing w:after="0"/>
              <w:rPr>
                <w:rFonts w:ascii="Calibri" w:eastAsia="Times New Roman" w:hAnsi="Calibri" w:cs="Arial"/>
                <w:color w:val="000000"/>
                <w:sz w:val="18"/>
                <w:szCs w:val="18"/>
                <w:lang w:eastAsia="sl-SI"/>
              </w:rPr>
            </w:pPr>
          </w:p>
          <w:p w14:paraId="1448C48D" w14:textId="77777777" w:rsidR="000059FD" w:rsidRDefault="000059FD" w:rsidP="002655FC">
            <w:pPr>
              <w:spacing w:after="0"/>
              <w:rPr>
                <w:rFonts w:ascii="Calibri" w:eastAsia="Times New Roman" w:hAnsi="Calibri" w:cs="Arial"/>
                <w:color w:val="000000"/>
                <w:sz w:val="18"/>
                <w:szCs w:val="18"/>
                <w:lang w:eastAsia="sl-SI"/>
              </w:rPr>
            </w:pPr>
          </w:p>
          <w:p w14:paraId="1448C48E" w14:textId="77777777" w:rsidR="000059FD" w:rsidRPr="00AB512D" w:rsidRDefault="000059FD" w:rsidP="002655FC">
            <w:pPr>
              <w:spacing w:after="0"/>
              <w:rPr>
                <w:rFonts w:ascii="Calibri" w:eastAsia="Times New Roman" w:hAnsi="Calibri" w:cs="Arial"/>
                <w:b/>
                <w:bCs/>
                <w:color w:val="000000"/>
                <w:sz w:val="18"/>
                <w:szCs w:val="18"/>
                <w:lang w:eastAsia="sl-SI"/>
              </w:rPr>
            </w:pPr>
          </w:p>
        </w:tc>
      </w:tr>
      <w:tr w:rsidR="00F85ADF" w:rsidRPr="00AB512D" w14:paraId="1448C496" w14:textId="77777777" w:rsidTr="00EC73AA">
        <w:trPr>
          <w:trHeight w:val="285"/>
        </w:trPr>
        <w:tc>
          <w:tcPr>
            <w:tcW w:w="1600" w:type="dxa"/>
            <w:shd w:val="clear" w:color="auto" w:fill="auto"/>
            <w:hideMark/>
          </w:tcPr>
          <w:p w14:paraId="1448C490"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491"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6. členu (37. člen ZDavP-2)</w:t>
            </w:r>
          </w:p>
          <w:p w14:paraId="1448C492" w14:textId="77777777" w:rsidR="00A16192" w:rsidRPr="00AB512D" w:rsidRDefault="00A16192"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spremembe tretjega odstavka  37. člena glede poslovnega transakcijskega računa samostojnega podjetnika in zasebnika, objavljenega v Registru transakcijskih računov.</w:t>
            </w:r>
          </w:p>
        </w:tc>
        <w:tc>
          <w:tcPr>
            <w:tcW w:w="1946" w:type="dxa"/>
            <w:shd w:val="clear" w:color="auto" w:fill="auto"/>
            <w:hideMark/>
          </w:tcPr>
          <w:p w14:paraId="1448C493"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94" w14:textId="77777777" w:rsidR="00A16192" w:rsidRPr="00AB512D" w:rsidRDefault="00A16192"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Delno - določbo glede obveznosti objave računa v RTR smo črtali oz. spremenili tretji odstavek veljavnega 37. člena tako, da se glasi: » (3) Osebe iz 31. člena tega zakona morajo imeti pri ponudniku plačilnih storitev odprt transakcijski račun.«.</w:t>
            </w:r>
          </w:p>
        </w:tc>
        <w:tc>
          <w:tcPr>
            <w:tcW w:w="5220" w:type="dxa"/>
            <w:shd w:val="clear" w:color="auto" w:fill="auto"/>
            <w:hideMark/>
          </w:tcPr>
          <w:p w14:paraId="1448C495"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F85ADF" w:rsidRPr="00AB512D" w14:paraId="1448C4A0" w14:textId="77777777" w:rsidTr="00EC73AA">
        <w:trPr>
          <w:trHeight w:val="285"/>
        </w:trPr>
        <w:tc>
          <w:tcPr>
            <w:tcW w:w="1600" w:type="dxa"/>
            <w:shd w:val="clear" w:color="auto" w:fill="auto"/>
            <w:hideMark/>
          </w:tcPr>
          <w:p w14:paraId="1448C497"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98"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17. členu (102. člen ZDavP-2)</w:t>
            </w:r>
          </w:p>
          <w:p w14:paraId="1448C499" w14:textId="77777777" w:rsidR="00A16192" w:rsidRPr="00AB512D" w:rsidRDefault="00A16192"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xml:space="preserve">Predlog spremembe oziroma dopolnitve besedila predlaganega novega drugega odstavka 102. člena zaradi možnosti boljšega prilagajanja pogojev odplačevanja dolga v postopku prestrukturiranja glede na poslovno moč podjetja, ki se znajde v takem postopku. njihove dolgove, tako tudi davčni dolg, obravnava enakovredno.  </w:t>
            </w:r>
          </w:p>
        </w:tc>
        <w:tc>
          <w:tcPr>
            <w:tcW w:w="1946" w:type="dxa"/>
            <w:shd w:val="clear" w:color="auto" w:fill="auto"/>
            <w:hideMark/>
          </w:tcPr>
          <w:p w14:paraId="1448C49A"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9B" w14:textId="77777777" w:rsidR="00A16192" w:rsidRPr="00AB512D" w:rsidRDefault="00A16192"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49C" w14:textId="77777777" w:rsidR="00A16192"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9D" w14:textId="77777777" w:rsidR="00F85ADF" w:rsidRDefault="00A1619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Menimo, da ima zavezanec za davek na podlagi veljavne ureditve in ob upoštevanju z novelo predlaganih sprememb dovolj možnosti, ki mu omogočajo odlog oz. obročno plačilo v primeru likvidnostnih težav.</w:t>
            </w:r>
          </w:p>
          <w:p w14:paraId="1448C49E" w14:textId="77777777" w:rsidR="00A16192" w:rsidRDefault="00A16192" w:rsidP="002655FC">
            <w:pPr>
              <w:spacing w:after="0"/>
              <w:rPr>
                <w:rFonts w:ascii="Calibri" w:eastAsia="Times New Roman" w:hAnsi="Calibri" w:cs="Arial"/>
                <w:color w:val="000000"/>
                <w:sz w:val="18"/>
                <w:szCs w:val="18"/>
                <w:lang w:eastAsia="sl-SI"/>
              </w:rPr>
            </w:pPr>
          </w:p>
          <w:p w14:paraId="1448C49F" w14:textId="77777777" w:rsidR="00A16192" w:rsidRPr="00AB512D" w:rsidRDefault="00A1619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Glej opredelitev k pripombam Ministrstva za prav</w:t>
            </w:r>
            <w:r>
              <w:rPr>
                <w:rFonts w:ascii="Calibri" w:eastAsia="Times New Roman" w:hAnsi="Calibri" w:cs="Arial"/>
                <w:color w:val="000000"/>
                <w:sz w:val="18"/>
                <w:szCs w:val="18"/>
                <w:lang w:eastAsia="sl-SI"/>
              </w:rPr>
              <w:t>osodje.</w:t>
            </w:r>
          </w:p>
        </w:tc>
      </w:tr>
      <w:tr w:rsidR="00F85ADF" w:rsidRPr="00AB512D" w14:paraId="1448C4A7" w14:textId="77777777" w:rsidTr="00EC73AA">
        <w:trPr>
          <w:trHeight w:val="285"/>
        </w:trPr>
        <w:tc>
          <w:tcPr>
            <w:tcW w:w="1600" w:type="dxa"/>
            <w:shd w:val="clear" w:color="auto" w:fill="auto"/>
            <w:hideMark/>
          </w:tcPr>
          <w:p w14:paraId="1448C4A1"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A2"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35. členu (159. člen ZDavP-2)</w:t>
            </w:r>
          </w:p>
          <w:p w14:paraId="1448C4A3" w14:textId="77777777" w:rsidR="00A16192" w:rsidRPr="00AB512D" w:rsidRDefault="00A16192"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glede nove 15. točke (veteranski dodatek) 159. člena zakona, da predlog novele ZIZ-K predvideva, da je izvršba na te prejemke le omejena.</w:t>
            </w:r>
          </w:p>
        </w:tc>
        <w:tc>
          <w:tcPr>
            <w:tcW w:w="1946" w:type="dxa"/>
            <w:shd w:val="clear" w:color="auto" w:fill="auto"/>
            <w:hideMark/>
          </w:tcPr>
          <w:p w14:paraId="1448C4A4" w14:textId="77777777" w:rsidR="00F85ADF" w:rsidRDefault="00F85ADF" w:rsidP="003C473C">
            <w:pPr>
              <w:spacing w:after="0"/>
              <w:jc w:val="left"/>
              <w:rPr>
                <w:rFonts w:ascii="Calibri" w:eastAsia="Times New Roman" w:hAnsi="Calibri" w:cs="Arial"/>
                <w:color w:val="FF0000"/>
                <w:sz w:val="18"/>
                <w:szCs w:val="18"/>
                <w:lang w:eastAsia="sl-SI"/>
              </w:rPr>
            </w:pPr>
            <w:r w:rsidRPr="00AB512D">
              <w:rPr>
                <w:rFonts w:ascii="Calibri" w:eastAsia="Times New Roman" w:hAnsi="Calibri" w:cs="Arial"/>
                <w:color w:val="FF0000"/>
                <w:sz w:val="18"/>
                <w:szCs w:val="18"/>
                <w:lang w:eastAsia="sl-SI"/>
              </w:rPr>
              <w:t> </w:t>
            </w:r>
          </w:p>
          <w:p w14:paraId="1448C4A5" w14:textId="642E5D41" w:rsidR="00A16192" w:rsidRPr="00AB512D" w:rsidRDefault="00F74FC3" w:rsidP="003C473C">
            <w:pPr>
              <w:spacing w:after="0"/>
              <w:jc w:val="left"/>
              <w:rPr>
                <w:rFonts w:ascii="Calibri" w:eastAsia="Times New Roman" w:hAnsi="Calibri" w:cs="Arial"/>
                <w:color w:val="FF0000"/>
                <w:sz w:val="18"/>
                <w:szCs w:val="18"/>
                <w:lang w:eastAsia="sl-SI"/>
              </w:rPr>
            </w:pPr>
            <w:r>
              <w:rPr>
                <w:rFonts w:ascii="Calibri" w:eastAsia="Times New Roman" w:hAnsi="Calibri" w:cs="Arial"/>
                <w:color w:val="000000"/>
                <w:sz w:val="18"/>
                <w:szCs w:val="18"/>
                <w:lang w:eastAsia="sl-SI"/>
              </w:rPr>
              <w:t xml:space="preserve">NE </w:t>
            </w:r>
          </w:p>
        </w:tc>
        <w:tc>
          <w:tcPr>
            <w:tcW w:w="5220" w:type="dxa"/>
            <w:shd w:val="clear" w:color="auto" w:fill="auto"/>
            <w:hideMark/>
          </w:tcPr>
          <w:p w14:paraId="1448C4A6" w14:textId="7DAA71A8" w:rsidR="00F85ADF" w:rsidRPr="00AB512D" w:rsidRDefault="00B34495" w:rsidP="002655FC">
            <w:pPr>
              <w:spacing w:after="0"/>
              <w:rPr>
                <w:rFonts w:ascii="Calibri" w:eastAsia="Times New Roman" w:hAnsi="Calibri" w:cs="Arial"/>
                <w:color w:val="000000"/>
                <w:sz w:val="18"/>
                <w:szCs w:val="18"/>
                <w:lang w:eastAsia="sl-SI"/>
              </w:rPr>
            </w:pPr>
            <w:r w:rsidRPr="006817A5">
              <w:rPr>
                <w:rFonts w:asciiTheme="minorHAnsi" w:hAnsiTheme="minorHAnsi"/>
                <w:sz w:val="18"/>
                <w:szCs w:val="18"/>
              </w:rPr>
              <w:t>Upoštevati je treba specifiko različnih izvršilnih postopkov (davčnega in civilnega) kakor tudi dejstvo, da davčni organ preživnine in odškodnine za izgubljeno preživnino ne izvršuje, zato ni mogoče popolno poenotenje z ZIZ, dejansko gre pa tudi v primeru ZIZ po vsebini za izvzetje s hkrati določeno izjemo.</w:t>
            </w:r>
          </w:p>
        </w:tc>
      </w:tr>
      <w:tr w:rsidR="00F85ADF" w:rsidRPr="00AB512D" w14:paraId="1448C4CA" w14:textId="77777777" w:rsidTr="00EC73AA">
        <w:trPr>
          <w:trHeight w:val="285"/>
        </w:trPr>
        <w:tc>
          <w:tcPr>
            <w:tcW w:w="1600" w:type="dxa"/>
            <w:shd w:val="clear" w:color="auto" w:fill="auto"/>
            <w:hideMark/>
          </w:tcPr>
          <w:p w14:paraId="1448C4A8"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A9"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37. členu (160.a člen ZDavP-2)</w:t>
            </w:r>
          </w:p>
          <w:p w14:paraId="1448C4AA" w14:textId="77777777" w:rsidR="00A16192" w:rsidRDefault="00A16192"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spremembe 160.a člena glede poravnave stroškov, ki so nastali zaradi izvedbe sklepa o izvršbi, v skladu z določili zakona, ki ureja plačilne storitve.</w:t>
            </w:r>
          </w:p>
          <w:p w14:paraId="1448C4AB" w14:textId="77777777" w:rsidR="00A16192" w:rsidRDefault="00A16192" w:rsidP="003C473C">
            <w:pPr>
              <w:spacing w:after="0"/>
              <w:jc w:val="left"/>
              <w:rPr>
                <w:rFonts w:ascii="Calibri" w:eastAsia="Times New Roman" w:hAnsi="Calibri" w:cs="Arial"/>
                <w:color w:val="000000"/>
                <w:sz w:val="18"/>
                <w:szCs w:val="18"/>
                <w:lang w:eastAsia="sl-SI"/>
              </w:rPr>
            </w:pPr>
          </w:p>
          <w:p w14:paraId="1448C4AC"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AD"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AE"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AF"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0"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1"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2"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3"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4"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5"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6"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7" w14:textId="77777777" w:rsidR="00A16192" w:rsidRDefault="00A16192" w:rsidP="003C473C">
            <w:pPr>
              <w:spacing w:after="0"/>
              <w:jc w:val="left"/>
              <w:rPr>
                <w:rFonts w:ascii="Calibri" w:eastAsia="Times New Roman" w:hAnsi="Calibri" w:cs="Arial"/>
                <w:color w:val="000000"/>
                <w:sz w:val="18"/>
                <w:szCs w:val="18"/>
                <w:lang w:eastAsia="sl-SI"/>
              </w:rPr>
            </w:pPr>
          </w:p>
          <w:p w14:paraId="1448C4B8" w14:textId="77777777" w:rsidR="00A16192" w:rsidRDefault="00A16192"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Dodatno je pojasnjeno še, da se Združenje bank Slovenije zaveda svoje socialne odgovornosti, zato želijo s svojimi predlogi prispevati k ureditvi te problematike, zato so pristojnim ministrstvom v preteklosti na skupnih sestankih podali že vrsto predlogov, kot so:</w:t>
            </w:r>
          </w:p>
          <w:p w14:paraId="1448C4B9" w14:textId="77777777" w:rsidR="00A16192" w:rsidRDefault="00A16192" w:rsidP="00A16192">
            <w:pPr>
              <w:pStyle w:val="ListParagraph"/>
              <w:numPr>
                <w:ilvl w:val="0"/>
                <w:numId w:val="10"/>
              </w:numPr>
              <w:spacing w:after="0"/>
              <w:jc w:val="left"/>
              <w:rPr>
                <w:rFonts w:ascii="Calibri" w:eastAsia="Times New Roman" w:hAnsi="Calibri" w:cs="Arial"/>
                <w:color w:val="000000"/>
                <w:sz w:val="18"/>
                <w:szCs w:val="18"/>
                <w:lang w:eastAsia="sl-SI"/>
              </w:rPr>
            </w:pPr>
            <w:r w:rsidRPr="00A16192">
              <w:rPr>
                <w:rFonts w:ascii="Calibri" w:eastAsia="Times New Roman" w:hAnsi="Calibri" w:cs="Arial"/>
                <w:color w:val="000000"/>
                <w:sz w:val="18"/>
                <w:szCs w:val="18"/>
                <w:lang w:eastAsia="sl-SI"/>
              </w:rPr>
              <w:t>nakazila prejemnikom DSP, ki imajo blokiran račun, v gotovini preko nakaznic,</w:t>
            </w:r>
          </w:p>
          <w:p w14:paraId="1448C4BA" w14:textId="77777777" w:rsidR="00A16192" w:rsidRDefault="00A16192" w:rsidP="00A16192">
            <w:pPr>
              <w:pStyle w:val="ListParagraph"/>
              <w:numPr>
                <w:ilvl w:val="0"/>
                <w:numId w:val="10"/>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stroške naj založi upnik,</w:t>
            </w:r>
          </w:p>
          <w:p w14:paraId="1448C4BB" w14:textId="77777777" w:rsidR="00A16192" w:rsidRDefault="00A16192" w:rsidP="00A16192">
            <w:pPr>
              <w:pStyle w:val="ListParagraph"/>
              <w:numPr>
                <w:ilvl w:val="0"/>
                <w:numId w:val="10"/>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poseben račun komitenta, na katerega prejema samo socialno denarno pomoč in se sklep o izvršbi v tem primeru banki sploh ne pošlje,</w:t>
            </w:r>
          </w:p>
          <w:p w14:paraId="1448C4BC" w14:textId="77777777" w:rsidR="00A16192" w:rsidRDefault="00A16192" w:rsidP="00A16192">
            <w:pPr>
              <w:pStyle w:val="ListParagraph"/>
              <w:numPr>
                <w:ilvl w:val="0"/>
                <w:numId w:val="10"/>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gotovinski transakcijski račun MDDSZEM, prejemniki pomoči pa bi z ustreznimi potrdili s tega računa dvigali denarno pomoč,</w:t>
            </w:r>
          </w:p>
          <w:p w14:paraId="1448C4BD" w14:textId="77777777" w:rsidR="00A16192" w:rsidRPr="00A16192" w:rsidRDefault="00A16192" w:rsidP="00A16192">
            <w:pPr>
              <w:pStyle w:val="ListParagraph"/>
              <w:numPr>
                <w:ilvl w:val="0"/>
                <w:numId w:val="10"/>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nakazila prejemnikom pomoči na predplačniško kartico</w:t>
            </w:r>
            <w:r>
              <w:rPr>
                <w:rFonts w:ascii="Calibri" w:eastAsia="Times New Roman" w:hAnsi="Calibri" w:cs="Arial"/>
                <w:color w:val="000000"/>
                <w:sz w:val="18"/>
                <w:szCs w:val="18"/>
                <w:lang w:eastAsia="sl-SI"/>
              </w:rPr>
              <w:t>.</w:t>
            </w:r>
          </w:p>
          <w:p w14:paraId="1448C4BE" w14:textId="77777777" w:rsidR="00A16192" w:rsidRPr="00AB512D" w:rsidRDefault="00A16192"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4BF"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p w14:paraId="1448C4C0" w14:textId="77777777" w:rsidR="00A16192" w:rsidRPr="00AB512D" w:rsidRDefault="00A16192"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4C1" w14:textId="77777777" w:rsidR="00F85ADF" w:rsidRDefault="00A1619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Predlagana ureditev sledi noveli ZIZ-K, ki je bila objavljena v Uradnem listu RS in vsebuje enako določbo. Zaradi poenotenja z ZIZ je potrebno predlagano določbo obdržati.</w:t>
            </w:r>
          </w:p>
          <w:p w14:paraId="1448C4C2" w14:textId="77777777" w:rsidR="00A16192" w:rsidRDefault="00A1619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Banka oz. hranilnica kot izvrševalec sklepa o izvršbi ima pravico do nadomestila za izvajanje dejanj na podlagi sklepa o izvršbi, pri čemer na podlagi veljavne ureditve nadomestilo lahko poravna iz prejemkov, ki so sicer iz izvršbe izvzeti. Banka tako »prehiti« davčni organ na ta način, da poseže v socialni minimum davčnega dolžnika.</w:t>
            </w:r>
          </w:p>
          <w:p w14:paraId="1448C4C3" w14:textId="77777777" w:rsidR="00A16192" w:rsidRDefault="00A16192" w:rsidP="002655FC">
            <w:pPr>
              <w:spacing w:after="0"/>
              <w:rPr>
                <w:rFonts w:ascii="Calibri" w:eastAsia="Times New Roman" w:hAnsi="Calibri" w:cs="Arial"/>
                <w:color w:val="000000"/>
                <w:sz w:val="18"/>
                <w:szCs w:val="18"/>
                <w:lang w:eastAsia="sl-SI"/>
              </w:rPr>
            </w:pPr>
          </w:p>
          <w:p w14:paraId="1448C4C4" w14:textId="77777777" w:rsidR="00A16192" w:rsidRDefault="00A1619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Predlagana sprememba bankam ne prepoveduje zaračunavanja nadomestil oz. jim ne nalaga brezplačnega opravljanja storitev v zvezi z izvršbo, temveč zgolj omejuje način izplačila, in sicer tako, da se nadomestilo ne bo moglo poplačati iz prejemkov, ki so izvršbe izvzeti oz. iz varovanega zneska, ki ga določa ZDavP-2. S tem se sledi ustavnemu načelu socialne države.</w:t>
            </w:r>
          </w:p>
          <w:p w14:paraId="1448C4C5" w14:textId="77777777" w:rsidR="00A16192" w:rsidRDefault="00A16192" w:rsidP="002655FC">
            <w:pPr>
              <w:spacing w:after="0"/>
              <w:rPr>
                <w:rFonts w:ascii="Calibri" w:eastAsia="Times New Roman" w:hAnsi="Calibri" w:cs="Arial"/>
                <w:color w:val="000000"/>
                <w:sz w:val="18"/>
                <w:szCs w:val="18"/>
                <w:lang w:eastAsia="sl-SI"/>
              </w:rPr>
            </w:pPr>
          </w:p>
          <w:p w14:paraId="1448C4C6" w14:textId="77777777" w:rsidR="00A16192" w:rsidRDefault="00A16192" w:rsidP="002655FC">
            <w:pPr>
              <w:spacing w:after="0"/>
              <w:rPr>
                <w:rFonts w:ascii="Calibri" w:eastAsia="Times New Roman" w:hAnsi="Calibri" w:cs="Arial"/>
                <w:color w:val="000000"/>
                <w:sz w:val="18"/>
                <w:szCs w:val="18"/>
                <w:lang w:eastAsia="sl-SI"/>
              </w:rPr>
            </w:pPr>
          </w:p>
          <w:p w14:paraId="1448C4C7" w14:textId="77777777" w:rsidR="00A16192" w:rsidRDefault="00A1619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Nekateri izmed navedenih predlogov so sicer utemeljeni (npr. oblikovanje tako imenovanega socialnega računa), vendar menimo, da je do sprejetja takšnih rešitev, s katerimi bo problematika celovito urejena, potrebna tudi predlagana ureditev v novem 160.a členu ZDavP-2.</w:t>
            </w:r>
          </w:p>
          <w:p w14:paraId="1448C4C8" w14:textId="77777777" w:rsidR="00A16192" w:rsidRDefault="00A16192" w:rsidP="002655FC">
            <w:pPr>
              <w:spacing w:after="0"/>
              <w:rPr>
                <w:rFonts w:ascii="Calibri" w:eastAsia="Times New Roman" w:hAnsi="Calibri" w:cs="Arial"/>
                <w:color w:val="000000"/>
                <w:sz w:val="18"/>
                <w:szCs w:val="18"/>
                <w:lang w:eastAsia="sl-SI"/>
              </w:rPr>
            </w:pPr>
          </w:p>
          <w:p w14:paraId="1448C4C9" w14:textId="77777777" w:rsidR="00A16192" w:rsidRPr="00AB512D" w:rsidRDefault="00A16192" w:rsidP="002655FC">
            <w:pPr>
              <w:spacing w:after="0"/>
              <w:rPr>
                <w:rFonts w:ascii="Calibri" w:eastAsia="Times New Roman" w:hAnsi="Calibri" w:cs="Arial"/>
                <w:color w:val="000000"/>
                <w:sz w:val="18"/>
                <w:szCs w:val="18"/>
                <w:lang w:eastAsia="sl-SI"/>
              </w:rPr>
            </w:pPr>
          </w:p>
        </w:tc>
      </w:tr>
      <w:tr w:rsidR="00F85ADF" w:rsidRPr="00AB512D" w14:paraId="1448C4DC" w14:textId="77777777" w:rsidTr="00EC73AA">
        <w:trPr>
          <w:trHeight w:val="285"/>
        </w:trPr>
        <w:tc>
          <w:tcPr>
            <w:tcW w:w="1600" w:type="dxa"/>
            <w:shd w:val="clear" w:color="auto" w:fill="auto"/>
            <w:hideMark/>
          </w:tcPr>
          <w:p w14:paraId="1448C4D0"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4D1"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38. členu (168. člen ZDavP-2)</w:t>
            </w:r>
          </w:p>
          <w:p w14:paraId="1448C4D2" w14:textId="77777777" w:rsidR="00393758" w:rsidRPr="00AB512D" w:rsidRDefault="00393758"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spremembe 168. člena glede elektronske izmenjave obvestila o obdelavi sklepa, ki nadomešča pisno obvestilo banke, da dolžnik ne razpolaga s sredstvi za poplačilo sklepa.</w:t>
            </w:r>
          </w:p>
        </w:tc>
        <w:tc>
          <w:tcPr>
            <w:tcW w:w="1946" w:type="dxa"/>
            <w:shd w:val="clear" w:color="auto" w:fill="auto"/>
            <w:hideMark/>
          </w:tcPr>
          <w:p w14:paraId="1448C4D3"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D4" w14:textId="77777777" w:rsidR="00393758" w:rsidRDefault="00393758"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p w14:paraId="1448C4D5" w14:textId="77777777" w:rsidR="00393758" w:rsidRDefault="00393758"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 Č</w:t>
            </w:r>
            <w:r w:rsidRPr="00AB512D">
              <w:rPr>
                <w:rFonts w:ascii="Calibri" w:eastAsia="Times New Roman" w:hAnsi="Calibri" w:cs="Arial"/>
                <w:color w:val="000000"/>
                <w:sz w:val="18"/>
                <w:szCs w:val="18"/>
                <w:lang w:eastAsia="sl-SI"/>
              </w:rPr>
              <w:t>rtano obvestilo iz prvega odstavka</w:t>
            </w:r>
            <w:r>
              <w:rPr>
                <w:rFonts w:ascii="Calibri" w:eastAsia="Times New Roman" w:hAnsi="Calibri" w:cs="Arial"/>
                <w:color w:val="000000"/>
                <w:sz w:val="18"/>
                <w:szCs w:val="18"/>
                <w:lang w:eastAsia="sl-SI"/>
              </w:rPr>
              <w:t>.</w:t>
            </w:r>
          </w:p>
          <w:p w14:paraId="1448C4D6" w14:textId="77777777" w:rsidR="00393758" w:rsidRDefault="00393758" w:rsidP="003C473C">
            <w:pPr>
              <w:spacing w:after="0"/>
              <w:jc w:val="left"/>
              <w:rPr>
                <w:rFonts w:ascii="Calibri" w:eastAsia="Times New Roman" w:hAnsi="Calibri" w:cs="Arial"/>
                <w:color w:val="000000"/>
                <w:sz w:val="18"/>
                <w:szCs w:val="18"/>
                <w:lang w:eastAsia="sl-SI"/>
              </w:rPr>
            </w:pPr>
          </w:p>
          <w:p w14:paraId="1448C4D7" w14:textId="77777777" w:rsidR="00393758" w:rsidRDefault="00393758" w:rsidP="00393758">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 </w:t>
            </w:r>
            <w:r>
              <w:rPr>
                <w:rFonts w:ascii="Calibri" w:eastAsia="Times New Roman" w:hAnsi="Calibri" w:cs="Arial"/>
                <w:color w:val="000000"/>
                <w:sz w:val="18"/>
                <w:szCs w:val="18"/>
                <w:lang w:eastAsia="sl-SI"/>
              </w:rPr>
              <w:t>D</w:t>
            </w:r>
            <w:r w:rsidRPr="00AB512D">
              <w:rPr>
                <w:rFonts w:ascii="Calibri" w:eastAsia="Times New Roman" w:hAnsi="Calibri" w:cs="Arial"/>
                <w:color w:val="000000"/>
                <w:sz w:val="18"/>
                <w:szCs w:val="18"/>
                <w:lang w:eastAsia="sl-SI"/>
              </w:rPr>
              <w:t xml:space="preserve">oločeno, da mora banka v osmih dneh po prejemu sklepa obvestiti davčni organ, da  dolžnik pri njej na dan prejema sklepa nima odprtega računa oziroma denarnih sredstev, s katerimi ne more razpolagati, črtana pa je </w:t>
            </w:r>
            <w:r w:rsidRPr="00AB512D">
              <w:rPr>
                <w:rFonts w:ascii="Calibri" w:eastAsia="Times New Roman" w:hAnsi="Calibri" w:cs="Arial"/>
                <w:color w:val="000000"/>
                <w:sz w:val="18"/>
                <w:szCs w:val="18"/>
                <w:lang w:eastAsia="sl-SI"/>
              </w:rPr>
              <w:lastRenderedPageBreak/>
              <w:t>obveznost vložitve ugovora po 169. členu ZDavP-2</w:t>
            </w:r>
            <w:r>
              <w:rPr>
                <w:rFonts w:ascii="Calibri" w:eastAsia="Times New Roman" w:hAnsi="Calibri" w:cs="Arial"/>
                <w:color w:val="000000"/>
                <w:sz w:val="18"/>
                <w:szCs w:val="18"/>
                <w:lang w:eastAsia="sl-SI"/>
              </w:rPr>
              <w:t>.</w:t>
            </w:r>
          </w:p>
          <w:p w14:paraId="1448C4D8" w14:textId="77777777" w:rsidR="00393758" w:rsidRDefault="00393758" w:rsidP="00393758">
            <w:pPr>
              <w:spacing w:after="0"/>
              <w:jc w:val="left"/>
              <w:rPr>
                <w:rFonts w:ascii="Calibri" w:eastAsia="Times New Roman" w:hAnsi="Calibri" w:cs="Arial"/>
                <w:color w:val="000000"/>
                <w:sz w:val="18"/>
                <w:szCs w:val="18"/>
                <w:lang w:eastAsia="sl-SI"/>
              </w:rPr>
            </w:pPr>
          </w:p>
          <w:p w14:paraId="1448C4D9" w14:textId="77777777" w:rsidR="00393758" w:rsidRPr="00393758" w:rsidRDefault="00393758" w:rsidP="00393758">
            <w:pPr>
              <w:jc w:val="left"/>
              <w:rPr>
                <w:rFonts w:asciiTheme="minorHAnsi" w:hAnsiTheme="minorHAnsi" w:cs="Arial"/>
                <w:sz w:val="18"/>
                <w:szCs w:val="18"/>
              </w:rPr>
            </w:pPr>
            <w:r>
              <w:rPr>
                <w:rFonts w:cs="Arial"/>
                <w:sz w:val="20"/>
                <w:szCs w:val="20"/>
              </w:rPr>
              <w:t xml:space="preserve">- </w:t>
            </w:r>
            <w:r w:rsidRPr="00393758">
              <w:rPr>
                <w:rFonts w:asciiTheme="minorHAnsi" w:hAnsiTheme="minorHAnsi" w:cs="Arial"/>
                <w:sz w:val="18"/>
                <w:szCs w:val="18"/>
              </w:rPr>
              <w:t>Določeno, da mora banka davčni organ obvestiti, če ni nobenega rubljivega priliva denarnih sredstev ali če se račun zapre</w:t>
            </w:r>
            <w:r>
              <w:rPr>
                <w:rFonts w:asciiTheme="minorHAnsi" w:hAnsiTheme="minorHAnsi" w:cs="Arial"/>
                <w:sz w:val="18"/>
                <w:szCs w:val="18"/>
              </w:rPr>
              <w:t>.</w:t>
            </w:r>
          </w:p>
          <w:p w14:paraId="1448C4DA" w14:textId="77777777" w:rsidR="00393758" w:rsidRPr="00AB512D" w:rsidRDefault="00393758" w:rsidP="00393758">
            <w:pPr>
              <w:spacing w:after="0"/>
              <w:jc w:val="left"/>
              <w:rPr>
                <w:rFonts w:ascii="Calibri" w:eastAsia="Times New Roman" w:hAnsi="Calibri" w:cs="Arial"/>
                <w:color w:val="000000"/>
                <w:sz w:val="18"/>
                <w:szCs w:val="18"/>
                <w:lang w:eastAsia="sl-SI"/>
              </w:rPr>
            </w:pPr>
          </w:p>
        </w:tc>
        <w:tc>
          <w:tcPr>
            <w:tcW w:w="5220" w:type="dxa"/>
            <w:shd w:val="clear" w:color="auto" w:fill="auto"/>
            <w:hideMark/>
          </w:tcPr>
          <w:p w14:paraId="1448C4DB"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lastRenderedPageBreak/>
              <w:t> </w:t>
            </w:r>
          </w:p>
        </w:tc>
      </w:tr>
      <w:tr w:rsidR="00F85ADF" w:rsidRPr="00AB512D" w14:paraId="1448C4ED" w14:textId="77777777" w:rsidTr="00EC73AA">
        <w:trPr>
          <w:trHeight w:val="285"/>
        </w:trPr>
        <w:tc>
          <w:tcPr>
            <w:tcW w:w="1600" w:type="dxa"/>
            <w:shd w:val="clear" w:color="auto" w:fill="auto"/>
            <w:hideMark/>
          </w:tcPr>
          <w:p w14:paraId="1448C4DD"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4DE"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39. členu (169. člen ZDavP-2)</w:t>
            </w:r>
          </w:p>
          <w:p w14:paraId="1448C4DF" w14:textId="77777777" w:rsidR="00A16192" w:rsidRDefault="00393758"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črtanja 169. člena in dopolnitev 168. člena z novim odstavkom, ki določa zavezo banke, da obvesti davčni organ o tem, da dolžnik nima odprtega računa (tj. ob prejemu sklep o izvršbi) oz. da je banka zaprla vse njegove transakcijske račune (v času izvrševanja sklepa o izvršbi).</w:t>
            </w:r>
          </w:p>
          <w:p w14:paraId="1448C4E0" w14:textId="77777777" w:rsidR="00393758" w:rsidRDefault="00393758" w:rsidP="003C473C">
            <w:pPr>
              <w:spacing w:after="0"/>
              <w:jc w:val="left"/>
              <w:rPr>
                <w:rFonts w:ascii="Calibri" w:eastAsia="Times New Roman" w:hAnsi="Calibri" w:cs="Arial"/>
                <w:color w:val="000000"/>
                <w:sz w:val="18"/>
                <w:szCs w:val="18"/>
                <w:lang w:eastAsia="sl-SI"/>
              </w:rPr>
            </w:pPr>
          </w:p>
          <w:p w14:paraId="1448C4E1" w14:textId="77777777" w:rsidR="00393758" w:rsidRDefault="00393758"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Nov predlog</w:t>
            </w:r>
          </w:p>
          <w:p w14:paraId="1448C4E2" w14:textId="77777777" w:rsidR="00393758" w:rsidRPr="00AB512D" w:rsidRDefault="00393758"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xml:space="preserve">Predlog spremembe 170. člena glede obveznosti bank, da v primeru kršitev zakonodaje in izvrševanja sklepa o izvršbi poravnajo davčni dolg.  </w:t>
            </w:r>
          </w:p>
        </w:tc>
        <w:tc>
          <w:tcPr>
            <w:tcW w:w="1946" w:type="dxa"/>
            <w:shd w:val="clear" w:color="auto" w:fill="auto"/>
            <w:hideMark/>
          </w:tcPr>
          <w:p w14:paraId="1448C4E3" w14:textId="77777777" w:rsidR="00393758" w:rsidRDefault="00393758" w:rsidP="003C473C">
            <w:pPr>
              <w:spacing w:after="0"/>
              <w:jc w:val="left"/>
              <w:rPr>
                <w:rFonts w:ascii="Calibri" w:eastAsia="Times New Roman" w:hAnsi="Calibri" w:cs="Arial"/>
                <w:color w:val="000000"/>
                <w:sz w:val="18"/>
                <w:szCs w:val="18"/>
                <w:lang w:eastAsia="sl-SI"/>
              </w:rPr>
            </w:pPr>
          </w:p>
          <w:p w14:paraId="1448C4E4" w14:textId="77777777" w:rsidR="00F85ADF" w:rsidRPr="00393758" w:rsidRDefault="00F85ADF" w:rsidP="00393758">
            <w:pPr>
              <w:spacing w:after="0"/>
              <w:jc w:val="left"/>
              <w:rPr>
                <w:rFonts w:asciiTheme="minorHAnsi" w:eastAsia="Times New Roman" w:hAnsiTheme="minorHAnsi" w:cs="Arial"/>
                <w:color w:val="000000"/>
                <w:sz w:val="18"/>
                <w:szCs w:val="18"/>
                <w:lang w:eastAsia="sl-SI"/>
              </w:rPr>
            </w:pPr>
            <w:r w:rsidRPr="00AB512D">
              <w:rPr>
                <w:rFonts w:ascii="Calibri" w:eastAsia="Times New Roman" w:hAnsi="Calibri" w:cs="Arial"/>
                <w:color w:val="000000"/>
                <w:sz w:val="18"/>
                <w:szCs w:val="18"/>
                <w:lang w:eastAsia="sl-SI"/>
              </w:rPr>
              <w:t> </w:t>
            </w:r>
            <w:r w:rsidR="00A16192" w:rsidRPr="00393758">
              <w:rPr>
                <w:rFonts w:asciiTheme="minorHAnsi" w:eastAsia="Times New Roman" w:hAnsiTheme="minorHAnsi" w:cs="Arial"/>
                <w:color w:val="000000"/>
                <w:sz w:val="18"/>
                <w:szCs w:val="18"/>
                <w:lang w:eastAsia="sl-SI"/>
              </w:rPr>
              <w:t>DA</w:t>
            </w:r>
          </w:p>
          <w:p w14:paraId="1448C4E5" w14:textId="77777777" w:rsidR="00393758" w:rsidRPr="00393758" w:rsidRDefault="00393758" w:rsidP="00393758">
            <w:pPr>
              <w:spacing w:after="0"/>
              <w:jc w:val="left"/>
              <w:rPr>
                <w:rFonts w:asciiTheme="minorHAnsi" w:eastAsia="Times New Roman" w:hAnsiTheme="minorHAnsi" w:cs="Arial"/>
                <w:color w:val="000000"/>
                <w:sz w:val="18"/>
                <w:szCs w:val="18"/>
                <w:lang w:eastAsia="sl-SI"/>
              </w:rPr>
            </w:pPr>
          </w:p>
          <w:p w14:paraId="1448C4E6" w14:textId="77777777" w:rsidR="00393758" w:rsidRPr="00393758" w:rsidRDefault="00393758" w:rsidP="00393758">
            <w:pPr>
              <w:spacing w:after="0"/>
              <w:jc w:val="left"/>
              <w:rPr>
                <w:rFonts w:asciiTheme="minorHAnsi" w:eastAsia="Times New Roman" w:hAnsiTheme="minorHAnsi" w:cs="Arial"/>
                <w:color w:val="000000"/>
                <w:sz w:val="18"/>
                <w:szCs w:val="18"/>
                <w:lang w:eastAsia="sl-SI"/>
              </w:rPr>
            </w:pPr>
          </w:p>
          <w:p w14:paraId="1448C4E7" w14:textId="77777777" w:rsidR="00393758" w:rsidRPr="00393758" w:rsidRDefault="00393758" w:rsidP="00393758">
            <w:pPr>
              <w:spacing w:after="0"/>
              <w:jc w:val="left"/>
              <w:rPr>
                <w:rFonts w:asciiTheme="minorHAnsi" w:eastAsia="Times New Roman" w:hAnsiTheme="minorHAnsi" w:cs="Arial"/>
                <w:color w:val="000000"/>
                <w:sz w:val="18"/>
                <w:szCs w:val="18"/>
                <w:lang w:eastAsia="sl-SI"/>
              </w:rPr>
            </w:pPr>
          </w:p>
          <w:p w14:paraId="1448C4E8" w14:textId="77777777" w:rsidR="00393758" w:rsidRPr="00393758" w:rsidRDefault="00393758" w:rsidP="00393758">
            <w:pPr>
              <w:spacing w:after="0"/>
              <w:jc w:val="left"/>
              <w:rPr>
                <w:rFonts w:asciiTheme="minorHAnsi" w:eastAsia="Times New Roman" w:hAnsiTheme="minorHAnsi" w:cs="Arial"/>
                <w:color w:val="000000"/>
                <w:sz w:val="18"/>
                <w:szCs w:val="18"/>
                <w:lang w:eastAsia="sl-SI"/>
              </w:rPr>
            </w:pPr>
          </w:p>
          <w:p w14:paraId="1448C4E9" w14:textId="77777777" w:rsidR="00393758" w:rsidRDefault="00393758" w:rsidP="00393758">
            <w:pPr>
              <w:spacing w:after="0"/>
              <w:rPr>
                <w:rFonts w:asciiTheme="minorHAnsi" w:hAnsiTheme="minorHAnsi" w:cs="Arial"/>
                <w:sz w:val="18"/>
                <w:szCs w:val="18"/>
              </w:rPr>
            </w:pPr>
          </w:p>
          <w:p w14:paraId="3B5C24E1" w14:textId="77777777" w:rsidR="00F323C7" w:rsidRDefault="00F323C7" w:rsidP="00393758">
            <w:pPr>
              <w:spacing w:after="0"/>
              <w:rPr>
                <w:rFonts w:asciiTheme="minorHAnsi" w:hAnsiTheme="minorHAnsi" w:cs="Arial"/>
                <w:sz w:val="18"/>
                <w:szCs w:val="18"/>
              </w:rPr>
            </w:pPr>
          </w:p>
          <w:p w14:paraId="1448C4EA" w14:textId="77777777" w:rsidR="00393758" w:rsidRPr="00393758" w:rsidRDefault="00393758" w:rsidP="00393758">
            <w:pPr>
              <w:spacing w:after="0"/>
              <w:rPr>
                <w:rFonts w:asciiTheme="minorHAnsi" w:hAnsiTheme="minorHAnsi" w:cs="Arial"/>
                <w:sz w:val="18"/>
                <w:szCs w:val="18"/>
              </w:rPr>
            </w:pPr>
            <w:r w:rsidRPr="00393758">
              <w:rPr>
                <w:rFonts w:asciiTheme="minorHAnsi" w:hAnsiTheme="minorHAnsi" w:cs="Arial"/>
                <w:sz w:val="18"/>
                <w:szCs w:val="18"/>
              </w:rPr>
              <w:t xml:space="preserve">DA </w:t>
            </w:r>
          </w:p>
          <w:p w14:paraId="1448C4EB" w14:textId="77777777" w:rsidR="00393758" w:rsidRPr="00AB512D" w:rsidRDefault="00393758" w:rsidP="00393758">
            <w:pPr>
              <w:spacing w:after="0"/>
              <w:jc w:val="left"/>
              <w:rPr>
                <w:rFonts w:ascii="Calibri" w:eastAsia="Times New Roman" w:hAnsi="Calibri" w:cs="Arial"/>
                <w:color w:val="000000"/>
                <w:sz w:val="18"/>
                <w:szCs w:val="18"/>
                <w:lang w:eastAsia="sl-SI"/>
              </w:rPr>
            </w:pPr>
            <w:r w:rsidRPr="00393758">
              <w:rPr>
                <w:rFonts w:asciiTheme="minorHAnsi" w:hAnsiTheme="minorHAnsi" w:cs="Arial"/>
                <w:sz w:val="18"/>
                <w:szCs w:val="18"/>
              </w:rPr>
              <w:t>Določeno je, da se davek izterja do višine rubljivih denarnih sredstev, ki jih ima dolžnik na računu</w:t>
            </w:r>
            <w:r w:rsidR="00F416B7">
              <w:rPr>
                <w:rFonts w:asciiTheme="minorHAnsi" w:hAnsiTheme="minorHAnsi" w:cs="Arial"/>
                <w:sz w:val="18"/>
                <w:szCs w:val="18"/>
              </w:rPr>
              <w:t>.</w:t>
            </w:r>
          </w:p>
        </w:tc>
        <w:tc>
          <w:tcPr>
            <w:tcW w:w="5220" w:type="dxa"/>
            <w:shd w:val="clear" w:color="auto" w:fill="auto"/>
            <w:hideMark/>
          </w:tcPr>
          <w:p w14:paraId="1448C4EC"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4F7" w14:textId="77777777" w:rsidTr="00EC73AA">
        <w:trPr>
          <w:trHeight w:val="285"/>
        </w:trPr>
        <w:tc>
          <w:tcPr>
            <w:tcW w:w="1600" w:type="dxa"/>
            <w:shd w:val="clear" w:color="auto" w:fill="auto"/>
            <w:hideMark/>
          </w:tcPr>
          <w:p w14:paraId="1448C4EE"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EF"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71. členu (novi 351.a do 351.i člen ZDavP-2)</w:t>
            </w:r>
          </w:p>
          <w:p w14:paraId="1448C4F0" w14:textId="77777777" w:rsidR="00393758" w:rsidRPr="00AB512D" w:rsidRDefault="00393758"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čimprejšnje izdaje potrebnih podzakonskih aktov</w:t>
            </w:r>
            <w:r>
              <w:rPr>
                <w:rFonts w:ascii="Calibri" w:eastAsia="Times New Roman" w:hAnsi="Calibri" w:cs="Arial"/>
                <w:color w:val="000000"/>
                <w:sz w:val="18"/>
                <w:szCs w:val="18"/>
                <w:lang w:eastAsia="sl-SI"/>
              </w:rPr>
              <w:t>,</w:t>
            </w:r>
            <w:r w:rsidRPr="00AB512D">
              <w:rPr>
                <w:rFonts w:ascii="Calibri" w:eastAsia="Times New Roman" w:hAnsi="Calibri" w:cs="Arial"/>
                <w:color w:val="000000"/>
                <w:sz w:val="18"/>
                <w:szCs w:val="18"/>
                <w:lang w:eastAsia="sl-SI"/>
              </w:rPr>
              <w:t xml:space="preserve"> da se bodo finančne institucije lahko pravočasno pripravile na poročanje podatkov v skladu z 11. podpoglavjem ZDavP-2</w:t>
            </w:r>
            <w:r>
              <w:rPr>
                <w:rFonts w:ascii="Calibri" w:eastAsia="Times New Roman" w:hAnsi="Calibri" w:cs="Arial"/>
                <w:color w:val="000000"/>
                <w:sz w:val="18"/>
                <w:szCs w:val="18"/>
                <w:lang w:eastAsia="sl-SI"/>
              </w:rPr>
              <w:t>,</w:t>
            </w:r>
            <w:r w:rsidRPr="00AB512D">
              <w:rPr>
                <w:rFonts w:ascii="Calibri" w:eastAsia="Times New Roman" w:hAnsi="Calibri" w:cs="Arial"/>
                <w:color w:val="000000"/>
                <w:sz w:val="18"/>
                <w:szCs w:val="18"/>
                <w:lang w:eastAsia="sl-SI"/>
              </w:rPr>
              <w:t xml:space="preserve"> in prevoda standarda za avtomatično izmenjavo informacij o finančnih računih (CRS).</w:t>
            </w:r>
          </w:p>
        </w:tc>
        <w:tc>
          <w:tcPr>
            <w:tcW w:w="1946" w:type="dxa"/>
            <w:shd w:val="clear" w:color="auto" w:fill="auto"/>
            <w:hideMark/>
          </w:tcPr>
          <w:p w14:paraId="1448C4F1" w14:textId="77777777" w:rsidR="00393758"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F2" w14:textId="77777777" w:rsidR="00F85ADF" w:rsidRPr="00AB512D" w:rsidRDefault="00393758"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tc>
        <w:tc>
          <w:tcPr>
            <w:tcW w:w="5220" w:type="dxa"/>
            <w:shd w:val="clear" w:color="auto" w:fill="auto"/>
            <w:hideMark/>
          </w:tcPr>
          <w:p w14:paraId="1448C4F3" w14:textId="77777777" w:rsidR="00393758" w:rsidRDefault="00393758" w:rsidP="002655FC">
            <w:pPr>
              <w:spacing w:after="0"/>
              <w:rPr>
                <w:rFonts w:ascii="Calibri" w:eastAsia="Times New Roman" w:hAnsi="Calibri" w:cs="Arial"/>
                <w:b/>
                <w:bCs/>
                <w:color w:val="000000"/>
                <w:sz w:val="18"/>
                <w:szCs w:val="18"/>
                <w:lang w:eastAsia="sl-SI"/>
              </w:rPr>
            </w:pPr>
          </w:p>
          <w:p w14:paraId="1448C4F4"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 </w:t>
            </w:r>
            <w:r w:rsidR="00393758" w:rsidRPr="00AB512D">
              <w:rPr>
                <w:rFonts w:ascii="Calibri" w:eastAsia="Times New Roman" w:hAnsi="Calibri" w:cs="Arial"/>
                <w:color w:val="000000"/>
                <w:sz w:val="18"/>
                <w:szCs w:val="18"/>
                <w:lang w:eastAsia="sl-SI"/>
              </w:rPr>
              <w:t>S podzakonskim aktom - Pravilnikom o dopolnitvah Pravilnika o izvajanju Zakona o davčnem postopku bo določen način in oblika sporočanja informacij za finančne institucije predvidoma junija 2016.</w:t>
            </w:r>
          </w:p>
          <w:p w14:paraId="1448C4F5" w14:textId="77777777" w:rsidR="00F416B7" w:rsidRDefault="00F416B7" w:rsidP="002655FC">
            <w:pPr>
              <w:spacing w:after="0"/>
              <w:rPr>
                <w:rFonts w:ascii="Calibri" w:eastAsia="Times New Roman" w:hAnsi="Calibri" w:cs="Arial"/>
                <w:color w:val="000000"/>
                <w:sz w:val="18"/>
                <w:szCs w:val="18"/>
                <w:lang w:eastAsia="sl-SI"/>
              </w:rPr>
            </w:pPr>
          </w:p>
          <w:p w14:paraId="1448C4F6" w14:textId="77777777" w:rsidR="00F416B7" w:rsidRPr="00AB512D" w:rsidRDefault="00F416B7"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xml:space="preserve">Uradnega prevoda komentarja CRS ne bo, saj je </w:t>
            </w:r>
            <w:r>
              <w:rPr>
                <w:rFonts w:ascii="Calibri" w:eastAsia="Times New Roman" w:hAnsi="Calibri" w:cs="Arial"/>
                <w:color w:val="000000"/>
                <w:sz w:val="18"/>
                <w:szCs w:val="18"/>
                <w:lang w:eastAsia="sl-SI"/>
              </w:rPr>
              <w:t xml:space="preserve">ta </w:t>
            </w:r>
            <w:r w:rsidRPr="00AB512D">
              <w:rPr>
                <w:rFonts w:ascii="Calibri" w:eastAsia="Times New Roman" w:hAnsi="Calibri" w:cs="Arial"/>
                <w:color w:val="000000"/>
                <w:sz w:val="18"/>
                <w:szCs w:val="18"/>
                <w:lang w:eastAsia="sl-SI"/>
              </w:rPr>
              <w:t>prenesen v Direktivo 2014/10//EU.</w:t>
            </w:r>
          </w:p>
        </w:tc>
      </w:tr>
      <w:tr w:rsidR="00F85ADF" w:rsidRPr="00AB512D" w14:paraId="1448C500" w14:textId="77777777" w:rsidTr="00EC73AA">
        <w:trPr>
          <w:trHeight w:val="4080"/>
        </w:trPr>
        <w:tc>
          <w:tcPr>
            <w:tcW w:w="1600" w:type="dxa"/>
            <w:shd w:val="clear" w:color="auto" w:fill="auto"/>
            <w:hideMark/>
          </w:tcPr>
          <w:p w14:paraId="1448C4F8" w14:textId="77777777" w:rsidR="00F85ADF" w:rsidRPr="00D53EAB" w:rsidRDefault="00D53EAB" w:rsidP="00D53EAB">
            <w:pPr>
              <w:spacing w:after="0"/>
              <w:jc w:val="left"/>
              <w:rPr>
                <w:rFonts w:ascii="Calibri" w:eastAsia="Times New Roman" w:hAnsi="Calibri" w:cs="Arial"/>
                <w:b/>
                <w:color w:val="000000"/>
                <w:sz w:val="20"/>
                <w:szCs w:val="20"/>
                <w:lang w:eastAsia="sl-SI"/>
              </w:rPr>
            </w:pPr>
            <w:r w:rsidRPr="00D53EAB">
              <w:rPr>
                <w:rFonts w:ascii="Calibri" w:eastAsia="Times New Roman" w:hAnsi="Calibri" w:cs="Arial"/>
                <w:b/>
                <w:color w:val="000000"/>
                <w:sz w:val="20"/>
                <w:szCs w:val="20"/>
                <w:lang w:eastAsia="sl-SI"/>
              </w:rPr>
              <w:lastRenderedPageBreak/>
              <w:t>Skupnost občin Slovenije in Združenje mestnih občin Slovenije</w:t>
            </w:r>
          </w:p>
        </w:tc>
        <w:tc>
          <w:tcPr>
            <w:tcW w:w="4794" w:type="dxa"/>
            <w:shd w:val="clear" w:color="auto" w:fill="auto"/>
            <w:hideMark/>
          </w:tcPr>
          <w:p w14:paraId="1448C4F9" w14:textId="77777777" w:rsidR="00D53EAB" w:rsidRDefault="00D53EA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K 7. členu (50. člen ZDavP-2)</w:t>
            </w:r>
          </w:p>
          <w:p w14:paraId="1448C4FA"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Pripomba glede mejnega zneska, pod katerim se dajatve ne odmeri.</w:t>
            </w:r>
          </w:p>
        </w:tc>
        <w:tc>
          <w:tcPr>
            <w:tcW w:w="1946" w:type="dxa"/>
            <w:shd w:val="clear" w:color="auto" w:fill="auto"/>
            <w:hideMark/>
          </w:tcPr>
          <w:p w14:paraId="1448C4FB" w14:textId="77777777" w:rsidR="00D53EAB" w:rsidRDefault="00D53EAB" w:rsidP="003C473C">
            <w:pPr>
              <w:spacing w:after="0"/>
              <w:jc w:val="left"/>
              <w:rPr>
                <w:rFonts w:ascii="Calibri" w:eastAsia="Times New Roman" w:hAnsi="Calibri" w:cs="Arial"/>
                <w:color w:val="000000"/>
                <w:sz w:val="18"/>
                <w:szCs w:val="18"/>
                <w:lang w:eastAsia="sl-SI"/>
              </w:rPr>
            </w:pPr>
          </w:p>
          <w:p w14:paraId="1448C4FC"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shd w:val="clear" w:color="auto" w:fill="auto"/>
            <w:hideMark/>
          </w:tcPr>
          <w:p w14:paraId="1448C4FD"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Pri presoji za določitev mejnega zneska, pod katerim se dajatve ne odmeri, je treba izhajati tako iz merila razumne obremenitve davčnega organa kot tudi in predvsem razumne obremenitve zavezanca. Prag za dajatve, ki so prihodek občin, se zato določa v znesku, ki ga je kot najnižji možni znesek še smiselno odmeriti in je nižji od mejnega zneska, ki velja za prihodke države. Torej se je pri tem že upoštevala specifika večine dajatev, ki so prihodek občin in se pogosto odmerjajo v zelo majhnih zneskih. Večinoma gre tudi za dajatve, ki v prihodkih občin predstavljajo relativno majhen delež (davek od premoženja, davek na promet nepremičnin, davek na dediščine in darila, pristojbina za vzdrževanje gozdnih cest …). Izjemoma znatnejši prihodek predstavlja nadomestilo za uporabo stavbnih zemljišč-NUSZ, kjer pa problematika zelo majhnih zneskov odmere ni tako pereča. Zato se ocenjuje, da je predlagana rešitev primerna in opravičljiva. </w:t>
            </w:r>
          </w:p>
          <w:p w14:paraId="1448C4FE" w14:textId="77777777" w:rsidR="00D53EAB" w:rsidRDefault="00D53EAB" w:rsidP="002655FC">
            <w:pPr>
              <w:spacing w:after="0"/>
              <w:rPr>
                <w:rFonts w:ascii="Calibri" w:eastAsia="Times New Roman" w:hAnsi="Calibri" w:cs="Arial"/>
                <w:color w:val="000000"/>
                <w:sz w:val="18"/>
                <w:szCs w:val="18"/>
                <w:lang w:eastAsia="sl-SI"/>
              </w:rPr>
            </w:pPr>
          </w:p>
          <w:p w14:paraId="1448C4FF" w14:textId="77777777" w:rsidR="00D53EAB" w:rsidRPr="00AB512D" w:rsidRDefault="00D53EAB"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Glede predloga za ureditev sistema na način, da bodo davek plačevali vsi ki so zato zavezani in razumevanja, da se predlog nanaša predvsem na davek od premoženja, pa pojasnjujemo, da se z enako problematiko (nepopolne evidence) srečujemo tudi pri odmeri NUSZ. Obenem povzemamo, da je Ustavno sodišče ob razveljavitvi Zakona o davku na nepremičnine pravne podlage za odmero davka od premoženja in NUSZ le vrnilo v uporabo, zato vanje ni mogoče posegati oz. določb ni mogoče spreminjati. Prava rešitev za navedeno problematiko je po mnenju MF čimprejšnja uvedba enotnega davka na nepremičnine, ki bi se navezoval na celovite nepremičninske evidence, ki jih je država že vzpostavila. Ob tem bi bilo mogoče smiselno uveljaviti tudi rešitve, s katerimi bi se spodbujalo gospodarstvo in podjetništvo, kot predlagate.    </w:t>
            </w:r>
          </w:p>
        </w:tc>
      </w:tr>
      <w:tr w:rsidR="00F85ADF" w:rsidRPr="00AB512D" w14:paraId="1448C507" w14:textId="77777777" w:rsidTr="00EC73AA">
        <w:trPr>
          <w:trHeight w:val="1200"/>
        </w:trPr>
        <w:tc>
          <w:tcPr>
            <w:tcW w:w="1600" w:type="dxa"/>
            <w:shd w:val="clear" w:color="auto" w:fill="auto"/>
            <w:hideMark/>
          </w:tcPr>
          <w:p w14:paraId="1448C501"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502" w14:textId="77777777" w:rsidR="00D53EAB" w:rsidRDefault="00D53EA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Enakopravna obravnava davčnih zavezancev</w:t>
            </w:r>
          </w:p>
          <w:p w14:paraId="1448C503"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spremembe zakonodaje, ki se nanaša na odmero davkov, da se zagotovi pravičen in enoten sistem, po katerem bi davek plačevali vsi, ki so za to zavezani in da bi bili vsi državljani obravnavani enako.</w:t>
            </w:r>
          </w:p>
        </w:tc>
        <w:tc>
          <w:tcPr>
            <w:tcW w:w="1946" w:type="dxa"/>
            <w:shd w:val="clear" w:color="auto" w:fill="auto"/>
            <w:hideMark/>
          </w:tcPr>
          <w:p w14:paraId="1448C504" w14:textId="77777777" w:rsidR="00D53EAB"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505" w14:textId="77777777" w:rsidR="00F85ADF" w:rsidRPr="00AB512D" w:rsidRDefault="00D53EA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 – gre za splošen predlog, ne konkretno pripombo na ZDavP-2I</w:t>
            </w:r>
            <w:r>
              <w:rPr>
                <w:rFonts w:ascii="Calibri" w:eastAsia="Times New Roman" w:hAnsi="Calibri" w:cs="Arial"/>
                <w:color w:val="000000"/>
                <w:sz w:val="18"/>
                <w:szCs w:val="18"/>
                <w:lang w:eastAsia="sl-SI"/>
              </w:rPr>
              <w:t>.</w:t>
            </w:r>
          </w:p>
        </w:tc>
        <w:tc>
          <w:tcPr>
            <w:tcW w:w="5220" w:type="dxa"/>
            <w:shd w:val="clear" w:color="auto" w:fill="auto"/>
            <w:hideMark/>
          </w:tcPr>
          <w:p w14:paraId="1448C506" w14:textId="77777777" w:rsidR="00F85ADF" w:rsidRPr="00AB512D" w:rsidRDefault="00F85ADF" w:rsidP="003C473C">
            <w:pPr>
              <w:spacing w:after="0"/>
              <w:jc w:val="left"/>
              <w:rPr>
                <w:rFonts w:eastAsia="Times New Roman" w:cs="Arial"/>
                <w:color w:val="000000"/>
                <w:sz w:val="18"/>
                <w:szCs w:val="18"/>
                <w:lang w:eastAsia="sl-SI"/>
              </w:rPr>
            </w:pPr>
            <w:r w:rsidRPr="00AB512D">
              <w:rPr>
                <w:rFonts w:eastAsia="Times New Roman" w:cs="Arial"/>
                <w:color w:val="000000"/>
                <w:sz w:val="18"/>
                <w:szCs w:val="18"/>
                <w:lang w:eastAsia="sl-SI"/>
              </w:rPr>
              <w:t> </w:t>
            </w:r>
          </w:p>
        </w:tc>
      </w:tr>
      <w:tr w:rsidR="00F85ADF" w:rsidRPr="00AB512D" w14:paraId="1448C50D" w14:textId="77777777" w:rsidTr="00EC73AA">
        <w:trPr>
          <w:trHeight w:val="285"/>
        </w:trPr>
        <w:tc>
          <w:tcPr>
            <w:tcW w:w="1600" w:type="dxa"/>
            <w:shd w:val="clear" w:color="auto" w:fill="auto"/>
            <w:hideMark/>
          </w:tcPr>
          <w:p w14:paraId="1448C508"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509"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Spodbude za gospodarstvo in podjetništvo</w:t>
            </w:r>
          </w:p>
          <w:p w14:paraId="1448C50A" w14:textId="77777777" w:rsidR="00D53EAB" w:rsidRPr="00AB512D" w:rsidRDefault="00D53EAB"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spremljanja pozitivnih učinkih zakonodaje in dajanja spodbud pri odmeri davkov za novogradnje ali preureditve obstoječih objektov v primeru vzpostavitve novih podjetij, ki bodo zaposlovala oz. ustvarjala nova delovna mesta.</w:t>
            </w:r>
          </w:p>
        </w:tc>
        <w:tc>
          <w:tcPr>
            <w:tcW w:w="1946" w:type="dxa"/>
            <w:shd w:val="clear" w:color="auto" w:fill="auto"/>
            <w:hideMark/>
          </w:tcPr>
          <w:p w14:paraId="1448C50B" w14:textId="77777777" w:rsidR="00F85ADF" w:rsidRPr="00AB512D" w:rsidRDefault="00F85ADF" w:rsidP="003C473C">
            <w:pPr>
              <w:spacing w:after="0"/>
              <w:jc w:val="left"/>
              <w:rPr>
                <w:rFonts w:ascii="Calibri" w:eastAsia="Times New Roman" w:hAnsi="Calibri" w:cs="Arial"/>
                <w:color w:val="FF0000"/>
                <w:sz w:val="18"/>
                <w:szCs w:val="18"/>
                <w:lang w:eastAsia="sl-SI"/>
              </w:rPr>
            </w:pPr>
            <w:r w:rsidRPr="00AB512D">
              <w:rPr>
                <w:rFonts w:ascii="Calibri" w:eastAsia="Times New Roman" w:hAnsi="Calibri" w:cs="Arial"/>
                <w:color w:val="FF0000"/>
                <w:sz w:val="18"/>
                <w:szCs w:val="18"/>
                <w:lang w:eastAsia="sl-SI"/>
              </w:rPr>
              <w:t> </w:t>
            </w:r>
            <w:r w:rsidR="00D53EAB" w:rsidRPr="00AB512D">
              <w:rPr>
                <w:rFonts w:ascii="Calibri" w:eastAsia="Times New Roman" w:hAnsi="Calibri" w:cs="Arial"/>
                <w:color w:val="000000"/>
                <w:sz w:val="18"/>
                <w:szCs w:val="18"/>
                <w:lang w:eastAsia="sl-SI"/>
              </w:rPr>
              <w:t>NE – gre za splošen predlog, ne konkretno pripombo na ZDavP-2I</w:t>
            </w:r>
            <w:r w:rsidR="00D53EAB">
              <w:rPr>
                <w:rFonts w:ascii="Calibri" w:eastAsia="Times New Roman" w:hAnsi="Calibri" w:cs="Arial"/>
                <w:color w:val="000000"/>
                <w:sz w:val="18"/>
                <w:szCs w:val="18"/>
                <w:lang w:eastAsia="sl-SI"/>
              </w:rPr>
              <w:t>.</w:t>
            </w:r>
          </w:p>
        </w:tc>
        <w:tc>
          <w:tcPr>
            <w:tcW w:w="5220" w:type="dxa"/>
            <w:shd w:val="clear" w:color="auto" w:fill="auto"/>
            <w:hideMark/>
          </w:tcPr>
          <w:p w14:paraId="1448C50C" w14:textId="77777777" w:rsidR="00F85ADF" w:rsidRPr="00AB512D" w:rsidRDefault="00F85ADF" w:rsidP="003C473C">
            <w:pPr>
              <w:spacing w:after="0"/>
              <w:jc w:val="left"/>
              <w:rPr>
                <w:rFonts w:eastAsia="Times New Roman" w:cs="Arial"/>
                <w:color w:val="000000"/>
                <w:sz w:val="18"/>
                <w:szCs w:val="18"/>
                <w:lang w:eastAsia="sl-SI"/>
              </w:rPr>
            </w:pPr>
            <w:r w:rsidRPr="00AB512D">
              <w:rPr>
                <w:rFonts w:eastAsia="Times New Roman" w:cs="Arial"/>
                <w:color w:val="000000"/>
                <w:sz w:val="18"/>
                <w:szCs w:val="18"/>
                <w:lang w:eastAsia="sl-SI"/>
              </w:rPr>
              <w:t> </w:t>
            </w:r>
          </w:p>
        </w:tc>
      </w:tr>
      <w:tr w:rsidR="00F85ADF" w:rsidRPr="00AB512D" w14:paraId="1448C518" w14:textId="77777777" w:rsidTr="00EC73AA">
        <w:trPr>
          <w:trHeight w:val="2640"/>
        </w:trPr>
        <w:tc>
          <w:tcPr>
            <w:tcW w:w="1600" w:type="dxa"/>
            <w:shd w:val="clear" w:color="auto" w:fill="auto"/>
            <w:hideMark/>
          </w:tcPr>
          <w:p w14:paraId="1448C50E"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lastRenderedPageBreak/>
              <w:t> </w:t>
            </w:r>
            <w:r w:rsidR="00D53EAB" w:rsidRPr="00D53EAB">
              <w:rPr>
                <w:rFonts w:ascii="Calibri" w:eastAsia="Times New Roman" w:hAnsi="Calibri" w:cs="Arial"/>
                <w:b/>
                <w:bCs/>
                <w:color w:val="000000"/>
                <w:sz w:val="20"/>
                <w:szCs w:val="20"/>
                <w:lang w:eastAsia="sl-SI"/>
              </w:rPr>
              <w:t>Obrtno-podjetniška zbornica Slovenije</w:t>
            </w:r>
          </w:p>
        </w:tc>
        <w:tc>
          <w:tcPr>
            <w:tcW w:w="4794" w:type="dxa"/>
            <w:shd w:val="clear" w:color="auto" w:fill="auto"/>
            <w:hideMark/>
          </w:tcPr>
          <w:p w14:paraId="1448C50F" w14:textId="77777777" w:rsidR="00D53EAB" w:rsidRDefault="00D53EA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K 3. členu (13. člen ZDavP-2)</w:t>
            </w:r>
          </w:p>
          <w:p w14:paraId="1448C510"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preučitve možne rešitve glede možnosti sodelovanja zunanjih strokovnjakov, predvsem z davčno-pravnim znanjem, pri oblikovanju navodil in pojasnil za zagotovitev enotne uporabe predpisov.</w:t>
            </w:r>
            <w:r w:rsidRPr="00AB512D">
              <w:rPr>
                <w:rFonts w:ascii="Calibri" w:eastAsia="Times New Roman" w:hAnsi="Calibri" w:cs="Arial"/>
                <w:color w:val="000000"/>
                <w:sz w:val="18"/>
                <w:szCs w:val="18"/>
                <w:u w:val="single"/>
                <w:lang w:eastAsia="sl-SI"/>
              </w:rPr>
              <w:t xml:space="preserve"> </w:t>
            </w:r>
          </w:p>
        </w:tc>
        <w:tc>
          <w:tcPr>
            <w:tcW w:w="1946" w:type="dxa"/>
            <w:shd w:val="clear" w:color="auto" w:fill="auto"/>
            <w:hideMark/>
          </w:tcPr>
          <w:p w14:paraId="1448C511" w14:textId="77777777" w:rsidR="00D53EAB" w:rsidRDefault="00D53EAB" w:rsidP="003C473C">
            <w:pPr>
              <w:spacing w:after="0"/>
              <w:jc w:val="left"/>
              <w:rPr>
                <w:rFonts w:ascii="Calibri" w:eastAsia="Times New Roman" w:hAnsi="Calibri" w:cs="Arial"/>
                <w:color w:val="000000"/>
                <w:sz w:val="18"/>
                <w:szCs w:val="18"/>
                <w:lang w:eastAsia="sl-SI"/>
              </w:rPr>
            </w:pPr>
          </w:p>
          <w:p w14:paraId="1448C512"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shd w:val="clear" w:color="auto" w:fill="auto"/>
            <w:hideMark/>
          </w:tcPr>
          <w:p w14:paraId="1448C513"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Navodila, ki jih nadrejeni upravni organ oblikuje za usmerjanje delovanja nižjih upravnih organov, nimajo neposrednega (zunanjega) učinka nasproti tretjim osebam, zato tretja oseba zoper njih tudi ni upravičena sprožiti pravnega varstva. Gre torej za akte uprave z internim učinkovanjem, ki so izdani s strani pristojnega upravnega organa in so namenjeni usmerjanju delovanja podrejenega organa (povzeto po: Upravno procesno pravo: upravni postopek in upravni spor/Vilko androjna, Erik Kerševan. – Predelana in dopolnjena izd. – Ljubljana: GV Založba, 2006, str. 116, 117). </w:t>
            </w:r>
          </w:p>
          <w:p w14:paraId="1448C514" w14:textId="77777777" w:rsidR="00D53EAB" w:rsidRDefault="00D53EAB" w:rsidP="002655FC">
            <w:pPr>
              <w:spacing w:after="0"/>
              <w:rPr>
                <w:rFonts w:ascii="Calibri" w:eastAsia="Times New Roman" w:hAnsi="Calibri" w:cs="Arial"/>
                <w:color w:val="000000"/>
                <w:sz w:val="18"/>
                <w:szCs w:val="18"/>
                <w:lang w:eastAsia="sl-SI"/>
              </w:rPr>
            </w:pPr>
          </w:p>
          <w:p w14:paraId="1448C515" w14:textId="77777777" w:rsidR="00D53EAB" w:rsidRDefault="00D53EAB"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Sicer pa je v skladu z določbami ZDavP-2 davčni organ v davčnem postopku zavezan načelu zakonitosti in mora odločati v okviru in na podlagi mednarodnih pogodb, ki obvezujejo Republiko Slovenijo, zakonov in splošnih aktov po ZDavP-2, ZFU ali zakonu o obdavčenju, prav tako pa davčni organ tudi ne sme postopati pristransko</w:t>
            </w:r>
            <w:r>
              <w:rPr>
                <w:rFonts w:ascii="Calibri" w:eastAsia="Times New Roman" w:hAnsi="Calibri" w:cs="Arial"/>
                <w:color w:val="000000"/>
                <w:sz w:val="18"/>
                <w:szCs w:val="18"/>
                <w:lang w:eastAsia="sl-SI"/>
              </w:rPr>
              <w:t>.</w:t>
            </w:r>
          </w:p>
          <w:p w14:paraId="1448C516" w14:textId="77777777" w:rsidR="00D53EAB" w:rsidRDefault="00D53EAB" w:rsidP="002655FC">
            <w:pPr>
              <w:spacing w:after="0"/>
              <w:rPr>
                <w:rFonts w:ascii="Calibri" w:eastAsia="Times New Roman" w:hAnsi="Calibri" w:cs="Arial"/>
                <w:color w:val="000000"/>
                <w:sz w:val="18"/>
                <w:szCs w:val="18"/>
                <w:lang w:eastAsia="sl-SI"/>
              </w:rPr>
            </w:pPr>
          </w:p>
          <w:p w14:paraId="1448C517" w14:textId="77777777" w:rsidR="00D53EAB" w:rsidRPr="00AB512D" w:rsidRDefault="00D53EAB"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V kolikor davčni zavezanec meni, da davčni organ v konkretnem primeru ni ravnal zakonito, so v ta namen predvidena pravna sredstva zoper konkretni upravni akt (odločbo, sklep).</w:t>
            </w:r>
          </w:p>
        </w:tc>
      </w:tr>
      <w:tr w:rsidR="00D53EAB" w:rsidRPr="00AB512D" w14:paraId="1448C51F" w14:textId="77777777" w:rsidTr="00EC73AA">
        <w:trPr>
          <w:trHeight w:val="2640"/>
        </w:trPr>
        <w:tc>
          <w:tcPr>
            <w:tcW w:w="1600" w:type="dxa"/>
            <w:shd w:val="clear" w:color="auto" w:fill="auto"/>
          </w:tcPr>
          <w:p w14:paraId="1448C519" w14:textId="77777777" w:rsidR="00D53EAB" w:rsidRPr="00AB512D" w:rsidRDefault="00D53EAB" w:rsidP="003C473C">
            <w:pPr>
              <w:spacing w:after="0"/>
              <w:jc w:val="left"/>
              <w:rPr>
                <w:rFonts w:ascii="Calibri" w:eastAsia="Times New Roman" w:hAnsi="Calibri" w:cs="Arial"/>
                <w:b/>
                <w:bCs/>
                <w:color w:val="000000"/>
                <w:sz w:val="18"/>
                <w:szCs w:val="18"/>
                <w:lang w:eastAsia="sl-SI"/>
              </w:rPr>
            </w:pPr>
          </w:p>
        </w:tc>
        <w:tc>
          <w:tcPr>
            <w:tcW w:w="4794" w:type="dxa"/>
            <w:shd w:val="clear" w:color="auto" w:fill="auto"/>
          </w:tcPr>
          <w:p w14:paraId="1448C51A" w14:textId="77777777" w:rsidR="00D53EAB" w:rsidRDefault="00D53EAB"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25. členu (130. člen ZDavP-2)</w:t>
            </w:r>
          </w:p>
          <w:p w14:paraId="1448C51B" w14:textId="77777777" w:rsidR="00D53EAB" w:rsidRPr="00AB512D" w:rsidRDefault="00D53EAB"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glede podaljšanja rok za pripombe na zapisnik zaradi neenakega položaj</w:t>
            </w:r>
            <w:r>
              <w:rPr>
                <w:rFonts w:ascii="Calibri" w:eastAsia="Times New Roman" w:hAnsi="Calibri" w:cs="Arial"/>
                <w:color w:val="000000"/>
                <w:sz w:val="18"/>
                <w:szCs w:val="18"/>
                <w:lang w:eastAsia="sl-SI"/>
              </w:rPr>
              <w:t>a</w:t>
            </w:r>
            <w:r w:rsidRPr="00AB512D">
              <w:rPr>
                <w:rFonts w:ascii="Calibri" w:eastAsia="Times New Roman" w:hAnsi="Calibri" w:cs="Arial"/>
                <w:color w:val="000000"/>
                <w:sz w:val="18"/>
                <w:szCs w:val="18"/>
                <w:lang w:eastAsia="sl-SI"/>
              </w:rPr>
              <w:t xml:space="preserve"> zavezanca in davčnega organa.</w:t>
            </w:r>
          </w:p>
        </w:tc>
        <w:tc>
          <w:tcPr>
            <w:tcW w:w="1946" w:type="dxa"/>
            <w:shd w:val="clear" w:color="auto" w:fill="auto"/>
          </w:tcPr>
          <w:p w14:paraId="1448C51C" w14:textId="77777777" w:rsidR="00D53EAB" w:rsidRDefault="00D53EAB" w:rsidP="003C473C">
            <w:pPr>
              <w:spacing w:after="0"/>
              <w:jc w:val="left"/>
              <w:rPr>
                <w:rFonts w:ascii="Calibri" w:eastAsia="Times New Roman" w:hAnsi="Calibri" w:cs="Arial"/>
                <w:color w:val="000000"/>
                <w:sz w:val="18"/>
                <w:szCs w:val="18"/>
                <w:lang w:eastAsia="sl-SI"/>
              </w:rPr>
            </w:pPr>
          </w:p>
          <w:p w14:paraId="1448C51D" w14:textId="77777777" w:rsidR="00D53EAB" w:rsidRDefault="00D53EA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 – dodali smo možnost podaljšanja roka za pripombe</w:t>
            </w:r>
            <w:r>
              <w:rPr>
                <w:rFonts w:ascii="Calibri" w:eastAsia="Times New Roman" w:hAnsi="Calibri" w:cs="Arial"/>
                <w:color w:val="000000"/>
                <w:sz w:val="18"/>
                <w:szCs w:val="18"/>
                <w:lang w:eastAsia="sl-SI"/>
              </w:rPr>
              <w:t>.</w:t>
            </w:r>
          </w:p>
        </w:tc>
        <w:tc>
          <w:tcPr>
            <w:tcW w:w="5220" w:type="dxa"/>
            <w:shd w:val="clear" w:color="auto" w:fill="auto"/>
          </w:tcPr>
          <w:p w14:paraId="1448C51E" w14:textId="77777777" w:rsidR="00D53EAB" w:rsidRPr="00AB512D" w:rsidRDefault="00D53EAB" w:rsidP="003C473C">
            <w:pPr>
              <w:spacing w:after="0"/>
              <w:jc w:val="left"/>
              <w:rPr>
                <w:rFonts w:ascii="Calibri" w:eastAsia="Times New Roman" w:hAnsi="Calibri" w:cs="Arial"/>
                <w:color w:val="000000"/>
                <w:sz w:val="18"/>
                <w:szCs w:val="18"/>
                <w:lang w:eastAsia="sl-SI"/>
              </w:rPr>
            </w:pPr>
          </w:p>
        </w:tc>
      </w:tr>
      <w:tr w:rsidR="00F85ADF" w:rsidRPr="00AB512D" w14:paraId="1448C526" w14:textId="77777777" w:rsidTr="00EC73AA">
        <w:trPr>
          <w:trHeight w:val="285"/>
        </w:trPr>
        <w:tc>
          <w:tcPr>
            <w:tcW w:w="1600" w:type="dxa"/>
            <w:shd w:val="clear" w:color="auto" w:fill="auto"/>
            <w:hideMark/>
          </w:tcPr>
          <w:p w14:paraId="1448C520"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c>
          <w:tcPr>
            <w:tcW w:w="4794" w:type="dxa"/>
            <w:shd w:val="clear" w:color="auto" w:fill="auto"/>
            <w:hideMark/>
          </w:tcPr>
          <w:p w14:paraId="1448C521"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28. členu (138. člen ZDavP-2)</w:t>
            </w:r>
          </w:p>
          <w:p w14:paraId="1448C522" w14:textId="77777777" w:rsidR="00D53EAB" w:rsidRPr="00AB512D" w:rsidRDefault="00D53EAB" w:rsidP="002655F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glede sodelovanja zavezanca za davek pri ugotavljanju dejanskega stanja, pomembnega za obdavčitev.</w:t>
            </w:r>
          </w:p>
        </w:tc>
        <w:tc>
          <w:tcPr>
            <w:tcW w:w="1946" w:type="dxa"/>
            <w:shd w:val="clear" w:color="auto" w:fill="auto"/>
            <w:hideMark/>
          </w:tcPr>
          <w:p w14:paraId="1448C523" w14:textId="77777777" w:rsidR="00D53EAB" w:rsidRDefault="00D53EAB" w:rsidP="003C473C">
            <w:pPr>
              <w:spacing w:after="0"/>
              <w:jc w:val="left"/>
              <w:rPr>
                <w:rFonts w:ascii="Calibri" w:eastAsia="Times New Roman" w:hAnsi="Calibri" w:cs="Arial"/>
                <w:color w:val="000000"/>
                <w:sz w:val="18"/>
                <w:szCs w:val="18"/>
                <w:lang w:eastAsia="sl-SI"/>
              </w:rPr>
            </w:pPr>
          </w:p>
          <w:p w14:paraId="1448C524"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shd w:val="clear" w:color="auto" w:fill="auto"/>
            <w:hideMark/>
          </w:tcPr>
          <w:p w14:paraId="1448C525" w14:textId="77777777" w:rsidR="00F85ADF" w:rsidRPr="00AB512D" w:rsidRDefault="00D53EAB" w:rsidP="002655FC">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Sodelovanje zavezanca za davek v postopku davčnega inšpekcijskega nadzora je lahko zavezancu kvečjemu v korist. Sicer pa je obveznost dajanja podatkov urejena tudi v 39. členu ZDavP-2.</w:t>
            </w:r>
          </w:p>
        </w:tc>
      </w:tr>
      <w:tr w:rsidR="00F85ADF" w:rsidRPr="00AB512D" w14:paraId="1448C52E" w14:textId="77777777" w:rsidTr="00EC73AA">
        <w:trPr>
          <w:trHeight w:val="975"/>
        </w:trPr>
        <w:tc>
          <w:tcPr>
            <w:tcW w:w="1600" w:type="dxa"/>
            <w:shd w:val="clear" w:color="auto" w:fill="auto"/>
            <w:hideMark/>
          </w:tcPr>
          <w:p w14:paraId="1448C527"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c>
          <w:tcPr>
            <w:tcW w:w="4794" w:type="dxa"/>
            <w:shd w:val="clear" w:color="auto" w:fill="auto"/>
            <w:hideMark/>
          </w:tcPr>
          <w:p w14:paraId="1448C528" w14:textId="77777777" w:rsidR="00D53EAB" w:rsidRDefault="00D53EA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K 74. členu (398.b člen ZDavP-2)</w:t>
            </w:r>
          </w:p>
          <w:p w14:paraId="1448C529"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Predlog glede višine kazni  - upoštevanje odločb Ustavnega sodišča RS, v katerih je večkrat opozorjeno, da mora biti predpisana kazen sorazmerna teži prekrška. </w:t>
            </w:r>
          </w:p>
        </w:tc>
        <w:tc>
          <w:tcPr>
            <w:tcW w:w="1946" w:type="dxa"/>
            <w:shd w:val="clear" w:color="auto" w:fill="auto"/>
            <w:hideMark/>
          </w:tcPr>
          <w:p w14:paraId="1448C52A" w14:textId="77777777" w:rsidR="00D53EAB"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52B" w14:textId="77777777" w:rsidR="00F85ADF" w:rsidRPr="00AB512D" w:rsidRDefault="00D53EA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52C" w14:textId="77777777" w:rsidR="00D53EAB" w:rsidRDefault="00D53EAB" w:rsidP="002655FC">
            <w:pPr>
              <w:spacing w:after="0"/>
              <w:rPr>
                <w:rFonts w:eastAsia="Times New Roman" w:cs="Arial"/>
                <w:color w:val="000000"/>
                <w:sz w:val="18"/>
                <w:szCs w:val="18"/>
                <w:lang w:eastAsia="sl-SI"/>
              </w:rPr>
            </w:pPr>
          </w:p>
          <w:p w14:paraId="1448C52D" w14:textId="77777777" w:rsidR="00F85ADF" w:rsidRPr="00AB512D" w:rsidRDefault="00D53EAB" w:rsidP="002655FC">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S predlagano spremembo se sedaj veljavne globe znižujejo. Predlagatelj meni, da so predpisane globe sorazmerne teži prekrška. Prav tako je upoštevan tudi okvir, predpisan v 17. členu ZP-1.</w:t>
            </w:r>
          </w:p>
        </w:tc>
      </w:tr>
      <w:tr w:rsidR="00F85ADF" w:rsidRPr="00AB512D" w14:paraId="1448C536" w14:textId="77777777" w:rsidTr="00EC73AA">
        <w:trPr>
          <w:trHeight w:val="1200"/>
        </w:trPr>
        <w:tc>
          <w:tcPr>
            <w:tcW w:w="1600" w:type="dxa"/>
            <w:shd w:val="clear" w:color="auto" w:fill="auto"/>
            <w:hideMark/>
          </w:tcPr>
          <w:p w14:paraId="1448C52F"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lastRenderedPageBreak/>
              <w:t> </w:t>
            </w:r>
            <w:r w:rsidR="002655FC" w:rsidRPr="00AB512D">
              <w:rPr>
                <w:rFonts w:ascii="Calibri" w:eastAsia="Times New Roman" w:hAnsi="Calibri" w:cs="Arial"/>
                <w:b/>
                <w:bCs/>
                <w:color w:val="000000"/>
                <w:sz w:val="18"/>
                <w:szCs w:val="18"/>
                <w:lang w:eastAsia="sl-SI"/>
              </w:rPr>
              <w:t>Banka Slovenije</w:t>
            </w:r>
          </w:p>
        </w:tc>
        <w:tc>
          <w:tcPr>
            <w:tcW w:w="4794" w:type="dxa"/>
            <w:shd w:val="clear" w:color="auto" w:fill="auto"/>
            <w:hideMark/>
          </w:tcPr>
          <w:p w14:paraId="1448C530" w14:textId="77777777" w:rsidR="002655FC" w:rsidRDefault="002655FC" w:rsidP="003C473C">
            <w:pPr>
              <w:spacing w:after="0"/>
              <w:jc w:val="left"/>
              <w:rPr>
                <w:rFonts w:ascii="Calibri" w:eastAsia="Times New Roman" w:hAnsi="Calibri" w:cs="Arial"/>
                <w:bCs/>
                <w:color w:val="000000"/>
                <w:sz w:val="18"/>
                <w:szCs w:val="18"/>
                <w:lang w:eastAsia="sl-SI"/>
              </w:rPr>
            </w:pPr>
            <w:r w:rsidRPr="00AB512D">
              <w:rPr>
                <w:rFonts w:ascii="Calibri" w:eastAsia="Times New Roman" w:hAnsi="Calibri" w:cs="Arial"/>
                <w:b/>
                <w:bCs/>
                <w:color w:val="000000"/>
                <w:sz w:val="18"/>
                <w:szCs w:val="18"/>
                <w:lang w:eastAsia="sl-SI"/>
              </w:rPr>
              <w:t>K 5. členu (36. člen ZDavP-2)</w:t>
            </w:r>
          </w:p>
          <w:p w14:paraId="1448C531"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2655FC">
              <w:rPr>
                <w:rFonts w:ascii="Calibri" w:eastAsia="Times New Roman" w:hAnsi="Calibri" w:cs="Arial"/>
                <w:bCs/>
                <w:color w:val="000000"/>
                <w:sz w:val="18"/>
                <w:szCs w:val="18"/>
                <w:lang w:eastAsia="sl-SI"/>
              </w:rPr>
              <w:t>Mnenje glede</w:t>
            </w:r>
            <w:r w:rsidRPr="00AB512D">
              <w:rPr>
                <w:rFonts w:ascii="Calibri" w:eastAsia="Times New Roman" w:hAnsi="Calibri" w:cs="Arial"/>
                <w:color w:val="000000"/>
                <w:sz w:val="18"/>
                <w:szCs w:val="18"/>
                <w:lang w:eastAsia="sl-SI"/>
              </w:rPr>
              <w:t xml:space="preserve"> odprave zahteve po odprtju transakcijskega računa in uvedbi zahteve po zagotavljanju sledljivosti plačil, s čimer poslovnim subjektom omogoča, da račune odpirajo tudi pri drugih ponudnikih plačilnih storitev. </w:t>
            </w:r>
          </w:p>
        </w:tc>
        <w:tc>
          <w:tcPr>
            <w:tcW w:w="1946" w:type="dxa"/>
            <w:shd w:val="clear" w:color="auto" w:fill="auto"/>
            <w:hideMark/>
          </w:tcPr>
          <w:p w14:paraId="1448C532" w14:textId="77777777" w:rsidR="002655FC" w:rsidRDefault="002655FC" w:rsidP="003C473C">
            <w:pPr>
              <w:spacing w:after="0"/>
              <w:jc w:val="left"/>
              <w:rPr>
                <w:rFonts w:ascii="Calibri" w:eastAsia="Times New Roman" w:hAnsi="Calibri" w:cs="Arial"/>
                <w:color w:val="000000"/>
                <w:sz w:val="18"/>
                <w:szCs w:val="18"/>
                <w:lang w:eastAsia="sl-SI"/>
              </w:rPr>
            </w:pPr>
          </w:p>
          <w:p w14:paraId="1448C533"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 gre za pripombo</w:t>
            </w:r>
          </w:p>
        </w:tc>
        <w:tc>
          <w:tcPr>
            <w:tcW w:w="5220" w:type="dxa"/>
            <w:shd w:val="clear" w:color="auto" w:fill="auto"/>
            <w:hideMark/>
          </w:tcPr>
          <w:p w14:paraId="1448C534" w14:textId="77777777" w:rsidR="002655FC" w:rsidRDefault="002655FC" w:rsidP="002655FC">
            <w:pPr>
              <w:spacing w:after="0"/>
              <w:rPr>
                <w:rFonts w:ascii="Calibri" w:eastAsia="Times New Roman" w:hAnsi="Calibri" w:cs="Arial"/>
                <w:color w:val="000000"/>
                <w:sz w:val="18"/>
                <w:szCs w:val="18"/>
                <w:lang w:eastAsia="sl-SI"/>
              </w:rPr>
            </w:pPr>
          </w:p>
          <w:p w14:paraId="1448C535"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Predlagano spremembo 36. člena ZDavP-2 smo črtali in ohranili veljavni člen.</w:t>
            </w:r>
          </w:p>
        </w:tc>
      </w:tr>
      <w:tr w:rsidR="00F85ADF" w:rsidRPr="00AB512D" w14:paraId="1448C547" w14:textId="77777777" w:rsidTr="00EC73AA">
        <w:trPr>
          <w:trHeight w:val="285"/>
        </w:trPr>
        <w:tc>
          <w:tcPr>
            <w:tcW w:w="1600" w:type="dxa"/>
            <w:shd w:val="clear" w:color="auto" w:fill="auto"/>
            <w:hideMark/>
          </w:tcPr>
          <w:p w14:paraId="1448C537"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c>
          <w:tcPr>
            <w:tcW w:w="4794" w:type="dxa"/>
            <w:shd w:val="clear" w:color="auto" w:fill="auto"/>
            <w:hideMark/>
          </w:tcPr>
          <w:p w14:paraId="1448C538"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6. členu (37. člen ZDavP-2)</w:t>
            </w:r>
          </w:p>
          <w:p w14:paraId="1448C539" w14:textId="77777777" w:rsidR="002655FC" w:rsidRDefault="002655F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Pripomba glede predlagane ureditve, s katero se odpravlja dvom oz. potreba po razlagi glede dopustnosti odpiranja oz. uporabe bančnih računov zunaj Slovenije, ki bo samostojne podjetnike posameznike in posameznike, ki samostojno opravljajo dejavnost, strožja kot za pravne osebe.</w:t>
            </w:r>
          </w:p>
          <w:p w14:paraId="1448C53A" w14:textId="77777777" w:rsidR="002655FC" w:rsidRDefault="002655FC" w:rsidP="003C473C">
            <w:pPr>
              <w:spacing w:after="0"/>
              <w:jc w:val="left"/>
              <w:rPr>
                <w:rFonts w:ascii="Calibri" w:eastAsia="Times New Roman" w:hAnsi="Calibri" w:cs="Arial"/>
                <w:color w:val="000000"/>
                <w:sz w:val="18"/>
                <w:szCs w:val="18"/>
                <w:lang w:eastAsia="sl-SI"/>
              </w:rPr>
            </w:pPr>
          </w:p>
          <w:p w14:paraId="1448C53B" w14:textId="77777777" w:rsidR="002655FC" w:rsidRDefault="002655FC" w:rsidP="003C473C">
            <w:pPr>
              <w:spacing w:after="0"/>
              <w:jc w:val="left"/>
              <w:rPr>
                <w:rFonts w:ascii="Calibri" w:eastAsia="Times New Roman" w:hAnsi="Calibri" w:cs="Arial"/>
                <w:color w:val="000000"/>
                <w:sz w:val="18"/>
                <w:szCs w:val="18"/>
                <w:lang w:eastAsia="sl-SI"/>
              </w:rPr>
            </w:pPr>
          </w:p>
          <w:p w14:paraId="1448C53C" w14:textId="77777777" w:rsidR="002655FC" w:rsidRDefault="002655FC" w:rsidP="003C473C">
            <w:pPr>
              <w:spacing w:after="0"/>
              <w:jc w:val="left"/>
              <w:rPr>
                <w:rFonts w:ascii="Calibri" w:eastAsia="Times New Roman" w:hAnsi="Calibri" w:cs="Arial"/>
                <w:color w:val="000000"/>
                <w:sz w:val="18"/>
                <w:szCs w:val="18"/>
                <w:lang w:eastAsia="sl-SI"/>
              </w:rPr>
            </w:pPr>
          </w:p>
          <w:p w14:paraId="1448C53D" w14:textId="77777777" w:rsidR="002655FC" w:rsidRDefault="002655FC" w:rsidP="003C473C">
            <w:pPr>
              <w:spacing w:after="0"/>
              <w:jc w:val="left"/>
              <w:rPr>
                <w:rFonts w:ascii="Calibri" w:eastAsia="Times New Roman" w:hAnsi="Calibri" w:cs="Arial"/>
                <w:color w:val="000000"/>
                <w:sz w:val="18"/>
                <w:szCs w:val="18"/>
                <w:lang w:eastAsia="sl-SI"/>
              </w:rPr>
            </w:pPr>
          </w:p>
          <w:p w14:paraId="1448C53E" w14:textId="77777777" w:rsidR="002655FC" w:rsidRDefault="002655FC" w:rsidP="003C473C">
            <w:pPr>
              <w:spacing w:after="0"/>
              <w:jc w:val="left"/>
              <w:rPr>
                <w:rFonts w:ascii="Calibri" w:eastAsia="Times New Roman" w:hAnsi="Calibri" w:cs="Arial"/>
                <w:color w:val="000000"/>
                <w:sz w:val="18"/>
                <w:szCs w:val="18"/>
                <w:lang w:eastAsia="sl-SI"/>
              </w:rPr>
            </w:pPr>
          </w:p>
          <w:p w14:paraId="1448C53F" w14:textId="77777777" w:rsidR="002655FC" w:rsidRDefault="002655FC" w:rsidP="003C473C">
            <w:pPr>
              <w:spacing w:after="0"/>
              <w:jc w:val="left"/>
              <w:rPr>
                <w:rFonts w:ascii="Calibri" w:eastAsia="Times New Roman" w:hAnsi="Calibri" w:cs="Arial"/>
                <w:color w:val="000000"/>
                <w:sz w:val="18"/>
                <w:szCs w:val="18"/>
                <w:lang w:eastAsia="sl-SI"/>
              </w:rPr>
            </w:pPr>
          </w:p>
          <w:p w14:paraId="1448C540" w14:textId="77777777" w:rsidR="002655FC" w:rsidRDefault="002655F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Dodatno opozorilo, da je treba smiselno spremeniti tudi 14.a točko 397. člena ZDavP-2.</w:t>
            </w:r>
          </w:p>
          <w:p w14:paraId="1448C541" w14:textId="77777777" w:rsidR="002655FC" w:rsidRDefault="002655FC" w:rsidP="003C473C">
            <w:pPr>
              <w:spacing w:after="0"/>
              <w:jc w:val="left"/>
              <w:rPr>
                <w:rFonts w:ascii="Calibri" w:eastAsia="Times New Roman" w:hAnsi="Calibri" w:cs="Arial"/>
                <w:color w:val="000000"/>
                <w:sz w:val="18"/>
                <w:szCs w:val="18"/>
                <w:lang w:eastAsia="sl-SI"/>
              </w:rPr>
            </w:pPr>
          </w:p>
          <w:p w14:paraId="1448C542" w14:textId="77777777" w:rsidR="002655FC" w:rsidRPr="00AB512D" w:rsidRDefault="002655FC"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543" w14:textId="009EFBF5" w:rsidR="00F85ADF" w:rsidRDefault="002655F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Določba glede obveznosti objave računa v RTR je črtana oz. je spremenjen tretji odstavek veljavnega 37. člena tako, da se glasi: » (3) Osebe iz 31. člena tega zakona morajo imeti pri ponudniku plačilnih storitev odprt transakcijski račun.«.</w:t>
            </w:r>
          </w:p>
          <w:p w14:paraId="1448C544" w14:textId="77777777" w:rsidR="002655FC" w:rsidRDefault="002655FC" w:rsidP="003C473C">
            <w:pPr>
              <w:spacing w:after="0"/>
              <w:jc w:val="left"/>
              <w:rPr>
                <w:rFonts w:ascii="Calibri" w:eastAsia="Times New Roman" w:hAnsi="Calibri" w:cs="Arial"/>
                <w:color w:val="000000"/>
                <w:sz w:val="18"/>
                <w:szCs w:val="18"/>
                <w:lang w:eastAsia="sl-SI"/>
              </w:rPr>
            </w:pPr>
          </w:p>
          <w:p w14:paraId="1448C545" w14:textId="77777777" w:rsidR="002655FC" w:rsidRPr="00AB512D" w:rsidRDefault="002655FC"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ni več aktualna zaradi spremenjene določbe 37. člena.</w:t>
            </w:r>
          </w:p>
        </w:tc>
        <w:tc>
          <w:tcPr>
            <w:tcW w:w="5220" w:type="dxa"/>
            <w:shd w:val="clear" w:color="auto" w:fill="auto"/>
            <w:hideMark/>
          </w:tcPr>
          <w:p w14:paraId="1448C546"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F85ADF" w:rsidRPr="00AB512D" w14:paraId="1448C556" w14:textId="77777777" w:rsidTr="00EC73AA">
        <w:trPr>
          <w:trHeight w:val="1200"/>
        </w:trPr>
        <w:tc>
          <w:tcPr>
            <w:tcW w:w="1600" w:type="dxa"/>
            <w:shd w:val="clear" w:color="auto" w:fill="auto"/>
            <w:hideMark/>
          </w:tcPr>
          <w:p w14:paraId="1448C548"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c>
          <w:tcPr>
            <w:tcW w:w="4794" w:type="dxa"/>
            <w:shd w:val="clear" w:color="auto" w:fill="auto"/>
            <w:hideMark/>
          </w:tcPr>
          <w:p w14:paraId="1448C549" w14:textId="77777777" w:rsidR="002655FC" w:rsidRDefault="002655F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K 37. členu (nov 160.a člen ZDavP-2)</w:t>
            </w:r>
          </w:p>
          <w:p w14:paraId="1448C54A"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Predlog, da bi se bančni stroški šteli kot izvršilni stroški, ki bi jih moral v predlogu predlagati že upnik (in zagotoviti predujem) ali pa da se oblikuje rešitev za neposredno izplačilo socialnih prejemkov (npr. oblikovanje t.i. socialnih računov).  </w:t>
            </w:r>
          </w:p>
          <w:p w14:paraId="1448C54B" w14:textId="77777777" w:rsidR="002655FC" w:rsidRDefault="002655FC" w:rsidP="003C473C">
            <w:pPr>
              <w:spacing w:after="0"/>
              <w:jc w:val="left"/>
              <w:rPr>
                <w:rFonts w:ascii="Calibri" w:eastAsia="Times New Roman" w:hAnsi="Calibri" w:cs="Arial"/>
                <w:color w:val="000000"/>
                <w:sz w:val="18"/>
                <w:szCs w:val="18"/>
                <w:lang w:eastAsia="sl-SI"/>
              </w:rPr>
            </w:pPr>
          </w:p>
          <w:p w14:paraId="1448C54C" w14:textId="77777777" w:rsidR="002655FC" w:rsidRPr="00AB512D" w:rsidRDefault="002655F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Dodatno opozorilo glede problematike vrstnega reda poplačila obveznosti na podlagi davčnega sklepa o izvršbi v primeru predhodno ustanovljenih zastavnih pravic – razlaga 94. člena ZDavP-2.</w:t>
            </w:r>
          </w:p>
        </w:tc>
        <w:tc>
          <w:tcPr>
            <w:tcW w:w="1946" w:type="dxa"/>
            <w:shd w:val="clear" w:color="auto" w:fill="auto"/>
            <w:hideMark/>
          </w:tcPr>
          <w:p w14:paraId="1448C54D" w14:textId="77777777" w:rsidR="002655FC" w:rsidRDefault="002655FC" w:rsidP="003C473C">
            <w:pPr>
              <w:spacing w:after="0"/>
              <w:jc w:val="left"/>
              <w:rPr>
                <w:rFonts w:ascii="Calibri" w:eastAsia="Times New Roman" w:hAnsi="Calibri" w:cs="Arial"/>
                <w:color w:val="000000"/>
                <w:sz w:val="18"/>
                <w:szCs w:val="18"/>
                <w:lang w:eastAsia="sl-SI"/>
              </w:rPr>
            </w:pPr>
          </w:p>
          <w:p w14:paraId="1448C54E" w14:textId="77777777" w:rsidR="002655FC" w:rsidRDefault="002655F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p w14:paraId="1448C54F" w14:textId="77777777" w:rsidR="002655FC" w:rsidRDefault="002655FC" w:rsidP="003C473C">
            <w:pPr>
              <w:spacing w:after="0"/>
              <w:jc w:val="left"/>
              <w:rPr>
                <w:rFonts w:ascii="Calibri" w:eastAsia="Times New Roman" w:hAnsi="Calibri" w:cs="Arial"/>
                <w:color w:val="000000"/>
                <w:sz w:val="18"/>
                <w:szCs w:val="18"/>
                <w:lang w:eastAsia="sl-SI"/>
              </w:rPr>
            </w:pPr>
          </w:p>
          <w:p w14:paraId="1448C550" w14:textId="77777777" w:rsidR="002655FC" w:rsidRDefault="002655FC" w:rsidP="003C473C">
            <w:pPr>
              <w:spacing w:after="0"/>
              <w:jc w:val="left"/>
              <w:rPr>
                <w:rFonts w:ascii="Calibri" w:eastAsia="Times New Roman" w:hAnsi="Calibri" w:cs="Arial"/>
                <w:color w:val="000000"/>
                <w:sz w:val="18"/>
                <w:szCs w:val="18"/>
                <w:lang w:eastAsia="sl-SI"/>
              </w:rPr>
            </w:pPr>
          </w:p>
          <w:p w14:paraId="1448C551" w14:textId="77777777" w:rsidR="002655FC" w:rsidRDefault="002655FC" w:rsidP="003C473C">
            <w:pPr>
              <w:spacing w:after="0"/>
              <w:jc w:val="left"/>
              <w:rPr>
                <w:rFonts w:ascii="Calibri" w:eastAsia="Times New Roman" w:hAnsi="Calibri" w:cs="Arial"/>
                <w:color w:val="000000"/>
                <w:sz w:val="18"/>
                <w:szCs w:val="18"/>
                <w:lang w:eastAsia="sl-SI"/>
              </w:rPr>
            </w:pPr>
          </w:p>
          <w:p w14:paraId="1448C552" w14:textId="77777777" w:rsidR="002655FC" w:rsidRDefault="002655FC" w:rsidP="003C473C">
            <w:pPr>
              <w:spacing w:after="0"/>
              <w:jc w:val="left"/>
              <w:rPr>
                <w:rFonts w:ascii="Calibri" w:eastAsia="Times New Roman" w:hAnsi="Calibri" w:cs="Arial"/>
                <w:color w:val="000000"/>
                <w:sz w:val="18"/>
                <w:szCs w:val="18"/>
                <w:lang w:eastAsia="sl-SI"/>
              </w:rPr>
            </w:pPr>
          </w:p>
          <w:p w14:paraId="1448C553" w14:textId="74979D64"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 – je bilo že večkrat pojasnjeno</w:t>
            </w:r>
            <w:r w:rsidR="00F323C7">
              <w:rPr>
                <w:rFonts w:ascii="Calibri" w:eastAsia="Times New Roman" w:hAnsi="Calibri" w:cs="Arial"/>
                <w:color w:val="000000"/>
                <w:sz w:val="18"/>
                <w:szCs w:val="18"/>
                <w:lang w:eastAsia="sl-SI"/>
              </w:rPr>
              <w:t>.</w:t>
            </w:r>
          </w:p>
        </w:tc>
        <w:tc>
          <w:tcPr>
            <w:tcW w:w="5220" w:type="dxa"/>
            <w:shd w:val="clear" w:color="auto" w:fill="auto"/>
            <w:hideMark/>
          </w:tcPr>
          <w:p w14:paraId="1448C554" w14:textId="77777777" w:rsidR="00C332FA" w:rsidRDefault="00C332FA" w:rsidP="002655FC">
            <w:pPr>
              <w:spacing w:after="0"/>
              <w:rPr>
                <w:rFonts w:ascii="Calibri" w:eastAsia="Times New Roman" w:hAnsi="Calibri" w:cs="Arial"/>
                <w:color w:val="000000"/>
                <w:sz w:val="18"/>
                <w:szCs w:val="18"/>
                <w:lang w:eastAsia="sl-SI"/>
              </w:rPr>
            </w:pPr>
          </w:p>
          <w:p w14:paraId="1448C555"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Glej opredelitev k pripombam Združenja bank Slovenije</w:t>
            </w:r>
            <w:r w:rsidR="002655FC">
              <w:rPr>
                <w:rFonts w:ascii="Calibri" w:eastAsia="Times New Roman" w:hAnsi="Calibri" w:cs="Arial"/>
                <w:color w:val="000000"/>
                <w:sz w:val="18"/>
                <w:szCs w:val="18"/>
                <w:lang w:eastAsia="sl-SI"/>
              </w:rPr>
              <w:t>.</w:t>
            </w:r>
            <w:r w:rsidRPr="00AB512D">
              <w:rPr>
                <w:rFonts w:ascii="Calibri" w:eastAsia="Times New Roman" w:hAnsi="Calibri" w:cs="Arial"/>
                <w:color w:val="000000"/>
                <w:sz w:val="18"/>
                <w:szCs w:val="18"/>
                <w:lang w:eastAsia="sl-SI"/>
              </w:rPr>
              <w:t xml:space="preserve"> </w:t>
            </w:r>
          </w:p>
        </w:tc>
      </w:tr>
    </w:tbl>
    <w:p w14:paraId="1448C557" w14:textId="77777777" w:rsidR="000F0EB0" w:rsidRDefault="000F0EB0" w:rsidP="003C473C">
      <w:pPr>
        <w:spacing w:after="0"/>
      </w:pPr>
    </w:p>
    <w:sectPr w:rsidR="000F0EB0" w:rsidSect="00AB512D">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AFE2E" w14:textId="77777777" w:rsidR="00B113A0" w:rsidRDefault="00B113A0" w:rsidP="00C57D98">
      <w:pPr>
        <w:spacing w:after="0"/>
      </w:pPr>
      <w:r>
        <w:separator/>
      </w:r>
    </w:p>
  </w:endnote>
  <w:endnote w:type="continuationSeparator" w:id="0">
    <w:p w14:paraId="02CFA537" w14:textId="77777777" w:rsidR="00B113A0" w:rsidRDefault="00B113A0" w:rsidP="00C57D98">
      <w:pPr>
        <w:spacing w:after="0"/>
      </w:pPr>
      <w:r>
        <w:continuationSeparator/>
      </w:r>
    </w:p>
  </w:endnote>
  <w:endnote w:type="continuationNotice" w:id="1">
    <w:p w14:paraId="2CB23927" w14:textId="77777777" w:rsidR="00B113A0" w:rsidRDefault="00B113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730741"/>
      <w:docPartObj>
        <w:docPartGallery w:val="Page Numbers (Bottom of Page)"/>
        <w:docPartUnique/>
      </w:docPartObj>
    </w:sdtPr>
    <w:sdtContent>
      <w:p w14:paraId="1448C55C" w14:textId="77777777" w:rsidR="00B113A0" w:rsidRDefault="00B113A0">
        <w:pPr>
          <w:pStyle w:val="Footer"/>
          <w:jc w:val="right"/>
        </w:pPr>
        <w:r>
          <w:fldChar w:fldCharType="begin"/>
        </w:r>
        <w:r>
          <w:instrText>PAGE   \* MERGEFORMAT</w:instrText>
        </w:r>
        <w:r>
          <w:fldChar w:fldCharType="separate"/>
        </w:r>
        <w:r w:rsidR="00AB0731">
          <w:rPr>
            <w:noProof/>
          </w:rPr>
          <w:t>1</w:t>
        </w:r>
        <w:r>
          <w:fldChar w:fldCharType="end"/>
        </w:r>
      </w:p>
    </w:sdtContent>
  </w:sdt>
  <w:p w14:paraId="1448C55D" w14:textId="77777777" w:rsidR="00B113A0" w:rsidRDefault="00B11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A5718" w14:textId="77777777" w:rsidR="00B113A0" w:rsidRDefault="00B113A0" w:rsidP="00C57D98">
      <w:pPr>
        <w:spacing w:after="0"/>
      </w:pPr>
      <w:r>
        <w:separator/>
      </w:r>
    </w:p>
  </w:footnote>
  <w:footnote w:type="continuationSeparator" w:id="0">
    <w:p w14:paraId="3E423C2C" w14:textId="77777777" w:rsidR="00B113A0" w:rsidRDefault="00B113A0" w:rsidP="00C57D98">
      <w:pPr>
        <w:spacing w:after="0"/>
      </w:pPr>
      <w:r>
        <w:continuationSeparator/>
      </w:r>
    </w:p>
  </w:footnote>
  <w:footnote w:type="continuationNotice" w:id="1">
    <w:p w14:paraId="5FBA200C" w14:textId="77777777" w:rsidR="00B113A0" w:rsidRDefault="00B113A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370"/>
    <w:multiLevelType w:val="hybridMultilevel"/>
    <w:tmpl w:val="765AE286"/>
    <w:lvl w:ilvl="0" w:tplc="04240001">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4BB00B3"/>
    <w:multiLevelType w:val="hybridMultilevel"/>
    <w:tmpl w:val="3288EA42"/>
    <w:lvl w:ilvl="0" w:tplc="D766000C">
      <w:start w:val="255"/>
      <w:numFmt w:val="bullet"/>
      <w:lvlText w:val="-"/>
      <w:lvlJc w:val="left"/>
      <w:pPr>
        <w:ind w:left="720" w:hanging="360"/>
      </w:pPr>
      <w:rPr>
        <w:rFonts w:ascii="Calibri" w:eastAsia="Times New Roman" w:hAnsi="Calibri"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ADF2086"/>
    <w:multiLevelType w:val="hybridMultilevel"/>
    <w:tmpl w:val="253CBC3A"/>
    <w:lvl w:ilvl="0" w:tplc="647AFB5C">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6DB6506"/>
    <w:multiLevelType w:val="hybridMultilevel"/>
    <w:tmpl w:val="CDF4BCFA"/>
    <w:lvl w:ilvl="0" w:tplc="7A520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8137BB"/>
    <w:multiLevelType w:val="hybridMultilevel"/>
    <w:tmpl w:val="7E9A800C"/>
    <w:lvl w:ilvl="0" w:tplc="647AFB5C">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9297538"/>
    <w:multiLevelType w:val="hybridMultilevel"/>
    <w:tmpl w:val="A5B6B42E"/>
    <w:lvl w:ilvl="0" w:tplc="04240001">
      <w:start w:val="1"/>
      <w:numFmt w:val="bullet"/>
      <w:lvlText w:val=""/>
      <w:lvlJc w:val="left"/>
      <w:pPr>
        <w:ind w:left="360" w:hanging="360"/>
      </w:pPr>
      <w:rPr>
        <w:rFonts w:ascii="Symbol" w:hAnsi="Symbol" w:hint="default"/>
      </w:rPr>
    </w:lvl>
    <w:lvl w:ilvl="1" w:tplc="647AFB5C">
      <w:start w:val="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B0417EA"/>
    <w:multiLevelType w:val="hybridMultilevel"/>
    <w:tmpl w:val="39D02A0A"/>
    <w:lvl w:ilvl="0" w:tplc="647AFB5C">
      <w:start w:val="2"/>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5C79694B"/>
    <w:multiLevelType w:val="hybridMultilevel"/>
    <w:tmpl w:val="5726CBD8"/>
    <w:lvl w:ilvl="0" w:tplc="647AFB5C">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5E331D5C"/>
    <w:multiLevelType w:val="hybridMultilevel"/>
    <w:tmpl w:val="30663DAC"/>
    <w:lvl w:ilvl="0" w:tplc="D766000C">
      <w:start w:val="255"/>
      <w:numFmt w:val="bullet"/>
      <w:lvlText w:val="-"/>
      <w:lvlJc w:val="left"/>
      <w:pPr>
        <w:ind w:left="720" w:hanging="360"/>
      </w:pPr>
      <w:rPr>
        <w:rFonts w:ascii="Calibri" w:eastAsia="Times New Roman" w:hAnsi="Calibr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FA055A6"/>
    <w:multiLevelType w:val="hybridMultilevel"/>
    <w:tmpl w:val="B616E23A"/>
    <w:lvl w:ilvl="0" w:tplc="7A5207A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790748FF"/>
    <w:multiLevelType w:val="hybridMultilevel"/>
    <w:tmpl w:val="F348B93C"/>
    <w:lvl w:ilvl="0" w:tplc="83E2E356">
      <w:start w:val="14"/>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7"/>
  </w:num>
  <w:num w:numId="6">
    <w:abstractNumId w:val="6"/>
  </w:num>
  <w:num w:numId="7">
    <w:abstractNumId w:val="2"/>
  </w:num>
  <w:num w:numId="8">
    <w:abstractNumId w:val="4"/>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2D"/>
    <w:rsid w:val="000059FD"/>
    <w:rsid w:val="0001347E"/>
    <w:rsid w:val="00061AC9"/>
    <w:rsid w:val="000911C1"/>
    <w:rsid w:val="00092A2B"/>
    <w:rsid w:val="00095C0F"/>
    <w:rsid w:val="000B164A"/>
    <w:rsid w:val="000B40F9"/>
    <w:rsid w:val="000D6F3F"/>
    <w:rsid w:val="000F0EB0"/>
    <w:rsid w:val="000F2E4F"/>
    <w:rsid w:val="00124EEF"/>
    <w:rsid w:val="00147EAE"/>
    <w:rsid w:val="00165EE3"/>
    <w:rsid w:val="00196585"/>
    <w:rsid w:val="001A18DB"/>
    <w:rsid w:val="001F0B05"/>
    <w:rsid w:val="00216AC2"/>
    <w:rsid w:val="002265FB"/>
    <w:rsid w:val="00240906"/>
    <w:rsid w:val="00250C52"/>
    <w:rsid w:val="002655FC"/>
    <w:rsid w:val="002B56E0"/>
    <w:rsid w:val="00301134"/>
    <w:rsid w:val="00393758"/>
    <w:rsid w:val="003B09A9"/>
    <w:rsid w:val="003C473C"/>
    <w:rsid w:val="00481D67"/>
    <w:rsid w:val="00493719"/>
    <w:rsid w:val="004A564A"/>
    <w:rsid w:val="004C54F3"/>
    <w:rsid w:val="004D0A9D"/>
    <w:rsid w:val="004E4EB0"/>
    <w:rsid w:val="00507940"/>
    <w:rsid w:val="00513A0C"/>
    <w:rsid w:val="00524735"/>
    <w:rsid w:val="00542554"/>
    <w:rsid w:val="005B322B"/>
    <w:rsid w:val="005C4A57"/>
    <w:rsid w:val="005D190E"/>
    <w:rsid w:val="005E152A"/>
    <w:rsid w:val="00613DA3"/>
    <w:rsid w:val="00636CFB"/>
    <w:rsid w:val="00673AE2"/>
    <w:rsid w:val="006817A5"/>
    <w:rsid w:val="006C032D"/>
    <w:rsid w:val="006D149F"/>
    <w:rsid w:val="006D5A82"/>
    <w:rsid w:val="006E2C7C"/>
    <w:rsid w:val="00731849"/>
    <w:rsid w:val="00746BAC"/>
    <w:rsid w:val="007720A7"/>
    <w:rsid w:val="00783EF2"/>
    <w:rsid w:val="007915AD"/>
    <w:rsid w:val="007932A9"/>
    <w:rsid w:val="007C3C5A"/>
    <w:rsid w:val="007D7F8D"/>
    <w:rsid w:val="007E1123"/>
    <w:rsid w:val="007F3625"/>
    <w:rsid w:val="00822F83"/>
    <w:rsid w:val="0085105A"/>
    <w:rsid w:val="00851B54"/>
    <w:rsid w:val="008561D0"/>
    <w:rsid w:val="00856B23"/>
    <w:rsid w:val="008821CB"/>
    <w:rsid w:val="008A65CD"/>
    <w:rsid w:val="008B5445"/>
    <w:rsid w:val="008F16D3"/>
    <w:rsid w:val="008F2381"/>
    <w:rsid w:val="008F26C3"/>
    <w:rsid w:val="00900A88"/>
    <w:rsid w:val="009125C2"/>
    <w:rsid w:val="00914FCB"/>
    <w:rsid w:val="00916BC4"/>
    <w:rsid w:val="00974B43"/>
    <w:rsid w:val="00997524"/>
    <w:rsid w:val="009B16AD"/>
    <w:rsid w:val="009C6520"/>
    <w:rsid w:val="00A132EA"/>
    <w:rsid w:val="00A16192"/>
    <w:rsid w:val="00A1680B"/>
    <w:rsid w:val="00A520F2"/>
    <w:rsid w:val="00A7276A"/>
    <w:rsid w:val="00AA4564"/>
    <w:rsid w:val="00AB0731"/>
    <w:rsid w:val="00AB512D"/>
    <w:rsid w:val="00AC1C7B"/>
    <w:rsid w:val="00AD451B"/>
    <w:rsid w:val="00B03048"/>
    <w:rsid w:val="00B0652B"/>
    <w:rsid w:val="00B113A0"/>
    <w:rsid w:val="00B253B9"/>
    <w:rsid w:val="00B34495"/>
    <w:rsid w:val="00B632FC"/>
    <w:rsid w:val="00B70CE0"/>
    <w:rsid w:val="00BA24EC"/>
    <w:rsid w:val="00BA61D5"/>
    <w:rsid w:val="00BA69A9"/>
    <w:rsid w:val="00BD50C7"/>
    <w:rsid w:val="00C04A18"/>
    <w:rsid w:val="00C10721"/>
    <w:rsid w:val="00C32779"/>
    <w:rsid w:val="00C332FA"/>
    <w:rsid w:val="00C46F16"/>
    <w:rsid w:val="00C57D98"/>
    <w:rsid w:val="00C861F0"/>
    <w:rsid w:val="00CB2C3D"/>
    <w:rsid w:val="00CE2880"/>
    <w:rsid w:val="00CE7F92"/>
    <w:rsid w:val="00CF6021"/>
    <w:rsid w:val="00D006B2"/>
    <w:rsid w:val="00D01621"/>
    <w:rsid w:val="00D03A60"/>
    <w:rsid w:val="00D12A8C"/>
    <w:rsid w:val="00D53EAB"/>
    <w:rsid w:val="00D8452E"/>
    <w:rsid w:val="00DD2DA7"/>
    <w:rsid w:val="00DE789A"/>
    <w:rsid w:val="00DF4661"/>
    <w:rsid w:val="00E10676"/>
    <w:rsid w:val="00E31CA1"/>
    <w:rsid w:val="00E33AE3"/>
    <w:rsid w:val="00E40D56"/>
    <w:rsid w:val="00E41708"/>
    <w:rsid w:val="00E42909"/>
    <w:rsid w:val="00E744DC"/>
    <w:rsid w:val="00EA112E"/>
    <w:rsid w:val="00EC73AA"/>
    <w:rsid w:val="00ED6EA5"/>
    <w:rsid w:val="00EE2E1E"/>
    <w:rsid w:val="00EF2A71"/>
    <w:rsid w:val="00F312B0"/>
    <w:rsid w:val="00F323C7"/>
    <w:rsid w:val="00F416B7"/>
    <w:rsid w:val="00F651D1"/>
    <w:rsid w:val="00F74FC3"/>
    <w:rsid w:val="00F85ADF"/>
    <w:rsid w:val="00F91F78"/>
    <w:rsid w:val="00FD41A9"/>
    <w:rsid w:val="00FE1E3B"/>
    <w:rsid w:val="00FE2B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4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64"/>
    <w:pPr>
      <w:spacing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D98"/>
    <w:pPr>
      <w:tabs>
        <w:tab w:val="center" w:pos="4536"/>
        <w:tab w:val="right" w:pos="9072"/>
      </w:tabs>
      <w:spacing w:after="0"/>
    </w:pPr>
  </w:style>
  <w:style w:type="character" w:customStyle="1" w:styleId="HeaderChar">
    <w:name w:val="Header Char"/>
    <w:basedOn w:val="DefaultParagraphFont"/>
    <w:link w:val="Header"/>
    <w:uiPriority w:val="99"/>
    <w:rsid w:val="00C57D98"/>
    <w:rPr>
      <w:rFonts w:ascii="Arial" w:hAnsi="Arial"/>
    </w:rPr>
  </w:style>
  <w:style w:type="paragraph" w:styleId="Footer">
    <w:name w:val="footer"/>
    <w:basedOn w:val="Normal"/>
    <w:link w:val="FooterChar"/>
    <w:uiPriority w:val="99"/>
    <w:unhideWhenUsed/>
    <w:rsid w:val="00C57D98"/>
    <w:pPr>
      <w:tabs>
        <w:tab w:val="center" w:pos="4536"/>
        <w:tab w:val="right" w:pos="9072"/>
      </w:tabs>
      <w:spacing w:after="0"/>
    </w:pPr>
  </w:style>
  <w:style w:type="character" w:customStyle="1" w:styleId="FooterChar">
    <w:name w:val="Footer Char"/>
    <w:basedOn w:val="DefaultParagraphFont"/>
    <w:link w:val="Footer"/>
    <w:uiPriority w:val="99"/>
    <w:rsid w:val="00C57D98"/>
    <w:rPr>
      <w:rFonts w:ascii="Arial" w:hAnsi="Arial"/>
    </w:rPr>
  </w:style>
  <w:style w:type="paragraph" w:styleId="ListParagraph">
    <w:name w:val="List Paragraph"/>
    <w:basedOn w:val="Normal"/>
    <w:uiPriority w:val="34"/>
    <w:qFormat/>
    <w:rsid w:val="00EC73AA"/>
    <w:pPr>
      <w:ind w:left="720"/>
      <w:contextualSpacing/>
    </w:pPr>
  </w:style>
  <w:style w:type="paragraph" w:styleId="BalloonText">
    <w:name w:val="Balloon Text"/>
    <w:basedOn w:val="Normal"/>
    <w:link w:val="BalloonTextChar"/>
    <w:uiPriority w:val="99"/>
    <w:semiHidden/>
    <w:unhideWhenUsed/>
    <w:rsid w:val="00C332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64"/>
    <w:pPr>
      <w:spacing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D98"/>
    <w:pPr>
      <w:tabs>
        <w:tab w:val="center" w:pos="4536"/>
        <w:tab w:val="right" w:pos="9072"/>
      </w:tabs>
      <w:spacing w:after="0"/>
    </w:pPr>
  </w:style>
  <w:style w:type="character" w:customStyle="1" w:styleId="HeaderChar">
    <w:name w:val="Header Char"/>
    <w:basedOn w:val="DefaultParagraphFont"/>
    <w:link w:val="Header"/>
    <w:uiPriority w:val="99"/>
    <w:rsid w:val="00C57D98"/>
    <w:rPr>
      <w:rFonts w:ascii="Arial" w:hAnsi="Arial"/>
    </w:rPr>
  </w:style>
  <w:style w:type="paragraph" w:styleId="Footer">
    <w:name w:val="footer"/>
    <w:basedOn w:val="Normal"/>
    <w:link w:val="FooterChar"/>
    <w:uiPriority w:val="99"/>
    <w:unhideWhenUsed/>
    <w:rsid w:val="00C57D98"/>
    <w:pPr>
      <w:tabs>
        <w:tab w:val="center" w:pos="4536"/>
        <w:tab w:val="right" w:pos="9072"/>
      </w:tabs>
      <w:spacing w:after="0"/>
    </w:pPr>
  </w:style>
  <w:style w:type="character" w:customStyle="1" w:styleId="FooterChar">
    <w:name w:val="Footer Char"/>
    <w:basedOn w:val="DefaultParagraphFont"/>
    <w:link w:val="Footer"/>
    <w:uiPriority w:val="99"/>
    <w:rsid w:val="00C57D98"/>
    <w:rPr>
      <w:rFonts w:ascii="Arial" w:hAnsi="Arial"/>
    </w:rPr>
  </w:style>
  <w:style w:type="paragraph" w:styleId="ListParagraph">
    <w:name w:val="List Paragraph"/>
    <w:basedOn w:val="Normal"/>
    <w:uiPriority w:val="34"/>
    <w:qFormat/>
    <w:rsid w:val="00EC73AA"/>
    <w:pPr>
      <w:ind w:left="720"/>
      <w:contextualSpacing/>
    </w:pPr>
  </w:style>
  <w:style w:type="paragraph" w:styleId="BalloonText">
    <w:name w:val="Balloon Text"/>
    <w:basedOn w:val="Normal"/>
    <w:link w:val="BalloonTextChar"/>
    <w:uiPriority w:val="99"/>
    <w:semiHidden/>
    <w:unhideWhenUsed/>
    <w:rsid w:val="00C332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6426">
      <w:bodyDiv w:val="1"/>
      <w:marLeft w:val="0"/>
      <w:marRight w:val="0"/>
      <w:marTop w:val="0"/>
      <w:marBottom w:val="0"/>
      <w:divBdr>
        <w:top w:val="none" w:sz="0" w:space="0" w:color="auto"/>
        <w:left w:val="none" w:sz="0" w:space="0" w:color="auto"/>
        <w:bottom w:val="none" w:sz="0" w:space="0" w:color="auto"/>
        <w:right w:val="none" w:sz="0" w:space="0" w:color="auto"/>
      </w:divBdr>
    </w:div>
    <w:div w:id="9021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YPDRX2FCMFN4-31-174</_dlc_DocId>
    <_dlc_DocIdUrl xmlns="45d885e1-f2d7-4ffc-80f5-e7c266c6408c">
      <Url>https://iportal.mf.si/podrocja/davkicarine/Dokumenti_skupni_rabi_DSDCJP/_layouts/15/DocIdRedir.aspx?ID=YPDRX2FCMFN4-31-174</Url>
      <Description>YPDRX2FCMFN4-31-174</Description>
    </_dlc_DocIdUrl>
  </documentManagement>
</p:properties>
</file>

<file path=customXml/itemProps1.xml><?xml version="1.0" encoding="utf-8"?>
<ds:datastoreItem xmlns:ds="http://schemas.openxmlformats.org/officeDocument/2006/customXml" ds:itemID="{7C6B148D-596F-433A-8566-104407DBC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49389-7920-43F7-8C36-0B4B5A215383}">
  <ds:schemaRefs>
    <ds:schemaRef ds:uri="http://schemas.microsoft.com/sharepoint/events"/>
  </ds:schemaRefs>
</ds:datastoreItem>
</file>

<file path=customXml/itemProps3.xml><?xml version="1.0" encoding="utf-8"?>
<ds:datastoreItem xmlns:ds="http://schemas.openxmlformats.org/officeDocument/2006/customXml" ds:itemID="{A18C87EB-6C85-44E1-AFDB-D8A6681DEF09}">
  <ds:schemaRefs>
    <ds:schemaRef ds:uri="http://schemas.microsoft.com/sharepoint/v3/contenttype/forms"/>
  </ds:schemaRefs>
</ds:datastoreItem>
</file>

<file path=customXml/itemProps4.xml><?xml version="1.0" encoding="utf-8"?>
<ds:datastoreItem xmlns:ds="http://schemas.openxmlformats.org/officeDocument/2006/customXml" ds:itemID="{0ACC328C-866D-466C-A17D-C2E40207AB90}">
  <ds:schemaRef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45d885e1-f2d7-4ffc-80f5-e7c266c640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8369</Words>
  <Characters>47709</Characters>
  <Application>Microsoft Office Word</Application>
  <DocSecurity>0</DocSecurity>
  <Lines>397</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55967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Marjetka</dc:creator>
  <cp:lastModifiedBy>Marjetka</cp:lastModifiedBy>
  <cp:revision>2</cp:revision>
  <cp:lastPrinted>2015-08-21T04:51:00Z</cp:lastPrinted>
  <dcterms:created xsi:type="dcterms:W3CDTF">2015-08-21T09:18:00Z</dcterms:created>
  <dcterms:modified xsi:type="dcterms:W3CDTF">2015-08-21T09:18:00Z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0x01010014F42A6AA591E6448262066C1D2F96B8</vt:lpwstr>
  </property>
  <property fmtid="{D5CDD505-2E9C-101B-9397-08002B2CF9AE}" pid="3" name="_dlc_DocIdItemGuid">
    <vt:lpwstr>fbcca8e8-dbc4-4ee6-8583-b0a2bebf562f</vt:lpwstr>
  </property>
</Properties>
</file>