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1F3" w:rsidRPr="005B4049" w:rsidRDefault="00D731F3" w:rsidP="00D731F3">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D731F3" w:rsidRPr="008D1759" w:rsidTr="005F456B">
        <w:trPr>
          <w:gridAfter w:val="2"/>
          <w:wAfter w:w="3067" w:type="dxa"/>
        </w:trPr>
        <w:tc>
          <w:tcPr>
            <w:tcW w:w="6096" w:type="dxa"/>
            <w:gridSpan w:val="2"/>
          </w:tcPr>
          <w:p w:rsidR="00D731F3" w:rsidRPr="008D1759" w:rsidRDefault="00D731F3" w:rsidP="008822E3">
            <w:pPr>
              <w:pStyle w:val="Neotevilenodstavek"/>
              <w:spacing w:before="0" w:after="0" w:line="260" w:lineRule="exact"/>
              <w:jc w:val="left"/>
              <w:rPr>
                <w:sz w:val="20"/>
                <w:szCs w:val="20"/>
              </w:rPr>
            </w:pPr>
            <w:r>
              <w:rPr>
                <w:sz w:val="20"/>
                <w:szCs w:val="20"/>
              </w:rPr>
              <w:t xml:space="preserve">Številka: </w:t>
            </w:r>
            <w:r w:rsidR="00553222">
              <w:rPr>
                <w:sz w:val="20"/>
                <w:szCs w:val="20"/>
              </w:rPr>
              <w:t>007-60</w:t>
            </w:r>
            <w:r w:rsidR="00874388" w:rsidRPr="00FF0EFA">
              <w:rPr>
                <w:sz w:val="20"/>
                <w:szCs w:val="20"/>
              </w:rPr>
              <w:t>/201</w:t>
            </w:r>
            <w:r w:rsidR="008822E3" w:rsidRPr="00FF0EFA">
              <w:rPr>
                <w:sz w:val="20"/>
                <w:szCs w:val="20"/>
              </w:rPr>
              <w:t>6</w:t>
            </w:r>
            <w:r w:rsidR="00BC7A6A">
              <w:rPr>
                <w:sz w:val="20"/>
                <w:szCs w:val="20"/>
              </w:rPr>
              <w:t>/</w:t>
            </w:r>
            <w:r w:rsidR="00394A1C">
              <w:rPr>
                <w:sz w:val="20"/>
                <w:szCs w:val="20"/>
              </w:rPr>
              <w:t>15</w:t>
            </w:r>
          </w:p>
        </w:tc>
      </w:tr>
      <w:tr w:rsidR="00D731F3" w:rsidRPr="008D1759" w:rsidTr="005F456B">
        <w:trPr>
          <w:gridAfter w:val="2"/>
          <w:wAfter w:w="3067" w:type="dxa"/>
        </w:trPr>
        <w:tc>
          <w:tcPr>
            <w:tcW w:w="6096" w:type="dxa"/>
            <w:gridSpan w:val="2"/>
          </w:tcPr>
          <w:p w:rsidR="00D731F3" w:rsidRPr="008D1759" w:rsidRDefault="00D731F3" w:rsidP="004A5DCC">
            <w:pPr>
              <w:pStyle w:val="Neotevilenodstavek"/>
              <w:spacing w:before="0" w:after="0" w:line="260" w:lineRule="exact"/>
              <w:jc w:val="left"/>
              <w:rPr>
                <w:sz w:val="20"/>
                <w:szCs w:val="20"/>
              </w:rPr>
            </w:pPr>
            <w:r>
              <w:rPr>
                <w:sz w:val="20"/>
                <w:szCs w:val="20"/>
              </w:rPr>
              <w:t xml:space="preserve">Ljubljana, </w:t>
            </w:r>
            <w:r w:rsidR="00AD6147">
              <w:rPr>
                <w:sz w:val="20"/>
                <w:szCs w:val="20"/>
              </w:rPr>
              <w:t>25</w:t>
            </w:r>
            <w:r w:rsidR="005C1B80">
              <w:rPr>
                <w:sz w:val="20"/>
                <w:szCs w:val="20"/>
              </w:rPr>
              <w:t>. 8</w:t>
            </w:r>
            <w:r w:rsidR="0044170C">
              <w:rPr>
                <w:sz w:val="20"/>
                <w:szCs w:val="20"/>
              </w:rPr>
              <w:t>. 2016</w:t>
            </w:r>
          </w:p>
        </w:tc>
      </w:tr>
      <w:tr w:rsidR="00D731F3" w:rsidRPr="008D1759" w:rsidTr="005F456B">
        <w:trPr>
          <w:gridAfter w:val="2"/>
          <w:wAfter w:w="3067" w:type="dxa"/>
        </w:trPr>
        <w:tc>
          <w:tcPr>
            <w:tcW w:w="6096" w:type="dxa"/>
            <w:gridSpan w:val="2"/>
          </w:tcPr>
          <w:p w:rsidR="00D731F3" w:rsidRPr="00594B90" w:rsidRDefault="0044170C" w:rsidP="004A5DCC">
            <w:pPr>
              <w:pStyle w:val="Neotevilenodstavek"/>
              <w:spacing w:before="0" w:after="0" w:line="260" w:lineRule="exact"/>
              <w:jc w:val="left"/>
              <w:rPr>
                <w:sz w:val="20"/>
                <w:szCs w:val="20"/>
              </w:rPr>
            </w:pPr>
            <w:r>
              <w:rPr>
                <w:iCs/>
                <w:sz w:val="20"/>
                <w:szCs w:val="20"/>
              </w:rPr>
              <w:t xml:space="preserve">EVA: </w:t>
            </w:r>
            <w:r w:rsidRPr="004A5DCC">
              <w:rPr>
                <w:iCs/>
                <w:sz w:val="20"/>
                <w:szCs w:val="20"/>
              </w:rPr>
              <w:t>201</w:t>
            </w:r>
            <w:r w:rsidR="004A5DCC" w:rsidRPr="004A5DCC">
              <w:rPr>
                <w:iCs/>
                <w:sz w:val="20"/>
                <w:szCs w:val="20"/>
              </w:rPr>
              <w:t>6</w:t>
            </w:r>
            <w:r w:rsidRPr="004A5DCC">
              <w:rPr>
                <w:iCs/>
                <w:sz w:val="20"/>
                <w:szCs w:val="20"/>
              </w:rPr>
              <w:t>-1541-000</w:t>
            </w:r>
            <w:r w:rsidR="004A5DCC" w:rsidRPr="004A5DCC">
              <w:rPr>
                <w:iCs/>
                <w:sz w:val="20"/>
                <w:szCs w:val="20"/>
              </w:rPr>
              <w:t>2</w:t>
            </w:r>
          </w:p>
        </w:tc>
      </w:tr>
      <w:tr w:rsidR="00D731F3" w:rsidRPr="008D1759" w:rsidTr="005F456B">
        <w:trPr>
          <w:gridAfter w:val="2"/>
          <w:wAfter w:w="3067" w:type="dxa"/>
        </w:trPr>
        <w:tc>
          <w:tcPr>
            <w:tcW w:w="6096" w:type="dxa"/>
            <w:gridSpan w:val="2"/>
          </w:tcPr>
          <w:p w:rsidR="00D731F3" w:rsidRPr="008D1759" w:rsidRDefault="00D731F3" w:rsidP="005F456B">
            <w:pPr>
              <w:rPr>
                <w:rFonts w:cs="Arial"/>
                <w:szCs w:val="20"/>
              </w:rPr>
            </w:pPr>
          </w:p>
          <w:p w:rsidR="00D731F3" w:rsidRPr="008D1759" w:rsidRDefault="00D731F3" w:rsidP="005F456B">
            <w:pPr>
              <w:rPr>
                <w:rFonts w:cs="Arial"/>
                <w:szCs w:val="20"/>
              </w:rPr>
            </w:pPr>
            <w:r w:rsidRPr="008D1759">
              <w:rPr>
                <w:rFonts w:cs="Arial"/>
                <w:szCs w:val="20"/>
              </w:rPr>
              <w:t>GENERALNI SEKRETARIAT VLADE REPUBLIKE SLOVENIJE</w:t>
            </w:r>
          </w:p>
          <w:p w:rsidR="00D731F3" w:rsidRPr="008D1759" w:rsidRDefault="00594BE8" w:rsidP="005F456B">
            <w:pPr>
              <w:rPr>
                <w:rFonts w:cs="Arial"/>
                <w:szCs w:val="20"/>
              </w:rPr>
            </w:pPr>
            <w:hyperlink r:id="rId9" w:history="1">
              <w:r w:rsidR="00D731F3" w:rsidRPr="008D1759">
                <w:rPr>
                  <w:rStyle w:val="Hiperpovezava"/>
                  <w:szCs w:val="20"/>
                </w:rPr>
                <w:t>Gp.gs@gov.si</w:t>
              </w:r>
            </w:hyperlink>
          </w:p>
          <w:p w:rsidR="00D731F3" w:rsidRPr="008D1759" w:rsidRDefault="00D731F3" w:rsidP="005F456B">
            <w:pPr>
              <w:rPr>
                <w:rFonts w:cs="Arial"/>
                <w:szCs w:val="20"/>
              </w:rPr>
            </w:pPr>
          </w:p>
        </w:tc>
      </w:tr>
      <w:tr w:rsidR="00D731F3" w:rsidRPr="008D1759" w:rsidTr="005F456B">
        <w:tc>
          <w:tcPr>
            <w:tcW w:w="9163" w:type="dxa"/>
            <w:gridSpan w:val="4"/>
          </w:tcPr>
          <w:p w:rsidR="00D731F3" w:rsidRPr="008D1759" w:rsidRDefault="00D731F3" w:rsidP="0044170C">
            <w:pPr>
              <w:pStyle w:val="Naslovpredpisa"/>
              <w:spacing w:before="0" w:after="0" w:line="260" w:lineRule="exact"/>
              <w:jc w:val="both"/>
              <w:rPr>
                <w:sz w:val="20"/>
                <w:szCs w:val="20"/>
              </w:rPr>
            </w:pPr>
            <w:r>
              <w:rPr>
                <w:sz w:val="20"/>
                <w:szCs w:val="20"/>
              </w:rPr>
              <w:t xml:space="preserve">ZADEVA: </w:t>
            </w:r>
            <w:r w:rsidR="0044170C" w:rsidRPr="0044170C">
              <w:rPr>
                <w:sz w:val="20"/>
                <w:szCs w:val="20"/>
              </w:rPr>
              <w:t>Uredba o spremembah in dopolnitvah Uredbe o porabi sredstev evropske kohezijske politike v Republiki Sloveniji v programskem obdobju 2014–2020 za cilj naložbe za rast in delovna mesta</w:t>
            </w:r>
            <w:r w:rsidRPr="008D1759">
              <w:rPr>
                <w:sz w:val="20"/>
                <w:szCs w:val="20"/>
              </w:rPr>
              <w:t xml:space="preserve"> – predlog za obravnavo </w:t>
            </w:r>
          </w:p>
        </w:tc>
      </w:tr>
      <w:tr w:rsidR="00D731F3" w:rsidRPr="008D1759" w:rsidTr="005F456B">
        <w:tc>
          <w:tcPr>
            <w:tcW w:w="9163" w:type="dxa"/>
            <w:gridSpan w:val="4"/>
          </w:tcPr>
          <w:p w:rsidR="00D731F3" w:rsidRPr="008D1759" w:rsidRDefault="00D731F3" w:rsidP="005F456B">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D731F3" w:rsidRPr="008D1759" w:rsidTr="005F456B">
        <w:tc>
          <w:tcPr>
            <w:tcW w:w="9163" w:type="dxa"/>
            <w:gridSpan w:val="4"/>
          </w:tcPr>
          <w:p w:rsidR="0044170C" w:rsidRPr="0044170C" w:rsidRDefault="0044170C" w:rsidP="0044170C">
            <w:pPr>
              <w:spacing w:line="240" w:lineRule="auto"/>
              <w:jc w:val="both"/>
              <w:rPr>
                <w:rFonts w:cs="Arial"/>
                <w:szCs w:val="20"/>
                <w:lang w:eastAsia="sl-SI"/>
              </w:rPr>
            </w:pPr>
            <w:r w:rsidRPr="0044170C">
              <w:rPr>
                <w:rFonts w:cs="Arial"/>
                <w:szCs w:val="20"/>
                <w:lang w:eastAsia="sl-SI"/>
              </w:rPr>
              <w:t>Na podlagi sedmega odstavka 21. člena Zakona o Vladi Republike Slovenije (Uradni list RS, št. 24/05 – uradno prečiščeno besedilo, 109/08, 38/10 – ZUKN, 8/12, 21/13, 47/13 – ZDU-1G in 65/14) je Vlada Republike Slovenije na….. seji pod točko…. dne……sprejela naslednji</w:t>
            </w:r>
          </w:p>
          <w:p w:rsidR="0044170C" w:rsidRPr="0044170C" w:rsidRDefault="0044170C" w:rsidP="0044170C">
            <w:pPr>
              <w:spacing w:line="240" w:lineRule="auto"/>
              <w:rPr>
                <w:rFonts w:ascii="Calibri" w:eastAsia="SimSun" w:hAnsi="Calibri"/>
                <w:sz w:val="24"/>
                <w:lang w:eastAsia="zh-CN"/>
              </w:rPr>
            </w:pPr>
          </w:p>
          <w:p w:rsidR="0044170C" w:rsidRPr="0044170C" w:rsidRDefault="0044170C" w:rsidP="0044170C">
            <w:pPr>
              <w:spacing w:line="240" w:lineRule="auto"/>
              <w:rPr>
                <w:rFonts w:ascii="Calibri" w:eastAsia="SimSun" w:hAnsi="Calibri"/>
                <w:sz w:val="24"/>
                <w:lang w:eastAsia="zh-CN"/>
              </w:rPr>
            </w:pPr>
          </w:p>
          <w:p w:rsidR="0044170C" w:rsidRPr="0044170C" w:rsidRDefault="0044170C" w:rsidP="0044170C">
            <w:pPr>
              <w:spacing w:line="240" w:lineRule="auto"/>
              <w:rPr>
                <w:rFonts w:ascii="Calibri" w:eastAsia="SimSun" w:hAnsi="Calibri"/>
                <w:sz w:val="24"/>
                <w:lang w:eastAsia="zh-CN"/>
              </w:rPr>
            </w:pPr>
          </w:p>
          <w:p w:rsidR="0044170C" w:rsidRPr="0044170C" w:rsidRDefault="0044170C" w:rsidP="0044170C">
            <w:pPr>
              <w:spacing w:line="240" w:lineRule="auto"/>
              <w:jc w:val="center"/>
              <w:rPr>
                <w:rFonts w:ascii="Calibri" w:eastAsia="SimSun" w:hAnsi="Calibri"/>
                <w:sz w:val="24"/>
                <w:lang w:eastAsia="zh-CN"/>
              </w:rPr>
            </w:pPr>
            <w:r w:rsidRPr="0044170C">
              <w:rPr>
                <w:rFonts w:ascii="Calibri" w:eastAsia="SimSun" w:hAnsi="Calibri"/>
                <w:sz w:val="24"/>
                <w:lang w:eastAsia="zh-CN"/>
              </w:rPr>
              <w:t>S K L E P</w:t>
            </w:r>
          </w:p>
          <w:p w:rsidR="0044170C" w:rsidRPr="0044170C" w:rsidRDefault="0044170C" w:rsidP="0044170C">
            <w:pPr>
              <w:spacing w:line="220" w:lineRule="atLeast"/>
              <w:jc w:val="both"/>
              <w:rPr>
                <w:rFonts w:eastAsia="SimSun" w:cs="Arial"/>
                <w:szCs w:val="20"/>
                <w:lang w:eastAsia="zh-CN"/>
              </w:rPr>
            </w:pPr>
          </w:p>
          <w:p w:rsidR="0044170C" w:rsidRPr="0044170C" w:rsidRDefault="0044170C" w:rsidP="0044170C">
            <w:pPr>
              <w:jc w:val="both"/>
              <w:rPr>
                <w:rFonts w:cs="Arial"/>
                <w:iCs/>
                <w:szCs w:val="20"/>
                <w:lang w:eastAsia="sl-SI"/>
              </w:rPr>
            </w:pPr>
            <w:r w:rsidRPr="0044170C">
              <w:rPr>
                <w:rFonts w:eastAsia="SimSun" w:cs="Arial"/>
                <w:color w:val="000000"/>
                <w:szCs w:val="20"/>
                <w:lang w:eastAsia="zh-CN"/>
              </w:rPr>
              <w:t xml:space="preserve">Vlada Republike Slovenije je izdala Uredbo </w:t>
            </w:r>
            <w:r w:rsidRPr="0044170C">
              <w:rPr>
                <w:rFonts w:cs="Arial"/>
                <w:szCs w:val="20"/>
                <w:lang w:eastAsia="sl-SI"/>
              </w:rPr>
              <w:t xml:space="preserve">o spremembah in dopolnitvah Uredbe o porabi sredstev evropske kohezijske politike v Republiki Sloveniji v programskem obdobju 2014–2020 za cilj naložbe za rast in delovna mesta </w:t>
            </w:r>
            <w:r w:rsidRPr="0044170C">
              <w:rPr>
                <w:rFonts w:cs="Arial"/>
                <w:iCs/>
                <w:szCs w:val="20"/>
                <w:lang w:eastAsia="sl-SI"/>
              </w:rPr>
              <w:t>in jo objavi v Uradnem listu Republike Slovenije.</w:t>
            </w:r>
          </w:p>
          <w:p w:rsidR="0044170C" w:rsidRPr="0044170C" w:rsidRDefault="0044170C" w:rsidP="0044170C">
            <w:pPr>
              <w:jc w:val="both"/>
              <w:rPr>
                <w:rFonts w:cs="Arial"/>
                <w:iCs/>
                <w:szCs w:val="20"/>
                <w:lang w:eastAsia="sl-SI"/>
              </w:rPr>
            </w:pPr>
          </w:p>
          <w:p w:rsidR="0044170C" w:rsidRPr="0044170C" w:rsidRDefault="0044170C" w:rsidP="0044170C">
            <w:pPr>
              <w:jc w:val="both"/>
              <w:rPr>
                <w:rFonts w:cs="Arial"/>
                <w:iCs/>
                <w:szCs w:val="20"/>
                <w:lang w:eastAsia="sl-SI"/>
              </w:rPr>
            </w:pPr>
          </w:p>
          <w:p w:rsidR="0044170C" w:rsidRPr="0044170C" w:rsidRDefault="0044170C" w:rsidP="0044170C">
            <w:pPr>
              <w:autoSpaceDE w:val="0"/>
              <w:autoSpaceDN w:val="0"/>
              <w:adjustRightInd w:val="0"/>
              <w:spacing w:line="220" w:lineRule="atLeast"/>
              <w:jc w:val="both"/>
              <w:rPr>
                <w:rFonts w:eastAsia="SimSun" w:cs="Arial"/>
                <w:color w:val="000000"/>
                <w:szCs w:val="20"/>
                <w:lang w:eastAsia="zh-CN"/>
              </w:rPr>
            </w:pPr>
          </w:p>
          <w:p w:rsidR="0044170C" w:rsidRPr="0044170C" w:rsidRDefault="0044170C" w:rsidP="0044170C">
            <w:pPr>
              <w:autoSpaceDE w:val="0"/>
              <w:autoSpaceDN w:val="0"/>
              <w:adjustRightInd w:val="0"/>
              <w:spacing w:line="220" w:lineRule="atLeast"/>
              <w:jc w:val="both"/>
              <w:rPr>
                <w:rFonts w:eastAsia="SimSun" w:cs="Arial"/>
                <w:color w:val="000000"/>
                <w:szCs w:val="20"/>
                <w:lang w:eastAsia="zh-CN"/>
              </w:rPr>
            </w:pPr>
          </w:p>
          <w:p w:rsidR="0044170C" w:rsidRPr="0044170C" w:rsidRDefault="0044170C" w:rsidP="0044170C">
            <w:pPr>
              <w:autoSpaceDE w:val="0"/>
              <w:autoSpaceDN w:val="0"/>
              <w:adjustRightInd w:val="0"/>
              <w:spacing w:line="220" w:lineRule="atLeast"/>
              <w:ind w:left="4320"/>
              <w:jc w:val="center"/>
              <w:rPr>
                <w:rFonts w:eastAsia="SimSun" w:cs="Arial"/>
                <w:bCs/>
                <w:szCs w:val="20"/>
                <w:lang w:eastAsia="zh-CN"/>
              </w:rPr>
            </w:pPr>
            <w:r w:rsidRPr="0044170C">
              <w:rPr>
                <w:rFonts w:eastAsia="SimSun" w:cs="Arial"/>
                <w:bCs/>
                <w:szCs w:val="20"/>
                <w:lang w:eastAsia="zh-CN"/>
              </w:rPr>
              <w:t>Mag. Darko Krašovec</w:t>
            </w:r>
          </w:p>
          <w:p w:rsidR="0044170C" w:rsidRPr="0044170C" w:rsidRDefault="0044170C" w:rsidP="0044170C">
            <w:pPr>
              <w:autoSpaceDE w:val="0"/>
              <w:autoSpaceDN w:val="0"/>
              <w:adjustRightInd w:val="0"/>
              <w:spacing w:line="220" w:lineRule="atLeast"/>
              <w:ind w:left="4320"/>
              <w:jc w:val="center"/>
              <w:rPr>
                <w:rFonts w:eastAsia="SimSun" w:cs="Arial"/>
                <w:bCs/>
                <w:szCs w:val="20"/>
                <w:lang w:eastAsia="zh-CN"/>
              </w:rPr>
            </w:pPr>
            <w:r w:rsidRPr="0044170C">
              <w:rPr>
                <w:rFonts w:eastAsia="SimSun" w:cs="Arial"/>
                <w:bCs/>
                <w:szCs w:val="20"/>
                <w:lang w:eastAsia="zh-CN"/>
              </w:rPr>
              <w:t>GENERALNI SEKRETAR</w:t>
            </w:r>
          </w:p>
          <w:p w:rsidR="0044170C" w:rsidRDefault="0044170C" w:rsidP="005F456B">
            <w:pPr>
              <w:pStyle w:val="Neotevilenodstavek"/>
              <w:spacing w:before="0" w:after="0" w:line="260" w:lineRule="exact"/>
              <w:rPr>
                <w:iCs/>
                <w:sz w:val="20"/>
                <w:szCs w:val="20"/>
              </w:rPr>
            </w:pPr>
          </w:p>
          <w:p w:rsidR="0044170C" w:rsidRDefault="0044170C" w:rsidP="005F456B">
            <w:pPr>
              <w:pStyle w:val="Neotevilenodstavek"/>
              <w:spacing w:before="0" w:after="0" w:line="260" w:lineRule="exact"/>
              <w:rPr>
                <w:iCs/>
                <w:sz w:val="20"/>
                <w:szCs w:val="20"/>
              </w:rPr>
            </w:pPr>
          </w:p>
          <w:p w:rsidR="0044170C" w:rsidRDefault="0044170C" w:rsidP="005F456B">
            <w:pPr>
              <w:pStyle w:val="Neotevilenodstavek"/>
              <w:spacing w:before="0" w:after="0" w:line="260" w:lineRule="exact"/>
              <w:rPr>
                <w:iCs/>
                <w:sz w:val="20"/>
                <w:szCs w:val="20"/>
              </w:rPr>
            </w:pPr>
          </w:p>
          <w:p w:rsidR="0044170C" w:rsidRDefault="0044170C" w:rsidP="005F456B">
            <w:pPr>
              <w:pStyle w:val="Neotevilenodstavek"/>
              <w:spacing w:before="0" w:after="0" w:line="260" w:lineRule="exact"/>
              <w:rPr>
                <w:iCs/>
                <w:sz w:val="20"/>
                <w:szCs w:val="20"/>
              </w:rPr>
            </w:pPr>
            <w:r>
              <w:rPr>
                <w:iCs/>
                <w:sz w:val="20"/>
                <w:szCs w:val="20"/>
              </w:rPr>
              <w:t>Priloge:</w:t>
            </w:r>
          </w:p>
          <w:p w:rsidR="0044170C" w:rsidRPr="0044170C" w:rsidRDefault="0044170C" w:rsidP="0044170C">
            <w:pPr>
              <w:pStyle w:val="Neotevilenodstavek"/>
              <w:numPr>
                <w:ilvl w:val="0"/>
                <w:numId w:val="28"/>
              </w:numPr>
              <w:spacing w:before="0" w:after="0" w:line="260" w:lineRule="exact"/>
              <w:rPr>
                <w:iCs/>
                <w:sz w:val="20"/>
                <w:szCs w:val="20"/>
              </w:rPr>
            </w:pPr>
            <w:r w:rsidRPr="0044170C">
              <w:rPr>
                <w:iCs/>
                <w:sz w:val="20"/>
                <w:szCs w:val="20"/>
              </w:rPr>
              <w:t>Uredba o spremembah in dopolnitvah Uredbe o porabi sredstev evropske kohezijske politike v Republiki Sloveniji v programskem obdobju 2014–2020 za cilj naložbe za rast in delovna mesta</w:t>
            </w:r>
          </w:p>
          <w:p w:rsidR="00D731F3" w:rsidRPr="00D0174B" w:rsidRDefault="0044170C" w:rsidP="00D0174B">
            <w:pPr>
              <w:pStyle w:val="Neotevilenodstavek"/>
              <w:numPr>
                <w:ilvl w:val="0"/>
                <w:numId w:val="28"/>
              </w:numPr>
              <w:spacing w:before="0" w:after="0" w:line="260" w:lineRule="exact"/>
              <w:rPr>
                <w:iCs/>
                <w:sz w:val="20"/>
                <w:szCs w:val="20"/>
              </w:rPr>
            </w:pPr>
            <w:r w:rsidRPr="0044170C">
              <w:rPr>
                <w:iCs/>
                <w:sz w:val="20"/>
                <w:szCs w:val="20"/>
              </w:rPr>
              <w:t>Obrazložitev</w:t>
            </w:r>
          </w:p>
        </w:tc>
      </w:tr>
      <w:tr w:rsidR="00D731F3" w:rsidRPr="008D1759" w:rsidTr="005F456B">
        <w:tc>
          <w:tcPr>
            <w:tcW w:w="9163" w:type="dxa"/>
            <w:gridSpan w:val="4"/>
          </w:tcPr>
          <w:p w:rsidR="00D731F3" w:rsidRPr="00D43F59" w:rsidRDefault="00D731F3" w:rsidP="005F456B">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D731F3" w:rsidRPr="008D1759" w:rsidTr="005F456B">
        <w:tc>
          <w:tcPr>
            <w:tcW w:w="9163" w:type="dxa"/>
            <w:gridSpan w:val="4"/>
          </w:tcPr>
          <w:p w:rsidR="00D731F3" w:rsidRPr="008D1759" w:rsidRDefault="00FF2F3E" w:rsidP="00FF2F3E">
            <w:pPr>
              <w:pStyle w:val="Neotevilenodstavek"/>
              <w:spacing w:before="0" w:after="0" w:line="260" w:lineRule="exact"/>
              <w:rPr>
                <w:iCs/>
                <w:sz w:val="20"/>
                <w:szCs w:val="20"/>
              </w:rPr>
            </w:pPr>
            <w:r>
              <w:rPr>
                <w:iCs/>
                <w:sz w:val="20"/>
                <w:szCs w:val="20"/>
              </w:rPr>
              <w:t>/</w:t>
            </w:r>
          </w:p>
        </w:tc>
      </w:tr>
      <w:tr w:rsidR="00D731F3" w:rsidRPr="008D1759" w:rsidTr="005F456B">
        <w:tc>
          <w:tcPr>
            <w:tcW w:w="9163" w:type="dxa"/>
            <w:gridSpan w:val="4"/>
          </w:tcPr>
          <w:p w:rsidR="00D731F3" w:rsidRPr="00D43F59" w:rsidRDefault="00D731F3" w:rsidP="005F456B">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D731F3" w:rsidRPr="008D1759" w:rsidTr="005F456B">
        <w:tc>
          <w:tcPr>
            <w:tcW w:w="9163" w:type="dxa"/>
            <w:gridSpan w:val="4"/>
          </w:tcPr>
          <w:p w:rsidR="00FF2F3E" w:rsidRPr="00D0174B" w:rsidRDefault="00FF2F3E" w:rsidP="00D0174B">
            <w:pPr>
              <w:pStyle w:val="Neotevilenodstavek"/>
              <w:spacing w:before="0" w:after="0" w:line="260" w:lineRule="exact"/>
              <w:rPr>
                <w:iCs/>
                <w:sz w:val="20"/>
                <w:szCs w:val="20"/>
              </w:rPr>
            </w:pPr>
            <w:r>
              <w:rPr>
                <w:iCs/>
                <w:sz w:val="20"/>
                <w:szCs w:val="20"/>
              </w:rPr>
              <w:t>Andrej Engelman, namestnik direktorja</w:t>
            </w:r>
          </w:p>
        </w:tc>
      </w:tr>
      <w:tr w:rsidR="00D731F3" w:rsidRPr="008D1759" w:rsidTr="005F456B">
        <w:tc>
          <w:tcPr>
            <w:tcW w:w="9163" w:type="dxa"/>
            <w:gridSpan w:val="4"/>
          </w:tcPr>
          <w:p w:rsidR="00D731F3" w:rsidRPr="005F3DC6" w:rsidRDefault="00D731F3" w:rsidP="005F456B">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D731F3" w:rsidRPr="008D1759" w:rsidTr="005F456B">
        <w:tc>
          <w:tcPr>
            <w:tcW w:w="9163" w:type="dxa"/>
            <w:gridSpan w:val="4"/>
          </w:tcPr>
          <w:p w:rsidR="00D731F3" w:rsidRPr="008D1759" w:rsidRDefault="00FF2F3E" w:rsidP="00FF2F3E">
            <w:pPr>
              <w:pStyle w:val="Neotevilenodstavek"/>
              <w:spacing w:before="0" w:after="0" w:line="260" w:lineRule="exact"/>
              <w:rPr>
                <w:iCs/>
                <w:sz w:val="20"/>
                <w:szCs w:val="20"/>
              </w:rPr>
            </w:pPr>
            <w:r>
              <w:rPr>
                <w:iCs/>
                <w:sz w:val="20"/>
                <w:szCs w:val="20"/>
              </w:rPr>
              <w:t>/</w:t>
            </w:r>
          </w:p>
        </w:tc>
      </w:tr>
      <w:tr w:rsidR="00D731F3" w:rsidRPr="008D1759" w:rsidTr="005F456B">
        <w:tc>
          <w:tcPr>
            <w:tcW w:w="9163" w:type="dxa"/>
            <w:gridSpan w:val="4"/>
          </w:tcPr>
          <w:p w:rsidR="00D731F3" w:rsidRPr="00D43F59" w:rsidRDefault="00D731F3" w:rsidP="005F456B">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D731F3" w:rsidRPr="008D1759" w:rsidTr="005F456B">
        <w:tc>
          <w:tcPr>
            <w:tcW w:w="9163" w:type="dxa"/>
            <w:gridSpan w:val="4"/>
          </w:tcPr>
          <w:p w:rsidR="00D731F3" w:rsidRPr="00D43F59" w:rsidRDefault="00FF2F3E" w:rsidP="005F456B">
            <w:pPr>
              <w:pStyle w:val="Neotevilenodstavek"/>
              <w:spacing w:before="0" w:after="0" w:line="260" w:lineRule="exact"/>
              <w:rPr>
                <w:b/>
                <w:sz w:val="20"/>
                <w:szCs w:val="20"/>
              </w:rPr>
            </w:pPr>
            <w:r>
              <w:rPr>
                <w:iCs/>
                <w:sz w:val="20"/>
                <w:szCs w:val="20"/>
              </w:rPr>
              <w:t>/</w:t>
            </w:r>
          </w:p>
        </w:tc>
      </w:tr>
      <w:tr w:rsidR="00D731F3" w:rsidRPr="008D1759" w:rsidTr="005F456B">
        <w:tc>
          <w:tcPr>
            <w:tcW w:w="9163" w:type="dxa"/>
            <w:gridSpan w:val="4"/>
          </w:tcPr>
          <w:p w:rsidR="00D731F3" w:rsidRPr="008D1759" w:rsidRDefault="00D731F3" w:rsidP="005F456B">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D731F3" w:rsidRPr="008D1759" w:rsidTr="005F456B">
        <w:tc>
          <w:tcPr>
            <w:tcW w:w="9163" w:type="dxa"/>
            <w:gridSpan w:val="4"/>
          </w:tcPr>
          <w:p w:rsidR="0000617B" w:rsidRDefault="0000617B" w:rsidP="0000617B">
            <w:pPr>
              <w:suppressAutoHyphens/>
              <w:spacing w:line="240" w:lineRule="auto"/>
              <w:jc w:val="both"/>
            </w:pPr>
            <w:r>
              <w:t xml:space="preserve">Uredba o porabi sredstev evropske kohezijske politike v Republiki Sloveniji v programskem obdobju </w:t>
            </w:r>
            <w:r>
              <w:lastRenderedPageBreak/>
              <w:t>2014–2020 za cilj naložbe za rast in delovna mesta (v nadaljevanju: Uredba EKP) podrobneje ureja del izvajanja evropske kohezijske politike v Republiki Sloveniji, ki je sicer utemeljen na neposrednem izvajanju predpisov EU.</w:t>
            </w:r>
          </w:p>
          <w:p w:rsidR="0000617B" w:rsidRDefault="0000617B" w:rsidP="0000617B">
            <w:pPr>
              <w:suppressAutoHyphens/>
              <w:spacing w:line="240" w:lineRule="auto"/>
              <w:jc w:val="both"/>
            </w:pPr>
            <w:r>
              <w:t xml:space="preserve"> </w:t>
            </w:r>
          </w:p>
          <w:p w:rsidR="0000617B" w:rsidRDefault="0000617B" w:rsidP="0000617B">
            <w:pPr>
              <w:suppressAutoHyphens/>
              <w:spacing w:line="240" w:lineRule="auto"/>
              <w:jc w:val="both"/>
            </w:pPr>
            <w:r>
              <w:t xml:space="preserve">Uredba EKP se spreminja v delu, ki se nanaša na celostne teritorialne naložbe. </w:t>
            </w:r>
          </w:p>
          <w:p w:rsidR="0000617B" w:rsidRDefault="0000617B" w:rsidP="0000617B">
            <w:pPr>
              <w:suppressAutoHyphens/>
              <w:spacing w:line="240" w:lineRule="auto"/>
              <w:jc w:val="both"/>
            </w:pPr>
          </w:p>
          <w:p w:rsidR="0000617B" w:rsidRDefault="0000617B" w:rsidP="0000617B">
            <w:pPr>
              <w:suppressAutoHyphens/>
              <w:spacing w:line="240" w:lineRule="auto"/>
              <w:jc w:val="both"/>
            </w:pPr>
            <w:r>
              <w:t xml:space="preserve">Z zadevno spremembo se v </w:t>
            </w:r>
            <w:proofErr w:type="spellStart"/>
            <w:r>
              <w:t>izogib</w:t>
            </w:r>
            <w:proofErr w:type="spellEnd"/>
            <w:r>
              <w:t xml:space="preserve"> vsakršnim nejasnostim povsem nesporno določa, da združenje mestnih občin v skladu s tretjim odstavkom 36. členom Uredbe 1303/2013/EU in 7. členom Uredbe  1301/2013/EU ter v skladu s Smernicami za države članice o celostnem trajnostnem urbanem razvoju opravi svoje naloge v mehanizmu celostnih teritorialnih naložb kot posredniški organ. </w:t>
            </w:r>
          </w:p>
          <w:p w:rsidR="0000617B" w:rsidRDefault="0000617B" w:rsidP="0000617B">
            <w:pPr>
              <w:suppressAutoHyphens/>
              <w:spacing w:line="240" w:lineRule="auto"/>
              <w:jc w:val="both"/>
            </w:pPr>
          </w:p>
          <w:p w:rsidR="00D731F3" w:rsidRDefault="0000617B" w:rsidP="0000617B">
            <w:pPr>
              <w:suppressAutoHyphens/>
              <w:spacing w:line="240" w:lineRule="auto"/>
              <w:jc w:val="both"/>
            </w:pPr>
            <w:r>
              <w:t>Kot s smiselno razlago izhaja že iz sedaj veljavne ureditve, pa bo po novem nesporno veljalo, da bo zveza mestnih občin - tako kot organ upravljanja, posredniški in izvajalski organi ter organ za potrjevanje - morala izkazati svojo zmožnost za zakonito in učinkovito opravo nalog, ki so ji  zaupane kot posredniškemu organu v sistemu celostnih teritor</w:t>
            </w:r>
            <w:r w:rsidR="00AD5B64">
              <w:t>i</w:t>
            </w:r>
            <w:r>
              <w:t>alnih naložb, in bo kot taka morala predhodno uspešno prestati tudi postopek imenovanja organov.</w:t>
            </w:r>
          </w:p>
          <w:p w:rsidR="0000617B" w:rsidRPr="006E123E" w:rsidRDefault="0000617B" w:rsidP="0000617B">
            <w:pPr>
              <w:suppressAutoHyphens/>
              <w:spacing w:line="240" w:lineRule="auto"/>
              <w:jc w:val="both"/>
            </w:pPr>
          </w:p>
        </w:tc>
      </w:tr>
      <w:tr w:rsidR="00D731F3" w:rsidRPr="008D1759" w:rsidTr="005F456B">
        <w:tc>
          <w:tcPr>
            <w:tcW w:w="9163" w:type="dxa"/>
            <w:gridSpan w:val="4"/>
          </w:tcPr>
          <w:p w:rsidR="00D731F3" w:rsidRPr="008D1759" w:rsidRDefault="00D731F3" w:rsidP="005F456B">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D731F3" w:rsidRPr="008D1759" w:rsidTr="005F456B">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D731F3" w:rsidRPr="008D1759" w:rsidRDefault="00D731F3" w:rsidP="005F456B">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D731F3" w:rsidRPr="000F6A28" w:rsidRDefault="00D731F3" w:rsidP="005F456B">
            <w:pPr>
              <w:pStyle w:val="Neotevilenodstavek"/>
              <w:spacing w:before="0" w:after="0" w:line="260" w:lineRule="exact"/>
              <w:jc w:val="center"/>
              <w:rPr>
                <w:iCs/>
                <w:sz w:val="20"/>
                <w:szCs w:val="20"/>
              </w:rPr>
            </w:pPr>
            <w:r w:rsidRPr="000F6A28">
              <w:rPr>
                <w:sz w:val="20"/>
                <w:szCs w:val="20"/>
              </w:rPr>
              <w:t>NE</w:t>
            </w:r>
          </w:p>
        </w:tc>
      </w:tr>
      <w:tr w:rsidR="00D731F3" w:rsidRPr="008D1759" w:rsidTr="005F456B">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D731F3" w:rsidRPr="008D1759" w:rsidRDefault="00D731F3" w:rsidP="005F456B">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D731F3" w:rsidRPr="000F6A28" w:rsidRDefault="00D731F3" w:rsidP="00A04099">
            <w:pPr>
              <w:pStyle w:val="Neotevilenodstavek"/>
              <w:spacing w:before="0" w:after="0" w:line="260" w:lineRule="exact"/>
              <w:jc w:val="center"/>
              <w:rPr>
                <w:iCs/>
                <w:sz w:val="20"/>
                <w:szCs w:val="20"/>
              </w:rPr>
            </w:pPr>
            <w:r w:rsidRPr="000F6A28">
              <w:rPr>
                <w:sz w:val="20"/>
                <w:szCs w:val="20"/>
              </w:rPr>
              <w:t>DA</w:t>
            </w:r>
          </w:p>
        </w:tc>
      </w:tr>
      <w:tr w:rsidR="00D731F3" w:rsidRPr="008D1759" w:rsidTr="005F456B">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D731F3" w:rsidRPr="008D1759" w:rsidRDefault="00D731F3" w:rsidP="005F456B">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D731F3" w:rsidRPr="000F6A28" w:rsidRDefault="00D731F3" w:rsidP="005F456B">
            <w:pPr>
              <w:pStyle w:val="Neotevilenodstavek"/>
              <w:spacing w:before="0" w:after="0" w:line="260" w:lineRule="exact"/>
              <w:jc w:val="center"/>
              <w:rPr>
                <w:sz w:val="20"/>
                <w:szCs w:val="20"/>
              </w:rPr>
            </w:pPr>
            <w:r w:rsidRPr="000F6A28">
              <w:rPr>
                <w:sz w:val="20"/>
                <w:szCs w:val="20"/>
              </w:rPr>
              <w:t>NE</w:t>
            </w:r>
          </w:p>
        </w:tc>
      </w:tr>
      <w:tr w:rsidR="00D731F3" w:rsidRPr="008D1759" w:rsidTr="005F456B">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D731F3" w:rsidRPr="008D1759" w:rsidRDefault="00D731F3" w:rsidP="005F456B">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D731F3" w:rsidRPr="000F6A28" w:rsidRDefault="00D731F3" w:rsidP="005F456B">
            <w:pPr>
              <w:pStyle w:val="Neotevilenodstavek"/>
              <w:spacing w:before="0" w:after="0" w:line="260" w:lineRule="exact"/>
              <w:jc w:val="center"/>
              <w:rPr>
                <w:iCs/>
                <w:sz w:val="20"/>
                <w:szCs w:val="20"/>
              </w:rPr>
            </w:pPr>
            <w:r w:rsidRPr="000F6A28">
              <w:rPr>
                <w:sz w:val="20"/>
                <w:szCs w:val="20"/>
              </w:rPr>
              <w:t>NE</w:t>
            </w:r>
          </w:p>
        </w:tc>
      </w:tr>
      <w:tr w:rsidR="00D731F3" w:rsidRPr="008D1759" w:rsidTr="005F456B">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D731F3" w:rsidRPr="008D1759" w:rsidRDefault="00D731F3" w:rsidP="005F456B">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D731F3" w:rsidRPr="000F6A28" w:rsidRDefault="00D731F3" w:rsidP="005F456B">
            <w:pPr>
              <w:pStyle w:val="Neotevilenodstavek"/>
              <w:spacing w:before="0" w:after="0" w:line="260" w:lineRule="exact"/>
              <w:jc w:val="center"/>
              <w:rPr>
                <w:iCs/>
                <w:sz w:val="20"/>
                <w:szCs w:val="20"/>
              </w:rPr>
            </w:pPr>
            <w:r w:rsidRPr="000F6A28">
              <w:rPr>
                <w:sz w:val="20"/>
                <w:szCs w:val="20"/>
              </w:rPr>
              <w:t>NE</w:t>
            </w:r>
          </w:p>
        </w:tc>
      </w:tr>
      <w:tr w:rsidR="00D731F3" w:rsidRPr="008D1759" w:rsidTr="005F456B">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D731F3" w:rsidRPr="008D1759" w:rsidRDefault="00D731F3" w:rsidP="005F456B">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D731F3" w:rsidRPr="000F6A28" w:rsidRDefault="00D731F3" w:rsidP="005F456B">
            <w:pPr>
              <w:pStyle w:val="Neotevilenodstavek"/>
              <w:spacing w:before="0" w:after="0" w:line="260" w:lineRule="exact"/>
              <w:jc w:val="center"/>
              <w:rPr>
                <w:iCs/>
                <w:sz w:val="20"/>
                <w:szCs w:val="20"/>
              </w:rPr>
            </w:pPr>
            <w:r w:rsidRPr="000F6A28">
              <w:rPr>
                <w:sz w:val="20"/>
                <w:szCs w:val="20"/>
              </w:rPr>
              <w:t>NE</w:t>
            </w:r>
          </w:p>
        </w:tc>
      </w:tr>
      <w:tr w:rsidR="00D731F3" w:rsidRPr="008D1759" w:rsidTr="005F456B">
        <w:tc>
          <w:tcPr>
            <w:tcW w:w="1448" w:type="dxa"/>
            <w:tcBorders>
              <w:bottom w:val="single" w:sz="4" w:space="0" w:color="auto"/>
            </w:tcBorders>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D731F3" w:rsidRPr="008D1759" w:rsidRDefault="00D731F3" w:rsidP="005F456B">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D731F3" w:rsidRPr="008D1759" w:rsidRDefault="00D731F3" w:rsidP="00D731F3">
            <w:pPr>
              <w:pStyle w:val="Neotevilenodstavek"/>
              <w:numPr>
                <w:ilvl w:val="0"/>
                <w:numId w:val="29"/>
              </w:numPr>
              <w:spacing w:before="0" w:after="0" w:line="260" w:lineRule="exact"/>
              <w:rPr>
                <w:bCs/>
                <w:sz w:val="20"/>
                <w:szCs w:val="20"/>
              </w:rPr>
            </w:pPr>
            <w:r w:rsidRPr="008D1759">
              <w:rPr>
                <w:bCs/>
                <w:sz w:val="20"/>
                <w:szCs w:val="20"/>
              </w:rPr>
              <w:t>nacionalne d</w:t>
            </w:r>
            <w:r>
              <w:rPr>
                <w:bCs/>
                <w:sz w:val="20"/>
                <w:szCs w:val="20"/>
              </w:rPr>
              <w:t>okumente razvojnega načrtovanja</w:t>
            </w:r>
          </w:p>
          <w:p w:rsidR="00D731F3" w:rsidRPr="008D1759" w:rsidRDefault="00D731F3" w:rsidP="00D731F3">
            <w:pPr>
              <w:pStyle w:val="Neotevilenodstavek"/>
              <w:numPr>
                <w:ilvl w:val="0"/>
                <w:numId w:val="2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D731F3" w:rsidRPr="008D1759" w:rsidRDefault="00D731F3" w:rsidP="00D731F3">
            <w:pPr>
              <w:pStyle w:val="Neotevilenodstavek"/>
              <w:numPr>
                <w:ilvl w:val="0"/>
                <w:numId w:val="2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D731F3" w:rsidRPr="000F6A28" w:rsidRDefault="00D731F3" w:rsidP="005F456B">
            <w:pPr>
              <w:pStyle w:val="Neotevilenodstavek"/>
              <w:spacing w:before="0" w:after="0" w:line="260" w:lineRule="exact"/>
              <w:jc w:val="center"/>
              <w:rPr>
                <w:iCs/>
                <w:sz w:val="20"/>
                <w:szCs w:val="20"/>
              </w:rPr>
            </w:pPr>
            <w:r w:rsidRPr="000F6A28">
              <w:rPr>
                <w:sz w:val="20"/>
                <w:szCs w:val="20"/>
              </w:rPr>
              <w:t>NE</w:t>
            </w:r>
          </w:p>
        </w:tc>
      </w:tr>
      <w:tr w:rsidR="00D731F3" w:rsidRPr="008D1759" w:rsidTr="005F456B">
        <w:tc>
          <w:tcPr>
            <w:tcW w:w="9163" w:type="dxa"/>
            <w:gridSpan w:val="4"/>
            <w:tcBorders>
              <w:top w:val="single" w:sz="4" w:space="0" w:color="auto"/>
              <w:left w:val="single" w:sz="4" w:space="0" w:color="auto"/>
              <w:bottom w:val="single" w:sz="4" w:space="0" w:color="auto"/>
              <w:right w:val="single" w:sz="4" w:space="0" w:color="auto"/>
            </w:tcBorders>
          </w:tcPr>
          <w:p w:rsidR="00D731F3" w:rsidRPr="008D1759" w:rsidRDefault="00D731F3" w:rsidP="005F456B">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D731F3" w:rsidRPr="008D1759" w:rsidRDefault="00D731F3" w:rsidP="005F456B">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D731F3" w:rsidRPr="008D1759" w:rsidRDefault="00D731F3" w:rsidP="00D731F3">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D731F3" w:rsidRPr="008D1759" w:rsidTr="005F45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D731F3" w:rsidRPr="008D1759" w:rsidRDefault="00D731F3" w:rsidP="005F456B">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D731F3" w:rsidRPr="008D1759" w:rsidTr="005F456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r>
      <w:tr w:rsidR="00D731F3" w:rsidRPr="008D1759" w:rsidTr="005F456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8D1759" w:rsidRDefault="00D731F3" w:rsidP="005F456B">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D731F3" w:rsidRPr="008D1759"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8D1759" w:rsidRDefault="00D731F3" w:rsidP="005F456B">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D731F3" w:rsidRPr="008D1759"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rsidTr="005F456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r>
      <w:tr w:rsidR="00D731F3" w:rsidRPr="008D1759" w:rsidTr="005F45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8D1759" w:rsidRDefault="00D731F3" w:rsidP="005F456B">
            <w:pPr>
              <w:pStyle w:val="Naslov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D731F3" w:rsidRPr="008D1759"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D731F3" w:rsidRPr="008D1759"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r>
      <w:tr w:rsidR="00D731F3" w:rsidRPr="008D1759" w:rsidTr="005F45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D731F3" w:rsidRPr="008D1759" w:rsidRDefault="00D731F3" w:rsidP="005F456B">
            <w:pPr>
              <w:pStyle w:val="Naslov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D731F3" w:rsidRPr="008D1759" w:rsidTr="005F456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r>
      <w:tr w:rsidR="00D731F3" w:rsidRPr="008D1759"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D731F3" w:rsidRPr="008D1759" w:rsidRDefault="00D731F3" w:rsidP="005F456B">
            <w:pPr>
              <w:widowControl w:val="0"/>
              <w:rPr>
                <w:rFonts w:cs="Arial"/>
                <w:b/>
                <w:szCs w:val="20"/>
              </w:rPr>
            </w:pPr>
          </w:p>
          <w:p w:rsidR="00D731F3" w:rsidRPr="008D1759" w:rsidRDefault="00D731F3" w:rsidP="005F456B">
            <w:pPr>
              <w:widowControl w:val="0"/>
              <w:rPr>
                <w:rFonts w:cs="Arial"/>
                <w:b/>
                <w:szCs w:val="20"/>
              </w:rPr>
            </w:pPr>
            <w:r w:rsidRPr="008D1759">
              <w:rPr>
                <w:rFonts w:cs="Arial"/>
                <w:b/>
                <w:szCs w:val="20"/>
              </w:rPr>
              <w:t>OBRAZLOŽITEV:</w:t>
            </w:r>
          </w:p>
          <w:p w:rsidR="00D731F3" w:rsidRPr="008D1759" w:rsidRDefault="00D731F3" w:rsidP="00D731F3">
            <w:pPr>
              <w:widowControl w:val="0"/>
              <w:numPr>
                <w:ilvl w:val="0"/>
                <w:numId w:val="7"/>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D731F3" w:rsidRPr="008D1759" w:rsidRDefault="00D731F3" w:rsidP="005F456B">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D731F3" w:rsidRPr="008D1759" w:rsidRDefault="00D731F3" w:rsidP="00D731F3">
            <w:pPr>
              <w:widowControl w:val="0"/>
              <w:numPr>
                <w:ilvl w:val="0"/>
                <w:numId w:val="30"/>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D731F3" w:rsidRPr="008D1759" w:rsidRDefault="00D731F3" w:rsidP="00D731F3">
            <w:pPr>
              <w:widowControl w:val="0"/>
              <w:numPr>
                <w:ilvl w:val="0"/>
                <w:numId w:val="30"/>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D731F3" w:rsidRPr="008D1759" w:rsidRDefault="00D731F3" w:rsidP="00D731F3">
            <w:pPr>
              <w:widowControl w:val="0"/>
              <w:numPr>
                <w:ilvl w:val="0"/>
                <w:numId w:val="30"/>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w:t>
            </w:r>
            <w:r>
              <w:rPr>
                <w:rFonts w:cs="Arial"/>
                <w:szCs w:val="20"/>
                <w:lang w:eastAsia="sl-SI"/>
              </w:rPr>
              <w:lastRenderedPageBreak/>
              <w:t xml:space="preserve">oziroma </w:t>
            </w:r>
            <w:r w:rsidRPr="008D1759">
              <w:rPr>
                <w:rFonts w:cs="Arial"/>
                <w:szCs w:val="20"/>
                <w:lang w:eastAsia="sl-SI"/>
              </w:rPr>
              <w:t>projektih sprejetih proračunov</w:t>
            </w:r>
            <w:r>
              <w:rPr>
                <w:rFonts w:cs="Arial"/>
                <w:szCs w:val="20"/>
                <w:lang w:eastAsia="sl-SI"/>
              </w:rPr>
              <w:t>.</w:t>
            </w:r>
          </w:p>
          <w:p w:rsidR="00D731F3" w:rsidRPr="008D1759" w:rsidRDefault="00D731F3" w:rsidP="005F456B">
            <w:pPr>
              <w:widowControl w:val="0"/>
              <w:ind w:left="284"/>
              <w:rPr>
                <w:rFonts w:cs="Arial"/>
                <w:szCs w:val="20"/>
                <w:lang w:eastAsia="sl-SI"/>
              </w:rPr>
            </w:pPr>
          </w:p>
          <w:p w:rsidR="00D731F3" w:rsidRPr="008D1759" w:rsidRDefault="00D731F3" w:rsidP="00D731F3">
            <w:pPr>
              <w:widowControl w:val="0"/>
              <w:numPr>
                <w:ilvl w:val="0"/>
                <w:numId w:val="7"/>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D731F3" w:rsidRPr="008D1759" w:rsidRDefault="00D731F3" w:rsidP="005F456B">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D731F3" w:rsidRPr="008D1759" w:rsidRDefault="00D731F3" w:rsidP="005F456B">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D731F3" w:rsidRPr="008D1759" w:rsidRDefault="00D731F3" w:rsidP="005F456B">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D731F3" w:rsidRPr="008D1759" w:rsidRDefault="00D731F3" w:rsidP="00D731F3">
            <w:pPr>
              <w:widowControl w:val="0"/>
              <w:numPr>
                <w:ilvl w:val="0"/>
                <w:numId w:val="31"/>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D731F3" w:rsidRPr="008D1759" w:rsidRDefault="00D731F3" w:rsidP="00D731F3">
            <w:pPr>
              <w:widowControl w:val="0"/>
              <w:numPr>
                <w:ilvl w:val="0"/>
                <w:numId w:val="31"/>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D731F3" w:rsidRPr="008D1759" w:rsidRDefault="00D731F3" w:rsidP="00D731F3">
            <w:pPr>
              <w:widowControl w:val="0"/>
              <w:numPr>
                <w:ilvl w:val="0"/>
                <w:numId w:val="31"/>
              </w:numPr>
              <w:suppressAutoHyphens/>
              <w:jc w:val="both"/>
              <w:rPr>
                <w:rFonts w:cs="Arial"/>
                <w:szCs w:val="20"/>
                <w:lang w:eastAsia="sl-SI"/>
              </w:rPr>
            </w:pPr>
            <w:r w:rsidRPr="008D1759">
              <w:rPr>
                <w:rFonts w:cs="Arial"/>
                <w:szCs w:val="20"/>
                <w:lang w:eastAsia="sl-SI"/>
              </w:rPr>
              <w:t>proračunske postavke.</w:t>
            </w:r>
          </w:p>
          <w:p w:rsidR="00D731F3" w:rsidRPr="008D1759" w:rsidRDefault="00D731F3" w:rsidP="005F456B">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D731F3" w:rsidRPr="008D1759" w:rsidRDefault="00D731F3" w:rsidP="005F456B">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D731F3" w:rsidRPr="008D1759" w:rsidRDefault="00D731F3" w:rsidP="005F456B">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D731F3" w:rsidRPr="008D1759" w:rsidRDefault="00D731F3" w:rsidP="005F456B">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D731F3" w:rsidRPr="008D1759" w:rsidRDefault="00D731F3" w:rsidP="005F456B">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D731F3" w:rsidRPr="008D1759" w:rsidRDefault="00D731F3" w:rsidP="005F456B">
            <w:pPr>
              <w:pStyle w:val="Vrstapredpisa"/>
              <w:widowControl w:val="0"/>
              <w:spacing w:before="0" w:line="260" w:lineRule="exact"/>
              <w:jc w:val="both"/>
              <w:rPr>
                <w:color w:val="auto"/>
                <w:sz w:val="20"/>
                <w:szCs w:val="20"/>
              </w:rPr>
            </w:pPr>
          </w:p>
        </w:tc>
      </w:tr>
      <w:tr w:rsidR="00D731F3" w:rsidRPr="00D063BD" w:rsidTr="00095C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41"/>
        </w:trPr>
        <w:tc>
          <w:tcPr>
            <w:tcW w:w="9200" w:type="dxa"/>
            <w:gridSpan w:val="9"/>
            <w:tcBorders>
              <w:top w:val="single" w:sz="4" w:space="0" w:color="000000"/>
              <w:left w:val="single" w:sz="4" w:space="0" w:color="000000"/>
              <w:bottom w:val="single" w:sz="4" w:space="0" w:color="000000"/>
              <w:right w:val="single" w:sz="4" w:space="0" w:color="000000"/>
            </w:tcBorders>
          </w:tcPr>
          <w:p w:rsidR="00D731F3" w:rsidRPr="00D731F3" w:rsidRDefault="00D731F3" w:rsidP="00D731F3">
            <w:pPr>
              <w:rPr>
                <w:rFonts w:cs="Arial"/>
                <w:b/>
                <w:szCs w:val="20"/>
              </w:rPr>
            </w:pPr>
            <w:proofErr w:type="spellStart"/>
            <w:r w:rsidRPr="00D731F3">
              <w:rPr>
                <w:rFonts w:cs="Arial"/>
                <w:b/>
                <w:szCs w:val="20"/>
              </w:rPr>
              <w:lastRenderedPageBreak/>
              <w:t>7.b</w:t>
            </w:r>
            <w:proofErr w:type="spellEnd"/>
            <w:r w:rsidRPr="00D731F3">
              <w:rPr>
                <w:rFonts w:cs="Arial"/>
                <w:b/>
                <w:szCs w:val="20"/>
              </w:rPr>
              <w:t xml:space="preserve"> Predstavitev ocene finančnih posledic pod 40.000 EUR:</w:t>
            </w:r>
          </w:p>
          <w:p w:rsidR="00671DDA" w:rsidRPr="00D731F3" w:rsidRDefault="00095CC9" w:rsidP="00095CC9">
            <w:pPr>
              <w:jc w:val="both"/>
              <w:rPr>
                <w:rFonts w:cs="Arial"/>
                <w:b/>
                <w:szCs w:val="20"/>
              </w:rPr>
            </w:pPr>
            <w:r w:rsidRPr="00070D93">
              <w:rPr>
                <w:rFonts w:cs="Arial"/>
                <w:szCs w:val="20"/>
              </w:rPr>
              <w:t>Predlog uredbe nima finančnih posledic za druga javnofinančna sredstva.</w:t>
            </w:r>
          </w:p>
        </w:tc>
      </w:tr>
      <w:tr w:rsidR="00D731F3" w:rsidRPr="00D063BD" w:rsidTr="00074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D731F3" w:rsidRPr="00171E3B" w:rsidRDefault="00D731F3" w:rsidP="005D4B00">
            <w:pPr>
              <w:rPr>
                <w:rFonts w:cs="Arial"/>
                <w:b/>
                <w:szCs w:val="20"/>
              </w:rPr>
            </w:pPr>
            <w:r w:rsidRPr="00171E3B">
              <w:rPr>
                <w:rFonts w:cs="Arial"/>
                <w:b/>
                <w:szCs w:val="20"/>
              </w:rPr>
              <w:t xml:space="preserve">8. Predstavitev </w:t>
            </w:r>
            <w:r w:rsidR="0007453D" w:rsidRPr="00171E3B">
              <w:rPr>
                <w:rFonts w:cs="Arial"/>
                <w:b/>
                <w:szCs w:val="20"/>
              </w:rPr>
              <w:t xml:space="preserve">sodelovanja </w:t>
            </w:r>
            <w:r w:rsidRPr="00171E3B">
              <w:rPr>
                <w:rFonts w:cs="Arial"/>
                <w:b/>
                <w:szCs w:val="20"/>
              </w:rPr>
              <w:t>z združenji občin:</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731F3" w:rsidRPr="000F6A28" w:rsidRDefault="00D731F3" w:rsidP="005F456B">
            <w:pPr>
              <w:pStyle w:val="Neotevilenodstavek"/>
              <w:widowControl w:val="0"/>
              <w:spacing w:before="0" w:after="0" w:line="260" w:lineRule="exact"/>
              <w:rPr>
                <w:iCs/>
                <w:sz w:val="20"/>
                <w:szCs w:val="20"/>
              </w:rPr>
            </w:pPr>
            <w:r w:rsidRPr="000F6A28">
              <w:rPr>
                <w:iCs/>
                <w:sz w:val="20"/>
                <w:szCs w:val="20"/>
              </w:rPr>
              <w:t xml:space="preserve">Vsebina predloženega gradiva </w:t>
            </w:r>
            <w:r w:rsidR="00F45BB5" w:rsidRPr="000F6A28">
              <w:rPr>
                <w:iCs/>
                <w:sz w:val="20"/>
                <w:szCs w:val="20"/>
              </w:rPr>
              <w:t xml:space="preserve">(predpisa) </w:t>
            </w:r>
            <w:r w:rsidRPr="000F6A28">
              <w:rPr>
                <w:iCs/>
                <w:sz w:val="20"/>
                <w:szCs w:val="20"/>
              </w:rPr>
              <w:t>vpliva na:</w:t>
            </w:r>
          </w:p>
          <w:p w:rsidR="00D731F3" w:rsidRPr="000F6A28" w:rsidRDefault="00D731F3" w:rsidP="00D731F3">
            <w:pPr>
              <w:pStyle w:val="Neotevilenodstavek"/>
              <w:widowControl w:val="0"/>
              <w:numPr>
                <w:ilvl w:val="1"/>
                <w:numId w:val="30"/>
              </w:numPr>
              <w:spacing w:before="0" w:after="0" w:line="260" w:lineRule="exact"/>
              <w:rPr>
                <w:iCs/>
                <w:sz w:val="20"/>
                <w:szCs w:val="20"/>
              </w:rPr>
            </w:pPr>
            <w:r w:rsidRPr="000F6A28">
              <w:rPr>
                <w:iCs/>
                <w:sz w:val="20"/>
                <w:szCs w:val="20"/>
              </w:rPr>
              <w:t>pristojnosti občin,</w:t>
            </w:r>
          </w:p>
          <w:p w:rsidR="003F4D18" w:rsidRPr="000F6A28" w:rsidRDefault="003F4D18" w:rsidP="00D731F3">
            <w:pPr>
              <w:pStyle w:val="Neotevilenodstavek"/>
              <w:widowControl w:val="0"/>
              <w:numPr>
                <w:ilvl w:val="1"/>
                <w:numId w:val="30"/>
              </w:numPr>
              <w:spacing w:before="0" w:after="0" w:line="260" w:lineRule="exact"/>
              <w:rPr>
                <w:iCs/>
                <w:sz w:val="20"/>
                <w:szCs w:val="20"/>
              </w:rPr>
            </w:pPr>
            <w:r w:rsidRPr="000F6A28">
              <w:rPr>
                <w:iCs/>
                <w:sz w:val="20"/>
                <w:szCs w:val="20"/>
              </w:rPr>
              <w:t>delovanje občin</w:t>
            </w:r>
            <w:r w:rsidR="00FE1B5A" w:rsidRPr="000F6A28">
              <w:rPr>
                <w:iCs/>
                <w:sz w:val="20"/>
                <w:szCs w:val="20"/>
              </w:rPr>
              <w:t>,</w:t>
            </w:r>
          </w:p>
          <w:p w:rsidR="00D731F3" w:rsidRPr="000F6A28" w:rsidRDefault="00FE1B5A" w:rsidP="00D731F3">
            <w:pPr>
              <w:pStyle w:val="Neotevilenodstavek"/>
              <w:widowControl w:val="0"/>
              <w:numPr>
                <w:ilvl w:val="1"/>
                <w:numId w:val="30"/>
              </w:numPr>
              <w:spacing w:before="0" w:after="0" w:line="260" w:lineRule="exact"/>
              <w:rPr>
                <w:iCs/>
                <w:sz w:val="20"/>
                <w:szCs w:val="20"/>
              </w:rPr>
            </w:pPr>
            <w:r w:rsidRPr="000F6A28">
              <w:rPr>
                <w:iCs/>
                <w:sz w:val="20"/>
                <w:szCs w:val="20"/>
              </w:rPr>
              <w:t>financiranje občin.</w:t>
            </w:r>
          </w:p>
          <w:p w:rsidR="00D731F3" w:rsidRPr="000F6A28" w:rsidRDefault="00D731F3" w:rsidP="003F4D18">
            <w:pPr>
              <w:pStyle w:val="Neotevilenodstavek"/>
              <w:widowControl w:val="0"/>
              <w:spacing w:before="0" w:after="0" w:line="260" w:lineRule="exact"/>
              <w:ind w:left="1440"/>
              <w:rPr>
                <w:iCs/>
                <w:sz w:val="20"/>
                <w:szCs w:val="20"/>
              </w:rPr>
            </w:pPr>
          </w:p>
        </w:tc>
        <w:tc>
          <w:tcPr>
            <w:tcW w:w="2431" w:type="dxa"/>
            <w:gridSpan w:val="2"/>
          </w:tcPr>
          <w:p w:rsidR="00D731F3" w:rsidRPr="000F6A28" w:rsidRDefault="00FE65DC" w:rsidP="005F456B">
            <w:pPr>
              <w:pStyle w:val="Neotevilenodstavek"/>
              <w:widowControl w:val="0"/>
              <w:spacing w:before="0" w:after="0" w:line="260" w:lineRule="exact"/>
              <w:jc w:val="center"/>
              <w:rPr>
                <w:sz w:val="20"/>
                <w:szCs w:val="20"/>
              </w:rPr>
            </w:pPr>
            <w:r w:rsidRPr="000F6A28">
              <w:rPr>
                <w:sz w:val="20"/>
                <w:szCs w:val="20"/>
              </w:rPr>
              <w:t>DA</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D731F3" w:rsidRPr="000F6A28" w:rsidRDefault="00FE1B5A" w:rsidP="005F456B">
            <w:pPr>
              <w:pStyle w:val="Neotevilenodstavek"/>
              <w:widowControl w:val="0"/>
              <w:spacing w:before="0" w:after="0" w:line="260" w:lineRule="exact"/>
              <w:rPr>
                <w:iCs/>
                <w:sz w:val="20"/>
                <w:szCs w:val="20"/>
              </w:rPr>
            </w:pPr>
            <w:r w:rsidRPr="000F6A28">
              <w:rPr>
                <w:iCs/>
                <w:sz w:val="20"/>
                <w:szCs w:val="20"/>
              </w:rPr>
              <w:t>G</w:t>
            </w:r>
            <w:r w:rsidR="00F45BB5" w:rsidRPr="000F6A28">
              <w:rPr>
                <w:iCs/>
                <w:sz w:val="20"/>
                <w:szCs w:val="20"/>
              </w:rPr>
              <w:t>radivo (predpis)</w:t>
            </w:r>
            <w:r w:rsidR="0018551D" w:rsidRPr="000F6A28">
              <w:rPr>
                <w:iCs/>
                <w:sz w:val="20"/>
                <w:szCs w:val="20"/>
              </w:rPr>
              <w:t xml:space="preserve"> </w:t>
            </w:r>
            <w:r w:rsidRPr="000F6A28">
              <w:rPr>
                <w:iCs/>
                <w:sz w:val="20"/>
                <w:szCs w:val="20"/>
              </w:rPr>
              <w:t xml:space="preserve">je bilo </w:t>
            </w:r>
            <w:r w:rsidR="0018551D" w:rsidRPr="000F6A28">
              <w:rPr>
                <w:iCs/>
                <w:sz w:val="20"/>
                <w:szCs w:val="20"/>
              </w:rPr>
              <w:t>poslan</w:t>
            </w:r>
            <w:r w:rsidR="00F45BB5" w:rsidRPr="000F6A28">
              <w:rPr>
                <w:iCs/>
                <w:sz w:val="20"/>
                <w:szCs w:val="20"/>
              </w:rPr>
              <w:t>o</w:t>
            </w:r>
            <w:r w:rsidR="0018551D" w:rsidRPr="000F6A28">
              <w:rPr>
                <w:iCs/>
                <w:sz w:val="20"/>
                <w:szCs w:val="20"/>
              </w:rPr>
              <w:t xml:space="preserve"> v mnenje</w:t>
            </w:r>
            <w:r w:rsidR="00D731F3" w:rsidRPr="000F6A28">
              <w:rPr>
                <w:iCs/>
                <w:sz w:val="20"/>
                <w:szCs w:val="20"/>
              </w:rPr>
              <w:t xml:space="preserve">: </w:t>
            </w:r>
          </w:p>
          <w:p w:rsidR="00D731F3" w:rsidRPr="000F6A28" w:rsidRDefault="00D731F3" w:rsidP="00D731F3">
            <w:pPr>
              <w:pStyle w:val="Neotevilenodstavek"/>
              <w:widowControl w:val="0"/>
              <w:numPr>
                <w:ilvl w:val="0"/>
                <w:numId w:val="32"/>
              </w:numPr>
              <w:spacing w:before="0" w:after="0" w:line="260" w:lineRule="exact"/>
              <w:rPr>
                <w:iCs/>
                <w:sz w:val="20"/>
                <w:szCs w:val="20"/>
              </w:rPr>
            </w:pPr>
            <w:r w:rsidRPr="000F6A28">
              <w:rPr>
                <w:iCs/>
                <w:sz w:val="20"/>
                <w:szCs w:val="20"/>
              </w:rPr>
              <w:t>Skupnost</w:t>
            </w:r>
            <w:r w:rsidR="00FE1B5A" w:rsidRPr="000F6A28">
              <w:rPr>
                <w:iCs/>
                <w:sz w:val="20"/>
                <w:szCs w:val="20"/>
              </w:rPr>
              <w:t>i</w:t>
            </w:r>
            <w:r w:rsidRPr="000F6A28">
              <w:rPr>
                <w:iCs/>
                <w:sz w:val="20"/>
                <w:szCs w:val="20"/>
              </w:rPr>
              <w:t xml:space="preserve"> občin Slovenije SOS: NE</w:t>
            </w:r>
          </w:p>
          <w:p w:rsidR="00D731F3" w:rsidRPr="000F6A28" w:rsidRDefault="00D731F3" w:rsidP="00D731F3">
            <w:pPr>
              <w:pStyle w:val="Neotevilenodstavek"/>
              <w:widowControl w:val="0"/>
              <w:numPr>
                <w:ilvl w:val="0"/>
                <w:numId w:val="32"/>
              </w:numPr>
              <w:spacing w:before="0" w:after="0" w:line="260" w:lineRule="exact"/>
              <w:rPr>
                <w:iCs/>
                <w:sz w:val="20"/>
                <w:szCs w:val="20"/>
              </w:rPr>
            </w:pPr>
            <w:r w:rsidRPr="000F6A28">
              <w:rPr>
                <w:iCs/>
                <w:sz w:val="20"/>
                <w:szCs w:val="20"/>
              </w:rPr>
              <w:t>Združenj</w:t>
            </w:r>
            <w:r w:rsidR="00FE1B5A" w:rsidRPr="000F6A28">
              <w:rPr>
                <w:iCs/>
                <w:sz w:val="20"/>
                <w:szCs w:val="20"/>
              </w:rPr>
              <w:t>u</w:t>
            </w:r>
            <w:r w:rsidRPr="000F6A28">
              <w:rPr>
                <w:iCs/>
                <w:sz w:val="20"/>
                <w:szCs w:val="20"/>
              </w:rPr>
              <w:t xml:space="preserve"> občin Slovenije ZOS: NE</w:t>
            </w:r>
          </w:p>
          <w:p w:rsidR="00D731F3" w:rsidRPr="000F6A28" w:rsidRDefault="00D731F3" w:rsidP="00D731F3">
            <w:pPr>
              <w:pStyle w:val="Neotevilenodstavek"/>
              <w:widowControl w:val="0"/>
              <w:numPr>
                <w:ilvl w:val="0"/>
                <w:numId w:val="32"/>
              </w:numPr>
              <w:spacing w:before="0" w:after="0" w:line="260" w:lineRule="exact"/>
              <w:rPr>
                <w:iCs/>
                <w:sz w:val="20"/>
                <w:szCs w:val="20"/>
              </w:rPr>
            </w:pPr>
            <w:r w:rsidRPr="000F6A28">
              <w:rPr>
                <w:iCs/>
                <w:sz w:val="20"/>
                <w:szCs w:val="20"/>
              </w:rPr>
              <w:t>Združenj</w:t>
            </w:r>
            <w:r w:rsidR="00FE1B5A" w:rsidRPr="000F6A28">
              <w:rPr>
                <w:iCs/>
                <w:sz w:val="20"/>
                <w:szCs w:val="20"/>
              </w:rPr>
              <w:t>u</w:t>
            </w:r>
            <w:r w:rsidRPr="000F6A28">
              <w:rPr>
                <w:iCs/>
                <w:sz w:val="20"/>
                <w:szCs w:val="20"/>
              </w:rPr>
              <w:t xml:space="preserve"> mestnih občin Slovenije ZMOS: DA</w:t>
            </w:r>
            <w:r w:rsidR="00FE65DC" w:rsidRPr="000F6A28">
              <w:rPr>
                <w:iCs/>
                <w:sz w:val="20"/>
                <w:szCs w:val="20"/>
              </w:rPr>
              <w:t xml:space="preserve"> (vsebina predloženega gradiva zadeva le pristojnosti mestnih občin)</w:t>
            </w:r>
          </w:p>
          <w:p w:rsidR="00D731F3" w:rsidRPr="000F6A28" w:rsidRDefault="00D731F3" w:rsidP="005F456B">
            <w:pPr>
              <w:pStyle w:val="Neotevilenodstavek"/>
              <w:widowControl w:val="0"/>
              <w:spacing w:before="0" w:after="0" w:line="260" w:lineRule="exact"/>
              <w:rPr>
                <w:iCs/>
                <w:sz w:val="20"/>
                <w:szCs w:val="20"/>
              </w:rPr>
            </w:pPr>
          </w:p>
          <w:p w:rsidR="00B46C8D" w:rsidRPr="00B46C8D" w:rsidRDefault="00B46C8D" w:rsidP="00B46C8D">
            <w:pPr>
              <w:widowControl w:val="0"/>
              <w:overflowPunct w:val="0"/>
              <w:autoSpaceDE w:val="0"/>
              <w:autoSpaceDN w:val="0"/>
              <w:adjustRightInd w:val="0"/>
              <w:jc w:val="both"/>
              <w:textAlignment w:val="baseline"/>
              <w:rPr>
                <w:rFonts w:cs="Arial"/>
                <w:iCs/>
                <w:szCs w:val="20"/>
                <w:lang w:eastAsia="sl-SI"/>
              </w:rPr>
            </w:pPr>
            <w:r w:rsidRPr="00B46C8D">
              <w:rPr>
                <w:rFonts w:cs="Arial"/>
                <w:iCs/>
                <w:szCs w:val="20"/>
                <w:lang w:eastAsia="sl-SI"/>
              </w:rPr>
              <w:t>Predlogi in pripombe združenj so bili upoštevani:</w:t>
            </w:r>
          </w:p>
          <w:p w:rsidR="00B46C8D" w:rsidRPr="00B46C8D" w:rsidRDefault="00B46C8D" w:rsidP="00B46C8D">
            <w:pPr>
              <w:widowControl w:val="0"/>
              <w:numPr>
                <w:ilvl w:val="0"/>
                <w:numId w:val="33"/>
              </w:numPr>
              <w:overflowPunct w:val="0"/>
              <w:autoSpaceDE w:val="0"/>
              <w:autoSpaceDN w:val="0"/>
              <w:adjustRightInd w:val="0"/>
              <w:jc w:val="both"/>
              <w:textAlignment w:val="baseline"/>
              <w:rPr>
                <w:rFonts w:cs="Arial"/>
                <w:iCs/>
                <w:szCs w:val="20"/>
                <w:lang w:eastAsia="sl-SI"/>
              </w:rPr>
            </w:pPr>
            <w:r w:rsidRPr="00B46C8D">
              <w:rPr>
                <w:rFonts w:cs="Arial"/>
                <w:iCs/>
                <w:szCs w:val="20"/>
                <w:lang w:eastAsia="sl-SI"/>
              </w:rPr>
              <w:t>v celoti.</w:t>
            </w:r>
          </w:p>
          <w:p w:rsidR="00B46C8D" w:rsidRPr="000F6A28" w:rsidRDefault="00B46C8D" w:rsidP="00B46C8D">
            <w:pPr>
              <w:pStyle w:val="Neotevilenodstavek"/>
              <w:widowControl w:val="0"/>
              <w:spacing w:before="0" w:after="0" w:line="260" w:lineRule="exact"/>
              <w:rPr>
                <w:iCs/>
                <w:sz w:val="20"/>
                <w:szCs w:val="20"/>
              </w:rPr>
            </w:pPr>
          </w:p>
          <w:p w:rsidR="0018551D" w:rsidRPr="000F6A28" w:rsidRDefault="0018551D" w:rsidP="0018551D">
            <w:pPr>
              <w:pStyle w:val="Neotevilenodstavek"/>
              <w:widowControl w:val="0"/>
              <w:spacing w:before="0" w:after="0" w:line="260" w:lineRule="exact"/>
              <w:ind w:left="360"/>
              <w:rPr>
                <w:iCs/>
                <w:sz w:val="20"/>
                <w:szCs w:val="20"/>
              </w:rPr>
            </w:pPr>
          </w:p>
          <w:p w:rsidR="00D731F3" w:rsidRPr="000F6A28" w:rsidRDefault="0018551D" w:rsidP="0018551D">
            <w:pPr>
              <w:pStyle w:val="Neotevilenodstavek"/>
              <w:widowControl w:val="0"/>
              <w:spacing w:before="0" w:after="0" w:line="260" w:lineRule="exact"/>
              <w:rPr>
                <w:iCs/>
                <w:sz w:val="20"/>
                <w:szCs w:val="20"/>
              </w:rPr>
            </w:pPr>
            <w:r w:rsidRPr="000F6A28">
              <w:rPr>
                <w:iCs/>
                <w:sz w:val="20"/>
                <w:szCs w:val="20"/>
              </w:rPr>
              <w:t>Bistveni predlogi in pr</w:t>
            </w:r>
            <w:r w:rsidR="00C07BB2" w:rsidRPr="000F6A28">
              <w:rPr>
                <w:iCs/>
                <w:sz w:val="20"/>
                <w:szCs w:val="20"/>
              </w:rPr>
              <w:t>ipombe, ki niso bili upoštevani.</w:t>
            </w:r>
          </w:p>
          <w:p w:rsidR="00FE65DC" w:rsidRDefault="00FE65DC" w:rsidP="00E55DE5">
            <w:pPr>
              <w:pStyle w:val="Neotevilenodstavek"/>
              <w:widowControl w:val="0"/>
              <w:spacing w:before="0" w:after="0" w:line="260" w:lineRule="exact"/>
              <w:rPr>
                <w:iCs/>
                <w:sz w:val="20"/>
                <w:szCs w:val="20"/>
              </w:rPr>
            </w:pPr>
          </w:p>
          <w:p w:rsidR="008C2C92" w:rsidRPr="000F6A28" w:rsidRDefault="008C2C92" w:rsidP="00E55DE5">
            <w:pPr>
              <w:pStyle w:val="Neotevilenodstavek"/>
              <w:widowControl w:val="0"/>
              <w:spacing w:before="0" w:after="0" w:line="260" w:lineRule="exact"/>
              <w:rPr>
                <w:iCs/>
                <w:sz w:val="20"/>
                <w:szCs w:val="20"/>
              </w:rPr>
            </w:pP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lastRenderedPageBreak/>
              <w:t>9. Predstavitev sodelovanja javnosti:</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731F3" w:rsidRPr="00D063BD" w:rsidRDefault="00D731F3" w:rsidP="005F456B">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D731F3" w:rsidRPr="00D063BD" w:rsidRDefault="00D731F3" w:rsidP="005F456B">
            <w:pPr>
              <w:pStyle w:val="Neotevilenodstavek"/>
              <w:widowControl w:val="0"/>
              <w:spacing w:before="0" w:after="0" w:line="260" w:lineRule="exact"/>
              <w:jc w:val="center"/>
              <w:rPr>
                <w:iCs/>
                <w:sz w:val="20"/>
                <w:szCs w:val="20"/>
              </w:rPr>
            </w:pPr>
            <w:r w:rsidRPr="008F3BA3">
              <w:rPr>
                <w:sz w:val="20"/>
                <w:szCs w:val="20"/>
              </w:rPr>
              <w:t>NE</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B6CA3" w:rsidRPr="00EF2894" w:rsidRDefault="007A1E25" w:rsidP="00FF0EFA">
            <w:pPr>
              <w:pStyle w:val="Neotevilenodstavek"/>
              <w:widowControl w:val="0"/>
              <w:spacing w:before="0" w:after="0" w:line="260" w:lineRule="exact"/>
              <w:rPr>
                <w:iCs/>
                <w:sz w:val="20"/>
                <w:szCs w:val="20"/>
                <w:highlight w:val="yellow"/>
              </w:rPr>
            </w:pPr>
            <w:r w:rsidRPr="000F6A28">
              <w:rPr>
                <w:iCs/>
                <w:sz w:val="20"/>
                <w:szCs w:val="20"/>
              </w:rPr>
              <w:t>Gradivo se je usklajevalo z organi, ki jih spremembe in dopolnitve uredbe zadevajo</w:t>
            </w:r>
            <w:r w:rsidR="006E123E">
              <w:rPr>
                <w:iCs/>
                <w:sz w:val="20"/>
                <w:szCs w:val="20"/>
              </w:rPr>
              <w:t>, zato je predlagatelj izpustil objavo na spletni strani.</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731F3" w:rsidRPr="00D063BD" w:rsidRDefault="00D731F3" w:rsidP="005F456B">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D731F3" w:rsidRPr="00D063BD" w:rsidRDefault="00D731F3" w:rsidP="007E0605">
            <w:pPr>
              <w:pStyle w:val="Neotevilenodstavek"/>
              <w:widowControl w:val="0"/>
              <w:spacing w:before="0" w:after="0" w:line="260" w:lineRule="exact"/>
              <w:jc w:val="center"/>
              <w:rPr>
                <w:iCs/>
                <w:sz w:val="20"/>
                <w:szCs w:val="20"/>
              </w:rPr>
            </w:pPr>
            <w:r w:rsidRPr="00D063BD">
              <w:rPr>
                <w:sz w:val="20"/>
                <w:szCs w:val="20"/>
              </w:rPr>
              <w:t>DA</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D731F3" w:rsidRPr="00D063BD" w:rsidRDefault="007E0605" w:rsidP="007E0605">
            <w:pPr>
              <w:pStyle w:val="Neotevilenodstavek"/>
              <w:widowControl w:val="0"/>
              <w:spacing w:before="0" w:after="0" w:line="260" w:lineRule="exact"/>
              <w:jc w:val="center"/>
              <w:rPr>
                <w:sz w:val="20"/>
                <w:szCs w:val="20"/>
              </w:rPr>
            </w:pPr>
            <w:r>
              <w:rPr>
                <w:sz w:val="20"/>
                <w:szCs w:val="20"/>
              </w:rPr>
              <w:t>DA</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D731F3" w:rsidRPr="007E0605" w:rsidRDefault="00D731F3" w:rsidP="005F456B">
            <w:pPr>
              <w:pStyle w:val="Poglavje"/>
              <w:widowControl w:val="0"/>
              <w:spacing w:before="0" w:after="0" w:line="260" w:lineRule="exact"/>
              <w:ind w:left="3400"/>
              <w:jc w:val="left"/>
              <w:rPr>
                <w:sz w:val="20"/>
                <w:szCs w:val="20"/>
              </w:rPr>
            </w:pPr>
          </w:p>
          <w:p w:rsidR="002F4BDC" w:rsidRDefault="002F4BDC" w:rsidP="002F4BDC">
            <w:pPr>
              <w:autoSpaceDE w:val="0"/>
              <w:autoSpaceDN w:val="0"/>
              <w:adjustRightInd w:val="0"/>
              <w:spacing w:line="240" w:lineRule="auto"/>
              <w:jc w:val="center"/>
              <w:rPr>
                <w:rFonts w:cs="Arial"/>
                <w:b/>
                <w:bCs/>
                <w:color w:val="000000"/>
                <w:szCs w:val="20"/>
              </w:rPr>
            </w:pPr>
            <w:r>
              <w:rPr>
                <w:rFonts w:cs="Arial"/>
                <w:b/>
                <w:bCs/>
                <w:color w:val="000000"/>
                <w:szCs w:val="20"/>
              </w:rPr>
              <w:t xml:space="preserve">                                        </w:t>
            </w:r>
            <w:r>
              <w:rPr>
                <w:rFonts w:cs="Arial"/>
                <w:b/>
                <w:bCs/>
                <w:color w:val="000000"/>
                <w:szCs w:val="20"/>
              </w:rPr>
              <w:t>Alenka Smerkolj</w:t>
            </w:r>
          </w:p>
          <w:p w:rsidR="002F4BDC" w:rsidRDefault="002F4BDC" w:rsidP="002F4BDC">
            <w:pPr>
              <w:autoSpaceDE w:val="0"/>
              <w:autoSpaceDN w:val="0"/>
              <w:adjustRightInd w:val="0"/>
              <w:spacing w:line="240" w:lineRule="auto"/>
              <w:jc w:val="center"/>
              <w:rPr>
                <w:rFonts w:cs="Arial"/>
                <w:b/>
                <w:bCs/>
                <w:color w:val="000000"/>
                <w:szCs w:val="20"/>
              </w:rPr>
            </w:pPr>
            <w:r>
              <w:rPr>
                <w:rFonts w:cs="Arial"/>
                <w:b/>
                <w:bCs/>
                <w:color w:val="000000"/>
                <w:szCs w:val="20"/>
              </w:rPr>
              <w:t xml:space="preserve">                                        </w:t>
            </w:r>
            <w:r>
              <w:rPr>
                <w:rFonts w:cs="Arial"/>
                <w:b/>
                <w:bCs/>
                <w:color w:val="000000"/>
                <w:szCs w:val="20"/>
              </w:rPr>
              <w:t>ministrica</w:t>
            </w:r>
          </w:p>
          <w:p w:rsidR="002F4BDC" w:rsidRDefault="002F4BDC" w:rsidP="002F4BDC">
            <w:pPr>
              <w:autoSpaceDE w:val="0"/>
              <w:autoSpaceDN w:val="0"/>
              <w:adjustRightInd w:val="0"/>
              <w:spacing w:line="240" w:lineRule="auto"/>
              <w:jc w:val="center"/>
              <w:rPr>
                <w:rFonts w:cs="Arial"/>
                <w:b/>
                <w:bCs/>
                <w:color w:val="000000"/>
                <w:szCs w:val="20"/>
              </w:rPr>
            </w:pPr>
          </w:p>
          <w:p w:rsidR="002F4BDC" w:rsidRDefault="002F4BDC" w:rsidP="002F4BDC">
            <w:pPr>
              <w:autoSpaceDE w:val="0"/>
              <w:autoSpaceDN w:val="0"/>
              <w:adjustRightInd w:val="0"/>
              <w:spacing w:line="240" w:lineRule="auto"/>
              <w:jc w:val="center"/>
              <w:rPr>
                <w:rFonts w:cs="Arial"/>
                <w:b/>
                <w:bCs/>
                <w:color w:val="000000"/>
                <w:szCs w:val="20"/>
              </w:rPr>
            </w:pPr>
            <w:r>
              <w:rPr>
                <w:rFonts w:cs="Arial"/>
                <w:b/>
                <w:bCs/>
                <w:color w:val="000000"/>
                <w:szCs w:val="20"/>
              </w:rPr>
              <w:t xml:space="preserve">                                    </w:t>
            </w:r>
            <w:bookmarkStart w:id="0" w:name="_GoBack"/>
            <w:bookmarkEnd w:id="0"/>
            <w:r>
              <w:rPr>
                <w:rFonts w:cs="Arial"/>
                <w:b/>
                <w:bCs/>
                <w:color w:val="000000"/>
                <w:szCs w:val="20"/>
              </w:rPr>
              <w:t xml:space="preserve"> </w:t>
            </w:r>
            <w:r>
              <w:rPr>
                <w:rFonts w:cs="Arial"/>
                <w:b/>
                <w:bCs/>
                <w:color w:val="000000"/>
                <w:szCs w:val="20"/>
              </w:rPr>
              <w:t>po pooblastilu ministrice,</w:t>
            </w:r>
          </w:p>
          <w:p w:rsidR="002F4BDC" w:rsidRDefault="002F4BDC" w:rsidP="002F4BDC">
            <w:pPr>
              <w:autoSpaceDE w:val="0"/>
              <w:autoSpaceDN w:val="0"/>
              <w:adjustRightInd w:val="0"/>
              <w:spacing w:line="240" w:lineRule="auto"/>
              <w:jc w:val="center"/>
              <w:rPr>
                <w:rFonts w:cs="Arial"/>
                <w:b/>
                <w:bCs/>
                <w:color w:val="000000"/>
                <w:szCs w:val="20"/>
              </w:rPr>
            </w:pPr>
            <w:r>
              <w:rPr>
                <w:rFonts w:cs="Arial"/>
                <w:b/>
                <w:bCs/>
                <w:color w:val="000000"/>
                <w:szCs w:val="20"/>
              </w:rPr>
              <w:t xml:space="preserve">                                  </w:t>
            </w:r>
            <w:r>
              <w:rPr>
                <w:rFonts w:cs="Arial"/>
                <w:b/>
                <w:bCs/>
                <w:color w:val="000000"/>
                <w:szCs w:val="20"/>
              </w:rPr>
              <w:t>št. 0204-9/2014/83, z dne 20.11.2014</w:t>
            </w:r>
          </w:p>
          <w:p w:rsidR="002F4BDC" w:rsidRDefault="002F4BDC" w:rsidP="002F4BDC">
            <w:pPr>
              <w:autoSpaceDE w:val="0"/>
              <w:autoSpaceDN w:val="0"/>
              <w:adjustRightInd w:val="0"/>
              <w:spacing w:line="240" w:lineRule="auto"/>
              <w:jc w:val="center"/>
              <w:rPr>
                <w:rFonts w:cs="Arial"/>
                <w:b/>
                <w:bCs/>
                <w:color w:val="000000"/>
                <w:szCs w:val="20"/>
              </w:rPr>
            </w:pPr>
            <w:r>
              <w:rPr>
                <w:rFonts w:cs="Arial"/>
                <w:b/>
                <w:bCs/>
                <w:color w:val="000000"/>
                <w:szCs w:val="20"/>
              </w:rPr>
              <w:t xml:space="preserve">                                    </w:t>
            </w:r>
            <w:r>
              <w:rPr>
                <w:rFonts w:cs="Arial"/>
                <w:b/>
                <w:bCs/>
                <w:color w:val="000000"/>
                <w:szCs w:val="20"/>
              </w:rPr>
              <w:t>Franc Matjaž Zupančič</w:t>
            </w:r>
          </w:p>
          <w:p w:rsidR="00D731F3" w:rsidRPr="002F4BDC" w:rsidRDefault="002F4BDC" w:rsidP="002F4BDC">
            <w:pPr>
              <w:pStyle w:val="Poglavje"/>
              <w:widowControl w:val="0"/>
              <w:spacing w:before="0" w:after="0" w:line="260" w:lineRule="exact"/>
              <w:jc w:val="left"/>
              <w:rPr>
                <w:sz w:val="20"/>
                <w:szCs w:val="20"/>
              </w:rPr>
            </w:pPr>
            <w:r>
              <w:rPr>
                <w:b w:val="0"/>
                <w:bCs/>
                <w:color w:val="000000"/>
                <w:szCs w:val="20"/>
              </w:rPr>
              <w:t xml:space="preserve">                                                                                </w:t>
            </w:r>
            <w:r w:rsidRPr="002F4BDC">
              <w:rPr>
                <w:bCs/>
                <w:color w:val="000000"/>
                <w:sz w:val="20"/>
                <w:szCs w:val="20"/>
              </w:rPr>
              <w:t>državni sekretar</w:t>
            </w:r>
          </w:p>
        </w:tc>
      </w:tr>
    </w:tbl>
    <w:p w:rsidR="00D731F3" w:rsidRPr="008D1759" w:rsidRDefault="00D731F3" w:rsidP="00D731F3">
      <w:pPr>
        <w:keepLines/>
        <w:framePr w:w="9962" w:wrap="auto" w:hAnchor="text" w:x="1300"/>
        <w:rPr>
          <w:rFonts w:cs="Arial"/>
          <w:szCs w:val="20"/>
        </w:rPr>
        <w:sectPr w:rsidR="00D731F3" w:rsidRPr="008D1759" w:rsidSect="0060499D">
          <w:footerReference w:type="default" r:id="rId10"/>
          <w:headerReference w:type="first" r:id="rId11"/>
          <w:pgSz w:w="11906" w:h="16838"/>
          <w:pgMar w:top="1418" w:right="1418" w:bottom="1418" w:left="1418" w:header="907" w:footer="567" w:gutter="0"/>
          <w:cols w:space="708"/>
          <w:titlePg/>
          <w:docGrid w:linePitch="360"/>
        </w:sectPr>
      </w:pPr>
    </w:p>
    <w:p w:rsidR="005C3211" w:rsidRPr="005C3211" w:rsidRDefault="005C3211" w:rsidP="005C3211">
      <w:pPr>
        <w:tabs>
          <w:tab w:val="right" w:pos="9072"/>
        </w:tabs>
        <w:suppressAutoHyphens/>
        <w:overflowPunct w:val="0"/>
        <w:autoSpaceDE w:val="0"/>
        <w:autoSpaceDN w:val="0"/>
        <w:adjustRightInd w:val="0"/>
        <w:spacing w:line="240" w:lineRule="auto"/>
        <w:textAlignment w:val="baseline"/>
        <w:rPr>
          <w:szCs w:val="20"/>
          <w:lang w:eastAsia="sl-SI"/>
        </w:rPr>
      </w:pPr>
      <w:r>
        <w:rPr>
          <w:szCs w:val="20"/>
          <w:lang w:eastAsia="sl-SI"/>
        </w:rPr>
        <w:lastRenderedPageBreak/>
        <w:tab/>
      </w:r>
      <w:r w:rsidRPr="005C3211">
        <w:rPr>
          <w:szCs w:val="20"/>
          <w:lang w:eastAsia="sl-SI"/>
        </w:rPr>
        <w:t>PREDLOG</w:t>
      </w:r>
    </w:p>
    <w:p w:rsidR="005C3211" w:rsidRPr="005C3211" w:rsidRDefault="005C3211" w:rsidP="005C3211">
      <w:pPr>
        <w:tabs>
          <w:tab w:val="right" w:pos="9072"/>
        </w:tabs>
        <w:suppressAutoHyphens/>
        <w:overflowPunct w:val="0"/>
        <w:autoSpaceDE w:val="0"/>
        <w:autoSpaceDN w:val="0"/>
        <w:adjustRightInd w:val="0"/>
        <w:spacing w:line="240" w:lineRule="auto"/>
        <w:ind w:firstLine="8"/>
        <w:textAlignment w:val="baseline"/>
        <w:rPr>
          <w:szCs w:val="20"/>
          <w:lang w:eastAsia="sl-SI"/>
        </w:rPr>
      </w:pPr>
      <w:r>
        <w:rPr>
          <w:rFonts w:cs="Arial"/>
          <w:szCs w:val="20"/>
          <w:lang w:eastAsia="sl-SI"/>
        </w:rPr>
        <w:tab/>
      </w:r>
      <w:r w:rsidRPr="005C3211">
        <w:rPr>
          <w:rFonts w:cs="Arial"/>
          <w:szCs w:val="20"/>
          <w:lang w:eastAsia="sl-SI"/>
        </w:rPr>
        <w:t>(</w:t>
      </w:r>
      <w:r w:rsidRPr="004A5DCC">
        <w:rPr>
          <w:rFonts w:cs="Arial"/>
          <w:szCs w:val="20"/>
          <w:lang w:eastAsia="sl-SI"/>
        </w:rPr>
        <w:t xml:space="preserve">EVA </w:t>
      </w:r>
      <w:r w:rsidRPr="004A5DCC">
        <w:rPr>
          <w:rFonts w:cs="Arial"/>
          <w:iCs/>
          <w:szCs w:val="20"/>
          <w:lang w:val="x-none" w:eastAsia="sl-SI"/>
        </w:rPr>
        <w:t>201</w:t>
      </w:r>
      <w:r w:rsidR="004A5DCC" w:rsidRPr="004A5DCC">
        <w:rPr>
          <w:rFonts w:cs="Arial"/>
          <w:iCs/>
          <w:szCs w:val="20"/>
          <w:lang w:eastAsia="sl-SI"/>
        </w:rPr>
        <w:t>6</w:t>
      </w:r>
      <w:r w:rsidRPr="004A5DCC">
        <w:rPr>
          <w:rFonts w:cs="Arial"/>
          <w:iCs/>
          <w:szCs w:val="20"/>
          <w:lang w:val="x-none" w:eastAsia="sl-SI"/>
        </w:rPr>
        <w:t>-1541-000</w:t>
      </w:r>
      <w:r w:rsidR="004A5DCC" w:rsidRPr="004A5DCC">
        <w:rPr>
          <w:rFonts w:cs="Arial"/>
          <w:iCs/>
          <w:szCs w:val="20"/>
          <w:lang w:eastAsia="sl-SI"/>
        </w:rPr>
        <w:t>2</w:t>
      </w:r>
      <w:r w:rsidRPr="004A5DCC">
        <w:rPr>
          <w:rFonts w:eastAsia="Calibri" w:cs="Arial"/>
          <w:bCs/>
          <w:color w:val="000000"/>
          <w:szCs w:val="20"/>
          <w:lang w:eastAsia="sl-SI"/>
        </w:rPr>
        <w:t>)</w:t>
      </w:r>
    </w:p>
    <w:p w:rsidR="005C3211" w:rsidRPr="004A5DCC" w:rsidRDefault="005C3211" w:rsidP="005C3211">
      <w:pPr>
        <w:spacing w:line="260" w:lineRule="atLeast"/>
        <w:jc w:val="both"/>
      </w:pPr>
    </w:p>
    <w:p w:rsidR="005C3211" w:rsidRPr="005C3211" w:rsidRDefault="005C3211" w:rsidP="005C3211">
      <w:pPr>
        <w:spacing w:line="260" w:lineRule="atLeast"/>
        <w:jc w:val="both"/>
        <w:rPr>
          <w:rFonts w:cs="Arial"/>
        </w:rPr>
      </w:pPr>
      <w:r w:rsidRPr="005C3211">
        <w:rPr>
          <w:rFonts w:cs="Arial"/>
          <w:kern w:val="22"/>
          <w:lang w:eastAsia="hi-IN" w:bidi="hi-IN"/>
        </w:rPr>
        <w:t>Na podlagi sedmega odstavka 21. člena Zakona o Vladi Republike Slovenije (Uradni list RS, št. 24/05 – uradno prečiščeno besedilo, 109/08, 38/10 – ZUKN, 8/12, 21/13, 47/13 – ZDU-1G in 65/14) Vlada Republike Slovenije izdaja</w:t>
      </w:r>
    </w:p>
    <w:p w:rsidR="005C3211" w:rsidRPr="005C3211" w:rsidRDefault="005C3211" w:rsidP="005C3211">
      <w:pPr>
        <w:suppressAutoHyphens/>
        <w:spacing w:line="240" w:lineRule="auto"/>
        <w:jc w:val="both"/>
        <w:rPr>
          <w:rFonts w:eastAsia="SimSun" w:cs="Arial"/>
          <w:color w:val="FF0000"/>
          <w:kern w:val="2"/>
          <w:lang w:eastAsia="hi-IN" w:bidi="hi-IN"/>
        </w:rPr>
      </w:pPr>
    </w:p>
    <w:p w:rsidR="005C3211" w:rsidRPr="005C3211" w:rsidRDefault="005C3211" w:rsidP="005C3211">
      <w:pPr>
        <w:spacing w:line="260" w:lineRule="atLeast"/>
        <w:jc w:val="both"/>
        <w:rPr>
          <w:rFonts w:cs="Arial"/>
          <w:kern w:val="22"/>
          <w:lang w:eastAsia="hi-IN" w:bidi="hi-IN"/>
        </w:rPr>
      </w:pPr>
    </w:p>
    <w:p w:rsidR="005C3211" w:rsidRPr="005C3211" w:rsidRDefault="005C3211" w:rsidP="005C3211">
      <w:pPr>
        <w:spacing w:line="260" w:lineRule="atLeast"/>
        <w:jc w:val="center"/>
        <w:rPr>
          <w:rFonts w:cs="Arial"/>
          <w:b/>
          <w:spacing w:val="20"/>
          <w:lang w:eastAsia="hi-IN" w:bidi="hi-IN"/>
        </w:rPr>
      </w:pPr>
      <w:r w:rsidRPr="005C3211">
        <w:rPr>
          <w:rFonts w:cs="Arial"/>
          <w:b/>
          <w:spacing w:val="20"/>
          <w:lang w:eastAsia="hi-IN" w:bidi="hi-IN"/>
        </w:rPr>
        <w:t>UREDBO</w:t>
      </w:r>
    </w:p>
    <w:p w:rsidR="005C3211" w:rsidRDefault="005C3211" w:rsidP="00607F40">
      <w:pPr>
        <w:suppressAutoHyphens/>
        <w:spacing w:line="240" w:lineRule="auto"/>
        <w:jc w:val="center"/>
        <w:rPr>
          <w:rFonts w:eastAsia="SimSun" w:cs="Arial"/>
          <w:b/>
          <w:kern w:val="2"/>
          <w:lang w:eastAsia="hi-IN" w:bidi="hi-IN"/>
        </w:rPr>
      </w:pPr>
      <w:r w:rsidRPr="005C3211">
        <w:rPr>
          <w:rFonts w:eastAsia="SimSun" w:cs="Arial"/>
          <w:b/>
          <w:kern w:val="2"/>
          <w:lang w:eastAsia="hi-IN" w:bidi="hi-IN"/>
        </w:rPr>
        <w:t>o spremembah in dopolnitvah Uredbe o porabi sredstev evropske kohezijske politike v Republiki Sloveniji v programskem obdobju 2014–2020 za cilj naložbe za rast in delovna mesta</w:t>
      </w:r>
    </w:p>
    <w:p w:rsidR="00607F40" w:rsidRDefault="00607F40" w:rsidP="00607F40">
      <w:pPr>
        <w:suppressAutoHyphens/>
        <w:spacing w:line="240" w:lineRule="auto"/>
        <w:jc w:val="center"/>
        <w:rPr>
          <w:rFonts w:eastAsia="SimSun" w:cs="Arial"/>
          <w:b/>
          <w:kern w:val="2"/>
          <w:lang w:eastAsia="hi-IN" w:bidi="hi-IN"/>
        </w:rPr>
      </w:pPr>
    </w:p>
    <w:p w:rsidR="00607F40" w:rsidRDefault="00607F40" w:rsidP="00607F40">
      <w:pPr>
        <w:suppressAutoHyphens/>
        <w:spacing w:line="240" w:lineRule="auto"/>
        <w:jc w:val="center"/>
        <w:rPr>
          <w:rFonts w:eastAsia="SimSun" w:cs="Arial"/>
          <w:b/>
          <w:kern w:val="2"/>
          <w:lang w:eastAsia="hi-IN" w:bidi="hi-IN"/>
        </w:rPr>
      </w:pPr>
    </w:p>
    <w:p w:rsidR="00F87E7C" w:rsidRPr="00607F40" w:rsidRDefault="00F87E7C" w:rsidP="00607F40">
      <w:pPr>
        <w:suppressAutoHyphens/>
        <w:spacing w:line="240" w:lineRule="auto"/>
        <w:jc w:val="center"/>
        <w:rPr>
          <w:rFonts w:eastAsia="SimSun" w:cs="Arial"/>
          <w:b/>
          <w:kern w:val="2"/>
          <w:lang w:eastAsia="hi-IN" w:bidi="hi-IN"/>
        </w:rPr>
      </w:pPr>
    </w:p>
    <w:p w:rsidR="005C3211" w:rsidRPr="005C3211" w:rsidRDefault="005C3211" w:rsidP="005C3211">
      <w:pPr>
        <w:suppressAutoHyphens/>
        <w:spacing w:line="240" w:lineRule="auto"/>
        <w:jc w:val="center"/>
        <w:rPr>
          <w:rFonts w:cs="Arial"/>
          <w:b/>
          <w:kern w:val="2"/>
        </w:rPr>
      </w:pPr>
      <w:r w:rsidRPr="005C3211">
        <w:rPr>
          <w:rFonts w:cs="Arial"/>
          <w:b/>
          <w:kern w:val="2"/>
        </w:rPr>
        <w:t>1. člen</w:t>
      </w:r>
    </w:p>
    <w:p w:rsidR="00FE14CB" w:rsidRDefault="00FE14CB" w:rsidP="00FE14CB">
      <w:pPr>
        <w:suppressAutoHyphens/>
        <w:spacing w:line="240" w:lineRule="auto"/>
        <w:jc w:val="both"/>
        <w:rPr>
          <w:rFonts w:cs="Arial"/>
          <w:szCs w:val="20"/>
          <w:lang w:eastAsia="ar-SA"/>
        </w:rPr>
      </w:pPr>
    </w:p>
    <w:p w:rsidR="00B24B57" w:rsidRDefault="00B24B57" w:rsidP="00B24B57">
      <w:pPr>
        <w:jc w:val="both"/>
        <w:rPr>
          <w:rFonts w:cs="Arial"/>
          <w:bCs/>
          <w:szCs w:val="20"/>
        </w:rPr>
      </w:pPr>
      <w:r>
        <w:rPr>
          <w:rFonts w:cs="Arial"/>
          <w:szCs w:val="20"/>
        </w:rPr>
        <w:t xml:space="preserve">V Uredbi </w:t>
      </w:r>
      <w:r w:rsidRPr="00D97991">
        <w:rPr>
          <w:rFonts w:cs="Arial"/>
          <w:szCs w:val="20"/>
        </w:rPr>
        <w:t xml:space="preserve">o porabi sredstev evropske kohezijske politike v Republiki Sloveniji v programskem obdobju 2014–2020 za cilj naložbe za rast in delovna mesta </w:t>
      </w:r>
      <w:r w:rsidRPr="00D97991">
        <w:rPr>
          <w:rFonts w:cs="Arial"/>
          <w:bCs/>
          <w:szCs w:val="20"/>
        </w:rPr>
        <w:t>(Uradni list RS, št. 29/15 in 36/16) se v prvem odstavku 8. člena</w:t>
      </w:r>
      <w:r>
        <w:rPr>
          <w:rFonts w:cs="Arial"/>
          <w:bCs/>
          <w:szCs w:val="20"/>
        </w:rPr>
        <w:t>:</w:t>
      </w:r>
      <w:r w:rsidRPr="00D97991">
        <w:rPr>
          <w:rFonts w:cs="Arial"/>
          <w:bCs/>
          <w:szCs w:val="20"/>
        </w:rPr>
        <w:t xml:space="preserve"> </w:t>
      </w:r>
    </w:p>
    <w:p w:rsidR="00B24B57" w:rsidRDefault="00B24B57" w:rsidP="00B24B57">
      <w:pPr>
        <w:autoSpaceDE w:val="0"/>
        <w:autoSpaceDN w:val="0"/>
        <w:adjustRightInd w:val="0"/>
        <w:rPr>
          <w:rFonts w:cs="Arial"/>
          <w:color w:val="000000"/>
          <w:szCs w:val="20"/>
          <w:lang w:eastAsia="sl-SI"/>
        </w:rPr>
      </w:pPr>
      <w:r>
        <w:rPr>
          <w:rFonts w:cs="Arial"/>
          <w:color w:val="000000"/>
          <w:szCs w:val="20"/>
          <w:lang w:eastAsia="sl-SI"/>
        </w:rPr>
        <w:t xml:space="preserve">- na koncu pete alineje črta vejica in doda beseda »in«, </w:t>
      </w:r>
    </w:p>
    <w:p w:rsidR="00B24B57" w:rsidRDefault="00B24B57" w:rsidP="00B24B57">
      <w:pPr>
        <w:autoSpaceDE w:val="0"/>
        <w:autoSpaceDN w:val="0"/>
        <w:adjustRightInd w:val="0"/>
        <w:rPr>
          <w:rFonts w:cs="Arial"/>
          <w:color w:val="000000"/>
          <w:szCs w:val="20"/>
          <w:lang w:eastAsia="sl-SI"/>
        </w:rPr>
      </w:pPr>
      <w:r>
        <w:rPr>
          <w:rFonts w:cs="Arial"/>
          <w:color w:val="000000"/>
          <w:szCs w:val="20"/>
          <w:lang w:eastAsia="sl-SI"/>
        </w:rPr>
        <w:t>- na koncu šeste alineje črta beseda »in« ter se doda pika in</w:t>
      </w:r>
    </w:p>
    <w:p w:rsidR="00B24B57" w:rsidRDefault="00B24B57" w:rsidP="00B24B57">
      <w:pPr>
        <w:rPr>
          <w:rFonts w:cs="Arial"/>
          <w:color w:val="000000"/>
          <w:szCs w:val="20"/>
          <w:lang w:eastAsia="sl-SI"/>
        </w:rPr>
      </w:pPr>
      <w:r>
        <w:rPr>
          <w:rFonts w:cs="Arial"/>
          <w:color w:val="000000"/>
          <w:szCs w:val="20"/>
          <w:lang w:eastAsia="sl-SI"/>
        </w:rPr>
        <w:t>- črta sedma alineja.</w:t>
      </w:r>
    </w:p>
    <w:p w:rsidR="005C3211" w:rsidRPr="005C3211" w:rsidRDefault="005C3211" w:rsidP="005C3211">
      <w:pPr>
        <w:suppressAutoHyphens/>
        <w:spacing w:before="480" w:line="240" w:lineRule="auto"/>
        <w:jc w:val="center"/>
        <w:rPr>
          <w:rFonts w:cs="Arial"/>
          <w:b/>
          <w:kern w:val="2"/>
        </w:rPr>
      </w:pPr>
      <w:r w:rsidRPr="005C3211">
        <w:rPr>
          <w:rFonts w:cs="Arial"/>
          <w:b/>
          <w:kern w:val="2"/>
        </w:rPr>
        <w:t>2. člen</w:t>
      </w:r>
    </w:p>
    <w:p w:rsidR="00FE14CB" w:rsidRDefault="00FE14CB" w:rsidP="00FE14CB">
      <w:pPr>
        <w:rPr>
          <w:rFonts w:cs="Arial"/>
          <w:szCs w:val="20"/>
        </w:rPr>
      </w:pPr>
    </w:p>
    <w:p w:rsidR="00654D8D" w:rsidRPr="00FE14CB" w:rsidRDefault="00FE14CB" w:rsidP="00FE14CB">
      <w:pPr>
        <w:rPr>
          <w:rFonts w:cs="Arial"/>
          <w:szCs w:val="20"/>
        </w:rPr>
      </w:pPr>
      <w:r>
        <w:rPr>
          <w:rFonts w:cs="Arial"/>
          <w:szCs w:val="20"/>
        </w:rPr>
        <w:t>Četrti in peti odstavek 10. člena se črtata.</w:t>
      </w:r>
    </w:p>
    <w:p w:rsidR="005C3211" w:rsidRPr="005C3211" w:rsidRDefault="00B70ED5" w:rsidP="005C3211">
      <w:pPr>
        <w:suppressAutoHyphens/>
        <w:spacing w:before="480" w:line="240" w:lineRule="auto"/>
        <w:jc w:val="center"/>
        <w:rPr>
          <w:rFonts w:cs="Arial"/>
          <w:b/>
          <w:kern w:val="2"/>
        </w:rPr>
      </w:pPr>
      <w:r>
        <w:rPr>
          <w:rFonts w:cs="Arial"/>
          <w:b/>
          <w:kern w:val="2"/>
        </w:rPr>
        <w:t>3</w:t>
      </w:r>
      <w:r w:rsidR="005C3211" w:rsidRPr="005C3211">
        <w:rPr>
          <w:rFonts w:cs="Arial"/>
          <w:b/>
          <w:kern w:val="2"/>
        </w:rPr>
        <w:t>. člen</w:t>
      </w:r>
    </w:p>
    <w:p w:rsidR="005C3211" w:rsidRPr="005C3211" w:rsidRDefault="005C3211" w:rsidP="005C3211">
      <w:pPr>
        <w:suppressAutoHyphens/>
        <w:spacing w:line="240" w:lineRule="auto"/>
        <w:jc w:val="center"/>
        <w:rPr>
          <w:rFonts w:cs="Arial"/>
          <w:b/>
          <w:kern w:val="2"/>
        </w:rPr>
      </w:pPr>
    </w:p>
    <w:p w:rsidR="000F6A28" w:rsidRPr="000F6A28" w:rsidRDefault="000F6A28" w:rsidP="000F6A28">
      <w:pPr>
        <w:suppressAutoHyphens/>
        <w:spacing w:line="240" w:lineRule="auto"/>
        <w:jc w:val="both"/>
        <w:rPr>
          <w:rFonts w:cs="Arial"/>
          <w:kern w:val="2"/>
        </w:rPr>
      </w:pPr>
    </w:p>
    <w:p w:rsidR="00CA3919" w:rsidRDefault="00FE14CB" w:rsidP="00FE14CB">
      <w:pPr>
        <w:rPr>
          <w:rFonts w:cs="Arial"/>
          <w:szCs w:val="20"/>
        </w:rPr>
      </w:pPr>
      <w:r>
        <w:rPr>
          <w:rFonts w:cs="Arial"/>
          <w:szCs w:val="20"/>
        </w:rPr>
        <w:t xml:space="preserve">Za 10. členom se dodata nova </w:t>
      </w:r>
      <w:proofErr w:type="spellStart"/>
      <w:r>
        <w:rPr>
          <w:rFonts w:cs="Arial"/>
          <w:szCs w:val="20"/>
        </w:rPr>
        <w:t>10.a</w:t>
      </w:r>
      <w:proofErr w:type="spellEnd"/>
      <w:r>
        <w:rPr>
          <w:rFonts w:cs="Arial"/>
          <w:szCs w:val="20"/>
        </w:rPr>
        <w:t xml:space="preserve"> in </w:t>
      </w:r>
      <w:proofErr w:type="spellStart"/>
      <w:r>
        <w:rPr>
          <w:rFonts w:cs="Arial"/>
          <w:szCs w:val="20"/>
        </w:rPr>
        <w:t>10.b</w:t>
      </w:r>
      <w:proofErr w:type="spellEnd"/>
      <w:r>
        <w:rPr>
          <w:rFonts w:cs="Arial"/>
          <w:szCs w:val="20"/>
        </w:rPr>
        <w:t xml:space="preserve"> člena, ki se glasita: </w:t>
      </w:r>
    </w:p>
    <w:p w:rsidR="00B24B57" w:rsidRDefault="00B24B57" w:rsidP="00FE14CB">
      <w:pPr>
        <w:rPr>
          <w:rFonts w:cs="Arial"/>
          <w:szCs w:val="20"/>
        </w:rPr>
      </w:pPr>
    </w:p>
    <w:p w:rsidR="00B24B57" w:rsidRPr="009B669A" w:rsidRDefault="00B24B57" w:rsidP="00B24B57">
      <w:pPr>
        <w:pStyle w:val="len"/>
        <w:spacing w:before="0"/>
        <w:rPr>
          <w:sz w:val="20"/>
          <w:szCs w:val="20"/>
        </w:rPr>
      </w:pPr>
      <w:r w:rsidRPr="00B24B57">
        <w:rPr>
          <w:b w:val="0"/>
          <w:sz w:val="20"/>
          <w:szCs w:val="20"/>
        </w:rPr>
        <w:t>»</w:t>
      </w:r>
      <w:proofErr w:type="spellStart"/>
      <w:r w:rsidRPr="009B669A">
        <w:rPr>
          <w:sz w:val="20"/>
          <w:szCs w:val="20"/>
        </w:rPr>
        <w:t>10.a</w:t>
      </w:r>
      <w:proofErr w:type="spellEnd"/>
      <w:r w:rsidRPr="009B669A">
        <w:rPr>
          <w:sz w:val="20"/>
          <w:szCs w:val="20"/>
        </w:rPr>
        <w:t xml:space="preserve"> člen</w:t>
      </w:r>
    </w:p>
    <w:p w:rsidR="00B24B57" w:rsidRPr="009B669A" w:rsidRDefault="00B24B57" w:rsidP="00B24B57">
      <w:pPr>
        <w:pStyle w:val="lennaslov"/>
        <w:rPr>
          <w:sz w:val="20"/>
          <w:szCs w:val="20"/>
        </w:rPr>
      </w:pPr>
      <w:r w:rsidRPr="009B669A">
        <w:rPr>
          <w:sz w:val="20"/>
          <w:szCs w:val="20"/>
        </w:rPr>
        <w:t>(posredniški organi, vključeni v izvajanje celostnih teritorialnih naložb)</w:t>
      </w:r>
    </w:p>
    <w:p w:rsidR="00B24B57" w:rsidRPr="009B669A" w:rsidRDefault="00B24B57" w:rsidP="00E8286E">
      <w:pPr>
        <w:pStyle w:val="Odstavek"/>
        <w:spacing w:line="260" w:lineRule="atLeast"/>
        <w:rPr>
          <w:sz w:val="20"/>
          <w:szCs w:val="20"/>
        </w:rPr>
      </w:pPr>
      <w:r w:rsidRPr="009B669A">
        <w:rPr>
          <w:sz w:val="20"/>
          <w:szCs w:val="20"/>
        </w:rPr>
        <w:t>(1) Posredniška organa, pristojna za izvajanje celostnih teritorialnih naložb, sta ministrstvo, pristojno za okolje in prostor, in ministrstvo, pristojno za infrastrukturo, ki opravljata naloge iz drugega odstavka tega člena, razen nalog iz tretjega odstavka tega člena, ki jih kot posredniški organ opravlja združenje mestnih občin, ki je ustanovljeno v skladu s predpisi o lokalni samoupravi (v nadaljnjem besedilu: združenje mestnih občin).</w:t>
      </w:r>
    </w:p>
    <w:p w:rsidR="00B24B57" w:rsidRPr="009B669A" w:rsidRDefault="00B24B57" w:rsidP="00E8286E">
      <w:pPr>
        <w:pStyle w:val="Odstavek"/>
        <w:spacing w:line="260" w:lineRule="atLeast"/>
        <w:rPr>
          <w:sz w:val="20"/>
          <w:szCs w:val="20"/>
        </w:rPr>
      </w:pPr>
      <w:r w:rsidRPr="009B669A">
        <w:rPr>
          <w:sz w:val="20"/>
          <w:szCs w:val="20"/>
        </w:rPr>
        <w:t>(2) Posredniška organa, pristojna za izvajanje celostnih teritorialnih naložb, poleg nalog iz drugega in tretjega odstavka prejšnjega člena opravljata tudi naslednje naloge:</w:t>
      </w:r>
    </w:p>
    <w:p w:rsidR="00B24B57" w:rsidRPr="009B669A" w:rsidRDefault="00B24B57" w:rsidP="00E8286E">
      <w:pPr>
        <w:pStyle w:val="tevilnatoka"/>
        <w:spacing w:line="260" w:lineRule="atLeast"/>
        <w:rPr>
          <w:sz w:val="20"/>
          <w:szCs w:val="20"/>
        </w:rPr>
      </w:pPr>
      <w:r w:rsidRPr="009B669A">
        <w:rPr>
          <w:sz w:val="20"/>
          <w:szCs w:val="20"/>
        </w:rPr>
        <w:t>sodelujeta pri pripravi navodila organa upravljanja glede vsebin, ki jih mora vsebovati povabilo za predložitev vlog za operacije mestnih občin;</w:t>
      </w:r>
    </w:p>
    <w:p w:rsidR="00B24B57" w:rsidRPr="009B669A" w:rsidRDefault="00B24B57" w:rsidP="00E8286E">
      <w:pPr>
        <w:pStyle w:val="tevilnatoka"/>
        <w:spacing w:line="260" w:lineRule="atLeast"/>
        <w:rPr>
          <w:sz w:val="20"/>
          <w:szCs w:val="20"/>
        </w:rPr>
      </w:pPr>
      <w:r w:rsidRPr="009B669A">
        <w:rPr>
          <w:sz w:val="20"/>
          <w:szCs w:val="20"/>
        </w:rPr>
        <w:t>v okviru naloge iz 1. točke tretjega odstavka prejšnjega člena ocenita vloge za operacije ter pri tem ves čas skrbita, da so kazalniki in razpoložljiva sredstva EU po posameznih naložbah v skladu z operativnim programom;</w:t>
      </w:r>
    </w:p>
    <w:p w:rsidR="00B24B57" w:rsidRPr="007E3DD0" w:rsidRDefault="00B24B57" w:rsidP="00E8286E">
      <w:pPr>
        <w:pStyle w:val="tevilnatoka"/>
        <w:spacing w:line="260" w:lineRule="atLeast"/>
        <w:rPr>
          <w:sz w:val="20"/>
          <w:szCs w:val="20"/>
        </w:rPr>
      </w:pPr>
      <w:r w:rsidRPr="007E3DD0">
        <w:rPr>
          <w:sz w:val="20"/>
          <w:szCs w:val="20"/>
        </w:rPr>
        <w:t>v okviru naloge iz 2. točke tretjega odstavka prejšnjega člena o primernosti vloge za odločitev o podpori seznanita združenje mestnih občin in jo po potrditvi s strani združenja mestnih občin pošljeta organu upravljanja v odločanje;</w:t>
      </w:r>
    </w:p>
    <w:p w:rsidR="00B24B57" w:rsidRPr="007E3DD0" w:rsidRDefault="001361D3" w:rsidP="008C3936">
      <w:pPr>
        <w:pStyle w:val="tevilnatoka"/>
        <w:spacing w:line="260" w:lineRule="atLeast"/>
        <w:rPr>
          <w:sz w:val="20"/>
          <w:szCs w:val="20"/>
        </w:rPr>
      </w:pPr>
      <w:r w:rsidRPr="007E3DD0">
        <w:rPr>
          <w:sz w:val="20"/>
          <w:szCs w:val="20"/>
        </w:rPr>
        <w:lastRenderedPageBreak/>
        <w:t>posredujeta predlog združenju mestnih občin, da ta ponovi objavo povabila za predložitev vlog za operacije mestnih občin, če v 12 mesecih po razvrstitvi vlog za operacije ostane</w:t>
      </w:r>
      <w:r w:rsidR="008C3936" w:rsidRPr="007E3DD0">
        <w:rPr>
          <w:sz w:val="20"/>
          <w:szCs w:val="20"/>
        </w:rPr>
        <w:t xml:space="preserve"> nerazporejen</w:t>
      </w:r>
      <w:r w:rsidRPr="007E3DD0">
        <w:rPr>
          <w:sz w:val="20"/>
          <w:szCs w:val="20"/>
        </w:rPr>
        <w:t xml:space="preserve"> del sredstev EU</w:t>
      </w:r>
      <w:r w:rsidR="008C3936" w:rsidRPr="007E3DD0">
        <w:rPr>
          <w:sz w:val="20"/>
          <w:szCs w:val="20"/>
        </w:rPr>
        <w:t xml:space="preserve"> za doseganje kazalnikov iz operativnega programa</w:t>
      </w:r>
      <w:r w:rsidRPr="007E3DD0">
        <w:rPr>
          <w:sz w:val="20"/>
          <w:szCs w:val="20"/>
        </w:rPr>
        <w:t>.</w:t>
      </w:r>
    </w:p>
    <w:p w:rsidR="00B24B57" w:rsidRPr="009B669A" w:rsidRDefault="00B24B57" w:rsidP="00E8286E">
      <w:pPr>
        <w:pStyle w:val="Odstavek"/>
        <w:spacing w:line="260" w:lineRule="atLeast"/>
        <w:rPr>
          <w:sz w:val="20"/>
          <w:szCs w:val="20"/>
        </w:rPr>
      </w:pPr>
      <w:r w:rsidRPr="007E3DD0">
        <w:rPr>
          <w:sz w:val="20"/>
          <w:szCs w:val="20"/>
        </w:rPr>
        <w:t>(3) Združenje mestnih občin pri izvajanju celostnih teritorialnih</w:t>
      </w:r>
      <w:r w:rsidRPr="009B669A">
        <w:rPr>
          <w:sz w:val="20"/>
          <w:szCs w:val="20"/>
        </w:rPr>
        <w:t xml:space="preserve"> naložb kot posredniški organ opravlja naslednje naloge:</w:t>
      </w:r>
    </w:p>
    <w:p w:rsidR="00B24B57" w:rsidRPr="00B24B57" w:rsidRDefault="00B24B57" w:rsidP="00E8286E">
      <w:pPr>
        <w:pStyle w:val="tevilnatoka"/>
        <w:numPr>
          <w:ilvl w:val="0"/>
          <w:numId w:val="48"/>
        </w:numPr>
        <w:spacing w:line="260" w:lineRule="atLeast"/>
        <w:rPr>
          <w:sz w:val="20"/>
          <w:szCs w:val="20"/>
        </w:rPr>
      </w:pPr>
      <w:r w:rsidRPr="00B24B57">
        <w:rPr>
          <w:sz w:val="20"/>
          <w:szCs w:val="20"/>
        </w:rPr>
        <w:t>sodeluje pri pripravi navodila organa upravljanja glede vsebin, ki jih mora vsebovati povabilo za predložitev vlog za operacije mestnih občin;</w:t>
      </w:r>
    </w:p>
    <w:p w:rsidR="00B24B57" w:rsidRPr="009B669A" w:rsidRDefault="00B24B57" w:rsidP="00E8286E">
      <w:pPr>
        <w:pStyle w:val="tevilnatoka"/>
        <w:spacing w:line="260" w:lineRule="atLeast"/>
        <w:rPr>
          <w:sz w:val="20"/>
          <w:szCs w:val="20"/>
        </w:rPr>
      </w:pPr>
      <w:r w:rsidRPr="009B669A">
        <w:rPr>
          <w:sz w:val="20"/>
          <w:szCs w:val="20"/>
        </w:rPr>
        <w:t>v skladu z navodilom iz prejšnje točke pripravi in objavi povabilo za predložitev vlog za operacije mestnih občin;</w:t>
      </w:r>
    </w:p>
    <w:p w:rsidR="00B24B57" w:rsidRPr="009B669A" w:rsidRDefault="00B24B57" w:rsidP="00E8286E">
      <w:pPr>
        <w:pStyle w:val="tevilnatoka"/>
        <w:spacing w:line="260" w:lineRule="atLeast"/>
        <w:rPr>
          <w:sz w:val="20"/>
          <w:szCs w:val="20"/>
        </w:rPr>
      </w:pPr>
      <w:r w:rsidRPr="009B669A">
        <w:rPr>
          <w:sz w:val="20"/>
          <w:szCs w:val="20"/>
        </w:rPr>
        <w:t>razvrsti vloge za operacije na podlagi meril za izbor operacij glede na prispevek posamezne vloge za operacijo k ciljem iz posamezne trajnostne urbane strategije ter k ciljem in kazalnikom iz operativnega programa in o tem obvesti mestne občine in posredniška organa, pristojna za izvajanje celostnih teritorialnih naložb;</w:t>
      </w:r>
    </w:p>
    <w:p w:rsidR="00B24B57" w:rsidRPr="009B669A" w:rsidRDefault="00B24B57" w:rsidP="00E8286E">
      <w:pPr>
        <w:pStyle w:val="tevilnatoka"/>
        <w:spacing w:line="260" w:lineRule="atLeast"/>
        <w:rPr>
          <w:sz w:val="20"/>
          <w:szCs w:val="20"/>
        </w:rPr>
      </w:pPr>
      <w:r w:rsidRPr="009B669A">
        <w:rPr>
          <w:sz w:val="20"/>
          <w:szCs w:val="20"/>
        </w:rPr>
        <w:t>oceni vsebino operacij in opravi izbor ter o tem obvesti mestne občine in posredniška organa, pristojna za izvajanje celostnih teritorialnih naložb;</w:t>
      </w:r>
    </w:p>
    <w:p w:rsidR="00B24B57" w:rsidRPr="009B669A" w:rsidRDefault="00B24B57" w:rsidP="00E8286E">
      <w:pPr>
        <w:pStyle w:val="tevilnatoka"/>
        <w:spacing w:line="260" w:lineRule="atLeast"/>
        <w:rPr>
          <w:sz w:val="20"/>
          <w:szCs w:val="20"/>
        </w:rPr>
      </w:pPr>
      <w:r w:rsidRPr="009B669A">
        <w:rPr>
          <w:sz w:val="20"/>
          <w:szCs w:val="20"/>
        </w:rPr>
        <w:t>na predlog posredniških organov, pristojnih za izvajanje celostnih teritorialnih naložb, iz 4. točke prejšnjega odstavka, objavi novo povabilo za predložitev vlog za operacije mestnih občin.</w:t>
      </w:r>
    </w:p>
    <w:p w:rsidR="00B24B57" w:rsidRDefault="00B24B57" w:rsidP="00E8286E">
      <w:pPr>
        <w:pStyle w:val="len"/>
        <w:spacing w:before="0" w:line="260" w:lineRule="atLeast"/>
        <w:rPr>
          <w:sz w:val="20"/>
          <w:szCs w:val="20"/>
        </w:rPr>
      </w:pPr>
    </w:p>
    <w:p w:rsidR="00B24B57" w:rsidRPr="009B669A" w:rsidRDefault="00B24B57" w:rsidP="00E8286E">
      <w:pPr>
        <w:pStyle w:val="len"/>
        <w:spacing w:before="0" w:line="260" w:lineRule="atLeast"/>
        <w:rPr>
          <w:sz w:val="20"/>
          <w:szCs w:val="20"/>
        </w:rPr>
      </w:pPr>
      <w:proofErr w:type="spellStart"/>
      <w:r w:rsidRPr="009B669A">
        <w:rPr>
          <w:sz w:val="20"/>
          <w:szCs w:val="20"/>
        </w:rPr>
        <w:t>10.b</w:t>
      </w:r>
      <w:proofErr w:type="spellEnd"/>
      <w:r w:rsidRPr="009B669A">
        <w:rPr>
          <w:sz w:val="20"/>
          <w:szCs w:val="20"/>
        </w:rPr>
        <w:t xml:space="preserve"> člen</w:t>
      </w:r>
    </w:p>
    <w:p w:rsidR="00B24B57" w:rsidRPr="009B669A" w:rsidRDefault="00B24B57" w:rsidP="00E8286E">
      <w:pPr>
        <w:pStyle w:val="lennaslov"/>
        <w:spacing w:line="260" w:lineRule="atLeast"/>
        <w:rPr>
          <w:sz w:val="20"/>
          <w:szCs w:val="20"/>
        </w:rPr>
      </w:pPr>
      <w:r w:rsidRPr="009B669A">
        <w:rPr>
          <w:sz w:val="20"/>
          <w:szCs w:val="20"/>
        </w:rPr>
        <w:t>(posredniški organi, vključeni v izvajanje finančnih instrumentov)</w:t>
      </w:r>
    </w:p>
    <w:p w:rsidR="00B24B57" w:rsidRPr="009B669A" w:rsidRDefault="00B24B57" w:rsidP="00E8286E">
      <w:pPr>
        <w:pStyle w:val="Odstavek"/>
        <w:spacing w:line="260" w:lineRule="atLeast"/>
        <w:rPr>
          <w:sz w:val="20"/>
          <w:szCs w:val="20"/>
        </w:rPr>
      </w:pPr>
      <w:r w:rsidRPr="009B669A">
        <w:rPr>
          <w:sz w:val="20"/>
          <w:szCs w:val="20"/>
          <w:lang w:eastAsia="sl-SI"/>
        </w:rPr>
        <w:t>(1</w:t>
      </w:r>
      <w:r w:rsidRPr="009B669A">
        <w:rPr>
          <w:sz w:val="20"/>
          <w:szCs w:val="20"/>
        </w:rPr>
        <w:t xml:space="preserve">) Posredniški organ, pristojen za izvajanje finančnih instrumentov, je ministrstvo, pristojno za gospodarski razvoj in tehnologijo (v nadaljnjem besedilu: posredniški organ za finančne instrumente). </w:t>
      </w:r>
    </w:p>
    <w:p w:rsidR="00B24B57" w:rsidRPr="009B669A" w:rsidRDefault="00B24B57" w:rsidP="00E8286E">
      <w:pPr>
        <w:pStyle w:val="Odstavek"/>
        <w:spacing w:line="260" w:lineRule="atLeast"/>
        <w:rPr>
          <w:sz w:val="20"/>
          <w:szCs w:val="20"/>
        </w:rPr>
      </w:pPr>
      <w:r w:rsidRPr="009B669A">
        <w:rPr>
          <w:sz w:val="20"/>
          <w:szCs w:val="20"/>
        </w:rPr>
        <w:t>(2) Pri izvajanju finančnih instrumentov posredniški organ za finančne instrumente sodeluje z ministrstvom, pristojnim za okolje in prostor, in ministrstvom, pristojnim za infrastrukturo (v nadaljnjem besedilu: sodelujoči ministrstvi) ter združenjem mestnih občin.</w:t>
      </w:r>
    </w:p>
    <w:p w:rsidR="00B24B57" w:rsidRPr="009B669A" w:rsidRDefault="00B24B57" w:rsidP="00E8286E">
      <w:pPr>
        <w:pStyle w:val="Odstavek"/>
        <w:spacing w:line="260" w:lineRule="atLeast"/>
        <w:rPr>
          <w:sz w:val="20"/>
          <w:szCs w:val="20"/>
        </w:rPr>
      </w:pPr>
      <w:r w:rsidRPr="009B669A">
        <w:rPr>
          <w:sz w:val="20"/>
          <w:szCs w:val="20"/>
        </w:rPr>
        <w:t xml:space="preserve"> (3) Sodelujoči ministrstvi, vsako v okviru svojega delovnega področja, opravljata naslednje naloge:</w:t>
      </w:r>
    </w:p>
    <w:p w:rsidR="00B24B57" w:rsidRPr="00B24B57" w:rsidRDefault="00B24B57" w:rsidP="00E8286E">
      <w:pPr>
        <w:pStyle w:val="tevilnatoka"/>
        <w:numPr>
          <w:ilvl w:val="0"/>
          <w:numId w:val="49"/>
        </w:numPr>
        <w:spacing w:line="260" w:lineRule="atLeast"/>
        <w:rPr>
          <w:sz w:val="20"/>
          <w:szCs w:val="20"/>
        </w:rPr>
      </w:pPr>
      <w:r w:rsidRPr="00B24B57">
        <w:rPr>
          <w:sz w:val="20"/>
          <w:szCs w:val="20"/>
        </w:rPr>
        <w:t>sodelujeta pri pripravi in spremembah sporazuma o financiranju;</w:t>
      </w:r>
    </w:p>
    <w:p w:rsidR="00B24B57" w:rsidRPr="009B669A" w:rsidRDefault="00B24B57" w:rsidP="00E8286E">
      <w:pPr>
        <w:pStyle w:val="tevilnatoka"/>
        <w:spacing w:line="260" w:lineRule="atLeast"/>
        <w:rPr>
          <w:sz w:val="20"/>
          <w:szCs w:val="20"/>
        </w:rPr>
      </w:pPr>
      <w:r w:rsidRPr="009B669A">
        <w:rPr>
          <w:sz w:val="20"/>
          <w:szCs w:val="20"/>
        </w:rPr>
        <w:t>pripravita investicijsko strategijo;</w:t>
      </w:r>
    </w:p>
    <w:p w:rsidR="00B24B57" w:rsidRPr="009B669A" w:rsidRDefault="00B24B57" w:rsidP="00E8286E">
      <w:pPr>
        <w:pStyle w:val="tevilnatoka"/>
        <w:spacing w:line="260" w:lineRule="atLeast"/>
        <w:rPr>
          <w:sz w:val="20"/>
          <w:szCs w:val="20"/>
        </w:rPr>
      </w:pPr>
      <w:r w:rsidRPr="009B669A">
        <w:rPr>
          <w:sz w:val="20"/>
          <w:szCs w:val="20"/>
        </w:rPr>
        <w:t>finančno načrtujeta finančne instrumente;</w:t>
      </w:r>
    </w:p>
    <w:p w:rsidR="00B24B57" w:rsidRPr="009B669A" w:rsidRDefault="00B24B57" w:rsidP="00E8286E">
      <w:pPr>
        <w:pStyle w:val="tevilnatoka"/>
        <w:spacing w:line="260" w:lineRule="atLeast"/>
        <w:rPr>
          <w:sz w:val="20"/>
          <w:szCs w:val="20"/>
        </w:rPr>
      </w:pPr>
      <w:r w:rsidRPr="009B669A">
        <w:rPr>
          <w:sz w:val="20"/>
          <w:szCs w:val="20"/>
        </w:rPr>
        <w:t>spremljata doseganje kazalnikov.</w:t>
      </w:r>
    </w:p>
    <w:p w:rsidR="00B24B57" w:rsidRPr="009B669A" w:rsidRDefault="00B24B57" w:rsidP="00E8286E">
      <w:pPr>
        <w:pStyle w:val="tevilnatoka"/>
        <w:numPr>
          <w:ilvl w:val="0"/>
          <w:numId w:val="0"/>
        </w:numPr>
        <w:spacing w:line="260" w:lineRule="atLeast"/>
        <w:ind w:left="425"/>
        <w:rPr>
          <w:sz w:val="20"/>
          <w:szCs w:val="20"/>
        </w:rPr>
      </w:pPr>
    </w:p>
    <w:p w:rsidR="00B24B57" w:rsidRPr="009B669A" w:rsidRDefault="00B24B57" w:rsidP="00E8286E">
      <w:pPr>
        <w:spacing w:line="260" w:lineRule="atLeast"/>
        <w:ind w:firstLine="1134"/>
        <w:rPr>
          <w:rFonts w:cs="Arial"/>
          <w:szCs w:val="20"/>
          <w:lang w:eastAsia="sl-SI"/>
        </w:rPr>
      </w:pPr>
      <w:r w:rsidRPr="009B669A">
        <w:rPr>
          <w:rFonts w:cs="Arial"/>
          <w:szCs w:val="20"/>
          <w:lang w:eastAsia="sl-SI"/>
        </w:rPr>
        <w:t>(4) Združenje mestnih občin pri izvajanju finančnih instrumentov kot posredniški organ opravlja naslednje naloge:</w:t>
      </w:r>
    </w:p>
    <w:p w:rsidR="00B24B57" w:rsidRPr="00B24B57" w:rsidRDefault="00B24B57" w:rsidP="00E8286E">
      <w:pPr>
        <w:spacing w:line="260" w:lineRule="atLeast"/>
        <w:ind w:left="426" w:hanging="426"/>
        <w:jc w:val="both"/>
        <w:rPr>
          <w:szCs w:val="20"/>
          <w:lang w:eastAsia="sl-SI"/>
        </w:rPr>
      </w:pPr>
      <w:r w:rsidRPr="00B24B57">
        <w:rPr>
          <w:szCs w:val="20"/>
          <w:lang w:eastAsia="sl-SI"/>
        </w:rPr>
        <w:t xml:space="preserve">1. </w:t>
      </w:r>
      <w:r w:rsidRPr="00B24B57">
        <w:rPr>
          <w:szCs w:val="20"/>
          <w:lang w:eastAsia="sl-SI"/>
        </w:rPr>
        <w:tab/>
        <w:t>daje soglasje h ključnim elementom finančnih instrumentov v skladu s predpisi, ki urejajo javne finance;</w:t>
      </w:r>
    </w:p>
    <w:p w:rsidR="00B24B57" w:rsidRPr="00B24B57" w:rsidRDefault="00B24B57" w:rsidP="00E8286E">
      <w:pPr>
        <w:spacing w:line="260" w:lineRule="atLeast"/>
        <w:ind w:left="426" w:hanging="426"/>
        <w:jc w:val="both"/>
        <w:rPr>
          <w:szCs w:val="20"/>
          <w:lang w:eastAsia="sl-SI"/>
        </w:rPr>
      </w:pPr>
      <w:r w:rsidRPr="00B24B57">
        <w:rPr>
          <w:szCs w:val="20"/>
          <w:lang w:eastAsia="sl-SI"/>
        </w:rPr>
        <w:t>2.</w:t>
      </w:r>
      <w:r w:rsidRPr="00B24B57">
        <w:rPr>
          <w:szCs w:val="20"/>
          <w:lang w:eastAsia="sl-SI"/>
        </w:rPr>
        <w:tab/>
        <w:t>na ravni posamezne investicije poda mnenje o skladnosti investicije s trajnostno urbano strategijo.</w:t>
      </w:r>
      <w:r>
        <w:rPr>
          <w:szCs w:val="20"/>
          <w:lang w:eastAsia="sl-SI"/>
        </w:rPr>
        <w:t>«</w:t>
      </w:r>
    </w:p>
    <w:p w:rsidR="005E1443" w:rsidRPr="00FF0EFA" w:rsidRDefault="002E3445" w:rsidP="005E1443">
      <w:pPr>
        <w:suppressAutoHyphens/>
        <w:spacing w:before="480" w:line="240" w:lineRule="auto"/>
        <w:jc w:val="center"/>
        <w:rPr>
          <w:rFonts w:eastAsia="SimSun" w:cs="Arial"/>
          <w:b/>
          <w:kern w:val="2"/>
          <w:lang w:eastAsia="hi-IN" w:bidi="hi-IN"/>
        </w:rPr>
      </w:pPr>
      <w:r>
        <w:rPr>
          <w:rFonts w:eastAsia="SimSun" w:cs="Arial"/>
          <w:b/>
          <w:kern w:val="2"/>
          <w:lang w:eastAsia="hi-IN" w:bidi="hi-IN"/>
        </w:rPr>
        <w:t>4</w:t>
      </w:r>
      <w:r w:rsidR="005E1443" w:rsidRPr="00FF0EFA">
        <w:rPr>
          <w:rFonts w:eastAsia="SimSun" w:cs="Arial"/>
          <w:b/>
          <w:kern w:val="2"/>
          <w:lang w:eastAsia="hi-IN" w:bidi="hi-IN"/>
        </w:rPr>
        <w:t>. člen</w:t>
      </w:r>
    </w:p>
    <w:p w:rsidR="000F6A28" w:rsidRPr="000F6A28" w:rsidRDefault="00B24B57" w:rsidP="000F6A28">
      <w:pPr>
        <w:suppressAutoHyphens/>
        <w:spacing w:before="480" w:line="240" w:lineRule="auto"/>
        <w:jc w:val="both"/>
        <w:rPr>
          <w:rFonts w:eastAsia="SimSun" w:cs="Arial"/>
          <w:kern w:val="2"/>
          <w:lang w:eastAsia="hi-IN" w:bidi="hi-IN"/>
        </w:rPr>
      </w:pPr>
      <w:r>
        <w:rPr>
          <w:rFonts w:cs="Arial"/>
          <w:szCs w:val="20"/>
        </w:rPr>
        <w:t xml:space="preserve">Črta se </w:t>
      </w:r>
      <w:proofErr w:type="spellStart"/>
      <w:r>
        <w:rPr>
          <w:rFonts w:cs="Arial"/>
          <w:szCs w:val="20"/>
        </w:rPr>
        <w:t>17.a</w:t>
      </w:r>
      <w:proofErr w:type="spellEnd"/>
      <w:r>
        <w:rPr>
          <w:rFonts w:cs="Arial"/>
          <w:szCs w:val="20"/>
        </w:rPr>
        <w:t xml:space="preserve"> člen.</w:t>
      </w:r>
    </w:p>
    <w:p w:rsidR="005C3211" w:rsidRPr="00FF0EFA" w:rsidRDefault="002E3445" w:rsidP="005C3211">
      <w:pPr>
        <w:suppressAutoHyphens/>
        <w:spacing w:before="480" w:line="240" w:lineRule="auto"/>
        <w:jc w:val="center"/>
        <w:rPr>
          <w:rFonts w:eastAsia="SimSun" w:cs="Arial"/>
          <w:b/>
          <w:kern w:val="2"/>
          <w:lang w:eastAsia="hi-IN" w:bidi="hi-IN"/>
        </w:rPr>
      </w:pPr>
      <w:r>
        <w:rPr>
          <w:rFonts w:eastAsia="SimSun" w:cs="Arial"/>
          <w:b/>
          <w:kern w:val="2"/>
          <w:lang w:eastAsia="hi-IN" w:bidi="hi-IN"/>
        </w:rPr>
        <w:t>5</w:t>
      </w:r>
      <w:r w:rsidR="005C3211" w:rsidRPr="00FF0EFA">
        <w:rPr>
          <w:rFonts w:eastAsia="SimSun" w:cs="Arial"/>
          <w:b/>
          <w:kern w:val="2"/>
          <w:lang w:eastAsia="hi-IN" w:bidi="hi-IN"/>
        </w:rPr>
        <w:t>. člen</w:t>
      </w:r>
    </w:p>
    <w:p w:rsidR="005C3211" w:rsidRPr="00144FAF" w:rsidRDefault="005C3211" w:rsidP="005C3211">
      <w:pPr>
        <w:suppressAutoHyphens/>
        <w:spacing w:line="240" w:lineRule="auto"/>
        <w:jc w:val="center"/>
        <w:rPr>
          <w:rFonts w:eastAsia="SimSun" w:cs="Arial"/>
          <w:kern w:val="2"/>
          <w:lang w:eastAsia="hi-IN" w:bidi="hi-IN"/>
        </w:rPr>
      </w:pPr>
      <w:r w:rsidRPr="00144FAF">
        <w:rPr>
          <w:rFonts w:eastAsia="SimSun" w:cs="Arial"/>
          <w:kern w:val="2"/>
          <w:lang w:eastAsia="hi-IN" w:bidi="hi-IN"/>
        </w:rPr>
        <w:t>(končna določba)</w:t>
      </w:r>
    </w:p>
    <w:p w:rsidR="005C3211" w:rsidRPr="005C3211" w:rsidRDefault="005C3211" w:rsidP="005C3211">
      <w:pPr>
        <w:suppressAutoHyphens/>
        <w:spacing w:before="240" w:line="240" w:lineRule="auto"/>
        <w:jc w:val="both"/>
        <w:rPr>
          <w:rFonts w:eastAsia="SimSun" w:cs="Arial"/>
          <w:kern w:val="2"/>
          <w:lang w:eastAsia="hi-IN" w:bidi="hi-IN"/>
        </w:rPr>
      </w:pPr>
      <w:r w:rsidRPr="005C3211">
        <w:rPr>
          <w:rFonts w:eastAsia="SimSun" w:cs="Arial"/>
          <w:kern w:val="2"/>
          <w:lang w:eastAsia="hi-IN" w:bidi="hi-IN"/>
        </w:rPr>
        <w:t>Ta uredba začne veljati naslednji dan po objavi v Uradnem listu Republike Slovenije.</w:t>
      </w:r>
    </w:p>
    <w:p w:rsidR="00FE14CB" w:rsidRPr="005C3211" w:rsidRDefault="00FE14CB" w:rsidP="005C3211">
      <w:pPr>
        <w:spacing w:line="240" w:lineRule="auto"/>
        <w:rPr>
          <w:rFonts w:eastAsia="SimSun" w:cs="Arial"/>
          <w:kern w:val="2"/>
          <w:lang w:eastAsia="hi-IN" w:bidi="hi-IN"/>
        </w:rPr>
      </w:pPr>
    </w:p>
    <w:p w:rsidR="005C3211" w:rsidRPr="005C3211" w:rsidRDefault="005C3211" w:rsidP="005C3211">
      <w:pPr>
        <w:spacing w:line="240" w:lineRule="auto"/>
        <w:rPr>
          <w:rFonts w:eastAsia="SimSun" w:cs="Arial"/>
          <w:kern w:val="2"/>
          <w:lang w:eastAsia="hi-IN" w:bidi="hi-IN"/>
        </w:rPr>
      </w:pPr>
    </w:p>
    <w:p w:rsidR="005C3211" w:rsidRPr="005C3211" w:rsidRDefault="005C3211" w:rsidP="005C3211">
      <w:pPr>
        <w:spacing w:line="240" w:lineRule="auto"/>
        <w:rPr>
          <w:rFonts w:eastAsia="SimSun" w:cs="Arial"/>
          <w:kern w:val="2"/>
          <w:lang w:eastAsia="hi-IN" w:bidi="hi-IN"/>
        </w:rPr>
      </w:pPr>
    </w:p>
    <w:p w:rsidR="005C3211" w:rsidRPr="005C3211" w:rsidRDefault="005C3211" w:rsidP="005C3211">
      <w:pPr>
        <w:overflowPunct w:val="0"/>
        <w:autoSpaceDE w:val="0"/>
        <w:autoSpaceDN w:val="0"/>
        <w:adjustRightInd w:val="0"/>
        <w:spacing w:line="240" w:lineRule="auto"/>
        <w:jc w:val="both"/>
        <w:textAlignment w:val="baseline"/>
        <w:rPr>
          <w:rFonts w:cs="Arial"/>
          <w:szCs w:val="20"/>
        </w:rPr>
      </w:pPr>
      <w:r w:rsidRPr="005C3211">
        <w:rPr>
          <w:rFonts w:cs="Arial"/>
          <w:szCs w:val="20"/>
        </w:rPr>
        <w:t xml:space="preserve">Št.  </w:t>
      </w:r>
    </w:p>
    <w:p w:rsidR="005C3211" w:rsidRPr="005C3211" w:rsidRDefault="00607F40" w:rsidP="005C3211">
      <w:pPr>
        <w:overflowPunct w:val="0"/>
        <w:autoSpaceDE w:val="0"/>
        <w:autoSpaceDN w:val="0"/>
        <w:adjustRightInd w:val="0"/>
        <w:spacing w:line="240" w:lineRule="auto"/>
        <w:jc w:val="both"/>
        <w:textAlignment w:val="baseline"/>
        <w:rPr>
          <w:rFonts w:cs="Arial"/>
          <w:szCs w:val="20"/>
        </w:rPr>
      </w:pPr>
      <w:r>
        <w:rPr>
          <w:rFonts w:cs="Arial"/>
          <w:szCs w:val="20"/>
        </w:rPr>
        <w:t xml:space="preserve">Ljubljana, ... </w:t>
      </w:r>
      <w:r w:rsidR="001C4D84">
        <w:rPr>
          <w:rFonts w:cs="Arial"/>
          <w:szCs w:val="20"/>
        </w:rPr>
        <w:t>september</w:t>
      </w:r>
      <w:r w:rsidR="005C3211" w:rsidRPr="005C3211">
        <w:rPr>
          <w:rFonts w:cs="Arial"/>
          <w:szCs w:val="20"/>
        </w:rPr>
        <w:t xml:space="preserve"> 2016</w:t>
      </w:r>
      <w:r w:rsidR="005C3211" w:rsidRPr="005C3211">
        <w:rPr>
          <w:rFonts w:cs="Arial"/>
          <w:szCs w:val="20"/>
        </w:rPr>
        <w:tab/>
      </w:r>
      <w:r w:rsidR="005C3211" w:rsidRPr="005C3211">
        <w:rPr>
          <w:rFonts w:cs="Arial"/>
          <w:szCs w:val="20"/>
        </w:rPr>
        <w:tab/>
      </w:r>
      <w:r w:rsidR="005C3211" w:rsidRPr="005C3211">
        <w:rPr>
          <w:rFonts w:cs="Arial"/>
          <w:szCs w:val="20"/>
        </w:rPr>
        <w:tab/>
      </w:r>
      <w:r w:rsidR="005C3211" w:rsidRPr="005C3211">
        <w:rPr>
          <w:rFonts w:cs="Arial"/>
          <w:szCs w:val="20"/>
        </w:rPr>
        <w:tab/>
      </w:r>
      <w:r w:rsidR="005C3211" w:rsidRPr="005C3211">
        <w:rPr>
          <w:rFonts w:cs="Arial"/>
          <w:szCs w:val="20"/>
        </w:rPr>
        <w:tab/>
      </w:r>
      <w:r w:rsidR="005C3211" w:rsidRPr="005C3211">
        <w:rPr>
          <w:rFonts w:cs="Arial"/>
          <w:szCs w:val="20"/>
        </w:rPr>
        <w:tab/>
      </w:r>
    </w:p>
    <w:p w:rsidR="005C3211" w:rsidRPr="005C3211" w:rsidRDefault="005C3211" w:rsidP="005C3211">
      <w:pPr>
        <w:overflowPunct w:val="0"/>
        <w:autoSpaceDE w:val="0"/>
        <w:autoSpaceDN w:val="0"/>
        <w:adjustRightInd w:val="0"/>
        <w:spacing w:line="240" w:lineRule="auto"/>
        <w:jc w:val="both"/>
        <w:textAlignment w:val="baseline"/>
        <w:rPr>
          <w:rFonts w:cs="Arial"/>
          <w:szCs w:val="20"/>
        </w:rPr>
      </w:pPr>
      <w:r w:rsidRPr="000F6A28">
        <w:rPr>
          <w:rFonts w:cs="Arial"/>
          <w:szCs w:val="20"/>
        </w:rPr>
        <w:t xml:space="preserve">EVA </w:t>
      </w:r>
      <w:r w:rsidRPr="000F6A28">
        <w:rPr>
          <w:rFonts w:cs="Arial"/>
          <w:iCs/>
          <w:szCs w:val="20"/>
          <w:lang w:val="en-US" w:eastAsia="sl-SI"/>
        </w:rPr>
        <w:t>201</w:t>
      </w:r>
      <w:r w:rsidR="000F6A28" w:rsidRPr="000F6A28">
        <w:rPr>
          <w:rFonts w:cs="Arial"/>
          <w:iCs/>
          <w:szCs w:val="20"/>
          <w:lang w:val="en-US" w:eastAsia="sl-SI"/>
        </w:rPr>
        <w:t>6</w:t>
      </w:r>
      <w:r w:rsidRPr="000F6A28">
        <w:rPr>
          <w:rFonts w:cs="Arial"/>
          <w:iCs/>
          <w:szCs w:val="20"/>
          <w:lang w:val="en-US" w:eastAsia="sl-SI"/>
        </w:rPr>
        <w:t>-1541-000</w:t>
      </w:r>
      <w:r w:rsidR="000F6A28" w:rsidRPr="000F6A28">
        <w:rPr>
          <w:rFonts w:cs="Arial"/>
          <w:iCs/>
          <w:szCs w:val="20"/>
          <w:lang w:val="en-US" w:eastAsia="sl-SI"/>
        </w:rPr>
        <w:t>2</w:t>
      </w:r>
      <w:r w:rsidRPr="005C3211">
        <w:rPr>
          <w:rFonts w:cs="Arial"/>
          <w:szCs w:val="20"/>
        </w:rPr>
        <w:tab/>
      </w:r>
      <w:r w:rsidRPr="005C3211">
        <w:rPr>
          <w:rFonts w:cs="Arial"/>
          <w:szCs w:val="20"/>
        </w:rPr>
        <w:tab/>
      </w:r>
      <w:r w:rsidRPr="005C3211">
        <w:rPr>
          <w:rFonts w:cs="Arial"/>
          <w:szCs w:val="20"/>
        </w:rPr>
        <w:tab/>
      </w:r>
      <w:r w:rsidRPr="005C3211">
        <w:rPr>
          <w:rFonts w:cs="Arial"/>
          <w:szCs w:val="20"/>
        </w:rPr>
        <w:tab/>
      </w:r>
      <w:r w:rsidRPr="005C3211">
        <w:rPr>
          <w:rFonts w:cs="Arial"/>
          <w:szCs w:val="20"/>
        </w:rPr>
        <w:tab/>
        <w:t xml:space="preserve">      Vlada Republike Slovenije </w:t>
      </w:r>
    </w:p>
    <w:p w:rsidR="005C3211" w:rsidRDefault="005C3211" w:rsidP="005C3211">
      <w:pPr>
        <w:overflowPunct w:val="0"/>
        <w:autoSpaceDE w:val="0"/>
        <w:autoSpaceDN w:val="0"/>
        <w:adjustRightInd w:val="0"/>
        <w:spacing w:line="240" w:lineRule="auto"/>
        <w:ind w:left="4956"/>
        <w:jc w:val="both"/>
        <w:textAlignment w:val="baseline"/>
        <w:rPr>
          <w:rFonts w:cs="Arial"/>
          <w:szCs w:val="20"/>
        </w:rPr>
      </w:pPr>
      <w:r w:rsidRPr="005C3211">
        <w:rPr>
          <w:rFonts w:cs="Arial"/>
          <w:szCs w:val="20"/>
        </w:rPr>
        <w:t xml:space="preserve">          </w:t>
      </w:r>
      <w:r w:rsidR="008567BC">
        <w:rPr>
          <w:rFonts w:cs="Arial"/>
          <w:szCs w:val="20"/>
        </w:rPr>
        <w:t xml:space="preserve"> </w:t>
      </w:r>
      <w:r w:rsidRPr="005C3211">
        <w:rPr>
          <w:rFonts w:cs="Arial"/>
          <w:szCs w:val="20"/>
        </w:rPr>
        <w:t>Dr. Miroslav Cerar l.r.</w:t>
      </w:r>
    </w:p>
    <w:p w:rsidR="008567BC" w:rsidRPr="005C3211" w:rsidRDefault="008567BC" w:rsidP="005C3211">
      <w:pPr>
        <w:overflowPunct w:val="0"/>
        <w:autoSpaceDE w:val="0"/>
        <w:autoSpaceDN w:val="0"/>
        <w:adjustRightInd w:val="0"/>
        <w:spacing w:line="240" w:lineRule="auto"/>
        <w:ind w:left="4956"/>
        <w:jc w:val="both"/>
        <w:textAlignment w:val="baseline"/>
        <w:rPr>
          <w:rFonts w:cs="Arial"/>
          <w:szCs w:val="20"/>
        </w:rPr>
      </w:pPr>
      <w:r>
        <w:rPr>
          <w:rFonts w:cs="Arial"/>
          <w:szCs w:val="20"/>
        </w:rPr>
        <w:t xml:space="preserve">                  Predsednik</w:t>
      </w:r>
    </w:p>
    <w:p w:rsidR="00CA2D7B" w:rsidRDefault="00CA2D7B" w:rsidP="006866B0">
      <w:pPr>
        <w:tabs>
          <w:tab w:val="left" w:pos="708"/>
        </w:tabs>
        <w:ind w:left="6012"/>
        <w:rPr>
          <w:rFonts w:cs="Arial"/>
          <w:szCs w:val="20"/>
        </w:rPr>
      </w:pPr>
    </w:p>
    <w:p w:rsidR="00CA2D7B" w:rsidRDefault="00CA2D7B" w:rsidP="006866B0">
      <w:pPr>
        <w:tabs>
          <w:tab w:val="left" w:pos="708"/>
        </w:tabs>
        <w:ind w:left="6012"/>
        <w:rPr>
          <w:rFonts w:cs="Arial"/>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1361D3" w:rsidRDefault="001361D3" w:rsidP="00CA3919">
      <w:pPr>
        <w:tabs>
          <w:tab w:val="left" w:pos="708"/>
        </w:tabs>
        <w:rPr>
          <w:rFonts w:cs="Arial"/>
          <w:b/>
          <w:szCs w:val="20"/>
        </w:rPr>
      </w:pPr>
    </w:p>
    <w:p w:rsidR="008879CB" w:rsidRDefault="008879CB" w:rsidP="00CA3919">
      <w:pPr>
        <w:tabs>
          <w:tab w:val="left" w:pos="708"/>
        </w:tabs>
        <w:rPr>
          <w:rFonts w:cs="Arial"/>
          <w:b/>
          <w:szCs w:val="20"/>
        </w:rPr>
      </w:pPr>
    </w:p>
    <w:p w:rsidR="008879CB" w:rsidRDefault="008879CB" w:rsidP="00CA3919">
      <w:pPr>
        <w:tabs>
          <w:tab w:val="left" w:pos="708"/>
        </w:tabs>
        <w:rPr>
          <w:rFonts w:cs="Arial"/>
          <w:b/>
          <w:szCs w:val="20"/>
        </w:rPr>
      </w:pPr>
    </w:p>
    <w:p w:rsidR="008879CB" w:rsidRDefault="008879CB" w:rsidP="00CA3919">
      <w:pPr>
        <w:tabs>
          <w:tab w:val="left" w:pos="708"/>
        </w:tabs>
        <w:rPr>
          <w:rFonts w:cs="Arial"/>
          <w:b/>
          <w:szCs w:val="20"/>
        </w:rPr>
      </w:pPr>
    </w:p>
    <w:p w:rsidR="008879CB" w:rsidRDefault="008879CB" w:rsidP="00CA3919">
      <w:pPr>
        <w:tabs>
          <w:tab w:val="left" w:pos="708"/>
        </w:tabs>
        <w:rPr>
          <w:rFonts w:cs="Arial"/>
          <w:b/>
          <w:szCs w:val="20"/>
        </w:rPr>
      </w:pPr>
    </w:p>
    <w:p w:rsidR="008879CB" w:rsidRDefault="008879CB" w:rsidP="00CA3919">
      <w:pPr>
        <w:tabs>
          <w:tab w:val="left" w:pos="708"/>
        </w:tabs>
        <w:rPr>
          <w:rFonts w:cs="Arial"/>
          <w:b/>
          <w:szCs w:val="20"/>
        </w:rPr>
      </w:pPr>
    </w:p>
    <w:p w:rsidR="008879CB" w:rsidRDefault="008879CB" w:rsidP="00CA3919">
      <w:pPr>
        <w:tabs>
          <w:tab w:val="left" w:pos="708"/>
        </w:tabs>
        <w:rPr>
          <w:rFonts w:cs="Arial"/>
          <w:b/>
          <w:szCs w:val="20"/>
        </w:rPr>
      </w:pPr>
    </w:p>
    <w:p w:rsidR="008879CB" w:rsidRPr="00CA3919" w:rsidRDefault="008879CB" w:rsidP="008879CB">
      <w:pPr>
        <w:tabs>
          <w:tab w:val="left" w:pos="708"/>
        </w:tabs>
        <w:rPr>
          <w:rFonts w:cs="Arial"/>
          <w:szCs w:val="20"/>
        </w:rPr>
      </w:pPr>
      <w:r w:rsidRPr="008D1759">
        <w:rPr>
          <w:rFonts w:cs="Arial"/>
          <w:b/>
          <w:szCs w:val="20"/>
        </w:rPr>
        <w:lastRenderedPageBreak/>
        <w:t>OBRAZLOŽITEV</w:t>
      </w:r>
    </w:p>
    <w:p w:rsidR="008879CB" w:rsidRPr="008D1759" w:rsidRDefault="008879CB" w:rsidP="008879CB">
      <w:pPr>
        <w:tabs>
          <w:tab w:val="left" w:pos="708"/>
        </w:tabs>
        <w:rPr>
          <w:rFonts w:cs="Arial"/>
          <w:b/>
          <w:szCs w:val="20"/>
        </w:rPr>
      </w:pPr>
    </w:p>
    <w:p w:rsidR="008879CB" w:rsidRPr="004C2689" w:rsidRDefault="008879CB" w:rsidP="008879CB">
      <w:pPr>
        <w:tabs>
          <w:tab w:val="left" w:pos="708"/>
        </w:tabs>
        <w:rPr>
          <w:rFonts w:cs="Arial"/>
          <w:b/>
          <w:szCs w:val="20"/>
        </w:rPr>
      </w:pPr>
      <w:r w:rsidRPr="004C2689">
        <w:rPr>
          <w:rFonts w:cs="Arial"/>
          <w:b/>
          <w:szCs w:val="20"/>
        </w:rPr>
        <w:t>I. UVOD</w:t>
      </w:r>
    </w:p>
    <w:p w:rsidR="008879CB" w:rsidRPr="008D1759" w:rsidRDefault="008879CB" w:rsidP="008879CB">
      <w:pPr>
        <w:tabs>
          <w:tab w:val="left" w:pos="708"/>
        </w:tabs>
        <w:ind w:left="720"/>
        <w:rPr>
          <w:rFonts w:cs="Arial"/>
          <w:szCs w:val="20"/>
        </w:rPr>
      </w:pPr>
    </w:p>
    <w:p w:rsidR="008879CB" w:rsidRPr="004C2689" w:rsidRDefault="008879CB" w:rsidP="008879CB">
      <w:pPr>
        <w:numPr>
          <w:ilvl w:val="0"/>
          <w:numId w:val="15"/>
        </w:numPr>
        <w:tabs>
          <w:tab w:val="clear" w:pos="720"/>
          <w:tab w:val="num" w:pos="-360"/>
        </w:tabs>
        <w:ind w:left="360"/>
        <w:jc w:val="both"/>
        <w:rPr>
          <w:rFonts w:cs="Arial"/>
          <w:b/>
          <w:szCs w:val="20"/>
        </w:rPr>
      </w:pPr>
      <w:r w:rsidRPr="004C2689">
        <w:rPr>
          <w:rFonts w:cs="Arial"/>
          <w:b/>
          <w:szCs w:val="20"/>
        </w:rPr>
        <w:t>Pravna podlaga (besedilo, vsebina zakonske določbe, ki je podlaga za izdajo uredbe)</w:t>
      </w:r>
    </w:p>
    <w:p w:rsidR="008879CB" w:rsidRPr="005C3211" w:rsidRDefault="008879CB" w:rsidP="008879CB">
      <w:pPr>
        <w:spacing w:before="120" w:line="260" w:lineRule="atLeast"/>
        <w:jc w:val="both"/>
        <w:rPr>
          <w:rFonts w:cs="Arial"/>
        </w:rPr>
      </w:pPr>
      <w:r>
        <w:rPr>
          <w:rFonts w:cs="Arial"/>
          <w:kern w:val="22"/>
          <w:lang w:eastAsia="hi-IN" w:bidi="hi-IN"/>
        </w:rPr>
        <w:t>Sedmi</w:t>
      </w:r>
      <w:r w:rsidRPr="005C3211">
        <w:rPr>
          <w:rFonts w:cs="Arial"/>
          <w:kern w:val="22"/>
          <w:lang w:eastAsia="hi-IN" w:bidi="hi-IN"/>
        </w:rPr>
        <w:t xml:space="preserve"> odstav</w:t>
      </w:r>
      <w:r>
        <w:rPr>
          <w:rFonts w:cs="Arial"/>
          <w:kern w:val="22"/>
          <w:lang w:eastAsia="hi-IN" w:bidi="hi-IN"/>
        </w:rPr>
        <w:t>ek</w:t>
      </w:r>
      <w:r w:rsidRPr="005C3211">
        <w:rPr>
          <w:rFonts w:cs="Arial"/>
          <w:kern w:val="22"/>
          <w:lang w:eastAsia="hi-IN" w:bidi="hi-IN"/>
        </w:rPr>
        <w:t xml:space="preserve"> 21. člena Zakona o Vladi Republike Slovenije (Uradni list RS, št. 24/05 – uradno prečiščeno besedilo, 109/08, 38/10 – ZUKN, 8/12, 21/13, 47/13 – ZDU-1G in 65/14)</w:t>
      </w:r>
      <w:r>
        <w:rPr>
          <w:rFonts w:cs="Arial"/>
          <w:kern w:val="22"/>
          <w:lang w:eastAsia="hi-IN" w:bidi="hi-IN"/>
        </w:rPr>
        <w:t>.</w:t>
      </w:r>
      <w:r w:rsidRPr="005C3211">
        <w:rPr>
          <w:rFonts w:cs="Arial"/>
          <w:kern w:val="22"/>
          <w:lang w:eastAsia="hi-IN" w:bidi="hi-IN"/>
        </w:rPr>
        <w:t xml:space="preserve"> </w:t>
      </w:r>
    </w:p>
    <w:p w:rsidR="008879CB" w:rsidRPr="004C2689" w:rsidRDefault="008879CB" w:rsidP="008879CB">
      <w:pPr>
        <w:tabs>
          <w:tab w:val="left" w:pos="708"/>
        </w:tabs>
        <w:rPr>
          <w:rFonts w:cs="Arial"/>
          <w:b/>
          <w:szCs w:val="20"/>
        </w:rPr>
      </w:pPr>
    </w:p>
    <w:p w:rsidR="008879CB" w:rsidRPr="004C2689" w:rsidRDefault="008879CB" w:rsidP="008879CB">
      <w:pPr>
        <w:numPr>
          <w:ilvl w:val="0"/>
          <w:numId w:val="15"/>
        </w:numPr>
        <w:tabs>
          <w:tab w:val="clear" w:pos="720"/>
          <w:tab w:val="num" w:pos="-360"/>
        </w:tabs>
        <w:ind w:left="360"/>
        <w:jc w:val="both"/>
        <w:rPr>
          <w:rFonts w:cs="Arial"/>
          <w:b/>
          <w:szCs w:val="20"/>
        </w:rPr>
      </w:pPr>
      <w:r w:rsidRPr="004C2689">
        <w:rPr>
          <w:rFonts w:cs="Arial"/>
          <w:b/>
          <w:szCs w:val="20"/>
        </w:rPr>
        <w:t>Rok za izdajo uredbe, določen z zakonom</w:t>
      </w:r>
    </w:p>
    <w:p w:rsidR="008879CB" w:rsidRPr="004C2689" w:rsidRDefault="008879CB" w:rsidP="008879CB">
      <w:pPr>
        <w:spacing w:before="120"/>
        <w:jc w:val="both"/>
        <w:rPr>
          <w:rFonts w:cs="Arial"/>
          <w:szCs w:val="20"/>
        </w:rPr>
      </w:pPr>
      <w:r>
        <w:rPr>
          <w:rFonts w:cs="Arial"/>
          <w:szCs w:val="20"/>
        </w:rPr>
        <w:t>Rok za ureditev zadevnih vsebin ni določen z zakonom ali drugim predpisom.</w:t>
      </w:r>
    </w:p>
    <w:p w:rsidR="008879CB" w:rsidRPr="008D1759" w:rsidRDefault="008879CB" w:rsidP="008879CB">
      <w:pPr>
        <w:tabs>
          <w:tab w:val="left" w:pos="708"/>
        </w:tabs>
        <w:rPr>
          <w:rFonts w:cs="Arial"/>
          <w:szCs w:val="20"/>
        </w:rPr>
      </w:pPr>
    </w:p>
    <w:p w:rsidR="008879CB" w:rsidRPr="004C2689" w:rsidRDefault="008879CB" w:rsidP="008879CB">
      <w:pPr>
        <w:numPr>
          <w:ilvl w:val="0"/>
          <w:numId w:val="15"/>
        </w:numPr>
        <w:tabs>
          <w:tab w:val="clear" w:pos="720"/>
          <w:tab w:val="num" w:pos="0"/>
        </w:tabs>
        <w:ind w:left="360"/>
        <w:jc w:val="both"/>
        <w:rPr>
          <w:rFonts w:cs="Arial"/>
          <w:b/>
          <w:szCs w:val="20"/>
        </w:rPr>
      </w:pPr>
      <w:r w:rsidRPr="004C2689">
        <w:rPr>
          <w:rFonts w:cs="Arial"/>
          <w:b/>
          <w:szCs w:val="20"/>
        </w:rPr>
        <w:t>Splošna obrazložitev predloga uredbe, če je potrebna</w:t>
      </w:r>
    </w:p>
    <w:p w:rsidR="008879CB" w:rsidRPr="009536E0" w:rsidRDefault="008879CB" w:rsidP="008879CB">
      <w:pPr>
        <w:spacing w:before="120"/>
        <w:jc w:val="both"/>
      </w:pPr>
      <w:r>
        <w:t xml:space="preserve">Uredba o porabi sredstev evropske kohezijske politike v Republiki Sloveniji v programskem obdobju 2014–2020 za cilj naložbe za rast in delovna mesta (v nadaljevanju: Uredba EKP) podrobneje ureja del izvajanja evropske kohezijske politike v Republiki Sloveniji, ki je sicer utemeljen na neposrednem izvajanju </w:t>
      </w:r>
      <w:r w:rsidRPr="009536E0">
        <w:t>predpisov EU.</w:t>
      </w:r>
    </w:p>
    <w:p w:rsidR="008879CB" w:rsidRDefault="008879CB" w:rsidP="008879CB">
      <w:pPr>
        <w:spacing w:before="120"/>
        <w:jc w:val="both"/>
      </w:pPr>
      <w:r>
        <w:t xml:space="preserve">Uredba EKP se spreminja v delu, ki se nanaša na ureditev celostnih teritorialnih naložb in finančnih instrumentov. </w:t>
      </w:r>
    </w:p>
    <w:p w:rsidR="008879CB" w:rsidRPr="009536E0" w:rsidRDefault="008879CB" w:rsidP="008879CB">
      <w:pPr>
        <w:spacing w:before="120"/>
        <w:jc w:val="both"/>
      </w:pPr>
      <w:r w:rsidRPr="009536E0">
        <w:t xml:space="preserve">Z zadevno spremembo se v </w:t>
      </w:r>
      <w:proofErr w:type="spellStart"/>
      <w:r w:rsidRPr="009536E0">
        <w:t>izogib</w:t>
      </w:r>
      <w:proofErr w:type="spellEnd"/>
      <w:r w:rsidRPr="009536E0">
        <w:t xml:space="preserve"> vsakršnim nejasnostim povsem nesporno določa, da združenje mestnih občin v skladu s </w:t>
      </w:r>
      <w:r w:rsidRPr="009536E0">
        <w:rPr>
          <w:bCs/>
        </w:rPr>
        <w:t>tretjim odstavkom 36. členom Uredbe 1303/2013/EU in 7. členom Uredbe  1301/2013/EU ter v skladu s Smernicami za države članice o celostnem trajnostnem urbanem razvoju</w:t>
      </w:r>
      <w:r>
        <w:rPr>
          <w:bCs/>
        </w:rPr>
        <w:t xml:space="preserve"> (v nadaljevanju: Smernice CTN)</w:t>
      </w:r>
      <w:r w:rsidRPr="009536E0">
        <w:t xml:space="preserve"> opravi svoje naloge v mehanizmu celostnih teritorialnih naložb kot posredniški organ</w:t>
      </w:r>
      <w:r w:rsidRPr="009536E0">
        <w:rPr>
          <w:bCs/>
        </w:rPr>
        <w:t>.</w:t>
      </w:r>
      <w:r w:rsidRPr="009536E0">
        <w:t xml:space="preserve"> </w:t>
      </w:r>
    </w:p>
    <w:p w:rsidR="008879CB" w:rsidRPr="008866D0" w:rsidRDefault="008879CB" w:rsidP="008879CB">
      <w:pPr>
        <w:spacing w:before="120"/>
        <w:jc w:val="both"/>
        <w:rPr>
          <w:bCs/>
        </w:rPr>
      </w:pPr>
      <w:r>
        <w:rPr>
          <w:bCs/>
        </w:rPr>
        <w:t xml:space="preserve">Po sedaj veljavni ureditvi </w:t>
      </w:r>
      <w:r w:rsidRPr="008866D0">
        <w:rPr>
          <w:bCs/>
        </w:rPr>
        <w:t xml:space="preserve">ta pravna narava zveze mestnih občin </w:t>
      </w:r>
      <w:r>
        <w:rPr>
          <w:bCs/>
        </w:rPr>
        <w:t xml:space="preserve">posredno </w:t>
      </w:r>
      <w:r w:rsidRPr="008866D0">
        <w:rPr>
          <w:bCs/>
        </w:rPr>
        <w:t xml:space="preserve">izhaja iz pristojnosti, ki so </w:t>
      </w:r>
      <w:r>
        <w:rPr>
          <w:bCs/>
        </w:rPr>
        <w:t xml:space="preserve">ji </w:t>
      </w:r>
      <w:r w:rsidRPr="008866D0">
        <w:rPr>
          <w:bCs/>
        </w:rPr>
        <w:t xml:space="preserve">določene v 8. in </w:t>
      </w:r>
      <w:proofErr w:type="spellStart"/>
      <w:r w:rsidRPr="008866D0">
        <w:rPr>
          <w:bCs/>
        </w:rPr>
        <w:t>17.a</w:t>
      </w:r>
      <w:proofErr w:type="spellEnd"/>
      <w:r w:rsidRPr="008866D0">
        <w:rPr>
          <w:bCs/>
        </w:rPr>
        <w:t xml:space="preserve"> členu </w:t>
      </w:r>
      <w:r>
        <w:rPr>
          <w:bCs/>
        </w:rPr>
        <w:t>U</w:t>
      </w:r>
      <w:r w:rsidRPr="008866D0">
        <w:rPr>
          <w:bCs/>
        </w:rPr>
        <w:t>redbe</w:t>
      </w:r>
      <w:r>
        <w:rPr>
          <w:bCs/>
        </w:rPr>
        <w:t xml:space="preserve"> </w:t>
      </w:r>
      <w:r w:rsidRPr="008866D0">
        <w:rPr>
          <w:bCs/>
        </w:rPr>
        <w:t>EKP</w:t>
      </w:r>
      <w:r>
        <w:rPr>
          <w:bCs/>
        </w:rPr>
        <w:t xml:space="preserve">. Po teh določbah je </w:t>
      </w:r>
      <w:r w:rsidRPr="008866D0">
        <w:rPr>
          <w:bCs/>
        </w:rPr>
        <w:t xml:space="preserve">zveza mestnih občin pristojna za naloge povezane z začetkom postopka ter z razvrščanjem in izborom operacij. </w:t>
      </w:r>
      <w:r>
        <w:rPr>
          <w:bCs/>
        </w:rPr>
        <w:t xml:space="preserve">Ta ureditev je v skladu pravno sistematiko v Republiki Sloveniji utemeljena na dejstvu, da </w:t>
      </w:r>
      <w:r w:rsidRPr="008866D0">
        <w:rPr>
          <w:bCs/>
        </w:rPr>
        <w:t>sistem celostnih teritorialnih naložb ni sistem, ki bi terjal konstituiranje trajne upravne strukture na nivoju institucij, pristojnih za urbani razvoj, saj po strukturi tega mehanizma te naloge niso trajne narave</w:t>
      </w:r>
      <w:r>
        <w:rPr>
          <w:bCs/>
        </w:rPr>
        <w:t xml:space="preserve">. Zveza mestnih občin bi </w:t>
      </w:r>
      <w:r w:rsidRPr="008866D0">
        <w:rPr>
          <w:bCs/>
        </w:rPr>
        <w:t xml:space="preserve">kot </w:t>
      </w:r>
      <w:r>
        <w:rPr>
          <w:bCs/>
        </w:rPr>
        <w:t>»</w:t>
      </w:r>
      <w:r w:rsidRPr="008866D0">
        <w:rPr>
          <w:bCs/>
          <w:i/>
        </w:rPr>
        <w:t xml:space="preserve">urban </w:t>
      </w:r>
      <w:proofErr w:type="spellStart"/>
      <w:r w:rsidRPr="008866D0">
        <w:rPr>
          <w:bCs/>
          <w:i/>
        </w:rPr>
        <w:t>authority</w:t>
      </w:r>
      <w:proofErr w:type="spellEnd"/>
      <w:r>
        <w:rPr>
          <w:bCs/>
          <w:i/>
        </w:rPr>
        <w:t xml:space="preserve">« </w:t>
      </w:r>
      <w:r w:rsidRPr="006B2988">
        <w:rPr>
          <w:bCs/>
        </w:rPr>
        <w:t>v skladu</w:t>
      </w:r>
      <w:r>
        <w:rPr>
          <w:bCs/>
          <w:i/>
        </w:rPr>
        <w:t xml:space="preserve"> </w:t>
      </w:r>
      <w:r>
        <w:rPr>
          <w:bCs/>
        </w:rPr>
        <w:t xml:space="preserve"> </w:t>
      </w:r>
      <w:r w:rsidRPr="008866D0">
        <w:rPr>
          <w:bCs/>
        </w:rPr>
        <w:t xml:space="preserve">z evropskimi </w:t>
      </w:r>
      <w:r>
        <w:rPr>
          <w:bCs/>
        </w:rPr>
        <w:t>uredbami in Smernicami</w:t>
      </w:r>
      <w:r w:rsidRPr="008866D0">
        <w:rPr>
          <w:bCs/>
        </w:rPr>
        <w:t xml:space="preserve"> CTN </w:t>
      </w:r>
      <w:r>
        <w:rPr>
          <w:bCs/>
        </w:rPr>
        <w:t>v Uredbi EKP te naloge opravila »</w:t>
      </w:r>
      <w:r w:rsidRPr="008866D0">
        <w:rPr>
          <w:b/>
          <w:bCs/>
        </w:rPr>
        <w:t>kot posredniški organ</w:t>
      </w:r>
      <w:r>
        <w:rPr>
          <w:b/>
          <w:bCs/>
        </w:rPr>
        <w:t>«</w:t>
      </w:r>
      <w:r w:rsidRPr="008866D0">
        <w:rPr>
          <w:bCs/>
        </w:rPr>
        <w:t xml:space="preserve"> (</w:t>
      </w:r>
      <w:r>
        <w:rPr>
          <w:bCs/>
        </w:rPr>
        <w:t>»</w:t>
      </w:r>
      <w:proofErr w:type="spellStart"/>
      <w:r w:rsidRPr="008866D0">
        <w:rPr>
          <w:bCs/>
          <w:i/>
        </w:rPr>
        <w:t>acts</w:t>
      </w:r>
      <w:proofErr w:type="spellEnd"/>
      <w:r w:rsidRPr="008866D0">
        <w:rPr>
          <w:bCs/>
          <w:i/>
        </w:rPr>
        <w:t xml:space="preserve"> as </w:t>
      </w:r>
      <w:proofErr w:type="spellStart"/>
      <w:r w:rsidRPr="008866D0">
        <w:rPr>
          <w:bCs/>
          <w:i/>
        </w:rPr>
        <w:t>an</w:t>
      </w:r>
      <w:proofErr w:type="spellEnd"/>
      <w:r w:rsidRPr="008866D0">
        <w:rPr>
          <w:bCs/>
          <w:i/>
        </w:rPr>
        <w:t xml:space="preserve"> IB</w:t>
      </w:r>
      <w:r>
        <w:rPr>
          <w:bCs/>
          <w:i/>
        </w:rPr>
        <w:t>«</w:t>
      </w:r>
      <w:r w:rsidRPr="008866D0">
        <w:rPr>
          <w:bCs/>
        </w:rPr>
        <w:t xml:space="preserve">). </w:t>
      </w:r>
    </w:p>
    <w:p w:rsidR="008879CB" w:rsidRPr="009536E0" w:rsidRDefault="008879CB" w:rsidP="008879CB">
      <w:pPr>
        <w:spacing w:before="120"/>
        <w:jc w:val="both"/>
      </w:pPr>
      <w:r>
        <w:t xml:space="preserve">Čeprav s </w:t>
      </w:r>
      <w:r w:rsidRPr="009536E0">
        <w:t xml:space="preserve">smiselno razlago </w:t>
      </w:r>
      <w:r>
        <w:t xml:space="preserve">tako </w:t>
      </w:r>
      <w:r w:rsidRPr="009536E0">
        <w:t xml:space="preserve">izhaja že iz sedaj veljavne ureditve, pa bo po novem nesporno veljalo, da bo </w:t>
      </w:r>
      <w:r w:rsidRPr="009536E0">
        <w:rPr>
          <w:bCs/>
        </w:rPr>
        <w:t xml:space="preserve">zveza mestnih občin - tako kot organ upravljanja, posredniški in izvajalski organi ter organ za potrjevanje - morala izkazati svojo zmožnost za zakonito in učinkovito opravo nalog, ki so ji  zaupane kot posredniškemu organu v sistemu celostnih </w:t>
      </w:r>
      <w:proofErr w:type="spellStart"/>
      <w:r w:rsidRPr="009536E0">
        <w:rPr>
          <w:bCs/>
        </w:rPr>
        <w:t>teritor</w:t>
      </w:r>
      <w:r w:rsidR="0002190D">
        <w:rPr>
          <w:bCs/>
        </w:rPr>
        <w:t>I</w:t>
      </w:r>
      <w:r w:rsidRPr="009536E0">
        <w:rPr>
          <w:bCs/>
        </w:rPr>
        <w:t>alnih</w:t>
      </w:r>
      <w:proofErr w:type="spellEnd"/>
      <w:r w:rsidRPr="009536E0">
        <w:rPr>
          <w:bCs/>
        </w:rPr>
        <w:t xml:space="preserve"> naložb, in bo kot taka morala predhodno uspešno prestati tudi postopek imenovanja organov. </w:t>
      </w:r>
    </w:p>
    <w:p w:rsidR="008879CB" w:rsidRPr="008D1759" w:rsidRDefault="008879CB" w:rsidP="008879CB">
      <w:pPr>
        <w:tabs>
          <w:tab w:val="left" w:pos="708"/>
        </w:tabs>
        <w:rPr>
          <w:rFonts w:cs="Arial"/>
          <w:szCs w:val="20"/>
        </w:rPr>
      </w:pPr>
    </w:p>
    <w:p w:rsidR="008879CB" w:rsidRDefault="008879CB" w:rsidP="008879CB">
      <w:pPr>
        <w:numPr>
          <w:ilvl w:val="0"/>
          <w:numId w:val="15"/>
        </w:numPr>
        <w:tabs>
          <w:tab w:val="clear" w:pos="720"/>
          <w:tab w:val="num" w:pos="0"/>
        </w:tabs>
        <w:ind w:left="360"/>
        <w:jc w:val="both"/>
        <w:rPr>
          <w:rFonts w:cs="Arial"/>
          <w:b/>
          <w:szCs w:val="20"/>
        </w:rPr>
      </w:pPr>
      <w:r w:rsidRPr="004C2689">
        <w:rPr>
          <w:rFonts w:cs="Arial"/>
          <w:b/>
          <w:szCs w:val="20"/>
        </w:rPr>
        <w:t>Predstavitev presoje posledic za posamezna področja, če te niso mogle biti celovito predstavljene v predlogu zakona</w:t>
      </w:r>
    </w:p>
    <w:p w:rsidR="008879CB" w:rsidRPr="004C2689" w:rsidRDefault="008879CB" w:rsidP="008879CB">
      <w:pPr>
        <w:spacing w:before="120"/>
        <w:jc w:val="both"/>
        <w:rPr>
          <w:rFonts w:cs="Arial"/>
          <w:b/>
          <w:szCs w:val="20"/>
        </w:rPr>
      </w:pPr>
      <w:r>
        <w:rPr>
          <w:rFonts w:cs="Arial"/>
          <w:b/>
          <w:szCs w:val="20"/>
        </w:rPr>
        <w:t>/</w:t>
      </w:r>
    </w:p>
    <w:p w:rsidR="008879CB" w:rsidRDefault="008879CB" w:rsidP="008879CB">
      <w:pPr>
        <w:spacing w:line="240" w:lineRule="auto"/>
        <w:rPr>
          <w:rFonts w:cs="Arial"/>
          <w:szCs w:val="20"/>
        </w:rPr>
      </w:pPr>
      <w:r>
        <w:rPr>
          <w:rFonts w:cs="Arial"/>
          <w:szCs w:val="20"/>
        </w:rPr>
        <w:br w:type="page"/>
      </w:r>
    </w:p>
    <w:p w:rsidR="008879CB" w:rsidRPr="004C2689" w:rsidRDefault="008879CB" w:rsidP="008879CB">
      <w:pPr>
        <w:tabs>
          <w:tab w:val="left" w:pos="708"/>
        </w:tabs>
        <w:rPr>
          <w:rFonts w:cs="Arial"/>
          <w:b/>
          <w:szCs w:val="20"/>
        </w:rPr>
      </w:pPr>
      <w:r w:rsidRPr="004C2689">
        <w:rPr>
          <w:rFonts w:cs="Arial"/>
          <w:b/>
          <w:szCs w:val="20"/>
        </w:rPr>
        <w:lastRenderedPageBreak/>
        <w:t>II. VSEBINSKA OBRAZLOŽITEV PREDLAGANIH REŠITEV</w:t>
      </w:r>
    </w:p>
    <w:p w:rsidR="008879CB" w:rsidRDefault="008879CB" w:rsidP="008879CB">
      <w:pPr>
        <w:spacing w:before="120" w:line="240" w:lineRule="auto"/>
        <w:jc w:val="both"/>
        <w:rPr>
          <w:b/>
        </w:rPr>
      </w:pPr>
    </w:p>
    <w:p w:rsidR="008879CB" w:rsidRPr="00081FBF" w:rsidRDefault="008879CB" w:rsidP="008879CB">
      <w:pPr>
        <w:spacing w:before="120" w:line="240" w:lineRule="auto"/>
        <w:jc w:val="both"/>
        <w:rPr>
          <w:b/>
        </w:rPr>
      </w:pPr>
      <w:r w:rsidRPr="00081FBF">
        <w:rPr>
          <w:b/>
        </w:rPr>
        <w:t>K 1. členu:</w:t>
      </w:r>
    </w:p>
    <w:p w:rsidR="008879CB" w:rsidRPr="00081FBF" w:rsidRDefault="008879CB" w:rsidP="008879CB">
      <w:pPr>
        <w:spacing w:line="240" w:lineRule="auto"/>
        <w:jc w:val="both"/>
      </w:pPr>
    </w:p>
    <w:p w:rsidR="008879CB" w:rsidRDefault="008879CB" w:rsidP="008879CB">
      <w:pPr>
        <w:jc w:val="both"/>
        <w:rPr>
          <w:rFonts w:cs="Arial"/>
          <w:bCs/>
          <w:szCs w:val="20"/>
        </w:rPr>
      </w:pPr>
      <w:r>
        <w:rPr>
          <w:rFonts w:cs="Arial"/>
          <w:bCs/>
          <w:szCs w:val="20"/>
        </w:rPr>
        <w:t xml:space="preserve">Iz razlogov, ki so pojasnjeni v splošni obrazložitvi k temu predlogu uredbe, se v 8. členu Uredbe EKP črta zadnja alineja, ki določa zvezo mestnih občin kot pristojno za izvajanje mehanizma celostnih teritorialnih naložb, ne pa tudi kot organ v skladu s 123. členom Uredbe 1303/2013/EU. </w:t>
      </w:r>
      <w:r w:rsidRPr="002F3BFF">
        <w:rPr>
          <w:rFonts w:cs="Arial"/>
          <w:bCs/>
          <w:szCs w:val="20"/>
        </w:rPr>
        <w:t>S črtanjem te določbe se bo štelo, da je zveza mestnih občin posredniški organ, ki so mu zaupane naloge, kot jih določa</w:t>
      </w:r>
      <w:r>
        <w:rPr>
          <w:rFonts w:cs="Arial"/>
          <w:bCs/>
          <w:szCs w:val="20"/>
        </w:rPr>
        <w:t>jo predpisi in drugi akti EU in U</w:t>
      </w:r>
      <w:r w:rsidRPr="002F3BFF">
        <w:rPr>
          <w:rFonts w:cs="Arial"/>
          <w:bCs/>
          <w:szCs w:val="20"/>
        </w:rPr>
        <w:t>redba EKP</w:t>
      </w:r>
      <w:r>
        <w:rPr>
          <w:rFonts w:cs="Arial"/>
          <w:bCs/>
          <w:szCs w:val="20"/>
        </w:rPr>
        <w:t xml:space="preserve">. </w:t>
      </w:r>
    </w:p>
    <w:p w:rsidR="008879CB" w:rsidRDefault="008879CB" w:rsidP="008879CB">
      <w:pPr>
        <w:spacing w:line="260" w:lineRule="atLeast"/>
        <w:jc w:val="both"/>
      </w:pPr>
    </w:p>
    <w:p w:rsidR="008879CB" w:rsidRPr="00081FBF" w:rsidRDefault="008879CB" w:rsidP="008879CB">
      <w:pPr>
        <w:spacing w:line="260" w:lineRule="atLeast"/>
        <w:jc w:val="both"/>
      </w:pPr>
    </w:p>
    <w:p w:rsidR="008879CB" w:rsidRPr="00081FBF" w:rsidRDefault="008879CB" w:rsidP="008879CB">
      <w:pPr>
        <w:spacing w:line="260" w:lineRule="atLeast"/>
        <w:jc w:val="both"/>
        <w:rPr>
          <w:b/>
        </w:rPr>
      </w:pPr>
      <w:r w:rsidRPr="00081FBF">
        <w:rPr>
          <w:b/>
        </w:rPr>
        <w:t>K 2. členu:</w:t>
      </w:r>
    </w:p>
    <w:p w:rsidR="008879CB" w:rsidRPr="00081FBF" w:rsidRDefault="008879CB" w:rsidP="008879CB">
      <w:pPr>
        <w:spacing w:line="260" w:lineRule="atLeast"/>
        <w:jc w:val="both"/>
      </w:pPr>
    </w:p>
    <w:p w:rsidR="008879CB" w:rsidRPr="00081FBF" w:rsidRDefault="008879CB" w:rsidP="008879CB">
      <w:pPr>
        <w:spacing w:line="260" w:lineRule="atLeast"/>
        <w:jc w:val="both"/>
      </w:pPr>
      <w:r>
        <w:t xml:space="preserve">Četrti odstavek 10. člena opredeljuje  </w:t>
      </w:r>
      <w:r w:rsidRPr="00081FBF">
        <w:t xml:space="preserve">naloge posredniških organov, ki sodelujejo pri izvajanju operacij trajnostnega urbanega razvoja z mehanizmom </w:t>
      </w:r>
      <w:r w:rsidR="007B6C70">
        <w:t>celostnih teritor</w:t>
      </w:r>
      <w:r>
        <w:t>i</w:t>
      </w:r>
      <w:r w:rsidR="007B6C70">
        <w:t>a</w:t>
      </w:r>
      <w:r>
        <w:t xml:space="preserve">lnih naložb, peti odstavek 10. člena pa določa naloge posredniških organov, ki so vključeni v izvajanje finančnih instrumentov. Ker se zadevna vsebina po novem ureja v novem </w:t>
      </w:r>
      <w:proofErr w:type="spellStart"/>
      <w:r>
        <w:t>10.a</w:t>
      </w:r>
      <w:proofErr w:type="spellEnd"/>
      <w:r>
        <w:t xml:space="preserve"> in </w:t>
      </w:r>
      <w:proofErr w:type="spellStart"/>
      <w:r>
        <w:t>10.b</w:t>
      </w:r>
      <w:proofErr w:type="spellEnd"/>
      <w:r>
        <w:t xml:space="preserve"> členu Uredbe EKP, je iz razlogov pravne sistematike treba določbe četrtega in petega odstavka 10. člena Uredbe EKP črtati. </w:t>
      </w:r>
    </w:p>
    <w:p w:rsidR="008879CB" w:rsidRDefault="008879CB" w:rsidP="008879CB">
      <w:pPr>
        <w:spacing w:line="260" w:lineRule="atLeast"/>
        <w:jc w:val="both"/>
        <w:rPr>
          <w:rFonts w:cs="Arial"/>
          <w:b/>
          <w:lang w:eastAsia="hi-IN" w:bidi="hi-IN"/>
        </w:rPr>
      </w:pPr>
    </w:p>
    <w:p w:rsidR="008879CB" w:rsidRDefault="008879CB" w:rsidP="008879CB">
      <w:pPr>
        <w:spacing w:line="260" w:lineRule="atLeast"/>
        <w:jc w:val="both"/>
        <w:rPr>
          <w:rFonts w:cs="Arial"/>
          <w:b/>
          <w:lang w:eastAsia="hi-IN" w:bidi="hi-IN"/>
        </w:rPr>
      </w:pPr>
    </w:p>
    <w:p w:rsidR="008879CB" w:rsidRPr="006E0C0F" w:rsidRDefault="008879CB" w:rsidP="008879CB">
      <w:pPr>
        <w:spacing w:line="260" w:lineRule="atLeast"/>
        <w:jc w:val="both"/>
        <w:rPr>
          <w:rFonts w:cs="Arial"/>
          <w:b/>
          <w:lang w:eastAsia="hi-IN" w:bidi="hi-IN"/>
        </w:rPr>
      </w:pPr>
      <w:r w:rsidRPr="006E0C0F">
        <w:rPr>
          <w:rFonts w:cs="Arial"/>
          <w:b/>
          <w:lang w:eastAsia="hi-IN" w:bidi="hi-IN"/>
        </w:rPr>
        <w:t>K 3. členu:</w:t>
      </w:r>
    </w:p>
    <w:p w:rsidR="008879CB" w:rsidRDefault="008879CB" w:rsidP="008879CB">
      <w:pPr>
        <w:spacing w:line="260" w:lineRule="atLeast"/>
        <w:jc w:val="both"/>
      </w:pPr>
    </w:p>
    <w:p w:rsidR="008879CB" w:rsidRDefault="008879CB" w:rsidP="008879CB">
      <w:pPr>
        <w:spacing w:line="260" w:lineRule="atLeast"/>
        <w:jc w:val="both"/>
      </w:pPr>
      <w:r>
        <w:t xml:space="preserve">Kot je navedeno zgoraj, se četrti in peti odstavek 10. člena črtata in se za 10. členom dodata nova </w:t>
      </w:r>
      <w:proofErr w:type="spellStart"/>
      <w:r>
        <w:t>10.a</w:t>
      </w:r>
      <w:proofErr w:type="spellEnd"/>
      <w:r>
        <w:t xml:space="preserve"> in </w:t>
      </w:r>
      <w:proofErr w:type="spellStart"/>
      <w:r>
        <w:t>10.b</w:t>
      </w:r>
      <w:proofErr w:type="spellEnd"/>
      <w:r>
        <w:t xml:space="preserve"> člen.</w:t>
      </w:r>
    </w:p>
    <w:p w:rsidR="008879CB" w:rsidRDefault="008879CB" w:rsidP="008879CB">
      <w:pPr>
        <w:spacing w:line="260" w:lineRule="atLeast"/>
        <w:jc w:val="both"/>
      </w:pPr>
    </w:p>
    <w:p w:rsidR="008879CB" w:rsidRPr="004E3C63" w:rsidRDefault="008879CB" w:rsidP="008879CB">
      <w:pPr>
        <w:spacing w:line="260" w:lineRule="atLeast"/>
        <w:jc w:val="both"/>
      </w:pPr>
      <w:r>
        <w:t xml:space="preserve">Z novim </w:t>
      </w:r>
      <w:proofErr w:type="spellStart"/>
      <w:r>
        <w:t>10.a</w:t>
      </w:r>
      <w:proofErr w:type="spellEnd"/>
      <w:r>
        <w:t xml:space="preserve"> členom se določajo naloge posredniških organov, vključenih v izvajanje celostnih teritorialnih naložb. </w:t>
      </w:r>
      <w:r w:rsidRPr="00081FBF">
        <w:t>Ministrstvo za okolje in prostor ter Ministrstvo za infrastrukturo</w:t>
      </w:r>
      <w:r>
        <w:t xml:space="preserve"> ohranjata svojo sedanjo vlogo posredniških organov, pristojnih za izvajanje celostnih teritorialnih naložb, ki</w:t>
      </w:r>
      <w:r w:rsidRPr="00081FBF">
        <w:t xml:space="preserve"> z organom upravljanja sodelujeta pri vzpostavitvi sistema za izvajanje celostnih teritorialnih naložb, ocenita vloge za </w:t>
      </w:r>
      <w:r w:rsidRPr="004E3C63">
        <w:t xml:space="preserve">operacije, spremljata doseganje kazalnikov v skladu z operativnim programom ter o primernosti vloge za odločitev o podpori seznanita zvezo mestnih občin. Enako tudi zveza mestnih občin ohranja svoje sedanje naloge v mehanizmu celostnih teritorialnih naložb s tem, da se po novem nesporno določa, da jih opravlja kot posredniški organ. </w:t>
      </w:r>
    </w:p>
    <w:p w:rsidR="008879CB" w:rsidRPr="004E3C63" w:rsidRDefault="008879CB" w:rsidP="008879CB">
      <w:pPr>
        <w:spacing w:line="260" w:lineRule="atLeast"/>
        <w:jc w:val="both"/>
        <w:rPr>
          <w:rFonts w:cs="Arial"/>
          <w:lang w:eastAsia="hi-IN" w:bidi="hi-IN"/>
        </w:rPr>
      </w:pPr>
    </w:p>
    <w:p w:rsidR="008879CB" w:rsidRPr="004E3C63" w:rsidRDefault="008879CB" w:rsidP="008879CB">
      <w:pPr>
        <w:autoSpaceDE w:val="0"/>
        <w:autoSpaceDN w:val="0"/>
        <w:adjustRightInd w:val="0"/>
        <w:spacing w:line="260" w:lineRule="atLeast"/>
        <w:jc w:val="both"/>
        <w:rPr>
          <w:rFonts w:cs="Arial"/>
          <w:color w:val="000000"/>
          <w:szCs w:val="20"/>
        </w:rPr>
      </w:pPr>
      <w:r w:rsidRPr="004E3C63">
        <w:rPr>
          <w:rFonts w:cs="Arial"/>
          <w:color w:val="000000"/>
          <w:szCs w:val="20"/>
        </w:rPr>
        <w:t xml:space="preserve">Z novim </w:t>
      </w:r>
      <w:proofErr w:type="spellStart"/>
      <w:r w:rsidRPr="004E3C63">
        <w:rPr>
          <w:rFonts w:cs="Arial"/>
          <w:color w:val="000000"/>
          <w:szCs w:val="20"/>
        </w:rPr>
        <w:t>10.b</w:t>
      </w:r>
      <w:proofErr w:type="spellEnd"/>
      <w:r w:rsidRPr="004E3C63">
        <w:rPr>
          <w:rFonts w:cs="Arial"/>
          <w:color w:val="000000"/>
          <w:szCs w:val="20"/>
        </w:rPr>
        <w:t xml:space="preserve"> členom se določajo posredniški organi, ki so vključeni v izvajanje finančnih instrumentov in njihove naloge. Finančni instrumenti se izvajajo na različnih prednostnih oseh. Pripravljena predhodna ocena finančnih instrumentov v Sloveniji kot najbolj optimalno rešitev predlaga izvajanje finančnih instrumentov prek sklada skladov. Primerna struktura se zagotovi s tem, da se imenuje en posredniški organ za vse finančne instrumente (tj. Ministrstvo za gospodarski razvoj in tehnologijo), in sicer ne glede na prednostno os oziroma naložbo, ki v sodelovanju z Ministrstvom za okolje in prostor ter Ministrstvom za infrastrukturo nudi podlago za učinkovito izvajanje finančnih instrumentov. V izbor operacij v okviru izvajanja celostnih teritorialnih naložb mora biti vključen tudi organ pristojen za urbani razvoj (tj. združenje mestnih občin), zato je ustrezno umeščen v sistem izvajanja. Navedeno omogoča sklenitev enega sporazuma o financiranju med posredniškim organom in skladom skladov in zagotavlja poenotenje izvajanja finančnih instrumentov po vseh prednostnih oseh operativnega programa.</w:t>
      </w:r>
    </w:p>
    <w:p w:rsidR="008879CB" w:rsidRPr="004E3C63" w:rsidRDefault="008879CB" w:rsidP="008879CB">
      <w:pPr>
        <w:autoSpaceDE w:val="0"/>
        <w:autoSpaceDN w:val="0"/>
        <w:adjustRightInd w:val="0"/>
        <w:spacing w:line="260" w:lineRule="atLeast"/>
        <w:jc w:val="both"/>
        <w:rPr>
          <w:rFonts w:cs="Arial"/>
          <w:color w:val="000000"/>
          <w:szCs w:val="20"/>
        </w:rPr>
      </w:pPr>
      <w:r w:rsidRPr="004E3C63">
        <w:rPr>
          <w:rFonts w:cs="Arial"/>
          <w:color w:val="000000"/>
          <w:szCs w:val="20"/>
        </w:rPr>
        <w:t xml:space="preserve"> </w:t>
      </w:r>
    </w:p>
    <w:p w:rsidR="008879CB" w:rsidRPr="004E3C63" w:rsidRDefault="008879CB" w:rsidP="008879CB">
      <w:pPr>
        <w:autoSpaceDE w:val="0"/>
        <w:autoSpaceDN w:val="0"/>
        <w:adjustRightInd w:val="0"/>
        <w:spacing w:line="260" w:lineRule="atLeast"/>
        <w:jc w:val="both"/>
        <w:rPr>
          <w:rFonts w:cs="Arial"/>
          <w:color w:val="000000"/>
          <w:szCs w:val="20"/>
        </w:rPr>
      </w:pPr>
      <w:r w:rsidRPr="004E3C63">
        <w:rPr>
          <w:rFonts w:cs="Arial"/>
          <w:color w:val="000000"/>
          <w:szCs w:val="20"/>
        </w:rPr>
        <w:t xml:space="preserve">Nadalje se v tej določbi opredeljujejo naloge, ki jih Ministrstvo za okolje in prostor ter Ministrstvo za infrastrukturo opravljata kot avtonomne naloge, medtem ko pri opravljanju nalog iz </w:t>
      </w:r>
      <w:proofErr w:type="spellStart"/>
      <w:r w:rsidRPr="004E3C63">
        <w:rPr>
          <w:rFonts w:cs="Arial"/>
          <w:color w:val="000000"/>
          <w:szCs w:val="20"/>
        </w:rPr>
        <w:t>37.a</w:t>
      </w:r>
      <w:proofErr w:type="spellEnd"/>
      <w:r w:rsidRPr="004E3C63">
        <w:rPr>
          <w:rFonts w:cs="Arial"/>
          <w:color w:val="000000"/>
          <w:szCs w:val="20"/>
        </w:rPr>
        <w:t xml:space="preserve"> člena uredbe sodelujeta s posredniškim organom za finančne instrumente (MGRT). </w:t>
      </w:r>
    </w:p>
    <w:p w:rsidR="008879CB" w:rsidRPr="004E3C63" w:rsidRDefault="008879CB" w:rsidP="008879CB">
      <w:pPr>
        <w:spacing w:line="260" w:lineRule="atLeast"/>
        <w:jc w:val="both"/>
        <w:rPr>
          <w:rFonts w:cs="Arial"/>
          <w:color w:val="000000"/>
          <w:szCs w:val="20"/>
        </w:rPr>
      </w:pPr>
    </w:p>
    <w:p w:rsidR="008879CB" w:rsidRDefault="008879CB" w:rsidP="008879CB">
      <w:pPr>
        <w:spacing w:line="260" w:lineRule="atLeast"/>
        <w:jc w:val="both"/>
        <w:rPr>
          <w:rFonts w:cs="Arial"/>
          <w:lang w:eastAsia="hi-IN" w:bidi="hi-IN"/>
        </w:rPr>
      </w:pPr>
      <w:r w:rsidRPr="004E3C63">
        <w:rPr>
          <w:rFonts w:cs="Arial"/>
          <w:color w:val="000000"/>
          <w:szCs w:val="20"/>
        </w:rPr>
        <w:t xml:space="preserve">Naloge zveze mestnih občin, so opredeljene v skladu s </w:t>
      </w:r>
      <w:r w:rsidRPr="004E3C63">
        <w:rPr>
          <w:rFonts w:cs="Arial"/>
          <w:bCs/>
          <w:color w:val="000000"/>
          <w:szCs w:val="20"/>
        </w:rPr>
        <w:t>7. členom Uredbe  1301/2013/EU ter v skladu s Smernicami CTN</w:t>
      </w:r>
      <w:r w:rsidRPr="004E3C63">
        <w:rPr>
          <w:rFonts w:cs="Arial"/>
          <w:color w:val="000000"/>
          <w:szCs w:val="20"/>
        </w:rPr>
        <w:t xml:space="preserve">, ki na področju finančnih instrumentov navajajo, da organ odgovoren za urbani razvoj potrdi prispevek prednostne naložbe k finančnim instrumentom. V sistemu izvajanja to pomeni, </w:t>
      </w:r>
      <w:r w:rsidRPr="004E3C63">
        <w:rPr>
          <w:rFonts w:cs="Arial"/>
          <w:color w:val="000000"/>
          <w:szCs w:val="20"/>
        </w:rPr>
        <w:lastRenderedPageBreak/>
        <w:t xml:space="preserve">da mora zveza mestnih občin v okviru medresorskega usklajevanja, ki ga v skladu s </w:t>
      </w:r>
      <w:proofErr w:type="spellStart"/>
      <w:r w:rsidRPr="004E3C63">
        <w:rPr>
          <w:rFonts w:cs="Arial"/>
          <w:color w:val="000000"/>
          <w:szCs w:val="20"/>
        </w:rPr>
        <w:t>37.a</w:t>
      </w:r>
      <w:proofErr w:type="spellEnd"/>
      <w:r w:rsidRPr="004E3C63">
        <w:rPr>
          <w:rFonts w:cs="Arial"/>
          <w:color w:val="000000"/>
          <w:szCs w:val="20"/>
        </w:rPr>
        <w:t xml:space="preserve"> členom opravi organ upravljanja, podati soglasje h ključnim elementom finančnih instrumentov, v delu ki se nanaša na celostne </w:t>
      </w:r>
      <w:proofErr w:type="spellStart"/>
      <w:r w:rsidRPr="004E3C63">
        <w:rPr>
          <w:rFonts w:cs="Arial"/>
          <w:color w:val="000000"/>
          <w:szCs w:val="20"/>
        </w:rPr>
        <w:t>teritorilane</w:t>
      </w:r>
      <w:proofErr w:type="spellEnd"/>
      <w:r w:rsidRPr="004E3C63">
        <w:rPr>
          <w:rFonts w:cs="Arial"/>
          <w:color w:val="000000"/>
          <w:szCs w:val="20"/>
        </w:rPr>
        <w:t xml:space="preserve"> naložbe. V primeru, da zveza mestnih občin nasprotuje gradivu, se to področje izloči iz vladnega gradiva in se ga uvrsti v gradivo, ko se pripravlja </w:t>
      </w:r>
      <w:proofErr w:type="spellStart"/>
      <w:r w:rsidRPr="004E3C63">
        <w:rPr>
          <w:rFonts w:cs="Arial"/>
          <w:color w:val="000000"/>
          <w:szCs w:val="20"/>
        </w:rPr>
        <w:t>novelacija</w:t>
      </w:r>
      <w:proofErr w:type="spellEnd"/>
      <w:r w:rsidRPr="004E3C63">
        <w:rPr>
          <w:rFonts w:cs="Arial"/>
          <w:color w:val="000000"/>
          <w:szCs w:val="20"/>
        </w:rPr>
        <w:t>. Pri finančnih instrumentih morajo biti posamezne investicijske odločitve o projektih s področja trajnostnega urbanega razvoja sprejete na podlagi poslovnih načrtov, ki dokazujejo finančno sposobnost v skladu s tržnimi standardi. Takšne odločitve sprejmejo upravitelji skladov. Organi, pristojni za urbani razvoj, ali kateri koli javni vlagatelj, vključno z organi upravljanja, ne smejo biti vključeni v posamezne investicijske odločitve. Na ravni posamezne investicije je potrebno zagotoviti skladnost investicije s trajnostno urbano strategijo. Pred dokončno odločitvijo bo zato moral upravitelj sklada pristojnega z urbani razvoj zagotoviti soglasje zveze mestnih občin. Navedeno je mogoče zagotoviti tudi z imenovanjem predstavnika zveze mestnih občin v strukturo upravljanja sklada pristojnega za urbani razvoj, kot je nadzorni ali svetovalni odbor.</w:t>
      </w:r>
    </w:p>
    <w:p w:rsidR="008879CB" w:rsidRDefault="008879CB" w:rsidP="008879CB">
      <w:pPr>
        <w:spacing w:line="260" w:lineRule="atLeast"/>
        <w:jc w:val="both"/>
        <w:rPr>
          <w:rFonts w:cs="Arial"/>
          <w:b/>
          <w:lang w:eastAsia="hi-IN" w:bidi="hi-IN"/>
        </w:rPr>
      </w:pPr>
    </w:p>
    <w:p w:rsidR="008879CB" w:rsidRDefault="008879CB" w:rsidP="008879CB">
      <w:pPr>
        <w:spacing w:line="260" w:lineRule="atLeast"/>
        <w:jc w:val="both"/>
        <w:rPr>
          <w:rFonts w:cs="Arial"/>
          <w:b/>
          <w:lang w:eastAsia="hi-IN" w:bidi="hi-IN"/>
        </w:rPr>
      </w:pPr>
    </w:p>
    <w:p w:rsidR="008879CB" w:rsidRPr="006E0C0F" w:rsidRDefault="008879CB" w:rsidP="008879CB">
      <w:pPr>
        <w:spacing w:line="260" w:lineRule="atLeast"/>
        <w:jc w:val="both"/>
        <w:rPr>
          <w:rFonts w:cs="Arial"/>
          <w:b/>
          <w:lang w:eastAsia="hi-IN" w:bidi="hi-IN"/>
        </w:rPr>
      </w:pPr>
      <w:r w:rsidRPr="006E0C0F">
        <w:rPr>
          <w:rFonts w:cs="Arial"/>
          <w:b/>
          <w:lang w:eastAsia="hi-IN" w:bidi="hi-IN"/>
        </w:rPr>
        <w:t xml:space="preserve">K </w:t>
      </w:r>
      <w:r>
        <w:rPr>
          <w:rFonts w:cs="Arial"/>
          <w:b/>
          <w:lang w:eastAsia="hi-IN" w:bidi="hi-IN"/>
        </w:rPr>
        <w:t>4</w:t>
      </w:r>
      <w:r w:rsidRPr="006E0C0F">
        <w:rPr>
          <w:rFonts w:cs="Arial"/>
          <w:b/>
          <w:lang w:eastAsia="hi-IN" w:bidi="hi-IN"/>
        </w:rPr>
        <w:t>. členu:</w:t>
      </w:r>
    </w:p>
    <w:p w:rsidR="008879CB" w:rsidRPr="00081FBF" w:rsidRDefault="008879CB" w:rsidP="008879CB">
      <w:pPr>
        <w:spacing w:line="260" w:lineRule="atLeast"/>
        <w:jc w:val="both"/>
        <w:rPr>
          <w:rFonts w:cs="Arial"/>
          <w:lang w:eastAsia="hi-IN" w:bidi="hi-IN"/>
        </w:rPr>
      </w:pPr>
    </w:p>
    <w:p w:rsidR="008879CB" w:rsidRPr="000F7878" w:rsidRDefault="008879CB" w:rsidP="008879CB">
      <w:pPr>
        <w:spacing w:line="260" w:lineRule="atLeast"/>
        <w:jc w:val="both"/>
      </w:pPr>
      <w:r w:rsidRPr="009B669A">
        <w:rPr>
          <w:rFonts w:cs="Arial"/>
          <w:szCs w:val="20"/>
        </w:rPr>
        <w:t xml:space="preserve">Celotna vsebina določbe </w:t>
      </w:r>
      <w:proofErr w:type="spellStart"/>
      <w:r w:rsidRPr="009B669A">
        <w:rPr>
          <w:rFonts w:cs="Arial"/>
          <w:szCs w:val="20"/>
        </w:rPr>
        <w:t>17.a</w:t>
      </w:r>
      <w:proofErr w:type="spellEnd"/>
      <w:r w:rsidRPr="009B669A">
        <w:rPr>
          <w:rFonts w:cs="Arial"/>
          <w:szCs w:val="20"/>
        </w:rPr>
        <w:t xml:space="preserve"> člena je povzeta in vključena v besedilo sprememb in dopolnitev zadevne uredbe</w:t>
      </w:r>
      <w:r>
        <w:rPr>
          <w:rFonts w:cs="Arial"/>
          <w:szCs w:val="20"/>
        </w:rPr>
        <w:t xml:space="preserve">, in sicer, </w:t>
      </w:r>
      <w:r>
        <w:t xml:space="preserve">kot je navedeno zgoraj, v nova </w:t>
      </w:r>
      <w:proofErr w:type="spellStart"/>
      <w:r>
        <w:t>10.a</w:t>
      </w:r>
      <w:proofErr w:type="spellEnd"/>
      <w:r>
        <w:t xml:space="preserve"> in </w:t>
      </w:r>
      <w:proofErr w:type="spellStart"/>
      <w:r>
        <w:t>10.b</w:t>
      </w:r>
      <w:proofErr w:type="spellEnd"/>
      <w:r>
        <w:t xml:space="preserve"> člen. </w:t>
      </w:r>
    </w:p>
    <w:p w:rsidR="008879CB" w:rsidRDefault="008879CB" w:rsidP="008879CB">
      <w:pPr>
        <w:tabs>
          <w:tab w:val="left" w:pos="3402"/>
        </w:tabs>
        <w:spacing w:line="260" w:lineRule="atLeast"/>
        <w:jc w:val="both"/>
        <w:rPr>
          <w:rFonts w:cs="Arial"/>
          <w:b/>
          <w:szCs w:val="20"/>
        </w:rPr>
      </w:pPr>
    </w:p>
    <w:p w:rsidR="008879CB" w:rsidRDefault="008879CB" w:rsidP="008879CB">
      <w:pPr>
        <w:tabs>
          <w:tab w:val="left" w:pos="3402"/>
        </w:tabs>
        <w:spacing w:line="260" w:lineRule="atLeast"/>
        <w:jc w:val="both"/>
        <w:rPr>
          <w:rFonts w:cs="Arial"/>
          <w:b/>
          <w:szCs w:val="20"/>
        </w:rPr>
      </w:pPr>
    </w:p>
    <w:p w:rsidR="008879CB" w:rsidRPr="004C2689" w:rsidRDefault="008879CB" w:rsidP="008879CB">
      <w:pPr>
        <w:tabs>
          <w:tab w:val="left" w:pos="3402"/>
        </w:tabs>
        <w:spacing w:line="260" w:lineRule="atLeast"/>
        <w:jc w:val="both"/>
        <w:rPr>
          <w:rFonts w:cs="Arial"/>
          <w:b/>
          <w:szCs w:val="20"/>
        </w:rPr>
      </w:pPr>
      <w:r>
        <w:rPr>
          <w:rFonts w:cs="Arial"/>
          <w:b/>
          <w:szCs w:val="20"/>
        </w:rPr>
        <w:t>K 5</w:t>
      </w:r>
      <w:r w:rsidRPr="004C2689">
        <w:rPr>
          <w:rFonts w:cs="Arial"/>
          <w:b/>
          <w:szCs w:val="20"/>
        </w:rPr>
        <w:t>. členu:</w:t>
      </w:r>
    </w:p>
    <w:p w:rsidR="008879CB" w:rsidRDefault="008879CB" w:rsidP="008879CB">
      <w:pPr>
        <w:spacing w:line="260" w:lineRule="atLeast"/>
        <w:jc w:val="both"/>
        <w:rPr>
          <w:rFonts w:cs="Arial"/>
        </w:rPr>
      </w:pPr>
    </w:p>
    <w:p w:rsidR="008879CB" w:rsidRPr="004C2689" w:rsidRDefault="008879CB" w:rsidP="008879CB">
      <w:pPr>
        <w:spacing w:line="260" w:lineRule="atLeast"/>
        <w:jc w:val="both"/>
        <w:rPr>
          <w:rFonts w:cs="Arial"/>
        </w:rPr>
      </w:pPr>
      <w:r w:rsidRPr="004C2689">
        <w:rPr>
          <w:rFonts w:cs="Arial"/>
        </w:rPr>
        <w:t>Z uveljavitveno določbo se določa, da predlagana uredba začne veljati naslednji dan po objavi v Uradnem listu Republike Slovenije.</w:t>
      </w:r>
    </w:p>
    <w:p w:rsidR="008879CB" w:rsidRPr="008D1759" w:rsidRDefault="008879CB" w:rsidP="008879CB">
      <w:pPr>
        <w:spacing w:line="260" w:lineRule="atLeast"/>
        <w:rPr>
          <w:rFonts w:cs="Arial"/>
          <w:szCs w:val="20"/>
        </w:rPr>
      </w:pPr>
    </w:p>
    <w:p w:rsidR="008879CB" w:rsidRPr="008D1759" w:rsidRDefault="008879CB" w:rsidP="008879CB">
      <w:pPr>
        <w:spacing w:line="260" w:lineRule="atLeast"/>
        <w:rPr>
          <w:rFonts w:cs="Arial"/>
          <w:szCs w:val="20"/>
        </w:rPr>
      </w:pPr>
    </w:p>
    <w:p w:rsidR="008879CB" w:rsidRDefault="008879CB" w:rsidP="008879CB">
      <w:pPr>
        <w:spacing w:line="240" w:lineRule="auto"/>
        <w:rPr>
          <w:rFonts w:cs="Arial"/>
          <w:szCs w:val="20"/>
        </w:rPr>
      </w:pPr>
      <w:r>
        <w:rPr>
          <w:rFonts w:cs="Arial"/>
          <w:szCs w:val="20"/>
        </w:rPr>
        <w:br w:type="page"/>
      </w:r>
    </w:p>
    <w:p w:rsidR="008879CB" w:rsidRDefault="008879CB" w:rsidP="00CA3919">
      <w:pPr>
        <w:tabs>
          <w:tab w:val="left" w:pos="708"/>
        </w:tabs>
        <w:rPr>
          <w:rFonts w:cs="Arial"/>
          <w:b/>
          <w:szCs w:val="20"/>
        </w:rPr>
      </w:pPr>
    </w:p>
    <w:p w:rsidR="00BC7A6A" w:rsidRDefault="00BC7A6A" w:rsidP="00E8286E">
      <w:pPr>
        <w:pStyle w:val="podpisi"/>
        <w:rPr>
          <w:rFonts w:cs="Arial"/>
          <w:b/>
          <w:lang w:val="sl-SI"/>
        </w:rPr>
      </w:pPr>
      <w:r w:rsidRPr="001A65B6">
        <w:rPr>
          <w:rFonts w:cs="Arial"/>
          <w:b/>
          <w:lang w:val="sl-SI"/>
        </w:rPr>
        <w:t>BESEDILO ČLENOV, KI SE SPREMINJAJO</w:t>
      </w:r>
    </w:p>
    <w:p w:rsidR="00BC7A6A" w:rsidRDefault="00BC7A6A" w:rsidP="00BC7A6A">
      <w:pPr>
        <w:pStyle w:val="podpisi"/>
        <w:ind w:left="360"/>
        <w:rPr>
          <w:rFonts w:cs="Arial"/>
          <w:b/>
          <w:lang w:val="sl-SI"/>
        </w:rPr>
      </w:pPr>
    </w:p>
    <w:p w:rsidR="00BC7A6A" w:rsidRDefault="00BC7A6A" w:rsidP="00BC7A6A">
      <w:pPr>
        <w:pStyle w:val="len"/>
      </w:pPr>
      <w:r>
        <w:t>8. člen</w:t>
      </w:r>
    </w:p>
    <w:p w:rsidR="00BC7A6A" w:rsidRDefault="00BC7A6A" w:rsidP="00BC7A6A">
      <w:pPr>
        <w:pStyle w:val="lennaslov"/>
      </w:pPr>
      <w:r>
        <w:t>(udeleženci evropske kohezijske politike)</w:t>
      </w:r>
    </w:p>
    <w:p w:rsidR="00BC7A6A" w:rsidRDefault="00BC7A6A" w:rsidP="00BC7A6A">
      <w:pPr>
        <w:pStyle w:val="Odstavek"/>
      </w:pPr>
      <w:r>
        <w:t>(1) Udeleženci evropske kohezijske politike so:</w:t>
      </w:r>
    </w:p>
    <w:p w:rsidR="00BC7A6A" w:rsidRDefault="00BC7A6A" w:rsidP="00BC7A6A">
      <w:pPr>
        <w:pStyle w:val="Alineazaodstavkom"/>
        <w:numPr>
          <w:ilvl w:val="0"/>
          <w:numId w:val="40"/>
        </w:numPr>
        <w:overflowPunct/>
        <w:autoSpaceDE/>
        <w:autoSpaceDN/>
        <w:adjustRightInd/>
        <w:spacing w:line="240" w:lineRule="auto"/>
        <w:textAlignment w:val="auto"/>
      </w:pPr>
      <w:r>
        <w:t>organi upravljanja in nadzora iz 123. člena Uredbe 1303/2013/EU,</w:t>
      </w:r>
    </w:p>
    <w:p w:rsidR="00BC7A6A" w:rsidRDefault="00BC7A6A" w:rsidP="00BC7A6A">
      <w:pPr>
        <w:pStyle w:val="Alineazaodstavkom"/>
        <w:numPr>
          <w:ilvl w:val="0"/>
          <w:numId w:val="40"/>
        </w:numPr>
        <w:overflowPunct/>
        <w:autoSpaceDE/>
        <w:autoSpaceDN/>
        <w:adjustRightInd/>
        <w:spacing w:line="240" w:lineRule="auto"/>
        <w:textAlignment w:val="auto"/>
      </w:pPr>
      <w:r>
        <w:t>posredniški organi iz 123. člena Uredbe 1303/2013/EU,</w:t>
      </w:r>
    </w:p>
    <w:p w:rsidR="00BC7A6A" w:rsidRDefault="00BC7A6A" w:rsidP="00BC7A6A">
      <w:pPr>
        <w:pStyle w:val="Alineazaodstavkom"/>
        <w:numPr>
          <w:ilvl w:val="0"/>
          <w:numId w:val="40"/>
        </w:numPr>
        <w:overflowPunct/>
        <w:autoSpaceDE/>
        <w:autoSpaceDN/>
        <w:adjustRightInd/>
        <w:spacing w:line="240" w:lineRule="auto"/>
        <w:textAlignment w:val="auto"/>
      </w:pPr>
      <w:r>
        <w:t>izvajalski organi, kot jih določa 13. člen te uredbe,</w:t>
      </w:r>
    </w:p>
    <w:p w:rsidR="00BC7A6A" w:rsidRDefault="00BC7A6A" w:rsidP="00BC7A6A">
      <w:pPr>
        <w:pStyle w:val="Alineazaodstavkom"/>
        <w:numPr>
          <w:ilvl w:val="0"/>
          <w:numId w:val="40"/>
        </w:numPr>
        <w:overflowPunct/>
        <w:autoSpaceDE/>
        <w:autoSpaceDN/>
        <w:adjustRightInd/>
        <w:spacing w:line="240" w:lineRule="auto"/>
        <w:textAlignment w:val="auto"/>
      </w:pPr>
      <w:r>
        <w:t>odbor za spremljanje iz 47. člena Uredbe 1303/2013/EU,</w:t>
      </w:r>
    </w:p>
    <w:p w:rsidR="00BC7A6A" w:rsidRDefault="00BC7A6A" w:rsidP="00BC7A6A">
      <w:pPr>
        <w:pStyle w:val="Alineazaodstavkom"/>
        <w:numPr>
          <w:ilvl w:val="0"/>
          <w:numId w:val="40"/>
        </w:numPr>
        <w:overflowPunct/>
        <w:autoSpaceDE/>
        <w:autoSpaceDN/>
        <w:adjustRightInd/>
        <w:spacing w:line="240" w:lineRule="auto"/>
        <w:textAlignment w:val="auto"/>
      </w:pPr>
      <w:r>
        <w:t>upravičenec iz 2. člena Uredbe 1303/2013/EU,</w:t>
      </w:r>
    </w:p>
    <w:p w:rsidR="00BC7A6A" w:rsidRDefault="00BC7A6A" w:rsidP="00BC7A6A">
      <w:pPr>
        <w:pStyle w:val="Alineazaodstavkom"/>
        <w:numPr>
          <w:ilvl w:val="0"/>
          <w:numId w:val="40"/>
        </w:numPr>
        <w:overflowPunct/>
        <w:autoSpaceDE/>
        <w:autoSpaceDN/>
        <w:adjustRightInd/>
        <w:spacing w:line="240" w:lineRule="auto"/>
        <w:textAlignment w:val="auto"/>
      </w:pPr>
      <w:r>
        <w:t>organ, pristojen za sodelovanje z Evropskim uradom za boj proti goljufijam (v nadaljnjem besedilu: pristojni organ za sodelovanje z OLAF) in</w:t>
      </w:r>
    </w:p>
    <w:p w:rsidR="00BC7A6A" w:rsidRDefault="00BC7A6A" w:rsidP="00BC7A6A">
      <w:pPr>
        <w:pStyle w:val="Alineazaodstavkom"/>
        <w:numPr>
          <w:ilvl w:val="0"/>
          <w:numId w:val="40"/>
        </w:numPr>
        <w:overflowPunct/>
        <w:autoSpaceDE/>
        <w:autoSpaceDN/>
        <w:adjustRightInd/>
        <w:spacing w:line="240" w:lineRule="auto"/>
        <w:textAlignment w:val="auto"/>
      </w:pPr>
      <w:r>
        <w:t>združenje mestnih občin, ki je ustanovljeno v skladu s predpisi o lokalni samoupravi in je pristojno za izvajanje mehanizma celostnih teritorialnih naložb (v nadaljnjem besedilu: združenje mestnih občin).</w:t>
      </w:r>
    </w:p>
    <w:p w:rsidR="00BC7A6A" w:rsidRDefault="00BC7A6A" w:rsidP="00BC7A6A">
      <w:pPr>
        <w:pStyle w:val="Odstavek"/>
      </w:pPr>
      <w:r>
        <w:t>(2) Če se glede posamezne operacije pri istem udeležencu evropske kohezijske politike združijo naloge upravljanja in nadzora na eni strani in izvajanja na drugi, se načelo ločitve funkcij zagotovi z delitvijo obeh vrst nalog med notranje organizacijske enote udeleženca.</w:t>
      </w:r>
    </w:p>
    <w:p w:rsidR="00BC7A6A" w:rsidRDefault="00BC7A6A" w:rsidP="00BC7A6A">
      <w:pPr>
        <w:pStyle w:val="podpisi"/>
        <w:ind w:left="360"/>
        <w:rPr>
          <w:b/>
          <w:lang w:val="sl-SI"/>
        </w:rPr>
      </w:pPr>
    </w:p>
    <w:p w:rsidR="00BC7A6A" w:rsidRDefault="00BC7A6A" w:rsidP="00BC7A6A">
      <w:pPr>
        <w:pStyle w:val="len"/>
      </w:pPr>
      <w:r>
        <w:t>10. člen</w:t>
      </w:r>
    </w:p>
    <w:p w:rsidR="00BC7A6A" w:rsidRDefault="00BC7A6A" w:rsidP="00BC7A6A">
      <w:pPr>
        <w:pStyle w:val="lennaslov"/>
      </w:pPr>
      <w:r>
        <w:t>(posredniški organi)</w:t>
      </w:r>
    </w:p>
    <w:p w:rsidR="00BC7A6A" w:rsidRDefault="00BC7A6A" w:rsidP="00BC7A6A">
      <w:pPr>
        <w:pStyle w:val="Odstavek"/>
      </w:pPr>
      <w:r>
        <w:t>(1) Posredniški organi so ministrstva, ki so pristojna za:</w:t>
      </w:r>
    </w:p>
    <w:p w:rsidR="00BC7A6A" w:rsidRDefault="00BC7A6A" w:rsidP="00BC7A6A">
      <w:pPr>
        <w:pStyle w:val="Alineazaodstavkom"/>
        <w:numPr>
          <w:ilvl w:val="0"/>
          <w:numId w:val="40"/>
        </w:numPr>
        <w:overflowPunct/>
        <w:autoSpaceDE/>
        <w:autoSpaceDN/>
        <w:adjustRightInd/>
        <w:spacing w:line="240" w:lineRule="auto"/>
        <w:textAlignment w:val="auto"/>
      </w:pPr>
      <w:r>
        <w:t>delo, družino, socialne zadeve in enake možnosti,</w:t>
      </w:r>
    </w:p>
    <w:p w:rsidR="00BC7A6A" w:rsidRDefault="00BC7A6A" w:rsidP="00BC7A6A">
      <w:pPr>
        <w:pStyle w:val="Alineazaodstavkom"/>
        <w:numPr>
          <w:ilvl w:val="0"/>
          <w:numId w:val="40"/>
        </w:numPr>
        <w:overflowPunct/>
        <w:autoSpaceDE/>
        <w:autoSpaceDN/>
        <w:adjustRightInd/>
        <w:spacing w:line="240" w:lineRule="auto"/>
        <w:textAlignment w:val="auto"/>
      </w:pPr>
      <w:r>
        <w:t>gospodarski razvoj in tehnologijo,</w:t>
      </w:r>
    </w:p>
    <w:p w:rsidR="00BC7A6A" w:rsidRDefault="00BC7A6A" w:rsidP="00BC7A6A">
      <w:pPr>
        <w:pStyle w:val="Alineazaodstavkom"/>
        <w:numPr>
          <w:ilvl w:val="0"/>
          <w:numId w:val="40"/>
        </w:numPr>
        <w:overflowPunct/>
        <w:autoSpaceDE/>
        <w:autoSpaceDN/>
        <w:adjustRightInd/>
        <w:spacing w:line="240" w:lineRule="auto"/>
        <w:textAlignment w:val="auto"/>
      </w:pPr>
      <w:r>
        <w:t>kulturo,</w:t>
      </w:r>
    </w:p>
    <w:p w:rsidR="00BC7A6A" w:rsidRDefault="00BC7A6A" w:rsidP="00BC7A6A">
      <w:pPr>
        <w:pStyle w:val="Alineazaodstavkom"/>
        <w:numPr>
          <w:ilvl w:val="0"/>
          <w:numId w:val="40"/>
        </w:numPr>
        <w:overflowPunct/>
        <w:autoSpaceDE/>
        <w:autoSpaceDN/>
        <w:adjustRightInd/>
        <w:spacing w:line="240" w:lineRule="auto"/>
        <w:textAlignment w:val="auto"/>
      </w:pPr>
      <w:r>
        <w:t>javno upravo,</w:t>
      </w:r>
    </w:p>
    <w:p w:rsidR="00BC7A6A" w:rsidRDefault="00BC7A6A" w:rsidP="00BC7A6A">
      <w:pPr>
        <w:pStyle w:val="Alineazaodstavkom"/>
        <w:numPr>
          <w:ilvl w:val="0"/>
          <w:numId w:val="40"/>
        </w:numPr>
        <w:overflowPunct/>
        <w:autoSpaceDE/>
        <w:autoSpaceDN/>
        <w:adjustRightInd/>
        <w:spacing w:line="240" w:lineRule="auto"/>
        <w:textAlignment w:val="auto"/>
      </w:pPr>
      <w:r>
        <w:t>pravosodje,</w:t>
      </w:r>
    </w:p>
    <w:p w:rsidR="00BC7A6A" w:rsidRDefault="00BC7A6A" w:rsidP="00BC7A6A">
      <w:pPr>
        <w:pStyle w:val="Alineazaodstavkom"/>
        <w:numPr>
          <w:ilvl w:val="0"/>
          <w:numId w:val="40"/>
        </w:numPr>
        <w:overflowPunct/>
        <w:autoSpaceDE/>
        <w:autoSpaceDN/>
        <w:adjustRightInd/>
        <w:spacing w:line="240" w:lineRule="auto"/>
        <w:textAlignment w:val="auto"/>
      </w:pPr>
      <w:r>
        <w:t>infrastrukturo,</w:t>
      </w:r>
    </w:p>
    <w:p w:rsidR="00BC7A6A" w:rsidRDefault="00BC7A6A" w:rsidP="00BC7A6A">
      <w:pPr>
        <w:pStyle w:val="Alineazaodstavkom"/>
        <w:numPr>
          <w:ilvl w:val="0"/>
          <w:numId w:val="40"/>
        </w:numPr>
        <w:overflowPunct/>
        <w:autoSpaceDE/>
        <w:autoSpaceDN/>
        <w:adjustRightInd/>
        <w:spacing w:line="240" w:lineRule="auto"/>
        <w:textAlignment w:val="auto"/>
      </w:pPr>
      <w:r>
        <w:t>okolje in prostor,</w:t>
      </w:r>
    </w:p>
    <w:p w:rsidR="00BC7A6A" w:rsidRDefault="00BC7A6A" w:rsidP="00BC7A6A">
      <w:pPr>
        <w:pStyle w:val="Alineazaodstavkom"/>
        <w:numPr>
          <w:ilvl w:val="0"/>
          <w:numId w:val="40"/>
        </w:numPr>
        <w:overflowPunct/>
        <w:autoSpaceDE/>
        <w:autoSpaceDN/>
        <w:adjustRightInd/>
        <w:spacing w:line="240" w:lineRule="auto"/>
        <w:textAlignment w:val="auto"/>
      </w:pPr>
      <w:r>
        <w:t>izobraževanje, znanost in šport in</w:t>
      </w:r>
    </w:p>
    <w:p w:rsidR="00BC7A6A" w:rsidRDefault="00BC7A6A" w:rsidP="00BC7A6A">
      <w:pPr>
        <w:pStyle w:val="Alineazaodstavkom"/>
        <w:numPr>
          <w:ilvl w:val="0"/>
          <w:numId w:val="40"/>
        </w:numPr>
        <w:overflowPunct/>
        <w:autoSpaceDE/>
        <w:autoSpaceDN/>
        <w:adjustRightInd/>
        <w:spacing w:line="240" w:lineRule="auto"/>
        <w:textAlignment w:val="auto"/>
      </w:pPr>
      <w:r>
        <w:t>zdravje.</w:t>
      </w:r>
    </w:p>
    <w:p w:rsidR="00BC7A6A" w:rsidRDefault="00BC7A6A" w:rsidP="00BC7A6A">
      <w:pPr>
        <w:pStyle w:val="Odstavek"/>
      </w:pPr>
      <w:r>
        <w:t>(2) V okviru načrtovanja evropske kohezijske politike posredniški organ opravlja naslednje naloge:</w:t>
      </w:r>
    </w:p>
    <w:p w:rsidR="00BC7A6A" w:rsidRDefault="00BC7A6A" w:rsidP="00BC7A6A">
      <w:pPr>
        <w:pStyle w:val="tevilnatoka"/>
      </w:pPr>
      <w:r>
        <w:t>zbira in oblikuje predloge za pripravo izvedbenega načrta;</w:t>
      </w:r>
    </w:p>
    <w:p w:rsidR="00BC7A6A" w:rsidRDefault="00BC7A6A" w:rsidP="00BC7A6A">
      <w:pPr>
        <w:pStyle w:val="tevilnatoka"/>
      </w:pPr>
      <w:r>
        <w:t>zaradi priprave usklajenega predloga nabora načinov izbora operacij sodeluje z drugimi posredniškimi organi v okviru ene ali več prednostnih naložb, lahko pa tudi z izvajalskimi organi in partnerji;</w:t>
      </w:r>
    </w:p>
    <w:p w:rsidR="00BC7A6A" w:rsidRDefault="00BC7A6A" w:rsidP="00BC7A6A">
      <w:pPr>
        <w:pStyle w:val="tevilnatoka"/>
      </w:pPr>
      <w:r>
        <w:t>zaradi priprave usklajenega izvedbenega načrta sodeluje z organom upravljanja.</w:t>
      </w:r>
    </w:p>
    <w:p w:rsidR="00BC7A6A" w:rsidRDefault="00BC7A6A" w:rsidP="00BC7A6A">
      <w:pPr>
        <w:pStyle w:val="Odstavek"/>
      </w:pPr>
      <w:r>
        <w:t>(3) V okviru načina izbora operacij in izvajanja operacij posredniški organ opravlja naslednje naloge:</w:t>
      </w:r>
    </w:p>
    <w:p w:rsidR="00BC7A6A" w:rsidRDefault="00BC7A6A" w:rsidP="00BC7A6A">
      <w:pPr>
        <w:pStyle w:val="tevilnatoka"/>
        <w:numPr>
          <w:ilvl w:val="0"/>
          <w:numId w:val="42"/>
        </w:numPr>
      </w:pPr>
      <w:r>
        <w:t>predhodno preverja administrativno, tehnično, finančno in vsebinsko ustreznost vloge za neposredno potrditev operacije;</w:t>
      </w:r>
    </w:p>
    <w:p w:rsidR="00BC7A6A" w:rsidRDefault="00BC7A6A" w:rsidP="00BC7A6A">
      <w:pPr>
        <w:pStyle w:val="tevilnatoka"/>
        <w:numPr>
          <w:ilvl w:val="0"/>
          <w:numId w:val="42"/>
        </w:numPr>
      </w:pPr>
      <w:r>
        <w:t>pošlje organu upravljanja vlogo za potrditev ustreznosti načina izbora operacije (v nadaljnjem besedilu: vloga za odločitev o podpori);</w:t>
      </w:r>
    </w:p>
    <w:p w:rsidR="00BC7A6A" w:rsidRDefault="00BC7A6A" w:rsidP="00BC7A6A">
      <w:pPr>
        <w:pStyle w:val="tevilnatoka"/>
        <w:numPr>
          <w:ilvl w:val="0"/>
          <w:numId w:val="42"/>
        </w:numPr>
      </w:pPr>
      <w:r>
        <w:t>izvede javni razpis oziroma javni poziv;</w:t>
      </w:r>
    </w:p>
    <w:p w:rsidR="00BC7A6A" w:rsidRDefault="00BC7A6A" w:rsidP="00BC7A6A">
      <w:pPr>
        <w:pStyle w:val="tevilnatoka"/>
        <w:numPr>
          <w:ilvl w:val="0"/>
          <w:numId w:val="42"/>
        </w:numPr>
      </w:pPr>
      <w:r>
        <w:lastRenderedPageBreak/>
        <w:t>izvaja administrativna preverjanja po 125. členu Uredbe 1303/2013/EU;</w:t>
      </w:r>
    </w:p>
    <w:p w:rsidR="00BC7A6A" w:rsidRDefault="00BC7A6A" w:rsidP="00BC7A6A">
      <w:pPr>
        <w:pStyle w:val="tevilnatoka"/>
        <w:numPr>
          <w:ilvl w:val="0"/>
          <w:numId w:val="42"/>
        </w:numPr>
      </w:pPr>
      <w:r>
        <w:t>izvaja preverjanja na kraju samem po 125. členu Uredbe 1303/2013/EU;</w:t>
      </w:r>
    </w:p>
    <w:p w:rsidR="00BC7A6A" w:rsidRDefault="00BC7A6A" w:rsidP="00BC7A6A">
      <w:pPr>
        <w:pStyle w:val="tevilnatoka"/>
        <w:numPr>
          <w:ilvl w:val="0"/>
          <w:numId w:val="42"/>
        </w:numPr>
      </w:pPr>
      <w:r>
        <w:t>izvaja preverjanja opravljanja nalog izvajalskih organov;</w:t>
      </w:r>
    </w:p>
    <w:p w:rsidR="00BC7A6A" w:rsidRDefault="00BC7A6A" w:rsidP="00BC7A6A">
      <w:pPr>
        <w:pStyle w:val="tevilnatoka"/>
        <w:numPr>
          <w:ilvl w:val="0"/>
          <w:numId w:val="42"/>
        </w:numPr>
      </w:pPr>
      <w:r>
        <w:t>spremlja izvajanje operacij, odstopanja in napovedi ter o tem poroča organu upravljanja;</w:t>
      </w:r>
    </w:p>
    <w:p w:rsidR="00BC7A6A" w:rsidRDefault="00BC7A6A" w:rsidP="00BC7A6A">
      <w:pPr>
        <w:pStyle w:val="tevilnatoka"/>
        <w:numPr>
          <w:ilvl w:val="0"/>
          <w:numId w:val="42"/>
        </w:numPr>
      </w:pPr>
      <w:r>
        <w:t>zagotavlja vpogled v dokumentacijo s področja evropske kohezijske politike organu upravljanja in organu za potrjevanje;</w:t>
      </w:r>
    </w:p>
    <w:p w:rsidR="00BC7A6A" w:rsidRDefault="00BC7A6A" w:rsidP="00BC7A6A">
      <w:pPr>
        <w:pStyle w:val="tevilnatoka"/>
        <w:numPr>
          <w:ilvl w:val="0"/>
          <w:numId w:val="42"/>
        </w:numPr>
      </w:pPr>
      <w:r>
        <w:t>daje navodila izvajalskemu organu, pregleduje njegovo dokumentacijo in poročila, če presodi, da je to potrebno, ter opravlja naloge posredovanja med izvajalskim organom in organom upravljanja;</w:t>
      </w:r>
    </w:p>
    <w:p w:rsidR="00BC7A6A" w:rsidRDefault="00BC7A6A" w:rsidP="00BC7A6A">
      <w:pPr>
        <w:pStyle w:val="tevilnatoka"/>
        <w:numPr>
          <w:ilvl w:val="0"/>
          <w:numId w:val="42"/>
        </w:numPr>
      </w:pPr>
      <w:r>
        <w:t>preverja, da upravičenci vodijo ločeno knjigovodstvo za posamezno operacijo;</w:t>
      </w:r>
    </w:p>
    <w:p w:rsidR="00BC7A6A" w:rsidRDefault="00BC7A6A" w:rsidP="00BC7A6A">
      <w:pPr>
        <w:pStyle w:val="tevilnatoka"/>
        <w:numPr>
          <w:ilvl w:val="0"/>
          <w:numId w:val="42"/>
        </w:numPr>
      </w:pPr>
      <w:r>
        <w:t>hrani dokumentacijo v skladu z določbo 140. člena Uredbe 1303/2013/EU in predpisi, ki urejajo hranjenje dokumentarnega gradiva;</w:t>
      </w:r>
    </w:p>
    <w:p w:rsidR="00BC7A6A" w:rsidRDefault="00BC7A6A" w:rsidP="00BC7A6A">
      <w:pPr>
        <w:pStyle w:val="tevilnatoka"/>
        <w:numPr>
          <w:ilvl w:val="0"/>
          <w:numId w:val="42"/>
        </w:numPr>
      </w:pPr>
      <w:r>
        <w:t>skrbi za pravilen in pravočasen vnos podatkov v informacijske sisteme, ki so predvideni za finančno upravljanje, spremljanje, nadziranje in vrednotenje operacij;</w:t>
      </w:r>
    </w:p>
    <w:p w:rsidR="00BC7A6A" w:rsidRDefault="00BC7A6A" w:rsidP="00BC7A6A">
      <w:pPr>
        <w:pStyle w:val="tevilnatoka"/>
        <w:numPr>
          <w:ilvl w:val="0"/>
          <w:numId w:val="42"/>
        </w:numPr>
      </w:pPr>
      <w:r>
        <w:t>zagotavlja javnost dela in obvešča domačo javnost o izvajanju evropske kohezijske politike.</w:t>
      </w:r>
    </w:p>
    <w:p w:rsidR="00BC7A6A" w:rsidRDefault="00BC7A6A" w:rsidP="00BC7A6A">
      <w:pPr>
        <w:pStyle w:val="Odstavek"/>
      </w:pPr>
      <w:r>
        <w:t>(4) Posredniška organa, pristojna za izvajanje celostnih teritorialnih naložb, sta ministrstvo, pristojno za okolje in prostor, in ministrstvo, pristojno za infrastrukturo. Poleg nalog iz drugega in tretjega odstavka tega člena posredniška organa, pristojna za izvajanje celostnih teritorialnih naložb, opravljata naslednje naloge:</w:t>
      </w:r>
    </w:p>
    <w:p w:rsidR="00BC7A6A" w:rsidRDefault="00BC7A6A" w:rsidP="00BC7A6A">
      <w:pPr>
        <w:pStyle w:val="tevilnatoka"/>
        <w:numPr>
          <w:ilvl w:val="0"/>
          <w:numId w:val="43"/>
        </w:numPr>
      </w:pPr>
      <w:r>
        <w:t>sodelujeta pri pripravi navodila organa upravljanja glede vsebin, ki jih mora vsebovati povabilo za predložitev vlog za operacije mestnih občin;</w:t>
      </w:r>
    </w:p>
    <w:p w:rsidR="00BC7A6A" w:rsidRDefault="00BC7A6A" w:rsidP="00BC7A6A">
      <w:pPr>
        <w:pStyle w:val="tevilnatoka"/>
        <w:numPr>
          <w:ilvl w:val="0"/>
          <w:numId w:val="43"/>
        </w:numPr>
      </w:pPr>
      <w:r>
        <w:t>v okviru naloge iz 1. točke tretjega odstavka tega člena ocenita vloge za operacije ter pri tem ves čas skrbita, da so kazalniki in razpoložljiva sredstva EU po posameznih naložbah v skladu z operativnim programom;</w:t>
      </w:r>
    </w:p>
    <w:p w:rsidR="00BC7A6A" w:rsidRDefault="00BC7A6A" w:rsidP="00BC7A6A">
      <w:pPr>
        <w:pStyle w:val="tevilnatoka"/>
        <w:numPr>
          <w:ilvl w:val="0"/>
          <w:numId w:val="43"/>
        </w:numPr>
      </w:pPr>
      <w:r>
        <w:t>v okviru naloge iz 2. točke tretjega odstavka tega člena o primernosti vloge za odločitev o podpori seznanita združenje mestnih občin.</w:t>
      </w:r>
    </w:p>
    <w:p w:rsidR="00BC7A6A" w:rsidRDefault="00BC7A6A" w:rsidP="00BC7A6A">
      <w:pPr>
        <w:pStyle w:val="Odstavek"/>
      </w:pPr>
      <w:r>
        <w:t>(5) Ne glede na prvi in četrti odstavek tega člena je posredniški organ za finančne instrumente ministrstvo, pristojno za gospodarski razvoj in tehnologijo (v nadaljnjem besedilu: posredniški organ za finančne instrumente). Ministrstvo, pristojno za okolje in prostor, in ministrstvo, pristojno za infrastrukturo (v nadaljnjem besedilu: sodelujoče ministrstvo), vsako v okviru svojega delovnega področja opravlja naslednje naloge:</w:t>
      </w:r>
    </w:p>
    <w:p w:rsidR="00BC7A6A" w:rsidRDefault="00BC7A6A" w:rsidP="00BC7A6A">
      <w:pPr>
        <w:pStyle w:val="tevilnatoka"/>
        <w:numPr>
          <w:ilvl w:val="0"/>
          <w:numId w:val="44"/>
        </w:numPr>
      </w:pPr>
      <w:r>
        <w:t>sodeluje pri pripravi in spremembah sporazuma o financiranju;</w:t>
      </w:r>
    </w:p>
    <w:p w:rsidR="00BC7A6A" w:rsidRDefault="00BC7A6A" w:rsidP="00BC7A6A">
      <w:pPr>
        <w:pStyle w:val="tevilnatoka"/>
        <w:numPr>
          <w:ilvl w:val="0"/>
          <w:numId w:val="44"/>
        </w:numPr>
      </w:pPr>
      <w:r>
        <w:t>pripravi investicijsko strategijo;</w:t>
      </w:r>
    </w:p>
    <w:p w:rsidR="00BC7A6A" w:rsidRDefault="00BC7A6A" w:rsidP="00BC7A6A">
      <w:pPr>
        <w:pStyle w:val="tevilnatoka"/>
        <w:numPr>
          <w:ilvl w:val="0"/>
          <w:numId w:val="44"/>
        </w:numPr>
      </w:pPr>
      <w:r>
        <w:t>finančno načrtuje finančne instrumente;</w:t>
      </w:r>
    </w:p>
    <w:p w:rsidR="00BC7A6A" w:rsidRDefault="00BC7A6A" w:rsidP="00BC7A6A">
      <w:pPr>
        <w:pStyle w:val="tevilnatoka"/>
        <w:numPr>
          <w:ilvl w:val="0"/>
          <w:numId w:val="44"/>
        </w:numPr>
      </w:pPr>
      <w:r>
        <w:t>spremlja doseganje kazalnikov.</w:t>
      </w:r>
    </w:p>
    <w:p w:rsidR="00BC7A6A" w:rsidRDefault="00BC7A6A" w:rsidP="00BC7A6A">
      <w:pPr>
        <w:pStyle w:val="podpisi"/>
        <w:ind w:left="360"/>
        <w:rPr>
          <w:b/>
          <w:lang w:val="sl-SI"/>
        </w:rPr>
      </w:pPr>
    </w:p>
    <w:p w:rsidR="00BC7A6A" w:rsidRDefault="00BC7A6A" w:rsidP="00BC7A6A">
      <w:pPr>
        <w:pStyle w:val="podpisi"/>
        <w:ind w:left="360"/>
        <w:rPr>
          <w:b/>
          <w:lang w:val="sl-SI"/>
        </w:rPr>
      </w:pPr>
    </w:p>
    <w:p w:rsidR="00BC7A6A" w:rsidRDefault="00BC7A6A" w:rsidP="00BC7A6A">
      <w:pPr>
        <w:pStyle w:val="podpisi"/>
        <w:ind w:left="360"/>
        <w:rPr>
          <w:b/>
          <w:lang w:val="sl-SI"/>
        </w:rPr>
      </w:pPr>
    </w:p>
    <w:p w:rsidR="00BC7A6A" w:rsidRDefault="00BC7A6A" w:rsidP="00E8286E">
      <w:pPr>
        <w:pStyle w:val="podpisi"/>
        <w:rPr>
          <w:b/>
          <w:lang w:val="sl-SI"/>
        </w:rPr>
      </w:pPr>
    </w:p>
    <w:p w:rsidR="00BC7A6A" w:rsidRDefault="00BC7A6A" w:rsidP="00BC7A6A">
      <w:pPr>
        <w:pStyle w:val="len"/>
      </w:pPr>
      <w:proofErr w:type="spellStart"/>
      <w:r>
        <w:t>17.a</w:t>
      </w:r>
      <w:proofErr w:type="spellEnd"/>
      <w:r>
        <w:t xml:space="preserve"> člen </w:t>
      </w:r>
    </w:p>
    <w:p w:rsidR="00BC7A6A" w:rsidRDefault="00BC7A6A" w:rsidP="00BC7A6A">
      <w:pPr>
        <w:pStyle w:val="lennaslov"/>
      </w:pPr>
      <w:r>
        <w:t>(združenje mestnih občin) </w:t>
      </w:r>
    </w:p>
    <w:p w:rsidR="00BC7A6A" w:rsidRDefault="00BC7A6A" w:rsidP="00BC7A6A">
      <w:pPr>
        <w:pStyle w:val="Odstavek"/>
      </w:pPr>
      <w:r>
        <w:t>(1) Združenje mestnih občin v okviru celostnih teritorialnih naložb opravlja naslednje naloge:</w:t>
      </w:r>
    </w:p>
    <w:p w:rsidR="00BC7A6A" w:rsidRDefault="00BC7A6A" w:rsidP="00BC7A6A">
      <w:pPr>
        <w:pStyle w:val="tevilnatoka"/>
      </w:pPr>
      <w:r>
        <w:t>sodeluje pri pripravi navodila organa upravljanja glede vsebin, ki jih mora vsebovati povabilo za predložitev vlog za operacije mestnih občin;</w:t>
      </w:r>
    </w:p>
    <w:p w:rsidR="00BC7A6A" w:rsidRDefault="00BC7A6A" w:rsidP="00BC7A6A">
      <w:pPr>
        <w:pStyle w:val="tevilnatoka"/>
      </w:pPr>
      <w:r>
        <w:t>v skladu z navodilom iz prejšnje točke pripravi in objavi povabilo za predložitev vlog za operacije mestnih občin;</w:t>
      </w:r>
    </w:p>
    <w:p w:rsidR="00BC7A6A" w:rsidRDefault="00BC7A6A" w:rsidP="00BC7A6A">
      <w:pPr>
        <w:pStyle w:val="tevilnatoka"/>
      </w:pPr>
      <w:r>
        <w:t xml:space="preserve">razvrsti vloge za operacije na podlagi meril za izbor operacij glede na prispevek posamezne vloge za operacijo k ciljem iz posamezne trajnostne urbane strategije ter k </w:t>
      </w:r>
      <w:r>
        <w:lastRenderedPageBreak/>
        <w:t>ciljem in kazalnikom iz operativnega programa in o tem obvesti mestne občine in posredniška organa;</w:t>
      </w:r>
    </w:p>
    <w:p w:rsidR="00BC7A6A" w:rsidRDefault="00BC7A6A" w:rsidP="00BC7A6A">
      <w:pPr>
        <w:pStyle w:val="tevilnatoka"/>
      </w:pPr>
      <w:r>
        <w:t>v okviru izvajanja finančnih instrumentov na področju urbanega razvoja daje soglasje h ključnim elementom finančnih instrumentov v skladu s predpisi, ki urejajo javne finance.</w:t>
      </w:r>
    </w:p>
    <w:p w:rsidR="00BC7A6A" w:rsidRDefault="00BC7A6A" w:rsidP="00BC7A6A">
      <w:pPr>
        <w:pStyle w:val="Odstavek"/>
      </w:pPr>
      <w:r>
        <w:t>(2) Če v 12 mesecih po razvrstitvi vlog za operacije ostanejo nedoseženi kazalniki in njim ustrezen del sredstev EU iz operativnega programa, združenje mestnih občin ponovi postopek iz prejšnjega odstavka z objavo novega povabila za predložitev vlog za operacije mestnih občin.</w:t>
      </w:r>
    </w:p>
    <w:p w:rsidR="00BC7A6A" w:rsidRPr="00B01660" w:rsidRDefault="00BC7A6A" w:rsidP="00BC7A6A">
      <w:pPr>
        <w:pStyle w:val="podpisi"/>
        <w:ind w:left="360"/>
        <w:rPr>
          <w:b/>
          <w:lang w:val="sl-SI"/>
        </w:rPr>
      </w:pPr>
    </w:p>
    <w:sectPr w:rsidR="00BC7A6A" w:rsidRPr="00B01660" w:rsidSect="00E7777F">
      <w:headerReference w:type="default" r:id="rId12"/>
      <w:headerReference w:type="first" r:id="rId13"/>
      <w:pgSz w:w="11906" w:h="16838"/>
      <w:pgMar w:top="719" w:right="1417" w:bottom="1417" w:left="1417" w:header="96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BE8" w:rsidRDefault="00594BE8">
      <w:r>
        <w:separator/>
      </w:r>
    </w:p>
  </w:endnote>
  <w:endnote w:type="continuationSeparator" w:id="0">
    <w:p w:rsidR="00594BE8" w:rsidRDefault="0059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A1" w:rsidRDefault="00373FA1">
    <w:pPr>
      <w:pStyle w:val="Noga"/>
      <w:jc w:val="right"/>
    </w:pPr>
    <w:r>
      <w:fldChar w:fldCharType="begin"/>
    </w:r>
    <w:r>
      <w:instrText>PAGE   \* MERGEFORMAT</w:instrText>
    </w:r>
    <w:r>
      <w:fldChar w:fldCharType="separate"/>
    </w:r>
    <w:r w:rsidR="002F4BDC">
      <w:rPr>
        <w:noProof/>
      </w:rPr>
      <w:t>5</w:t>
    </w:r>
    <w:r>
      <w:fldChar w:fldCharType="end"/>
    </w:r>
  </w:p>
  <w:p w:rsidR="00373FA1" w:rsidRDefault="00373FA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BE8" w:rsidRDefault="00594BE8">
      <w:r>
        <w:separator/>
      </w:r>
    </w:p>
  </w:footnote>
  <w:footnote w:type="continuationSeparator" w:id="0">
    <w:p w:rsidR="00594BE8" w:rsidRDefault="00594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A1" w:rsidRPr="007F2C86" w:rsidRDefault="001149B0" w:rsidP="00874388">
    <w:pPr>
      <w:autoSpaceDE w:val="0"/>
      <w:autoSpaceDN w:val="0"/>
      <w:adjustRightInd w:val="0"/>
      <w:spacing w:line="240" w:lineRule="auto"/>
      <w:rPr>
        <w:rFonts w:ascii="Republika" w:hAnsi="Republika"/>
        <w:szCs w:val="20"/>
      </w:rPr>
    </w:pPr>
    <w:r>
      <w:rPr>
        <w:rFonts w:cs="Arial"/>
        <w:noProof/>
        <w:sz w:val="16"/>
        <w:lang w:eastAsia="sl-SI"/>
      </w:rPr>
      <w:drawing>
        <wp:anchor distT="0" distB="0" distL="114300" distR="114300" simplePos="0" relativeHeight="251657728" behindDoc="0" locked="0" layoutInCell="1" allowOverlap="1" wp14:anchorId="59816DC8" wp14:editId="555D8160">
          <wp:simplePos x="0" y="0"/>
          <wp:positionH relativeFrom="column">
            <wp:posOffset>-462280</wp:posOffset>
          </wp:positionH>
          <wp:positionV relativeFrom="paragraph">
            <wp:posOffset>635</wp:posOffset>
          </wp:positionV>
          <wp:extent cx="333375" cy="342900"/>
          <wp:effectExtent l="0" t="0" r="9525" b="0"/>
          <wp:wrapSquare wrapText="bothSides"/>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pic:spPr>
              </pic:pic>
            </a:graphicData>
          </a:graphic>
          <wp14:sizeRelH relativeFrom="page">
            <wp14:pctWidth>0</wp14:pctWidth>
          </wp14:sizeRelH>
          <wp14:sizeRelV relativeFrom="page">
            <wp14:pctHeight>0</wp14:pctHeight>
          </wp14:sizeRelV>
        </wp:anchor>
      </w:drawing>
    </w:r>
    <w:r w:rsidR="00373FA1">
      <w:rPr>
        <w:rFonts w:ascii="Republika" w:hAnsi="Republika"/>
        <w:szCs w:val="20"/>
      </w:rPr>
      <w:t>R</w:t>
    </w:r>
    <w:r w:rsidR="00373FA1" w:rsidRPr="007F2C86">
      <w:rPr>
        <w:rFonts w:ascii="Republika" w:hAnsi="Republika"/>
        <w:szCs w:val="20"/>
      </w:rPr>
      <w:t>EPUBLIKA SLOVENIJA</w:t>
    </w:r>
  </w:p>
  <w:p w:rsidR="00373FA1" w:rsidRPr="007F2C86" w:rsidRDefault="00373FA1" w:rsidP="00874388">
    <w:pPr>
      <w:pStyle w:val="Glava"/>
      <w:tabs>
        <w:tab w:val="clear" w:pos="4320"/>
        <w:tab w:val="clear" w:pos="8640"/>
        <w:tab w:val="left" w:pos="5112"/>
      </w:tabs>
      <w:spacing w:line="240" w:lineRule="exact"/>
      <w:rPr>
        <w:rFonts w:ascii="Republika" w:hAnsi="Republika"/>
        <w:b/>
        <w:caps/>
        <w:szCs w:val="20"/>
      </w:rPr>
    </w:pPr>
    <w:r w:rsidRPr="007F2C86">
      <w:rPr>
        <w:rFonts w:ascii="Republika" w:hAnsi="Republika"/>
        <w:b/>
        <w:caps/>
        <w:szCs w:val="20"/>
      </w:rPr>
      <w:t>Služba vlade republike slovenije za razvoj</w:t>
    </w:r>
  </w:p>
  <w:p w:rsidR="00373FA1" w:rsidRPr="007F2C86" w:rsidRDefault="00373FA1" w:rsidP="00874388">
    <w:pPr>
      <w:pStyle w:val="Glava"/>
      <w:tabs>
        <w:tab w:val="clear" w:pos="4320"/>
        <w:tab w:val="clear" w:pos="8640"/>
        <w:tab w:val="left" w:pos="5112"/>
      </w:tabs>
      <w:spacing w:after="120" w:line="240" w:lineRule="exact"/>
      <w:rPr>
        <w:rFonts w:ascii="Republika" w:hAnsi="Republika"/>
        <w:b/>
        <w:caps/>
        <w:szCs w:val="20"/>
      </w:rPr>
    </w:pPr>
    <w:r w:rsidRPr="007F2C86">
      <w:rPr>
        <w:rFonts w:ascii="Republika" w:hAnsi="Republika"/>
        <w:b/>
        <w:caps/>
        <w:szCs w:val="20"/>
      </w:rPr>
      <w:t xml:space="preserve">in evropsko kohezijsko politiko </w:t>
    </w:r>
  </w:p>
  <w:p w:rsidR="00373FA1" w:rsidRPr="00373E3D" w:rsidRDefault="00373FA1" w:rsidP="00874388">
    <w:pPr>
      <w:pStyle w:val="Glava"/>
      <w:tabs>
        <w:tab w:val="clear" w:pos="4320"/>
        <w:tab w:val="clear" w:pos="8640"/>
        <w:tab w:val="left" w:pos="5112"/>
      </w:tabs>
      <w:spacing w:line="240" w:lineRule="exact"/>
      <w:rPr>
        <w:rFonts w:ascii="Republika" w:hAnsi="Republika"/>
        <w:b/>
        <w:caps/>
      </w:rPr>
    </w:pPr>
    <w:r>
      <w:rPr>
        <w:rFonts w:cs="Arial"/>
        <w:sz w:val="16"/>
      </w:rPr>
      <w:t>Kotnikova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01 400 36 80</w:t>
    </w:r>
  </w:p>
  <w:p w:rsidR="00373FA1" w:rsidRPr="008F3500" w:rsidRDefault="00373FA1" w:rsidP="00874388">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01 400 32 62</w:t>
    </w:r>
    <w:r w:rsidRPr="008F3500">
      <w:rPr>
        <w:rFonts w:cs="Arial"/>
        <w:sz w:val="16"/>
      </w:rPr>
      <w:t xml:space="preserve"> </w:t>
    </w:r>
  </w:p>
  <w:p w:rsidR="00373FA1" w:rsidRPr="008F3500" w:rsidRDefault="00373FA1" w:rsidP="0087438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gp.svrk@gov.si</w:t>
    </w:r>
  </w:p>
  <w:p w:rsidR="00373FA1" w:rsidRPr="008F3500" w:rsidRDefault="00373FA1" w:rsidP="005F456B">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A1" w:rsidRDefault="00373FA1">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A1" w:rsidRPr="008F3500" w:rsidRDefault="00373FA1" w:rsidP="005F456B">
    <w:pPr>
      <w:pStyle w:val="Glava"/>
      <w:tabs>
        <w:tab w:val="clear" w:pos="4320"/>
        <w:tab w:val="clear" w:pos="8640"/>
        <w:tab w:val="left" w:pos="5112"/>
      </w:tabs>
      <w:spacing w:line="240" w:lineRule="exact"/>
      <w:rPr>
        <w:rFonts w:cs="Arial"/>
        <w:sz w:val="16"/>
      </w:rPr>
    </w:pPr>
    <w:r w:rsidRPr="008F3500">
      <w:rPr>
        <w:rFonts w:cs="Arial"/>
        <w:sz w:val="16"/>
      </w:rPr>
      <w:tab/>
    </w:r>
  </w:p>
  <w:p w:rsidR="00373FA1" w:rsidRPr="008F3500" w:rsidRDefault="00373FA1" w:rsidP="005F456B">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B2B2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D68789B"/>
    <w:multiLevelType w:val="hybridMultilevel"/>
    <w:tmpl w:val="ACA83CD8"/>
    <w:lvl w:ilvl="0" w:tplc="B7DAC066">
      <w:start w:val="1"/>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9">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1">
    <w:nsid w:val="2241621F"/>
    <w:multiLevelType w:val="hybridMultilevel"/>
    <w:tmpl w:val="AEE4029C"/>
    <w:lvl w:ilvl="0" w:tplc="A390772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7505635"/>
    <w:multiLevelType w:val="hybridMultilevel"/>
    <w:tmpl w:val="FAE4A536"/>
    <w:lvl w:ilvl="0" w:tplc="D7E27F8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nsid w:val="2CE62B47"/>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6">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nsid w:val="39C740BA"/>
    <w:multiLevelType w:val="hybridMultilevel"/>
    <w:tmpl w:val="A4F6E0D4"/>
    <w:lvl w:ilvl="0" w:tplc="62E8E276">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nsid w:val="43450296"/>
    <w:multiLevelType w:val="hybridMultilevel"/>
    <w:tmpl w:val="CFBAA2DA"/>
    <w:lvl w:ilvl="0" w:tplc="0424000F">
      <w:start w:val="1"/>
      <w:numFmt w:val="decimal"/>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outline w:val="0"/>
        <w:shadow w:val="0"/>
        <w:emboss w:val="0"/>
        <w:imprint w:val="0"/>
        <w:vanish w:val="0"/>
        <w:webHidden w:val="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6">
    <w:nsid w:val="4FE00714"/>
    <w:multiLevelType w:val="hybridMultilevel"/>
    <w:tmpl w:val="5DF4BDC0"/>
    <w:lvl w:ilvl="0" w:tplc="AC4430B4">
      <w:start w:val="2"/>
      <w:numFmt w:val="bullet"/>
      <w:lvlText w:val="-"/>
      <w:lvlJc w:val="left"/>
      <w:pPr>
        <w:tabs>
          <w:tab w:val="num" w:pos="890"/>
        </w:tabs>
        <w:ind w:left="890" w:hanging="170"/>
      </w:pPr>
      <w:rPr>
        <w:rFont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7">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05C63E7"/>
    <w:multiLevelType w:val="hybridMultilevel"/>
    <w:tmpl w:val="A6E07B64"/>
    <w:lvl w:ilvl="0" w:tplc="62E8E276">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2">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860163"/>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7">
    <w:nsid w:val="77DE4FE0"/>
    <w:multiLevelType w:val="hybridMultilevel"/>
    <w:tmpl w:val="0CB00FCC"/>
    <w:lvl w:ilvl="0" w:tplc="62E8E276">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8">
    <w:nsid w:val="78C45021"/>
    <w:multiLevelType w:val="hybridMultilevel"/>
    <w:tmpl w:val="9CC0F4BE"/>
    <w:lvl w:ilvl="0" w:tplc="0424000F">
      <w:start w:val="1"/>
      <w:numFmt w:val="decimal"/>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22"/>
  </w:num>
  <w:num w:numId="4">
    <w:abstractNumId w:val="2"/>
  </w:num>
  <w:num w:numId="5">
    <w:abstractNumId w:val="7"/>
  </w:num>
  <w:num w:numId="6">
    <w:abstractNumId w:val="11"/>
  </w:num>
  <w:num w:numId="7">
    <w:abstractNumId w:val="9"/>
  </w:num>
  <w:num w:numId="8">
    <w:abstractNumId w:val="1"/>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7"/>
  </w:num>
  <w:num w:numId="12">
    <w:abstractNumId w:val="28"/>
  </w:num>
  <w:num w:numId="13">
    <w:abstractNumId w:val="26"/>
  </w:num>
  <w:num w:numId="14">
    <w:abstractNumId w:val="18"/>
    <w:lvlOverride w:ilvl="0">
      <w:startOverride w:val="1"/>
    </w:lvlOverride>
  </w:num>
  <w:num w:numId="15">
    <w:abstractNumId w:val="20"/>
  </w:num>
  <w:num w:numId="16">
    <w:abstractNumId w:val="10"/>
  </w:num>
  <w:num w:numId="17">
    <w:abstractNumId w:val="3"/>
  </w:num>
  <w:num w:numId="18">
    <w:abstractNumId w:val="27"/>
  </w:num>
  <w:num w:numId="19">
    <w:abstractNumId w:val="30"/>
  </w:num>
  <w:num w:numId="20">
    <w:abstractNumId w:val="6"/>
  </w:num>
  <w:num w:numId="21">
    <w:abstractNumId w:val="15"/>
  </w:num>
  <w:num w:numId="22">
    <w:abstractNumId w:val="37"/>
  </w:num>
  <w:num w:numId="23">
    <w:abstractNumId w:val="36"/>
  </w:num>
  <w:num w:numId="24">
    <w:abstractNumId w:val="31"/>
  </w:num>
  <w:num w:numId="25">
    <w:abstractNumId w:val="8"/>
  </w:num>
  <w:num w:numId="26">
    <w:abstractNumId w:val="19"/>
  </w:num>
  <w:num w:numId="27">
    <w:abstractNumId w:val="14"/>
  </w:num>
  <w:num w:numId="28">
    <w:abstractNumId w:val="32"/>
  </w:num>
  <w:num w:numId="29">
    <w:abstractNumId w:val="29"/>
  </w:num>
  <w:num w:numId="30">
    <w:abstractNumId w:val="34"/>
  </w:num>
  <w:num w:numId="31">
    <w:abstractNumId w:val="39"/>
  </w:num>
  <w:num w:numId="32">
    <w:abstractNumId w:val="21"/>
  </w:num>
  <w:num w:numId="33">
    <w:abstractNumId w:val="13"/>
  </w:num>
  <w:num w:numId="34">
    <w:abstractNumId w:val="4"/>
  </w:num>
  <w:num w:numId="35">
    <w:abstractNumId w:val="35"/>
  </w:num>
  <w:num w:numId="36">
    <w:abstractNumId w:val="12"/>
  </w:num>
  <w:num w:numId="37">
    <w:abstractNumId w:val="38"/>
  </w:num>
  <w:num w:numId="38">
    <w:abstractNumId w:val="24"/>
  </w:num>
  <w:num w:numId="39">
    <w:abstractNumId w:val="0"/>
  </w:num>
  <w:num w:numId="40">
    <w:abstractNumId w:val="3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25"/>
    <w:lvlOverride w:ilvl="0">
      <w:startOverride w:val="1"/>
    </w:lvlOverride>
  </w:num>
  <w:num w:numId="47">
    <w:abstractNumId w:val="25"/>
    <w:lvlOverride w:ilvl="0">
      <w:startOverride w:val="1"/>
    </w:lvlOverride>
  </w:num>
  <w:num w:numId="48">
    <w:abstractNumId w:val="25"/>
    <w:lvlOverride w:ilvl="0">
      <w:startOverride w:val="1"/>
    </w:lvlOverride>
  </w:num>
  <w:num w:numId="49">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082"/>
    <w:rsid w:val="00005A0F"/>
    <w:rsid w:val="0000617B"/>
    <w:rsid w:val="000151E4"/>
    <w:rsid w:val="00020C43"/>
    <w:rsid w:val="0002190D"/>
    <w:rsid w:val="00023A88"/>
    <w:rsid w:val="0002447E"/>
    <w:rsid w:val="00025D7B"/>
    <w:rsid w:val="00036784"/>
    <w:rsid w:val="00036F52"/>
    <w:rsid w:val="00042A7A"/>
    <w:rsid w:val="0004443E"/>
    <w:rsid w:val="0006072E"/>
    <w:rsid w:val="00070D93"/>
    <w:rsid w:val="0007453D"/>
    <w:rsid w:val="000803BC"/>
    <w:rsid w:val="00081FBF"/>
    <w:rsid w:val="00095CC9"/>
    <w:rsid w:val="000A6850"/>
    <w:rsid w:val="000A7238"/>
    <w:rsid w:val="000B1395"/>
    <w:rsid w:val="000C0290"/>
    <w:rsid w:val="000D5EB8"/>
    <w:rsid w:val="000F6A28"/>
    <w:rsid w:val="000F7878"/>
    <w:rsid w:val="001123A8"/>
    <w:rsid w:val="001149B0"/>
    <w:rsid w:val="00124BC8"/>
    <w:rsid w:val="001357B2"/>
    <w:rsid w:val="001361D3"/>
    <w:rsid w:val="00136214"/>
    <w:rsid w:val="00144FAF"/>
    <w:rsid w:val="00146EB5"/>
    <w:rsid w:val="001478DB"/>
    <w:rsid w:val="00162CBA"/>
    <w:rsid w:val="0016377E"/>
    <w:rsid w:val="00170BD8"/>
    <w:rsid w:val="00171E3B"/>
    <w:rsid w:val="0017478F"/>
    <w:rsid w:val="00180712"/>
    <w:rsid w:val="0018551D"/>
    <w:rsid w:val="001903C2"/>
    <w:rsid w:val="0019610B"/>
    <w:rsid w:val="001A4D70"/>
    <w:rsid w:val="001B1A4B"/>
    <w:rsid w:val="001C4D84"/>
    <w:rsid w:val="001F4B79"/>
    <w:rsid w:val="002018F1"/>
    <w:rsid w:val="00202A77"/>
    <w:rsid w:val="00204462"/>
    <w:rsid w:val="0025581C"/>
    <w:rsid w:val="002578BC"/>
    <w:rsid w:val="00263ED0"/>
    <w:rsid w:val="00271CE5"/>
    <w:rsid w:val="0028175F"/>
    <w:rsid w:val="00282020"/>
    <w:rsid w:val="00285BD5"/>
    <w:rsid w:val="002A2B69"/>
    <w:rsid w:val="002A5B52"/>
    <w:rsid w:val="002C1FA5"/>
    <w:rsid w:val="002C2184"/>
    <w:rsid w:val="002C3B8B"/>
    <w:rsid w:val="002C71C1"/>
    <w:rsid w:val="002C72F9"/>
    <w:rsid w:val="002D5EB8"/>
    <w:rsid w:val="002E104E"/>
    <w:rsid w:val="002E3445"/>
    <w:rsid w:val="002F2B7A"/>
    <w:rsid w:val="002F4BDC"/>
    <w:rsid w:val="002F722A"/>
    <w:rsid w:val="00312B4D"/>
    <w:rsid w:val="00312F00"/>
    <w:rsid w:val="00333030"/>
    <w:rsid w:val="003402BF"/>
    <w:rsid w:val="0034723A"/>
    <w:rsid w:val="00350150"/>
    <w:rsid w:val="00351BEB"/>
    <w:rsid w:val="003636BF"/>
    <w:rsid w:val="00365659"/>
    <w:rsid w:val="00367620"/>
    <w:rsid w:val="00371442"/>
    <w:rsid w:val="00373FA1"/>
    <w:rsid w:val="003845B4"/>
    <w:rsid w:val="003849A6"/>
    <w:rsid w:val="00387B1A"/>
    <w:rsid w:val="003943B6"/>
    <w:rsid w:val="00394A1C"/>
    <w:rsid w:val="003A4BBA"/>
    <w:rsid w:val="003A5A16"/>
    <w:rsid w:val="003A645D"/>
    <w:rsid w:val="003A66CC"/>
    <w:rsid w:val="003B5D2D"/>
    <w:rsid w:val="003B6CA3"/>
    <w:rsid w:val="003C17A0"/>
    <w:rsid w:val="003C5EE5"/>
    <w:rsid w:val="003D23FE"/>
    <w:rsid w:val="003D47DD"/>
    <w:rsid w:val="003E1C74"/>
    <w:rsid w:val="003F4D18"/>
    <w:rsid w:val="004251DB"/>
    <w:rsid w:val="004348D1"/>
    <w:rsid w:val="00437705"/>
    <w:rsid w:val="0044170C"/>
    <w:rsid w:val="004420B4"/>
    <w:rsid w:val="004429DF"/>
    <w:rsid w:val="00445233"/>
    <w:rsid w:val="004657EE"/>
    <w:rsid w:val="004740E2"/>
    <w:rsid w:val="004847A2"/>
    <w:rsid w:val="0049286C"/>
    <w:rsid w:val="00497517"/>
    <w:rsid w:val="004A5DCC"/>
    <w:rsid w:val="004C20C7"/>
    <w:rsid w:val="004C2689"/>
    <w:rsid w:val="004E1954"/>
    <w:rsid w:val="004E211A"/>
    <w:rsid w:val="004E3C63"/>
    <w:rsid w:val="00502433"/>
    <w:rsid w:val="00505188"/>
    <w:rsid w:val="00520108"/>
    <w:rsid w:val="0052048B"/>
    <w:rsid w:val="00523E49"/>
    <w:rsid w:val="00526246"/>
    <w:rsid w:val="00527300"/>
    <w:rsid w:val="00532DCF"/>
    <w:rsid w:val="00546894"/>
    <w:rsid w:val="005515F8"/>
    <w:rsid w:val="005526B8"/>
    <w:rsid w:val="00553222"/>
    <w:rsid w:val="00560331"/>
    <w:rsid w:val="00563DE9"/>
    <w:rsid w:val="00567106"/>
    <w:rsid w:val="00580C8A"/>
    <w:rsid w:val="0058582B"/>
    <w:rsid w:val="00594BE8"/>
    <w:rsid w:val="005A4904"/>
    <w:rsid w:val="005A687C"/>
    <w:rsid w:val="005C1B80"/>
    <w:rsid w:val="005C3211"/>
    <w:rsid w:val="005D4B00"/>
    <w:rsid w:val="005E1443"/>
    <w:rsid w:val="005E1D3C"/>
    <w:rsid w:val="005E536D"/>
    <w:rsid w:val="005E5E3C"/>
    <w:rsid w:val="005E7DDF"/>
    <w:rsid w:val="005F089A"/>
    <w:rsid w:val="005F456B"/>
    <w:rsid w:val="005F5A56"/>
    <w:rsid w:val="0060499D"/>
    <w:rsid w:val="00607F40"/>
    <w:rsid w:val="006136C1"/>
    <w:rsid w:val="00623527"/>
    <w:rsid w:val="00625AE6"/>
    <w:rsid w:val="00631D1D"/>
    <w:rsid w:val="00632253"/>
    <w:rsid w:val="00642714"/>
    <w:rsid w:val="006437DA"/>
    <w:rsid w:val="006455CE"/>
    <w:rsid w:val="00646CAE"/>
    <w:rsid w:val="0065411A"/>
    <w:rsid w:val="00654D8D"/>
    <w:rsid w:val="0065538A"/>
    <w:rsid w:val="00655841"/>
    <w:rsid w:val="00656F5D"/>
    <w:rsid w:val="006623D8"/>
    <w:rsid w:val="00663AE8"/>
    <w:rsid w:val="00671DDA"/>
    <w:rsid w:val="006866B0"/>
    <w:rsid w:val="006A5BB6"/>
    <w:rsid w:val="006B140F"/>
    <w:rsid w:val="006B21EF"/>
    <w:rsid w:val="006C1497"/>
    <w:rsid w:val="006C256E"/>
    <w:rsid w:val="006C37F2"/>
    <w:rsid w:val="006E0C0F"/>
    <w:rsid w:val="006E123E"/>
    <w:rsid w:val="006E45E5"/>
    <w:rsid w:val="006F574B"/>
    <w:rsid w:val="006F7081"/>
    <w:rsid w:val="00701AC4"/>
    <w:rsid w:val="007040F1"/>
    <w:rsid w:val="0071360D"/>
    <w:rsid w:val="007235D0"/>
    <w:rsid w:val="00733017"/>
    <w:rsid w:val="00733743"/>
    <w:rsid w:val="00743739"/>
    <w:rsid w:val="00746EC6"/>
    <w:rsid w:val="0075405D"/>
    <w:rsid w:val="00756A6E"/>
    <w:rsid w:val="00764919"/>
    <w:rsid w:val="00766A60"/>
    <w:rsid w:val="00783310"/>
    <w:rsid w:val="007A03E4"/>
    <w:rsid w:val="007A1E25"/>
    <w:rsid w:val="007A4A6D"/>
    <w:rsid w:val="007B6C70"/>
    <w:rsid w:val="007C3D12"/>
    <w:rsid w:val="007C3DB4"/>
    <w:rsid w:val="007D00DD"/>
    <w:rsid w:val="007D1BCF"/>
    <w:rsid w:val="007D75CF"/>
    <w:rsid w:val="007E0440"/>
    <w:rsid w:val="007E0605"/>
    <w:rsid w:val="007E1CD0"/>
    <w:rsid w:val="007E28F0"/>
    <w:rsid w:val="007E3DD0"/>
    <w:rsid w:val="007E6DC5"/>
    <w:rsid w:val="007E7A4B"/>
    <w:rsid w:val="007F3DE4"/>
    <w:rsid w:val="00807D55"/>
    <w:rsid w:val="00811156"/>
    <w:rsid w:val="00814F26"/>
    <w:rsid w:val="00814FD0"/>
    <w:rsid w:val="00815B76"/>
    <w:rsid w:val="00821BC2"/>
    <w:rsid w:val="00822DDC"/>
    <w:rsid w:val="00824DC7"/>
    <w:rsid w:val="00845D6C"/>
    <w:rsid w:val="00851C5D"/>
    <w:rsid w:val="00851FC0"/>
    <w:rsid w:val="008567BC"/>
    <w:rsid w:val="008657A7"/>
    <w:rsid w:val="0087132B"/>
    <w:rsid w:val="00874256"/>
    <w:rsid w:val="00874388"/>
    <w:rsid w:val="00874AD4"/>
    <w:rsid w:val="008762A6"/>
    <w:rsid w:val="0088043C"/>
    <w:rsid w:val="008822E3"/>
    <w:rsid w:val="00884889"/>
    <w:rsid w:val="008879CB"/>
    <w:rsid w:val="008906C9"/>
    <w:rsid w:val="008A30CB"/>
    <w:rsid w:val="008A6171"/>
    <w:rsid w:val="008B0635"/>
    <w:rsid w:val="008C2C92"/>
    <w:rsid w:val="008C3936"/>
    <w:rsid w:val="008C5738"/>
    <w:rsid w:val="008D04F0"/>
    <w:rsid w:val="008F0AF0"/>
    <w:rsid w:val="008F3500"/>
    <w:rsid w:val="008F3BA3"/>
    <w:rsid w:val="00924E3C"/>
    <w:rsid w:val="00936B7C"/>
    <w:rsid w:val="00953766"/>
    <w:rsid w:val="009612BB"/>
    <w:rsid w:val="00984FB9"/>
    <w:rsid w:val="00995D19"/>
    <w:rsid w:val="009A53F9"/>
    <w:rsid w:val="009A66C6"/>
    <w:rsid w:val="009A799A"/>
    <w:rsid w:val="009B6FA2"/>
    <w:rsid w:val="009C740A"/>
    <w:rsid w:val="009D5FB1"/>
    <w:rsid w:val="00A04099"/>
    <w:rsid w:val="00A125C5"/>
    <w:rsid w:val="00A2451C"/>
    <w:rsid w:val="00A245A8"/>
    <w:rsid w:val="00A36550"/>
    <w:rsid w:val="00A47FAE"/>
    <w:rsid w:val="00A55561"/>
    <w:rsid w:val="00A55F85"/>
    <w:rsid w:val="00A657BB"/>
    <w:rsid w:val="00A65EE7"/>
    <w:rsid w:val="00A70133"/>
    <w:rsid w:val="00A770A6"/>
    <w:rsid w:val="00A77411"/>
    <w:rsid w:val="00A813B1"/>
    <w:rsid w:val="00AA261D"/>
    <w:rsid w:val="00AB1E9B"/>
    <w:rsid w:val="00AB36C4"/>
    <w:rsid w:val="00AC32B2"/>
    <w:rsid w:val="00AD5B64"/>
    <w:rsid w:val="00AD6147"/>
    <w:rsid w:val="00B01660"/>
    <w:rsid w:val="00B03544"/>
    <w:rsid w:val="00B15D3E"/>
    <w:rsid w:val="00B17141"/>
    <w:rsid w:val="00B17393"/>
    <w:rsid w:val="00B2481F"/>
    <w:rsid w:val="00B24B57"/>
    <w:rsid w:val="00B26762"/>
    <w:rsid w:val="00B31575"/>
    <w:rsid w:val="00B370F4"/>
    <w:rsid w:val="00B46C8D"/>
    <w:rsid w:val="00B65F42"/>
    <w:rsid w:val="00B70ED5"/>
    <w:rsid w:val="00B8427C"/>
    <w:rsid w:val="00B8547D"/>
    <w:rsid w:val="00B91C0F"/>
    <w:rsid w:val="00BA7847"/>
    <w:rsid w:val="00BC7A6A"/>
    <w:rsid w:val="00BE25E2"/>
    <w:rsid w:val="00C07BB2"/>
    <w:rsid w:val="00C250D5"/>
    <w:rsid w:val="00C35666"/>
    <w:rsid w:val="00C3717E"/>
    <w:rsid w:val="00C82BDC"/>
    <w:rsid w:val="00C92898"/>
    <w:rsid w:val="00C96147"/>
    <w:rsid w:val="00CA2D7B"/>
    <w:rsid w:val="00CA37FF"/>
    <w:rsid w:val="00CA3919"/>
    <w:rsid w:val="00CA4340"/>
    <w:rsid w:val="00CB009A"/>
    <w:rsid w:val="00CB335C"/>
    <w:rsid w:val="00CB575E"/>
    <w:rsid w:val="00CC55DD"/>
    <w:rsid w:val="00CD4CD6"/>
    <w:rsid w:val="00CE5238"/>
    <w:rsid w:val="00CE66D0"/>
    <w:rsid w:val="00CE7514"/>
    <w:rsid w:val="00CF1D0E"/>
    <w:rsid w:val="00CF3FFD"/>
    <w:rsid w:val="00D0174B"/>
    <w:rsid w:val="00D04605"/>
    <w:rsid w:val="00D04F49"/>
    <w:rsid w:val="00D107C3"/>
    <w:rsid w:val="00D22E7A"/>
    <w:rsid w:val="00D248DE"/>
    <w:rsid w:val="00D26281"/>
    <w:rsid w:val="00D50837"/>
    <w:rsid w:val="00D550F0"/>
    <w:rsid w:val="00D57060"/>
    <w:rsid w:val="00D731F3"/>
    <w:rsid w:val="00D8542D"/>
    <w:rsid w:val="00D86489"/>
    <w:rsid w:val="00DC2BF7"/>
    <w:rsid w:val="00DC6A71"/>
    <w:rsid w:val="00DF2862"/>
    <w:rsid w:val="00E00233"/>
    <w:rsid w:val="00E01330"/>
    <w:rsid w:val="00E0357D"/>
    <w:rsid w:val="00E105EA"/>
    <w:rsid w:val="00E21FF9"/>
    <w:rsid w:val="00E24BF4"/>
    <w:rsid w:val="00E371D1"/>
    <w:rsid w:val="00E45AE9"/>
    <w:rsid w:val="00E52A08"/>
    <w:rsid w:val="00E55DE5"/>
    <w:rsid w:val="00E65814"/>
    <w:rsid w:val="00E709D1"/>
    <w:rsid w:val="00E70C96"/>
    <w:rsid w:val="00E7777F"/>
    <w:rsid w:val="00E8286E"/>
    <w:rsid w:val="00E83827"/>
    <w:rsid w:val="00E8588E"/>
    <w:rsid w:val="00EB02BA"/>
    <w:rsid w:val="00EC7F84"/>
    <w:rsid w:val="00ED15F9"/>
    <w:rsid w:val="00ED1C3E"/>
    <w:rsid w:val="00ED431F"/>
    <w:rsid w:val="00EF0C51"/>
    <w:rsid w:val="00EF131A"/>
    <w:rsid w:val="00EF2894"/>
    <w:rsid w:val="00F03E7B"/>
    <w:rsid w:val="00F0697A"/>
    <w:rsid w:val="00F240BB"/>
    <w:rsid w:val="00F31E5E"/>
    <w:rsid w:val="00F3328E"/>
    <w:rsid w:val="00F40CC6"/>
    <w:rsid w:val="00F45BB5"/>
    <w:rsid w:val="00F538DA"/>
    <w:rsid w:val="00F57FED"/>
    <w:rsid w:val="00F601E2"/>
    <w:rsid w:val="00F70DD0"/>
    <w:rsid w:val="00F748AA"/>
    <w:rsid w:val="00F7553D"/>
    <w:rsid w:val="00F816A8"/>
    <w:rsid w:val="00F821BE"/>
    <w:rsid w:val="00F87E7C"/>
    <w:rsid w:val="00F93DB5"/>
    <w:rsid w:val="00FA1F2F"/>
    <w:rsid w:val="00FA6CE4"/>
    <w:rsid w:val="00FB5509"/>
    <w:rsid w:val="00FB73CA"/>
    <w:rsid w:val="00FB79C5"/>
    <w:rsid w:val="00FC1003"/>
    <w:rsid w:val="00FE14CB"/>
    <w:rsid w:val="00FE1B5A"/>
    <w:rsid w:val="00FE4404"/>
    <w:rsid w:val="00FE65DC"/>
    <w:rsid w:val="00FF0EFA"/>
    <w:rsid w:val="00FF2F3E"/>
    <w:rsid w:val="00FF35A7"/>
    <w:rsid w:val="00FF3AB2"/>
    <w:rsid w:val="00FF68BC"/>
    <w:rsid w:val="00FF6963"/>
    <w:rsid w:val="00FF782C"/>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nhideWhenUsed/>
    <w:qFormat/>
    <w:rsid w:val="007E1C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1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2C2184"/>
    <w:pPr>
      <w:numPr>
        <w:numId w:val="2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lang w:val="sl-SI" w:eastAsia="sl-SI" w:bidi="ar-SA"/>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lang w:eastAsia="sl-SI"/>
    </w:rPr>
  </w:style>
  <w:style w:type="character" w:customStyle="1" w:styleId="rkovnatokazaodstavkomZnak">
    <w:name w:val="Črkovna točka_za odstavkom Znak"/>
    <w:link w:val="rkovnatokazaodstavkom"/>
    <w:rsid w:val="000151E4"/>
    <w:rPr>
      <w:rFonts w:ascii="Arial" w:hAnsi="Arial"/>
      <w:lang w:eastAsia="sl-SI" w:bidi="ar-SA"/>
    </w:rPr>
  </w:style>
  <w:style w:type="paragraph" w:customStyle="1" w:styleId="rkovnatokazaodstavkom">
    <w:name w:val="Črkovna točka_za odstavkom"/>
    <w:basedOn w:val="Navaden"/>
    <w:link w:val="rkovnatokazaodstavkomZnak"/>
    <w:qFormat/>
    <w:rsid w:val="000151E4"/>
    <w:pPr>
      <w:numPr>
        <w:numId w:val="1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3"/>
      </w:numPr>
      <w:ind w:left="0" w:firstLine="0"/>
    </w:pPr>
  </w:style>
  <w:style w:type="character" w:customStyle="1" w:styleId="OdsekZnak">
    <w:name w:val="Odsek Znak"/>
    <w:basedOn w:val="OddelekZnak1"/>
    <w:link w:val="Odsek"/>
    <w:rsid w:val="000151E4"/>
    <w:rPr>
      <w:rFonts w:ascii="Arial" w:hAnsi="Arial" w:cs="Arial"/>
      <w:b/>
      <w:sz w:val="22"/>
      <w:szCs w:val="22"/>
      <w:lang w:val="sl-SI" w:eastAsia="sl-SI" w:bidi="ar-SA"/>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uiPriority w:val="99"/>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character" w:customStyle="1" w:styleId="NogaZnak">
    <w:name w:val="Noga Znak"/>
    <w:link w:val="Noga"/>
    <w:uiPriority w:val="99"/>
    <w:rsid w:val="0060499D"/>
    <w:rPr>
      <w:rFonts w:ascii="Arial" w:hAnsi="Arial"/>
      <w:szCs w:val="24"/>
      <w:lang w:eastAsia="en-US"/>
    </w:rPr>
  </w:style>
  <w:style w:type="character" w:customStyle="1" w:styleId="Naslov2Znak">
    <w:name w:val="Naslov 2 Znak"/>
    <w:basedOn w:val="Privzetapisavaodstavka"/>
    <w:link w:val="Naslov2"/>
    <w:rsid w:val="007E1CD0"/>
    <w:rPr>
      <w:rFonts w:asciiTheme="majorHAnsi" w:eastAsiaTheme="majorEastAsia" w:hAnsiTheme="majorHAnsi" w:cstheme="majorBidi"/>
      <w:b/>
      <w:bCs/>
      <w:color w:val="4F81BD" w:themeColor="accent1"/>
      <w:sz w:val="26"/>
      <w:szCs w:val="26"/>
    </w:rPr>
  </w:style>
  <w:style w:type="character" w:customStyle="1" w:styleId="lenZnak">
    <w:name w:val="Člen Znak"/>
    <w:link w:val="len"/>
    <w:locked/>
    <w:rsid w:val="00BC7A6A"/>
    <w:rPr>
      <w:rFonts w:ascii="Arial" w:hAnsi="Arial" w:cs="Arial"/>
      <w:b/>
      <w:sz w:val="22"/>
      <w:szCs w:val="22"/>
    </w:rPr>
  </w:style>
  <w:style w:type="paragraph" w:customStyle="1" w:styleId="len">
    <w:name w:val="Člen"/>
    <w:basedOn w:val="Navaden"/>
    <w:link w:val="lenZnak"/>
    <w:qFormat/>
    <w:rsid w:val="00BC7A6A"/>
    <w:pPr>
      <w:suppressAutoHyphens/>
      <w:overflowPunct w:val="0"/>
      <w:autoSpaceDE w:val="0"/>
      <w:autoSpaceDN w:val="0"/>
      <w:adjustRightInd w:val="0"/>
      <w:spacing w:before="480" w:line="240" w:lineRule="auto"/>
      <w:jc w:val="center"/>
    </w:pPr>
    <w:rPr>
      <w:rFonts w:cs="Arial"/>
      <w:b/>
      <w:sz w:val="22"/>
      <w:szCs w:val="22"/>
    </w:rPr>
  </w:style>
  <w:style w:type="character" w:customStyle="1" w:styleId="OdstavekZnak">
    <w:name w:val="Odstavek Znak"/>
    <w:link w:val="Odstavek"/>
    <w:locked/>
    <w:rsid w:val="00BC7A6A"/>
    <w:rPr>
      <w:rFonts w:ascii="Arial" w:hAnsi="Arial" w:cs="Arial"/>
      <w:sz w:val="22"/>
      <w:szCs w:val="22"/>
    </w:rPr>
  </w:style>
  <w:style w:type="paragraph" w:customStyle="1" w:styleId="Odstavek">
    <w:name w:val="Odstavek"/>
    <w:basedOn w:val="Navaden"/>
    <w:link w:val="OdstavekZnak"/>
    <w:qFormat/>
    <w:rsid w:val="00BC7A6A"/>
    <w:pPr>
      <w:overflowPunct w:val="0"/>
      <w:autoSpaceDE w:val="0"/>
      <w:autoSpaceDN w:val="0"/>
      <w:adjustRightInd w:val="0"/>
      <w:spacing w:before="240" w:line="240" w:lineRule="auto"/>
      <w:ind w:firstLine="1021"/>
      <w:jc w:val="both"/>
    </w:pPr>
    <w:rPr>
      <w:rFonts w:cs="Arial"/>
      <w:sz w:val="22"/>
      <w:szCs w:val="22"/>
    </w:rPr>
  </w:style>
  <w:style w:type="paragraph" w:customStyle="1" w:styleId="lennaslov">
    <w:name w:val="Člen_naslov"/>
    <w:basedOn w:val="len"/>
    <w:qFormat/>
    <w:rsid w:val="00BC7A6A"/>
    <w:pPr>
      <w:spacing w:before="0"/>
    </w:pPr>
  </w:style>
  <w:style w:type="paragraph" w:customStyle="1" w:styleId="tevilnatoka111">
    <w:name w:val="Številčna točka 1.1.1"/>
    <w:basedOn w:val="Navaden"/>
    <w:qFormat/>
    <w:rsid w:val="00BC7A6A"/>
    <w:pPr>
      <w:widowControl w:val="0"/>
      <w:numPr>
        <w:ilvl w:val="2"/>
        <w:numId w:val="41"/>
      </w:numPr>
      <w:overflowPunct w:val="0"/>
      <w:autoSpaceDE w:val="0"/>
      <w:autoSpaceDN w:val="0"/>
      <w:adjustRightInd w:val="0"/>
      <w:spacing w:line="240" w:lineRule="auto"/>
      <w:jc w:val="both"/>
    </w:pPr>
    <w:rPr>
      <w:sz w:val="22"/>
      <w:szCs w:val="16"/>
      <w:lang w:eastAsia="sl-SI"/>
    </w:rPr>
  </w:style>
  <w:style w:type="character" w:customStyle="1" w:styleId="tevilnatokaZnak">
    <w:name w:val="Številčna točka Znak"/>
    <w:basedOn w:val="OdstavekZnak"/>
    <w:link w:val="tevilnatoka"/>
    <w:locked/>
    <w:rsid w:val="00BC7A6A"/>
    <w:rPr>
      <w:rFonts w:ascii="Arial" w:hAnsi="Arial" w:cs="Arial"/>
      <w:sz w:val="22"/>
      <w:szCs w:val="22"/>
    </w:rPr>
  </w:style>
  <w:style w:type="paragraph" w:customStyle="1" w:styleId="tevilnatoka">
    <w:name w:val="Številčna točka"/>
    <w:basedOn w:val="Navaden"/>
    <w:link w:val="tevilnatokaZnak"/>
    <w:qFormat/>
    <w:rsid w:val="00BC7A6A"/>
    <w:pPr>
      <w:numPr>
        <w:numId w:val="41"/>
      </w:numPr>
      <w:spacing w:line="240" w:lineRule="auto"/>
      <w:jc w:val="both"/>
    </w:pPr>
    <w:rPr>
      <w:rFonts w:cs="Arial"/>
      <w:sz w:val="22"/>
      <w:szCs w:val="22"/>
    </w:rPr>
  </w:style>
  <w:style w:type="paragraph" w:customStyle="1" w:styleId="tevilnatoka11Nova">
    <w:name w:val="Številčna točka 1.1 Nova"/>
    <w:basedOn w:val="tevilnatoka"/>
    <w:qFormat/>
    <w:rsid w:val="00BC7A6A"/>
    <w:pPr>
      <w:numPr>
        <w:ilvl w:val="1"/>
      </w:numPr>
      <w:tabs>
        <w:tab w:val="clear" w:pos="425"/>
        <w:tab w:val="num" w:pos="360"/>
        <w:tab w:val="num" w:pos="1440"/>
      </w:tabs>
      <w:ind w:left="1440" w:hanging="360"/>
    </w:pPr>
  </w:style>
  <w:style w:type="paragraph" w:styleId="Revizija">
    <w:name w:val="Revision"/>
    <w:hidden/>
    <w:uiPriority w:val="71"/>
    <w:rsid w:val="005E1443"/>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nhideWhenUsed/>
    <w:qFormat/>
    <w:rsid w:val="007E1C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1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2C2184"/>
    <w:pPr>
      <w:numPr>
        <w:numId w:val="2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lang w:val="sl-SI" w:eastAsia="sl-SI" w:bidi="ar-SA"/>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lang w:eastAsia="sl-SI"/>
    </w:rPr>
  </w:style>
  <w:style w:type="character" w:customStyle="1" w:styleId="rkovnatokazaodstavkomZnak">
    <w:name w:val="Črkovna točka_za odstavkom Znak"/>
    <w:link w:val="rkovnatokazaodstavkom"/>
    <w:rsid w:val="000151E4"/>
    <w:rPr>
      <w:rFonts w:ascii="Arial" w:hAnsi="Arial"/>
      <w:lang w:eastAsia="sl-SI" w:bidi="ar-SA"/>
    </w:rPr>
  </w:style>
  <w:style w:type="paragraph" w:customStyle="1" w:styleId="rkovnatokazaodstavkom">
    <w:name w:val="Črkovna točka_za odstavkom"/>
    <w:basedOn w:val="Navaden"/>
    <w:link w:val="rkovnatokazaodstavkomZnak"/>
    <w:qFormat/>
    <w:rsid w:val="000151E4"/>
    <w:pPr>
      <w:numPr>
        <w:numId w:val="1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3"/>
      </w:numPr>
      <w:ind w:left="0" w:firstLine="0"/>
    </w:pPr>
  </w:style>
  <w:style w:type="character" w:customStyle="1" w:styleId="OdsekZnak">
    <w:name w:val="Odsek Znak"/>
    <w:basedOn w:val="OddelekZnak1"/>
    <w:link w:val="Odsek"/>
    <w:rsid w:val="000151E4"/>
    <w:rPr>
      <w:rFonts w:ascii="Arial" w:hAnsi="Arial" w:cs="Arial"/>
      <w:b/>
      <w:sz w:val="22"/>
      <w:szCs w:val="22"/>
      <w:lang w:val="sl-SI" w:eastAsia="sl-SI" w:bidi="ar-SA"/>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uiPriority w:val="99"/>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character" w:customStyle="1" w:styleId="NogaZnak">
    <w:name w:val="Noga Znak"/>
    <w:link w:val="Noga"/>
    <w:uiPriority w:val="99"/>
    <w:rsid w:val="0060499D"/>
    <w:rPr>
      <w:rFonts w:ascii="Arial" w:hAnsi="Arial"/>
      <w:szCs w:val="24"/>
      <w:lang w:eastAsia="en-US"/>
    </w:rPr>
  </w:style>
  <w:style w:type="character" w:customStyle="1" w:styleId="Naslov2Znak">
    <w:name w:val="Naslov 2 Znak"/>
    <w:basedOn w:val="Privzetapisavaodstavka"/>
    <w:link w:val="Naslov2"/>
    <w:rsid w:val="007E1CD0"/>
    <w:rPr>
      <w:rFonts w:asciiTheme="majorHAnsi" w:eastAsiaTheme="majorEastAsia" w:hAnsiTheme="majorHAnsi" w:cstheme="majorBidi"/>
      <w:b/>
      <w:bCs/>
      <w:color w:val="4F81BD" w:themeColor="accent1"/>
      <w:sz w:val="26"/>
      <w:szCs w:val="26"/>
    </w:rPr>
  </w:style>
  <w:style w:type="character" w:customStyle="1" w:styleId="lenZnak">
    <w:name w:val="Člen Znak"/>
    <w:link w:val="len"/>
    <w:locked/>
    <w:rsid w:val="00BC7A6A"/>
    <w:rPr>
      <w:rFonts w:ascii="Arial" w:hAnsi="Arial" w:cs="Arial"/>
      <w:b/>
      <w:sz w:val="22"/>
      <w:szCs w:val="22"/>
    </w:rPr>
  </w:style>
  <w:style w:type="paragraph" w:customStyle="1" w:styleId="len">
    <w:name w:val="Člen"/>
    <w:basedOn w:val="Navaden"/>
    <w:link w:val="lenZnak"/>
    <w:qFormat/>
    <w:rsid w:val="00BC7A6A"/>
    <w:pPr>
      <w:suppressAutoHyphens/>
      <w:overflowPunct w:val="0"/>
      <w:autoSpaceDE w:val="0"/>
      <w:autoSpaceDN w:val="0"/>
      <w:adjustRightInd w:val="0"/>
      <w:spacing w:before="480" w:line="240" w:lineRule="auto"/>
      <w:jc w:val="center"/>
    </w:pPr>
    <w:rPr>
      <w:rFonts w:cs="Arial"/>
      <w:b/>
      <w:sz w:val="22"/>
      <w:szCs w:val="22"/>
    </w:rPr>
  </w:style>
  <w:style w:type="character" w:customStyle="1" w:styleId="OdstavekZnak">
    <w:name w:val="Odstavek Znak"/>
    <w:link w:val="Odstavek"/>
    <w:locked/>
    <w:rsid w:val="00BC7A6A"/>
    <w:rPr>
      <w:rFonts w:ascii="Arial" w:hAnsi="Arial" w:cs="Arial"/>
      <w:sz w:val="22"/>
      <w:szCs w:val="22"/>
    </w:rPr>
  </w:style>
  <w:style w:type="paragraph" w:customStyle="1" w:styleId="Odstavek">
    <w:name w:val="Odstavek"/>
    <w:basedOn w:val="Navaden"/>
    <w:link w:val="OdstavekZnak"/>
    <w:qFormat/>
    <w:rsid w:val="00BC7A6A"/>
    <w:pPr>
      <w:overflowPunct w:val="0"/>
      <w:autoSpaceDE w:val="0"/>
      <w:autoSpaceDN w:val="0"/>
      <w:adjustRightInd w:val="0"/>
      <w:spacing w:before="240" w:line="240" w:lineRule="auto"/>
      <w:ind w:firstLine="1021"/>
      <w:jc w:val="both"/>
    </w:pPr>
    <w:rPr>
      <w:rFonts w:cs="Arial"/>
      <w:sz w:val="22"/>
      <w:szCs w:val="22"/>
    </w:rPr>
  </w:style>
  <w:style w:type="paragraph" w:customStyle="1" w:styleId="lennaslov">
    <w:name w:val="Člen_naslov"/>
    <w:basedOn w:val="len"/>
    <w:qFormat/>
    <w:rsid w:val="00BC7A6A"/>
    <w:pPr>
      <w:spacing w:before="0"/>
    </w:pPr>
  </w:style>
  <w:style w:type="paragraph" w:customStyle="1" w:styleId="tevilnatoka111">
    <w:name w:val="Številčna točka 1.1.1"/>
    <w:basedOn w:val="Navaden"/>
    <w:qFormat/>
    <w:rsid w:val="00BC7A6A"/>
    <w:pPr>
      <w:widowControl w:val="0"/>
      <w:numPr>
        <w:ilvl w:val="2"/>
        <w:numId w:val="41"/>
      </w:numPr>
      <w:overflowPunct w:val="0"/>
      <w:autoSpaceDE w:val="0"/>
      <w:autoSpaceDN w:val="0"/>
      <w:adjustRightInd w:val="0"/>
      <w:spacing w:line="240" w:lineRule="auto"/>
      <w:jc w:val="both"/>
    </w:pPr>
    <w:rPr>
      <w:sz w:val="22"/>
      <w:szCs w:val="16"/>
      <w:lang w:eastAsia="sl-SI"/>
    </w:rPr>
  </w:style>
  <w:style w:type="character" w:customStyle="1" w:styleId="tevilnatokaZnak">
    <w:name w:val="Številčna točka Znak"/>
    <w:basedOn w:val="OdstavekZnak"/>
    <w:link w:val="tevilnatoka"/>
    <w:locked/>
    <w:rsid w:val="00BC7A6A"/>
    <w:rPr>
      <w:rFonts w:ascii="Arial" w:hAnsi="Arial" w:cs="Arial"/>
      <w:sz w:val="22"/>
      <w:szCs w:val="22"/>
    </w:rPr>
  </w:style>
  <w:style w:type="paragraph" w:customStyle="1" w:styleId="tevilnatoka">
    <w:name w:val="Številčna točka"/>
    <w:basedOn w:val="Navaden"/>
    <w:link w:val="tevilnatokaZnak"/>
    <w:qFormat/>
    <w:rsid w:val="00BC7A6A"/>
    <w:pPr>
      <w:numPr>
        <w:numId w:val="41"/>
      </w:numPr>
      <w:spacing w:line="240" w:lineRule="auto"/>
      <w:jc w:val="both"/>
    </w:pPr>
    <w:rPr>
      <w:rFonts w:cs="Arial"/>
      <w:sz w:val="22"/>
      <w:szCs w:val="22"/>
    </w:rPr>
  </w:style>
  <w:style w:type="paragraph" w:customStyle="1" w:styleId="tevilnatoka11Nova">
    <w:name w:val="Številčna točka 1.1 Nova"/>
    <w:basedOn w:val="tevilnatoka"/>
    <w:qFormat/>
    <w:rsid w:val="00BC7A6A"/>
    <w:pPr>
      <w:numPr>
        <w:ilvl w:val="1"/>
      </w:numPr>
      <w:tabs>
        <w:tab w:val="clear" w:pos="425"/>
        <w:tab w:val="num" w:pos="360"/>
        <w:tab w:val="num" w:pos="1440"/>
      </w:tabs>
      <w:ind w:left="1440" w:hanging="360"/>
    </w:pPr>
  </w:style>
  <w:style w:type="paragraph" w:styleId="Revizija">
    <w:name w:val="Revision"/>
    <w:hidden/>
    <w:uiPriority w:val="71"/>
    <w:rsid w:val="005E144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92447">
      <w:bodyDiv w:val="1"/>
      <w:marLeft w:val="0"/>
      <w:marRight w:val="0"/>
      <w:marTop w:val="0"/>
      <w:marBottom w:val="0"/>
      <w:divBdr>
        <w:top w:val="none" w:sz="0" w:space="0" w:color="auto"/>
        <w:left w:val="none" w:sz="0" w:space="0" w:color="auto"/>
        <w:bottom w:val="none" w:sz="0" w:space="0" w:color="auto"/>
        <w:right w:val="none" w:sz="0" w:space="0" w:color="auto"/>
      </w:divBdr>
    </w:div>
    <w:div w:id="792016584">
      <w:bodyDiv w:val="1"/>
      <w:marLeft w:val="0"/>
      <w:marRight w:val="0"/>
      <w:marTop w:val="0"/>
      <w:marBottom w:val="0"/>
      <w:divBdr>
        <w:top w:val="none" w:sz="0" w:space="0" w:color="auto"/>
        <w:left w:val="none" w:sz="0" w:space="0" w:color="auto"/>
        <w:bottom w:val="none" w:sz="0" w:space="0" w:color="auto"/>
        <w:right w:val="none" w:sz="0" w:space="0" w:color="auto"/>
      </w:divBdr>
    </w:div>
    <w:div w:id="1203323308">
      <w:bodyDiv w:val="1"/>
      <w:marLeft w:val="0"/>
      <w:marRight w:val="0"/>
      <w:marTop w:val="0"/>
      <w:marBottom w:val="0"/>
      <w:divBdr>
        <w:top w:val="none" w:sz="0" w:space="0" w:color="auto"/>
        <w:left w:val="none" w:sz="0" w:space="0" w:color="auto"/>
        <w:bottom w:val="none" w:sz="0" w:space="0" w:color="auto"/>
        <w:right w:val="none" w:sz="0" w:space="0" w:color="auto"/>
      </w:divBdr>
    </w:div>
    <w:div w:id="1491213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19852-A1DE-4360-8260-55DD48F4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4086</Words>
  <Characters>23294</Characters>
  <Application>Microsoft Office Word</Application>
  <DocSecurity>0</DocSecurity>
  <Lines>194</Lines>
  <Paragraphs>54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27326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Mira Vukovič</cp:lastModifiedBy>
  <cp:revision>20</cp:revision>
  <cp:lastPrinted>2016-08-23T10:26:00Z</cp:lastPrinted>
  <dcterms:created xsi:type="dcterms:W3CDTF">2016-08-24T11:47:00Z</dcterms:created>
  <dcterms:modified xsi:type="dcterms:W3CDTF">2016-08-25T13:14:00Z</dcterms:modified>
</cp:coreProperties>
</file>