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D3D" w:rsidRPr="00761A24" w:rsidRDefault="00CF547D" w:rsidP="00210D3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Priloga 6</w:t>
      </w:r>
      <w:bookmarkStart w:id="0" w:name="_GoBack"/>
      <w:bookmarkEnd w:id="0"/>
      <w:r w:rsidR="00210D3D" w:rsidRPr="00761A24">
        <w:rPr>
          <w:rFonts w:ascii="Arial" w:hAnsi="Arial" w:cs="Arial"/>
          <w:b/>
          <w:sz w:val="20"/>
          <w:szCs w:val="20"/>
        </w:rPr>
        <w:t xml:space="preserve"> </w:t>
      </w:r>
    </w:p>
    <w:p w:rsidR="00210D3D" w:rsidRPr="00761A24" w:rsidRDefault="00210D3D" w:rsidP="00210D3D">
      <w:pPr>
        <w:rPr>
          <w:rFonts w:ascii="Arial" w:hAnsi="Arial" w:cs="Arial"/>
          <w:b/>
          <w:sz w:val="20"/>
          <w:szCs w:val="20"/>
        </w:rPr>
      </w:pPr>
      <w:r w:rsidRPr="00761A24">
        <w:rPr>
          <w:rFonts w:ascii="Arial" w:hAnsi="Arial" w:cs="Arial"/>
          <w:b/>
          <w:sz w:val="20"/>
          <w:szCs w:val="20"/>
        </w:rPr>
        <w:t>Višja sila ali izjemne okoliščine pri ukrepu DŽ</w:t>
      </w:r>
    </w:p>
    <w:p w:rsidR="00210D3D" w:rsidRDefault="00210D3D" w:rsidP="00210D3D">
      <w:pPr>
        <w:rPr>
          <w:rFonts w:ascii="Arial" w:hAnsi="Arial" w:cs="Arial"/>
          <w:b/>
          <w:iCs/>
          <w:sz w:val="20"/>
          <w:szCs w:val="20"/>
        </w:rPr>
      </w:pPr>
    </w:p>
    <w:p w:rsidR="00210D3D" w:rsidRPr="00761A24" w:rsidRDefault="00210D3D" w:rsidP="00210D3D">
      <w:pPr>
        <w:rPr>
          <w:rFonts w:ascii="Arial" w:hAnsi="Arial" w:cs="Arial"/>
          <w:b/>
          <w:sz w:val="20"/>
          <w:szCs w:val="20"/>
        </w:rPr>
      </w:pPr>
      <w:r w:rsidRPr="00761A24">
        <w:rPr>
          <w:rFonts w:ascii="Arial" w:hAnsi="Arial" w:cs="Arial"/>
          <w:b/>
          <w:iCs/>
          <w:sz w:val="20"/>
          <w:szCs w:val="20"/>
        </w:rPr>
        <w:t>I. Primeri višje sile ali izjemnih okoliščin</w:t>
      </w:r>
    </w:p>
    <w:p w:rsidR="00210D3D" w:rsidRPr="00761A24" w:rsidRDefault="00210D3D" w:rsidP="00210D3D">
      <w:pPr>
        <w:rPr>
          <w:rFonts w:ascii="Arial" w:hAnsi="Arial" w:cs="Arial"/>
          <w:i/>
          <w:sz w:val="20"/>
          <w:szCs w:val="20"/>
        </w:rPr>
      </w:pPr>
      <w:r w:rsidRPr="00761A24">
        <w:rPr>
          <w:rFonts w:ascii="Arial" w:hAnsi="Arial" w:cs="Arial"/>
          <w:sz w:val="20"/>
          <w:szCs w:val="20"/>
        </w:rPr>
        <w:t xml:space="preserve">Za ukrep DŽ se upoštevajo </w:t>
      </w:r>
      <w:r>
        <w:rPr>
          <w:rFonts w:ascii="Arial" w:hAnsi="Arial" w:cs="Arial"/>
          <w:sz w:val="20"/>
          <w:szCs w:val="20"/>
        </w:rPr>
        <w:t xml:space="preserve">zlasti </w:t>
      </w:r>
      <w:r w:rsidRPr="00761A24">
        <w:rPr>
          <w:rFonts w:ascii="Arial" w:hAnsi="Arial" w:cs="Arial"/>
          <w:sz w:val="20"/>
          <w:szCs w:val="20"/>
        </w:rPr>
        <w:t>naslednji primeri višje sile ali izjemnih okoliščin</w:t>
      </w:r>
      <w:r w:rsidRPr="00761A24">
        <w:rPr>
          <w:rFonts w:ascii="Arial" w:hAnsi="Arial" w:cs="Arial"/>
          <w:iCs/>
          <w:sz w:val="20"/>
          <w:szCs w:val="20"/>
        </w:rPr>
        <w:t>:</w:t>
      </w:r>
    </w:p>
    <w:p w:rsidR="00210D3D" w:rsidRPr="00761A24" w:rsidRDefault="00210D3D" w:rsidP="00210D3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1A24">
        <w:rPr>
          <w:rFonts w:ascii="Arial" w:hAnsi="Arial" w:cs="Arial"/>
          <w:sz w:val="20"/>
          <w:szCs w:val="20"/>
        </w:rPr>
        <w:t>smrt upravičenca;</w:t>
      </w:r>
    </w:p>
    <w:p w:rsidR="00210D3D" w:rsidRPr="00761A24" w:rsidRDefault="00210D3D" w:rsidP="00210D3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1A24">
        <w:rPr>
          <w:rFonts w:ascii="Arial" w:hAnsi="Arial" w:cs="Arial"/>
          <w:sz w:val="20"/>
          <w:szCs w:val="20"/>
        </w:rPr>
        <w:t>dolgotrajna nezmožnost upravičenca za delo;</w:t>
      </w:r>
    </w:p>
    <w:p w:rsidR="00210D3D" w:rsidRPr="00761A24" w:rsidRDefault="00210D3D" w:rsidP="00210D3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1A24">
        <w:rPr>
          <w:rFonts w:ascii="Arial" w:hAnsi="Arial" w:cs="Arial"/>
          <w:sz w:val="20"/>
          <w:szCs w:val="20"/>
        </w:rPr>
        <w:t>razlastitev velikega dela kmetijskega gospodarstva, če tega ni bilo mogoče pričakovati na dan sprejetja obveznosti;</w:t>
      </w:r>
    </w:p>
    <w:p w:rsidR="00210D3D" w:rsidRPr="00761A24" w:rsidRDefault="00210D3D" w:rsidP="00210D3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1A24">
        <w:rPr>
          <w:rFonts w:ascii="Arial" w:hAnsi="Arial" w:cs="Arial"/>
          <w:sz w:val="20"/>
          <w:szCs w:val="20"/>
        </w:rPr>
        <w:t>huda naravna nesreča, ki resno prizadene kmetijsko gospodarstvo;</w:t>
      </w:r>
    </w:p>
    <w:p w:rsidR="00210D3D" w:rsidRPr="00761A24" w:rsidRDefault="00210D3D" w:rsidP="00210D3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1A24">
        <w:rPr>
          <w:rFonts w:ascii="Arial" w:hAnsi="Arial" w:cs="Arial"/>
          <w:sz w:val="20"/>
          <w:szCs w:val="20"/>
        </w:rPr>
        <w:t>uničenje poslopij in kmetijske mehanizacije na kmetijskem gospodarstvu zaradi nesreče;</w:t>
      </w:r>
    </w:p>
    <w:p w:rsidR="00210D3D" w:rsidRPr="00761A24" w:rsidRDefault="00210D3D" w:rsidP="00210D3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1A24">
        <w:rPr>
          <w:rFonts w:ascii="Arial" w:hAnsi="Arial" w:cs="Arial"/>
          <w:sz w:val="20"/>
          <w:szCs w:val="20"/>
        </w:rPr>
        <w:t>kužna bolezen, ki prizadene vso živino upravičenca ali njen del;</w:t>
      </w:r>
    </w:p>
    <w:p w:rsidR="00210D3D" w:rsidRPr="00761A24" w:rsidRDefault="00210D3D" w:rsidP="00210D3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1A24">
        <w:rPr>
          <w:rFonts w:ascii="Arial" w:hAnsi="Arial" w:cs="Arial"/>
          <w:sz w:val="20"/>
          <w:szCs w:val="20"/>
        </w:rPr>
        <w:t>izguba ali pogin domačih živali zaradi napada divjih zveri kljub izvedbi vseh predpisanih ukrepov;</w:t>
      </w:r>
    </w:p>
    <w:p w:rsidR="00210D3D" w:rsidRPr="00761A24" w:rsidRDefault="00210D3D" w:rsidP="00210D3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1A24">
        <w:rPr>
          <w:rFonts w:ascii="Arial" w:hAnsi="Arial" w:cs="Arial"/>
          <w:sz w:val="20"/>
          <w:szCs w:val="20"/>
        </w:rPr>
        <w:t>pogin domačih živali zaradi nesreče (požar, udar strele, električni udar, padci ipd.)</w:t>
      </w:r>
      <w:r w:rsidR="00244207">
        <w:rPr>
          <w:rFonts w:ascii="Arial" w:hAnsi="Arial" w:cs="Arial"/>
          <w:sz w:val="20"/>
          <w:szCs w:val="20"/>
        </w:rPr>
        <w:t>.</w:t>
      </w:r>
    </w:p>
    <w:p w:rsidR="00210D3D" w:rsidRPr="00761A24" w:rsidRDefault="00210D3D" w:rsidP="00210D3D">
      <w:pPr>
        <w:autoSpaceDE w:val="0"/>
        <w:autoSpaceDN w:val="0"/>
        <w:adjustRightInd w:val="0"/>
        <w:spacing w:line="260" w:lineRule="atLeast"/>
        <w:rPr>
          <w:rStyle w:val="Poudarek"/>
          <w:rFonts w:ascii="Arial" w:hAnsi="Arial" w:cs="Arial"/>
          <w:b/>
          <w:i w:val="0"/>
          <w:sz w:val="20"/>
          <w:szCs w:val="20"/>
        </w:rPr>
      </w:pPr>
    </w:p>
    <w:p w:rsidR="00210D3D" w:rsidRPr="00761A24" w:rsidRDefault="00210D3D" w:rsidP="00210D3D">
      <w:pPr>
        <w:rPr>
          <w:rFonts w:ascii="Arial" w:hAnsi="Arial" w:cs="Arial"/>
          <w:b/>
          <w:iCs/>
          <w:sz w:val="20"/>
          <w:szCs w:val="20"/>
        </w:rPr>
      </w:pPr>
      <w:r w:rsidRPr="00761A24">
        <w:rPr>
          <w:rFonts w:ascii="Arial" w:hAnsi="Arial" w:cs="Arial"/>
          <w:b/>
          <w:sz w:val="20"/>
          <w:szCs w:val="20"/>
        </w:rPr>
        <w:t>II. Razlastitev velikega dela kmetijskega gospodarstva</w:t>
      </w:r>
    </w:p>
    <w:p w:rsidR="00210D3D" w:rsidRPr="00761A24" w:rsidRDefault="00210D3D" w:rsidP="00210D3D">
      <w:pPr>
        <w:autoSpaceDE w:val="0"/>
        <w:autoSpaceDN w:val="0"/>
        <w:adjustRightInd w:val="0"/>
        <w:spacing w:line="260" w:lineRule="atLeast"/>
        <w:rPr>
          <w:rFonts w:ascii="Arial" w:hAnsi="Arial" w:cs="Arial"/>
          <w:sz w:val="20"/>
          <w:szCs w:val="20"/>
        </w:rPr>
      </w:pPr>
      <w:r w:rsidRPr="00761A24">
        <w:rPr>
          <w:rFonts w:ascii="Arial" w:hAnsi="Arial" w:cs="Arial"/>
          <w:sz w:val="20"/>
          <w:szCs w:val="20"/>
        </w:rPr>
        <w:t>V primeru razlastitve velikega dela kmetijskega gospodarstva se šteje, da je razlaščen velik del, če je razla</w:t>
      </w:r>
      <w:r w:rsidR="00244207">
        <w:rPr>
          <w:rFonts w:ascii="Arial" w:hAnsi="Arial" w:cs="Arial"/>
          <w:sz w:val="20"/>
          <w:szCs w:val="20"/>
        </w:rPr>
        <w:t>ščenih</w:t>
      </w:r>
      <w:r w:rsidRPr="00761A24">
        <w:rPr>
          <w:rFonts w:ascii="Arial" w:hAnsi="Arial" w:cs="Arial"/>
          <w:sz w:val="20"/>
          <w:szCs w:val="20"/>
        </w:rPr>
        <w:t xml:space="preserve"> najmanj 30 odstotkov kmetijskih površin, ki morajo biti ob uveljavljanju tega primera višje sile vpisana v register kmetijskih gospodarstev.</w:t>
      </w:r>
    </w:p>
    <w:p w:rsidR="00210D3D" w:rsidRPr="00761A24" w:rsidRDefault="00210D3D" w:rsidP="00210D3D">
      <w:pPr>
        <w:autoSpaceDE w:val="0"/>
        <w:autoSpaceDN w:val="0"/>
        <w:adjustRightInd w:val="0"/>
        <w:spacing w:line="260" w:lineRule="atLeast"/>
        <w:rPr>
          <w:rFonts w:ascii="Arial" w:hAnsi="Arial" w:cs="Arial"/>
          <w:sz w:val="20"/>
          <w:szCs w:val="20"/>
        </w:rPr>
      </w:pPr>
    </w:p>
    <w:p w:rsidR="00210D3D" w:rsidRPr="00761A24" w:rsidRDefault="00210D3D" w:rsidP="00210D3D">
      <w:pPr>
        <w:rPr>
          <w:rFonts w:ascii="Arial" w:hAnsi="Arial" w:cs="Arial"/>
          <w:b/>
          <w:iCs/>
          <w:sz w:val="20"/>
          <w:szCs w:val="20"/>
        </w:rPr>
      </w:pPr>
      <w:r w:rsidRPr="00761A24">
        <w:rPr>
          <w:rFonts w:ascii="Arial" w:hAnsi="Arial" w:cs="Arial"/>
          <w:b/>
          <w:sz w:val="20"/>
          <w:szCs w:val="20"/>
        </w:rPr>
        <w:t>III. Huda naravna nesreča, ki resno prizadene kmetijsko zemljišče gospodarstva</w:t>
      </w:r>
    </w:p>
    <w:p w:rsidR="00210D3D" w:rsidRPr="00761A24" w:rsidRDefault="00210D3D" w:rsidP="00210D3D">
      <w:pPr>
        <w:autoSpaceDE w:val="0"/>
        <w:autoSpaceDN w:val="0"/>
        <w:adjustRightInd w:val="0"/>
        <w:spacing w:line="260" w:lineRule="atLeast"/>
        <w:rPr>
          <w:rFonts w:ascii="Arial" w:hAnsi="Arial" w:cs="Arial"/>
          <w:sz w:val="20"/>
          <w:szCs w:val="20"/>
        </w:rPr>
      </w:pPr>
      <w:r w:rsidRPr="00761A24">
        <w:rPr>
          <w:rFonts w:ascii="Arial" w:hAnsi="Arial" w:cs="Arial"/>
          <w:sz w:val="20"/>
          <w:szCs w:val="20"/>
        </w:rPr>
        <w:t>Naravne nesreče so:</w:t>
      </w:r>
    </w:p>
    <w:p w:rsidR="00210D3D" w:rsidRPr="00761A24" w:rsidRDefault="00210D3D" w:rsidP="00210D3D">
      <w:pPr>
        <w:numPr>
          <w:ilvl w:val="0"/>
          <w:numId w:val="2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761A24">
        <w:rPr>
          <w:rFonts w:ascii="Arial" w:hAnsi="Arial" w:cs="Arial"/>
          <w:sz w:val="20"/>
          <w:szCs w:val="20"/>
        </w:rPr>
        <w:t>potres, snežni ali zemeljski plaz, udor ali poplava;</w:t>
      </w:r>
    </w:p>
    <w:p w:rsidR="00210D3D" w:rsidRPr="00761A24" w:rsidRDefault="00210D3D" w:rsidP="00210D3D">
      <w:pPr>
        <w:numPr>
          <w:ilvl w:val="0"/>
          <w:numId w:val="2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761A24">
        <w:rPr>
          <w:rFonts w:ascii="Arial" w:hAnsi="Arial" w:cs="Arial"/>
          <w:sz w:val="20"/>
          <w:szCs w:val="20"/>
        </w:rPr>
        <w:t>neugodne vremenske razmere, kot so zmrzal, toča, led ali žled, deževje (neurje, ki skupaj z močnim dežjem povzroči škodo v kmetijski proizvodnji) ali suša, slana, če povzroči zimsko ali spomladansko pozebo na kmetijskih rastlinah;</w:t>
      </w:r>
    </w:p>
    <w:p w:rsidR="00210D3D" w:rsidRPr="00761A24" w:rsidRDefault="00210D3D" w:rsidP="00210D3D">
      <w:pPr>
        <w:numPr>
          <w:ilvl w:val="0"/>
          <w:numId w:val="2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761A24">
        <w:rPr>
          <w:rFonts w:ascii="Arial" w:hAnsi="Arial" w:cs="Arial"/>
          <w:sz w:val="20"/>
          <w:szCs w:val="20"/>
        </w:rPr>
        <w:t>množič</w:t>
      </w:r>
      <w:r w:rsidR="006B27E4">
        <w:rPr>
          <w:rFonts w:ascii="Arial" w:hAnsi="Arial" w:cs="Arial"/>
          <w:sz w:val="20"/>
          <w:szCs w:val="20"/>
        </w:rPr>
        <w:t>ni</w:t>
      </w:r>
      <w:r w:rsidRPr="00761A24">
        <w:rPr>
          <w:rFonts w:ascii="Arial" w:hAnsi="Arial" w:cs="Arial"/>
          <w:sz w:val="20"/>
          <w:szCs w:val="20"/>
        </w:rPr>
        <w:t xml:space="preserve"> izbruh rastlinskih škodljivih organizmov </w:t>
      </w:r>
      <w:r w:rsidR="006B27E4">
        <w:rPr>
          <w:rFonts w:ascii="Arial" w:hAnsi="Arial" w:cs="Arial"/>
          <w:sz w:val="20"/>
          <w:szCs w:val="20"/>
        </w:rPr>
        <w:t>in</w:t>
      </w:r>
      <w:r w:rsidRPr="00761A24">
        <w:rPr>
          <w:rFonts w:ascii="Arial" w:hAnsi="Arial" w:cs="Arial"/>
          <w:sz w:val="20"/>
          <w:szCs w:val="20"/>
        </w:rPr>
        <w:t xml:space="preserve"> živalskih bolezni, če povzročijo škodo v kmetijski proizvodnji.</w:t>
      </w:r>
    </w:p>
    <w:p w:rsidR="00210D3D" w:rsidRPr="00761A24" w:rsidRDefault="00210D3D" w:rsidP="00210D3D">
      <w:pPr>
        <w:spacing w:line="260" w:lineRule="atLeast"/>
        <w:rPr>
          <w:rFonts w:ascii="Arial" w:hAnsi="Arial" w:cs="Arial"/>
          <w:sz w:val="20"/>
          <w:szCs w:val="20"/>
        </w:rPr>
      </w:pPr>
    </w:p>
    <w:p w:rsidR="00210D3D" w:rsidRPr="00761A24" w:rsidRDefault="00210D3D" w:rsidP="00210D3D">
      <w:pPr>
        <w:spacing w:line="260" w:lineRule="atLeast"/>
        <w:rPr>
          <w:rFonts w:ascii="Arial" w:hAnsi="Arial" w:cs="Arial"/>
          <w:sz w:val="20"/>
          <w:szCs w:val="20"/>
        </w:rPr>
      </w:pPr>
      <w:r w:rsidRPr="00761A24">
        <w:rPr>
          <w:rFonts w:ascii="Arial" w:hAnsi="Arial" w:cs="Arial"/>
          <w:sz w:val="20"/>
          <w:szCs w:val="20"/>
        </w:rPr>
        <w:t>Za hudo naravno nesrečo se šteje, če je na kmetijskem gospodarstvu zaradi te nesreče prizadetih najmanj 30 odstotkov kmetijskih površin, ki morajo biti ob uveljavljanju tega primera višje sile vpisan</w:t>
      </w:r>
      <w:r w:rsidR="003A16F7">
        <w:rPr>
          <w:rFonts w:ascii="Arial" w:hAnsi="Arial" w:cs="Arial"/>
          <w:sz w:val="20"/>
          <w:szCs w:val="20"/>
        </w:rPr>
        <w:t>e</w:t>
      </w:r>
      <w:r w:rsidRPr="00761A24">
        <w:rPr>
          <w:rFonts w:ascii="Arial" w:hAnsi="Arial" w:cs="Arial"/>
          <w:sz w:val="20"/>
          <w:szCs w:val="20"/>
        </w:rPr>
        <w:t xml:space="preserve"> v register kmetijskih gospodarstev.</w:t>
      </w:r>
    </w:p>
    <w:p w:rsidR="00CF6F9F" w:rsidRDefault="00CF6F9F"/>
    <w:sectPr w:rsidR="00CF6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925AD"/>
    <w:multiLevelType w:val="hybridMultilevel"/>
    <w:tmpl w:val="E60E3370"/>
    <w:lvl w:ilvl="0" w:tplc="5B1CDEB8">
      <w:start w:val="2"/>
      <w:numFmt w:val="bullet"/>
      <w:lvlText w:val="‒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  <w:color w:val="auto"/>
      </w:rPr>
    </w:lvl>
    <w:lvl w:ilvl="1" w:tplc="4FB097A2">
      <w:start w:val="1"/>
      <w:numFmt w:val="lowerLetter"/>
      <w:lvlText w:val="%2)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2" w:tplc="400461E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3" w:tplc="7FE87FE8">
      <w:numFmt w:val="bullet"/>
      <w:lvlText w:val=""/>
      <w:lvlJc w:val="left"/>
      <w:pPr>
        <w:tabs>
          <w:tab w:val="num" w:pos="357"/>
        </w:tabs>
        <w:ind w:left="357" w:hanging="357"/>
      </w:pPr>
      <w:rPr>
        <w:rFonts w:ascii="Wingdings 2" w:hAnsi="Wingdings 2" w:cs="Times New Roman" w:hint="default"/>
        <w:color w:val="auto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902952"/>
    <w:multiLevelType w:val="hybridMultilevel"/>
    <w:tmpl w:val="3438CC72"/>
    <w:lvl w:ilvl="0" w:tplc="65C6CEC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D3D"/>
    <w:rsid w:val="00210D3D"/>
    <w:rsid w:val="00244207"/>
    <w:rsid w:val="003A16F7"/>
    <w:rsid w:val="006B27E4"/>
    <w:rsid w:val="00AF3258"/>
    <w:rsid w:val="00CF547D"/>
    <w:rsid w:val="00C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10D3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oudarek">
    <w:name w:val="Emphasis"/>
    <w:uiPriority w:val="20"/>
    <w:qFormat/>
    <w:rsid w:val="00210D3D"/>
    <w:rPr>
      <w:i/>
      <w:i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1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16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10D3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oudarek">
    <w:name w:val="Emphasis"/>
    <w:uiPriority w:val="20"/>
    <w:qFormat/>
    <w:rsid w:val="00210D3D"/>
    <w:rPr>
      <w:i/>
      <w:i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1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1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Nagode</dc:creator>
  <cp:lastModifiedBy>Peter Nagode</cp:lastModifiedBy>
  <cp:revision>6</cp:revision>
  <dcterms:created xsi:type="dcterms:W3CDTF">2016-11-24T12:14:00Z</dcterms:created>
  <dcterms:modified xsi:type="dcterms:W3CDTF">2016-12-09T13:21:00Z</dcterms:modified>
</cp:coreProperties>
</file>