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3A" w:rsidRPr="002C431D" w:rsidRDefault="004A513A" w:rsidP="004A513A">
      <w:pPr>
        <w:shd w:val="clear" w:color="auto" w:fill="FFFFFF"/>
        <w:spacing w:before="240" w:after="120"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PRILOGA</w:t>
      </w:r>
    </w:p>
    <w:p w:rsidR="004A513A" w:rsidRPr="002C431D" w:rsidRDefault="004A513A" w:rsidP="00015E4B">
      <w:pPr>
        <w:shd w:val="clear" w:color="auto" w:fill="FFFFFF"/>
        <w:spacing w:before="240" w:after="120"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»PRILOGA 4</w:t>
      </w:r>
    </w:p>
    <w:p w:rsidR="004A513A" w:rsidRPr="002C431D" w:rsidRDefault="004A513A" w:rsidP="004A513A">
      <w:pPr>
        <w:shd w:val="clear" w:color="auto" w:fill="FFFFFF"/>
        <w:spacing w:before="240" w:after="120"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SPREMLJANJE IN SPOROČANJE EMISIJ ONESNAŽEVAL ZRAKA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A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letnega poročanja o emisijah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3562"/>
        <w:gridCol w:w="1507"/>
        <w:gridCol w:w="1357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1D63AB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015E4B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Skupne nacionalne emisije po vrstah virov po NFR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</w:t>
            </w:r>
            <w:r w:rsidRPr="002C431D">
              <w:rPr>
                <w:rFonts w:cs="Arial"/>
                <w:szCs w:val="20"/>
                <w:lang w:val="sl-SI" w:eastAsia="sl-SI"/>
              </w:rPr>
              <w:t>)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2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329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88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12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NMVOC, NH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CO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329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88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12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3420"/>
            </w:tblGrid>
            <w:tr w:rsidR="004A513A" w:rsidRPr="00015E4B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– 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FF1F8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POP (</w:t>
                  </w:r>
                  <w:r w:rsidR="004A513A"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4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) (skupni PAH (</w:t>
                  </w:r>
                  <w:r w:rsidR="004A513A"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5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), benzo(a)piren, benzo(b)fluoranten, benzo(k)fluoranten, indeno(1,2,3-cd)piren, dioksini/furani, PCB (</w:t>
                  </w:r>
                  <w:r w:rsidR="004A513A"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6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), HCB (</w:t>
                  </w:r>
                  <w:r w:rsidR="004A513A"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7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))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B37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 xml:space="preserve">Letno, od leta 1990 do leta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015E4B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274625">
              <w:rPr>
                <w:rFonts w:cs="Arial"/>
                <w:szCs w:val="20"/>
                <w:lang w:val="sl-SI" w:eastAsia="sl-SI"/>
              </w:rPr>
              <w:t>1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5. februar (</w:t>
            </w:r>
            <w:r w:rsidR="004A513A" w:rsidRPr="002C431D">
              <w:rPr>
                <w:rFonts w:cs="Arial"/>
                <w:szCs w:val="20"/>
                <w:vertAlign w:val="superscript"/>
                <w:lang w:val="sl-SI" w:eastAsia="sl-SI"/>
              </w:rPr>
              <w:t>9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Skupne nacionalne emisije po vrstah virov po NFR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2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329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88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12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8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  <w:r w:rsidR="001D63AB">
                    <w:rPr>
                      <w:rFonts w:cs="Arial"/>
                      <w:szCs w:val="20"/>
                      <w:lang w:val="sl-SI" w:eastAsia="sl-SI"/>
                    </w:rPr>
                    <w:t>,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 in</w:t>
                  </w:r>
                  <w:r w:rsidR="00015E4B"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BC</w:t>
                  </w:r>
                  <w:r w:rsidR="00015E4B"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5D5ECB">
                    <w:rPr>
                      <w:rFonts w:cs="Arial"/>
                      <w:szCs w:val="20"/>
                      <w:lang w:val="sl-SI" w:eastAsia="sl-SI"/>
                    </w:rPr>
                    <w:t>(</w:t>
                  </w:r>
                  <w:r w:rsidR="00015E4B" w:rsidRPr="002C431D">
                    <w:rPr>
                      <w:rFonts w:cs="Arial"/>
                      <w:szCs w:val="20"/>
                      <w:lang w:val="sl-SI" w:eastAsia="sl-SI"/>
                    </w:rPr>
                    <w:t>če je na voljo</w:t>
                  </w:r>
                  <w:r w:rsidR="005D5ECB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B37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 xml:space="preserve">Letno, od leta 2000 do leta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februar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9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</w:tbl>
    <w:p w:rsidR="004A513A" w:rsidRPr="002C431D" w:rsidRDefault="004A513A" w:rsidP="004A513A">
      <w:pPr>
        <w:shd w:val="clear" w:color="auto" w:fill="FFFFFF"/>
        <w:spacing w:before="100" w:beforeAutospacing="1" w:after="100" w:afterAutospacing="1" w:line="240" w:lineRule="auto"/>
        <w:rPr>
          <w:rFonts w:cs="Arial"/>
          <w:szCs w:val="20"/>
          <w:lang w:val="sl-SI" w:eastAsia="sl-SI"/>
        </w:rPr>
      </w:pP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B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letnega poročanja o emisijah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995"/>
        <w:gridCol w:w="2086"/>
        <w:gridCol w:w="1370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Skupne nacionalne emisije po vrstah virov po NFR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10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53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015E4B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težke kovine (As, Cr, Cu, Ni, Se in Zn ter njihove spojine) (</w:t>
                  </w:r>
                  <w:r w:rsidR="004A513A"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11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2774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322" w:type="pct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678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TSP (</w:t>
                  </w:r>
                  <w:r w:rsidRPr="002C431D">
                    <w:rPr>
                      <w:rFonts w:cs="Arial"/>
                      <w:szCs w:val="20"/>
                      <w:vertAlign w:val="superscript"/>
                      <w:lang w:val="sl-SI" w:eastAsia="sl-SI"/>
                    </w:rPr>
                    <w:t>12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Letno, od leta 1990 (2000 za TSP) do leta poročanja minus 2 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februar</w:t>
            </w:r>
          </w:p>
        </w:tc>
      </w:tr>
    </w:tbl>
    <w:p w:rsidR="004A513A" w:rsidRPr="002C431D" w:rsidRDefault="004A513A" w:rsidP="004A513A">
      <w:pPr>
        <w:shd w:val="clear" w:color="auto" w:fill="FFFFFF"/>
        <w:spacing w:before="100" w:beforeAutospacing="1" w:after="100" w:afterAutospacing="1" w:line="240" w:lineRule="auto"/>
        <w:rPr>
          <w:rFonts w:cs="Arial"/>
          <w:szCs w:val="20"/>
          <w:lang w:val="sl-SI" w:eastAsia="sl-SI"/>
        </w:rPr>
      </w:pP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C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poročanja o emisijah in projekcijah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961"/>
        <w:gridCol w:w="2106"/>
        <w:gridCol w:w="1337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okvir/ciljna 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1D63AB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Podatki o emisijah državne merilne mreže po vrstah virov (GNFR)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015E4B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NMVOC, CO, NH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2775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66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34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015E4B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– 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015E4B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POP (skupni PAH, HCB, PCB, dioksini/furani)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633"/>
            </w:tblGrid>
            <w:tr w:rsidR="004A513A" w:rsidRPr="00015E4B" w:rsidTr="006C3B9D">
              <w:trPr>
                <w:tblCellSpacing w:w="0" w:type="dxa"/>
              </w:trPr>
              <w:tc>
                <w:tcPr>
                  <w:tcW w:w="508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492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BC (če je na voljo)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3AB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 xml:space="preserve">Vsaka štiri leta za leto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(X – 2)</w:t>
            </w:r>
            <w:r w:rsidR="001D63AB">
              <w:rPr>
                <w:rFonts w:cs="Arial"/>
                <w:szCs w:val="20"/>
                <w:lang w:val="sl-SI" w:eastAsia="sl-SI"/>
              </w:rPr>
              <w:t>;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1. maj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13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F47713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 xml:space="preserve">Veliki točkovni viri po </w:t>
            </w: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>viru kategorije (GNFR)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lastRenderedPageBreak/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FF1F8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NMVOC, CO, NH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 xml:space="preserve">,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lastRenderedPageBreak/>
                    <w:t>PM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2775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66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34" w:type="pct"/>
                  <w:hideMark/>
                </w:tcPr>
                <w:p w:rsidR="004A513A" w:rsidRPr="002C431D" w:rsidRDefault="001D63AB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015E4B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FF1F8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POP (skupni PAH, HCB, PCB, dioksini/furani)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633"/>
            </w:tblGrid>
            <w:tr w:rsidR="004A513A" w:rsidRPr="00015E4B" w:rsidTr="006C3B9D">
              <w:trPr>
                <w:tblCellSpacing w:w="0" w:type="dxa"/>
              </w:trPr>
              <w:tc>
                <w:tcPr>
                  <w:tcW w:w="508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492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BC (če je na voljo)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3AB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 xml:space="preserve">Vsaka štiri leta za leto poročanja minus 2 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>(X – 2)</w:t>
            </w:r>
            <w:r w:rsidR="001D63AB">
              <w:rPr>
                <w:rFonts w:cs="Arial"/>
                <w:szCs w:val="20"/>
                <w:lang w:val="sl-SI" w:eastAsia="sl-SI"/>
              </w:rPr>
              <w:t>;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>1. maj (</w:t>
            </w:r>
            <w:r w:rsidRPr="002C431D">
              <w:rPr>
                <w:rFonts w:cs="Arial"/>
                <w:szCs w:val="20"/>
                <w:vertAlign w:val="superscript"/>
                <w:lang w:val="sl-SI" w:eastAsia="sl-SI"/>
              </w:rPr>
              <w:t>13</w:t>
            </w:r>
            <w:r w:rsidRPr="002C431D">
              <w:rPr>
                <w:rFonts w:cs="Arial"/>
                <w:szCs w:val="20"/>
                <w:lang w:val="sl-SI" w:eastAsia="sl-SI"/>
              </w:rPr>
              <w:t>)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lastRenderedPageBreak/>
              <w:t>Projekcije emisij po združeni NFR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819"/>
            </w:tblGrid>
            <w:tr w:rsidR="004A513A" w:rsidRPr="002C431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FF1F8A" w:rsidP="00603B03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NH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, NMVOC, PM</w:t>
                  </w:r>
                  <w:r w:rsidR="004A513A"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  <w:r w:rsidR="00603B03">
                    <w:rPr>
                      <w:rFonts w:cs="Arial"/>
                      <w:szCs w:val="20"/>
                      <w:lang w:val="sl-SI" w:eastAsia="sl-SI"/>
                    </w:rPr>
                    <w:t xml:space="preserve"> in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 xml:space="preserve"> BC</w:t>
                  </w:r>
                  <w:r w:rsidR="00603B03">
                    <w:rPr>
                      <w:rFonts w:cs="Arial"/>
                      <w:szCs w:val="20"/>
                      <w:lang w:val="sl-SI" w:eastAsia="sl-SI"/>
                    </w:rPr>
                    <w:t xml:space="preserve"> (če je na voljo)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Vsaki dve leti za leta projekcij 2020, 2025, 2030</w:t>
            </w:r>
            <w:r w:rsidR="00603B03">
              <w:rPr>
                <w:rFonts w:cs="Arial"/>
                <w:szCs w:val="20"/>
                <w:lang w:val="sl-SI" w:eastAsia="sl-SI"/>
              </w:rPr>
              <w:t>,</w:t>
            </w:r>
            <w:r w:rsidR="00015E4B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C431D">
              <w:rPr>
                <w:rFonts w:cs="Arial"/>
                <w:szCs w:val="20"/>
                <w:lang w:val="sl-SI" w:eastAsia="sl-SI"/>
              </w:rPr>
              <w:t>ter če so na voljo, za leti 2040 in 2050</w:t>
            </w:r>
            <w:r w:rsidR="001D63AB">
              <w:rPr>
                <w:rFonts w:cs="Arial"/>
                <w:szCs w:val="20"/>
                <w:lang w:val="sl-SI" w:eastAsia="sl-SI"/>
              </w:rPr>
              <w:t>;</w:t>
            </w:r>
          </w:p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marec</w:t>
            </w:r>
          </w:p>
        </w:tc>
      </w:tr>
    </w:tbl>
    <w:p w:rsidR="004A513A" w:rsidRPr="002C431D" w:rsidRDefault="004A513A" w:rsidP="004A513A">
      <w:pPr>
        <w:shd w:val="clear" w:color="auto" w:fill="FFFFFF"/>
        <w:spacing w:before="100" w:beforeAutospacing="1" w:after="100" w:afterAutospacing="1" w:line="240" w:lineRule="auto"/>
        <w:rPr>
          <w:rFonts w:cs="Arial"/>
          <w:szCs w:val="20"/>
          <w:lang w:val="sl-SI" w:eastAsia="sl-SI"/>
        </w:rPr>
      </w:pP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i/>
          <w:iCs/>
          <w:szCs w:val="20"/>
          <w:lang w:val="sl-SI" w:eastAsia="sl-SI"/>
        </w:rPr>
        <w:t>Tabela D</w:t>
      </w:r>
    </w:p>
    <w:p w:rsidR="004A513A" w:rsidRPr="002C431D" w:rsidRDefault="004A513A" w:rsidP="004A513A">
      <w:pPr>
        <w:shd w:val="clear" w:color="auto" w:fill="FFFFFF"/>
        <w:spacing w:before="120" w:after="120" w:line="240" w:lineRule="auto"/>
        <w:jc w:val="center"/>
        <w:rPr>
          <w:rFonts w:cs="Arial"/>
          <w:szCs w:val="20"/>
          <w:lang w:val="sl-SI" w:eastAsia="sl-SI"/>
        </w:rPr>
      </w:pPr>
      <w:r w:rsidRPr="002C431D">
        <w:rPr>
          <w:rFonts w:cs="Arial"/>
          <w:b/>
          <w:bCs/>
          <w:szCs w:val="20"/>
          <w:lang w:val="sl-SI" w:eastAsia="sl-SI"/>
        </w:rPr>
        <w:t>Zahteve glede letnega poročanja o informativnem poročilu o evidencah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3901"/>
        <w:gridCol w:w="1756"/>
        <w:gridCol w:w="1329"/>
      </w:tblGrid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Časovni okvir/ciljna 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1D63AB">
            <w:pPr>
              <w:spacing w:before="60" w:after="60" w:line="240" w:lineRule="auto"/>
              <w:ind w:right="195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C431D">
              <w:rPr>
                <w:rFonts w:cs="Arial"/>
                <w:b/>
                <w:bCs/>
                <w:szCs w:val="20"/>
                <w:lang w:val="sl-SI" w:eastAsia="sl-SI"/>
              </w:rPr>
              <w:t>Datum poročanja</w:t>
            </w:r>
          </w:p>
        </w:tc>
      </w:tr>
      <w:tr w:rsidR="004A513A" w:rsidRPr="002C431D" w:rsidTr="00CF1C7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Informativno poročilo o evidencah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3701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19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81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SO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NO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X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NMVOC, NH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3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CO,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2,5</w:t>
                  </w: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, PM</w:t>
                  </w:r>
                  <w:r w:rsidRPr="002C431D">
                    <w:rPr>
                      <w:rFonts w:cs="Arial"/>
                      <w:szCs w:val="20"/>
                      <w:vertAlign w:val="subscript"/>
                      <w:lang w:val="sl-SI" w:eastAsia="sl-SI"/>
                    </w:rPr>
                    <w:t>10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3701"/>
            </w:tblGrid>
            <w:tr w:rsidR="004A513A" w:rsidRPr="002C431D" w:rsidTr="006C3B9D">
              <w:trPr>
                <w:tblCellSpacing w:w="0" w:type="dxa"/>
              </w:trPr>
              <w:tc>
                <w:tcPr>
                  <w:tcW w:w="219" w:type="pct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4781" w:type="pct"/>
                  <w:hideMark/>
                </w:tcPr>
                <w:p w:rsidR="004A513A" w:rsidRPr="002C431D" w:rsidRDefault="004A513A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težke kovine (Cd, Hg, Pb) in BC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3759"/>
            </w:tblGrid>
            <w:tr w:rsidR="004A513A" w:rsidRPr="00015E4B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BB17E1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POP (skupni PAH, benzo(a)piren, benzo(b)fluoranten, benzo(k)fluoranten, indeno(1,2,3-cd)piren, dioksini/furani, PCB, HCB)</w:t>
                  </w:r>
                </w:p>
              </w:tc>
            </w:tr>
          </w:tbl>
          <w:p w:rsidR="004A513A" w:rsidRPr="002C431D" w:rsidRDefault="004A513A" w:rsidP="00015E4B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3759"/>
            </w:tblGrid>
            <w:tr w:rsidR="004A513A" w:rsidRPr="006C3B9D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BE7F0C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BB17E1" w:rsidP="00015E4B">
                  <w:pPr>
                    <w:spacing w:before="120" w:line="240" w:lineRule="auto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F47713">
                    <w:rPr>
                      <w:rFonts w:cs="Arial"/>
                      <w:szCs w:val="20"/>
                      <w:lang w:val="sl-SI" w:eastAsia="sl-SI"/>
                    </w:rPr>
                    <w:t>č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e je na voljo, težke kovine (As, Cr, Cu, Ni, Se in Zn ter njihove spojine) in TSP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Vsako leto</w:t>
            </w:r>
          </w:p>
          <w:p w:rsidR="004A513A" w:rsidRPr="002C431D" w:rsidRDefault="004A513A" w:rsidP="001D63AB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(kakor je prikazano v tabelah A</w:t>
            </w:r>
            <w:r w:rsidR="001D63AB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2C431D">
              <w:rPr>
                <w:rFonts w:cs="Arial"/>
                <w:szCs w:val="20"/>
                <w:lang w:val="sl-SI" w:eastAsia="sl-SI"/>
              </w:rPr>
              <w:t>B</w:t>
            </w:r>
            <w:r w:rsidR="001D63AB">
              <w:rPr>
                <w:rFonts w:cs="Arial"/>
                <w:szCs w:val="20"/>
                <w:lang w:val="sl-SI" w:eastAsia="sl-SI"/>
              </w:rPr>
              <w:t xml:space="preserve"> in </w:t>
            </w:r>
            <w:r w:rsidRPr="002C431D">
              <w:rPr>
                <w:rFonts w:cs="Arial"/>
                <w:szCs w:val="20"/>
                <w:lang w:val="sl-SI" w:eastAsia="sl-SI"/>
              </w:rPr>
              <w:t>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13A" w:rsidRPr="002C431D" w:rsidRDefault="004A513A" w:rsidP="004A513A">
            <w:pPr>
              <w:spacing w:before="60" w:after="60" w:line="240" w:lineRule="auto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15. marec</w:t>
            </w:r>
          </w:p>
        </w:tc>
      </w:tr>
    </w:tbl>
    <w:p w:rsidR="004A513A" w:rsidRPr="002C431D" w:rsidRDefault="00C4054E" w:rsidP="004A513A">
      <w:pPr>
        <w:spacing w:before="240" w:after="60"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pict>
          <v:rect id="_x0000_i1025" style="width:241.65pt;height:.75pt" o:hrpct="0" o:hrstd="t" o:hrnoshade="t" o:hr="t" fillcolor="black" stroked="f"/>
        </w:pic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</w:t>
      </w:r>
      <w:r w:rsidRPr="002C431D">
        <w:rPr>
          <w:rFonts w:cs="Arial"/>
          <w:szCs w:val="20"/>
          <w:lang w:val="sl-SI" w:eastAsia="sl-SI"/>
        </w:rPr>
        <w:t>) Nomenklatura za poročanje (NFR), kot je določena v Konvenciji LRTAP.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2</w:t>
      </w:r>
      <w:r w:rsidRPr="002C431D">
        <w:rPr>
          <w:rFonts w:cs="Arial"/>
          <w:szCs w:val="20"/>
          <w:lang w:val="sl-SI" w:eastAsia="sl-SI"/>
        </w:rPr>
        <w:t>) Naravne emisije se sporočajo v skladu z metodologijami, določenimi v Konvenciji LRTAP in priročniku EMEP/EEA o evidencah emisij onesnaževal zraka. Ne vključijo se v skupne nacionalne vsote, sporočajo se ločeno.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3</w:t>
      </w:r>
      <w:r w:rsidRPr="002C431D">
        <w:rPr>
          <w:rFonts w:cs="Arial"/>
          <w:szCs w:val="20"/>
          <w:lang w:val="sl-SI" w:eastAsia="sl-SI"/>
        </w:rPr>
        <w:t>) Cd (kadmij), Hg (živo srebro), Pb (svinec).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4</w:t>
      </w:r>
      <w:r w:rsidRPr="002C431D">
        <w:rPr>
          <w:rFonts w:cs="Arial"/>
          <w:szCs w:val="20"/>
          <w:lang w:val="sl-SI" w:eastAsia="sl-SI"/>
        </w:rPr>
        <w:t>) POP (obstojna organska onesnaževala).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5</w:t>
      </w:r>
      <w:r w:rsidRPr="002C431D">
        <w:rPr>
          <w:rFonts w:cs="Arial"/>
          <w:szCs w:val="20"/>
          <w:lang w:val="sl-SI" w:eastAsia="sl-SI"/>
        </w:rPr>
        <w:t>) PAH (policiklični aromatski ogljikovodiki).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6</w:t>
      </w:r>
      <w:r w:rsidRPr="002C431D">
        <w:rPr>
          <w:rFonts w:cs="Arial"/>
          <w:szCs w:val="20"/>
          <w:lang w:val="sl-SI" w:eastAsia="sl-SI"/>
        </w:rPr>
        <w:t>) PCB (poliklorirani bifenili).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7</w:t>
      </w:r>
      <w:r w:rsidRPr="002C431D">
        <w:rPr>
          <w:rFonts w:cs="Arial"/>
          <w:szCs w:val="20"/>
          <w:lang w:val="sl-SI" w:eastAsia="sl-SI"/>
        </w:rPr>
        <w:t>) HCB (heksaklorobenzen).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8</w:t>
      </w:r>
      <w:r w:rsidRPr="002C431D">
        <w:rPr>
          <w:rFonts w:cs="Arial"/>
          <w:szCs w:val="20"/>
          <w:lang w:val="sl-SI" w:eastAsia="sl-SI"/>
        </w:rPr>
        <w:t>) </w:t>
      </w:r>
      <w:r w:rsidR="001D63AB">
        <w:rPr>
          <w:rFonts w:cs="Arial"/>
          <w:szCs w:val="20"/>
          <w:lang w:val="sl-SI" w:eastAsia="sl-SI"/>
        </w:rPr>
        <w:t>»</w:t>
      </w:r>
      <w:r w:rsidRPr="002C431D">
        <w:rPr>
          <w:rFonts w:cs="Arial"/>
          <w:szCs w:val="20"/>
          <w:lang w:val="sl-SI" w:eastAsia="sl-SI"/>
        </w:rPr>
        <w:t>PM</w:t>
      </w:r>
      <w:r w:rsidRPr="002C431D">
        <w:rPr>
          <w:rFonts w:cs="Arial"/>
          <w:szCs w:val="20"/>
          <w:vertAlign w:val="subscript"/>
          <w:lang w:val="sl-SI" w:eastAsia="sl-SI"/>
        </w:rPr>
        <w:t>10</w:t>
      </w:r>
      <w:r w:rsidR="001D63AB">
        <w:rPr>
          <w:rFonts w:cs="Arial"/>
          <w:szCs w:val="20"/>
          <w:lang w:val="sl-SI" w:eastAsia="sl-SI"/>
        </w:rPr>
        <w:t>«</w:t>
      </w:r>
      <w:r w:rsidRPr="002C431D">
        <w:rPr>
          <w:rFonts w:cs="Arial"/>
          <w:szCs w:val="20"/>
          <w:lang w:val="sl-SI" w:eastAsia="sl-SI"/>
        </w:rPr>
        <w:t xml:space="preserve"> pomeni delce z aerodinamičnim premerom 10 mikrometrov (μm) ali manj.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9</w:t>
      </w:r>
      <w:r w:rsidRPr="002C431D">
        <w:rPr>
          <w:rFonts w:cs="Arial"/>
          <w:szCs w:val="20"/>
          <w:lang w:val="sl-SI" w:eastAsia="sl-SI"/>
        </w:rPr>
        <w:t>) Ponovne predložitve zaradi napak se opravijo najpozneje v štirih tednih in vključujejo jasno razlago sprememb.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10</w:t>
      </w:r>
      <w:r w:rsidRPr="002C431D">
        <w:rPr>
          <w:rFonts w:cs="Arial"/>
          <w:szCs w:val="20"/>
          <w:lang w:val="sl-SI" w:eastAsia="sl-SI"/>
        </w:rPr>
        <w:t>) Naravne emisije se sporočajo v skladu z metodologijami, določenimi v Konvenciji LRTAP in priročniku EMEP/EEA o evidencah emisij onesnaževal zraka. Ne vključijo se v skupne nacionalne vsote, sporočajo se ločeno.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11</w:t>
      </w:r>
      <w:r w:rsidRPr="002C431D">
        <w:rPr>
          <w:rFonts w:cs="Arial"/>
          <w:szCs w:val="20"/>
          <w:lang w:val="sl-SI" w:eastAsia="sl-SI"/>
        </w:rPr>
        <w:t>) As (arzen), Cr (krom), Cu (baker), Ni (nikelj), Se (selen)</w:t>
      </w:r>
      <w:r w:rsidR="001D63AB">
        <w:rPr>
          <w:rFonts w:cs="Arial"/>
          <w:szCs w:val="20"/>
          <w:lang w:val="sl-SI" w:eastAsia="sl-SI"/>
        </w:rPr>
        <w:t>,</w:t>
      </w:r>
      <w:r w:rsidRPr="002C431D">
        <w:rPr>
          <w:rFonts w:cs="Arial"/>
          <w:szCs w:val="20"/>
          <w:lang w:val="sl-SI" w:eastAsia="sl-SI"/>
        </w:rPr>
        <w:t xml:space="preserve"> Zn (cink).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12</w:t>
      </w:r>
      <w:r w:rsidRPr="002C431D">
        <w:rPr>
          <w:rFonts w:cs="Arial"/>
          <w:szCs w:val="20"/>
          <w:lang w:val="sl-SI" w:eastAsia="sl-SI"/>
        </w:rPr>
        <w:t>) TSP (celotni prah).</w:t>
      </w:r>
    </w:p>
    <w:p w:rsidR="004A513A" w:rsidRPr="002C431D" w:rsidRDefault="004A513A" w:rsidP="004A513A">
      <w:pPr>
        <w:shd w:val="clear" w:color="auto" w:fill="FFFFFF"/>
        <w:spacing w:before="60" w:after="60" w:line="240" w:lineRule="auto"/>
        <w:jc w:val="both"/>
        <w:rPr>
          <w:rFonts w:cs="Arial"/>
          <w:szCs w:val="20"/>
          <w:lang w:val="sl-SI" w:eastAsia="sl-SI"/>
        </w:rPr>
      </w:pPr>
      <w:r w:rsidRPr="002C431D">
        <w:rPr>
          <w:rFonts w:cs="Arial"/>
          <w:szCs w:val="20"/>
          <w:lang w:val="sl-SI" w:eastAsia="sl-SI"/>
        </w:rPr>
        <w:t>(</w:t>
      </w:r>
      <w:r w:rsidRPr="002C431D">
        <w:rPr>
          <w:rFonts w:cs="Arial"/>
          <w:szCs w:val="20"/>
          <w:vertAlign w:val="superscript"/>
          <w:lang w:val="sl-SI" w:eastAsia="sl-SI"/>
        </w:rPr>
        <w:t>13</w:t>
      </w:r>
      <w:r w:rsidRPr="002C431D">
        <w:rPr>
          <w:rFonts w:cs="Arial"/>
          <w:szCs w:val="20"/>
          <w:lang w:val="sl-SI" w:eastAsia="sl-SI"/>
        </w:rPr>
        <w:t>) Ponovne predložitve zaradi napak se opravijo v štirih tednih in vključujejo jasno razlago sprememb.</w:t>
      </w:r>
    </w:p>
    <w:p w:rsidR="004A513A" w:rsidRPr="002C431D" w:rsidRDefault="004A513A" w:rsidP="004A513A">
      <w:pPr>
        <w:spacing w:after="200" w:line="276" w:lineRule="auto"/>
        <w:rPr>
          <w:rFonts w:eastAsia="Calibri" w:cs="Arial"/>
          <w:iCs/>
          <w:noProof/>
          <w:szCs w:val="20"/>
          <w:lang w:val="sl-SI"/>
        </w:rPr>
      </w:pPr>
    </w:p>
    <w:p w:rsidR="004A513A" w:rsidRPr="008072D3" w:rsidRDefault="004A513A" w:rsidP="008072D3">
      <w:pPr>
        <w:spacing w:after="200" w:line="276" w:lineRule="auto"/>
        <w:rPr>
          <w:rFonts w:eastAsia="Calibri" w:cs="Arial"/>
          <w:iCs/>
          <w:noProof/>
          <w:szCs w:val="20"/>
          <w:lang w:val="sl-SI"/>
        </w:rPr>
      </w:pPr>
      <w:r w:rsidRPr="002C431D">
        <w:rPr>
          <w:rFonts w:eastAsia="Calibri" w:cs="Arial"/>
          <w:iCs/>
          <w:noProof/>
          <w:szCs w:val="20"/>
          <w:lang w:val="sl-SI"/>
        </w:rPr>
        <w:br w:type="page"/>
      </w:r>
      <w:r w:rsidRPr="002C431D">
        <w:rPr>
          <w:rFonts w:cs="Arial"/>
          <w:b/>
          <w:bCs/>
          <w:color w:val="000000"/>
          <w:szCs w:val="20"/>
          <w:lang w:val="sl-SI" w:eastAsia="sl-SI"/>
        </w:rPr>
        <w:lastRenderedPageBreak/>
        <w:t>PRILOGA 5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t>METODOLOGIJE ZA PRIPRAVO IN POSODABLJANJE NACIONALNIH EVIDENC IN PROJEKCIJ EMISIJ</w:t>
      </w:r>
      <w:r w:rsidR="00DE06DE">
        <w:rPr>
          <w:rFonts w:cs="Arial"/>
          <w:b/>
          <w:bCs/>
          <w:color w:val="000000"/>
          <w:szCs w:val="20"/>
          <w:lang w:val="sl-SI" w:eastAsia="sl-SI"/>
        </w:rPr>
        <w:t xml:space="preserve"> TER</w:t>
      </w:r>
      <w:r w:rsidRPr="002C431D">
        <w:rPr>
          <w:rFonts w:cs="Arial"/>
          <w:b/>
          <w:bCs/>
          <w:color w:val="000000"/>
          <w:szCs w:val="20"/>
          <w:lang w:val="sl-SI" w:eastAsia="sl-SI"/>
        </w:rPr>
        <w:t xml:space="preserve"> INFORMATIVNIH POROČIL O EVIDENCAH IZ 8</w:t>
      </w:r>
      <w:r w:rsidR="001D63AB">
        <w:rPr>
          <w:rFonts w:cs="Arial"/>
          <w:b/>
          <w:bCs/>
          <w:color w:val="000000"/>
          <w:szCs w:val="20"/>
          <w:lang w:val="sl-SI" w:eastAsia="sl-SI"/>
        </w:rPr>
        <w:t>.</w:t>
      </w:r>
      <w:r w:rsidRPr="002C431D">
        <w:rPr>
          <w:rFonts w:cs="Arial"/>
          <w:b/>
          <w:bCs/>
          <w:color w:val="000000"/>
          <w:szCs w:val="20"/>
          <w:lang w:val="sl-SI" w:eastAsia="sl-SI"/>
        </w:rPr>
        <w:t>a ČLENA</w:t>
      </w:r>
    </w:p>
    <w:p w:rsidR="004A513A" w:rsidRPr="002C431D" w:rsidRDefault="004A513A" w:rsidP="004A513A">
      <w:pPr>
        <w:spacing w:before="12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 xml:space="preserve">Za onesnaževala iz </w:t>
      </w:r>
      <w:r w:rsidR="00DE06DE">
        <w:rPr>
          <w:rFonts w:cs="Arial"/>
          <w:color w:val="000000"/>
          <w:szCs w:val="20"/>
          <w:lang w:val="sl-SI" w:eastAsia="sl-SI"/>
        </w:rPr>
        <w:t>p</w:t>
      </w:r>
      <w:r w:rsidRPr="002C431D">
        <w:rPr>
          <w:rFonts w:cs="Arial"/>
          <w:color w:val="000000"/>
          <w:szCs w:val="20"/>
          <w:lang w:val="sl-SI" w:eastAsia="sl-SI"/>
        </w:rPr>
        <w:t xml:space="preserve">riloge 4 se pripravijo nacionalne evidence emisij, nacionalne projekcije emisij, prostorsko razčlenjene nacionalne evidence emisij, evidence velikih točkovnih virov in informativna poročila o evidencah z uporabo metodologij, ki so jih sprejele pogodbenice Konvencije LRTAP (v nadaljnjem besedilu: smernice za poročanje v okviru EMEP), od njih pa se zahteva tudi uporaba priročnika EMEP/EEA o evidencah emisij onesnaževal zraka (v nadaljnjem besedilu: priročnik EMEP/EEA), navedenega v </w:t>
      </w:r>
      <w:r w:rsidR="00DE06DE">
        <w:rPr>
          <w:rFonts w:cs="Arial"/>
          <w:color w:val="000000"/>
          <w:szCs w:val="20"/>
          <w:lang w:val="sl-SI" w:eastAsia="sl-SI"/>
        </w:rPr>
        <w:t>k</w:t>
      </w:r>
      <w:r w:rsidRPr="002C431D">
        <w:rPr>
          <w:rFonts w:cs="Arial"/>
          <w:color w:val="000000"/>
          <w:szCs w:val="20"/>
          <w:lang w:val="sl-SI" w:eastAsia="sl-SI"/>
        </w:rPr>
        <w:t>onvenciji. Poleg tega se dodatne informacije, zlasti podatki o dejavnosti naprav, ki so potrebne za oceno nacionalnih evidenc in projekcij emisij, pripravijo v skladu z istimi smernicami.</w:t>
      </w:r>
    </w:p>
    <w:p w:rsidR="004A513A" w:rsidRPr="002C431D" w:rsidRDefault="004A513A" w:rsidP="004A513A">
      <w:pPr>
        <w:spacing w:before="12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 xml:space="preserve">Zanašanje na smernice za poročanje v okviru EMEP ne posega v dodatne pogoje, določene v tej prilogi, niti v zahteve v zvezi z nomenklaturo za poročanje, časovnimi okviri in datumi poročanja, določenimi v </w:t>
      </w:r>
      <w:r w:rsidR="00DE06DE">
        <w:rPr>
          <w:rFonts w:cs="Arial"/>
          <w:color w:val="000000"/>
          <w:szCs w:val="20"/>
          <w:lang w:val="sl-SI" w:eastAsia="sl-SI"/>
        </w:rPr>
        <w:t>p</w:t>
      </w:r>
      <w:r w:rsidRPr="002C431D">
        <w:rPr>
          <w:rFonts w:cs="Arial"/>
          <w:color w:val="000000"/>
          <w:szCs w:val="20"/>
          <w:lang w:val="sl-SI" w:eastAsia="sl-SI"/>
        </w:rPr>
        <w:t>rilogi 4.</w:t>
      </w:r>
    </w:p>
    <w:p w:rsidR="004A513A" w:rsidRPr="006C3B9D" w:rsidRDefault="004A513A" w:rsidP="006C3B9D">
      <w:pPr>
        <w:pStyle w:val="Odstavekseznama"/>
        <w:numPr>
          <w:ilvl w:val="0"/>
          <w:numId w:val="27"/>
        </w:num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6C3B9D">
        <w:rPr>
          <w:rFonts w:cs="Arial"/>
          <w:b/>
          <w:bCs/>
          <w:color w:val="000000"/>
          <w:szCs w:val="20"/>
          <w:lang w:val="sl-SI" w:eastAsia="sl-SI"/>
        </w:rPr>
        <w:t xml:space="preserve">DEL 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t>Nacionalne letne evidence emisij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73"/>
        <w:gridCol w:w="8318"/>
      </w:tblGrid>
      <w:tr w:rsidR="004A513A" w:rsidRPr="002C431D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Nacionalne evidence emisij morajo biti pregledne, usklajene, primerljive, popolne in točne.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015E4B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2.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Emisije iz </w:t>
            </w:r>
            <w:r>
              <w:rPr>
                <w:rFonts w:cs="Arial"/>
                <w:szCs w:val="20"/>
                <w:lang w:val="sl-SI" w:eastAsia="sl-SI"/>
              </w:rPr>
              <w:t>nekater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ih ključnih kategorij se izračunajo v skladu z metodologijami, določenimi v priročniku EMEP/EEA, pri čemer se uporabi metodologija stopnje 2 ali višja (podrobnejša) metodologija.</w:t>
            </w:r>
          </w:p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Lahko se uporabljajo druge znanstveno utemeljene in združljive metodologije za vzpostavitev nacionalnih evidenc emisij, kadar te metodologije zagotavljajo bolj točne ocene od privzetih metodologij iz priročnika EMEP/EEA.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015E4B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3.</w:t>
            </w:r>
          </w:p>
        </w:tc>
        <w:tc>
          <w:tcPr>
            <w:tcW w:w="0" w:type="auto"/>
            <w:hideMark/>
          </w:tcPr>
          <w:p w:rsidR="004A513A" w:rsidRPr="002C431D" w:rsidRDefault="00DE06DE" w:rsidP="00DE06DE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Emisije iz prometa se izračunajo in sporočijo v skladu z nacionalnimi energetskimi bilancami, sporočenimi E</w:t>
            </w:r>
            <w:r w:rsidR="00015E4B">
              <w:rPr>
                <w:rFonts w:cs="Arial"/>
                <w:szCs w:val="20"/>
                <w:lang w:val="sl-SI" w:eastAsia="sl-SI"/>
              </w:rPr>
              <w:t>u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rostatu.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015E4B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4.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Emisije iz cestnega prometa se izračunajo in sporočijo na podlagi goriv, prodanih v Republiki Sloveniji. Poleg tega se lahko sporočijo tudi emisije iz cestnega prometa na podlagi porabljenih goriv ali prevoženih kilometrov v Republiki Sloveniji.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015E4B" w:rsidTr="00CF1C7B">
        <w:trPr>
          <w:trHeight w:val="729"/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5.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Letne emisije se sporočajo izražene v veljavni enoti, opredeljeni v predlogi NFR za poročanje iz Konvencije LRTAP.</w:t>
            </w:r>
          </w:p>
        </w:tc>
      </w:tr>
    </w:tbl>
    <w:p w:rsidR="004A513A" w:rsidRPr="006C3B9D" w:rsidRDefault="004A513A" w:rsidP="006C3B9D">
      <w:pPr>
        <w:pStyle w:val="Odstavekseznama"/>
        <w:numPr>
          <w:ilvl w:val="0"/>
          <w:numId w:val="27"/>
        </w:num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6C3B9D">
        <w:rPr>
          <w:rFonts w:cs="Arial"/>
          <w:b/>
          <w:bCs/>
          <w:color w:val="000000"/>
          <w:szCs w:val="20"/>
          <w:lang w:val="sl-SI" w:eastAsia="sl-SI"/>
        </w:rPr>
        <w:t xml:space="preserve">DEL 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t>Nacionalne projekcije emisij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015E4B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1.</w:t>
            </w:r>
          </w:p>
        </w:tc>
        <w:tc>
          <w:tcPr>
            <w:tcW w:w="0" w:type="auto"/>
            <w:hideMark/>
          </w:tcPr>
          <w:p w:rsidR="004A513A" w:rsidRPr="002C431D" w:rsidRDefault="00DE06DE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Nacionalne projekcije emisij so pregledne, usklajene, primerljive, popolne in točne, sporočene informacije pa vsebujejo </w:t>
            </w:r>
            <w:r w:rsidR="00485338">
              <w:rPr>
                <w:rFonts w:cs="Arial"/>
                <w:szCs w:val="20"/>
                <w:lang w:val="sl-SI" w:eastAsia="sl-SI"/>
              </w:rPr>
              <w:t>najmanj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058"/>
            </w:tblGrid>
            <w:tr w:rsidR="004A513A" w:rsidRPr="00015E4B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(a)</w:t>
                  </w:r>
                  <w:bookmarkStart w:id="0" w:name="_GoBack"/>
                  <w:r w:rsidR="00485338">
                    <w:rPr>
                      <w:rFonts w:cs="Arial"/>
                      <w:szCs w:val="20"/>
                      <w:lang w:val="sl-SI" w:eastAsia="sl-SI"/>
                    </w:rPr>
                    <w:t xml:space="preserve">  </w:t>
                  </w:r>
                  <w:bookmarkEnd w:id="0"/>
                </w:p>
              </w:tc>
              <w:tc>
                <w:tcPr>
                  <w:tcW w:w="0" w:type="auto"/>
                  <w:hideMark/>
                </w:tcPr>
                <w:p w:rsidR="004A513A" w:rsidRPr="002C431D" w:rsidRDefault="00015E4B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jasno opredelitev sprejetih in načrtovanih politik ter ukrepov, vključenih v projekcije;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080"/>
            </w:tblGrid>
            <w:tr w:rsidR="004A513A" w:rsidRPr="00015E4B" w:rsidTr="00CF1C7B">
              <w:trPr>
                <w:tblCellSpacing w:w="0" w:type="dxa"/>
              </w:trPr>
              <w:tc>
                <w:tcPr>
                  <w:tcW w:w="133" w:type="pct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(b)</w:t>
                  </w:r>
                </w:p>
              </w:tc>
              <w:tc>
                <w:tcPr>
                  <w:tcW w:w="4867" w:type="pct"/>
                  <w:hideMark/>
                </w:tcPr>
                <w:p w:rsidR="004A513A" w:rsidRPr="002C431D" w:rsidRDefault="00485338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po potrebi rezultate analize občutljivosti, izvedene za projekcije;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vanish/>
                <w:szCs w:val="20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8091"/>
            </w:tblGrid>
            <w:tr w:rsidR="004A513A" w:rsidRPr="00015E4B" w:rsidTr="00CF1C7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513A" w:rsidRPr="002C431D" w:rsidRDefault="004A513A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2C431D">
                    <w:rPr>
                      <w:rFonts w:cs="Arial"/>
                      <w:szCs w:val="20"/>
                      <w:lang w:val="sl-SI" w:eastAsia="sl-SI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4A513A" w:rsidRPr="002C431D" w:rsidRDefault="00485338" w:rsidP="004A513A">
                  <w:pPr>
                    <w:spacing w:before="120"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>
                    <w:rPr>
                      <w:rFonts w:cs="Arial"/>
                      <w:szCs w:val="20"/>
                      <w:lang w:val="sl-SI" w:eastAsia="sl-SI"/>
                    </w:rPr>
                    <w:t xml:space="preserve"> </w:t>
                  </w:r>
                  <w:r w:rsidR="004A513A" w:rsidRPr="002C431D">
                    <w:rPr>
                      <w:rFonts w:cs="Arial"/>
                      <w:szCs w:val="20"/>
                      <w:lang w:val="sl-SI" w:eastAsia="sl-SI"/>
                    </w:rPr>
                    <w:t>opise metodologij, modelov, temeljnih predpostavk ter ključnih vhodnih in izhodnih parametrov.</w:t>
                  </w:r>
                </w:p>
              </w:tc>
            </w:tr>
          </w:tbl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015E4B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2.</w:t>
            </w:r>
          </w:p>
        </w:tc>
        <w:tc>
          <w:tcPr>
            <w:tcW w:w="0" w:type="auto"/>
            <w:hideMark/>
          </w:tcPr>
          <w:p w:rsidR="004A513A" w:rsidRPr="002C431D" w:rsidRDefault="00DE06DE" w:rsidP="00485338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Projekcije emisij se ocenijo in dodajo k zadevnim sektorjem, ki so viri onesnaževanja. V skladu s smernicami, določenimi v priročniku EMEP/EEA, se pripravijo projekcije </w:t>
            </w:r>
            <w:r w:rsidR="00485338">
              <w:rPr>
                <w:rFonts w:cs="Arial"/>
                <w:szCs w:val="20"/>
                <w:lang w:val="sl-SI" w:eastAsia="sl-SI"/>
              </w:rPr>
              <w:t>»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z ukrepi</w:t>
            </w:r>
            <w:r w:rsidR="00485338">
              <w:rPr>
                <w:rFonts w:cs="Arial"/>
                <w:szCs w:val="20"/>
                <w:lang w:val="sl-SI" w:eastAsia="sl-SI"/>
              </w:rPr>
              <w:t>«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 (sprejeti ukrepi) in po potrebi projekcije </w:t>
            </w:r>
            <w:r w:rsidR="00485338">
              <w:rPr>
                <w:rFonts w:cs="Arial"/>
                <w:szCs w:val="20"/>
                <w:lang w:val="sl-SI" w:eastAsia="sl-SI"/>
              </w:rPr>
              <w:t>»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z dodatnimi ukrepi</w:t>
            </w:r>
            <w:r w:rsidR="00485338">
              <w:rPr>
                <w:rFonts w:cs="Arial"/>
                <w:szCs w:val="20"/>
                <w:lang w:val="sl-SI" w:eastAsia="sl-SI"/>
              </w:rPr>
              <w:t>«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 (načrtovani ukrepi) za vsako onesnaževalo.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7"/>
        <w:gridCol w:w="8325"/>
      </w:tblGrid>
      <w:tr w:rsidR="004A513A" w:rsidRPr="00015E4B" w:rsidTr="00CF1C7B">
        <w:trPr>
          <w:tblCellSpacing w:w="0" w:type="dxa"/>
        </w:trPr>
        <w:tc>
          <w:tcPr>
            <w:tcW w:w="0" w:type="auto"/>
            <w:hideMark/>
          </w:tcPr>
          <w:p w:rsidR="004A513A" w:rsidRPr="002C431D" w:rsidRDefault="004A513A" w:rsidP="004A513A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3.</w:t>
            </w:r>
          </w:p>
        </w:tc>
        <w:tc>
          <w:tcPr>
            <w:tcW w:w="0" w:type="auto"/>
            <w:hideMark/>
          </w:tcPr>
          <w:p w:rsidR="004A513A" w:rsidRPr="002C431D" w:rsidRDefault="00DE06DE" w:rsidP="00485338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Nacionalne projekcije emisij so </w:t>
            </w:r>
            <w:r w:rsidR="00485338">
              <w:rPr>
                <w:rFonts w:cs="Arial"/>
                <w:szCs w:val="20"/>
                <w:lang w:val="sl-SI" w:eastAsia="sl-SI"/>
              </w:rPr>
              <w:t xml:space="preserve">v 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sklad</w:t>
            </w:r>
            <w:r w:rsidR="00485338">
              <w:rPr>
                <w:rFonts w:cs="Arial"/>
                <w:szCs w:val="20"/>
                <w:lang w:val="sl-SI" w:eastAsia="sl-SI"/>
              </w:rPr>
              <w:t>u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 xml:space="preserve"> z nacionalno letno evidenco emisij za leto x – 3 in s projekcijami, sporočenimi po Uredbi (EU) št. 525/2013 Evropskega parlamenta in Sveta</w:t>
            </w:r>
            <w:r w:rsidR="004A513A" w:rsidRPr="002C431D">
              <w:rPr>
                <w:rFonts w:cs="Arial"/>
                <w:color w:val="000000"/>
                <w:szCs w:val="20"/>
                <w:lang w:val="sl-SI" w:eastAsia="sl-SI"/>
              </w:rPr>
              <w:t> (</w:t>
            </w:r>
            <w:r w:rsidR="004A513A" w:rsidRPr="002C431D">
              <w:rPr>
                <w:rFonts w:cs="Arial"/>
                <w:color w:val="000000"/>
                <w:szCs w:val="20"/>
                <w:vertAlign w:val="superscript"/>
                <w:lang w:val="sl-SI" w:eastAsia="sl-SI"/>
              </w:rPr>
              <w:t>1</w:t>
            </w:r>
            <w:r w:rsidR="004A513A" w:rsidRPr="002C431D">
              <w:rPr>
                <w:rFonts w:cs="Arial"/>
                <w:color w:val="000000"/>
                <w:szCs w:val="20"/>
                <w:lang w:val="sl-SI" w:eastAsia="sl-SI"/>
              </w:rPr>
              <w:t>)</w:t>
            </w:r>
            <w:r w:rsidR="004A513A" w:rsidRPr="002C431D">
              <w:rPr>
                <w:rFonts w:cs="Arial"/>
                <w:szCs w:val="20"/>
                <w:lang w:val="sl-SI" w:eastAsia="sl-SI"/>
              </w:rPr>
              <w:t>.</w:t>
            </w:r>
          </w:p>
        </w:tc>
      </w:tr>
    </w:tbl>
    <w:p w:rsidR="004A513A" w:rsidRPr="006C3B9D" w:rsidRDefault="004A513A" w:rsidP="006C3B9D">
      <w:pPr>
        <w:pStyle w:val="Odstavekseznama"/>
        <w:numPr>
          <w:ilvl w:val="0"/>
          <w:numId w:val="27"/>
        </w:num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6C3B9D">
        <w:rPr>
          <w:rFonts w:cs="Arial"/>
          <w:b/>
          <w:bCs/>
          <w:color w:val="000000"/>
          <w:szCs w:val="20"/>
          <w:lang w:val="sl-SI" w:eastAsia="sl-SI"/>
        </w:rPr>
        <w:lastRenderedPageBreak/>
        <w:t xml:space="preserve">DEL </w:t>
      </w:r>
    </w:p>
    <w:p w:rsidR="004A513A" w:rsidRPr="002C431D" w:rsidRDefault="004A513A" w:rsidP="004A513A">
      <w:pPr>
        <w:spacing w:before="240" w:after="120" w:line="240" w:lineRule="auto"/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 w:rsidRPr="002C431D">
        <w:rPr>
          <w:rFonts w:cs="Arial"/>
          <w:b/>
          <w:bCs/>
          <w:color w:val="000000"/>
          <w:szCs w:val="20"/>
          <w:lang w:val="sl-SI" w:eastAsia="sl-SI"/>
        </w:rPr>
        <w:t>Informativno poročilo o evidencah</w:t>
      </w:r>
    </w:p>
    <w:p w:rsidR="004A513A" w:rsidRPr="002C431D" w:rsidRDefault="004A513A" w:rsidP="004A513A">
      <w:pPr>
        <w:spacing w:before="12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 xml:space="preserve">Informativna poročila o evidencah se pripravijo v skladu s smernicami za poročanje v okviru EMEP, sporočajo pa se z uporabo predloge za poročila o evidencah, ki so v njih določene. Poročilo o evidencah vsebuje </w:t>
      </w:r>
      <w:r w:rsidR="00485338">
        <w:rPr>
          <w:rFonts w:cs="Arial"/>
          <w:color w:val="000000"/>
          <w:szCs w:val="20"/>
          <w:lang w:val="sl-SI" w:eastAsia="sl-SI"/>
        </w:rPr>
        <w:t>najman</w:t>
      </w:r>
      <w:r w:rsidRPr="002C431D">
        <w:rPr>
          <w:rFonts w:cs="Arial"/>
          <w:color w:val="000000"/>
          <w:szCs w:val="20"/>
          <w:lang w:val="sl-SI" w:eastAsia="sl-SI"/>
        </w:rPr>
        <w:t xml:space="preserve">j </w:t>
      </w:r>
      <w:r w:rsidR="00485338">
        <w:rPr>
          <w:rFonts w:cs="Arial"/>
          <w:color w:val="000000"/>
          <w:szCs w:val="20"/>
          <w:lang w:val="sl-SI" w:eastAsia="sl-SI"/>
        </w:rPr>
        <w:t>t</w:t>
      </w:r>
      <w:r w:rsidRPr="002C431D">
        <w:rPr>
          <w:rFonts w:cs="Arial"/>
          <w:color w:val="000000"/>
          <w:szCs w:val="20"/>
          <w:lang w:val="sl-SI" w:eastAsia="sl-SI"/>
        </w:rPr>
        <w:t>e podatke: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015E4B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(a)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opise, sklice in vire informacij posebnih metodologij, predpostavke, faktorje emisij in podatke o dejavnostih, pa tudi temeljna načela za njihovo izbiro;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2C431D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(b)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opis nacionalnih ključnih vrst virov emisij;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015E4B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(c)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informacije o negotovostih, zagotavljanju kakovosti in preverjanju;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056"/>
      </w:tblGrid>
      <w:tr w:rsidR="004A513A" w:rsidRPr="002C431D" w:rsidTr="00CF1C7B">
        <w:trPr>
          <w:tblCellSpacing w:w="0" w:type="dxa"/>
        </w:trPr>
        <w:tc>
          <w:tcPr>
            <w:tcW w:w="260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(d)</w:t>
            </w:r>
          </w:p>
        </w:tc>
        <w:tc>
          <w:tcPr>
            <w:tcW w:w="4740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opis institucionalnih ureditev za pripravo evidence;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099"/>
      </w:tblGrid>
      <w:tr w:rsidR="004A513A" w:rsidRPr="00015E4B" w:rsidTr="00CF1C7B">
        <w:trPr>
          <w:tblCellSpacing w:w="0" w:type="dxa"/>
        </w:trPr>
        <w:tc>
          <w:tcPr>
            <w:tcW w:w="23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(e)</w:t>
            </w:r>
          </w:p>
        </w:tc>
        <w:tc>
          <w:tcPr>
            <w:tcW w:w="4765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ponovne izračune in načrtovane izboljšave;</w:t>
            </w:r>
          </w:p>
        </w:tc>
      </w:tr>
    </w:tbl>
    <w:p w:rsidR="004A513A" w:rsidRPr="002C431D" w:rsidRDefault="004A513A" w:rsidP="004A513A">
      <w:pPr>
        <w:spacing w:line="240" w:lineRule="auto"/>
        <w:rPr>
          <w:rFonts w:cs="Arial"/>
          <w:vanish/>
          <w:color w:val="000000"/>
          <w:szCs w:val="20"/>
          <w:lang w:val="sl-SI" w:eastAsia="sl-SI"/>
        </w:rPr>
      </w:pPr>
    </w:p>
    <w:tbl>
      <w:tblPr>
        <w:tblW w:w="410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6610"/>
      </w:tblGrid>
      <w:tr w:rsidR="004A513A" w:rsidRPr="002C431D" w:rsidTr="00CF1C7B">
        <w:trPr>
          <w:tblCellSpacing w:w="0" w:type="dxa"/>
        </w:trPr>
        <w:tc>
          <w:tcPr>
            <w:tcW w:w="263" w:type="pct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(f)</w:t>
            </w:r>
          </w:p>
        </w:tc>
        <w:tc>
          <w:tcPr>
            <w:tcW w:w="0" w:type="auto"/>
            <w:hideMark/>
          </w:tcPr>
          <w:p w:rsidR="004A513A" w:rsidRPr="002C431D" w:rsidRDefault="004A513A" w:rsidP="004A513A">
            <w:pPr>
              <w:spacing w:before="120"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C431D">
              <w:rPr>
                <w:rFonts w:cs="Arial"/>
                <w:szCs w:val="20"/>
                <w:lang w:val="sl-SI" w:eastAsia="sl-SI"/>
              </w:rPr>
              <w:t>povzetek.</w:t>
            </w:r>
          </w:p>
        </w:tc>
      </w:tr>
    </w:tbl>
    <w:p w:rsidR="004A513A" w:rsidRPr="002C431D" w:rsidRDefault="00C4054E" w:rsidP="004A513A">
      <w:pPr>
        <w:spacing w:before="240" w:after="60" w:line="240" w:lineRule="auto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pict>
          <v:rect id="_x0000_i1026" style="width:241.65pt;height:.75pt" o:hrpct="0" o:hrstd="t" o:hrnoshade="t" o:hr="t" fillcolor="black" stroked="f"/>
        </w:pict>
      </w:r>
    </w:p>
    <w:p w:rsidR="004A513A" w:rsidRPr="002C431D" w:rsidRDefault="004A513A" w:rsidP="004A513A">
      <w:pPr>
        <w:spacing w:before="60" w:after="60"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2C431D">
        <w:rPr>
          <w:rFonts w:cs="Arial"/>
          <w:color w:val="000000"/>
          <w:szCs w:val="20"/>
          <w:lang w:val="sl-SI" w:eastAsia="sl-SI"/>
        </w:rPr>
        <w:t>(</w:t>
      </w:r>
      <w:r w:rsidRPr="002C431D">
        <w:rPr>
          <w:rFonts w:cs="Arial"/>
          <w:color w:val="000000"/>
          <w:szCs w:val="20"/>
          <w:vertAlign w:val="superscript"/>
          <w:lang w:val="sl-SI" w:eastAsia="sl-SI"/>
        </w:rPr>
        <w:t>1</w:t>
      </w:r>
      <w:r w:rsidR="00015E4B">
        <w:rPr>
          <w:rFonts w:cs="Arial"/>
          <w:color w:val="000000"/>
          <w:szCs w:val="20"/>
          <w:lang w:val="sl-SI" w:eastAsia="sl-SI"/>
        </w:rPr>
        <w:t>) </w:t>
      </w:r>
      <w:r w:rsidRPr="002C431D">
        <w:rPr>
          <w:rFonts w:cs="Arial"/>
          <w:color w:val="000000"/>
          <w:szCs w:val="20"/>
          <w:lang w:val="sl-SI" w:eastAsia="sl-SI"/>
        </w:rPr>
        <w:t>Uredba (EU) št. 525/2013 Evropskega parlamenta in Sveta z dne 21. maja 2013 o mehanizmu za spremljanje emisij toplogrednih plinov in poročanje o njih ter za sporočanje drugih informacij v zvezi s podnebnimi spremembami na nacionalni ravni in ravni Unije ter o razveljavitvi Sklepa št. 280/2004/ES (UL L </w:t>
      </w:r>
      <w:r w:rsidR="00485338">
        <w:rPr>
          <w:rFonts w:cs="Arial"/>
          <w:color w:val="000000"/>
          <w:szCs w:val="20"/>
          <w:lang w:val="sl-SI" w:eastAsia="sl-SI"/>
        </w:rPr>
        <w:t xml:space="preserve">št. </w:t>
      </w:r>
      <w:r w:rsidRPr="002C431D">
        <w:rPr>
          <w:rFonts w:cs="Arial"/>
          <w:color w:val="000000"/>
          <w:szCs w:val="20"/>
          <w:lang w:val="sl-SI" w:eastAsia="sl-SI"/>
        </w:rPr>
        <w:t>165</w:t>
      </w:r>
      <w:r w:rsidR="00485338">
        <w:rPr>
          <w:rFonts w:cs="Arial"/>
          <w:color w:val="000000"/>
          <w:szCs w:val="20"/>
          <w:lang w:val="sl-SI" w:eastAsia="sl-SI"/>
        </w:rPr>
        <w:t xml:space="preserve"> z dne</w:t>
      </w:r>
      <w:r w:rsidRPr="002C431D">
        <w:rPr>
          <w:rFonts w:cs="Arial"/>
          <w:color w:val="000000"/>
          <w:szCs w:val="20"/>
          <w:lang w:val="sl-SI" w:eastAsia="sl-SI"/>
        </w:rPr>
        <w:t xml:space="preserve"> 18.</w:t>
      </w:r>
      <w:r w:rsidR="00485338">
        <w:rPr>
          <w:rFonts w:cs="Arial"/>
          <w:color w:val="000000"/>
          <w:szCs w:val="20"/>
          <w:lang w:val="sl-SI" w:eastAsia="sl-SI"/>
        </w:rPr>
        <w:t> </w:t>
      </w:r>
      <w:r w:rsidRPr="002C431D">
        <w:rPr>
          <w:rFonts w:cs="Arial"/>
          <w:color w:val="000000"/>
          <w:szCs w:val="20"/>
          <w:lang w:val="sl-SI" w:eastAsia="sl-SI"/>
        </w:rPr>
        <w:t>6.</w:t>
      </w:r>
      <w:r w:rsidR="00485338">
        <w:rPr>
          <w:rFonts w:cs="Arial"/>
          <w:color w:val="000000"/>
          <w:szCs w:val="20"/>
          <w:lang w:val="sl-SI" w:eastAsia="sl-SI"/>
        </w:rPr>
        <w:t> </w:t>
      </w:r>
      <w:r w:rsidRPr="002C431D">
        <w:rPr>
          <w:rFonts w:cs="Arial"/>
          <w:color w:val="000000"/>
          <w:szCs w:val="20"/>
          <w:lang w:val="sl-SI" w:eastAsia="sl-SI"/>
        </w:rPr>
        <w:t>2013, str. 13).</w:t>
      </w:r>
    </w:p>
    <w:p w:rsidR="004A513A" w:rsidRPr="002C431D" w:rsidRDefault="00015E4B" w:rsidP="004A513A">
      <w:pPr>
        <w:spacing w:after="200" w:line="276" w:lineRule="auto"/>
        <w:rPr>
          <w:rFonts w:eastAsia="Calibri" w:cs="Arial"/>
          <w:iCs/>
          <w:noProof/>
          <w:szCs w:val="20"/>
          <w:lang w:val="sl-SI"/>
        </w:rPr>
      </w:pPr>
      <w:r>
        <w:rPr>
          <w:rFonts w:eastAsia="Calibri" w:cs="Arial"/>
          <w:iCs/>
          <w:noProof/>
          <w:szCs w:val="20"/>
          <w:lang w:val="sl-SI"/>
        </w:rPr>
        <w:t>«.</w:t>
      </w: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p w:rsidR="007C32F4" w:rsidRPr="002C431D" w:rsidRDefault="007C32F4" w:rsidP="00CA678E">
      <w:pPr>
        <w:tabs>
          <w:tab w:val="left" w:pos="708"/>
        </w:tabs>
        <w:rPr>
          <w:rFonts w:cs="Arial"/>
          <w:szCs w:val="20"/>
          <w:lang w:val="sl-SI"/>
        </w:rPr>
      </w:pPr>
    </w:p>
    <w:sectPr w:rsidR="007C32F4" w:rsidRPr="002C431D" w:rsidSect="00783310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E" w:rsidRDefault="00C4054E">
      <w:r>
        <w:separator/>
      </w:r>
    </w:p>
  </w:endnote>
  <w:endnote w:type="continuationSeparator" w:id="0">
    <w:p w:rsidR="00C4054E" w:rsidRDefault="00C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8744"/>
      <w:docPartObj>
        <w:docPartGallery w:val="Page Numbers (Bottom of Page)"/>
        <w:docPartUnique/>
      </w:docPartObj>
    </w:sdtPr>
    <w:sdtEndPr/>
    <w:sdtContent>
      <w:p w:rsidR="00015E4B" w:rsidRDefault="00015E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03" w:rsidRPr="00603B03">
          <w:rPr>
            <w:noProof/>
            <w:lang w:val="sl-SI"/>
          </w:rPr>
          <w:t>4</w:t>
        </w:r>
        <w:r>
          <w:fldChar w:fldCharType="end"/>
        </w:r>
      </w:p>
    </w:sdtContent>
  </w:sdt>
  <w:p w:rsidR="00015E4B" w:rsidRDefault="00015E4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E" w:rsidRDefault="00C4054E">
      <w:r>
        <w:separator/>
      </w:r>
    </w:p>
  </w:footnote>
  <w:footnote w:type="continuationSeparator" w:id="0">
    <w:p w:rsidR="00C4054E" w:rsidRDefault="00C4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AB" w:rsidRPr="00110CBD" w:rsidRDefault="001D63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AB" w:rsidRPr="008F3500" w:rsidRDefault="001D63AB" w:rsidP="00B7747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6B8"/>
    <w:multiLevelType w:val="hybridMultilevel"/>
    <w:tmpl w:val="CF5A24C2"/>
    <w:lvl w:ilvl="0" w:tplc="7D26B820">
      <w:start w:val="1"/>
      <w:numFmt w:val="bullet"/>
      <w:pStyle w:val="Alineazaodstavko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B5618"/>
    <w:multiLevelType w:val="hybridMultilevel"/>
    <w:tmpl w:val="E9A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300D9"/>
    <w:multiLevelType w:val="hybridMultilevel"/>
    <w:tmpl w:val="B882E8A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0BA0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3677E"/>
    <w:multiLevelType w:val="hybridMultilevel"/>
    <w:tmpl w:val="34F06BB4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25070"/>
    <w:multiLevelType w:val="hybridMultilevel"/>
    <w:tmpl w:val="355A2534"/>
    <w:lvl w:ilvl="0" w:tplc="89B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C1C05"/>
    <w:multiLevelType w:val="hybridMultilevel"/>
    <w:tmpl w:val="4AAE71F0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C2083"/>
    <w:multiLevelType w:val="hybridMultilevel"/>
    <w:tmpl w:val="D79C2BAA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19"/>
  </w:num>
  <w:num w:numId="9">
    <w:abstractNumId w:val="17"/>
  </w:num>
  <w:num w:numId="10">
    <w:abstractNumId w:val="6"/>
  </w:num>
  <w:num w:numId="11">
    <w:abstractNumId w:val="21"/>
  </w:num>
  <w:num w:numId="12">
    <w:abstractNumId w:val="26"/>
  </w:num>
  <w:num w:numId="13">
    <w:abstractNumId w:val="14"/>
  </w:num>
  <w:num w:numId="14">
    <w:abstractNumId w:val="8"/>
  </w:num>
  <w:num w:numId="15">
    <w:abstractNumId w:val="11"/>
    <w:lvlOverride w:ilvl="0">
      <w:startOverride w:val="1"/>
    </w:lvlOverride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5"/>
  </w:num>
  <w:num w:numId="22">
    <w:abstractNumId w:val="12"/>
  </w:num>
  <w:num w:numId="23">
    <w:abstractNumId w:val="25"/>
  </w:num>
  <w:num w:numId="24">
    <w:abstractNumId w:val="24"/>
  </w:num>
  <w:num w:numId="25">
    <w:abstractNumId w:val="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15E4B"/>
    <w:rsid w:val="00023A88"/>
    <w:rsid w:val="00045772"/>
    <w:rsid w:val="0005138E"/>
    <w:rsid w:val="000A7238"/>
    <w:rsid w:val="000B4708"/>
    <w:rsid w:val="000D353D"/>
    <w:rsid w:val="000E2BE2"/>
    <w:rsid w:val="00122864"/>
    <w:rsid w:val="001313F1"/>
    <w:rsid w:val="001357B2"/>
    <w:rsid w:val="00171230"/>
    <w:rsid w:val="001C13F9"/>
    <w:rsid w:val="001D385C"/>
    <w:rsid w:val="001D63AB"/>
    <w:rsid w:val="001F3909"/>
    <w:rsid w:val="0020107F"/>
    <w:rsid w:val="00202A77"/>
    <w:rsid w:val="00231EB5"/>
    <w:rsid w:val="002532A5"/>
    <w:rsid w:val="00271CE5"/>
    <w:rsid w:val="00274625"/>
    <w:rsid w:val="00282020"/>
    <w:rsid w:val="00286920"/>
    <w:rsid w:val="00293F72"/>
    <w:rsid w:val="002C431D"/>
    <w:rsid w:val="002C48E3"/>
    <w:rsid w:val="002C4E06"/>
    <w:rsid w:val="002D729E"/>
    <w:rsid w:val="002E2257"/>
    <w:rsid w:val="002E4B1A"/>
    <w:rsid w:val="002F1CDD"/>
    <w:rsid w:val="0035256D"/>
    <w:rsid w:val="003636BF"/>
    <w:rsid w:val="0037479F"/>
    <w:rsid w:val="003845B4"/>
    <w:rsid w:val="0038754C"/>
    <w:rsid w:val="00387B1A"/>
    <w:rsid w:val="003E1C74"/>
    <w:rsid w:val="004124F5"/>
    <w:rsid w:val="00416654"/>
    <w:rsid w:val="00440747"/>
    <w:rsid w:val="00485338"/>
    <w:rsid w:val="004A513A"/>
    <w:rsid w:val="004C3DB8"/>
    <w:rsid w:val="00502F56"/>
    <w:rsid w:val="00526246"/>
    <w:rsid w:val="00540247"/>
    <w:rsid w:val="00567106"/>
    <w:rsid w:val="005C69EE"/>
    <w:rsid w:val="005D5ECB"/>
    <w:rsid w:val="005E1D3C"/>
    <w:rsid w:val="00603B03"/>
    <w:rsid w:val="00632253"/>
    <w:rsid w:val="00642714"/>
    <w:rsid w:val="006455CE"/>
    <w:rsid w:val="006762A7"/>
    <w:rsid w:val="00691BCB"/>
    <w:rsid w:val="006B22DA"/>
    <w:rsid w:val="006B5E54"/>
    <w:rsid w:val="006C3B9D"/>
    <w:rsid w:val="006C42B3"/>
    <w:rsid w:val="006D42D9"/>
    <w:rsid w:val="00730950"/>
    <w:rsid w:val="00733017"/>
    <w:rsid w:val="00783310"/>
    <w:rsid w:val="007A4A6D"/>
    <w:rsid w:val="007C32F4"/>
    <w:rsid w:val="007D1BCF"/>
    <w:rsid w:val="007D749F"/>
    <w:rsid w:val="007D75CF"/>
    <w:rsid w:val="007E491E"/>
    <w:rsid w:val="007E60F5"/>
    <w:rsid w:val="007E6DC5"/>
    <w:rsid w:val="0080575F"/>
    <w:rsid w:val="008072D3"/>
    <w:rsid w:val="008501E8"/>
    <w:rsid w:val="00866BB2"/>
    <w:rsid w:val="00877334"/>
    <w:rsid w:val="0088043C"/>
    <w:rsid w:val="008906C9"/>
    <w:rsid w:val="008937D3"/>
    <w:rsid w:val="008A759D"/>
    <w:rsid w:val="008C5738"/>
    <w:rsid w:val="008D04F0"/>
    <w:rsid w:val="008F3500"/>
    <w:rsid w:val="00924E3C"/>
    <w:rsid w:val="00944B9D"/>
    <w:rsid w:val="009612BB"/>
    <w:rsid w:val="00976551"/>
    <w:rsid w:val="009C5429"/>
    <w:rsid w:val="009E31E4"/>
    <w:rsid w:val="009E487A"/>
    <w:rsid w:val="00A05BC2"/>
    <w:rsid w:val="00A125C5"/>
    <w:rsid w:val="00A15628"/>
    <w:rsid w:val="00A20E8A"/>
    <w:rsid w:val="00A5039D"/>
    <w:rsid w:val="00A65EE7"/>
    <w:rsid w:val="00A70133"/>
    <w:rsid w:val="00A97C39"/>
    <w:rsid w:val="00AA36C6"/>
    <w:rsid w:val="00AA3AA2"/>
    <w:rsid w:val="00AE20B2"/>
    <w:rsid w:val="00AE7ECE"/>
    <w:rsid w:val="00B17141"/>
    <w:rsid w:val="00B31575"/>
    <w:rsid w:val="00B77473"/>
    <w:rsid w:val="00B8547D"/>
    <w:rsid w:val="00BA488B"/>
    <w:rsid w:val="00BB17E1"/>
    <w:rsid w:val="00BD5F65"/>
    <w:rsid w:val="00BE7F0C"/>
    <w:rsid w:val="00C108E0"/>
    <w:rsid w:val="00C250D5"/>
    <w:rsid w:val="00C362DE"/>
    <w:rsid w:val="00C4054E"/>
    <w:rsid w:val="00C57202"/>
    <w:rsid w:val="00C70B37"/>
    <w:rsid w:val="00C75527"/>
    <w:rsid w:val="00C76F20"/>
    <w:rsid w:val="00C92898"/>
    <w:rsid w:val="00CA678E"/>
    <w:rsid w:val="00CB2576"/>
    <w:rsid w:val="00CB4725"/>
    <w:rsid w:val="00CE7514"/>
    <w:rsid w:val="00CF1C7B"/>
    <w:rsid w:val="00D0006F"/>
    <w:rsid w:val="00D04605"/>
    <w:rsid w:val="00D1013C"/>
    <w:rsid w:val="00D248DE"/>
    <w:rsid w:val="00D8542D"/>
    <w:rsid w:val="00D9400B"/>
    <w:rsid w:val="00DC6A71"/>
    <w:rsid w:val="00DE06DE"/>
    <w:rsid w:val="00DE5B46"/>
    <w:rsid w:val="00E0357D"/>
    <w:rsid w:val="00E22011"/>
    <w:rsid w:val="00E24EC2"/>
    <w:rsid w:val="00E27591"/>
    <w:rsid w:val="00E27A6F"/>
    <w:rsid w:val="00E35A24"/>
    <w:rsid w:val="00E45F32"/>
    <w:rsid w:val="00E660C3"/>
    <w:rsid w:val="00E67E20"/>
    <w:rsid w:val="00E97291"/>
    <w:rsid w:val="00EB4B5C"/>
    <w:rsid w:val="00EB6BC4"/>
    <w:rsid w:val="00ED7AE3"/>
    <w:rsid w:val="00F13584"/>
    <w:rsid w:val="00F144FF"/>
    <w:rsid w:val="00F240BB"/>
    <w:rsid w:val="00F43B4A"/>
    <w:rsid w:val="00F46724"/>
    <w:rsid w:val="00F47713"/>
    <w:rsid w:val="00F553FB"/>
    <w:rsid w:val="00F57FED"/>
    <w:rsid w:val="00F87DF8"/>
    <w:rsid w:val="00F905A5"/>
    <w:rsid w:val="00FA7EF9"/>
    <w:rsid w:val="00FB7E35"/>
    <w:rsid w:val="00FD356B"/>
    <w:rsid w:val="00FE3217"/>
    <w:rsid w:val="00FE438E"/>
    <w:rsid w:val="00FF1F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Besedilooblaka">
    <w:name w:val="Balloon Text"/>
    <w:basedOn w:val="Navaden"/>
    <w:link w:val="BesedilooblakaZnak"/>
    <w:rsid w:val="002C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C431D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BE7F0C"/>
    <w:pPr>
      <w:ind w:left="720"/>
      <w:contextualSpacing/>
    </w:pPr>
  </w:style>
  <w:style w:type="character" w:styleId="Pripombasklic">
    <w:name w:val="annotation reference"/>
    <w:basedOn w:val="Privzetapisavaodstavka"/>
    <w:rsid w:val="00C70B3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B3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0B3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70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0B3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C70B37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015E4B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Besedilooblaka">
    <w:name w:val="Balloon Text"/>
    <w:basedOn w:val="Navaden"/>
    <w:link w:val="BesedilooblakaZnak"/>
    <w:rsid w:val="002C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C431D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BE7F0C"/>
    <w:pPr>
      <w:ind w:left="720"/>
      <w:contextualSpacing/>
    </w:pPr>
  </w:style>
  <w:style w:type="character" w:styleId="Pripombasklic">
    <w:name w:val="annotation reference"/>
    <w:basedOn w:val="Privzetapisavaodstavka"/>
    <w:rsid w:val="00C70B3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B3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0B3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70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0B3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C70B37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015E4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3AAB-DA8C-42C6-A2F4-DDFC5743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7598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 RFele</cp:lastModifiedBy>
  <cp:revision>10</cp:revision>
  <cp:lastPrinted>2010-07-05T09:38:00Z</cp:lastPrinted>
  <dcterms:created xsi:type="dcterms:W3CDTF">2017-08-29T12:24:00Z</dcterms:created>
  <dcterms:modified xsi:type="dcterms:W3CDTF">2017-08-30T13:39:00Z</dcterms:modified>
</cp:coreProperties>
</file>