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9D" w:rsidRPr="0064619D" w:rsidRDefault="000108ED" w:rsidP="0064619D">
      <w:pPr>
        <w:spacing w:after="200" w:line="276" w:lineRule="auto"/>
        <w:jc w:val="both"/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>P</w:t>
      </w:r>
      <w:r w:rsidR="0064619D" w:rsidRPr="0064619D">
        <w:rPr>
          <w:rFonts w:cs="Arial"/>
          <w:szCs w:val="20"/>
        </w:rPr>
        <w:t xml:space="preserve">riloga </w:t>
      </w:r>
    </w:p>
    <w:p w:rsidR="0064619D" w:rsidRPr="0064619D" w:rsidRDefault="0064619D" w:rsidP="00247809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 xml:space="preserve">MONITORING </w:t>
      </w:r>
    </w:p>
    <w:p w:rsidR="0064619D" w:rsidRPr="0064619D" w:rsidRDefault="0064619D" w:rsidP="00247809">
      <w:pPr>
        <w:numPr>
          <w:ilvl w:val="0"/>
          <w:numId w:val="30"/>
        </w:numPr>
        <w:contextualSpacing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Splošno</w:t>
      </w:r>
    </w:p>
    <w:p w:rsidR="0064619D" w:rsidRPr="0064619D" w:rsidRDefault="0064619D" w:rsidP="00247809">
      <w:pPr>
        <w:rPr>
          <w:rFonts w:cs="Arial"/>
          <w:szCs w:val="20"/>
        </w:rPr>
      </w:pPr>
    </w:p>
    <w:p w:rsidR="0064619D" w:rsidRPr="0064619D" w:rsidRDefault="0064619D" w:rsidP="00247809">
      <w:pPr>
        <w:rPr>
          <w:rFonts w:cs="Arial"/>
          <w:szCs w:val="20"/>
        </w:rPr>
      </w:pPr>
      <w:r w:rsidRPr="0064619D">
        <w:rPr>
          <w:rFonts w:cs="Arial"/>
          <w:szCs w:val="20"/>
        </w:rPr>
        <w:t>Monitoring iz 4. člena te uredbe vključuje:</w:t>
      </w:r>
    </w:p>
    <w:p w:rsidR="0064619D" w:rsidRPr="0064619D" w:rsidRDefault="0064619D" w:rsidP="00247809">
      <w:pPr>
        <w:numPr>
          <w:ilvl w:val="0"/>
          <w:numId w:val="31"/>
        </w:numPr>
        <w:ind w:hanging="720"/>
        <w:rPr>
          <w:rFonts w:cs="Arial"/>
          <w:szCs w:val="20"/>
        </w:rPr>
      </w:pPr>
      <w:r w:rsidRPr="0064619D">
        <w:rPr>
          <w:rFonts w:cs="Arial"/>
          <w:szCs w:val="20"/>
        </w:rPr>
        <w:t>monitoring odvzetih količin podzemne vode,</w:t>
      </w:r>
    </w:p>
    <w:p w:rsidR="0064619D" w:rsidRPr="0064619D" w:rsidRDefault="0064619D" w:rsidP="00247809">
      <w:pPr>
        <w:numPr>
          <w:ilvl w:val="0"/>
          <w:numId w:val="31"/>
        </w:numPr>
        <w:ind w:hanging="720"/>
        <w:rPr>
          <w:rFonts w:cs="Arial"/>
          <w:szCs w:val="20"/>
        </w:rPr>
      </w:pPr>
      <w:r w:rsidRPr="0064619D">
        <w:rPr>
          <w:rFonts w:cs="Arial"/>
          <w:szCs w:val="20"/>
        </w:rPr>
        <w:t>monitoring vpliva rabe in nadzor nad hidravličnimi značilnostmi vrtine.</w:t>
      </w:r>
    </w:p>
    <w:p w:rsidR="0064619D" w:rsidRPr="0064619D" w:rsidRDefault="0064619D" w:rsidP="00247809">
      <w:pPr>
        <w:ind w:hanging="720"/>
        <w:rPr>
          <w:rFonts w:cs="Arial"/>
          <w:szCs w:val="20"/>
        </w:rPr>
      </w:pPr>
    </w:p>
    <w:p w:rsidR="0064619D" w:rsidRDefault="0064619D" w:rsidP="00247809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Koncesionar mora zagotavljati kakovost podatkov z meroslovnim obvladovanjem merilne opreme. Postopek izvajanja meritev mora zagotavljati primerljivost rezultatov v celotnem obdobju programa monitoringa. Koncesionar mora hraniti vse pridobljene podatke v celotnem trajanju koncesije.</w:t>
      </w:r>
    </w:p>
    <w:p w:rsidR="00247809" w:rsidRPr="0064619D" w:rsidRDefault="00247809" w:rsidP="00247809">
      <w:pPr>
        <w:jc w:val="both"/>
        <w:rPr>
          <w:rFonts w:cs="Arial"/>
          <w:szCs w:val="20"/>
        </w:rPr>
      </w:pPr>
    </w:p>
    <w:p w:rsidR="0064619D" w:rsidRPr="0064619D" w:rsidRDefault="0064619D" w:rsidP="00247809">
      <w:pPr>
        <w:numPr>
          <w:ilvl w:val="0"/>
          <w:numId w:val="30"/>
        </w:numPr>
        <w:ind w:hanging="720"/>
        <w:contextualSpacing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Monitoring odvzetih količin podzemne vode</w:t>
      </w:r>
    </w:p>
    <w:p w:rsidR="00247809" w:rsidRDefault="00247809" w:rsidP="00247809">
      <w:pPr>
        <w:jc w:val="both"/>
        <w:rPr>
          <w:rFonts w:cs="Arial"/>
          <w:szCs w:val="20"/>
        </w:rPr>
      </w:pPr>
    </w:p>
    <w:p w:rsidR="0064619D" w:rsidRDefault="0064619D" w:rsidP="00247809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Z monitoringom odvzetih količin podzemne vode se spremlja količina odvzete podzemne vode z opravljanjem meritev dejanske količine odvzete podzemne vode z ustreznim merilnikom pretoka vode in elektronskim zapisovanjem tako, da se lahko trenutna količina in skupna odvze</w:t>
      </w:r>
      <w:r w:rsidR="00247809">
        <w:rPr>
          <w:rFonts w:cs="Arial"/>
          <w:szCs w:val="20"/>
        </w:rPr>
        <w:t>ta količina podzemne vode kadar</w:t>
      </w:r>
      <w:r w:rsidRPr="0064619D">
        <w:rPr>
          <w:rFonts w:cs="Arial"/>
          <w:szCs w:val="20"/>
        </w:rPr>
        <w:t>koli preverita.</w:t>
      </w:r>
    </w:p>
    <w:p w:rsidR="00247809" w:rsidRPr="0064619D" w:rsidRDefault="00247809" w:rsidP="00247809">
      <w:pPr>
        <w:jc w:val="both"/>
        <w:rPr>
          <w:rFonts w:cs="Arial"/>
          <w:szCs w:val="20"/>
        </w:rPr>
      </w:pPr>
    </w:p>
    <w:p w:rsidR="0064619D" w:rsidRDefault="0064619D" w:rsidP="00247809">
      <w:pPr>
        <w:numPr>
          <w:ilvl w:val="0"/>
          <w:numId w:val="30"/>
        </w:numPr>
        <w:ind w:hanging="720"/>
        <w:contextualSpacing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Monitoring vpliva rabe vode in nadzor nad hidravličnimi značilnostmi vrtine</w:t>
      </w:r>
    </w:p>
    <w:p w:rsidR="00247809" w:rsidRPr="0064619D" w:rsidRDefault="00247809" w:rsidP="00247809">
      <w:pPr>
        <w:ind w:left="720"/>
        <w:contextualSpacing/>
        <w:jc w:val="both"/>
        <w:rPr>
          <w:rFonts w:cs="Arial"/>
          <w:szCs w:val="20"/>
        </w:rPr>
      </w:pPr>
    </w:p>
    <w:p w:rsidR="0064619D" w:rsidRPr="0064619D" w:rsidRDefault="0064619D" w:rsidP="00247809">
      <w:pPr>
        <w:numPr>
          <w:ilvl w:val="0"/>
          <w:numId w:val="32"/>
        </w:numPr>
        <w:ind w:hanging="720"/>
        <w:contextualSpacing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 xml:space="preserve">Za ugotavljanje morebitnih sprememb razmer se izvajata monitoring vpliva rabe vode in nadzor nad hidravličnimi značilnostmi objekta za odvzem vode. Pri tem se spremljajo: </w:t>
      </w:r>
    </w:p>
    <w:p w:rsidR="0064619D" w:rsidRPr="0064619D" w:rsidRDefault="0064619D" w:rsidP="00247809">
      <w:pPr>
        <w:numPr>
          <w:ilvl w:val="0"/>
          <w:numId w:val="33"/>
        </w:numPr>
        <w:ind w:hanging="720"/>
        <w:contextualSpacing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stopnja količinskega obnavljanja,</w:t>
      </w:r>
    </w:p>
    <w:p w:rsidR="0064619D" w:rsidRPr="0064619D" w:rsidRDefault="0064619D" w:rsidP="00247809">
      <w:pPr>
        <w:numPr>
          <w:ilvl w:val="0"/>
          <w:numId w:val="33"/>
        </w:numPr>
        <w:ind w:hanging="720"/>
        <w:contextualSpacing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stalnost fizikalno-kemijskih značilnosti podzemne vode in</w:t>
      </w:r>
    </w:p>
    <w:p w:rsidR="0064619D" w:rsidRPr="0064619D" w:rsidRDefault="0064619D" w:rsidP="00247809">
      <w:pPr>
        <w:numPr>
          <w:ilvl w:val="0"/>
          <w:numId w:val="33"/>
        </w:numPr>
        <w:ind w:hanging="720"/>
        <w:contextualSpacing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stalnost hidravličnih značilnosti objekta za odvzem podzemne vode (v nadaljnjem besedilu: objekt).</w:t>
      </w:r>
    </w:p>
    <w:p w:rsidR="0064619D" w:rsidRPr="0064619D" w:rsidRDefault="0064619D" w:rsidP="00247809">
      <w:pPr>
        <w:ind w:left="1440" w:hanging="720"/>
        <w:contextualSpacing/>
        <w:jc w:val="both"/>
        <w:rPr>
          <w:rFonts w:cs="Arial"/>
          <w:szCs w:val="20"/>
        </w:rPr>
      </w:pPr>
    </w:p>
    <w:p w:rsidR="0064619D" w:rsidRPr="0064619D" w:rsidRDefault="0064619D" w:rsidP="00247809">
      <w:pPr>
        <w:numPr>
          <w:ilvl w:val="0"/>
          <w:numId w:val="32"/>
        </w:numPr>
        <w:ind w:hanging="720"/>
        <w:contextualSpacing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 xml:space="preserve">Spremljanje stopnje količinskega obnavljanja </w:t>
      </w:r>
    </w:p>
    <w:p w:rsidR="0064619D" w:rsidRPr="0064619D" w:rsidRDefault="0064619D" w:rsidP="00247809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Stopnjo količinskega obnavljanja podzemne vode je treba ugotavljati s stalnim spremljanjem gladine oziroma tlaka podzemne vode, pretoka odvzete vode in njihovega trenda za posamezne objekte ter to letno vrednotiti v povezavi z rezultati vsakoletne kratkotrajne istočasne in popolne prekinitve odvzema podzemne vode v celotnem vodonosniku (prekinitveni test).</w:t>
      </w:r>
    </w:p>
    <w:p w:rsidR="0064619D" w:rsidRPr="0064619D" w:rsidRDefault="0064619D" w:rsidP="00247809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Ugotavljati je treba:</w:t>
      </w:r>
    </w:p>
    <w:p w:rsidR="0064619D" w:rsidRPr="0064619D" w:rsidRDefault="0064619D" w:rsidP="00247809">
      <w:pPr>
        <w:numPr>
          <w:ilvl w:val="0"/>
          <w:numId w:val="34"/>
        </w:numPr>
        <w:ind w:hanging="720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razpon gladine podzemne vode ter sezonski in dolgoročni trend,</w:t>
      </w:r>
    </w:p>
    <w:p w:rsidR="0064619D" w:rsidRPr="0064619D" w:rsidRDefault="0064619D" w:rsidP="00247809">
      <w:pPr>
        <w:numPr>
          <w:ilvl w:val="0"/>
          <w:numId w:val="34"/>
        </w:numPr>
        <w:ind w:hanging="720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odvisnost znižanja gladine in podzemne vode od količine črpanja in hidroloških razmer,</w:t>
      </w:r>
    </w:p>
    <w:p w:rsidR="0064619D" w:rsidRPr="0064619D" w:rsidRDefault="0064619D" w:rsidP="00247809">
      <w:pPr>
        <w:numPr>
          <w:ilvl w:val="0"/>
          <w:numId w:val="34"/>
        </w:numPr>
        <w:ind w:hanging="720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učinke kratkotrajnih popolnih prekinitev rabe (odvzema) podzemne vode (prekinitveni test) in</w:t>
      </w:r>
    </w:p>
    <w:p w:rsidR="0064619D" w:rsidRPr="0064619D" w:rsidRDefault="0064619D" w:rsidP="00247809">
      <w:pPr>
        <w:numPr>
          <w:ilvl w:val="0"/>
          <w:numId w:val="34"/>
        </w:numPr>
        <w:ind w:hanging="720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doseganje kritične vrednosti gladine podzemne vode.</w:t>
      </w:r>
    </w:p>
    <w:p w:rsidR="00247809" w:rsidRDefault="00247809" w:rsidP="00247809">
      <w:pPr>
        <w:jc w:val="both"/>
        <w:rPr>
          <w:rFonts w:cs="Arial"/>
          <w:szCs w:val="20"/>
        </w:rPr>
      </w:pPr>
    </w:p>
    <w:p w:rsidR="0064619D" w:rsidRPr="0064619D" w:rsidRDefault="0064619D" w:rsidP="00247809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Monitoring spremljanja stopnje količinskega obnavljanja je treba izvajati z meritvami:</w:t>
      </w:r>
    </w:p>
    <w:p w:rsidR="0064619D" w:rsidRPr="0064619D" w:rsidRDefault="0064619D" w:rsidP="00247809">
      <w:pPr>
        <w:numPr>
          <w:ilvl w:val="0"/>
          <w:numId w:val="35"/>
        </w:numPr>
        <w:ind w:hanging="720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odvzete količine vode iz vrtin</w:t>
      </w:r>
      <w:r w:rsidR="00807BD0">
        <w:rPr>
          <w:rFonts w:cs="Arial"/>
          <w:szCs w:val="20"/>
        </w:rPr>
        <w:t>e</w:t>
      </w:r>
      <w:r w:rsidRPr="0064619D">
        <w:rPr>
          <w:rFonts w:cs="Arial"/>
          <w:color w:val="FF0000"/>
          <w:szCs w:val="20"/>
        </w:rPr>
        <w:t xml:space="preserve"> </w:t>
      </w:r>
      <w:r w:rsidRPr="0064619D">
        <w:rPr>
          <w:rFonts w:cs="Arial"/>
          <w:szCs w:val="20"/>
        </w:rPr>
        <w:t xml:space="preserve">za odvzem vode in </w:t>
      </w:r>
    </w:p>
    <w:p w:rsidR="0064619D" w:rsidRPr="0064619D" w:rsidRDefault="0064619D" w:rsidP="00247809">
      <w:pPr>
        <w:numPr>
          <w:ilvl w:val="0"/>
          <w:numId w:val="35"/>
        </w:numPr>
        <w:ind w:hanging="720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gladin</w:t>
      </w:r>
      <w:r w:rsidR="00807BD0">
        <w:rPr>
          <w:rFonts w:cs="Arial"/>
          <w:szCs w:val="20"/>
        </w:rPr>
        <w:t>e (tlaka) podzemne vode v vrtini</w:t>
      </w:r>
      <w:r w:rsidRPr="0064619D">
        <w:rPr>
          <w:rFonts w:cs="Arial"/>
          <w:szCs w:val="20"/>
        </w:rPr>
        <w:t xml:space="preserve"> za odvzem.</w:t>
      </w:r>
    </w:p>
    <w:p w:rsidR="0064619D" w:rsidRPr="0064619D" w:rsidRDefault="0064619D" w:rsidP="00247809">
      <w:pPr>
        <w:rPr>
          <w:rFonts w:cs="Arial"/>
          <w:szCs w:val="20"/>
        </w:rPr>
      </w:pPr>
    </w:p>
    <w:p w:rsidR="0064619D" w:rsidRPr="0064619D" w:rsidRDefault="0064619D" w:rsidP="00247809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 xml:space="preserve">Meritev pretoka odvzetih količin vode mora biti stalna in zvezna z zapisovanjem trenutne količine pretoka in kumulativne količine načrpane vode vsaj enkrat na uro.  </w:t>
      </w:r>
    </w:p>
    <w:p w:rsidR="0064619D" w:rsidRDefault="0064619D" w:rsidP="00247809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 xml:space="preserve">Meritve gladine podzemne vode na vrtinah za odvzem vode se izvajajo s tlačno sondo in elektronskim zapisovanjem gladine podzemne vode ali na drug način, ki omogoča primerljivo kakovost rezultatov. Meritev gladine (tlaka) podzemne vode mora biti stalna in zvezna z zapisovanjem podatkov vsaj enkrat na uro. </w:t>
      </w:r>
    </w:p>
    <w:p w:rsidR="00247809" w:rsidRPr="0064619D" w:rsidRDefault="00247809" w:rsidP="00247809">
      <w:pPr>
        <w:jc w:val="both"/>
        <w:rPr>
          <w:rFonts w:cs="Arial"/>
          <w:szCs w:val="20"/>
        </w:rPr>
      </w:pPr>
    </w:p>
    <w:p w:rsidR="0064619D" w:rsidRPr="0064619D" w:rsidRDefault="0064619D" w:rsidP="00247809">
      <w:pPr>
        <w:numPr>
          <w:ilvl w:val="0"/>
          <w:numId w:val="32"/>
        </w:numPr>
        <w:ind w:hanging="720"/>
        <w:contextualSpacing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lastRenderedPageBreak/>
        <w:t>Spremljanje fizikalno-kemijskih značilnosti podzemne in odpadne vode</w:t>
      </w:r>
    </w:p>
    <w:p w:rsidR="0064619D" w:rsidRPr="0064619D" w:rsidRDefault="0064619D" w:rsidP="00247809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Z analizo fizikalno-kemijskih značilnosti podzemne vode iz vrtin</w:t>
      </w:r>
      <w:r>
        <w:rPr>
          <w:rFonts w:cs="Arial"/>
          <w:szCs w:val="20"/>
        </w:rPr>
        <w:t>e</w:t>
      </w:r>
      <w:r w:rsidRPr="0064619D">
        <w:rPr>
          <w:rFonts w:cs="Arial"/>
          <w:szCs w:val="20"/>
        </w:rPr>
        <w:t xml:space="preserve"> za odvzem vode je treba ugotavljati kemijsko sestavo in posredno tudi spremembo količinskega stanja (toplotne vrednosti) izkoriščanega vodonosnika.</w:t>
      </w:r>
    </w:p>
    <w:p w:rsidR="0064619D" w:rsidRPr="0064619D" w:rsidRDefault="0064619D" w:rsidP="00247809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Spremljanje fizikalno-kemijskih značilnosti vode je treba izvajati z analizo kemijske sestave podzemne vode iz vrtine za odvzem vode.</w:t>
      </w:r>
    </w:p>
    <w:p w:rsidR="0064619D" w:rsidRPr="0064619D" w:rsidRDefault="0064619D" w:rsidP="00247809">
      <w:pPr>
        <w:jc w:val="both"/>
        <w:rPr>
          <w:rFonts w:cs="Arial"/>
          <w:szCs w:val="20"/>
        </w:rPr>
      </w:pPr>
    </w:p>
    <w:p w:rsidR="0064619D" w:rsidRPr="0064619D" w:rsidRDefault="0064619D" w:rsidP="00247809">
      <w:pPr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Ob vsakem vzorčenju za analizo kemijske sestave odvzete podzemne vode je treba na mestu objekta izmeriti osnovne fizikalno-kemijske lastnosti podzemne vode:</w:t>
      </w:r>
    </w:p>
    <w:p w:rsidR="0064619D" w:rsidRPr="0064619D" w:rsidRDefault="0064619D" w:rsidP="00247809">
      <w:pPr>
        <w:numPr>
          <w:ilvl w:val="0"/>
          <w:numId w:val="36"/>
        </w:numPr>
        <w:ind w:hanging="720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specifično električno prevodnost,</w:t>
      </w:r>
    </w:p>
    <w:p w:rsidR="0064619D" w:rsidRPr="0064619D" w:rsidRDefault="0064619D" w:rsidP="00247809">
      <w:pPr>
        <w:numPr>
          <w:ilvl w:val="0"/>
          <w:numId w:val="36"/>
        </w:numPr>
        <w:ind w:hanging="720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pH,</w:t>
      </w:r>
    </w:p>
    <w:p w:rsidR="0064619D" w:rsidRPr="0064619D" w:rsidRDefault="0064619D" w:rsidP="00247809">
      <w:pPr>
        <w:numPr>
          <w:ilvl w:val="0"/>
          <w:numId w:val="36"/>
        </w:numPr>
        <w:ind w:hanging="720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oksidacijsko-redukcijski potencial,</w:t>
      </w:r>
    </w:p>
    <w:p w:rsidR="0064619D" w:rsidRPr="0064619D" w:rsidRDefault="0064619D" w:rsidP="00247809">
      <w:pPr>
        <w:numPr>
          <w:ilvl w:val="0"/>
          <w:numId w:val="36"/>
        </w:numPr>
        <w:ind w:hanging="720"/>
        <w:jc w:val="both"/>
        <w:rPr>
          <w:rFonts w:cs="Arial"/>
          <w:szCs w:val="20"/>
        </w:rPr>
      </w:pPr>
      <w:r w:rsidRPr="0064619D">
        <w:rPr>
          <w:rFonts w:cs="Arial"/>
          <w:szCs w:val="20"/>
        </w:rPr>
        <w:t>vsebnost kisika in nasičenost s kisikom ter</w:t>
      </w:r>
    </w:p>
    <w:p w:rsidR="00247809" w:rsidRDefault="00247809" w:rsidP="00247809">
      <w:pPr>
        <w:jc w:val="both"/>
        <w:rPr>
          <w:rFonts w:cs="Arial"/>
          <w:szCs w:val="20"/>
        </w:rPr>
      </w:pPr>
    </w:p>
    <w:p w:rsidR="00A514B3" w:rsidRDefault="00A514B3" w:rsidP="00247809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Nabor parametrov:</w:t>
      </w:r>
    </w:p>
    <w:p w:rsidR="00A514B3" w:rsidRPr="00EE2EAC" w:rsidRDefault="00A514B3" w:rsidP="00247809">
      <w:pPr>
        <w:jc w:val="both"/>
        <w:rPr>
          <w:rFonts w:cs="Arial"/>
          <w:szCs w:val="20"/>
        </w:rPr>
      </w:pPr>
    </w:p>
    <w:p w:rsidR="00A514B3" w:rsidRDefault="00A514B3" w:rsidP="00247809">
      <w:pPr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 xml:space="preserve">Iz pipe na ustju vrtin za odvzem vode morajo biti enkrat letno ugotovljene vsebnosti za naslednje </w:t>
      </w:r>
      <w:r w:rsidRPr="00EE2EAC">
        <w:rPr>
          <w:rFonts w:cs="Arial"/>
          <w:bCs/>
          <w:szCs w:val="20"/>
        </w:rPr>
        <w:t>značilne parametre</w:t>
      </w:r>
      <w:r w:rsidRPr="00EE2EAC">
        <w:rPr>
          <w:rFonts w:cs="Arial"/>
          <w:szCs w:val="20"/>
        </w:rPr>
        <w:t xml:space="preserve">: </w:t>
      </w:r>
    </w:p>
    <w:p w:rsidR="00A514B3" w:rsidRPr="00EE2EAC" w:rsidRDefault="00A514B3" w:rsidP="00A514B3">
      <w:pPr>
        <w:spacing w:line="240" w:lineRule="auto"/>
        <w:jc w:val="both"/>
        <w:rPr>
          <w:rFonts w:cs="Arial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17"/>
        <w:gridCol w:w="4297"/>
      </w:tblGrid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kalcij (Ca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2+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magnezij (Mg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2+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kalij (K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+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natrij (Na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+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hidrogenkarbonat (HCO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3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klorid (Cl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sulfat (SO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4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2-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fosfat (PO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4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3-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nitrat (NO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3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nitrit (NO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2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amonij (NH</w:t>
            </w:r>
            <w:r w:rsidRPr="00EE2EAC">
              <w:rPr>
                <w:rFonts w:cs="Arial"/>
                <w:noProof/>
                <w:szCs w:val="20"/>
                <w:vertAlign w:val="subscript"/>
              </w:rPr>
              <w:t>4</w:t>
            </w:r>
            <w:r w:rsidRPr="00EE2EAC">
              <w:rPr>
                <w:rFonts w:cs="Arial"/>
                <w:noProof/>
                <w:szCs w:val="20"/>
                <w:vertAlign w:val="superscript"/>
              </w:rPr>
              <w:t>+</w:t>
            </w:r>
            <w:r w:rsidRPr="00EE2EAC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železo (Fe (skupno))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noProof/>
                <w:szCs w:val="20"/>
              </w:rPr>
              <w:t>mangan (Mn (skupni))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szCs w:val="20"/>
              </w:rPr>
              <w:t>sušni preostanek pri 105 °C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szCs w:val="20"/>
              </w:rPr>
              <w:t>kremenica (SiO</w:t>
            </w:r>
            <w:r w:rsidRPr="00EE2EAC">
              <w:rPr>
                <w:rFonts w:cs="Arial"/>
                <w:szCs w:val="20"/>
                <w:vertAlign w:val="subscript"/>
              </w:rPr>
              <w:t>2</w:t>
            </w:r>
            <w:r w:rsidRPr="00EE2EAC">
              <w:rPr>
                <w:rFonts w:cs="Arial"/>
                <w:szCs w:val="20"/>
              </w:rPr>
              <w:t>)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szCs w:val="20"/>
              </w:rPr>
              <w:t>raztopljeni CO</w:t>
            </w:r>
            <w:r w:rsidRPr="00EE2EAC">
              <w:rPr>
                <w:rFonts w:cs="Arial"/>
                <w:szCs w:val="20"/>
                <w:vertAlign w:val="subscript"/>
              </w:rPr>
              <w:t>2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  <w:r w:rsidRPr="00EE2EAC">
              <w:rPr>
                <w:rFonts w:cs="Arial"/>
                <w:szCs w:val="20"/>
              </w:rPr>
              <w:t>mineralizacija (TDS – skupne raztopljene snovi)</w:t>
            </w: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A514B3" w:rsidRPr="00EE2EAC" w:rsidTr="00193F92">
        <w:tc>
          <w:tcPr>
            <w:tcW w:w="441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  <w:tc>
          <w:tcPr>
            <w:tcW w:w="4297" w:type="dxa"/>
          </w:tcPr>
          <w:p w:rsidR="00A514B3" w:rsidRPr="00EE2EAC" w:rsidRDefault="00A514B3" w:rsidP="00193F92">
            <w:pPr>
              <w:spacing w:line="240" w:lineRule="auto"/>
              <w:jc w:val="both"/>
              <w:rPr>
                <w:rFonts w:cs="Arial"/>
                <w:noProof/>
                <w:szCs w:val="20"/>
              </w:rPr>
            </w:pPr>
          </w:p>
        </w:tc>
      </w:tr>
    </w:tbl>
    <w:p w:rsidR="00A514B3" w:rsidRPr="00EE2EAC" w:rsidRDefault="00A514B3" w:rsidP="00A514B3">
      <w:pPr>
        <w:spacing w:after="200" w:line="276" w:lineRule="auto"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Pri določanju vsebnosti analiziranih parametrov je treba upoštevati najnižje razpoložljive meje zaznavanja in določanja (meja določljivosti analitske metode). V letnem poročilu o monitoringu je treba navesti meje zaznavnosti in meje določljivosti analitske metode.</w:t>
      </w:r>
    </w:p>
    <w:p w:rsidR="00A514B3" w:rsidRPr="00EE2EAC" w:rsidRDefault="00A514B3" w:rsidP="00A514B3">
      <w:pPr>
        <w:spacing w:after="200" w:line="276" w:lineRule="auto"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Vzorčenje in analizo mora izvajati oseba z laboratorijem, akreditiranim za tovrstne analize.</w:t>
      </w:r>
    </w:p>
    <w:p w:rsidR="00A514B3" w:rsidRPr="00A514B3" w:rsidRDefault="00A514B3" w:rsidP="00247809">
      <w:pPr>
        <w:pStyle w:val="Odstavekseznama"/>
        <w:numPr>
          <w:ilvl w:val="0"/>
          <w:numId w:val="32"/>
        </w:numPr>
        <w:spacing w:after="200" w:line="276" w:lineRule="auto"/>
        <w:ind w:hanging="720"/>
        <w:jc w:val="both"/>
        <w:rPr>
          <w:rFonts w:cs="Arial"/>
          <w:szCs w:val="20"/>
        </w:rPr>
      </w:pPr>
      <w:r w:rsidRPr="00A514B3">
        <w:rPr>
          <w:rFonts w:cs="Arial"/>
          <w:szCs w:val="20"/>
        </w:rPr>
        <w:t>Nadzor nad hidravličnimi značilnostmi vrtin</w:t>
      </w:r>
    </w:p>
    <w:p w:rsidR="00A514B3" w:rsidRPr="00EE2EAC" w:rsidRDefault="00A514B3" w:rsidP="00A514B3">
      <w:pPr>
        <w:spacing w:line="240" w:lineRule="auto"/>
        <w:jc w:val="both"/>
        <w:rPr>
          <w:rFonts w:cs="Arial"/>
          <w:szCs w:val="20"/>
        </w:rPr>
      </w:pPr>
      <w:r w:rsidRPr="00EE2EAC">
        <w:rPr>
          <w:rFonts w:cs="Arial"/>
          <w:szCs w:val="20"/>
        </w:rPr>
        <w:t>Nadzor nad hidravličnimi značilnostmi objekta je treba izvajati z:</w:t>
      </w:r>
    </w:p>
    <w:p w:rsidR="00A514B3" w:rsidRPr="00EE2EAC" w:rsidRDefault="00A514B3" w:rsidP="00247809">
      <w:pPr>
        <w:spacing w:after="200" w:line="240" w:lineRule="auto"/>
        <w:ind w:left="720" w:hanging="7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a) </w:t>
      </w:r>
      <w:r w:rsidR="00247809">
        <w:rPr>
          <w:rFonts w:cs="Arial"/>
          <w:szCs w:val="20"/>
        </w:rPr>
        <w:tab/>
      </w:r>
      <w:r w:rsidRPr="00EE2EAC">
        <w:rPr>
          <w:rFonts w:cs="Arial"/>
          <w:szCs w:val="20"/>
        </w:rPr>
        <w:t xml:space="preserve">vzdrževanjem opreme in objektov za rabo podzemne vode, </w:t>
      </w:r>
    </w:p>
    <w:p w:rsidR="00A514B3" w:rsidRPr="00EE2EAC" w:rsidRDefault="00A514B3" w:rsidP="00247809">
      <w:pPr>
        <w:spacing w:after="200" w:line="240" w:lineRule="auto"/>
        <w:ind w:left="720" w:hanging="720"/>
        <w:jc w:val="both"/>
        <w:rPr>
          <w:szCs w:val="20"/>
        </w:rPr>
      </w:pPr>
      <w:r>
        <w:rPr>
          <w:szCs w:val="20"/>
        </w:rPr>
        <w:t xml:space="preserve">b) </w:t>
      </w:r>
      <w:r w:rsidR="00247809">
        <w:rPr>
          <w:szCs w:val="20"/>
        </w:rPr>
        <w:tab/>
      </w:r>
      <w:r w:rsidRPr="00EE2EAC">
        <w:rPr>
          <w:szCs w:val="20"/>
        </w:rPr>
        <w:t xml:space="preserve">meritvami učinkovitosti in specifične izdatnosti vrtin za odvzem vode, </w:t>
      </w:r>
    </w:p>
    <w:p w:rsidR="0064619D" w:rsidRPr="0064619D" w:rsidRDefault="00A514B3" w:rsidP="00247809">
      <w:pPr>
        <w:spacing w:after="200" w:line="240" w:lineRule="auto"/>
        <w:ind w:left="720" w:hanging="720"/>
        <w:jc w:val="both"/>
        <w:rPr>
          <w:szCs w:val="20"/>
        </w:rPr>
      </w:pPr>
      <w:r>
        <w:rPr>
          <w:szCs w:val="20"/>
        </w:rPr>
        <w:t xml:space="preserve">c) </w:t>
      </w:r>
      <w:r w:rsidR="00247809">
        <w:rPr>
          <w:szCs w:val="20"/>
        </w:rPr>
        <w:tab/>
      </w:r>
      <w:r w:rsidRPr="00EE2EAC">
        <w:rPr>
          <w:szCs w:val="20"/>
        </w:rPr>
        <w:t>meritvami statičnih in dinamičnih pogojev vrtine za odvzem vode</w:t>
      </w:r>
      <w:r>
        <w:rPr>
          <w:szCs w:val="20"/>
        </w:rPr>
        <w:t>.</w:t>
      </w:r>
    </w:p>
    <w:p w:rsidR="00247809" w:rsidRDefault="00247809" w:rsidP="0064619D">
      <w:pPr>
        <w:spacing w:after="200" w:line="276" w:lineRule="auto"/>
        <w:jc w:val="both"/>
        <w:rPr>
          <w:szCs w:val="20"/>
        </w:rPr>
      </w:pPr>
    </w:p>
    <w:p w:rsidR="00247809" w:rsidRDefault="00247809" w:rsidP="0064619D">
      <w:pPr>
        <w:spacing w:after="200" w:line="276" w:lineRule="auto"/>
        <w:jc w:val="both"/>
        <w:rPr>
          <w:szCs w:val="20"/>
        </w:rPr>
      </w:pPr>
    </w:p>
    <w:p w:rsidR="00247809" w:rsidRDefault="00247809" w:rsidP="0064619D">
      <w:pPr>
        <w:spacing w:after="200" w:line="276" w:lineRule="auto"/>
        <w:jc w:val="both"/>
        <w:rPr>
          <w:szCs w:val="20"/>
        </w:rPr>
      </w:pPr>
    </w:p>
    <w:p w:rsidR="0064619D" w:rsidRPr="0064619D" w:rsidRDefault="0064619D" w:rsidP="0064619D">
      <w:pPr>
        <w:spacing w:after="200" w:line="276" w:lineRule="auto"/>
        <w:jc w:val="both"/>
        <w:rPr>
          <w:szCs w:val="20"/>
        </w:rPr>
      </w:pPr>
      <w:r w:rsidRPr="0064619D">
        <w:rPr>
          <w:szCs w:val="20"/>
        </w:rPr>
        <w:t>k a)</w:t>
      </w:r>
    </w:p>
    <w:p w:rsidR="0064619D" w:rsidRPr="0064619D" w:rsidRDefault="0064619D" w:rsidP="0064619D">
      <w:pPr>
        <w:spacing w:after="200" w:line="276" w:lineRule="auto"/>
        <w:jc w:val="both"/>
        <w:rPr>
          <w:szCs w:val="20"/>
        </w:rPr>
      </w:pPr>
      <w:r w:rsidRPr="0064619D">
        <w:rPr>
          <w:szCs w:val="20"/>
        </w:rPr>
        <w:t>Vsa dela in spremembe, ki so bile narejene v ali pri objektu, merilni opremi ali opremi za rabo podzemne vode, je treba zapisovati in o tem poročati v letnem poročilu o monitoringu odvzetih količin podzemne vode. Enkrat tedensko je treba preverjati pravilno delovanje merilnih naprav.</w:t>
      </w:r>
    </w:p>
    <w:p w:rsidR="0064619D" w:rsidRPr="0064619D" w:rsidRDefault="0064619D" w:rsidP="0064619D">
      <w:pPr>
        <w:spacing w:after="200" w:line="276" w:lineRule="auto"/>
        <w:jc w:val="both"/>
        <w:rPr>
          <w:szCs w:val="20"/>
        </w:rPr>
      </w:pPr>
      <w:r w:rsidRPr="0064619D">
        <w:rPr>
          <w:szCs w:val="20"/>
        </w:rPr>
        <w:t>k b)</w:t>
      </w:r>
    </w:p>
    <w:p w:rsidR="0064619D" w:rsidRPr="0064619D" w:rsidRDefault="0064619D" w:rsidP="0064619D">
      <w:pPr>
        <w:spacing w:after="200" w:line="276" w:lineRule="auto"/>
        <w:jc w:val="both"/>
        <w:rPr>
          <w:szCs w:val="20"/>
        </w:rPr>
      </w:pPr>
      <w:r w:rsidRPr="0064619D">
        <w:rPr>
          <w:szCs w:val="20"/>
        </w:rPr>
        <w:t>Meritve učinkovitosti in specifične izdatnosti vrtine za odvzem vode je treba opraviti po vnaprej izdelanem postopku: gre za kratkotrajen poskus, pri čemer je treba vrtino najprej ugasniti in počakati na kvazistabilizacijo gladine in nato črpati vsaj tri različne količine po nekaj ur, s čimer se preizkusijo učinkovitosti vrtine in njene morebitne izgube (črpalni poskus). Črpalni poskus mora biti prvič izveden v treh mesecih po sklenitvi koncesijske pogodbe, če so od zadnjega poskusa pretekla več kot tri leta, in drugič v tretjem letu prvega triletnega obdobja. Nato se črpalni poskus opravlja vsako šesto leto. Postopek izvajanja črpalnega poskusa se natančneje opredeli v programu monitoringa tako, da se zagotovi primerljivost rezultatov v celotnem časovnem obdobju.</w:t>
      </w:r>
    </w:p>
    <w:p w:rsidR="0064619D" w:rsidRPr="0064619D" w:rsidRDefault="0064619D" w:rsidP="0064619D">
      <w:pPr>
        <w:spacing w:after="200" w:line="276" w:lineRule="auto"/>
        <w:jc w:val="both"/>
        <w:rPr>
          <w:szCs w:val="20"/>
        </w:rPr>
      </w:pPr>
      <w:r w:rsidRPr="0064619D">
        <w:rPr>
          <w:szCs w:val="20"/>
        </w:rPr>
        <w:t>k c)</w:t>
      </w:r>
    </w:p>
    <w:p w:rsidR="0064619D" w:rsidRPr="0064619D" w:rsidRDefault="0064619D" w:rsidP="0064619D">
      <w:pPr>
        <w:spacing w:after="200" w:line="276" w:lineRule="auto"/>
        <w:jc w:val="both"/>
        <w:rPr>
          <w:szCs w:val="20"/>
        </w:rPr>
      </w:pPr>
      <w:r w:rsidRPr="0064619D">
        <w:rPr>
          <w:szCs w:val="20"/>
        </w:rPr>
        <w:t>Meritve statičnih</w:t>
      </w:r>
      <w:r w:rsidR="00807BD0">
        <w:rPr>
          <w:szCs w:val="20"/>
        </w:rPr>
        <w:t xml:space="preserve"> in dinamičnih pogojev v vrtini</w:t>
      </w:r>
      <w:r w:rsidRPr="0064619D">
        <w:rPr>
          <w:szCs w:val="20"/>
        </w:rPr>
        <w:t xml:space="preserve"> za odvzem vode se izvajajo s spremljanjem gladine (tlaka) v času, ko se izvajajo črpalni poskusi iz prejšnje točke ali prekinitveni test iz 4. točke tretjega odstavka 3. člena te uredbe. </w:t>
      </w:r>
    </w:p>
    <w:p w:rsidR="00910C72" w:rsidRDefault="00910C72" w:rsidP="0064619D">
      <w:pPr>
        <w:spacing w:line="240" w:lineRule="auto"/>
        <w:jc w:val="both"/>
        <w:rPr>
          <w:rFonts w:cs="Arial"/>
          <w:szCs w:val="20"/>
          <w:highlight w:val="yellow"/>
        </w:rPr>
      </w:pPr>
    </w:p>
    <w:p w:rsidR="0064619D" w:rsidRDefault="0064619D" w:rsidP="0064619D">
      <w:pPr>
        <w:spacing w:line="240" w:lineRule="auto"/>
        <w:jc w:val="both"/>
        <w:rPr>
          <w:rFonts w:cs="Arial"/>
          <w:szCs w:val="20"/>
          <w:highlight w:val="yellow"/>
        </w:rPr>
      </w:pPr>
    </w:p>
    <w:sectPr w:rsidR="0064619D" w:rsidSect="00910C72">
      <w:headerReference w:type="default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60" w:rsidRDefault="00723160">
      <w:pPr>
        <w:spacing w:line="240" w:lineRule="auto"/>
      </w:pPr>
      <w:r>
        <w:separator/>
      </w:r>
    </w:p>
  </w:endnote>
  <w:endnote w:type="continuationSeparator" w:id="0">
    <w:p w:rsidR="00723160" w:rsidRDefault="00723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2568"/>
      <w:docPartObj>
        <w:docPartGallery w:val="Page Numbers (Bottom of Page)"/>
        <w:docPartUnique/>
      </w:docPartObj>
    </w:sdtPr>
    <w:sdtEndPr/>
    <w:sdtContent>
      <w:p w:rsidR="00294E23" w:rsidRDefault="00294E2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31">
          <w:rPr>
            <w:noProof/>
          </w:rPr>
          <w:t>1</w:t>
        </w:r>
        <w:r>
          <w:fldChar w:fldCharType="end"/>
        </w:r>
      </w:p>
    </w:sdtContent>
  </w:sdt>
  <w:p w:rsidR="00294E23" w:rsidRDefault="00294E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60" w:rsidRDefault="00723160">
      <w:pPr>
        <w:spacing w:line="240" w:lineRule="auto"/>
      </w:pPr>
      <w:r>
        <w:separator/>
      </w:r>
    </w:p>
  </w:footnote>
  <w:footnote w:type="continuationSeparator" w:id="0">
    <w:p w:rsidR="00723160" w:rsidRDefault="00723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23" w:rsidRPr="00110CBD" w:rsidRDefault="00294E23" w:rsidP="00910C7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94E23" w:rsidRPr="008F3500" w:rsidTr="00910C72">
      <w:trPr>
        <w:cantSplit/>
        <w:trHeight w:hRule="exact" w:val="847"/>
      </w:trPr>
      <w:tc>
        <w:tcPr>
          <w:tcW w:w="649" w:type="dxa"/>
        </w:tcPr>
        <w:p w:rsidR="00294E23" w:rsidRDefault="00294E23" w:rsidP="00910C7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294E23" w:rsidRPr="006D42D9" w:rsidRDefault="00294E23" w:rsidP="00910C72">
          <w:pPr>
            <w:rPr>
              <w:rFonts w:ascii="Republika" w:hAnsi="Republika"/>
              <w:sz w:val="60"/>
              <w:szCs w:val="60"/>
            </w:rPr>
          </w:pPr>
        </w:p>
        <w:p w:rsidR="00294E23" w:rsidRPr="006D42D9" w:rsidRDefault="00294E23" w:rsidP="00910C72">
          <w:pPr>
            <w:rPr>
              <w:rFonts w:ascii="Republika" w:hAnsi="Republika"/>
              <w:sz w:val="60"/>
              <w:szCs w:val="60"/>
            </w:rPr>
          </w:pPr>
        </w:p>
        <w:p w:rsidR="00294E23" w:rsidRPr="006D42D9" w:rsidRDefault="00294E23" w:rsidP="00910C72">
          <w:pPr>
            <w:rPr>
              <w:rFonts w:ascii="Republika" w:hAnsi="Republika"/>
              <w:sz w:val="60"/>
              <w:szCs w:val="60"/>
            </w:rPr>
          </w:pPr>
        </w:p>
        <w:p w:rsidR="00294E23" w:rsidRPr="006D42D9" w:rsidRDefault="00294E23" w:rsidP="00910C72">
          <w:pPr>
            <w:rPr>
              <w:rFonts w:ascii="Republika" w:hAnsi="Republika"/>
              <w:sz w:val="60"/>
              <w:szCs w:val="60"/>
            </w:rPr>
          </w:pPr>
        </w:p>
        <w:p w:rsidR="00294E23" w:rsidRPr="006D42D9" w:rsidRDefault="00294E23" w:rsidP="00910C72">
          <w:pPr>
            <w:rPr>
              <w:rFonts w:ascii="Republika" w:hAnsi="Republika"/>
              <w:sz w:val="60"/>
              <w:szCs w:val="60"/>
            </w:rPr>
          </w:pPr>
        </w:p>
        <w:p w:rsidR="00294E23" w:rsidRPr="006D42D9" w:rsidRDefault="00294E23" w:rsidP="00910C72">
          <w:pPr>
            <w:rPr>
              <w:rFonts w:ascii="Republika" w:hAnsi="Republika"/>
              <w:sz w:val="60"/>
              <w:szCs w:val="60"/>
            </w:rPr>
          </w:pPr>
        </w:p>
        <w:p w:rsidR="00294E23" w:rsidRPr="006D42D9" w:rsidRDefault="00294E23" w:rsidP="00910C72">
          <w:pPr>
            <w:rPr>
              <w:rFonts w:ascii="Republika" w:hAnsi="Republika"/>
              <w:sz w:val="60"/>
              <w:szCs w:val="60"/>
            </w:rPr>
          </w:pPr>
        </w:p>
        <w:p w:rsidR="00294E23" w:rsidRPr="006D42D9" w:rsidRDefault="00294E23" w:rsidP="00910C72">
          <w:pPr>
            <w:rPr>
              <w:rFonts w:ascii="Republika" w:hAnsi="Republika"/>
              <w:sz w:val="60"/>
              <w:szCs w:val="60"/>
            </w:rPr>
          </w:pPr>
        </w:p>
        <w:p w:rsidR="00294E23" w:rsidRPr="006D42D9" w:rsidRDefault="00294E23" w:rsidP="00910C72">
          <w:pPr>
            <w:rPr>
              <w:rFonts w:ascii="Republika" w:hAnsi="Republika"/>
              <w:sz w:val="60"/>
              <w:szCs w:val="60"/>
            </w:rPr>
          </w:pPr>
        </w:p>
        <w:p w:rsidR="00294E23" w:rsidRPr="006D42D9" w:rsidRDefault="00294E23" w:rsidP="00910C72">
          <w:pPr>
            <w:rPr>
              <w:rFonts w:ascii="Republika" w:hAnsi="Republika"/>
              <w:sz w:val="60"/>
              <w:szCs w:val="60"/>
            </w:rPr>
          </w:pPr>
        </w:p>
        <w:p w:rsidR="00294E23" w:rsidRPr="006D42D9" w:rsidRDefault="00294E23" w:rsidP="00910C72">
          <w:pPr>
            <w:rPr>
              <w:rFonts w:ascii="Republika" w:hAnsi="Republika"/>
              <w:sz w:val="60"/>
              <w:szCs w:val="60"/>
            </w:rPr>
          </w:pPr>
        </w:p>
        <w:p w:rsidR="00294E23" w:rsidRPr="006D42D9" w:rsidRDefault="00294E23" w:rsidP="00910C72">
          <w:pPr>
            <w:rPr>
              <w:rFonts w:ascii="Republika" w:hAnsi="Republika"/>
              <w:sz w:val="60"/>
              <w:szCs w:val="60"/>
            </w:rPr>
          </w:pPr>
        </w:p>
        <w:p w:rsidR="00294E23" w:rsidRPr="006D42D9" w:rsidRDefault="00294E23" w:rsidP="00910C72">
          <w:pPr>
            <w:rPr>
              <w:rFonts w:ascii="Republika" w:hAnsi="Republika"/>
              <w:sz w:val="60"/>
              <w:szCs w:val="60"/>
            </w:rPr>
          </w:pPr>
        </w:p>
        <w:p w:rsidR="00294E23" w:rsidRPr="006D42D9" w:rsidRDefault="00294E23" w:rsidP="00910C72">
          <w:pPr>
            <w:rPr>
              <w:rFonts w:ascii="Republika" w:hAnsi="Republika"/>
              <w:sz w:val="60"/>
              <w:szCs w:val="60"/>
            </w:rPr>
          </w:pPr>
        </w:p>
        <w:p w:rsidR="00294E23" w:rsidRPr="006D42D9" w:rsidRDefault="00294E23" w:rsidP="00910C72">
          <w:pPr>
            <w:rPr>
              <w:rFonts w:ascii="Republika" w:hAnsi="Republika"/>
              <w:sz w:val="60"/>
              <w:szCs w:val="60"/>
            </w:rPr>
          </w:pPr>
        </w:p>
        <w:p w:rsidR="00294E23" w:rsidRPr="006D42D9" w:rsidRDefault="00294E23" w:rsidP="00910C72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294E23" w:rsidRPr="00B95595" w:rsidRDefault="00294E23" w:rsidP="00910C72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AAA8553" wp14:editId="5AC9B5F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6y442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</w:rPr>
      <w:t>REPUBLIKA SLOVENIJA</w:t>
    </w:r>
  </w:p>
  <w:p w:rsidR="00294E23" w:rsidRPr="00B95595" w:rsidRDefault="00294E23" w:rsidP="00910C7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B95595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OKOLJE IN PROSTOR</w:t>
    </w:r>
  </w:p>
  <w:p w:rsidR="00294E23" w:rsidRDefault="00294E23" w:rsidP="00910C72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Dunajska cesta 48, 1000 Ljubljana</w:t>
    </w:r>
    <w:r>
      <w:rPr>
        <w:rFonts w:cs="Arial"/>
        <w:sz w:val="16"/>
      </w:rPr>
      <w:tab/>
      <w:t>T: 01 478 74 00</w:t>
    </w:r>
  </w:p>
  <w:p w:rsidR="00294E23" w:rsidRDefault="00294E23" w:rsidP="00910C72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F: 01 478 74 25 </w:t>
    </w:r>
  </w:p>
  <w:p w:rsidR="00294E23" w:rsidRDefault="00294E23" w:rsidP="00910C72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gp.mop@gov.si</w:t>
    </w:r>
  </w:p>
  <w:p w:rsidR="00294E23" w:rsidRDefault="00294E23" w:rsidP="00910C72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>www.mop.gov.si</w:t>
    </w:r>
  </w:p>
  <w:p w:rsidR="00294E23" w:rsidRPr="008F3500" w:rsidRDefault="00294E23" w:rsidP="00910C7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619"/>
    <w:multiLevelType w:val="hybridMultilevel"/>
    <w:tmpl w:val="DB26C7D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2529"/>
    <w:multiLevelType w:val="multilevel"/>
    <w:tmpl w:val="B7967DD0"/>
    <w:lvl w:ilvl="0">
      <w:start w:val="1"/>
      <w:numFmt w:val="upperRoman"/>
      <w:pStyle w:val="tevilkalena"/>
      <w:lvlText w:val="%1."/>
      <w:lvlJc w:val="left"/>
      <w:pPr>
        <w:ind w:left="1077" w:hanging="717"/>
      </w:pPr>
      <w:rPr>
        <w:rFonts w:hint="default"/>
      </w:rPr>
    </w:lvl>
    <w:lvl w:ilvl="1">
      <w:start w:val="1"/>
      <w:numFmt w:val="decimal"/>
      <w:lvlRestart w:val="0"/>
      <w:pStyle w:val="tevilkalena"/>
      <w:suff w:val="nothing"/>
      <w:lvlText w:val="%2. člen"/>
      <w:lvlJc w:val="center"/>
      <w:pPr>
        <w:ind w:left="3715" w:firstLine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0C0F72"/>
    <w:multiLevelType w:val="hybridMultilevel"/>
    <w:tmpl w:val="90907AF0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2547"/>
    <w:multiLevelType w:val="hybridMultilevel"/>
    <w:tmpl w:val="B0344228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B771B"/>
    <w:multiLevelType w:val="hybridMultilevel"/>
    <w:tmpl w:val="47CA998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D718C"/>
    <w:multiLevelType w:val="hybridMultilevel"/>
    <w:tmpl w:val="9B2446A2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BF50AA"/>
    <w:multiLevelType w:val="hybridMultilevel"/>
    <w:tmpl w:val="8624796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2E9C"/>
    <w:multiLevelType w:val="hybridMultilevel"/>
    <w:tmpl w:val="C2B42DD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3F26"/>
    <w:multiLevelType w:val="hybridMultilevel"/>
    <w:tmpl w:val="A8B22BA4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27276"/>
    <w:multiLevelType w:val="hybridMultilevel"/>
    <w:tmpl w:val="F0EE9FDE"/>
    <w:lvl w:ilvl="0" w:tplc="F6A25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E153D"/>
    <w:multiLevelType w:val="hybridMultilevel"/>
    <w:tmpl w:val="4A4EF9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F12C2"/>
    <w:multiLevelType w:val="hybridMultilevel"/>
    <w:tmpl w:val="BE9CEAAC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2C0219"/>
    <w:multiLevelType w:val="hybridMultilevel"/>
    <w:tmpl w:val="6834FAD2"/>
    <w:lvl w:ilvl="0" w:tplc="52DAE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237DA"/>
    <w:multiLevelType w:val="hybridMultilevel"/>
    <w:tmpl w:val="DB26E0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341FB"/>
    <w:multiLevelType w:val="hybridMultilevel"/>
    <w:tmpl w:val="1D22204E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176DE9"/>
    <w:multiLevelType w:val="hybridMultilevel"/>
    <w:tmpl w:val="BC1895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4257B"/>
    <w:multiLevelType w:val="hybridMultilevel"/>
    <w:tmpl w:val="4C1C4290"/>
    <w:name w:val="WW8Num8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46C0B"/>
    <w:multiLevelType w:val="hybridMultilevel"/>
    <w:tmpl w:val="76F87094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218BC"/>
    <w:multiLevelType w:val="hybridMultilevel"/>
    <w:tmpl w:val="4410B04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FF5179"/>
    <w:multiLevelType w:val="hybridMultilevel"/>
    <w:tmpl w:val="9F4A8712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4A0AB5"/>
    <w:multiLevelType w:val="hybridMultilevel"/>
    <w:tmpl w:val="C4380F66"/>
    <w:lvl w:ilvl="0" w:tplc="D77C298C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62014E"/>
    <w:multiLevelType w:val="hybridMultilevel"/>
    <w:tmpl w:val="6794F32C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265B3"/>
    <w:multiLevelType w:val="hybridMultilevel"/>
    <w:tmpl w:val="8A020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F1875"/>
    <w:multiLevelType w:val="hybridMultilevel"/>
    <w:tmpl w:val="D764CAC0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A353BD"/>
    <w:multiLevelType w:val="hybridMultilevel"/>
    <w:tmpl w:val="6FCAFF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1642F"/>
    <w:multiLevelType w:val="hybridMultilevel"/>
    <w:tmpl w:val="4E2C81B8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072FE7"/>
    <w:multiLevelType w:val="hybridMultilevel"/>
    <w:tmpl w:val="D3FE6D58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A60CE"/>
    <w:multiLevelType w:val="hybridMultilevel"/>
    <w:tmpl w:val="0CEC0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D6B96"/>
    <w:multiLevelType w:val="hybridMultilevel"/>
    <w:tmpl w:val="53880B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01879"/>
    <w:multiLevelType w:val="hybridMultilevel"/>
    <w:tmpl w:val="04B4E6BC"/>
    <w:lvl w:ilvl="0" w:tplc="D77C298C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9512F"/>
    <w:multiLevelType w:val="hybridMultilevel"/>
    <w:tmpl w:val="4A4EF9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53E37"/>
    <w:multiLevelType w:val="hybridMultilevel"/>
    <w:tmpl w:val="2B2CA700"/>
    <w:lvl w:ilvl="0" w:tplc="D77C298C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A4C44"/>
    <w:multiLevelType w:val="hybridMultilevel"/>
    <w:tmpl w:val="092E92F6"/>
    <w:lvl w:ilvl="0" w:tplc="000F0409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AD085B"/>
    <w:multiLevelType w:val="hybridMultilevel"/>
    <w:tmpl w:val="7FE4AC0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E12E7"/>
    <w:multiLevelType w:val="hybridMultilevel"/>
    <w:tmpl w:val="B454A0A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16845"/>
    <w:multiLevelType w:val="hybridMultilevel"/>
    <w:tmpl w:val="F052FF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274A6"/>
    <w:multiLevelType w:val="hybridMultilevel"/>
    <w:tmpl w:val="D87EFDE0"/>
    <w:lvl w:ilvl="0" w:tplc="04240003">
      <w:start w:val="1"/>
      <w:numFmt w:val="bullet"/>
      <w:lvlText w:val="−"/>
      <w:lvlJc w:val="left"/>
      <w:pPr>
        <w:tabs>
          <w:tab w:val="num" w:pos="480"/>
        </w:tabs>
        <w:ind w:left="480" w:hanging="360"/>
      </w:pPr>
      <w:rPr>
        <w:rFonts w:ascii="French Script MT" w:hAnsi="French Script MT" w:cs="French Script MT" w:hint="default"/>
      </w:rPr>
    </w:lvl>
    <w:lvl w:ilvl="1" w:tplc="3E9EA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022C84"/>
    <w:multiLevelType w:val="hybridMultilevel"/>
    <w:tmpl w:val="13AE495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15791"/>
    <w:multiLevelType w:val="hybridMultilevel"/>
    <w:tmpl w:val="2F0C3FDA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8"/>
  </w:num>
  <w:num w:numId="4">
    <w:abstractNumId w:val="37"/>
  </w:num>
  <w:num w:numId="5">
    <w:abstractNumId w:val="43"/>
  </w:num>
  <w:num w:numId="6">
    <w:abstractNumId w:val="29"/>
  </w:num>
  <w:num w:numId="7">
    <w:abstractNumId w:val="40"/>
  </w:num>
  <w:num w:numId="8">
    <w:abstractNumId w:val="20"/>
  </w:num>
  <w:num w:numId="9">
    <w:abstractNumId w:val="10"/>
  </w:num>
  <w:num w:numId="10">
    <w:abstractNumId w:val="1"/>
  </w:num>
  <w:num w:numId="11">
    <w:abstractNumId w:val="5"/>
  </w:num>
  <w:num w:numId="12">
    <w:abstractNumId w:val="18"/>
  </w:num>
  <w:num w:numId="13">
    <w:abstractNumId w:val="23"/>
  </w:num>
  <w:num w:numId="14">
    <w:abstractNumId w:val="12"/>
  </w:num>
  <w:num w:numId="15">
    <w:abstractNumId w:val="42"/>
  </w:num>
  <w:num w:numId="16">
    <w:abstractNumId w:val="26"/>
  </w:num>
  <w:num w:numId="17">
    <w:abstractNumId w:val="16"/>
  </w:num>
  <w:num w:numId="18">
    <w:abstractNumId w:val="27"/>
  </w:num>
  <w:num w:numId="19">
    <w:abstractNumId w:val="28"/>
  </w:num>
  <w:num w:numId="20">
    <w:abstractNumId w:val="2"/>
  </w:num>
  <w:num w:numId="21">
    <w:abstractNumId w:val="39"/>
  </w:num>
  <w:num w:numId="22">
    <w:abstractNumId w:val="3"/>
  </w:num>
  <w:num w:numId="23">
    <w:abstractNumId w:val="24"/>
  </w:num>
  <w:num w:numId="24">
    <w:abstractNumId w:val="14"/>
  </w:num>
  <w:num w:numId="25">
    <w:abstractNumId w:val="9"/>
  </w:num>
  <w:num w:numId="26">
    <w:abstractNumId w:val="21"/>
  </w:num>
  <w:num w:numId="27">
    <w:abstractNumId w:val="15"/>
  </w:num>
  <w:num w:numId="28">
    <w:abstractNumId w:val="30"/>
  </w:num>
  <w:num w:numId="29">
    <w:abstractNumId w:val="22"/>
  </w:num>
  <w:num w:numId="30">
    <w:abstractNumId w:val="19"/>
  </w:num>
  <w:num w:numId="31">
    <w:abstractNumId w:val="7"/>
  </w:num>
  <w:num w:numId="32">
    <w:abstractNumId w:val="32"/>
  </w:num>
  <w:num w:numId="33">
    <w:abstractNumId w:val="25"/>
  </w:num>
  <w:num w:numId="34">
    <w:abstractNumId w:val="36"/>
  </w:num>
  <w:num w:numId="35">
    <w:abstractNumId w:val="38"/>
  </w:num>
  <w:num w:numId="36">
    <w:abstractNumId w:val="6"/>
  </w:num>
  <w:num w:numId="37">
    <w:abstractNumId w:val="41"/>
  </w:num>
  <w:num w:numId="38">
    <w:abstractNumId w:val="0"/>
  </w:num>
  <w:num w:numId="39">
    <w:abstractNumId w:val="4"/>
  </w:num>
  <w:num w:numId="40">
    <w:abstractNumId w:val="31"/>
  </w:num>
  <w:num w:numId="41">
    <w:abstractNumId w:val="33"/>
  </w:num>
  <w:num w:numId="42">
    <w:abstractNumId w:val="13"/>
  </w:num>
  <w:num w:numId="43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72"/>
    <w:rsid w:val="000108ED"/>
    <w:rsid w:val="000306D5"/>
    <w:rsid w:val="000721AB"/>
    <w:rsid w:val="00080FA9"/>
    <w:rsid w:val="0008613F"/>
    <w:rsid w:val="000A42BB"/>
    <w:rsid w:val="000A5F3A"/>
    <w:rsid w:val="000D1D7C"/>
    <w:rsid w:val="001D045A"/>
    <w:rsid w:val="001D5C7E"/>
    <w:rsid w:val="0021590B"/>
    <w:rsid w:val="00247809"/>
    <w:rsid w:val="002747E9"/>
    <w:rsid w:val="00294E23"/>
    <w:rsid w:val="002A3A26"/>
    <w:rsid w:val="00343D78"/>
    <w:rsid w:val="003B4102"/>
    <w:rsid w:val="003D01D9"/>
    <w:rsid w:val="003D2B5D"/>
    <w:rsid w:val="004934CF"/>
    <w:rsid w:val="0049356A"/>
    <w:rsid w:val="00494A17"/>
    <w:rsid w:val="005023C1"/>
    <w:rsid w:val="005101A8"/>
    <w:rsid w:val="005333CC"/>
    <w:rsid w:val="00593D35"/>
    <w:rsid w:val="005A762B"/>
    <w:rsid w:val="005B7661"/>
    <w:rsid w:val="006035EC"/>
    <w:rsid w:val="00615B5E"/>
    <w:rsid w:val="00636EB6"/>
    <w:rsid w:val="0064619D"/>
    <w:rsid w:val="0065002C"/>
    <w:rsid w:val="006A68A2"/>
    <w:rsid w:val="00723160"/>
    <w:rsid w:val="00760910"/>
    <w:rsid w:val="007E5634"/>
    <w:rsid w:val="00807BD0"/>
    <w:rsid w:val="008561FC"/>
    <w:rsid w:val="008B0831"/>
    <w:rsid w:val="008B36C8"/>
    <w:rsid w:val="008E0255"/>
    <w:rsid w:val="008F693B"/>
    <w:rsid w:val="00910C72"/>
    <w:rsid w:val="00920023"/>
    <w:rsid w:val="009309C7"/>
    <w:rsid w:val="009A64A7"/>
    <w:rsid w:val="009B3896"/>
    <w:rsid w:val="009C7D32"/>
    <w:rsid w:val="00A04CAF"/>
    <w:rsid w:val="00A228E6"/>
    <w:rsid w:val="00A30BCE"/>
    <w:rsid w:val="00A514B3"/>
    <w:rsid w:val="00AC5C89"/>
    <w:rsid w:val="00B20A27"/>
    <w:rsid w:val="00BB0FF4"/>
    <w:rsid w:val="00C27F35"/>
    <w:rsid w:val="00C8441F"/>
    <w:rsid w:val="00C8657F"/>
    <w:rsid w:val="00D269B0"/>
    <w:rsid w:val="00D5617C"/>
    <w:rsid w:val="00E21203"/>
    <w:rsid w:val="00E241A2"/>
    <w:rsid w:val="00E54E0B"/>
    <w:rsid w:val="00E92021"/>
    <w:rsid w:val="00EA331C"/>
    <w:rsid w:val="00ED2D75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619D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910C72"/>
    <w:pPr>
      <w:keepNext/>
      <w:spacing w:before="240" w:after="60"/>
      <w:outlineLvl w:val="0"/>
    </w:pPr>
    <w:rPr>
      <w:b/>
      <w:kern w:val="32"/>
      <w:sz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10C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910C72"/>
    <w:rPr>
      <w:rFonts w:ascii="Arial" w:eastAsia="Times New Roman" w:hAnsi="Arial" w:cs="Times New Roman"/>
      <w:b/>
      <w:kern w:val="32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10C72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Glava">
    <w:name w:val="header"/>
    <w:basedOn w:val="Navaden"/>
    <w:link w:val="GlavaZnak"/>
    <w:rsid w:val="00910C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10C7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910C7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10C72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910C72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910C72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910C72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910C72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910C72"/>
    <w:rPr>
      <w:color w:val="0000FF"/>
      <w:u w:val="single"/>
    </w:rPr>
  </w:style>
  <w:style w:type="paragraph" w:customStyle="1" w:styleId="podpisi">
    <w:name w:val="podpisi"/>
    <w:basedOn w:val="Navaden"/>
    <w:qFormat/>
    <w:rsid w:val="00910C72"/>
    <w:pPr>
      <w:tabs>
        <w:tab w:val="left" w:pos="3402"/>
      </w:tabs>
    </w:pPr>
    <w:rPr>
      <w:lang w:val="it-IT"/>
    </w:rPr>
  </w:style>
  <w:style w:type="character" w:styleId="tevilkastrani">
    <w:name w:val="page number"/>
    <w:rsid w:val="00910C72"/>
    <w:rPr>
      <w:rFonts w:cs="Times New Roman"/>
    </w:rPr>
  </w:style>
  <w:style w:type="paragraph" w:customStyle="1" w:styleId="NaslovpredpisaZnakZnak">
    <w:name w:val="Naslov_predpisa Znak Znak"/>
    <w:basedOn w:val="Navaden"/>
    <w:rsid w:val="00910C72"/>
    <w:pPr>
      <w:suppressAutoHyphens/>
      <w:overflowPunct w:val="0"/>
      <w:autoSpaceDE w:val="0"/>
      <w:spacing w:before="120" w:after="160" w:line="200" w:lineRule="exact"/>
      <w:jc w:val="center"/>
      <w:textAlignment w:val="baseline"/>
    </w:pPr>
    <w:rPr>
      <w:rFonts w:cs="Arial"/>
      <w:b/>
      <w:sz w:val="24"/>
      <w:lang w:eastAsia="ar-SA"/>
    </w:rPr>
  </w:style>
  <w:style w:type="paragraph" w:styleId="Besedilooblaka">
    <w:name w:val="Balloon Text"/>
    <w:basedOn w:val="Navaden"/>
    <w:link w:val="BesedilooblakaZnak"/>
    <w:rsid w:val="00910C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10C7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910C7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910C7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910C72"/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910C7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pis1">
    <w:name w:val="Napis1"/>
    <w:basedOn w:val="Navaden"/>
    <w:rsid w:val="00910C7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Telobesedila31">
    <w:name w:val="Telo besedila 31"/>
    <w:basedOn w:val="Navaden"/>
    <w:rsid w:val="00910C72"/>
    <w:pPr>
      <w:suppressAutoHyphens/>
      <w:spacing w:after="200" w:line="276" w:lineRule="auto"/>
    </w:pPr>
    <w:rPr>
      <w:rFonts w:eastAsia="Calibri" w:cs="Arial"/>
      <w:b/>
      <w:bCs/>
      <w:sz w:val="22"/>
      <w:szCs w:val="22"/>
      <w:lang w:eastAsia="ar-SA"/>
    </w:rPr>
  </w:style>
  <w:style w:type="character" w:customStyle="1" w:styleId="address">
    <w:name w:val="address"/>
    <w:basedOn w:val="Privzetapisavaodstavka"/>
    <w:rsid w:val="00910C72"/>
  </w:style>
  <w:style w:type="paragraph" w:styleId="Navadensplet">
    <w:name w:val="Normal (Web)"/>
    <w:basedOn w:val="Navaden"/>
    <w:rsid w:val="00910C72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Krepko">
    <w:name w:val="Strong"/>
    <w:basedOn w:val="Privzetapisavaodstavka"/>
    <w:qFormat/>
    <w:rsid w:val="00910C72"/>
    <w:rPr>
      <w:b/>
      <w:bCs/>
    </w:rPr>
  </w:style>
  <w:style w:type="paragraph" w:customStyle="1" w:styleId="Neotevilenodstavek">
    <w:name w:val="Neoštevilčen odstavek"/>
    <w:basedOn w:val="Navaden"/>
    <w:link w:val="NeotevilenodstavekZnak"/>
    <w:qFormat/>
    <w:rsid w:val="00910C7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910C72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910C72"/>
    <w:pPr>
      <w:numPr>
        <w:numId w:val="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910C72"/>
    <w:rPr>
      <w:rFonts w:ascii="Arial" w:eastAsia="Times New Roman" w:hAnsi="Arial" w:cs="Times New Roman"/>
      <w:lang w:val="x-none" w:eastAsia="x-none"/>
    </w:rPr>
  </w:style>
  <w:style w:type="paragraph" w:customStyle="1" w:styleId="Predoblikovano">
    <w:name w:val="Predoblikovano"/>
    <w:basedOn w:val="Navaden"/>
    <w:rsid w:val="00910C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paragraph" w:customStyle="1" w:styleId="besedilolenabrezodstavkov">
    <w:name w:val="besedilo člena brez odstavkov"/>
    <w:basedOn w:val="Navaden"/>
    <w:next w:val="Navaden"/>
    <w:qFormat/>
    <w:rsid w:val="00910C72"/>
    <w:pPr>
      <w:spacing w:before="120" w:after="120" w:line="240" w:lineRule="auto"/>
      <w:jc w:val="both"/>
    </w:pPr>
    <w:rPr>
      <w:rFonts w:eastAsia="Calibri"/>
      <w:szCs w:val="22"/>
    </w:rPr>
  </w:style>
  <w:style w:type="paragraph" w:customStyle="1" w:styleId="besedilolenazodstavki">
    <w:name w:val="besedilo člena z odstavki"/>
    <w:basedOn w:val="Navaden"/>
    <w:qFormat/>
    <w:rsid w:val="00910C72"/>
    <w:pPr>
      <w:spacing w:before="120" w:after="120" w:line="240" w:lineRule="auto"/>
      <w:jc w:val="both"/>
    </w:pPr>
    <w:rPr>
      <w:rFonts w:eastAsia="Calibri"/>
      <w:szCs w:val="22"/>
    </w:rPr>
  </w:style>
  <w:style w:type="paragraph" w:customStyle="1" w:styleId="poglavje">
    <w:name w:val="poglavje"/>
    <w:basedOn w:val="Navaden"/>
    <w:next w:val="Navaden"/>
    <w:qFormat/>
    <w:rsid w:val="00910C72"/>
    <w:pPr>
      <w:keepNext/>
      <w:spacing w:before="600" w:after="240" w:line="240" w:lineRule="auto"/>
      <w:ind w:left="1077" w:hanging="717"/>
      <w:jc w:val="both"/>
    </w:pPr>
    <w:rPr>
      <w:rFonts w:eastAsia="Calibri"/>
      <w:caps/>
      <w:szCs w:val="22"/>
    </w:rPr>
  </w:style>
  <w:style w:type="paragraph" w:customStyle="1" w:styleId="tevilkalena">
    <w:name w:val="številka člena"/>
    <w:basedOn w:val="Navaden"/>
    <w:next w:val="besedilolenazodstavki"/>
    <w:qFormat/>
    <w:rsid w:val="00910C72"/>
    <w:pPr>
      <w:keepNext/>
      <w:numPr>
        <w:ilvl w:val="1"/>
        <w:numId w:val="10"/>
      </w:numPr>
      <w:spacing w:before="480" w:after="120" w:line="240" w:lineRule="auto"/>
      <w:jc w:val="center"/>
    </w:pPr>
    <w:rPr>
      <w:rFonts w:eastAsia="Calibri"/>
      <w:szCs w:val="22"/>
    </w:rPr>
  </w:style>
  <w:style w:type="paragraph" w:styleId="Naslov">
    <w:name w:val="Title"/>
    <w:basedOn w:val="Navaden"/>
    <w:link w:val="NaslovZnak"/>
    <w:qFormat/>
    <w:rsid w:val="00910C72"/>
    <w:pPr>
      <w:spacing w:line="240" w:lineRule="auto"/>
      <w:jc w:val="center"/>
    </w:pPr>
    <w:rPr>
      <w:b/>
      <w:color w:val="000000"/>
      <w:sz w:val="24"/>
      <w:szCs w:val="20"/>
      <w:lang w:val="en-GB" w:eastAsia="sl-SI"/>
    </w:rPr>
  </w:style>
  <w:style w:type="character" w:customStyle="1" w:styleId="NaslovZnak">
    <w:name w:val="Naslov Znak"/>
    <w:basedOn w:val="Privzetapisavaodstavka"/>
    <w:link w:val="Naslov"/>
    <w:rsid w:val="00910C72"/>
    <w:rPr>
      <w:rFonts w:ascii="Arial" w:eastAsia="Times New Roman" w:hAnsi="Arial" w:cs="Times New Roman"/>
      <w:b/>
      <w:color w:val="000000"/>
      <w:sz w:val="24"/>
      <w:szCs w:val="20"/>
      <w:lang w:val="en-GB" w:eastAsia="sl-SI"/>
    </w:rPr>
  </w:style>
  <w:style w:type="paragraph" w:customStyle="1" w:styleId="odstavek1">
    <w:name w:val="odstavek1"/>
    <w:basedOn w:val="Navaden"/>
    <w:rsid w:val="00910C7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5F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5F3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5F3A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5F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5F3A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619D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910C72"/>
    <w:pPr>
      <w:keepNext/>
      <w:spacing w:before="240" w:after="60"/>
      <w:outlineLvl w:val="0"/>
    </w:pPr>
    <w:rPr>
      <w:b/>
      <w:kern w:val="32"/>
      <w:sz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10C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910C72"/>
    <w:rPr>
      <w:rFonts w:ascii="Arial" w:eastAsia="Times New Roman" w:hAnsi="Arial" w:cs="Times New Roman"/>
      <w:b/>
      <w:kern w:val="32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10C72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Glava">
    <w:name w:val="header"/>
    <w:basedOn w:val="Navaden"/>
    <w:link w:val="GlavaZnak"/>
    <w:rsid w:val="00910C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10C7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910C7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10C72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910C72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910C72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910C72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910C72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910C72"/>
    <w:rPr>
      <w:color w:val="0000FF"/>
      <w:u w:val="single"/>
    </w:rPr>
  </w:style>
  <w:style w:type="paragraph" w:customStyle="1" w:styleId="podpisi">
    <w:name w:val="podpisi"/>
    <w:basedOn w:val="Navaden"/>
    <w:qFormat/>
    <w:rsid w:val="00910C72"/>
    <w:pPr>
      <w:tabs>
        <w:tab w:val="left" w:pos="3402"/>
      </w:tabs>
    </w:pPr>
    <w:rPr>
      <w:lang w:val="it-IT"/>
    </w:rPr>
  </w:style>
  <w:style w:type="character" w:styleId="tevilkastrani">
    <w:name w:val="page number"/>
    <w:rsid w:val="00910C72"/>
    <w:rPr>
      <w:rFonts w:cs="Times New Roman"/>
    </w:rPr>
  </w:style>
  <w:style w:type="paragraph" w:customStyle="1" w:styleId="NaslovpredpisaZnakZnak">
    <w:name w:val="Naslov_predpisa Znak Znak"/>
    <w:basedOn w:val="Navaden"/>
    <w:rsid w:val="00910C72"/>
    <w:pPr>
      <w:suppressAutoHyphens/>
      <w:overflowPunct w:val="0"/>
      <w:autoSpaceDE w:val="0"/>
      <w:spacing w:before="120" w:after="160" w:line="200" w:lineRule="exact"/>
      <w:jc w:val="center"/>
      <w:textAlignment w:val="baseline"/>
    </w:pPr>
    <w:rPr>
      <w:rFonts w:cs="Arial"/>
      <w:b/>
      <w:sz w:val="24"/>
      <w:lang w:eastAsia="ar-SA"/>
    </w:rPr>
  </w:style>
  <w:style w:type="paragraph" w:styleId="Besedilooblaka">
    <w:name w:val="Balloon Text"/>
    <w:basedOn w:val="Navaden"/>
    <w:link w:val="BesedilooblakaZnak"/>
    <w:rsid w:val="00910C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10C7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910C7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910C7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910C72"/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910C7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pis1">
    <w:name w:val="Napis1"/>
    <w:basedOn w:val="Navaden"/>
    <w:rsid w:val="00910C7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Telobesedila31">
    <w:name w:val="Telo besedila 31"/>
    <w:basedOn w:val="Navaden"/>
    <w:rsid w:val="00910C72"/>
    <w:pPr>
      <w:suppressAutoHyphens/>
      <w:spacing w:after="200" w:line="276" w:lineRule="auto"/>
    </w:pPr>
    <w:rPr>
      <w:rFonts w:eastAsia="Calibri" w:cs="Arial"/>
      <w:b/>
      <w:bCs/>
      <w:sz w:val="22"/>
      <w:szCs w:val="22"/>
      <w:lang w:eastAsia="ar-SA"/>
    </w:rPr>
  </w:style>
  <w:style w:type="character" w:customStyle="1" w:styleId="address">
    <w:name w:val="address"/>
    <w:basedOn w:val="Privzetapisavaodstavka"/>
    <w:rsid w:val="00910C72"/>
  </w:style>
  <w:style w:type="paragraph" w:styleId="Navadensplet">
    <w:name w:val="Normal (Web)"/>
    <w:basedOn w:val="Navaden"/>
    <w:rsid w:val="00910C72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Krepko">
    <w:name w:val="Strong"/>
    <w:basedOn w:val="Privzetapisavaodstavka"/>
    <w:qFormat/>
    <w:rsid w:val="00910C72"/>
    <w:rPr>
      <w:b/>
      <w:bCs/>
    </w:rPr>
  </w:style>
  <w:style w:type="paragraph" w:customStyle="1" w:styleId="Neotevilenodstavek">
    <w:name w:val="Neoštevilčen odstavek"/>
    <w:basedOn w:val="Navaden"/>
    <w:link w:val="NeotevilenodstavekZnak"/>
    <w:qFormat/>
    <w:rsid w:val="00910C7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910C72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910C72"/>
    <w:pPr>
      <w:numPr>
        <w:numId w:val="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910C72"/>
    <w:rPr>
      <w:rFonts w:ascii="Arial" w:eastAsia="Times New Roman" w:hAnsi="Arial" w:cs="Times New Roman"/>
      <w:lang w:val="x-none" w:eastAsia="x-none"/>
    </w:rPr>
  </w:style>
  <w:style w:type="paragraph" w:customStyle="1" w:styleId="Predoblikovano">
    <w:name w:val="Predoblikovano"/>
    <w:basedOn w:val="Navaden"/>
    <w:rsid w:val="00910C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paragraph" w:customStyle="1" w:styleId="besedilolenabrezodstavkov">
    <w:name w:val="besedilo člena brez odstavkov"/>
    <w:basedOn w:val="Navaden"/>
    <w:next w:val="Navaden"/>
    <w:qFormat/>
    <w:rsid w:val="00910C72"/>
    <w:pPr>
      <w:spacing w:before="120" w:after="120" w:line="240" w:lineRule="auto"/>
      <w:jc w:val="both"/>
    </w:pPr>
    <w:rPr>
      <w:rFonts w:eastAsia="Calibri"/>
      <w:szCs w:val="22"/>
    </w:rPr>
  </w:style>
  <w:style w:type="paragraph" w:customStyle="1" w:styleId="besedilolenazodstavki">
    <w:name w:val="besedilo člena z odstavki"/>
    <w:basedOn w:val="Navaden"/>
    <w:qFormat/>
    <w:rsid w:val="00910C72"/>
    <w:pPr>
      <w:spacing w:before="120" w:after="120" w:line="240" w:lineRule="auto"/>
      <w:jc w:val="both"/>
    </w:pPr>
    <w:rPr>
      <w:rFonts w:eastAsia="Calibri"/>
      <w:szCs w:val="22"/>
    </w:rPr>
  </w:style>
  <w:style w:type="paragraph" w:customStyle="1" w:styleId="poglavje">
    <w:name w:val="poglavje"/>
    <w:basedOn w:val="Navaden"/>
    <w:next w:val="Navaden"/>
    <w:qFormat/>
    <w:rsid w:val="00910C72"/>
    <w:pPr>
      <w:keepNext/>
      <w:spacing w:before="600" w:after="240" w:line="240" w:lineRule="auto"/>
      <w:ind w:left="1077" w:hanging="717"/>
      <w:jc w:val="both"/>
    </w:pPr>
    <w:rPr>
      <w:rFonts w:eastAsia="Calibri"/>
      <w:caps/>
      <w:szCs w:val="22"/>
    </w:rPr>
  </w:style>
  <w:style w:type="paragraph" w:customStyle="1" w:styleId="tevilkalena">
    <w:name w:val="številka člena"/>
    <w:basedOn w:val="Navaden"/>
    <w:next w:val="besedilolenazodstavki"/>
    <w:qFormat/>
    <w:rsid w:val="00910C72"/>
    <w:pPr>
      <w:keepNext/>
      <w:numPr>
        <w:ilvl w:val="1"/>
        <w:numId w:val="10"/>
      </w:numPr>
      <w:spacing w:before="480" w:after="120" w:line="240" w:lineRule="auto"/>
      <w:jc w:val="center"/>
    </w:pPr>
    <w:rPr>
      <w:rFonts w:eastAsia="Calibri"/>
      <w:szCs w:val="22"/>
    </w:rPr>
  </w:style>
  <w:style w:type="paragraph" w:styleId="Naslov">
    <w:name w:val="Title"/>
    <w:basedOn w:val="Navaden"/>
    <w:link w:val="NaslovZnak"/>
    <w:qFormat/>
    <w:rsid w:val="00910C72"/>
    <w:pPr>
      <w:spacing w:line="240" w:lineRule="auto"/>
      <w:jc w:val="center"/>
    </w:pPr>
    <w:rPr>
      <w:b/>
      <w:color w:val="000000"/>
      <w:sz w:val="24"/>
      <w:szCs w:val="20"/>
      <w:lang w:val="en-GB" w:eastAsia="sl-SI"/>
    </w:rPr>
  </w:style>
  <w:style w:type="character" w:customStyle="1" w:styleId="NaslovZnak">
    <w:name w:val="Naslov Znak"/>
    <w:basedOn w:val="Privzetapisavaodstavka"/>
    <w:link w:val="Naslov"/>
    <w:rsid w:val="00910C72"/>
    <w:rPr>
      <w:rFonts w:ascii="Arial" w:eastAsia="Times New Roman" w:hAnsi="Arial" w:cs="Times New Roman"/>
      <w:b/>
      <w:color w:val="000000"/>
      <w:sz w:val="24"/>
      <w:szCs w:val="20"/>
      <w:lang w:val="en-GB" w:eastAsia="sl-SI"/>
    </w:rPr>
  </w:style>
  <w:style w:type="paragraph" w:customStyle="1" w:styleId="odstavek1">
    <w:name w:val="odstavek1"/>
    <w:basedOn w:val="Navaden"/>
    <w:rsid w:val="00910C7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5F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5F3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5F3A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5F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5F3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FE3E-6E38-44EE-9088-CA451D1C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Mateja.Znidarsic</dc:creator>
  <cp:lastModifiedBy> RFele</cp:lastModifiedBy>
  <cp:revision>5</cp:revision>
  <cp:lastPrinted>2015-12-18T09:49:00Z</cp:lastPrinted>
  <dcterms:created xsi:type="dcterms:W3CDTF">2015-12-23T07:16:00Z</dcterms:created>
  <dcterms:modified xsi:type="dcterms:W3CDTF">2015-12-23T09:21:00Z</dcterms:modified>
</cp:coreProperties>
</file>