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D0" w:rsidRPr="00D462AF" w:rsidRDefault="00291179" w:rsidP="000E138A">
      <w:pPr>
        <w:spacing w:before="40"/>
        <w:ind w:right="-3"/>
        <w:rPr>
          <w:rFonts w:ascii="Arial" w:hAnsi="Arial" w:cs="Arial"/>
          <w:sz w:val="20"/>
          <w:szCs w:val="20"/>
        </w:rPr>
      </w:pPr>
      <w:r w:rsidRPr="00D462AF">
        <w:rPr>
          <w:rFonts w:ascii="Arial" w:hAnsi="Arial" w:cs="Arial"/>
          <w:noProof/>
          <w:color w:val="000000"/>
          <w:sz w:val="20"/>
          <w:szCs w:val="20"/>
          <w:lang w:eastAsia="sl-SI"/>
        </w:rPr>
        <w:drawing>
          <wp:anchor distT="0" distB="0" distL="114300" distR="114300" simplePos="0" relativeHeight="251657216" behindDoc="0" locked="0" layoutInCell="1" allowOverlap="1">
            <wp:simplePos x="0" y="0"/>
            <wp:positionH relativeFrom="column">
              <wp:posOffset>-27940</wp:posOffset>
            </wp:positionH>
            <wp:positionV relativeFrom="paragraph">
              <wp:posOffset>1905</wp:posOffset>
            </wp:positionV>
            <wp:extent cx="3121660" cy="376555"/>
            <wp:effectExtent l="0" t="0" r="2540" b="4445"/>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p>
    <w:p w:rsidR="000E138A" w:rsidRPr="00D462AF" w:rsidRDefault="000E138A" w:rsidP="000E138A">
      <w:pPr>
        <w:spacing w:before="40"/>
        <w:ind w:right="-3"/>
        <w:rPr>
          <w:rFonts w:ascii="Arial" w:hAnsi="Arial" w:cs="Arial"/>
          <w:sz w:val="20"/>
          <w:szCs w:val="20"/>
        </w:rPr>
      </w:pPr>
    </w:p>
    <w:p w:rsidR="000E138A" w:rsidRPr="00D462AF" w:rsidRDefault="000E138A" w:rsidP="000E138A">
      <w:pPr>
        <w:spacing w:before="60"/>
        <w:ind w:right="-3"/>
        <w:rPr>
          <w:rFonts w:ascii="Arial" w:hAnsi="Arial" w:cs="Arial"/>
          <w:sz w:val="20"/>
          <w:szCs w:val="20"/>
        </w:rPr>
      </w:pPr>
    </w:p>
    <w:p w:rsidR="000E138A" w:rsidRPr="00D462AF" w:rsidRDefault="00487EAD" w:rsidP="000E138A">
      <w:pPr>
        <w:spacing w:before="60"/>
        <w:ind w:right="-3"/>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simplePos x="0" y="0"/>
                <wp:positionH relativeFrom="column">
                  <wp:posOffset>1404620</wp:posOffset>
                </wp:positionH>
                <wp:positionV relativeFrom="paragraph">
                  <wp:posOffset>9076055</wp:posOffset>
                </wp:positionV>
                <wp:extent cx="4791075" cy="580390"/>
                <wp:effectExtent l="0" t="0" r="952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A6E" w:rsidRPr="00D61ACE" w:rsidRDefault="000C2A6E"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U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bT9A+ewIA&#10;AP8EAAAOAAAAAAAAAAAAAAAAAC4CAABkcnMvZTJvRG9jLnhtbFBLAQItABQABgAIAAAAIQC33jou&#10;4gAAAA0BAAAPAAAAAAAAAAAAAAAAANUEAABkcnMvZG93bnJldi54bWxQSwUGAAAAAAQABADzAAAA&#10;5AUAAAAA&#10;" stroked="f">
                <v:textbox inset="0,0,0,0">
                  <w:txbxContent>
                    <w:p w:rsidR="000C2A6E" w:rsidRPr="00D61ACE" w:rsidRDefault="000C2A6E" w:rsidP="000E138A">
                      <w:pPr>
                        <w:rPr>
                          <w:color w:val="000000"/>
                          <w:spacing w:val="-2"/>
                          <w:sz w:val="16"/>
                          <w:szCs w:val="16"/>
                          <w:lang w:eastAsia="sl-SI"/>
                        </w:rPr>
                      </w:pPr>
                    </w:p>
                  </w:txbxContent>
                </v:textbox>
              </v:shape>
            </w:pict>
          </mc:Fallback>
        </mc:AlternateContent>
      </w:r>
    </w:p>
    <w:p w:rsidR="000E138A" w:rsidRPr="00D462AF" w:rsidRDefault="000E138A" w:rsidP="000E138A">
      <w:pPr>
        <w:pStyle w:val="Glava"/>
        <w:tabs>
          <w:tab w:val="clear" w:pos="4320"/>
          <w:tab w:val="clear" w:pos="8640"/>
          <w:tab w:val="left" w:pos="5112"/>
        </w:tabs>
        <w:spacing w:before="120" w:line="240" w:lineRule="exact"/>
        <w:rPr>
          <w:rFonts w:cs="Arial"/>
          <w:szCs w:val="20"/>
          <w:lang w:val="sl-SI"/>
        </w:rPr>
      </w:pPr>
      <w:r w:rsidRPr="00D462AF">
        <w:rPr>
          <w:rFonts w:cs="Arial"/>
          <w:szCs w:val="20"/>
          <w:lang w:val="sl-SI"/>
        </w:rPr>
        <w:t>Langusova ulica 4, 1535 Ljubljana</w:t>
      </w:r>
      <w:r w:rsidRPr="00D462AF">
        <w:rPr>
          <w:rFonts w:cs="Arial"/>
          <w:szCs w:val="20"/>
          <w:lang w:val="sl-SI"/>
        </w:rPr>
        <w:tab/>
        <w:t>T: 01 478 80 00</w:t>
      </w:r>
    </w:p>
    <w:p w:rsidR="000E138A" w:rsidRPr="00D462AF" w:rsidRDefault="000E138A" w:rsidP="000E138A">
      <w:pPr>
        <w:pStyle w:val="Glava"/>
        <w:tabs>
          <w:tab w:val="clear" w:pos="4320"/>
          <w:tab w:val="clear" w:pos="8640"/>
          <w:tab w:val="left" w:pos="5112"/>
        </w:tabs>
        <w:spacing w:line="240" w:lineRule="exact"/>
        <w:rPr>
          <w:rFonts w:cs="Arial"/>
          <w:szCs w:val="20"/>
          <w:lang w:val="sl-SI"/>
        </w:rPr>
      </w:pPr>
      <w:r w:rsidRPr="00D462AF">
        <w:rPr>
          <w:rFonts w:cs="Arial"/>
          <w:szCs w:val="20"/>
          <w:lang w:val="sl-SI"/>
        </w:rPr>
        <w:tab/>
        <w:t xml:space="preserve">F: 01 478 81 39 </w:t>
      </w:r>
    </w:p>
    <w:p w:rsidR="000E138A" w:rsidRPr="00D462AF" w:rsidRDefault="000E138A" w:rsidP="000E138A">
      <w:pPr>
        <w:pStyle w:val="Glava"/>
        <w:tabs>
          <w:tab w:val="clear" w:pos="4320"/>
          <w:tab w:val="clear" w:pos="8640"/>
          <w:tab w:val="left" w:pos="5112"/>
        </w:tabs>
        <w:spacing w:line="240" w:lineRule="exact"/>
        <w:rPr>
          <w:rFonts w:cs="Arial"/>
          <w:szCs w:val="20"/>
          <w:lang w:val="sl-SI"/>
        </w:rPr>
      </w:pPr>
      <w:r w:rsidRPr="00D462AF">
        <w:rPr>
          <w:rFonts w:cs="Arial"/>
          <w:szCs w:val="20"/>
          <w:lang w:val="sl-SI"/>
        </w:rPr>
        <w:tab/>
        <w:t>E: gp.mz</w:t>
      </w:r>
      <w:r w:rsidR="001F3974" w:rsidRPr="00D462AF">
        <w:rPr>
          <w:rFonts w:cs="Arial"/>
          <w:szCs w:val="20"/>
          <w:lang w:val="sl-SI"/>
        </w:rPr>
        <w:t>i</w:t>
      </w:r>
      <w:r w:rsidRPr="00D462AF">
        <w:rPr>
          <w:rFonts w:cs="Arial"/>
          <w:szCs w:val="20"/>
          <w:lang w:val="sl-SI"/>
        </w:rPr>
        <w:t>@gov.si</w:t>
      </w:r>
    </w:p>
    <w:p w:rsidR="000E138A" w:rsidRPr="00D462AF" w:rsidRDefault="000E138A" w:rsidP="000E138A">
      <w:pPr>
        <w:pStyle w:val="Glava"/>
        <w:tabs>
          <w:tab w:val="clear" w:pos="4320"/>
          <w:tab w:val="clear" w:pos="8640"/>
          <w:tab w:val="left" w:pos="5112"/>
        </w:tabs>
        <w:spacing w:line="240" w:lineRule="exact"/>
        <w:rPr>
          <w:rFonts w:cs="Arial"/>
          <w:szCs w:val="20"/>
          <w:lang w:val="sl-SI"/>
        </w:rPr>
      </w:pPr>
      <w:r w:rsidRPr="00D462AF">
        <w:rPr>
          <w:rFonts w:cs="Arial"/>
          <w:szCs w:val="20"/>
          <w:lang w:val="sl-SI"/>
        </w:rPr>
        <w:tab/>
        <w:t>www.mz</w:t>
      </w:r>
      <w:r w:rsidR="001F3974" w:rsidRPr="00D462AF">
        <w:rPr>
          <w:rFonts w:cs="Arial"/>
          <w:szCs w:val="20"/>
          <w:lang w:val="sl-SI"/>
        </w:rPr>
        <w:t>i</w:t>
      </w:r>
      <w:r w:rsidRPr="00D462AF">
        <w:rPr>
          <w:rFonts w:cs="Arial"/>
          <w:szCs w:val="20"/>
          <w:lang w:val="sl-SI"/>
        </w:rPr>
        <w:t>.gov.si</w:t>
      </w:r>
    </w:p>
    <w:p w:rsidR="000E138A" w:rsidRPr="00D462AF" w:rsidRDefault="000E138A" w:rsidP="00D462AF">
      <w:pPr>
        <w:pStyle w:val="Glava"/>
        <w:tabs>
          <w:tab w:val="clear" w:pos="4320"/>
          <w:tab w:val="clear" w:pos="8640"/>
          <w:tab w:val="left" w:pos="5112"/>
        </w:tabs>
        <w:rPr>
          <w:rFonts w:cs="Arial"/>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02B4B" w:rsidRPr="00D462AF" w:rsidTr="003F712A">
        <w:trPr>
          <w:gridAfter w:val="2"/>
          <w:wAfter w:w="3067" w:type="dxa"/>
        </w:trPr>
        <w:tc>
          <w:tcPr>
            <w:tcW w:w="6096" w:type="dxa"/>
            <w:gridSpan w:val="2"/>
          </w:tcPr>
          <w:p w:rsidR="00F02B4B" w:rsidRPr="002E1241" w:rsidRDefault="00F02B4B" w:rsidP="00487EAD">
            <w:pPr>
              <w:pStyle w:val="Neotevilenodstavek"/>
              <w:spacing w:before="40" w:afterLines="40" w:after="96" w:line="260" w:lineRule="atLeast"/>
              <w:jc w:val="left"/>
              <w:rPr>
                <w:sz w:val="20"/>
                <w:szCs w:val="20"/>
                <w:highlight w:val="yellow"/>
              </w:rPr>
            </w:pPr>
            <w:r w:rsidRPr="00E26B0E">
              <w:rPr>
                <w:sz w:val="20"/>
                <w:szCs w:val="20"/>
              </w:rPr>
              <w:t xml:space="preserve">Številka: </w:t>
            </w:r>
            <w:r w:rsidR="00E26B0E" w:rsidRPr="00E26B0E">
              <w:rPr>
                <w:bCs/>
                <w:sz w:val="20"/>
                <w:szCs w:val="20"/>
              </w:rPr>
              <w:t>007-184/2017/42</w:t>
            </w:r>
            <w:r w:rsidR="00B73DE4" w:rsidRPr="00E26B0E">
              <w:rPr>
                <w:bCs/>
                <w:sz w:val="20"/>
                <w:szCs w:val="20"/>
              </w:rPr>
              <w:t>-00181024</w:t>
            </w:r>
          </w:p>
        </w:tc>
      </w:tr>
      <w:tr w:rsidR="00F02B4B" w:rsidRPr="00D462AF" w:rsidTr="003F712A">
        <w:trPr>
          <w:gridAfter w:val="2"/>
          <w:wAfter w:w="3067" w:type="dxa"/>
        </w:trPr>
        <w:tc>
          <w:tcPr>
            <w:tcW w:w="6096" w:type="dxa"/>
            <w:gridSpan w:val="2"/>
          </w:tcPr>
          <w:p w:rsidR="00F02B4B" w:rsidRPr="002E1241" w:rsidRDefault="00F02B4B" w:rsidP="00DD6975">
            <w:pPr>
              <w:pStyle w:val="Neotevilenodstavek"/>
              <w:spacing w:before="40" w:afterLines="40" w:after="96" w:line="260" w:lineRule="atLeast"/>
              <w:jc w:val="left"/>
              <w:rPr>
                <w:sz w:val="20"/>
                <w:szCs w:val="20"/>
                <w:highlight w:val="yellow"/>
              </w:rPr>
            </w:pPr>
            <w:r w:rsidRPr="00E26B0E">
              <w:rPr>
                <w:sz w:val="20"/>
                <w:szCs w:val="20"/>
              </w:rPr>
              <w:t>Ljubljana,</w:t>
            </w:r>
            <w:r w:rsidR="004A5FAA" w:rsidRPr="00E26B0E">
              <w:rPr>
                <w:sz w:val="20"/>
                <w:szCs w:val="20"/>
              </w:rPr>
              <w:t xml:space="preserve"> </w:t>
            </w:r>
            <w:r w:rsidR="00E26B0E">
              <w:rPr>
                <w:sz w:val="20"/>
                <w:szCs w:val="20"/>
              </w:rPr>
              <w:t>17</w:t>
            </w:r>
            <w:r w:rsidR="00CA6E16" w:rsidRPr="00E26B0E">
              <w:rPr>
                <w:sz w:val="20"/>
                <w:szCs w:val="20"/>
              </w:rPr>
              <w:t xml:space="preserve">. </w:t>
            </w:r>
            <w:r w:rsidR="00DD6975" w:rsidRPr="00E26B0E">
              <w:rPr>
                <w:sz w:val="20"/>
                <w:szCs w:val="20"/>
              </w:rPr>
              <w:t>7</w:t>
            </w:r>
            <w:r w:rsidR="00CA6E16" w:rsidRPr="00E26B0E">
              <w:rPr>
                <w:sz w:val="20"/>
                <w:szCs w:val="20"/>
              </w:rPr>
              <w:t>.</w:t>
            </w:r>
            <w:r w:rsidRPr="00E26B0E">
              <w:rPr>
                <w:sz w:val="20"/>
                <w:szCs w:val="20"/>
              </w:rPr>
              <w:t xml:space="preserve"> </w:t>
            </w:r>
            <w:r w:rsidR="000E3319" w:rsidRPr="00E26B0E">
              <w:rPr>
                <w:sz w:val="20"/>
                <w:szCs w:val="20"/>
              </w:rPr>
              <w:t>201</w:t>
            </w:r>
            <w:r w:rsidR="00B609C0" w:rsidRPr="00E26B0E">
              <w:rPr>
                <w:sz w:val="20"/>
                <w:szCs w:val="20"/>
              </w:rPr>
              <w:t>7</w:t>
            </w:r>
          </w:p>
        </w:tc>
      </w:tr>
      <w:tr w:rsidR="00F02B4B" w:rsidRPr="00D462AF" w:rsidTr="003F712A">
        <w:trPr>
          <w:gridAfter w:val="2"/>
          <w:wAfter w:w="3067" w:type="dxa"/>
        </w:trPr>
        <w:tc>
          <w:tcPr>
            <w:tcW w:w="6096" w:type="dxa"/>
            <w:gridSpan w:val="2"/>
          </w:tcPr>
          <w:p w:rsidR="00F02B4B" w:rsidRPr="00D462AF" w:rsidRDefault="00F02B4B" w:rsidP="00487EAD">
            <w:pPr>
              <w:pStyle w:val="Neotevilenodstavek"/>
              <w:spacing w:before="40" w:afterLines="40" w:after="96" w:line="260" w:lineRule="atLeast"/>
              <w:jc w:val="left"/>
              <w:rPr>
                <w:sz w:val="20"/>
                <w:szCs w:val="20"/>
              </w:rPr>
            </w:pPr>
            <w:r w:rsidRPr="00D462AF">
              <w:rPr>
                <w:iCs/>
                <w:sz w:val="20"/>
                <w:szCs w:val="20"/>
              </w:rPr>
              <w:t xml:space="preserve">EVA </w:t>
            </w:r>
            <w:r w:rsidR="00B609C0" w:rsidRPr="00B609C0">
              <w:rPr>
                <w:iCs/>
                <w:sz w:val="20"/>
                <w:szCs w:val="20"/>
              </w:rPr>
              <w:t>2017-2430-0035</w:t>
            </w:r>
          </w:p>
        </w:tc>
      </w:tr>
      <w:tr w:rsidR="00F02B4B" w:rsidRPr="00D462AF" w:rsidTr="003F712A">
        <w:trPr>
          <w:gridAfter w:val="2"/>
          <w:wAfter w:w="3067" w:type="dxa"/>
        </w:trPr>
        <w:tc>
          <w:tcPr>
            <w:tcW w:w="6096" w:type="dxa"/>
            <w:gridSpan w:val="2"/>
          </w:tcPr>
          <w:p w:rsidR="00F02B4B" w:rsidRPr="00D462AF" w:rsidRDefault="00F02B4B" w:rsidP="00487EAD">
            <w:pPr>
              <w:spacing w:before="40" w:afterLines="40" w:after="96" w:line="260" w:lineRule="atLeast"/>
              <w:rPr>
                <w:rFonts w:ascii="Arial" w:hAnsi="Arial" w:cs="Arial"/>
                <w:sz w:val="20"/>
                <w:szCs w:val="20"/>
              </w:rPr>
            </w:pPr>
          </w:p>
          <w:p w:rsidR="00F02B4B" w:rsidRPr="00D462AF" w:rsidRDefault="00F02B4B">
            <w:pPr>
              <w:spacing w:before="40" w:afterLines="40" w:after="96" w:line="260" w:lineRule="atLeast"/>
              <w:rPr>
                <w:rFonts w:ascii="Arial" w:hAnsi="Arial" w:cs="Arial"/>
                <w:sz w:val="20"/>
                <w:szCs w:val="20"/>
              </w:rPr>
            </w:pPr>
            <w:r w:rsidRPr="00D462AF">
              <w:rPr>
                <w:rFonts w:ascii="Arial" w:hAnsi="Arial" w:cs="Arial"/>
                <w:sz w:val="20"/>
                <w:szCs w:val="20"/>
              </w:rPr>
              <w:t>GENERALNI SEKRETARIAT VLADE REPUBLIKE SLOVENIJE</w:t>
            </w:r>
          </w:p>
          <w:p w:rsidR="00F02B4B" w:rsidRPr="00D462AF" w:rsidRDefault="009162DF">
            <w:pPr>
              <w:spacing w:before="40" w:afterLines="40" w:after="96" w:line="260" w:lineRule="atLeast"/>
              <w:rPr>
                <w:rFonts w:ascii="Arial" w:hAnsi="Arial" w:cs="Arial"/>
                <w:sz w:val="20"/>
                <w:szCs w:val="20"/>
              </w:rPr>
            </w:pPr>
            <w:hyperlink r:id="rId10" w:history="1">
              <w:r w:rsidR="00F02B4B" w:rsidRPr="00D462AF">
                <w:rPr>
                  <w:rStyle w:val="Hiperpovezava"/>
                  <w:rFonts w:ascii="Arial" w:hAnsi="Arial" w:cs="Arial"/>
                  <w:sz w:val="20"/>
                  <w:szCs w:val="20"/>
                </w:rPr>
                <w:t>Gp.gs@gov.si</w:t>
              </w:r>
            </w:hyperlink>
          </w:p>
          <w:p w:rsidR="00F02B4B" w:rsidRPr="00D462AF" w:rsidRDefault="00F02B4B">
            <w:pPr>
              <w:spacing w:before="40" w:afterLines="40" w:after="96" w:line="260" w:lineRule="atLeast"/>
              <w:rPr>
                <w:rFonts w:ascii="Arial" w:hAnsi="Arial" w:cs="Arial"/>
                <w:sz w:val="20"/>
                <w:szCs w:val="20"/>
              </w:rPr>
            </w:pPr>
          </w:p>
          <w:p w:rsidR="00F02B4B" w:rsidRPr="00D462AF" w:rsidRDefault="00F02B4B">
            <w:pPr>
              <w:spacing w:before="40" w:afterLines="40" w:after="96" w:line="260" w:lineRule="atLeast"/>
              <w:rPr>
                <w:rFonts w:ascii="Arial" w:hAnsi="Arial" w:cs="Arial"/>
                <w:sz w:val="20"/>
                <w:szCs w:val="20"/>
              </w:rPr>
            </w:pPr>
          </w:p>
        </w:tc>
      </w:tr>
      <w:tr w:rsidR="00F02B4B" w:rsidRPr="00D462AF" w:rsidTr="003F712A">
        <w:tc>
          <w:tcPr>
            <w:tcW w:w="9163" w:type="dxa"/>
            <w:gridSpan w:val="4"/>
          </w:tcPr>
          <w:p w:rsidR="00F02B4B" w:rsidRPr="00832DAC" w:rsidRDefault="00F02B4B" w:rsidP="00724ED1">
            <w:pPr>
              <w:pStyle w:val="Naslovpredpisa"/>
              <w:spacing w:before="40" w:afterLines="40" w:after="96" w:line="260" w:lineRule="atLeast"/>
              <w:jc w:val="both"/>
              <w:rPr>
                <w:bCs/>
                <w:sz w:val="20"/>
                <w:szCs w:val="20"/>
              </w:rPr>
            </w:pPr>
            <w:r w:rsidRPr="00D462AF">
              <w:rPr>
                <w:sz w:val="20"/>
                <w:szCs w:val="20"/>
              </w:rPr>
              <w:t xml:space="preserve">ZADEVA: </w:t>
            </w:r>
            <w:r w:rsidR="00BF73BB">
              <w:rPr>
                <w:sz w:val="20"/>
                <w:szCs w:val="20"/>
              </w:rPr>
              <w:t xml:space="preserve">Novo gradivo št. 1: </w:t>
            </w:r>
            <w:r w:rsidR="00832DAC">
              <w:rPr>
                <w:bCs/>
                <w:sz w:val="20"/>
                <w:szCs w:val="20"/>
              </w:rPr>
              <w:t xml:space="preserve">Uredba </w:t>
            </w:r>
            <w:r w:rsidR="00832DAC" w:rsidRPr="00832DAC">
              <w:rPr>
                <w:sz w:val="20"/>
                <w:szCs w:val="20"/>
              </w:rPr>
              <w:t>o vzpostavitvi infrastrukture za alternativna goriva v prometu</w:t>
            </w:r>
            <w:r w:rsidR="00832DAC">
              <w:rPr>
                <w:bCs/>
                <w:sz w:val="20"/>
                <w:szCs w:val="20"/>
              </w:rPr>
              <w:t xml:space="preserve"> </w:t>
            </w:r>
            <w:r w:rsidR="00DA7B79">
              <w:rPr>
                <w:sz w:val="20"/>
                <w:szCs w:val="20"/>
              </w:rPr>
              <w:t>– predlog za obravnavo</w:t>
            </w:r>
          </w:p>
        </w:tc>
      </w:tr>
      <w:tr w:rsidR="00F02B4B" w:rsidRPr="00D462AF" w:rsidTr="003F712A">
        <w:tc>
          <w:tcPr>
            <w:tcW w:w="9163" w:type="dxa"/>
            <w:gridSpan w:val="4"/>
          </w:tcPr>
          <w:p w:rsidR="00F02B4B" w:rsidRPr="00D462AF" w:rsidRDefault="00F02B4B" w:rsidP="00487EAD">
            <w:pPr>
              <w:pStyle w:val="Poglavje"/>
              <w:spacing w:before="40" w:afterLines="40" w:after="96" w:line="260" w:lineRule="atLeast"/>
              <w:jc w:val="left"/>
              <w:rPr>
                <w:sz w:val="20"/>
                <w:szCs w:val="20"/>
              </w:rPr>
            </w:pPr>
            <w:r w:rsidRPr="00D462AF">
              <w:rPr>
                <w:sz w:val="20"/>
                <w:szCs w:val="20"/>
              </w:rPr>
              <w:t>1. Predlog sklepov vlade:</w:t>
            </w:r>
          </w:p>
        </w:tc>
      </w:tr>
      <w:tr w:rsidR="00F02B4B" w:rsidRPr="00D462AF" w:rsidTr="003F712A">
        <w:tc>
          <w:tcPr>
            <w:tcW w:w="9163" w:type="dxa"/>
            <w:gridSpan w:val="4"/>
          </w:tcPr>
          <w:p w:rsidR="00B609C0" w:rsidRPr="00B609C0" w:rsidRDefault="00B609C0" w:rsidP="00B609C0">
            <w:pPr>
              <w:pStyle w:val="Neotevilenodstavek"/>
              <w:spacing w:before="40" w:afterLines="40" w:after="96" w:line="260" w:lineRule="atLeast"/>
              <w:rPr>
                <w:bCs/>
                <w:iCs/>
                <w:sz w:val="20"/>
                <w:szCs w:val="20"/>
              </w:rPr>
            </w:pPr>
            <w:r w:rsidRPr="00B609C0">
              <w:rPr>
                <w:bCs/>
                <w:iCs/>
                <w:sz w:val="20"/>
                <w:szCs w:val="20"/>
              </w:rPr>
              <w:t>Na podlagi</w:t>
            </w:r>
            <w:r w:rsidR="00F67729">
              <w:rPr>
                <w:bCs/>
                <w:iCs/>
                <w:sz w:val="20"/>
                <w:szCs w:val="20"/>
              </w:rPr>
              <w:t xml:space="preserve"> </w:t>
            </w:r>
            <w:r w:rsidRPr="00B609C0">
              <w:rPr>
                <w:bCs/>
                <w:iCs/>
                <w:sz w:val="20"/>
                <w:szCs w:val="20"/>
              </w:rPr>
              <w:t>21. člena Zakona o Vladi Republike Slovenije (Uradni list RS, št. 24/05-uradno prečiščeno besedilo, 109/08, 38/10 – ZUKN, 8/12, 21/13 in 47/13 – ZDU-1G) je Vlada Republike Slovenije na ............. seji  dne ......</w:t>
            </w:r>
            <w:r w:rsidR="00F67729">
              <w:rPr>
                <w:bCs/>
                <w:iCs/>
                <w:sz w:val="20"/>
                <w:szCs w:val="20"/>
              </w:rPr>
              <w:t>...... sprejela naslednje sklep</w:t>
            </w:r>
            <w:r w:rsidRPr="00B609C0">
              <w:rPr>
                <w:bCs/>
                <w:iCs/>
                <w:sz w:val="20"/>
                <w:szCs w:val="20"/>
              </w:rPr>
              <w:t>:</w:t>
            </w:r>
          </w:p>
          <w:p w:rsidR="00B609C0" w:rsidRPr="00B609C0" w:rsidRDefault="00B609C0" w:rsidP="00B609C0">
            <w:pPr>
              <w:pStyle w:val="Neotevilenodstavek"/>
              <w:spacing w:before="40" w:afterLines="40" w:after="96" w:line="260" w:lineRule="atLeast"/>
              <w:rPr>
                <w:bCs/>
                <w:iCs/>
                <w:sz w:val="20"/>
                <w:szCs w:val="20"/>
              </w:rPr>
            </w:pPr>
          </w:p>
          <w:p w:rsidR="00B609C0" w:rsidRPr="00832DAC" w:rsidRDefault="00B609C0" w:rsidP="00B609C0">
            <w:pPr>
              <w:pStyle w:val="Neotevilenodstavek"/>
              <w:numPr>
                <w:ilvl w:val="0"/>
                <w:numId w:val="10"/>
              </w:numPr>
              <w:spacing w:before="40" w:afterLines="40" w:after="96" w:line="260" w:lineRule="atLeast"/>
              <w:rPr>
                <w:bCs/>
                <w:iCs/>
                <w:sz w:val="20"/>
                <w:szCs w:val="20"/>
              </w:rPr>
            </w:pPr>
            <w:r w:rsidRPr="00B609C0">
              <w:rPr>
                <w:bCs/>
                <w:iCs/>
                <w:sz w:val="20"/>
                <w:szCs w:val="20"/>
              </w:rPr>
              <w:t>Vlada</w:t>
            </w:r>
            <w:r w:rsidR="00F67729">
              <w:rPr>
                <w:bCs/>
                <w:iCs/>
                <w:sz w:val="20"/>
                <w:szCs w:val="20"/>
              </w:rPr>
              <w:t xml:space="preserve"> Republike Slovenije je izdala</w:t>
            </w:r>
            <w:r w:rsidRPr="00B609C0">
              <w:rPr>
                <w:bCs/>
                <w:iCs/>
                <w:sz w:val="20"/>
                <w:szCs w:val="20"/>
              </w:rPr>
              <w:t xml:space="preserve"> </w:t>
            </w:r>
            <w:r w:rsidR="00832DAC" w:rsidRPr="00832DAC">
              <w:rPr>
                <w:bCs/>
                <w:iCs/>
                <w:sz w:val="20"/>
                <w:szCs w:val="20"/>
              </w:rPr>
              <w:t>U</w:t>
            </w:r>
            <w:r w:rsidR="00832DAC">
              <w:rPr>
                <w:bCs/>
                <w:iCs/>
                <w:sz w:val="20"/>
                <w:szCs w:val="20"/>
              </w:rPr>
              <w:t>redbo</w:t>
            </w:r>
            <w:r w:rsidR="00832DAC" w:rsidRPr="00832DAC">
              <w:rPr>
                <w:bCs/>
                <w:iCs/>
                <w:sz w:val="20"/>
                <w:szCs w:val="20"/>
              </w:rPr>
              <w:t xml:space="preserve"> o vzpostavitvi infrastrukture za alternativna goriva v prometu</w:t>
            </w:r>
            <w:r w:rsidR="00F67729">
              <w:rPr>
                <w:bCs/>
                <w:iCs/>
                <w:sz w:val="20"/>
                <w:szCs w:val="20"/>
              </w:rPr>
              <w:t xml:space="preserve"> in jo objavi v Uradnem listu Republike Slovenije</w:t>
            </w:r>
          </w:p>
          <w:p w:rsidR="00B609C0" w:rsidRPr="00B609C0" w:rsidRDefault="00B609C0" w:rsidP="00B609C0">
            <w:pPr>
              <w:pStyle w:val="Neotevilenodstavek"/>
              <w:spacing w:before="40" w:afterLines="40" w:after="96" w:line="260" w:lineRule="atLeast"/>
              <w:rPr>
                <w:bCs/>
                <w:i/>
                <w:iCs/>
                <w:sz w:val="20"/>
                <w:szCs w:val="20"/>
              </w:rPr>
            </w:pPr>
          </w:p>
          <w:p w:rsidR="00B609C0" w:rsidRPr="001D3D0F" w:rsidRDefault="00B609C0" w:rsidP="00B609C0">
            <w:pPr>
              <w:widowControl w:val="0"/>
              <w:spacing w:line="240" w:lineRule="atLeast"/>
              <w:jc w:val="both"/>
              <w:rPr>
                <w:rFonts w:ascii="Arial" w:hAnsi="Arial" w:cs="Arial"/>
                <w:bCs/>
                <w:i/>
                <w:sz w:val="20"/>
                <w:szCs w:val="20"/>
              </w:rPr>
            </w:pPr>
            <w:r w:rsidRPr="001D3D0F">
              <w:rPr>
                <w:rFonts w:ascii="Arial" w:hAnsi="Arial" w:cs="Arial"/>
                <w:bCs/>
                <w:i/>
                <w:sz w:val="20"/>
                <w:szCs w:val="20"/>
              </w:rPr>
              <w:t>Sklep prejmejo:</w:t>
            </w:r>
          </w:p>
          <w:p w:rsidR="00B609C0" w:rsidRPr="001D3D0F" w:rsidRDefault="00B609C0" w:rsidP="00754A5D">
            <w:pPr>
              <w:widowControl w:val="0"/>
              <w:numPr>
                <w:ilvl w:val="0"/>
                <w:numId w:val="11"/>
              </w:numPr>
              <w:spacing w:line="240" w:lineRule="atLeast"/>
              <w:jc w:val="both"/>
              <w:rPr>
                <w:rFonts w:ascii="Arial" w:hAnsi="Arial" w:cs="Arial"/>
                <w:bCs/>
                <w:sz w:val="20"/>
                <w:szCs w:val="20"/>
              </w:rPr>
            </w:pPr>
            <w:r w:rsidRPr="001D3D0F">
              <w:rPr>
                <w:rFonts w:ascii="Arial" w:hAnsi="Arial" w:cs="Arial"/>
                <w:bCs/>
                <w:sz w:val="20"/>
                <w:szCs w:val="20"/>
              </w:rPr>
              <w:t>Državni zbor Republike Slovenije, Šubičeva 4, Ljubljana,</w:t>
            </w:r>
          </w:p>
          <w:p w:rsidR="00B609C0" w:rsidRPr="001D3D0F" w:rsidRDefault="00B609C0" w:rsidP="00754A5D">
            <w:pPr>
              <w:widowControl w:val="0"/>
              <w:numPr>
                <w:ilvl w:val="0"/>
                <w:numId w:val="11"/>
              </w:numPr>
              <w:spacing w:line="240" w:lineRule="atLeast"/>
              <w:jc w:val="both"/>
              <w:rPr>
                <w:rFonts w:ascii="Arial" w:hAnsi="Arial" w:cs="Arial"/>
                <w:bCs/>
                <w:sz w:val="20"/>
                <w:szCs w:val="20"/>
              </w:rPr>
            </w:pPr>
            <w:r w:rsidRPr="001D3D0F">
              <w:rPr>
                <w:rFonts w:ascii="Arial" w:hAnsi="Arial" w:cs="Arial"/>
                <w:bCs/>
                <w:sz w:val="20"/>
                <w:szCs w:val="20"/>
              </w:rPr>
              <w:t>Ministrstvo za infrastrukturo</w:t>
            </w:r>
            <w:r w:rsidR="00E66369">
              <w:rPr>
                <w:rFonts w:ascii="Arial" w:hAnsi="Arial" w:cs="Arial"/>
                <w:bCs/>
                <w:sz w:val="20"/>
                <w:szCs w:val="20"/>
              </w:rPr>
              <w:t>,</w:t>
            </w:r>
          </w:p>
          <w:p w:rsidR="00B609C0" w:rsidRPr="001D3D0F" w:rsidRDefault="00B609C0" w:rsidP="00754A5D">
            <w:pPr>
              <w:widowControl w:val="0"/>
              <w:numPr>
                <w:ilvl w:val="0"/>
                <w:numId w:val="11"/>
              </w:numPr>
              <w:spacing w:line="240" w:lineRule="atLeast"/>
              <w:jc w:val="both"/>
              <w:rPr>
                <w:rFonts w:ascii="Arial" w:hAnsi="Arial" w:cs="Arial"/>
                <w:bCs/>
                <w:sz w:val="20"/>
                <w:szCs w:val="20"/>
              </w:rPr>
            </w:pPr>
            <w:r w:rsidRPr="001D3D0F">
              <w:rPr>
                <w:rFonts w:ascii="Arial" w:hAnsi="Arial" w:cs="Arial"/>
                <w:bCs/>
                <w:sz w:val="20"/>
                <w:szCs w:val="20"/>
              </w:rPr>
              <w:t>Ministrstvo za finance</w:t>
            </w:r>
            <w:r w:rsidR="00E66369">
              <w:rPr>
                <w:rFonts w:ascii="Arial" w:hAnsi="Arial" w:cs="Arial"/>
                <w:bCs/>
                <w:sz w:val="20"/>
                <w:szCs w:val="20"/>
              </w:rPr>
              <w:t>,</w:t>
            </w:r>
          </w:p>
          <w:p w:rsidR="00B609C0" w:rsidRPr="001D3D0F" w:rsidRDefault="00B609C0" w:rsidP="00754A5D">
            <w:pPr>
              <w:widowControl w:val="0"/>
              <w:numPr>
                <w:ilvl w:val="0"/>
                <w:numId w:val="11"/>
              </w:numPr>
              <w:spacing w:line="240" w:lineRule="atLeast"/>
              <w:jc w:val="both"/>
              <w:rPr>
                <w:rFonts w:ascii="Arial" w:hAnsi="Arial" w:cs="Arial"/>
                <w:bCs/>
                <w:sz w:val="20"/>
                <w:szCs w:val="20"/>
              </w:rPr>
            </w:pPr>
            <w:r w:rsidRPr="001D3D0F">
              <w:rPr>
                <w:rFonts w:ascii="Arial" w:hAnsi="Arial" w:cs="Arial"/>
                <w:bCs/>
                <w:sz w:val="20"/>
                <w:szCs w:val="20"/>
              </w:rPr>
              <w:t>Ministrstvo za okolje in prostor</w:t>
            </w:r>
            <w:r w:rsidR="00E66369">
              <w:rPr>
                <w:rFonts w:ascii="Arial" w:hAnsi="Arial" w:cs="Arial"/>
                <w:bCs/>
                <w:sz w:val="20"/>
                <w:szCs w:val="20"/>
              </w:rPr>
              <w:t>,</w:t>
            </w:r>
          </w:p>
          <w:p w:rsidR="00B609C0" w:rsidRDefault="00B609C0" w:rsidP="00754A5D">
            <w:pPr>
              <w:widowControl w:val="0"/>
              <w:numPr>
                <w:ilvl w:val="0"/>
                <w:numId w:val="11"/>
              </w:numPr>
              <w:spacing w:line="240" w:lineRule="atLeast"/>
              <w:jc w:val="both"/>
              <w:rPr>
                <w:rFonts w:ascii="Arial" w:hAnsi="Arial" w:cs="Arial"/>
                <w:bCs/>
                <w:sz w:val="20"/>
                <w:szCs w:val="20"/>
              </w:rPr>
            </w:pPr>
            <w:r w:rsidRPr="001D3D0F">
              <w:rPr>
                <w:rFonts w:ascii="Arial" w:hAnsi="Arial" w:cs="Arial"/>
                <w:bCs/>
                <w:sz w:val="20"/>
                <w:szCs w:val="20"/>
              </w:rPr>
              <w:t>Ministrstvo za zunanje zadeve</w:t>
            </w:r>
            <w:r w:rsidR="00E66369">
              <w:rPr>
                <w:rFonts w:ascii="Arial" w:hAnsi="Arial" w:cs="Arial"/>
                <w:bCs/>
                <w:sz w:val="20"/>
                <w:szCs w:val="20"/>
              </w:rPr>
              <w:t>,</w:t>
            </w:r>
          </w:p>
          <w:p w:rsidR="00B609C0" w:rsidRDefault="00B609C0" w:rsidP="00754A5D">
            <w:pPr>
              <w:widowControl w:val="0"/>
              <w:numPr>
                <w:ilvl w:val="0"/>
                <w:numId w:val="11"/>
              </w:numPr>
              <w:spacing w:line="240" w:lineRule="atLeast"/>
              <w:jc w:val="both"/>
              <w:rPr>
                <w:rFonts w:ascii="Arial" w:hAnsi="Arial" w:cs="Arial"/>
                <w:bCs/>
                <w:sz w:val="20"/>
                <w:szCs w:val="20"/>
              </w:rPr>
            </w:pPr>
            <w:r>
              <w:rPr>
                <w:rFonts w:ascii="Arial" w:hAnsi="Arial" w:cs="Arial"/>
                <w:bCs/>
                <w:sz w:val="20"/>
                <w:szCs w:val="20"/>
              </w:rPr>
              <w:t>Ministrstvo za javno upravo</w:t>
            </w:r>
            <w:r w:rsidR="00E66369">
              <w:rPr>
                <w:rFonts w:ascii="Arial" w:hAnsi="Arial" w:cs="Arial"/>
                <w:bCs/>
                <w:sz w:val="20"/>
                <w:szCs w:val="20"/>
              </w:rPr>
              <w:t>,</w:t>
            </w:r>
          </w:p>
          <w:p w:rsidR="00E66369" w:rsidRDefault="00E66369" w:rsidP="00754A5D">
            <w:pPr>
              <w:widowControl w:val="0"/>
              <w:numPr>
                <w:ilvl w:val="0"/>
                <w:numId w:val="11"/>
              </w:numPr>
              <w:spacing w:line="240" w:lineRule="atLeast"/>
              <w:jc w:val="both"/>
              <w:rPr>
                <w:rFonts w:ascii="Arial" w:hAnsi="Arial" w:cs="Arial"/>
                <w:bCs/>
                <w:sz w:val="20"/>
                <w:szCs w:val="20"/>
              </w:rPr>
            </w:pPr>
            <w:r>
              <w:rPr>
                <w:rFonts w:ascii="Arial" w:hAnsi="Arial" w:cs="Arial"/>
                <w:bCs/>
                <w:sz w:val="20"/>
                <w:szCs w:val="20"/>
              </w:rPr>
              <w:t>Ministrstvo za gospodarski razvoj in tehnologijo,</w:t>
            </w:r>
          </w:p>
          <w:p w:rsidR="00E66369" w:rsidRPr="001D3D0F" w:rsidRDefault="00E66369" w:rsidP="00754A5D">
            <w:pPr>
              <w:widowControl w:val="0"/>
              <w:numPr>
                <w:ilvl w:val="0"/>
                <w:numId w:val="11"/>
              </w:numPr>
              <w:spacing w:line="240" w:lineRule="atLeast"/>
              <w:jc w:val="both"/>
              <w:rPr>
                <w:rFonts w:ascii="Arial" w:hAnsi="Arial" w:cs="Arial"/>
                <w:bCs/>
                <w:sz w:val="20"/>
                <w:szCs w:val="20"/>
              </w:rPr>
            </w:pPr>
            <w:r>
              <w:rPr>
                <w:rFonts w:ascii="Arial" w:hAnsi="Arial" w:cs="Arial"/>
                <w:bCs/>
                <w:sz w:val="20"/>
                <w:szCs w:val="20"/>
              </w:rPr>
              <w:t>Ministrstvo za izobraževanje, znanost in šport,</w:t>
            </w:r>
          </w:p>
          <w:p w:rsidR="00D5780A" w:rsidRDefault="00B609C0" w:rsidP="00754A5D">
            <w:pPr>
              <w:widowControl w:val="0"/>
              <w:numPr>
                <w:ilvl w:val="0"/>
                <w:numId w:val="11"/>
              </w:numPr>
              <w:spacing w:line="240" w:lineRule="atLeast"/>
              <w:jc w:val="both"/>
              <w:rPr>
                <w:rFonts w:ascii="Arial" w:hAnsi="Arial" w:cs="Arial"/>
                <w:bCs/>
                <w:sz w:val="20"/>
                <w:szCs w:val="20"/>
              </w:rPr>
            </w:pPr>
            <w:r w:rsidRPr="001D3D0F">
              <w:rPr>
                <w:rFonts w:ascii="Arial" w:hAnsi="Arial" w:cs="Arial"/>
                <w:bCs/>
                <w:sz w:val="20"/>
                <w:szCs w:val="20"/>
              </w:rPr>
              <w:t>Služba Vlade za razvoj in evropsko kohezijsko politiko</w:t>
            </w:r>
            <w:r w:rsidR="00E66369">
              <w:rPr>
                <w:rFonts w:ascii="Arial" w:hAnsi="Arial" w:cs="Arial"/>
                <w:bCs/>
                <w:sz w:val="20"/>
                <w:szCs w:val="20"/>
              </w:rPr>
              <w:t>.</w:t>
            </w:r>
          </w:p>
          <w:p w:rsidR="00B609C0" w:rsidRPr="00B609C0" w:rsidRDefault="00B609C0" w:rsidP="00B609C0">
            <w:pPr>
              <w:widowControl w:val="0"/>
              <w:spacing w:line="240" w:lineRule="atLeast"/>
              <w:ind w:left="1080"/>
              <w:jc w:val="both"/>
              <w:rPr>
                <w:rFonts w:ascii="Arial" w:hAnsi="Arial" w:cs="Arial"/>
                <w:bCs/>
                <w:sz w:val="20"/>
                <w:szCs w:val="20"/>
              </w:rPr>
            </w:pPr>
          </w:p>
        </w:tc>
      </w:tr>
      <w:tr w:rsidR="00F02B4B" w:rsidRPr="00D462AF" w:rsidTr="003F712A">
        <w:tc>
          <w:tcPr>
            <w:tcW w:w="9163" w:type="dxa"/>
            <w:gridSpan w:val="4"/>
          </w:tcPr>
          <w:p w:rsidR="00570758" w:rsidRPr="00D462AF" w:rsidRDefault="00F02B4B" w:rsidP="00487EAD">
            <w:pPr>
              <w:pStyle w:val="Neotevilenodstavek"/>
              <w:spacing w:before="40" w:afterLines="40" w:after="96" w:line="260" w:lineRule="atLeast"/>
              <w:rPr>
                <w:b/>
                <w:iCs/>
                <w:sz w:val="20"/>
                <w:szCs w:val="20"/>
              </w:rPr>
            </w:pPr>
            <w:r w:rsidRPr="00D462AF">
              <w:rPr>
                <w:b/>
                <w:sz w:val="20"/>
                <w:szCs w:val="20"/>
              </w:rPr>
              <w:t>2. Predlog za obravnavo predloga zakona po nujnem ali skrajšanem postopku v državnem zboru z obrazložitvijo razlogov:</w:t>
            </w:r>
          </w:p>
        </w:tc>
      </w:tr>
      <w:tr w:rsidR="00F02B4B" w:rsidRPr="00D462AF" w:rsidTr="003F712A">
        <w:tc>
          <w:tcPr>
            <w:tcW w:w="9163" w:type="dxa"/>
            <w:gridSpan w:val="4"/>
          </w:tcPr>
          <w:p w:rsidR="00F02B4B" w:rsidRPr="00D462AF" w:rsidRDefault="00F02B4B" w:rsidP="00487EAD">
            <w:pPr>
              <w:pStyle w:val="Neotevilenodstavek"/>
              <w:spacing w:before="40" w:afterLines="40" w:after="96" w:line="260" w:lineRule="atLeast"/>
              <w:rPr>
                <w:b/>
                <w:iCs/>
                <w:sz w:val="20"/>
                <w:szCs w:val="20"/>
              </w:rPr>
            </w:pPr>
            <w:r w:rsidRPr="00D462AF">
              <w:rPr>
                <w:b/>
                <w:sz w:val="20"/>
                <w:szCs w:val="20"/>
              </w:rPr>
              <w:t>3.a Osebe, odgovorne za strokovno pripravo in usklajenost gradiva:</w:t>
            </w:r>
          </w:p>
        </w:tc>
      </w:tr>
      <w:tr w:rsidR="00F02B4B" w:rsidRPr="00D462AF" w:rsidTr="00391217">
        <w:trPr>
          <w:trHeight w:val="699"/>
        </w:trPr>
        <w:tc>
          <w:tcPr>
            <w:tcW w:w="9163" w:type="dxa"/>
            <w:gridSpan w:val="4"/>
          </w:tcPr>
          <w:p w:rsidR="00F02B4B" w:rsidRPr="00D462AF" w:rsidRDefault="001A69C3" w:rsidP="00754A5D">
            <w:pPr>
              <w:pStyle w:val="Neotevilenodstavek"/>
              <w:numPr>
                <w:ilvl w:val="0"/>
                <w:numId w:val="7"/>
              </w:numPr>
              <w:tabs>
                <w:tab w:val="left" w:pos="176"/>
              </w:tabs>
              <w:spacing w:before="0" w:after="0" w:line="240" w:lineRule="auto"/>
              <w:rPr>
                <w:iCs/>
                <w:sz w:val="20"/>
                <w:szCs w:val="20"/>
              </w:rPr>
            </w:pPr>
            <w:r w:rsidRPr="00D462AF">
              <w:rPr>
                <w:iCs/>
                <w:sz w:val="20"/>
                <w:szCs w:val="20"/>
              </w:rPr>
              <w:t>dr. Peter Gašperšič, minister</w:t>
            </w:r>
            <w:r w:rsidR="00A17C5A">
              <w:rPr>
                <w:iCs/>
                <w:sz w:val="20"/>
                <w:szCs w:val="20"/>
              </w:rPr>
              <w:t>,</w:t>
            </w:r>
          </w:p>
          <w:p w:rsidR="00F56103" w:rsidRDefault="000C2A6E" w:rsidP="00754A5D">
            <w:pPr>
              <w:pStyle w:val="Neotevilenodstavek"/>
              <w:numPr>
                <w:ilvl w:val="0"/>
                <w:numId w:val="7"/>
              </w:numPr>
              <w:tabs>
                <w:tab w:val="left" w:pos="176"/>
              </w:tabs>
              <w:spacing w:before="0" w:after="0" w:line="240" w:lineRule="auto"/>
              <w:rPr>
                <w:iCs/>
                <w:sz w:val="20"/>
                <w:szCs w:val="20"/>
              </w:rPr>
            </w:pPr>
            <w:r>
              <w:rPr>
                <w:iCs/>
                <w:sz w:val="20"/>
                <w:szCs w:val="20"/>
              </w:rPr>
              <w:t>Jure Leben</w:t>
            </w:r>
            <w:r w:rsidR="00F56103">
              <w:rPr>
                <w:iCs/>
                <w:sz w:val="20"/>
                <w:szCs w:val="20"/>
              </w:rPr>
              <w:t>, državni sekretar,</w:t>
            </w:r>
          </w:p>
          <w:p w:rsidR="00B87BA9" w:rsidRPr="00D462AF" w:rsidRDefault="00B87BA9" w:rsidP="00754A5D">
            <w:pPr>
              <w:pStyle w:val="Neotevilenodstavek"/>
              <w:numPr>
                <w:ilvl w:val="0"/>
                <w:numId w:val="7"/>
              </w:numPr>
              <w:tabs>
                <w:tab w:val="left" w:pos="176"/>
              </w:tabs>
              <w:spacing w:before="0" w:after="0" w:line="240" w:lineRule="auto"/>
              <w:rPr>
                <w:iCs/>
                <w:sz w:val="20"/>
                <w:szCs w:val="20"/>
              </w:rPr>
            </w:pPr>
            <w:r>
              <w:rPr>
                <w:iCs/>
                <w:sz w:val="20"/>
                <w:szCs w:val="20"/>
              </w:rPr>
              <w:t>mag. Klemen Potisek, državni sekretar</w:t>
            </w:r>
          </w:p>
          <w:p w:rsidR="00F65D90" w:rsidRDefault="00B87BA9" w:rsidP="00754A5D">
            <w:pPr>
              <w:pStyle w:val="Neotevilenodstavek"/>
              <w:numPr>
                <w:ilvl w:val="0"/>
                <w:numId w:val="7"/>
              </w:numPr>
              <w:tabs>
                <w:tab w:val="left" w:pos="176"/>
              </w:tabs>
              <w:spacing w:before="0" w:after="0" w:line="240" w:lineRule="auto"/>
              <w:rPr>
                <w:iCs/>
                <w:sz w:val="20"/>
                <w:szCs w:val="20"/>
              </w:rPr>
            </w:pPr>
            <w:r>
              <w:rPr>
                <w:iCs/>
                <w:sz w:val="20"/>
                <w:szCs w:val="20"/>
              </w:rPr>
              <w:t>m</w:t>
            </w:r>
            <w:r w:rsidR="000C2A6E">
              <w:rPr>
                <w:iCs/>
                <w:sz w:val="20"/>
                <w:szCs w:val="20"/>
              </w:rPr>
              <w:t>ag. Bojan Žlender, sekretar, vodja Službe za trajnostno mobilnost in prometno politiko</w:t>
            </w:r>
          </w:p>
          <w:p w:rsidR="00A95E71" w:rsidRDefault="00391217" w:rsidP="00754A5D">
            <w:pPr>
              <w:pStyle w:val="Neotevilenodstavek"/>
              <w:numPr>
                <w:ilvl w:val="0"/>
                <w:numId w:val="7"/>
              </w:numPr>
              <w:tabs>
                <w:tab w:val="left" w:pos="176"/>
              </w:tabs>
              <w:spacing w:before="0" w:after="0" w:line="240" w:lineRule="auto"/>
              <w:rPr>
                <w:iCs/>
                <w:sz w:val="20"/>
                <w:szCs w:val="20"/>
              </w:rPr>
            </w:pPr>
            <w:r>
              <w:rPr>
                <w:iCs/>
                <w:sz w:val="20"/>
                <w:szCs w:val="20"/>
              </w:rPr>
              <w:t xml:space="preserve">mag. Matjaž Vrčko, </w:t>
            </w:r>
            <w:r w:rsidR="00F65D90">
              <w:rPr>
                <w:iCs/>
                <w:sz w:val="20"/>
                <w:szCs w:val="20"/>
              </w:rPr>
              <w:t xml:space="preserve">sekretar, </w:t>
            </w:r>
            <w:r>
              <w:rPr>
                <w:iCs/>
                <w:sz w:val="20"/>
                <w:szCs w:val="20"/>
              </w:rPr>
              <w:t>Služba za mednarodne zadeve</w:t>
            </w:r>
            <w:r w:rsidR="00CA6E16">
              <w:rPr>
                <w:iCs/>
                <w:sz w:val="20"/>
                <w:szCs w:val="20"/>
              </w:rPr>
              <w:t>.</w:t>
            </w:r>
          </w:p>
          <w:p w:rsidR="00F261B4" w:rsidRPr="00CA6E16" w:rsidRDefault="00F261B4" w:rsidP="00724ED1">
            <w:pPr>
              <w:pStyle w:val="Neotevilenodstavek"/>
              <w:tabs>
                <w:tab w:val="left" w:pos="176"/>
              </w:tabs>
              <w:spacing w:before="0" w:after="0" w:line="240" w:lineRule="auto"/>
              <w:ind w:left="720"/>
              <w:rPr>
                <w:iCs/>
                <w:sz w:val="20"/>
                <w:szCs w:val="20"/>
              </w:rPr>
            </w:pPr>
          </w:p>
        </w:tc>
      </w:tr>
      <w:tr w:rsidR="00F02B4B" w:rsidRPr="00D462AF" w:rsidTr="003F712A">
        <w:tc>
          <w:tcPr>
            <w:tcW w:w="9163" w:type="dxa"/>
            <w:gridSpan w:val="4"/>
          </w:tcPr>
          <w:p w:rsidR="00F02B4B" w:rsidRPr="00D462AF" w:rsidRDefault="00F02B4B" w:rsidP="00487EAD">
            <w:pPr>
              <w:pStyle w:val="Neotevilenodstavek"/>
              <w:spacing w:before="40" w:afterLines="40" w:after="96" w:line="260" w:lineRule="atLeast"/>
              <w:rPr>
                <w:b/>
                <w:iCs/>
                <w:sz w:val="20"/>
                <w:szCs w:val="20"/>
              </w:rPr>
            </w:pPr>
            <w:r w:rsidRPr="00D462AF">
              <w:rPr>
                <w:b/>
                <w:iCs/>
                <w:sz w:val="20"/>
                <w:szCs w:val="20"/>
              </w:rPr>
              <w:t xml:space="preserve">3.b Zunanji strokovnjaki, ki so </w:t>
            </w:r>
            <w:r w:rsidRPr="00D462AF">
              <w:rPr>
                <w:b/>
                <w:sz w:val="20"/>
                <w:szCs w:val="20"/>
              </w:rPr>
              <w:t>sodelovali pri pripravi dela ali celotnega gradiva:</w:t>
            </w:r>
          </w:p>
        </w:tc>
      </w:tr>
      <w:tr w:rsidR="00F02B4B" w:rsidRPr="00D462AF" w:rsidTr="003F712A">
        <w:tc>
          <w:tcPr>
            <w:tcW w:w="9163" w:type="dxa"/>
            <w:gridSpan w:val="4"/>
          </w:tcPr>
          <w:p w:rsidR="00F261B4" w:rsidRPr="000C2A6E" w:rsidRDefault="005043B6" w:rsidP="005043B6">
            <w:pPr>
              <w:pStyle w:val="Neotevilenodstavek"/>
              <w:tabs>
                <w:tab w:val="left" w:pos="176"/>
              </w:tabs>
              <w:spacing w:before="0" w:after="0" w:line="240" w:lineRule="auto"/>
              <w:ind w:left="720"/>
              <w:rPr>
                <w:iCs/>
                <w:sz w:val="20"/>
                <w:szCs w:val="20"/>
              </w:rPr>
            </w:pPr>
            <w:r>
              <w:rPr>
                <w:iCs/>
                <w:sz w:val="20"/>
                <w:szCs w:val="20"/>
              </w:rPr>
              <w:lastRenderedPageBreak/>
              <w:t>/</w:t>
            </w:r>
          </w:p>
        </w:tc>
      </w:tr>
      <w:tr w:rsidR="00F02B4B" w:rsidRPr="00D462AF" w:rsidTr="003F712A">
        <w:tc>
          <w:tcPr>
            <w:tcW w:w="9163" w:type="dxa"/>
            <w:gridSpan w:val="4"/>
          </w:tcPr>
          <w:p w:rsidR="00F02B4B" w:rsidRPr="00D462AF" w:rsidRDefault="00F02B4B" w:rsidP="00487EAD">
            <w:pPr>
              <w:pStyle w:val="Neotevilenodstavek"/>
              <w:spacing w:before="40" w:afterLines="40" w:after="96" w:line="260" w:lineRule="atLeast"/>
              <w:rPr>
                <w:b/>
                <w:iCs/>
                <w:sz w:val="20"/>
                <w:szCs w:val="20"/>
              </w:rPr>
            </w:pPr>
            <w:r w:rsidRPr="00D462AF">
              <w:rPr>
                <w:b/>
                <w:sz w:val="20"/>
                <w:szCs w:val="20"/>
              </w:rPr>
              <w:t>4. Predstavniki vlade, ki bodo sodelovali pri delu državnega zbora:</w:t>
            </w:r>
          </w:p>
        </w:tc>
      </w:tr>
      <w:tr w:rsidR="00F02B4B" w:rsidRPr="00D462AF" w:rsidTr="003F712A">
        <w:tc>
          <w:tcPr>
            <w:tcW w:w="9163" w:type="dxa"/>
            <w:gridSpan w:val="4"/>
          </w:tcPr>
          <w:p w:rsidR="001A69C3" w:rsidRPr="008C2643" w:rsidRDefault="00F261B4" w:rsidP="00F261B4">
            <w:pPr>
              <w:pStyle w:val="Neotevilenodstavek"/>
              <w:tabs>
                <w:tab w:val="left" w:pos="176"/>
              </w:tabs>
              <w:spacing w:before="0" w:after="0" w:line="240" w:lineRule="auto"/>
              <w:ind w:left="720"/>
              <w:rPr>
                <w:iCs/>
                <w:sz w:val="20"/>
                <w:szCs w:val="20"/>
              </w:rPr>
            </w:pPr>
            <w:r>
              <w:rPr>
                <w:iCs/>
                <w:sz w:val="20"/>
                <w:szCs w:val="20"/>
              </w:rPr>
              <w:t>/</w:t>
            </w:r>
          </w:p>
        </w:tc>
      </w:tr>
      <w:tr w:rsidR="00F02B4B" w:rsidRPr="00D462AF" w:rsidTr="003F712A">
        <w:tc>
          <w:tcPr>
            <w:tcW w:w="9163" w:type="dxa"/>
            <w:gridSpan w:val="4"/>
          </w:tcPr>
          <w:p w:rsidR="00F02B4B" w:rsidRPr="00D462AF" w:rsidRDefault="00F02B4B" w:rsidP="00487EAD">
            <w:pPr>
              <w:pStyle w:val="Oddelek"/>
              <w:numPr>
                <w:ilvl w:val="0"/>
                <w:numId w:val="0"/>
              </w:numPr>
              <w:spacing w:before="40" w:afterLines="40" w:after="96" w:line="260" w:lineRule="atLeast"/>
              <w:jc w:val="left"/>
              <w:rPr>
                <w:sz w:val="20"/>
                <w:szCs w:val="20"/>
              </w:rPr>
            </w:pPr>
            <w:r w:rsidRPr="000F6A1F">
              <w:rPr>
                <w:sz w:val="20"/>
                <w:szCs w:val="20"/>
              </w:rPr>
              <w:t>5. Kratek povzetek gradiva:</w:t>
            </w:r>
          </w:p>
        </w:tc>
      </w:tr>
      <w:tr w:rsidR="00F02B4B" w:rsidRPr="00D462AF" w:rsidTr="003F712A">
        <w:tc>
          <w:tcPr>
            <w:tcW w:w="9163" w:type="dxa"/>
            <w:gridSpan w:val="4"/>
          </w:tcPr>
          <w:p w:rsidR="0097453D" w:rsidRDefault="0097453D" w:rsidP="0097453D">
            <w:pPr>
              <w:pStyle w:val="Neotevilenodstavek"/>
              <w:spacing w:before="40" w:afterLines="40" w:after="96" w:line="260" w:lineRule="atLeast"/>
              <w:rPr>
                <w:iCs/>
                <w:sz w:val="20"/>
                <w:szCs w:val="20"/>
              </w:rPr>
            </w:pPr>
            <w:r w:rsidRPr="0097453D">
              <w:rPr>
                <w:iCs/>
                <w:sz w:val="20"/>
                <w:szCs w:val="20"/>
              </w:rPr>
              <w:t>V Uradnem listu EU je bila 22. oktobra 2014 objavljena Direktiva 2014/94/EU Evropskega parlamenta in Sveta o vzpostavitvi infrastrukture za alternativna goriva (v nadaljevanju Direktiva). Za alternativna goriva se po tej Direktivi štejejo električna energija, zemeljski plin (SZP – stisnjen zemeljski plin in UZP – utekočinjen zemeljski plin) in biometan, bio-goriva, sintetična in parafinska goriva ter vodik (H2).</w:t>
            </w:r>
          </w:p>
          <w:p w:rsidR="005043B6" w:rsidRPr="0097453D" w:rsidRDefault="005043B6" w:rsidP="0097453D">
            <w:pPr>
              <w:pStyle w:val="Neotevilenodstavek"/>
              <w:spacing w:before="40" w:afterLines="40" w:after="96" w:line="260" w:lineRule="atLeast"/>
              <w:rPr>
                <w:iCs/>
                <w:sz w:val="20"/>
                <w:szCs w:val="20"/>
              </w:rPr>
            </w:pPr>
          </w:p>
          <w:p w:rsidR="005043B6" w:rsidRDefault="00F67729" w:rsidP="005043B6">
            <w:pPr>
              <w:pStyle w:val="Neotevilenodstavek"/>
              <w:spacing w:before="40" w:afterLines="40" w:after="96" w:line="260" w:lineRule="atLeast"/>
              <w:rPr>
                <w:iCs/>
                <w:sz w:val="20"/>
                <w:szCs w:val="20"/>
              </w:rPr>
            </w:pPr>
            <w:r>
              <w:rPr>
                <w:iCs/>
                <w:sz w:val="20"/>
                <w:szCs w:val="20"/>
              </w:rPr>
              <w:t>S</w:t>
            </w:r>
            <w:r w:rsidR="005043B6">
              <w:rPr>
                <w:iCs/>
                <w:sz w:val="20"/>
                <w:szCs w:val="20"/>
              </w:rPr>
              <w:t xml:space="preserve"> ciljem prenosa direktive v pravni red Republike Slovenije </w:t>
            </w:r>
            <w:r>
              <w:rPr>
                <w:iCs/>
                <w:sz w:val="20"/>
                <w:szCs w:val="20"/>
              </w:rPr>
              <w:t xml:space="preserve">se </w:t>
            </w:r>
            <w:r w:rsidR="005043B6">
              <w:rPr>
                <w:iCs/>
                <w:sz w:val="20"/>
                <w:szCs w:val="20"/>
              </w:rPr>
              <w:t xml:space="preserve">predlaga sprejem Uredbe Vlade RS </w:t>
            </w:r>
            <w:r w:rsidRPr="00F67729">
              <w:rPr>
                <w:bCs/>
                <w:iCs/>
                <w:sz w:val="20"/>
                <w:szCs w:val="20"/>
              </w:rPr>
              <w:t>o vzpostavitvi infrastrukture za alternativna goriva v prometu</w:t>
            </w:r>
            <w:r w:rsidR="005043B6">
              <w:rPr>
                <w:iCs/>
                <w:sz w:val="20"/>
                <w:szCs w:val="20"/>
              </w:rPr>
              <w:t xml:space="preserve"> (v nadaljevanju Uredba).</w:t>
            </w:r>
          </w:p>
          <w:p w:rsidR="005043B6" w:rsidRDefault="005043B6" w:rsidP="005043B6">
            <w:pPr>
              <w:pStyle w:val="Neotevilenodstavek"/>
              <w:spacing w:before="40" w:afterLines="40" w:after="96" w:line="260" w:lineRule="atLeast"/>
              <w:rPr>
                <w:iCs/>
                <w:sz w:val="20"/>
                <w:szCs w:val="20"/>
              </w:rPr>
            </w:pPr>
          </w:p>
          <w:p w:rsidR="00F67729" w:rsidRPr="00F67729" w:rsidRDefault="00F67729" w:rsidP="00F67729">
            <w:pPr>
              <w:suppressAutoHyphens w:val="0"/>
              <w:overflowPunct w:val="0"/>
              <w:autoSpaceDE w:val="0"/>
              <w:autoSpaceDN w:val="0"/>
              <w:adjustRightInd w:val="0"/>
              <w:spacing w:before="40" w:afterLines="40" w:after="96" w:line="260" w:lineRule="atLeast"/>
              <w:jc w:val="both"/>
              <w:textAlignment w:val="baseline"/>
              <w:rPr>
                <w:rFonts w:ascii="Arial" w:hAnsi="Arial" w:cs="Arial"/>
                <w:iCs/>
                <w:sz w:val="20"/>
                <w:szCs w:val="20"/>
                <w:lang w:eastAsia="sl-SI"/>
              </w:rPr>
            </w:pPr>
            <w:r w:rsidRPr="00F67729">
              <w:rPr>
                <w:rFonts w:ascii="Arial" w:hAnsi="Arial" w:cs="Arial"/>
                <w:iCs/>
                <w:sz w:val="20"/>
                <w:szCs w:val="20"/>
                <w:lang w:eastAsia="sl-SI"/>
              </w:rPr>
              <w:t>Direktiva v členu 3 nalaga državam članicam EU tudi, da morajo do 18. novembra 2016 sprejeti »nacionalni okvir politike za razvoj trga v zvezi z alternativnimi gorivi v prometnem sektorju ter za vzpostavitev ustrezne infrastrukture«. Ta del Direktive se bo prenesel s Strategijo na področju razvoja trga za vzpostavitev ustrezne infrastrukture v zvezi z alternativnimi gorivi v prometnem sektorju v Republiki Sloveniji.</w:t>
            </w:r>
          </w:p>
          <w:p w:rsidR="00724ED1" w:rsidRPr="00724ED1" w:rsidRDefault="00724ED1" w:rsidP="00724ED1">
            <w:pPr>
              <w:pStyle w:val="Neotevilenodstavek"/>
              <w:spacing w:before="40" w:afterLines="40" w:after="96" w:line="260" w:lineRule="atLeast"/>
              <w:rPr>
                <w:iCs/>
                <w:sz w:val="20"/>
                <w:szCs w:val="20"/>
              </w:rPr>
            </w:pPr>
          </w:p>
          <w:p w:rsidR="0097453D" w:rsidRPr="0097453D" w:rsidRDefault="0097453D" w:rsidP="0097453D">
            <w:pPr>
              <w:pStyle w:val="Neotevilenodstavek"/>
              <w:spacing w:before="40" w:afterLines="40" w:after="96" w:line="260" w:lineRule="atLeast"/>
              <w:rPr>
                <w:iCs/>
                <w:sz w:val="20"/>
                <w:szCs w:val="20"/>
              </w:rPr>
            </w:pPr>
            <w:r w:rsidRPr="0097453D">
              <w:rPr>
                <w:iCs/>
                <w:sz w:val="20"/>
                <w:szCs w:val="20"/>
              </w:rPr>
              <w:t xml:space="preserve">Vlada Republike Slovenije </w:t>
            </w:r>
            <w:r w:rsidR="004058A0">
              <w:rPr>
                <w:iCs/>
                <w:sz w:val="20"/>
                <w:szCs w:val="20"/>
              </w:rPr>
              <w:t xml:space="preserve">je </w:t>
            </w:r>
            <w:r w:rsidRPr="0097453D">
              <w:rPr>
                <w:iCs/>
                <w:sz w:val="20"/>
                <w:szCs w:val="20"/>
              </w:rPr>
              <w:t xml:space="preserve">29. julija 2015 sprejela Strategijo razvoja prometa v RS in Okoljsko poročilo za celovito presojo vplivov na okolje za Strategijo razvoja prometa v RS (sklep št. 37000-3/2015/8) (v nadaljevanju SRP). Za SRP je ministrstvo, pristojno za okolje, izdalo tudi Odločbo o potrditvi sprejemljivosti (št. 35409-24/2012/74). Strategija razvoja prometa v RS obravnava alternativna goriva v poglavju 2.9. - Infrastruktura za uporabo alternativnega goriva v prometu ter v ukrepih Ro.35 - Spodbujanje rabe ekoloških vozil in zgraditev omrežja za polnilne postaje, M.11 - Polnilne postaje za alternativno gorivo - pomorstvo in A.11 - Polnilne postaje za alternativno gorivo - letalstvo. To področje je ustrezno vključeno tudi v okoljsko poročilo za Strategijo razvoja prometa v RS. Za te ukrepe je Resolucija o nacionalnem programu razvoja prometa v Republiki Sloveniji za obdobje do leta 2030 </w:t>
            </w:r>
            <w:r>
              <w:rPr>
                <w:iCs/>
                <w:sz w:val="20"/>
                <w:szCs w:val="20"/>
              </w:rPr>
              <w:t xml:space="preserve">(v nadaljevanju Nacionalni program) </w:t>
            </w:r>
            <w:r w:rsidRPr="0097453D">
              <w:rPr>
                <w:iCs/>
                <w:sz w:val="20"/>
                <w:szCs w:val="20"/>
              </w:rPr>
              <w:t xml:space="preserve">(Uradni list RS, št. </w:t>
            </w:r>
            <w:hyperlink r:id="rId11" w:tgtFrame="_blank" w:tooltip="Resolucija o nacionalnem programu razvoja prometa v Republiki Sloveniji za obdobje do leta 2030 (ReNPRP30)" w:history="1">
              <w:r w:rsidRPr="0097453D">
                <w:rPr>
                  <w:rStyle w:val="Hiperpovezava"/>
                  <w:iCs/>
                  <w:sz w:val="20"/>
                  <w:szCs w:val="20"/>
                </w:rPr>
                <w:t>75/16</w:t>
              </w:r>
            </w:hyperlink>
            <w:r w:rsidRPr="0097453D">
              <w:rPr>
                <w:iCs/>
                <w:sz w:val="20"/>
                <w:szCs w:val="20"/>
              </w:rPr>
              <w:t>) določila še podrobnejše aktivnosti, nosilce, roke in potrebna finančna sredstva.</w:t>
            </w:r>
          </w:p>
          <w:p w:rsidR="0097453D" w:rsidRDefault="0097453D" w:rsidP="0097453D">
            <w:pPr>
              <w:pStyle w:val="Neotevilenodstavek"/>
              <w:spacing w:before="40" w:afterLines="40" w:after="96" w:line="260" w:lineRule="atLeast"/>
              <w:rPr>
                <w:iCs/>
                <w:sz w:val="20"/>
                <w:szCs w:val="20"/>
              </w:rPr>
            </w:pPr>
            <w:r w:rsidRPr="0097453D">
              <w:rPr>
                <w:iCs/>
                <w:sz w:val="20"/>
                <w:szCs w:val="20"/>
              </w:rPr>
              <w:t xml:space="preserve">Z zgornjimi ukrepi tako SRP kot Nacionalni program nalagata Ministrstvu za infrastrukturo, da na področju alternativnih goriv pripravi ustrezne razvojne načrte. </w:t>
            </w:r>
          </w:p>
          <w:p w:rsidR="0097453D" w:rsidRPr="0097453D" w:rsidRDefault="0097453D" w:rsidP="0097453D">
            <w:pPr>
              <w:pStyle w:val="Neotevilenodstavek"/>
              <w:spacing w:before="40" w:afterLines="40" w:after="96" w:line="260" w:lineRule="atLeast"/>
              <w:rPr>
                <w:iCs/>
                <w:sz w:val="20"/>
                <w:szCs w:val="20"/>
              </w:rPr>
            </w:pPr>
          </w:p>
          <w:p w:rsidR="00B2496D" w:rsidRDefault="00B2496D" w:rsidP="0097453D">
            <w:pPr>
              <w:pStyle w:val="Neotevilenodstavek"/>
              <w:spacing w:before="40" w:afterLines="40" w:after="96" w:line="260" w:lineRule="atLeast"/>
              <w:rPr>
                <w:iCs/>
                <w:sz w:val="20"/>
                <w:szCs w:val="20"/>
              </w:rPr>
            </w:pPr>
            <w:r>
              <w:rPr>
                <w:iCs/>
                <w:sz w:val="20"/>
                <w:szCs w:val="20"/>
              </w:rPr>
              <w:t>Trenutno imamo v Republiki Sloveniji 227 javno dostopnih polnilnih mest za elektriko</w:t>
            </w:r>
            <w:r w:rsidR="00790355">
              <w:rPr>
                <w:iCs/>
                <w:sz w:val="20"/>
                <w:szCs w:val="20"/>
              </w:rPr>
              <w:t xml:space="preserve"> (od tega 27 polnilnih postaj na vse-evropskem prometnem omrežju (TEN-T omrežju)</w:t>
            </w:r>
            <w:r>
              <w:rPr>
                <w:iCs/>
                <w:sz w:val="20"/>
                <w:szCs w:val="20"/>
              </w:rPr>
              <w:t>, 1 za vodik, 115 za utekočinjen naftni plin in 4 za stisnjen zemeljski plin. Polnilnic za utekočinjen zemeljski plin</w:t>
            </w:r>
            <w:r w:rsidR="00790355">
              <w:rPr>
                <w:iCs/>
                <w:sz w:val="20"/>
                <w:szCs w:val="20"/>
              </w:rPr>
              <w:t xml:space="preserve"> sicer še nimamo, sta pa v teku dva projekta po katerih se predvideva do konca leta 2017 postavitev 3 polnilnih postaj za to gorivo. Polnilnih postaj </w:t>
            </w:r>
            <w:r>
              <w:rPr>
                <w:iCs/>
                <w:sz w:val="20"/>
                <w:szCs w:val="20"/>
              </w:rPr>
              <w:t>za 100% bio-dizel pa nimamo.</w:t>
            </w:r>
          </w:p>
          <w:p w:rsidR="00B2496D" w:rsidRDefault="00B2496D" w:rsidP="0097453D">
            <w:pPr>
              <w:pStyle w:val="Neotevilenodstavek"/>
              <w:spacing w:before="40" w:afterLines="40" w:after="96" w:line="260" w:lineRule="atLeast"/>
              <w:rPr>
                <w:iCs/>
                <w:sz w:val="20"/>
                <w:szCs w:val="20"/>
              </w:rPr>
            </w:pPr>
          </w:p>
          <w:p w:rsidR="00776FB4" w:rsidRDefault="00776FB4" w:rsidP="0097453D">
            <w:pPr>
              <w:pStyle w:val="Neotevilenodstavek"/>
              <w:spacing w:before="40" w:afterLines="40" w:after="96" w:line="260" w:lineRule="atLeast"/>
              <w:rPr>
                <w:iCs/>
                <w:sz w:val="20"/>
                <w:szCs w:val="20"/>
              </w:rPr>
            </w:pPr>
            <w:r>
              <w:rPr>
                <w:iCs/>
                <w:sz w:val="20"/>
                <w:szCs w:val="20"/>
              </w:rPr>
              <w:t xml:space="preserve">Glede na zgoraj navedeno, Slovenija že izpolnjuje vse zaveze iz Direktive na področju električne energije </w:t>
            </w:r>
            <w:r w:rsidR="00DD6975">
              <w:rPr>
                <w:iCs/>
                <w:sz w:val="20"/>
                <w:szCs w:val="20"/>
              </w:rPr>
              <w:t>na vse-</w:t>
            </w:r>
            <w:r w:rsidR="009C4515">
              <w:rPr>
                <w:iCs/>
                <w:sz w:val="20"/>
                <w:szCs w:val="20"/>
              </w:rPr>
              <w:t>evropskem TEN-T omrežju</w:t>
            </w:r>
            <w:r>
              <w:rPr>
                <w:iCs/>
                <w:sz w:val="20"/>
                <w:szCs w:val="20"/>
              </w:rPr>
              <w:t>, do konca leta pa bo izpolnila tudi zahteve glede utekočinjenega zemeljskega plina. Zato ti dve področju v uredbi ni potrebno posebej natančno opredeljevati, vsaj kar se tiče nosilcev ne.</w:t>
            </w:r>
          </w:p>
          <w:p w:rsidR="00776FB4" w:rsidRDefault="00776FB4" w:rsidP="0097453D">
            <w:pPr>
              <w:pStyle w:val="Neotevilenodstavek"/>
              <w:spacing w:before="40" w:afterLines="40" w:after="96" w:line="260" w:lineRule="atLeast"/>
              <w:rPr>
                <w:iCs/>
                <w:sz w:val="20"/>
                <w:szCs w:val="20"/>
              </w:rPr>
            </w:pPr>
          </w:p>
          <w:p w:rsidR="00776FB4" w:rsidRDefault="00776FB4" w:rsidP="0097453D">
            <w:pPr>
              <w:pStyle w:val="Neotevilenodstavek"/>
              <w:spacing w:before="40" w:afterLines="40" w:after="96" w:line="260" w:lineRule="atLeast"/>
              <w:rPr>
                <w:iCs/>
                <w:sz w:val="20"/>
                <w:szCs w:val="20"/>
              </w:rPr>
            </w:pPr>
            <w:r>
              <w:rPr>
                <w:iCs/>
                <w:sz w:val="20"/>
                <w:szCs w:val="20"/>
              </w:rPr>
              <w:t>Področja vodika v predlogu Uredbe posebej ne navajamo, saj je v Direktivi to prepuščeno državam članicam, da se odločijo, če želijo to področje razvijati. Bomo pa to gorivo zajeli v predlogu Strategije in akcijskega načrta kot možen(e) demonstracijski(e) projekt(e).</w:t>
            </w:r>
          </w:p>
          <w:p w:rsidR="00776FB4" w:rsidRDefault="00776FB4" w:rsidP="0097453D">
            <w:pPr>
              <w:pStyle w:val="Neotevilenodstavek"/>
              <w:spacing w:before="40" w:afterLines="40" w:after="96" w:line="260" w:lineRule="atLeast"/>
              <w:rPr>
                <w:iCs/>
                <w:sz w:val="20"/>
                <w:szCs w:val="20"/>
              </w:rPr>
            </w:pPr>
          </w:p>
          <w:p w:rsidR="00B2496D" w:rsidRDefault="00776FB4" w:rsidP="0097453D">
            <w:pPr>
              <w:pStyle w:val="Neotevilenodstavek"/>
              <w:spacing w:before="40" w:afterLines="40" w:after="96" w:line="260" w:lineRule="atLeast"/>
              <w:rPr>
                <w:iCs/>
                <w:sz w:val="20"/>
                <w:szCs w:val="20"/>
              </w:rPr>
            </w:pPr>
            <w:r>
              <w:rPr>
                <w:iCs/>
                <w:sz w:val="20"/>
                <w:szCs w:val="20"/>
              </w:rPr>
              <w:t xml:space="preserve">Okvirni ukrepi, stroški in nosilci za razvoj tega področja bodo opredeljeni v že omenjeni Strategiji </w:t>
            </w:r>
            <w:r w:rsidRPr="00776FB4">
              <w:rPr>
                <w:iCs/>
                <w:sz w:val="20"/>
                <w:szCs w:val="20"/>
              </w:rPr>
              <w:t xml:space="preserve">na </w:t>
            </w:r>
            <w:r w:rsidRPr="00776FB4">
              <w:rPr>
                <w:iCs/>
                <w:sz w:val="20"/>
                <w:szCs w:val="20"/>
              </w:rPr>
              <w:lastRenderedPageBreak/>
              <w:t>področju razvoja trga za vzpostavitev ustrezne infrastrukture v zvezi z alternativnimi gorivi v prometnem sektorju v Republiki Sloveniji</w:t>
            </w:r>
            <w:r>
              <w:rPr>
                <w:iCs/>
                <w:sz w:val="20"/>
                <w:szCs w:val="20"/>
              </w:rPr>
              <w:t xml:space="preserve">, </w:t>
            </w:r>
            <w:r w:rsidR="00501465">
              <w:rPr>
                <w:iCs/>
                <w:sz w:val="20"/>
                <w:szCs w:val="20"/>
              </w:rPr>
              <w:t xml:space="preserve">katere sprejem se predvideva v septembru 2017), </w:t>
            </w:r>
            <w:r>
              <w:rPr>
                <w:iCs/>
                <w:sz w:val="20"/>
                <w:szCs w:val="20"/>
              </w:rPr>
              <w:t>kateri bo sledil še konkretnejši akcijski načrt</w:t>
            </w:r>
            <w:r w:rsidR="00501465">
              <w:rPr>
                <w:iCs/>
                <w:sz w:val="20"/>
                <w:szCs w:val="20"/>
              </w:rPr>
              <w:t xml:space="preserve"> (v roku 6. mesecev po sprejemu Strategije)</w:t>
            </w:r>
            <w:r>
              <w:rPr>
                <w:iCs/>
                <w:sz w:val="20"/>
                <w:szCs w:val="20"/>
              </w:rPr>
              <w:t>.</w:t>
            </w:r>
          </w:p>
          <w:p w:rsidR="00CD2AFF" w:rsidRPr="0097453D" w:rsidRDefault="00CD2AFF" w:rsidP="0097453D">
            <w:pPr>
              <w:pStyle w:val="Neotevilenodstavek"/>
              <w:spacing w:before="40" w:afterLines="40" w:after="96" w:line="260" w:lineRule="atLeast"/>
              <w:rPr>
                <w:iCs/>
                <w:sz w:val="20"/>
                <w:szCs w:val="20"/>
              </w:rPr>
            </w:pPr>
          </w:p>
          <w:p w:rsidR="00254E8C" w:rsidRDefault="0097453D">
            <w:pPr>
              <w:pStyle w:val="Neotevilenodstavek"/>
              <w:spacing w:before="40" w:afterLines="40" w:after="96" w:line="260" w:lineRule="atLeast"/>
              <w:rPr>
                <w:iCs/>
                <w:sz w:val="20"/>
                <w:szCs w:val="20"/>
              </w:rPr>
            </w:pPr>
            <w:r w:rsidRPr="0097453D">
              <w:rPr>
                <w:iCs/>
                <w:sz w:val="20"/>
                <w:szCs w:val="20"/>
              </w:rPr>
              <w:t>Ministrstvo za infrastrukturo bo vsako leto pripravilo pregled izvajanja in doseže</w:t>
            </w:r>
            <w:r w:rsidR="00F67729">
              <w:rPr>
                <w:iCs/>
                <w:sz w:val="20"/>
                <w:szCs w:val="20"/>
              </w:rPr>
              <w:t>nih rezultatov na tem področju.</w:t>
            </w:r>
          </w:p>
          <w:p w:rsidR="00254E8C" w:rsidRDefault="00254E8C">
            <w:pPr>
              <w:pStyle w:val="Neotevilenodstavek"/>
              <w:spacing w:before="40" w:afterLines="40" w:after="96" w:line="260" w:lineRule="atLeast"/>
              <w:rPr>
                <w:iCs/>
                <w:sz w:val="20"/>
                <w:szCs w:val="20"/>
              </w:rPr>
            </w:pPr>
            <w:bookmarkStart w:id="0" w:name="_GoBack"/>
            <w:bookmarkEnd w:id="0"/>
          </w:p>
          <w:p w:rsidR="00BF73BB" w:rsidRPr="00B8597E" w:rsidRDefault="00BF73BB">
            <w:pPr>
              <w:pStyle w:val="Neotevilenodstavek"/>
              <w:spacing w:before="40" w:afterLines="40" w:after="96" w:line="260" w:lineRule="atLeast"/>
              <w:rPr>
                <w:iCs/>
                <w:sz w:val="20"/>
                <w:szCs w:val="20"/>
              </w:rPr>
            </w:pPr>
            <w:r w:rsidRPr="00BF73BB">
              <w:rPr>
                <w:b/>
                <w:iCs/>
                <w:sz w:val="20"/>
                <w:szCs w:val="20"/>
              </w:rPr>
              <w:t>V novem gradivu št. 1</w:t>
            </w:r>
            <w:r>
              <w:rPr>
                <w:b/>
                <w:iCs/>
                <w:sz w:val="20"/>
                <w:szCs w:val="20"/>
              </w:rPr>
              <w:t>:</w:t>
            </w:r>
            <w:r>
              <w:rPr>
                <w:iCs/>
                <w:sz w:val="20"/>
                <w:szCs w:val="20"/>
              </w:rPr>
              <w:t xml:space="preserve"> smo upoštevali pripombe SVZ, dopolnili obrazec vladnega gradiva št. 2 s pripombami na uredbo v okviru javne obravnave ter opravili lekturo uredbe. </w:t>
            </w:r>
          </w:p>
        </w:tc>
      </w:tr>
      <w:tr w:rsidR="00F02B4B" w:rsidRPr="00D462AF" w:rsidTr="003F712A">
        <w:tc>
          <w:tcPr>
            <w:tcW w:w="9163" w:type="dxa"/>
            <w:gridSpan w:val="4"/>
          </w:tcPr>
          <w:p w:rsidR="00F02B4B" w:rsidRPr="00D462AF" w:rsidRDefault="00F02B4B" w:rsidP="00487EAD">
            <w:pPr>
              <w:pStyle w:val="Oddelek"/>
              <w:numPr>
                <w:ilvl w:val="0"/>
                <w:numId w:val="0"/>
              </w:numPr>
              <w:spacing w:before="40" w:afterLines="40" w:after="96" w:line="260" w:lineRule="atLeast"/>
              <w:jc w:val="left"/>
              <w:rPr>
                <w:sz w:val="20"/>
                <w:szCs w:val="20"/>
              </w:rPr>
            </w:pPr>
            <w:r w:rsidRPr="00D462AF">
              <w:rPr>
                <w:sz w:val="20"/>
                <w:szCs w:val="20"/>
              </w:rPr>
              <w:lastRenderedPageBreak/>
              <w:t>6. Presoja posledic za:</w:t>
            </w:r>
          </w:p>
        </w:tc>
      </w:tr>
      <w:tr w:rsidR="00F02B4B" w:rsidRPr="00D462AF" w:rsidTr="003F712A">
        <w:tc>
          <w:tcPr>
            <w:tcW w:w="1448" w:type="dxa"/>
          </w:tcPr>
          <w:p w:rsidR="00F02B4B" w:rsidRPr="00D462AF" w:rsidRDefault="00F02B4B" w:rsidP="00487EAD">
            <w:pPr>
              <w:pStyle w:val="Neotevilenodstavek"/>
              <w:spacing w:before="40" w:afterLines="40" w:after="96" w:line="260" w:lineRule="atLeast"/>
              <w:ind w:left="360"/>
              <w:rPr>
                <w:iCs/>
                <w:sz w:val="20"/>
                <w:szCs w:val="20"/>
              </w:rPr>
            </w:pPr>
            <w:r w:rsidRPr="00D462AF">
              <w:rPr>
                <w:iCs/>
                <w:sz w:val="20"/>
                <w:szCs w:val="20"/>
              </w:rPr>
              <w:t>a)</w:t>
            </w:r>
          </w:p>
        </w:tc>
        <w:tc>
          <w:tcPr>
            <w:tcW w:w="5444" w:type="dxa"/>
            <w:gridSpan w:val="2"/>
          </w:tcPr>
          <w:p w:rsidR="00F02B4B" w:rsidRPr="00D462AF" w:rsidRDefault="00F02B4B">
            <w:pPr>
              <w:pStyle w:val="Neotevilenodstavek"/>
              <w:spacing w:before="40" w:afterLines="40" w:after="96" w:line="260" w:lineRule="atLeast"/>
              <w:rPr>
                <w:sz w:val="20"/>
                <w:szCs w:val="20"/>
              </w:rPr>
            </w:pPr>
            <w:r w:rsidRPr="00D462AF">
              <w:rPr>
                <w:sz w:val="20"/>
                <w:szCs w:val="20"/>
              </w:rPr>
              <w:t>javnofinančna sredstva nad 40.000 EUR v tekočem in naslednjih treh letih</w:t>
            </w:r>
          </w:p>
        </w:tc>
        <w:tc>
          <w:tcPr>
            <w:tcW w:w="2271" w:type="dxa"/>
            <w:vAlign w:val="center"/>
          </w:tcPr>
          <w:p w:rsidR="00F02B4B" w:rsidRPr="00D462AF" w:rsidRDefault="00776FB4">
            <w:pPr>
              <w:pStyle w:val="Neotevilenodstavek"/>
              <w:spacing w:before="40" w:afterLines="40" w:after="96" w:line="260" w:lineRule="atLeast"/>
              <w:jc w:val="center"/>
              <w:rPr>
                <w:iCs/>
                <w:sz w:val="20"/>
                <w:szCs w:val="20"/>
              </w:rPr>
            </w:pPr>
            <w:r>
              <w:rPr>
                <w:sz w:val="20"/>
                <w:szCs w:val="20"/>
              </w:rPr>
              <w:t>NE</w:t>
            </w:r>
          </w:p>
        </w:tc>
      </w:tr>
      <w:tr w:rsidR="00F02B4B" w:rsidRPr="00D462AF" w:rsidTr="003F712A">
        <w:tc>
          <w:tcPr>
            <w:tcW w:w="1448" w:type="dxa"/>
          </w:tcPr>
          <w:p w:rsidR="00F02B4B" w:rsidRPr="00D462AF" w:rsidRDefault="00F02B4B" w:rsidP="00487EAD">
            <w:pPr>
              <w:pStyle w:val="Neotevilenodstavek"/>
              <w:spacing w:before="40" w:afterLines="40" w:after="96" w:line="260" w:lineRule="atLeast"/>
              <w:ind w:left="360"/>
              <w:rPr>
                <w:iCs/>
                <w:sz w:val="20"/>
                <w:szCs w:val="20"/>
              </w:rPr>
            </w:pPr>
            <w:r w:rsidRPr="00D462AF">
              <w:rPr>
                <w:iCs/>
                <w:sz w:val="20"/>
                <w:szCs w:val="20"/>
              </w:rPr>
              <w:t>b)</w:t>
            </w:r>
          </w:p>
        </w:tc>
        <w:tc>
          <w:tcPr>
            <w:tcW w:w="5444" w:type="dxa"/>
            <w:gridSpan w:val="2"/>
          </w:tcPr>
          <w:p w:rsidR="00F02B4B" w:rsidRPr="00D462AF" w:rsidRDefault="00F02B4B">
            <w:pPr>
              <w:pStyle w:val="Neotevilenodstavek"/>
              <w:spacing w:before="40" w:afterLines="40" w:after="96" w:line="260" w:lineRule="atLeast"/>
              <w:rPr>
                <w:iCs/>
                <w:sz w:val="20"/>
                <w:szCs w:val="20"/>
              </w:rPr>
            </w:pPr>
            <w:r w:rsidRPr="00D462AF">
              <w:rPr>
                <w:bCs/>
                <w:sz w:val="20"/>
                <w:szCs w:val="20"/>
              </w:rPr>
              <w:t>usklajenost slovenskega pravnega reda s pravnim redom Evropske unije</w:t>
            </w:r>
          </w:p>
        </w:tc>
        <w:tc>
          <w:tcPr>
            <w:tcW w:w="2271" w:type="dxa"/>
            <w:vAlign w:val="center"/>
          </w:tcPr>
          <w:p w:rsidR="00F02B4B" w:rsidRPr="00D462AF" w:rsidRDefault="00776FB4">
            <w:pPr>
              <w:pStyle w:val="Neotevilenodstavek"/>
              <w:spacing w:before="40" w:afterLines="40" w:after="96" w:line="260" w:lineRule="atLeast"/>
              <w:jc w:val="center"/>
              <w:rPr>
                <w:iCs/>
                <w:sz w:val="20"/>
                <w:szCs w:val="20"/>
              </w:rPr>
            </w:pPr>
            <w:r>
              <w:rPr>
                <w:sz w:val="20"/>
                <w:szCs w:val="20"/>
              </w:rPr>
              <w:t>DA</w:t>
            </w:r>
          </w:p>
        </w:tc>
      </w:tr>
      <w:tr w:rsidR="00F02B4B" w:rsidRPr="00D462AF" w:rsidTr="003F712A">
        <w:tc>
          <w:tcPr>
            <w:tcW w:w="1448" w:type="dxa"/>
          </w:tcPr>
          <w:p w:rsidR="00F02B4B" w:rsidRPr="00D462AF" w:rsidRDefault="00F02B4B" w:rsidP="00487EAD">
            <w:pPr>
              <w:pStyle w:val="Neotevilenodstavek"/>
              <w:spacing w:before="40" w:afterLines="40" w:after="96" w:line="260" w:lineRule="atLeast"/>
              <w:ind w:left="360"/>
              <w:rPr>
                <w:iCs/>
                <w:sz w:val="20"/>
                <w:szCs w:val="20"/>
              </w:rPr>
            </w:pPr>
            <w:r w:rsidRPr="00D462AF">
              <w:rPr>
                <w:iCs/>
                <w:sz w:val="20"/>
                <w:szCs w:val="20"/>
              </w:rPr>
              <w:t>c)</w:t>
            </w:r>
          </w:p>
        </w:tc>
        <w:tc>
          <w:tcPr>
            <w:tcW w:w="5444" w:type="dxa"/>
            <w:gridSpan w:val="2"/>
          </w:tcPr>
          <w:p w:rsidR="00F02B4B" w:rsidRPr="00D462AF" w:rsidRDefault="00F02B4B">
            <w:pPr>
              <w:pStyle w:val="Neotevilenodstavek"/>
              <w:spacing w:before="40" w:afterLines="40" w:after="96" w:line="260" w:lineRule="atLeast"/>
              <w:rPr>
                <w:iCs/>
                <w:sz w:val="20"/>
                <w:szCs w:val="20"/>
              </w:rPr>
            </w:pPr>
            <w:r w:rsidRPr="00D462AF">
              <w:rPr>
                <w:sz w:val="20"/>
                <w:szCs w:val="20"/>
              </w:rPr>
              <w:t>administrativne posledice</w:t>
            </w:r>
          </w:p>
        </w:tc>
        <w:tc>
          <w:tcPr>
            <w:tcW w:w="2271" w:type="dxa"/>
            <w:vAlign w:val="center"/>
          </w:tcPr>
          <w:p w:rsidR="00F02B4B" w:rsidRPr="00D462AF" w:rsidRDefault="00776FB4">
            <w:pPr>
              <w:pStyle w:val="Neotevilenodstavek"/>
              <w:spacing w:before="40" w:afterLines="40" w:after="96" w:line="260" w:lineRule="atLeast"/>
              <w:jc w:val="center"/>
              <w:rPr>
                <w:sz w:val="20"/>
                <w:szCs w:val="20"/>
              </w:rPr>
            </w:pPr>
            <w:r>
              <w:rPr>
                <w:sz w:val="20"/>
                <w:szCs w:val="20"/>
              </w:rPr>
              <w:t>NE</w:t>
            </w:r>
          </w:p>
        </w:tc>
      </w:tr>
      <w:tr w:rsidR="00F02B4B" w:rsidRPr="00D462AF" w:rsidTr="003F712A">
        <w:tc>
          <w:tcPr>
            <w:tcW w:w="1448" w:type="dxa"/>
          </w:tcPr>
          <w:p w:rsidR="00F02B4B" w:rsidRPr="00D462AF" w:rsidRDefault="00F02B4B" w:rsidP="00487EAD">
            <w:pPr>
              <w:pStyle w:val="Neotevilenodstavek"/>
              <w:spacing w:before="40" w:afterLines="40" w:after="96" w:line="260" w:lineRule="atLeast"/>
              <w:ind w:left="360"/>
              <w:rPr>
                <w:iCs/>
                <w:sz w:val="20"/>
                <w:szCs w:val="20"/>
              </w:rPr>
            </w:pPr>
            <w:r w:rsidRPr="00D462AF">
              <w:rPr>
                <w:iCs/>
                <w:sz w:val="20"/>
                <w:szCs w:val="20"/>
              </w:rPr>
              <w:t>č)</w:t>
            </w:r>
          </w:p>
        </w:tc>
        <w:tc>
          <w:tcPr>
            <w:tcW w:w="5444" w:type="dxa"/>
            <w:gridSpan w:val="2"/>
          </w:tcPr>
          <w:p w:rsidR="00F02B4B" w:rsidRPr="00D462AF" w:rsidRDefault="00F02B4B">
            <w:pPr>
              <w:pStyle w:val="Neotevilenodstavek"/>
              <w:spacing w:before="40" w:afterLines="40" w:after="96" w:line="260" w:lineRule="atLeast"/>
              <w:rPr>
                <w:bCs/>
                <w:sz w:val="20"/>
                <w:szCs w:val="20"/>
              </w:rPr>
            </w:pPr>
            <w:r w:rsidRPr="00D462AF">
              <w:rPr>
                <w:sz w:val="20"/>
                <w:szCs w:val="20"/>
              </w:rPr>
              <w:t>gospodarstvo, zlasti</w:t>
            </w:r>
            <w:r w:rsidRPr="00D462AF">
              <w:rPr>
                <w:bCs/>
                <w:sz w:val="20"/>
                <w:szCs w:val="20"/>
              </w:rPr>
              <w:t xml:space="preserve"> mala in srednja podjetja ter konkurenčnost podjetij</w:t>
            </w:r>
          </w:p>
        </w:tc>
        <w:tc>
          <w:tcPr>
            <w:tcW w:w="2271" w:type="dxa"/>
            <w:vAlign w:val="center"/>
          </w:tcPr>
          <w:p w:rsidR="00F02B4B" w:rsidRPr="00D462AF" w:rsidRDefault="00776FB4">
            <w:pPr>
              <w:pStyle w:val="Neotevilenodstavek"/>
              <w:spacing w:before="40" w:afterLines="40" w:after="96" w:line="260" w:lineRule="atLeast"/>
              <w:jc w:val="center"/>
              <w:rPr>
                <w:iCs/>
                <w:sz w:val="20"/>
                <w:szCs w:val="20"/>
              </w:rPr>
            </w:pPr>
            <w:r>
              <w:rPr>
                <w:sz w:val="20"/>
                <w:szCs w:val="20"/>
              </w:rPr>
              <w:t>NE</w:t>
            </w:r>
          </w:p>
        </w:tc>
      </w:tr>
      <w:tr w:rsidR="00F02B4B" w:rsidRPr="00D462AF" w:rsidTr="003F712A">
        <w:tc>
          <w:tcPr>
            <w:tcW w:w="1448" w:type="dxa"/>
          </w:tcPr>
          <w:p w:rsidR="00F02B4B" w:rsidRPr="00D462AF" w:rsidRDefault="00F02B4B" w:rsidP="00487EAD">
            <w:pPr>
              <w:pStyle w:val="Neotevilenodstavek"/>
              <w:spacing w:before="40" w:afterLines="40" w:after="96" w:line="260" w:lineRule="atLeast"/>
              <w:ind w:left="360"/>
              <w:rPr>
                <w:iCs/>
                <w:sz w:val="20"/>
                <w:szCs w:val="20"/>
              </w:rPr>
            </w:pPr>
            <w:r w:rsidRPr="00D462AF">
              <w:rPr>
                <w:iCs/>
                <w:sz w:val="20"/>
                <w:szCs w:val="20"/>
              </w:rPr>
              <w:t>d)</w:t>
            </w:r>
          </w:p>
        </w:tc>
        <w:tc>
          <w:tcPr>
            <w:tcW w:w="5444" w:type="dxa"/>
            <w:gridSpan w:val="2"/>
          </w:tcPr>
          <w:p w:rsidR="00F02B4B" w:rsidRPr="00D462AF" w:rsidRDefault="00F02B4B">
            <w:pPr>
              <w:pStyle w:val="Neotevilenodstavek"/>
              <w:spacing w:before="40" w:afterLines="40" w:after="96" w:line="260" w:lineRule="atLeast"/>
              <w:rPr>
                <w:bCs/>
                <w:sz w:val="20"/>
                <w:szCs w:val="20"/>
              </w:rPr>
            </w:pPr>
            <w:r w:rsidRPr="00D462AF">
              <w:rPr>
                <w:bCs/>
                <w:sz w:val="20"/>
                <w:szCs w:val="20"/>
              </w:rPr>
              <w:t>okolje, vključno s prostorskimi in varstvenimi vidiki</w:t>
            </w:r>
          </w:p>
        </w:tc>
        <w:tc>
          <w:tcPr>
            <w:tcW w:w="2271" w:type="dxa"/>
            <w:vAlign w:val="center"/>
          </w:tcPr>
          <w:p w:rsidR="00F02B4B" w:rsidRPr="00D462AF" w:rsidRDefault="00776FB4">
            <w:pPr>
              <w:pStyle w:val="Neotevilenodstavek"/>
              <w:spacing w:before="40" w:afterLines="40" w:after="96" w:line="260" w:lineRule="atLeast"/>
              <w:jc w:val="center"/>
              <w:rPr>
                <w:iCs/>
                <w:sz w:val="20"/>
                <w:szCs w:val="20"/>
              </w:rPr>
            </w:pPr>
            <w:r>
              <w:rPr>
                <w:sz w:val="20"/>
                <w:szCs w:val="20"/>
              </w:rPr>
              <w:t>NE</w:t>
            </w:r>
          </w:p>
        </w:tc>
      </w:tr>
      <w:tr w:rsidR="00F02B4B" w:rsidRPr="00D462AF" w:rsidTr="003F712A">
        <w:tc>
          <w:tcPr>
            <w:tcW w:w="1448" w:type="dxa"/>
          </w:tcPr>
          <w:p w:rsidR="00F02B4B" w:rsidRPr="00D462AF" w:rsidRDefault="00F02B4B" w:rsidP="00487EAD">
            <w:pPr>
              <w:pStyle w:val="Neotevilenodstavek"/>
              <w:spacing w:before="40" w:afterLines="40" w:after="96" w:line="260" w:lineRule="atLeast"/>
              <w:ind w:left="360"/>
              <w:rPr>
                <w:iCs/>
                <w:sz w:val="20"/>
                <w:szCs w:val="20"/>
              </w:rPr>
            </w:pPr>
            <w:r w:rsidRPr="00D462AF">
              <w:rPr>
                <w:iCs/>
                <w:sz w:val="20"/>
                <w:szCs w:val="20"/>
              </w:rPr>
              <w:t>e)</w:t>
            </w:r>
          </w:p>
        </w:tc>
        <w:tc>
          <w:tcPr>
            <w:tcW w:w="5444" w:type="dxa"/>
            <w:gridSpan w:val="2"/>
          </w:tcPr>
          <w:p w:rsidR="00F02B4B" w:rsidRPr="00D462AF" w:rsidRDefault="00F02B4B">
            <w:pPr>
              <w:pStyle w:val="Neotevilenodstavek"/>
              <w:spacing w:before="40" w:afterLines="40" w:after="96" w:line="260" w:lineRule="atLeast"/>
              <w:rPr>
                <w:bCs/>
                <w:sz w:val="20"/>
                <w:szCs w:val="20"/>
              </w:rPr>
            </w:pPr>
            <w:r w:rsidRPr="00D462AF">
              <w:rPr>
                <w:bCs/>
                <w:sz w:val="20"/>
                <w:szCs w:val="20"/>
              </w:rPr>
              <w:t>socialno področje</w:t>
            </w:r>
          </w:p>
        </w:tc>
        <w:tc>
          <w:tcPr>
            <w:tcW w:w="2271" w:type="dxa"/>
            <w:vAlign w:val="center"/>
          </w:tcPr>
          <w:p w:rsidR="00F02B4B" w:rsidRPr="00D462AF" w:rsidRDefault="00776FB4">
            <w:pPr>
              <w:pStyle w:val="Neotevilenodstavek"/>
              <w:spacing w:before="40" w:afterLines="40" w:after="96" w:line="260" w:lineRule="atLeast"/>
              <w:jc w:val="center"/>
              <w:rPr>
                <w:iCs/>
                <w:sz w:val="20"/>
                <w:szCs w:val="20"/>
              </w:rPr>
            </w:pPr>
            <w:r>
              <w:rPr>
                <w:sz w:val="20"/>
                <w:szCs w:val="20"/>
              </w:rPr>
              <w:t>NE</w:t>
            </w:r>
          </w:p>
        </w:tc>
      </w:tr>
      <w:tr w:rsidR="00F02B4B" w:rsidRPr="00D462AF" w:rsidTr="003F712A">
        <w:tc>
          <w:tcPr>
            <w:tcW w:w="1448" w:type="dxa"/>
            <w:tcBorders>
              <w:bottom w:val="single" w:sz="4" w:space="0" w:color="auto"/>
            </w:tcBorders>
          </w:tcPr>
          <w:p w:rsidR="00F02B4B" w:rsidRPr="00D462AF" w:rsidRDefault="00F02B4B" w:rsidP="00487EAD">
            <w:pPr>
              <w:pStyle w:val="Neotevilenodstavek"/>
              <w:spacing w:before="40" w:afterLines="40" w:after="96" w:line="260" w:lineRule="atLeast"/>
              <w:ind w:left="360"/>
              <w:rPr>
                <w:iCs/>
                <w:sz w:val="20"/>
                <w:szCs w:val="20"/>
              </w:rPr>
            </w:pPr>
            <w:r w:rsidRPr="00D462AF">
              <w:rPr>
                <w:iCs/>
                <w:sz w:val="20"/>
                <w:szCs w:val="20"/>
              </w:rPr>
              <w:t>f)</w:t>
            </w:r>
          </w:p>
        </w:tc>
        <w:tc>
          <w:tcPr>
            <w:tcW w:w="5444" w:type="dxa"/>
            <w:gridSpan w:val="2"/>
            <w:tcBorders>
              <w:bottom w:val="single" w:sz="4" w:space="0" w:color="auto"/>
            </w:tcBorders>
          </w:tcPr>
          <w:p w:rsidR="00F02B4B" w:rsidRPr="00D462AF" w:rsidRDefault="00F02B4B">
            <w:pPr>
              <w:pStyle w:val="Neotevilenodstavek"/>
              <w:spacing w:before="40" w:afterLines="40" w:after="96" w:line="260" w:lineRule="atLeast"/>
              <w:rPr>
                <w:bCs/>
                <w:sz w:val="20"/>
                <w:szCs w:val="20"/>
              </w:rPr>
            </w:pPr>
            <w:r w:rsidRPr="00D462AF">
              <w:rPr>
                <w:bCs/>
                <w:sz w:val="20"/>
                <w:szCs w:val="20"/>
              </w:rPr>
              <w:t>dokumente razvojnega načrtovanja:</w:t>
            </w:r>
          </w:p>
          <w:p w:rsidR="00F02B4B" w:rsidRPr="00D462AF" w:rsidRDefault="00F02B4B">
            <w:pPr>
              <w:pStyle w:val="Neotevilenodstavek"/>
              <w:numPr>
                <w:ilvl w:val="0"/>
                <w:numId w:val="4"/>
              </w:numPr>
              <w:spacing w:before="40" w:afterLines="40" w:after="96" w:line="260" w:lineRule="atLeast"/>
              <w:rPr>
                <w:bCs/>
                <w:sz w:val="20"/>
                <w:szCs w:val="20"/>
              </w:rPr>
            </w:pPr>
            <w:r w:rsidRPr="00D462AF">
              <w:rPr>
                <w:bCs/>
                <w:sz w:val="20"/>
                <w:szCs w:val="20"/>
              </w:rPr>
              <w:t>nacionalne dokumente razvojnega načrtovanja</w:t>
            </w:r>
          </w:p>
          <w:p w:rsidR="00F02B4B" w:rsidRPr="00D462AF" w:rsidRDefault="00F02B4B">
            <w:pPr>
              <w:pStyle w:val="Neotevilenodstavek"/>
              <w:numPr>
                <w:ilvl w:val="0"/>
                <w:numId w:val="4"/>
              </w:numPr>
              <w:spacing w:before="40" w:afterLines="40" w:after="96" w:line="260" w:lineRule="atLeast"/>
              <w:rPr>
                <w:bCs/>
                <w:sz w:val="20"/>
                <w:szCs w:val="20"/>
              </w:rPr>
            </w:pPr>
            <w:r w:rsidRPr="00D462AF">
              <w:rPr>
                <w:bCs/>
                <w:sz w:val="20"/>
                <w:szCs w:val="20"/>
              </w:rPr>
              <w:t>razvojne politike na ravni programov po strukturi razvojne klasifikacije programskega proračuna</w:t>
            </w:r>
          </w:p>
          <w:p w:rsidR="00F02B4B" w:rsidRPr="00D462AF" w:rsidRDefault="00F02B4B">
            <w:pPr>
              <w:pStyle w:val="Neotevilenodstavek"/>
              <w:numPr>
                <w:ilvl w:val="0"/>
                <w:numId w:val="4"/>
              </w:numPr>
              <w:spacing w:before="40" w:afterLines="40" w:after="96" w:line="260" w:lineRule="atLeast"/>
              <w:rPr>
                <w:bCs/>
                <w:sz w:val="20"/>
                <w:szCs w:val="20"/>
              </w:rPr>
            </w:pPr>
            <w:r w:rsidRPr="00D462AF">
              <w:rPr>
                <w:bCs/>
                <w:sz w:val="20"/>
                <w:szCs w:val="20"/>
              </w:rPr>
              <w:t>razvojne dokumente Evropske unije in mednarodnih organizacij</w:t>
            </w:r>
          </w:p>
        </w:tc>
        <w:tc>
          <w:tcPr>
            <w:tcW w:w="2271" w:type="dxa"/>
            <w:tcBorders>
              <w:bottom w:val="single" w:sz="4" w:space="0" w:color="auto"/>
            </w:tcBorders>
            <w:vAlign w:val="center"/>
          </w:tcPr>
          <w:p w:rsidR="00F02B4B" w:rsidRPr="00D462AF" w:rsidRDefault="00776FB4">
            <w:pPr>
              <w:pStyle w:val="Neotevilenodstavek"/>
              <w:spacing w:before="40" w:afterLines="40" w:after="96" w:line="260" w:lineRule="atLeast"/>
              <w:jc w:val="center"/>
              <w:rPr>
                <w:iCs/>
                <w:sz w:val="20"/>
                <w:szCs w:val="20"/>
              </w:rPr>
            </w:pPr>
            <w:r>
              <w:rPr>
                <w:sz w:val="20"/>
                <w:szCs w:val="20"/>
              </w:rPr>
              <w:t>NE</w:t>
            </w:r>
          </w:p>
        </w:tc>
      </w:tr>
      <w:tr w:rsidR="00F02B4B" w:rsidRPr="00D462AF" w:rsidTr="00501465">
        <w:trPr>
          <w:trHeight w:val="983"/>
        </w:trPr>
        <w:tc>
          <w:tcPr>
            <w:tcW w:w="9163" w:type="dxa"/>
            <w:gridSpan w:val="4"/>
            <w:tcBorders>
              <w:top w:val="single" w:sz="4" w:space="0" w:color="auto"/>
              <w:left w:val="single" w:sz="4" w:space="0" w:color="auto"/>
              <w:bottom w:val="single" w:sz="4" w:space="0" w:color="auto"/>
              <w:right w:val="single" w:sz="4" w:space="0" w:color="auto"/>
            </w:tcBorders>
          </w:tcPr>
          <w:p w:rsidR="00F02B4B" w:rsidRPr="00D462AF" w:rsidRDefault="00F02B4B" w:rsidP="00487EAD">
            <w:pPr>
              <w:pStyle w:val="Oddelek"/>
              <w:widowControl w:val="0"/>
              <w:numPr>
                <w:ilvl w:val="0"/>
                <w:numId w:val="0"/>
              </w:numPr>
              <w:spacing w:before="40" w:afterLines="40" w:after="96" w:line="260" w:lineRule="atLeast"/>
              <w:jc w:val="left"/>
              <w:rPr>
                <w:sz w:val="20"/>
                <w:szCs w:val="20"/>
              </w:rPr>
            </w:pPr>
            <w:r w:rsidRPr="00D462AF">
              <w:rPr>
                <w:sz w:val="20"/>
                <w:szCs w:val="20"/>
              </w:rPr>
              <w:t>7.a Predstavitev ocene finančnih posledic nad 40.000 EUR:</w:t>
            </w:r>
          </w:p>
          <w:p w:rsidR="00F02B4B" w:rsidRPr="00D462AF" w:rsidRDefault="00F02B4B" w:rsidP="00CA749D">
            <w:pPr>
              <w:pStyle w:val="Oddelek"/>
              <w:widowControl w:val="0"/>
              <w:numPr>
                <w:ilvl w:val="0"/>
                <w:numId w:val="0"/>
              </w:numPr>
              <w:spacing w:before="40" w:afterLines="40" w:after="96" w:line="260" w:lineRule="atLeast"/>
              <w:jc w:val="both"/>
              <w:rPr>
                <w:b w:val="0"/>
                <w:sz w:val="20"/>
                <w:szCs w:val="20"/>
              </w:rPr>
            </w:pPr>
          </w:p>
        </w:tc>
      </w:tr>
    </w:tbl>
    <w:p w:rsidR="00F02B4B" w:rsidRPr="00D462AF" w:rsidRDefault="00F02B4B" w:rsidP="00487EAD">
      <w:pPr>
        <w:spacing w:before="40" w:afterLines="40" w:after="96" w:line="260" w:lineRule="atLeas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02B4B" w:rsidRPr="00D462AF" w:rsidTr="003F712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02B4B" w:rsidRPr="00D462AF" w:rsidRDefault="00F02B4B" w:rsidP="00D462AF">
            <w:pPr>
              <w:pStyle w:val="Naslov1"/>
              <w:keepNext w:val="0"/>
              <w:pageBreakBefore/>
              <w:widowControl w:val="0"/>
              <w:tabs>
                <w:tab w:val="left" w:pos="2340"/>
              </w:tabs>
              <w:spacing w:before="0" w:after="0" w:line="260" w:lineRule="atLeast"/>
              <w:ind w:left="142" w:hanging="142"/>
              <w:rPr>
                <w:sz w:val="20"/>
                <w:szCs w:val="20"/>
              </w:rPr>
            </w:pPr>
            <w:r w:rsidRPr="00D462AF">
              <w:rPr>
                <w:sz w:val="20"/>
                <w:szCs w:val="20"/>
              </w:rPr>
              <w:lastRenderedPageBreak/>
              <w:t>I. Ocena finančnih posledic, ki niso načrtovane v sprejetem proračunu</w:t>
            </w:r>
          </w:p>
        </w:tc>
      </w:tr>
      <w:tr w:rsidR="00F02B4B" w:rsidRPr="00D462AF" w:rsidTr="003F712A">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t + 3</w:t>
            </w:r>
          </w:p>
        </w:tc>
      </w:tr>
      <w:tr w:rsidR="00F02B4B" w:rsidRPr="00D462AF"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rPr>
                <w:rFonts w:ascii="Arial" w:hAnsi="Arial" w:cs="Arial"/>
                <w:bCs/>
                <w:sz w:val="20"/>
                <w:szCs w:val="20"/>
              </w:rPr>
            </w:pPr>
            <w:r w:rsidRPr="00D462AF">
              <w:rPr>
                <w:rFonts w:ascii="Arial" w:hAnsi="Arial" w:cs="Arial"/>
                <w:bCs/>
                <w:sz w:val="20"/>
                <w:szCs w:val="20"/>
              </w:rPr>
              <w:t>Predvideno povečanje (+) ali zmanjšanje (</w:t>
            </w:r>
            <w:r w:rsidRPr="00D462AF">
              <w:rPr>
                <w:rFonts w:ascii="Arial" w:hAnsi="Arial" w:cs="Arial"/>
                <w:b/>
                <w:sz w:val="20"/>
                <w:szCs w:val="20"/>
              </w:rPr>
              <w:t>–</w:t>
            </w:r>
            <w:r w:rsidRPr="00D462AF">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sz w:val="20"/>
                <w:szCs w:val="20"/>
              </w:rPr>
            </w:pPr>
          </w:p>
        </w:tc>
      </w:tr>
      <w:tr w:rsidR="00F02B4B" w:rsidRPr="00D462AF"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rPr>
                <w:rFonts w:ascii="Arial" w:hAnsi="Arial" w:cs="Arial"/>
                <w:bCs/>
                <w:sz w:val="20"/>
                <w:szCs w:val="20"/>
              </w:rPr>
            </w:pPr>
            <w:r w:rsidRPr="00D462AF">
              <w:rPr>
                <w:rFonts w:ascii="Arial" w:hAnsi="Arial" w:cs="Arial"/>
                <w:bCs/>
                <w:sz w:val="20"/>
                <w:szCs w:val="20"/>
              </w:rPr>
              <w:t>Predvideno povečanje (+) ali zmanjšanje (</w:t>
            </w:r>
            <w:r w:rsidRPr="00D462AF">
              <w:rPr>
                <w:rFonts w:ascii="Arial" w:hAnsi="Arial" w:cs="Arial"/>
                <w:b/>
                <w:sz w:val="20"/>
                <w:szCs w:val="20"/>
              </w:rPr>
              <w:t>–</w:t>
            </w:r>
            <w:r w:rsidRPr="00D462AF">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sz w:val="20"/>
                <w:szCs w:val="20"/>
              </w:rPr>
            </w:pPr>
          </w:p>
        </w:tc>
      </w:tr>
      <w:tr w:rsidR="00F02B4B" w:rsidRPr="00D462AF"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rPr>
                <w:rFonts w:ascii="Arial" w:hAnsi="Arial" w:cs="Arial"/>
                <w:bCs/>
                <w:sz w:val="20"/>
                <w:szCs w:val="20"/>
              </w:rPr>
            </w:pPr>
            <w:r w:rsidRPr="00D462AF">
              <w:rPr>
                <w:rFonts w:ascii="Arial" w:hAnsi="Arial" w:cs="Arial"/>
                <w:bCs/>
                <w:sz w:val="20"/>
                <w:szCs w:val="20"/>
              </w:rPr>
              <w:t>Predvideno povečanje (+) ali zmanjšanje (</w:t>
            </w:r>
            <w:r w:rsidRPr="00D462AF">
              <w:rPr>
                <w:rFonts w:ascii="Arial" w:hAnsi="Arial" w:cs="Arial"/>
                <w:b/>
                <w:sz w:val="20"/>
                <w:szCs w:val="20"/>
              </w:rPr>
              <w:t>–</w:t>
            </w:r>
            <w:r w:rsidRPr="00D462AF">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p>
        </w:tc>
      </w:tr>
      <w:tr w:rsidR="00F02B4B" w:rsidRPr="00D462AF" w:rsidTr="003F712A">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rPr>
                <w:rFonts w:ascii="Arial" w:hAnsi="Arial" w:cs="Arial"/>
                <w:bCs/>
                <w:sz w:val="20"/>
                <w:szCs w:val="20"/>
              </w:rPr>
            </w:pPr>
            <w:r w:rsidRPr="00D462AF">
              <w:rPr>
                <w:rFonts w:ascii="Arial" w:hAnsi="Arial" w:cs="Arial"/>
                <w:bCs/>
                <w:sz w:val="20"/>
                <w:szCs w:val="20"/>
              </w:rPr>
              <w:t>Predvideno povečanje (+) ali zmanjšanje (</w:t>
            </w:r>
            <w:r w:rsidRPr="00D462AF">
              <w:rPr>
                <w:rFonts w:ascii="Arial" w:hAnsi="Arial" w:cs="Arial"/>
                <w:b/>
                <w:sz w:val="20"/>
                <w:szCs w:val="20"/>
              </w:rPr>
              <w:t>–</w:t>
            </w:r>
            <w:r w:rsidRPr="00D462AF">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p>
        </w:tc>
      </w:tr>
      <w:tr w:rsidR="00F02B4B" w:rsidRPr="00D462AF"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rPr>
                <w:rFonts w:ascii="Arial" w:hAnsi="Arial" w:cs="Arial"/>
                <w:bCs/>
                <w:sz w:val="20"/>
                <w:szCs w:val="20"/>
              </w:rPr>
            </w:pPr>
            <w:r w:rsidRPr="00D462AF">
              <w:rPr>
                <w:rFonts w:ascii="Arial" w:hAnsi="Arial" w:cs="Arial"/>
                <w:bCs/>
                <w:sz w:val="20"/>
                <w:szCs w:val="20"/>
              </w:rPr>
              <w:t>Predvideno povečanje (+) ali zmanjšanje (</w:t>
            </w:r>
            <w:r w:rsidRPr="00D462AF">
              <w:rPr>
                <w:rFonts w:ascii="Arial" w:hAnsi="Arial" w:cs="Arial"/>
                <w:b/>
                <w:sz w:val="20"/>
                <w:szCs w:val="20"/>
              </w:rPr>
              <w:t>–</w:t>
            </w:r>
            <w:r w:rsidRPr="00D462AF">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sz w:val="20"/>
                <w:szCs w:val="20"/>
              </w:rPr>
            </w:pPr>
          </w:p>
        </w:tc>
      </w:tr>
      <w:tr w:rsidR="00F02B4B" w:rsidRPr="00D462AF"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D462AF" w:rsidRDefault="00F02B4B" w:rsidP="00D462AF">
            <w:pPr>
              <w:pStyle w:val="Naslov1"/>
              <w:keepNext w:val="0"/>
              <w:widowControl w:val="0"/>
              <w:tabs>
                <w:tab w:val="left" w:pos="2340"/>
              </w:tabs>
              <w:spacing w:before="0" w:after="0" w:line="260" w:lineRule="atLeast"/>
              <w:ind w:left="142" w:hanging="142"/>
              <w:rPr>
                <w:sz w:val="20"/>
                <w:szCs w:val="20"/>
              </w:rPr>
            </w:pPr>
            <w:r w:rsidRPr="00D462AF">
              <w:rPr>
                <w:sz w:val="20"/>
                <w:szCs w:val="20"/>
              </w:rPr>
              <w:t>II. Finančne posledice za državni proračun</w:t>
            </w:r>
          </w:p>
        </w:tc>
      </w:tr>
      <w:tr w:rsidR="00F02B4B" w:rsidRPr="00D462AF"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D462AF" w:rsidRDefault="00F02B4B" w:rsidP="00D462AF">
            <w:pPr>
              <w:pStyle w:val="Naslov1"/>
              <w:keepNext w:val="0"/>
              <w:widowControl w:val="0"/>
              <w:tabs>
                <w:tab w:val="left" w:pos="2340"/>
              </w:tabs>
              <w:spacing w:before="0" w:after="0" w:line="260" w:lineRule="atLeast"/>
              <w:ind w:left="142" w:hanging="142"/>
              <w:rPr>
                <w:sz w:val="20"/>
                <w:szCs w:val="20"/>
              </w:rPr>
            </w:pPr>
            <w:r w:rsidRPr="00D462AF">
              <w:rPr>
                <w:sz w:val="20"/>
                <w:szCs w:val="20"/>
              </w:rPr>
              <w:t>II.a Pravice porabe za izvedbo predlaganih rešitev so zagotovljene:</w:t>
            </w:r>
          </w:p>
        </w:tc>
      </w:tr>
      <w:tr w:rsidR="00F02B4B" w:rsidRPr="00D462AF"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Znesek za t + 1</w:t>
            </w:r>
          </w:p>
        </w:tc>
      </w:tr>
      <w:tr w:rsidR="002C19CD" w:rsidRPr="00D462AF" w:rsidTr="00A13B0C">
        <w:trPr>
          <w:cantSplit/>
          <w:trHeight w:val="598"/>
        </w:trPr>
        <w:tc>
          <w:tcPr>
            <w:tcW w:w="9200" w:type="dxa"/>
            <w:gridSpan w:val="9"/>
            <w:tcBorders>
              <w:top w:val="single" w:sz="4" w:space="0" w:color="auto"/>
              <w:left w:val="single" w:sz="4" w:space="0" w:color="auto"/>
              <w:right w:val="single" w:sz="4" w:space="0" w:color="auto"/>
            </w:tcBorders>
            <w:vAlign w:val="center"/>
          </w:tcPr>
          <w:p w:rsidR="00894733" w:rsidRDefault="00894733" w:rsidP="00875E9C">
            <w:pPr>
              <w:suppressAutoHyphens w:val="0"/>
              <w:autoSpaceDE w:val="0"/>
              <w:autoSpaceDN w:val="0"/>
              <w:adjustRightInd w:val="0"/>
              <w:rPr>
                <w:sz w:val="20"/>
                <w:szCs w:val="20"/>
              </w:rPr>
            </w:pPr>
          </w:p>
          <w:p w:rsidR="00894733" w:rsidRDefault="00894733" w:rsidP="00875E9C">
            <w:pPr>
              <w:suppressAutoHyphens w:val="0"/>
              <w:autoSpaceDE w:val="0"/>
              <w:autoSpaceDN w:val="0"/>
              <w:adjustRightInd w:val="0"/>
              <w:rPr>
                <w:sz w:val="20"/>
                <w:szCs w:val="20"/>
              </w:rPr>
            </w:pPr>
          </w:p>
          <w:p w:rsidR="00894733" w:rsidRPr="00D462AF" w:rsidRDefault="00894733" w:rsidP="00875E9C">
            <w:pPr>
              <w:suppressAutoHyphens w:val="0"/>
              <w:autoSpaceDE w:val="0"/>
              <w:autoSpaceDN w:val="0"/>
              <w:adjustRightInd w:val="0"/>
              <w:rPr>
                <w:sz w:val="20"/>
                <w:szCs w:val="20"/>
              </w:rPr>
            </w:pPr>
          </w:p>
        </w:tc>
      </w:tr>
      <w:tr w:rsidR="00F02B4B" w:rsidRPr="00D462AF"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sz w:val="20"/>
                <w:szCs w:val="20"/>
              </w:rPr>
            </w:pPr>
            <w:r w:rsidRPr="00D462AF">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sz w:val="20"/>
                <w:szCs w:val="20"/>
              </w:rPr>
            </w:pPr>
          </w:p>
        </w:tc>
      </w:tr>
      <w:tr w:rsidR="00F02B4B" w:rsidRPr="00D462AF" w:rsidTr="003F712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D462AF" w:rsidRDefault="00F02B4B" w:rsidP="00D462AF">
            <w:pPr>
              <w:pStyle w:val="Naslov1"/>
              <w:keepNext w:val="0"/>
              <w:widowControl w:val="0"/>
              <w:tabs>
                <w:tab w:val="left" w:pos="2340"/>
              </w:tabs>
              <w:spacing w:before="0" w:after="0" w:line="260" w:lineRule="atLeast"/>
              <w:rPr>
                <w:sz w:val="20"/>
                <w:szCs w:val="20"/>
              </w:rPr>
            </w:pPr>
            <w:r w:rsidRPr="00D462AF">
              <w:rPr>
                <w:sz w:val="20"/>
                <w:szCs w:val="20"/>
              </w:rPr>
              <w:t>II.b Manjkajoče pravice porabe bodo zagotovljene s prerazporeditvijo:</w:t>
            </w:r>
          </w:p>
        </w:tc>
      </w:tr>
      <w:tr w:rsidR="00F02B4B" w:rsidRPr="00D462AF"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 xml:space="preserve">Znesek za t + 1 </w:t>
            </w:r>
          </w:p>
        </w:tc>
      </w:tr>
      <w:tr w:rsidR="002C19CD" w:rsidRPr="00D462AF" w:rsidTr="00A13B0C">
        <w:trPr>
          <w:cantSplit/>
          <w:trHeight w:val="530"/>
        </w:trPr>
        <w:tc>
          <w:tcPr>
            <w:tcW w:w="9200" w:type="dxa"/>
            <w:gridSpan w:val="9"/>
            <w:tcBorders>
              <w:top w:val="single" w:sz="4" w:space="0" w:color="auto"/>
              <w:left w:val="single" w:sz="4" w:space="0" w:color="auto"/>
              <w:right w:val="single" w:sz="4" w:space="0" w:color="auto"/>
            </w:tcBorders>
            <w:vAlign w:val="center"/>
          </w:tcPr>
          <w:p w:rsidR="00C31064" w:rsidRDefault="00C31064" w:rsidP="002C19CD">
            <w:pPr>
              <w:suppressAutoHyphens w:val="0"/>
              <w:autoSpaceDE w:val="0"/>
              <w:autoSpaceDN w:val="0"/>
              <w:adjustRightInd w:val="0"/>
              <w:rPr>
                <w:rFonts w:ascii="Helv" w:hAnsi="Helv" w:cs="Helv"/>
                <w:color w:val="000000"/>
                <w:sz w:val="20"/>
                <w:szCs w:val="20"/>
                <w:lang w:eastAsia="sl-SI"/>
              </w:rPr>
            </w:pPr>
          </w:p>
          <w:p w:rsidR="00C31064" w:rsidRPr="002C19CD" w:rsidRDefault="00C31064" w:rsidP="002C19CD">
            <w:pPr>
              <w:suppressAutoHyphens w:val="0"/>
              <w:autoSpaceDE w:val="0"/>
              <w:autoSpaceDN w:val="0"/>
              <w:adjustRightInd w:val="0"/>
              <w:rPr>
                <w:rFonts w:ascii="Helv" w:hAnsi="Helv" w:cs="Helv"/>
                <w:color w:val="000000"/>
                <w:sz w:val="20"/>
                <w:szCs w:val="20"/>
                <w:lang w:eastAsia="sl-SI"/>
              </w:rPr>
            </w:pPr>
          </w:p>
          <w:p w:rsidR="002C19CD" w:rsidRPr="00D462AF" w:rsidRDefault="002C19CD" w:rsidP="002C19CD">
            <w:pPr>
              <w:pStyle w:val="Naslov1"/>
              <w:keepNext w:val="0"/>
              <w:widowControl w:val="0"/>
              <w:tabs>
                <w:tab w:val="left" w:pos="360"/>
              </w:tabs>
              <w:spacing w:before="0" w:after="0" w:line="260" w:lineRule="atLeast"/>
              <w:rPr>
                <w:b w:val="0"/>
                <w:bCs w:val="0"/>
                <w:sz w:val="20"/>
                <w:szCs w:val="20"/>
              </w:rPr>
            </w:pPr>
          </w:p>
        </w:tc>
      </w:tr>
      <w:tr w:rsidR="00F02B4B" w:rsidRPr="00D462AF"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sz w:val="20"/>
                <w:szCs w:val="20"/>
              </w:rPr>
            </w:pPr>
            <w:r w:rsidRPr="00D462AF">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sz w:val="20"/>
                <w:szCs w:val="20"/>
              </w:rPr>
            </w:pPr>
          </w:p>
        </w:tc>
      </w:tr>
      <w:tr w:rsidR="00F02B4B" w:rsidRPr="00D462AF" w:rsidTr="003F712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02B4B" w:rsidRPr="00D462AF" w:rsidRDefault="00F02B4B" w:rsidP="00D462AF">
            <w:pPr>
              <w:pStyle w:val="Naslov1"/>
              <w:keepNext w:val="0"/>
              <w:widowControl w:val="0"/>
              <w:tabs>
                <w:tab w:val="left" w:pos="2340"/>
              </w:tabs>
              <w:spacing w:before="0" w:after="0" w:line="260" w:lineRule="atLeast"/>
              <w:rPr>
                <w:sz w:val="20"/>
                <w:szCs w:val="20"/>
              </w:rPr>
            </w:pPr>
            <w:r w:rsidRPr="00D462AF">
              <w:rPr>
                <w:sz w:val="20"/>
                <w:szCs w:val="20"/>
              </w:rPr>
              <w:t>II.c Načrtovana nadomestitev zmanjšanih prihodkov in povečanih odhodkov proračuna:</w:t>
            </w:r>
          </w:p>
        </w:tc>
      </w:tr>
      <w:tr w:rsidR="00F02B4B" w:rsidRPr="00D462AF" w:rsidTr="003F712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ind w:left="-122" w:right="-112"/>
              <w:jc w:val="center"/>
              <w:rPr>
                <w:rFonts w:ascii="Arial" w:hAnsi="Arial" w:cs="Arial"/>
                <w:sz w:val="20"/>
                <w:szCs w:val="20"/>
              </w:rPr>
            </w:pPr>
            <w:r w:rsidRPr="00D462AF">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ind w:left="-122" w:right="-112"/>
              <w:jc w:val="center"/>
              <w:rPr>
                <w:rFonts w:ascii="Arial" w:hAnsi="Arial" w:cs="Arial"/>
                <w:sz w:val="20"/>
                <w:szCs w:val="20"/>
              </w:rPr>
            </w:pPr>
            <w:r w:rsidRPr="00D462AF">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ind w:left="-122" w:right="-112"/>
              <w:jc w:val="center"/>
              <w:rPr>
                <w:rFonts w:ascii="Arial" w:hAnsi="Arial" w:cs="Arial"/>
                <w:sz w:val="20"/>
                <w:szCs w:val="20"/>
              </w:rPr>
            </w:pPr>
            <w:r w:rsidRPr="00D462AF">
              <w:rPr>
                <w:rFonts w:ascii="Arial" w:hAnsi="Arial" w:cs="Arial"/>
                <w:sz w:val="20"/>
                <w:szCs w:val="20"/>
              </w:rPr>
              <w:t>Znesek za t + 1</w:t>
            </w:r>
          </w:p>
        </w:tc>
      </w:tr>
      <w:tr w:rsidR="00F02B4B" w:rsidRPr="00D462AF"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r>
      <w:tr w:rsidR="00F02B4B" w:rsidRPr="00D462AF"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r>
      <w:tr w:rsidR="00F02B4B" w:rsidRPr="00D462AF"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sz w:val="20"/>
                <w:szCs w:val="20"/>
              </w:rPr>
            </w:pPr>
            <w:r w:rsidRPr="00D462AF">
              <w:rPr>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sz w:val="20"/>
                <w:szCs w:val="20"/>
              </w:rPr>
            </w:pPr>
          </w:p>
        </w:tc>
      </w:tr>
      <w:tr w:rsidR="00F02B4B" w:rsidRPr="00D462AF"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F02B4B" w:rsidRPr="00D462AF" w:rsidRDefault="00F02B4B" w:rsidP="00D462AF">
            <w:pPr>
              <w:widowControl w:val="0"/>
              <w:spacing w:line="260" w:lineRule="atLeast"/>
              <w:rPr>
                <w:rFonts w:ascii="Arial" w:hAnsi="Arial" w:cs="Arial"/>
                <w:b/>
                <w:sz w:val="20"/>
                <w:szCs w:val="20"/>
              </w:rPr>
            </w:pPr>
          </w:p>
          <w:p w:rsidR="00F02B4B" w:rsidRPr="00D462AF" w:rsidRDefault="00F02B4B" w:rsidP="00D462AF">
            <w:pPr>
              <w:widowControl w:val="0"/>
              <w:spacing w:line="260" w:lineRule="atLeast"/>
              <w:rPr>
                <w:rFonts w:ascii="Arial" w:hAnsi="Arial" w:cs="Arial"/>
                <w:b/>
                <w:sz w:val="20"/>
                <w:szCs w:val="20"/>
              </w:rPr>
            </w:pPr>
            <w:r w:rsidRPr="00D462AF">
              <w:rPr>
                <w:rFonts w:ascii="Arial" w:hAnsi="Arial" w:cs="Arial"/>
                <w:b/>
                <w:sz w:val="20"/>
                <w:szCs w:val="20"/>
              </w:rPr>
              <w:t>OBRAZLOŽITEV:</w:t>
            </w:r>
          </w:p>
          <w:p w:rsidR="00F02B4B" w:rsidRPr="00D462AF" w:rsidRDefault="00F02B4B" w:rsidP="00C1387F">
            <w:pPr>
              <w:widowControl w:val="0"/>
              <w:numPr>
                <w:ilvl w:val="0"/>
                <w:numId w:val="3"/>
              </w:numPr>
              <w:spacing w:line="260" w:lineRule="atLeast"/>
              <w:ind w:left="284" w:hanging="284"/>
              <w:jc w:val="both"/>
              <w:rPr>
                <w:rFonts w:ascii="Arial" w:hAnsi="Arial" w:cs="Arial"/>
                <w:b/>
                <w:sz w:val="20"/>
                <w:szCs w:val="20"/>
                <w:lang w:eastAsia="sl-SI"/>
              </w:rPr>
            </w:pPr>
            <w:r w:rsidRPr="00D462AF">
              <w:rPr>
                <w:rFonts w:ascii="Arial" w:hAnsi="Arial" w:cs="Arial"/>
                <w:b/>
                <w:sz w:val="20"/>
                <w:szCs w:val="20"/>
                <w:lang w:eastAsia="sl-SI"/>
              </w:rPr>
              <w:t>Ocena finančnih posledic, ki niso načrtovane v sprejetem proračunu</w:t>
            </w:r>
          </w:p>
          <w:p w:rsidR="00F02B4B" w:rsidRPr="00D462AF" w:rsidRDefault="00F02B4B" w:rsidP="00D462AF">
            <w:pPr>
              <w:widowControl w:val="0"/>
              <w:spacing w:line="260" w:lineRule="atLeast"/>
              <w:ind w:left="360" w:hanging="76"/>
              <w:jc w:val="both"/>
              <w:rPr>
                <w:rFonts w:ascii="Arial" w:hAnsi="Arial" w:cs="Arial"/>
                <w:sz w:val="20"/>
                <w:szCs w:val="20"/>
                <w:lang w:eastAsia="sl-SI"/>
              </w:rPr>
            </w:pPr>
            <w:r w:rsidRPr="00D462AF">
              <w:rPr>
                <w:rFonts w:ascii="Arial" w:hAnsi="Arial" w:cs="Arial"/>
                <w:sz w:val="20"/>
                <w:szCs w:val="20"/>
                <w:lang w:eastAsia="sl-SI"/>
              </w:rPr>
              <w:t>V zvezi s predlaganim vladnim gradivom se navedejo predvidene spremembe (povečanje, zmanjšanje):</w:t>
            </w:r>
          </w:p>
          <w:p w:rsidR="00F02B4B" w:rsidRPr="00D462AF" w:rsidRDefault="00F02B4B" w:rsidP="00C1387F">
            <w:pPr>
              <w:widowControl w:val="0"/>
              <w:numPr>
                <w:ilvl w:val="0"/>
                <w:numId w:val="5"/>
              </w:numPr>
              <w:spacing w:line="260" w:lineRule="atLeast"/>
              <w:jc w:val="both"/>
              <w:rPr>
                <w:rFonts w:ascii="Arial" w:hAnsi="Arial" w:cs="Arial"/>
                <w:sz w:val="20"/>
                <w:szCs w:val="20"/>
              </w:rPr>
            </w:pPr>
            <w:r w:rsidRPr="00D462AF">
              <w:rPr>
                <w:rFonts w:ascii="Arial" w:hAnsi="Arial" w:cs="Arial"/>
                <w:sz w:val="20"/>
                <w:szCs w:val="20"/>
                <w:lang w:eastAsia="sl-SI"/>
              </w:rPr>
              <w:t>prihodkov državnega proračuna in občinskih proračunov,</w:t>
            </w:r>
          </w:p>
          <w:p w:rsidR="00F02B4B" w:rsidRPr="00D462AF" w:rsidRDefault="00F02B4B" w:rsidP="00C1387F">
            <w:pPr>
              <w:widowControl w:val="0"/>
              <w:numPr>
                <w:ilvl w:val="0"/>
                <w:numId w:val="5"/>
              </w:numPr>
              <w:spacing w:line="260" w:lineRule="atLeast"/>
              <w:jc w:val="both"/>
              <w:rPr>
                <w:rFonts w:ascii="Arial" w:hAnsi="Arial" w:cs="Arial"/>
                <w:sz w:val="20"/>
                <w:szCs w:val="20"/>
              </w:rPr>
            </w:pPr>
            <w:r w:rsidRPr="00D462AF">
              <w:rPr>
                <w:rFonts w:ascii="Arial" w:hAnsi="Arial" w:cs="Arial"/>
                <w:sz w:val="20"/>
                <w:szCs w:val="20"/>
                <w:lang w:eastAsia="sl-SI"/>
              </w:rPr>
              <w:t>odhodkov državnega proračuna, ki niso načrtovani na ukrepih oziroma projektih sprejetih proračunov,</w:t>
            </w:r>
          </w:p>
          <w:p w:rsidR="00F02B4B" w:rsidRPr="00D462AF" w:rsidRDefault="00F02B4B" w:rsidP="00C1387F">
            <w:pPr>
              <w:widowControl w:val="0"/>
              <w:numPr>
                <w:ilvl w:val="0"/>
                <w:numId w:val="5"/>
              </w:numPr>
              <w:spacing w:line="260" w:lineRule="atLeast"/>
              <w:jc w:val="both"/>
              <w:rPr>
                <w:rFonts w:ascii="Arial" w:hAnsi="Arial" w:cs="Arial"/>
                <w:sz w:val="20"/>
                <w:szCs w:val="20"/>
              </w:rPr>
            </w:pPr>
            <w:r w:rsidRPr="00D462AF">
              <w:rPr>
                <w:rFonts w:ascii="Arial" w:hAnsi="Arial" w:cs="Arial"/>
                <w:sz w:val="20"/>
                <w:szCs w:val="20"/>
                <w:lang w:eastAsia="sl-SI"/>
              </w:rPr>
              <w:t>obveznosti za druga javnofinančna sredstva (drugi viri), ki niso načrtovana na ukrepih oziroma projektih sprejetih proračunov.</w:t>
            </w:r>
          </w:p>
          <w:p w:rsidR="00F02B4B" w:rsidRPr="00D462AF" w:rsidRDefault="00F02B4B" w:rsidP="00D462AF">
            <w:pPr>
              <w:widowControl w:val="0"/>
              <w:spacing w:line="260" w:lineRule="atLeast"/>
              <w:ind w:left="284"/>
              <w:rPr>
                <w:rFonts w:ascii="Arial" w:hAnsi="Arial" w:cs="Arial"/>
                <w:sz w:val="20"/>
                <w:szCs w:val="20"/>
                <w:lang w:eastAsia="sl-SI"/>
              </w:rPr>
            </w:pPr>
          </w:p>
          <w:p w:rsidR="00F02B4B" w:rsidRPr="00D462AF" w:rsidRDefault="00F02B4B" w:rsidP="00C1387F">
            <w:pPr>
              <w:widowControl w:val="0"/>
              <w:numPr>
                <w:ilvl w:val="0"/>
                <w:numId w:val="3"/>
              </w:numPr>
              <w:spacing w:line="260" w:lineRule="atLeast"/>
              <w:ind w:left="284" w:hanging="284"/>
              <w:jc w:val="both"/>
              <w:rPr>
                <w:rFonts w:ascii="Arial" w:hAnsi="Arial" w:cs="Arial"/>
                <w:b/>
                <w:sz w:val="20"/>
                <w:szCs w:val="20"/>
                <w:lang w:eastAsia="sl-SI"/>
              </w:rPr>
            </w:pPr>
            <w:r w:rsidRPr="00D462AF">
              <w:rPr>
                <w:rFonts w:ascii="Arial" w:hAnsi="Arial" w:cs="Arial"/>
                <w:b/>
                <w:sz w:val="20"/>
                <w:szCs w:val="20"/>
                <w:lang w:eastAsia="sl-SI"/>
              </w:rPr>
              <w:lastRenderedPageBreak/>
              <w:t>Finančne posledice za državni proračun</w:t>
            </w:r>
          </w:p>
          <w:p w:rsidR="00F02B4B" w:rsidRPr="00D462AF" w:rsidRDefault="00F02B4B" w:rsidP="00D462AF">
            <w:pPr>
              <w:widowControl w:val="0"/>
              <w:spacing w:line="260" w:lineRule="atLeast"/>
              <w:ind w:left="284"/>
              <w:jc w:val="both"/>
              <w:rPr>
                <w:rFonts w:ascii="Arial" w:hAnsi="Arial" w:cs="Arial"/>
                <w:sz w:val="20"/>
                <w:szCs w:val="20"/>
                <w:lang w:eastAsia="sl-SI"/>
              </w:rPr>
            </w:pPr>
            <w:r w:rsidRPr="00D462AF">
              <w:rPr>
                <w:rFonts w:ascii="Arial" w:hAnsi="Arial" w:cs="Arial"/>
                <w:sz w:val="20"/>
                <w:szCs w:val="20"/>
                <w:lang w:eastAsia="sl-SI"/>
              </w:rPr>
              <w:t>Prikazane morajo biti finančne posledice za državni proračun, ki so na proračunskih postavkah načrtovane v dinamiki projektov oziroma ukrepov:</w:t>
            </w:r>
          </w:p>
          <w:p w:rsidR="00F02B4B" w:rsidRPr="00D462AF" w:rsidRDefault="00F02B4B" w:rsidP="00D462AF">
            <w:pPr>
              <w:widowControl w:val="0"/>
              <w:spacing w:line="260" w:lineRule="atLeast"/>
              <w:ind w:left="720"/>
              <w:jc w:val="both"/>
              <w:rPr>
                <w:rFonts w:ascii="Arial" w:hAnsi="Arial" w:cs="Arial"/>
                <w:b/>
                <w:sz w:val="20"/>
                <w:szCs w:val="20"/>
                <w:lang w:eastAsia="sl-SI"/>
              </w:rPr>
            </w:pPr>
            <w:r w:rsidRPr="00D462AF">
              <w:rPr>
                <w:rFonts w:ascii="Arial" w:hAnsi="Arial" w:cs="Arial"/>
                <w:b/>
                <w:sz w:val="20"/>
                <w:szCs w:val="20"/>
                <w:lang w:eastAsia="sl-SI"/>
              </w:rPr>
              <w:t>II.a Pravice porabe za izvedbo predlaganih rešitev so zagotovljene:</w:t>
            </w:r>
          </w:p>
          <w:p w:rsidR="00F02B4B" w:rsidRPr="00D462AF" w:rsidRDefault="00F02B4B" w:rsidP="00D462AF">
            <w:pPr>
              <w:widowControl w:val="0"/>
              <w:spacing w:line="260" w:lineRule="atLeast"/>
              <w:ind w:left="284"/>
              <w:jc w:val="both"/>
              <w:rPr>
                <w:rFonts w:ascii="Arial" w:hAnsi="Arial" w:cs="Arial"/>
                <w:sz w:val="20"/>
                <w:szCs w:val="20"/>
                <w:lang w:eastAsia="sl-SI"/>
              </w:rPr>
            </w:pPr>
            <w:r w:rsidRPr="00D462AF">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F02B4B" w:rsidRPr="00D462AF" w:rsidRDefault="00F02B4B" w:rsidP="00C1387F">
            <w:pPr>
              <w:widowControl w:val="0"/>
              <w:numPr>
                <w:ilvl w:val="0"/>
                <w:numId w:val="6"/>
              </w:numPr>
              <w:spacing w:line="260" w:lineRule="atLeast"/>
              <w:jc w:val="both"/>
              <w:rPr>
                <w:rFonts w:ascii="Arial" w:hAnsi="Arial" w:cs="Arial"/>
                <w:sz w:val="20"/>
                <w:szCs w:val="20"/>
                <w:lang w:eastAsia="sl-SI"/>
              </w:rPr>
            </w:pPr>
            <w:r w:rsidRPr="00D462AF">
              <w:rPr>
                <w:rFonts w:ascii="Arial" w:hAnsi="Arial" w:cs="Arial"/>
                <w:sz w:val="20"/>
                <w:szCs w:val="20"/>
                <w:lang w:eastAsia="sl-SI"/>
              </w:rPr>
              <w:t>proračunski uporabnik, ki bo financiral novi projekt oziroma ukrep,</w:t>
            </w:r>
          </w:p>
          <w:p w:rsidR="00F02B4B" w:rsidRPr="00D462AF" w:rsidRDefault="00F02B4B" w:rsidP="00C1387F">
            <w:pPr>
              <w:widowControl w:val="0"/>
              <w:numPr>
                <w:ilvl w:val="0"/>
                <w:numId w:val="6"/>
              </w:numPr>
              <w:spacing w:line="260" w:lineRule="atLeast"/>
              <w:jc w:val="both"/>
              <w:rPr>
                <w:rFonts w:ascii="Arial" w:hAnsi="Arial" w:cs="Arial"/>
                <w:sz w:val="20"/>
                <w:szCs w:val="20"/>
                <w:lang w:eastAsia="sl-SI"/>
              </w:rPr>
            </w:pPr>
            <w:r w:rsidRPr="00D462AF">
              <w:rPr>
                <w:rFonts w:ascii="Arial" w:hAnsi="Arial" w:cs="Arial"/>
                <w:sz w:val="20"/>
                <w:szCs w:val="20"/>
                <w:lang w:eastAsia="sl-SI"/>
              </w:rPr>
              <w:t xml:space="preserve">projekt oziroma ukrep, s katerim se bodo dosegli cilji vladnega gradiva, in </w:t>
            </w:r>
          </w:p>
          <w:p w:rsidR="00F02B4B" w:rsidRPr="00D462AF" w:rsidRDefault="00F02B4B" w:rsidP="00C1387F">
            <w:pPr>
              <w:widowControl w:val="0"/>
              <w:numPr>
                <w:ilvl w:val="0"/>
                <w:numId w:val="6"/>
              </w:numPr>
              <w:spacing w:line="260" w:lineRule="atLeast"/>
              <w:jc w:val="both"/>
              <w:rPr>
                <w:rFonts w:ascii="Arial" w:hAnsi="Arial" w:cs="Arial"/>
                <w:sz w:val="20"/>
                <w:szCs w:val="20"/>
                <w:lang w:eastAsia="sl-SI"/>
              </w:rPr>
            </w:pPr>
            <w:r w:rsidRPr="00D462AF">
              <w:rPr>
                <w:rFonts w:ascii="Arial" w:hAnsi="Arial" w:cs="Arial"/>
                <w:sz w:val="20"/>
                <w:szCs w:val="20"/>
                <w:lang w:eastAsia="sl-SI"/>
              </w:rPr>
              <w:t>proračunske postavke.</w:t>
            </w:r>
          </w:p>
          <w:p w:rsidR="00F02B4B" w:rsidRPr="00D462AF" w:rsidRDefault="00F02B4B" w:rsidP="00D462AF">
            <w:pPr>
              <w:widowControl w:val="0"/>
              <w:spacing w:line="260" w:lineRule="atLeast"/>
              <w:ind w:left="284"/>
              <w:jc w:val="both"/>
              <w:rPr>
                <w:rFonts w:ascii="Arial" w:hAnsi="Arial" w:cs="Arial"/>
                <w:sz w:val="20"/>
                <w:szCs w:val="20"/>
                <w:lang w:eastAsia="sl-SI"/>
              </w:rPr>
            </w:pPr>
            <w:r w:rsidRPr="00D462AF">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F02B4B" w:rsidRPr="00D462AF" w:rsidRDefault="00F02B4B" w:rsidP="00D462AF">
            <w:pPr>
              <w:widowControl w:val="0"/>
              <w:spacing w:line="260" w:lineRule="atLeast"/>
              <w:ind w:left="714"/>
              <w:jc w:val="both"/>
              <w:rPr>
                <w:rFonts w:ascii="Arial" w:hAnsi="Arial" w:cs="Arial"/>
                <w:b/>
                <w:sz w:val="20"/>
                <w:szCs w:val="20"/>
                <w:lang w:eastAsia="sl-SI"/>
              </w:rPr>
            </w:pPr>
            <w:r w:rsidRPr="00D462AF">
              <w:rPr>
                <w:rFonts w:ascii="Arial" w:hAnsi="Arial" w:cs="Arial"/>
                <w:b/>
                <w:sz w:val="20"/>
                <w:szCs w:val="20"/>
                <w:lang w:eastAsia="sl-SI"/>
              </w:rPr>
              <w:t>II.b Manjkajoče pravice porabe bodo zagotovljene s prerazporeditvijo:</w:t>
            </w:r>
          </w:p>
          <w:p w:rsidR="00F02B4B" w:rsidRPr="00D462AF" w:rsidRDefault="00F02B4B" w:rsidP="00D462AF">
            <w:pPr>
              <w:widowControl w:val="0"/>
              <w:spacing w:line="260" w:lineRule="atLeast"/>
              <w:ind w:left="284"/>
              <w:jc w:val="both"/>
              <w:rPr>
                <w:rFonts w:ascii="Arial" w:hAnsi="Arial" w:cs="Arial"/>
                <w:sz w:val="20"/>
                <w:szCs w:val="20"/>
                <w:lang w:eastAsia="sl-SI"/>
              </w:rPr>
            </w:pPr>
            <w:r w:rsidRPr="00D462AF">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F02B4B" w:rsidRPr="00D462AF" w:rsidRDefault="00F02B4B" w:rsidP="00D462AF">
            <w:pPr>
              <w:widowControl w:val="0"/>
              <w:spacing w:line="260" w:lineRule="atLeast"/>
              <w:ind w:left="714"/>
              <w:jc w:val="both"/>
              <w:rPr>
                <w:rFonts w:ascii="Arial" w:hAnsi="Arial" w:cs="Arial"/>
                <w:b/>
                <w:sz w:val="20"/>
                <w:szCs w:val="20"/>
                <w:lang w:eastAsia="sl-SI"/>
              </w:rPr>
            </w:pPr>
            <w:r w:rsidRPr="00D462AF">
              <w:rPr>
                <w:rFonts w:ascii="Arial" w:hAnsi="Arial" w:cs="Arial"/>
                <w:b/>
                <w:sz w:val="20"/>
                <w:szCs w:val="20"/>
                <w:lang w:eastAsia="sl-SI"/>
              </w:rPr>
              <w:t>II.c Načrtovana nadomestitev zmanjšanih prihodkov in povečanih odhodkov proračuna:</w:t>
            </w:r>
          </w:p>
          <w:p w:rsidR="00F02B4B" w:rsidRPr="00D462AF" w:rsidRDefault="00F02B4B" w:rsidP="00D462AF">
            <w:pPr>
              <w:widowControl w:val="0"/>
              <w:spacing w:line="260" w:lineRule="atLeast"/>
              <w:ind w:left="284"/>
              <w:jc w:val="both"/>
              <w:rPr>
                <w:rFonts w:ascii="Arial" w:hAnsi="Arial" w:cs="Arial"/>
                <w:sz w:val="20"/>
                <w:szCs w:val="20"/>
                <w:lang w:eastAsia="sl-SI"/>
              </w:rPr>
            </w:pPr>
            <w:r w:rsidRPr="00D462AF">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F02B4B" w:rsidRPr="00D462AF" w:rsidRDefault="00F02B4B" w:rsidP="00D462AF">
            <w:pPr>
              <w:pStyle w:val="Vrstapredpisa"/>
              <w:widowControl w:val="0"/>
              <w:spacing w:before="0" w:line="260" w:lineRule="atLeast"/>
              <w:jc w:val="both"/>
              <w:rPr>
                <w:color w:val="auto"/>
                <w:sz w:val="20"/>
                <w:szCs w:val="20"/>
              </w:rPr>
            </w:pP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0C01EA" w:rsidRPr="000D7F9E" w:rsidRDefault="000C01EA" w:rsidP="00062D15">
            <w:pPr>
              <w:pStyle w:val="Oddelek"/>
              <w:widowControl w:val="0"/>
              <w:numPr>
                <w:ilvl w:val="0"/>
                <w:numId w:val="0"/>
              </w:numPr>
              <w:spacing w:before="0" w:after="0" w:line="260" w:lineRule="exact"/>
              <w:jc w:val="left"/>
              <w:rPr>
                <w:sz w:val="20"/>
                <w:szCs w:val="20"/>
              </w:rPr>
            </w:pPr>
            <w:r w:rsidRPr="000D7F9E">
              <w:rPr>
                <w:sz w:val="20"/>
                <w:szCs w:val="20"/>
              </w:rPr>
              <w:lastRenderedPageBreak/>
              <w:t>7.b Predstavitev ocene finančnih posledic pod 40.000 EUR:</w:t>
            </w:r>
          </w:p>
          <w:p w:rsidR="000C01EA" w:rsidRPr="000D7F9E" w:rsidRDefault="000C01EA" w:rsidP="00062D15">
            <w:pPr>
              <w:pStyle w:val="Oddelek"/>
              <w:widowControl w:val="0"/>
              <w:numPr>
                <w:ilvl w:val="0"/>
                <w:numId w:val="0"/>
              </w:numPr>
              <w:spacing w:before="0" w:after="0" w:line="260" w:lineRule="exact"/>
              <w:jc w:val="left"/>
              <w:rPr>
                <w:b w:val="0"/>
                <w:sz w:val="20"/>
                <w:szCs w:val="20"/>
              </w:rPr>
            </w:pPr>
            <w:r>
              <w:rPr>
                <w:b w:val="0"/>
                <w:sz w:val="20"/>
                <w:szCs w:val="20"/>
              </w:rPr>
              <w:t>Gradivo nima finančnih posledic.</w:t>
            </w: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0C01EA" w:rsidRPr="000D7F9E" w:rsidRDefault="000C01EA" w:rsidP="00062D15">
            <w:pPr>
              <w:pStyle w:val="Neotevilenodstavek"/>
              <w:widowControl w:val="0"/>
              <w:spacing w:before="0" w:after="0" w:line="260" w:lineRule="exact"/>
              <w:jc w:val="left"/>
              <w:rPr>
                <w:b/>
                <w:sz w:val="20"/>
                <w:szCs w:val="20"/>
              </w:rPr>
            </w:pPr>
            <w:r w:rsidRPr="000D7F9E">
              <w:rPr>
                <w:b/>
                <w:sz w:val="20"/>
                <w:szCs w:val="20"/>
              </w:rPr>
              <w:t>8. Predstavitev sodelovanja z združenji občin:</w:t>
            </w: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0C01EA" w:rsidRPr="000D7F9E" w:rsidRDefault="000C01EA" w:rsidP="00062D15">
            <w:pPr>
              <w:pStyle w:val="Neotevilenodstavek"/>
              <w:widowControl w:val="0"/>
              <w:spacing w:before="0" w:after="0" w:line="260" w:lineRule="exact"/>
              <w:rPr>
                <w:iCs/>
                <w:sz w:val="20"/>
                <w:szCs w:val="20"/>
              </w:rPr>
            </w:pPr>
            <w:r w:rsidRPr="000D7F9E">
              <w:rPr>
                <w:iCs/>
                <w:sz w:val="20"/>
                <w:szCs w:val="20"/>
              </w:rPr>
              <w:t>Vsebina predloženega gradiva (predpisa) vpliva na:</w:t>
            </w:r>
          </w:p>
          <w:p w:rsidR="000C01EA" w:rsidRPr="000D7F9E" w:rsidRDefault="000C01EA" w:rsidP="000C01EA">
            <w:pPr>
              <w:pStyle w:val="Neotevilenodstavek"/>
              <w:widowControl w:val="0"/>
              <w:numPr>
                <w:ilvl w:val="1"/>
                <w:numId w:val="5"/>
              </w:numPr>
              <w:spacing w:before="0" w:after="0" w:line="260" w:lineRule="exact"/>
              <w:rPr>
                <w:iCs/>
                <w:sz w:val="20"/>
                <w:szCs w:val="20"/>
              </w:rPr>
            </w:pPr>
            <w:r w:rsidRPr="000D7F9E">
              <w:rPr>
                <w:iCs/>
                <w:sz w:val="20"/>
                <w:szCs w:val="20"/>
              </w:rPr>
              <w:t>pristojnosti občin,</w:t>
            </w:r>
          </w:p>
          <w:p w:rsidR="000C01EA" w:rsidRPr="000D7F9E" w:rsidRDefault="000C01EA" w:rsidP="000C01EA">
            <w:pPr>
              <w:pStyle w:val="Neotevilenodstavek"/>
              <w:widowControl w:val="0"/>
              <w:numPr>
                <w:ilvl w:val="1"/>
                <w:numId w:val="5"/>
              </w:numPr>
              <w:spacing w:before="0" w:after="0" w:line="260" w:lineRule="exact"/>
              <w:rPr>
                <w:iCs/>
                <w:sz w:val="20"/>
                <w:szCs w:val="20"/>
              </w:rPr>
            </w:pPr>
            <w:r w:rsidRPr="000D7F9E">
              <w:rPr>
                <w:iCs/>
                <w:sz w:val="20"/>
                <w:szCs w:val="20"/>
              </w:rPr>
              <w:t>delovanje občin,</w:t>
            </w:r>
          </w:p>
          <w:p w:rsidR="000C01EA" w:rsidRDefault="000C01EA" w:rsidP="00C31064">
            <w:pPr>
              <w:pStyle w:val="Neotevilenodstavek"/>
              <w:widowControl w:val="0"/>
              <w:numPr>
                <w:ilvl w:val="1"/>
                <w:numId w:val="5"/>
              </w:numPr>
              <w:spacing w:before="0" w:after="0" w:line="260" w:lineRule="exact"/>
              <w:rPr>
                <w:iCs/>
                <w:sz w:val="20"/>
                <w:szCs w:val="20"/>
              </w:rPr>
            </w:pPr>
            <w:r w:rsidRPr="000D7F9E">
              <w:rPr>
                <w:iCs/>
                <w:sz w:val="20"/>
                <w:szCs w:val="20"/>
              </w:rPr>
              <w:t>financiranje občin.</w:t>
            </w:r>
          </w:p>
          <w:p w:rsidR="009876E7" w:rsidRDefault="009C4515" w:rsidP="009876E7">
            <w:pPr>
              <w:pStyle w:val="Neotevilenodstavek"/>
              <w:widowControl w:val="0"/>
              <w:spacing w:before="0" w:after="0" w:line="260" w:lineRule="exact"/>
              <w:rPr>
                <w:iCs/>
                <w:sz w:val="20"/>
                <w:szCs w:val="20"/>
              </w:rPr>
            </w:pPr>
            <w:r>
              <w:rPr>
                <w:iCs/>
                <w:sz w:val="20"/>
                <w:szCs w:val="20"/>
              </w:rPr>
              <w:t>Uredba ne posega v pristojnosti občin.</w:t>
            </w:r>
          </w:p>
          <w:p w:rsidR="00E43E8B" w:rsidRPr="00C31064" w:rsidRDefault="00E43E8B" w:rsidP="009876E7">
            <w:pPr>
              <w:pStyle w:val="Neotevilenodstavek"/>
              <w:widowControl w:val="0"/>
              <w:spacing w:before="0" w:after="0" w:line="260" w:lineRule="exact"/>
              <w:rPr>
                <w:iCs/>
                <w:sz w:val="20"/>
                <w:szCs w:val="20"/>
              </w:rPr>
            </w:pPr>
          </w:p>
        </w:tc>
        <w:tc>
          <w:tcPr>
            <w:tcW w:w="2431" w:type="dxa"/>
            <w:gridSpan w:val="2"/>
          </w:tcPr>
          <w:p w:rsidR="000C01EA" w:rsidRPr="000D7F9E" w:rsidRDefault="000C01EA" w:rsidP="00062D15">
            <w:pPr>
              <w:pStyle w:val="Neotevilenodstavek"/>
              <w:widowControl w:val="0"/>
              <w:spacing w:before="0" w:after="0" w:line="260" w:lineRule="exact"/>
              <w:jc w:val="center"/>
              <w:rPr>
                <w:sz w:val="20"/>
                <w:szCs w:val="20"/>
              </w:rPr>
            </w:pPr>
            <w:r w:rsidRPr="009876E7">
              <w:rPr>
                <w:sz w:val="20"/>
                <w:szCs w:val="20"/>
              </w:rPr>
              <w:t>DA</w:t>
            </w:r>
            <w:r w:rsidRPr="000D7F9E">
              <w:rPr>
                <w:sz w:val="20"/>
                <w:szCs w:val="20"/>
              </w:rPr>
              <w:t>/</w:t>
            </w:r>
            <w:r w:rsidRPr="009876E7">
              <w:rPr>
                <w:b/>
                <w:sz w:val="20"/>
                <w:szCs w:val="20"/>
              </w:rPr>
              <w:t>NE</w:t>
            </w: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0C01EA" w:rsidRPr="000D7F9E" w:rsidRDefault="000C01EA" w:rsidP="00062D15">
            <w:pPr>
              <w:pStyle w:val="Neotevilenodstavek"/>
              <w:widowControl w:val="0"/>
              <w:spacing w:before="0" w:after="0" w:line="260" w:lineRule="exact"/>
              <w:rPr>
                <w:iCs/>
                <w:sz w:val="20"/>
                <w:szCs w:val="20"/>
              </w:rPr>
            </w:pPr>
            <w:r w:rsidRPr="000D7F9E">
              <w:rPr>
                <w:iCs/>
                <w:sz w:val="20"/>
                <w:szCs w:val="20"/>
              </w:rPr>
              <w:t xml:space="preserve">Gradivo (predpis) je bilo poslano v mnenje: </w:t>
            </w:r>
          </w:p>
          <w:p w:rsidR="000C01EA" w:rsidRPr="000D7F9E" w:rsidRDefault="000C01EA" w:rsidP="00754A5D">
            <w:pPr>
              <w:pStyle w:val="Neotevilenodstavek"/>
              <w:widowControl w:val="0"/>
              <w:numPr>
                <w:ilvl w:val="0"/>
                <w:numId w:val="9"/>
              </w:numPr>
              <w:spacing w:before="0" w:after="0" w:line="260" w:lineRule="exact"/>
              <w:rPr>
                <w:iCs/>
                <w:sz w:val="20"/>
                <w:szCs w:val="20"/>
              </w:rPr>
            </w:pPr>
            <w:r w:rsidRPr="000D7F9E">
              <w:rPr>
                <w:iCs/>
                <w:sz w:val="20"/>
                <w:szCs w:val="20"/>
              </w:rPr>
              <w:t xml:space="preserve">Skupnosti občin Slovenije SOS: </w:t>
            </w:r>
            <w:r w:rsidRPr="00C31064">
              <w:rPr>
                <w:b/>
                <w:iCs/>
                <w:sz w:val="20"/>
                <w:szCs w:val="20"/>
              </w:rPr>
              <w:t>DA</w:t>
            </w:r>
            <w:r w:rsidRPr="000D7F9E">
              <w:rPr>
                <w:iCs/>
                <w:sz w:val="20"/>
                <w:szCs w:val="20"/>
              </w:rPr>
              <w:t>/</w:t>
            </w:r>
            <w:r w:rsidRPr="00C31064">
              <w:rPr>
                <w:iCs/>
                <w:sz w:val="20"/>
                <w:szCs w:val="20"/>
              </w:rPr>
              <w:t>NE</w:t>
            </w:r>
          </w:p>
          <w:p w:rsidR="000C01EA" w:rsidRPr="000D7F9E" w:rsidRDefault="000C01EA" w:rsidP="00754A5D">
            <w:pPr>
              <w:pStyle w:val="Neotevilenodstavek"/>
              <w:widowControl w:val="0"/>
              <w:numPr>
                <w:ilvl w:val="0"/>
                <w:numId w:val="9"/>
              </w:numPr>
              <w:spacing w:before="0" w:after="0" w:line="260" w:lineRule="exact"/>
              <w:rPr>
                <w:iCs/>
                <w:sz w:val="20"/>
                <w:szCs w:val="20"/>
              </w:rPr>
            </w:pPr>
            <w:r w:rsidRPr="000D7F9E">
              <w:rPr>
                <w:iCs/>
                <w:sz w:val="20"/>
                <w:szCs w:val="20"/>
              </w:rPr>
              <w:t xml:space="preserve">Združenju občin Slovenije ZOS: </w:t>
            </w:r>
            <w:r w:rsidRPr="00C31064">
              <w:rPr>
                <w:b/>
                <w:iCs/>
                <w:sz w:val="20"/>
                <w:szCs w:val="20"/>
              </w:rPr>
              <w:t>DA</w:t>
            </w:r>
            <w:r w:rsidRPr="000D7F9E">
              <w:rPr>
                <w:iCs/>
                <w:sz w:val="20"/>
                <w:szCs w:val="20"/>
              </w:rPr>
              <w:t>/</w:t>
            </w:r>
            <w:r w:rsidRPr="00C31064">
              <w:rPr>
                <w:iCs/>
                <w:sz w:val="20"/>
                <w:szCs w:val="20"/>
              </w:rPr>
              <w:t>NE</w:t>
            </w:r>
          </w:p>
          <w:p w:rsidR="000C01EA" w:rsidRPr="000D7F9E" w:rsidRDefault="000C01EA" w:rsidP="00754A5D">
            <w:pPr>
              <w:pStyle w:val="Neotevilenodstavek"/>
              <w:widowControl w:val="0"/>
              <w:numPr>
                <w:ilvl w:val="0"/>
                <w:numId w:val="9"/>
              </w:numPr>
              <w:spacing w:before="0" w:after="0" w:line="260" w:lineRule="exact"/>
              <w:rPr>
                <w:iCs/>
                <w:sz w:val="20"/>
                <w:szCs w:val="20"/>
              </w:rPr>
            </w:pPr>
            <w:r w:rsidRPr="000D7F9E">
              <w:rPr>
                <w:iCs/>
                <w:sz w:val="20"/>
                <w:szCs w:val="20"/>
              </w:rPr>
              <w:t xml:space="preserve">Združenju mestnih občin Slovenije ZMOS: </w:t>
            </w:r>
            <w:r w:rsidRPr="00C31064">
              <w:rPr>
                <w:b/>
                <w:iCs/>
                <w:sz w:val="20"/>
                <w:szCs w:val="20"/>
              </w:rPr>
              <w:t>DA</w:t>
            </w:r>
            <w:r w:rsidRPr="000D7F9E">
              <w:rPr>
                <w:iCs/>
                <w:sz w:val="20"/>
                <w:szCs w:val="20"/>
              </w:rPr>
              <w:t>/</w:t>
            </w:r>
            <w:r w:rsidRPr="00C31064">
              <w:rPr>
                <w:iCs/>
                <w:sz w:val="20"/>
                <w:szCs w:val="20"/>
              </w:rPr>
              <w:t>NE</w:t>
            </w:r>
          </w:p>
          <w:p w:rsidR="000C01EA" w:rsidRDefault="000C01EA" w:rsidP="00DC1AE8">
            <w:pPr>
              <w:pStyle w:val="Neotevilenodstavek"/>
              <w:widowControl w:val="0"/>
              <w:spacing w:before="0" w:after="0" w:line="260" w:lineRule="exact"/>
              <w:rPr>
                <w:iCs/>
                <w:sz w:val="20"/>
                <w:szCs w:val="20"/>
              </w:rPr>
            </w:pPr>
          </w:p>
          <w:p w:rsidR="00DC1AE8" w:rsidRDefault="00042052" w:rsidP="00DC1AE8">
            <w:pPr>
              <w:pStyle w:val="Neotevilenodstavek"/>
              <w:widowControl w:val="0"/>
              <w:spacing w:before="0" w:after="0" w:line="260" w:lineRule="exact"/>
              <w:rPr>
                <w:iCs/>
                <w:sz w:val="20"/>
                <w:szCs w:val="20"/>
              </w:rPr>
            </w:pPr>
            <w:r>
              <w:rPr>
                <w:iCs/>
                <w:sz w:val="20"/>
                <w:szCs w:val="20"/>
              </w:rPr>
              <w:t xml:space="preserve">Predlog </w:t>
            </w:r>
            <w:r w:rsidR="009C4515">
              <w:rPr>
                <w:iCs/>
                <w:sz w:val="20"/>
                <w:szCs w:val="20"/>
              </w:rPr>
              <w:t xml:space="preserve">Uredbe smo skupaj s </w:t>
            </w:r>
            <w:r w:rsidR="009876E7">
              <w:rPr>
                <w:iCs/>
                <w:sz w:val="20"/>
                <w:szCs w:val="20"/>
              </w:rPr>
              <w:t>Strategij</w:t>
            </w:r>
            <w:r w:rsidR="009C4515">
              <w:rPr>
                <w:iCs/>
                <w:sz w:val="20"/>
                <w:szCs w:val="20"/>
              </w:rPr>
              <w:t>o</w:t>
            </w:r>
            <w:r w:rsidR="00DC1AE8">
              <w:rPr>
                <w:iCs/>
                <w:sz w:val="20"/>
                <w:szCs w:val="20"/>
              </w:rPr>
              <w:t xml:space="preserve"> objavili na spletni strani Ministrstva za infrastrukturo in e-demokracije</w:t>
            </w:r>
            <w:r>
              <w:rPr>
                <w:iCs/>
                <w:sz w:val="20"/>
                <w:szCs w:val="20"/>
              </w:rPr>
              <w:t>,</w:t>
            </w:r>
            <w:r w:rsidR="00DC1AE8">
              <w:rPr>
                <w:iCs/>
                <w:sz w:val="20"/>
                <w:szCs w:val="20"/>
              </w:rPr>
              <w:t xml:space="preserve"> </w:t>
            </w:r>
            <w:r w:rsidR="009876E7">
              <w:rPr>
                <w:iCs/>
                <w:sz w:val="20"/>
                <w:szCs w:val="20"/>
              </w:rPr>
              <w:t>2</w:t>
            </w:r>
            <w:r w:rsidR="00DC1AE8">
              <w:rPr>
                <w:iCs/>
                <w:sz w:val="20"/>
                <w:szCs w:val="20"/>
              </w:rPr>
              <w:t xml:space="preserve">. </w:t>
            </w:r>
            <w:r w:rsidR="00EB4FE2">
              <w:rPr>
                <w:iCs/>
                <w:sz w:val="20"/>
                <w:szCs w:val="20"/>
              </w:rPr>
              <w:t>j</w:t>
            </w:r>
            <w:r w:rsidR="00DC1AE8">
              <w:rPr>
                <w:iCs/>
                <w:sz w:val="20"/>
                <w:szCs w:val="20"/>
              </w:rPr>
              <w:t>u</w:t>
            </w:r>
            <w:r w:rsidR="009876E7">
              <w:rPr>
                <w:iCs/>
                <w:sz w:val="20"/>
                <w:szCs w:val="20"/>
              </w:rPr>
              <w:t>nija 201</w:t>
            </w:r>
            <w:r w:rsidR="00D66C08">
              <w:rPr>
                <w:iCs/>
                <w:sz w:val="20"/>
                <w:szCs w:val="20"/>
              </w:rPr>
              <w:t>7</w:t>
            </w:r>
            <w:r w:rsidR="00DC1AE8">
              <w:rPr>
                <w:iCs/>
                <w:sz w:val="20"/>
                <w:szCs w:val="20"/>
              </w:rPr>
              <w:t xml:space="preserve"> in o</w:t>
            </w:r>
            <w:r w:rsidR="00EB4FE2">
              <w:rPr>
                <w:iCs/>
                <w:sz w:val="20"/>
                <w:szCs w:val="20"/>
              </w:rPr>
              <w:t xml:space="preserve"> tem</w:t>
            </w:r>
            <w:r w:rsidR="00DC1AE8">
              <w:rPr>
                <w:iCs/>
                <w:sz w:val="20"/>
                <w:szCs w:val="20"/>
              </w:rPr>
              <w:t xml:space="preserve"> po e-pošti obvestili tudi vsa tri združenja občin oz. mestnih občin. Rok za posredovanje predlogov in pripomb je </w:t>
            </w:r>
            <w:r w:rsidR="00776FB4">
              <w:rPr>
                <w:iCs/>
                <w:sz w:val="20"/>
                <w:szCs w:val="20"/>
              </w:rPr>
              <w:t xml:space="preserve">bila </w:t>
            </w:r>
            <w:r w:rsidR="00D66C08">
              <w:rPr>
                <w:iCs/>
                <w:sz w:val="20"/>
                <w:szCs w:val="20"/>
              </w:rPr>
              <w:t>3</w:t>
            </w:r>
            <w:r w:rsidR="00DC1AE8">
              <w:rPr>
                <w:iCs/>
                <w:sz w:val="20"/>
                <w:szCs w:val="20"/>
              </w:rPr>
              <w:t>.</w:t>
            </w:r>
            <w:r w:rsidR="00611092">
              <w:rPr>
                <w:iCs/>
                <w:sz w:val="20"/>
                <w:szCs w:val="20"/>
              </w:rPr>
              <w:t>7.2017, vendar s strani občin na predlog Uredbe ni bilo pripomb.</w:t>
            </w:r>
          </w:p>
          <w:p w:rsidR="00DC1AE8" w:rsidRPr="000D7F9E" w:rsidRDefault="00DC1AE8" w:rsidP="00DC1AE8">
            <w:pPr>
              <w:pStyle w:val="Neotevilenodstavek"/>
              <w:widowControl w:val="0"/>
              <w:spacing w:before="0" w:after="0" w:line="260" w:lineRule="exact"/>
              <w:rPr>
                <w:iCs/>
                <w:sz w:val="20"/>
                <w:szCs w:val="20"/>
              </w:rPr>
            </w:pPr>
          </w:p>
          <w:p w:rsidR="000C01EA" w:rsidRPr="000D7F9E" w:rsidRDefault="000C01EA" w:rsidP="00D66C08">
            <w:pPr>
              <w:pStyle w:val="Neotevilenodstavek"/>
              <w:widowControl w:val="0"/>
              <w:spacing w:before="0" w:after="0" w:line="260" w:lineRule="exact"/>
              <w:rPr>
                <w:iCs/>
                <w:sz w:val="20"/>
                <w:szCs w:val="20"/>
              </w:rPr>
            </w:pP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0C01EA" w:rsidRPr="000D7F9E" w:rsidRDefault="000C01EA" w:rsidP="00062D15">
            <w:pPr>
              <w:pStyle w:val="Neotevilenodstavek"/>
              <w:widowControl w:val="0"/>
              <w:spacing w:before="0" w:after="0" w:line="260" w:lineRule="exact"/>
              <w:jc w:val="left"/>
              <w:rPr>
                <w:b/>
                <w:sz w:val="20"/>
                <w:szCs w:val="20"/>
              </w:rPr>
            </w:pPr>
            <w:r w:rsidRPr="000D7F9E">
              <w:rPr>
                <w:b/>
                <w:sz w:val="20"/>
                <w:szCs w:val="20"/>
              </w:rPr>
              <w:t>9. Predstavitev sodelovanja javnosti:</w:t>
            </w: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0C01EA" w:rsidRPr="000D7F9E" w:rsidRDefault="000C01EA" w:rsidP="00062D15">
            <w:pPr>
              <w:pStyle w:val="Neotevilenodstavek"/>
              <w:widowControl w:val="0"/>
              <w:spacing w:before="0" w:after="0" w:line="260" w:lineRule="exact"/>
              <w:rPr>
                <w:sz w:val="20"/>
                <w:szCs w:val="20"/>
              </w:rPr>
            </w:pPr>
            <w:r w:rsidRPr="000D7F9E">
              <w:rPr>
                <w:iCs/>
                <w:sz w:val="20"/>
                <w:szCs w:val="20"/>
              </w:rPr>
              <w:t>Gradivo je bilo predhodno objavljeno na spletni strani predlagatelja:</w:t>
            </w:r>
          </w:p>
        </w:tc>
        <w:tc>
          <w:tcPr>
            <w:tcW w:w="2431" w:type="dxa"/>
            <w:gridSpan w:val="2"/>
          </w:tcPr>
          <w:p w:rsidR="000C01EA" w:rsidRPr="000D7F9E" w:rsidRDefault="000C01EA" w:rsidP="00062D15">
            <w:pPr>
              <w:pStyle w:val="Neotevilenodstavek"/>
              <w:widowControl w:val="0"/>
              <w:spacing w:before="0" w:after="0" w:line="260" w:lineRule="exact"/>
              <w:jc w:val="center"/>
              <w:rPr>
                <w:iCs/>
                <w:sz w:val="20"/>
                <w:szCs w:val="20"/>
              </w:rPr>
            </w:pPr>
            <w:r w:rsidRPr="005B30DA">
              <w:rPr>
                <w:b/>
                <w:sz w:val="20"/>
                <w:szCs w:val="20"/>
              </w:rPr>
              <w:t>DA</w:t>
            </w:r>
            <w:r w:rsidRPr="000D7F9E">
              <w:rPr>
                <w:sz w:val="20"/>
                <w:szCs w:val="20"/>
              </w:rPr>
              <w:t>/</w:t>
            </w:r>
            <w:r w:rsidRPr="005B30DA">
              <w:rPr>
                <w:sz w:val="20"/>
                <w:szCs w:val="20"/>
              </w:rPr>
              <w:t>NE</w:t>
            </w: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0C01EA" w:rsidRPr="000D7F9E" w:rsidRDefault="000C01EA" w:rsidP="00062D15">
            <w:pPr>
              <w:pStyle w:val="Neotevilenodstavek"/>
              <w:widowControl w:val="0"/>
              <w:spacing w:before="0" w:after="0" w:line="260" w:lineRule="exact"/>
              <w:rPr>
                <w:iCs/>
                <w:color w:val="FF0000"/>
                <w:sz w:val="20"/>
                <w:szCs w:val="20"/>
              </w:rPr>
            </w:pP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0C01EA" w:rsidRDefault="000C01EA" w:rsidP="00062D15">
            <w:pPr>
              <w:pStyle w:val="Neotevilenodstavek"/>
              <w:widowControl w:val="0"/>
              <w:spacing w:before="0" w:after="0" w:line="260" w:lineRule="exact"/>
              <w:rPr>
                <w:iCs/>
                <w:sz w:val="20"/>
                <w:szCs w:val="20"/>
              </w:rPr>
            </w:pPr>
            <w:r w:rsidRPr="000D7F9E">
              <w:rPr>
                <w:iCs/>
                <w:sz w:val="20"/>
                <w:szCs w:val="20"/>
              </w:rPr>
              <w:t>Datum objave</w:t>
            </w:r>
            <w:r w:rsidR="00EB4FE2">
              <w:rPr>
                <w:iCs/>
                <w:sz w:val="20"/>
                <w:szCs w:val="20"/>
              </w:rPr>
              <w:t xml:space="preserve"> gradiva na spletni strani je bil</w:t>
            </w:r>
            <w:r w:rsidRPr="000D7F9E">
              <w:rPr>
                <w:iCs/>
                <w:sz w:val="20"/>
                <w:szCs w:val="20"/>
              </w:rPr>
              <w:t xml:space="preserve"> </w:t>
            </w:r>
            <w:r w:rsidR="00D66C08">
              <w:rPr>
                <w:iCs/>
                <w:sz w:val="20"/>
                <w:szCs w:val="20"/>
              </w:rPr>
              <w:t>2</w:t>
            </w:r>
            <w:r w:rsidR="00DC1AE8">
              <w:rPr>
                <w:iCs/>
                <w:sz w:val="20"/>
                <w:szCs w:val="20"/>
              </w:rPr>
              <w:t>.</w:t>
            </w:r>
            <w:r w:rsidR="00611092">
              <w:rPr>
                <w:iCs/>
                <w:sz w:val="20"/>
                <w:szCs w:val="20"/>
              </w:rPr>
              <w:t>6.2017,</w:t>
            </w:r>
            <w:r w:rsidR="00D66C08">
              <w:rPr>
                <w:iCs/>
                <w:sz w:val="20"/>
                <w:szCs w:val="20"/>
              </w:rPr>
              <w:t xml:space="preserve"> </w:t>
            </w:r>
            <w:r w:rsidR="00611092">
              <w:rPr>
                <w:iCs/>
                <w:sz w:val="20"/>
                <w:szCs w:val="20"/>
              </w:rPr>
              <w:t>r</w:t>
            </w:r>
            <w:r w:rsidR="00D66C08">
              <w:rPr>
                <w:iCs/>
                <w:sz w:val="20"/>
                <w:szCs w:val="20"/>
              </w:rPr>
              <w:t>ok za pripombe pa 3</w:t>
            </w:r>
            <w:r w:rsidR="00EB4FE2">
              <w:rPr>
                <w:iCs/>
                <w:sz w:val="20"/>
                <w:szCs w:val="20"/>
              </w:rPr>
              <w:t>.</w:t>
            </w:r>
            <w:r w:rsidR="00D66C08">
              <w:rPr>
                <w:iCs/>
                <w:sz w:val="20"/>
                <w:szCs w:val="20"/>
              </w:rPr>
              <w:t>7.2017</w:t>
            </w:r>
            <w:r w:rsidR="00EB4FE2">
              <w:rPr>
                <w:iCs/>
                <w:sz w:val="20"/>
                <w:szCs w:val="20"/>
              </w:rPr>
              <w:t>.</w:t>
            </w:r>
          </w:p>
          <w:p w:rsidR="00545E97" w:rsidRDefault="00545E97" w:rsidP="00062D15">
            <w:pPr>
              <w:pStyle w:val="Neotevilenodstavek"/>
              <w:widowControl w:val="0"/>
              <w:spacing w:before="0" w:after="0" w:line="260" w:lineRule="exact"/>
              <w:rPr>
                <w:iCs/>
                <w:sz w:val="20"/>
                <w:szCs w:val="20"/>
              </w:rPr>
            </w:pPr>
          </w:p>
          <w:p w:rsidR="00545E97" w:rsidRDefault="00545E97" w:rsidP="00062D15">
            <w:pPr>
              <w:pStyle w:val="Neotevilenodstavek"/>
              <w:widowControl w:val="0"/>
              <w:spacing w:before="0" w:after="0" w:line="260" w:lineRule="exact"/>
              <w:rPr>
                <w:iCs/>
                <w:sz w:val="20"/>
                <w:szCs w:val="20"/>
              </w:rPr>
            </w:pPr>
            <w:r>
              <w:rPr>
                <w:iCs/>
                <w:sz w:val="20"/>
                <w:szCs w:val="20"/>
              </w:rPr>
              <w:lastRenderedPageBreak/>
              <w:t xml:space="preserve">Pripombe so poslali podjetje ETREL d.o.o., </w:t>
            </w:r>
            <w:r w:rsidR="001F01A6">
              <w:rPr>
                <w:iCs/>
                <w:sz w:val="20"/>
                <w:szCs w:val="20"/>
              </w:rPr>
              <w:t>Plinovodi, d.o.o., Elektro Maribor d.d., ELES, do.o., GIZ – Distribucije električne energije, Luka Koper d.d., Trgovinska zbornica Slovenije, Focus, društvo za sonaraven razvoj, Agencija za energijo, DRI, d.o.o. in dve fizični osebi.</w:t>
            </w:r>
          </w:p>
          <w:p w:rsidR="002B6780" w:rsidRDefault="002B6780" w:rsidP="00062D15">
            <w:pPr>
              <w:pStyle w:val="Neotevilenodstavek"/>
              <w:widowControl w:val="0"/>
              <w:spacing w:before="0" w:after="0" w:line="260" w:lineRule="exact"/>
              <w:rPr>
                <w:iCs/>
                <w:sz w:val="20"/>
                <w:szCs w:val="20"/>
              </w:rPr>
            </w:pPr>
          </w:p>
          <w:p w:rsidR="002B6780" w:rsidRDefault="00624945" w:rsidP="00062D15">
            <w:pPr>
              <w:pStyle w:val="Neotevilenodstavek"/>
              <w:widowControl w:val="0"/>
              <w:spacing w:before="0" w:after="0" w:line="260" w:lineRule="exact"/>
              <w:rPr>
                <w:iCs/>
                <w:sz w:val="20"/>
                <w:szCs w:val="20"/>
              </w:rPr>
            </w:pPr>
            <w:r>
              <w:rPr>
                <w:iCs/>
                <w:sz w:val="20"/>
                <w:szCs w:val="20"/>
              </w:rPr>
              <w:t>Največ pripomb</w:t>
            </w:r>
            <w:r w:rsidR="002B6780">
              <w:rPr>
                <w:iCs/>
                <w:sz w:val="20"/>
                <w:szCs w:val="20"/>
              </w:rPr>
              <w:t xml:space="preserve"> je bilo na določitev distribucijskega operaterja električne energije za zagotavljanje javno dostopnih polnilnih mest za vozila na električni, vodikov in plinski pogon (tako je bilo navedeno v prvotnem predlogu uredbe). Čeprav so bili izraženi tudi pomisleki za področje električne energije, </w:t>
            </w:r>
            <w:r w:rsidR="006D60FF" w:rsidRPr="006D60FF">
              <w:rPr>
                <w:iCs/>
                <w:sz w:val="20"/>
                <w:szCs w:val="20"/>
              </w:rPr>
              <w:t>distribucijskega operaterja električne energije</w:t>
            </w:r>
            <w:r w:rsidR="006D60FF">
              <w:rPr>
                <w:iCs/>
                <w:sz w:val="20"/>
                <w:szCs w:val="20"/>
              </w:rPr>
              <w:t xml:space="preserve"> </w:t>
            </w:r>
            <w:r w:rsidR="002E0759">
              <w:rPr>
                <w:iCs/>
                <w:sz w:val="20"/>
                <w:szCs w:val="20"/>
              </w:rPr>
              <w:t>v predlogu uredbe ohranili saj menimo, da je to trenutno še najboljša rešitev. Smo ga pa izločili iz področij vodika in zemeljskega plina.</w:t>
            </w:r>
            <w:r w:rsidR="00F57B88">
              <w:rPr>
                <w:iCs/>
                <w:sz w:val="20"/>
                <w:szCs w:val="20"/>
              </w:rPr>
              <w:t xml:space="preserve"> Enako velja tudi za operaterje distribucijskega sistema zemeljskega plina in zagotavljanje oskrbovalnih mest za stisnjen in utekočinjen zemeljski plin.</w:t>
            </w:r>
          </w:p>
          <w:p w:rsidR="002E0759" w:rsidRDefault="002E0759" w:rsidP="00062D15">
            <w:pPr>
              <w:pStyle w:val="Neotevilenodstavek"/>
              <w:widowControl w:val="0"/>
              <w:spacing w:before="0" w:after="0" w:line="260" w:lineRule="exact"/>
              <w:rPr>
                <w:iCs/>
                <w:sz w:val="20"/>
                <w:szCs w:val="20"/>
              </w:rPr>
            </w:pPr>
          </w:p>
          <w:p w:rsidR="002E0759" w:rsidRDefault="00DA4202" w:rsidP="00062D15">
            <w:pPr>
              <w:pStyle w:val="Neotevilenodstavek"/>
              <w:widowControl w:val="0"/>
              <w:spacing w:before="0" w:after="0" w:line="260" w:lineRule="exact"/>
              <w:rPr>
                <w:iCs/>
                <w:sz w:val="20"/>
                <w:szCs w:val="20"/>
              </w:rPr>
            </w:pPr>
            <w:r>
              <w:rPr>
                <w:iCs/>
                <w:sz w:val="20"/>
                <w:szCs w:val="20"/>
              </w:rPr>
              <w:t>Predlagano je bilo tudi, da področje vodika izključimo iz predloga uredbe, kar smo upoštevali.</w:t>
            </w:r>
            <w:r w:rsidR="009954F0">
              <w:rPr>
                <w:iCs/>
                <w:sz w:val="20"/>
                <w:szCs w:val="20"/>
              </w:rPr>
              <w:t xml:space="preserve"> </w:t>
            </w:r>
          </w:p>
          <w:p w:rsidR="009954F0" w:rsidRDefault="009954F0" w:rsidP="00062D15">
            <w:pPr>
              <w:pStyle w:val="Neotevilenodstavek"/>
              <w:widowControl w:val="0"/>
              <w:spacing w:before="0" w:after="0" w:line="260" w:lineRule="exact"/>
              <w:rPr>
                <w:iCs/>
                <w:sz w:val="20"/>
                <w:szCs w:val="20"/>
              </w:rPr>
            </w:pPr>
          </w:p>
          <w:p w:rsidR="009954F0" w:rsidRDefault="009954F0" w:rsidP="00062D15">
            <w:pPr>
              <w:pStyle w:val="Neotevilenodstavek"/>
              <w:widowControl w:val="0"/>
              <w:spacing w:before="0" w:after="0" w:line="260" w:lineRule="exact"/>
              <w:rPr>
                <w:iCs/>
                <w:sz w:val="20"/>
                <w:szCs w:val="20"/>
              </w:rPr>
            </w:pPr>
            <w:r>
              <w:rPr>
                <w:iCs/>
                <w:sz w:val="20"/>
                <w:szCs w:val="20"/>
              </w:rPr>
              <w:t xml:space="preserve">Upoštevali smo tudi vse redakcijske pripombe. </w:t>
            </w:r>
          </w:p>
          <w:p w:rsidR="009954F0" w:rsidRDefault="009954F0" w:rsidP="00062D15">
            <w:pPr>
              <w:pStyle w:val="Neotevilenodstavek"/>
              <w:widowControl w:val="0"/>
              <w:spacing w:before="0" w:after="0" w:line="260" w:lineRule="exact"/>
              <w:rPr>
                <w:iCs/>
                <w:sz w:val="20"/>
                <w:szCs w:val="20"/>
              </w:rPr>
            </w:pPr>
          </w:p>
          <w:p w:rsidR="009954F0" w:rsidRDefault="009954F0" w:rsidP="00062D15">
            <w:pPr>
              <w:pStyle w:val="Neotevilenodstavek"/>
              <w:widowControl w:val="0"/>
              <w:spacing w:before="0" w:after="0" w:line="260" w:lineRule="exact"/>
              <w:rPr>
                <w:iCs/>
                <w:sz w:val="20"/>
                <w:szCs w:val="20"/>
              </w:rPr>
            </w:pPr>
            <w:r>
              <w:rPr>
                <w:iCs/>
                <w:sz w:val="20"/>
                <w:szCs w:val="20"/>
              </w:rPr>
              <w:t>Upoštevali</w:t>
            </w:r>
            <w:r w:rsidR="00624945">
              <w:rPr>
                <w:iCs/>
                <w:sz w:val="20"/>
                <w:szCs w:val="20"/>
              </w:rPr>
              <w:t xml:space="preserve"> smo še </w:t>
            </w:r>
            <w:r>
              <w:rPr>
                <w:iCs/>
                <w:sz w:val="20"/>
                <w:szCs w:val="20"/>
              </w:rPr>
              <w:t xml:space="preserve">predlog, da naj se namesto distribucijskega operaterja električne energije navede </w:t>
            </w:r>
            <w:r w:rsidR="00F57B88">
              <w:rPr>
                <w:iCs/>
                <w:sz w:val="20"/>
                <w:szCs w:val="20"/>
              </w:rPr>
              <w:t>upravljavec</w:t>
            </w:r>
            <w:r>
              <w:rPr>
                <w:iCs/>
                <w:sz w:val="20"/>
                <w:szCs w:val="20"/>
              </w:rPr>
              <w:t xml:space="preserve"> </w:t>
            </w:r>
            <w:r w:rsidR="00F57B88">
              <w:rPr>
                <w:iCs/>
                <w:sz w:val="20"/>
                <w:szCs w:val="20"/>
              </w:rPr>
              <w:t>pristanišča</w:t>
            </w:r>
            <w:r>
              <w:rPr>
                <w:iCs/>
                <w:sz w:val="20"/>
                <w:szCs w:val="20"/>
              </w:rPr>
              <w:t xml:space="preserve"> v Kopru za zagotovitev </w:t>
            </w:r>
            <w:r w:rsidR="00F57B88">
              <w:rPr>
                <w:iCs/>
                <w:sz w:val="20"/>
                <w:szCs w:val="20"/>
              </w:rPr>
              <w:t>električne energije za plovila z operativne obale. Na slednje je imela pomisleke Luka Koper, vendar menimo, da je to trenutno najustreznejša rešitev. Isto velja tudi za zagotovitev utekočinjenega zemeljskega plina v pristanišču v Kopru. V Direktivi namreč piše, da se oboje zagotovi le v primeru, ko je povpraševanje in če stroški niso nesorazmerno visoki glede na koristi. To je zadostna varovalka za Luko Koper glede smiselnosti oz. ne-smiselnosti realizacije teh zahtev.</w:t>
            </w:r>
          </w:p>
          <w:p w:rsidR="00F57B88" w:rsidRDefault="00F57B88" w:rsidP="00062D15">
            <w:pPr>
              <w:pStyle w:val="Neotevilenodstavek"/>
              <w:widowControl w:val="0"/>
              <w:spacing w:before="0" w:after="0" w:line="260" w:lineRule="exact"/>
              <w:rPr>
                <w:iCs/>
                <w:sz w:val="20"/>
                <w:szCs w:val="20"/>
              </w:rPr>
            </w:pPr>
          </w:p>
          <w:p w:rsidR="00F57B88" w:rsidRDefault="00F57B88" w:rsidP="00062D15">
            <w:pPr>
              <w:pStyle w:val="Neotevilenodstavek"/>
              <w:widowControl w:val="0"/>
              <w:spacing w:before="0" w:after="0" w:line="260" w:lineRule="exact"/>
              <w:rPr>
                <w:iCs/>
                <w:sz w:val="20"/>
                <w:szCs w:val="20"/>
              </w:rPr>
            </w:pPr>
            <w:r>
              <w:rPr>
                <w:iCs/>
                <w:sz w:val="20"/>
                <w:szCs w:val="20"/>
              </w:rPr>
              <w:t xml:space="preserve">Ravno tako smo upoštevali predlog, da se </w:t>
            </w:r>
            <w:r w:rsidRPr="00F57B88">
              <w:rPr>
                <w:iCs/>
                <w:sz w:val="20"/>
                <w:szCs w:val="20"/>
              </w:rPr>
              <w:t>Strategij</w:t>
            </w:r>
            <w:r>
              <w:rPr>
                <w:iCs/>
                <w:sz w:val="20"/>
                <w:szCs w:val="20"/>
              </w:rPr>
              <w:t>a</w:t>
            </w:r>
            <w:r w:rsidRPr="00F57B88">
              <w:rPr>
                <w:iCs/>
                <w:sz w:val="20"/>
                <w:szCs w:val="20"/>
              </w:rPr>
              <w:t xml:space="preserve"> na področju razvoja trga za vzpostavitev ustrezne infrastrukture v zvezi z alternativnimi gorivi v prometnem sektorju v Republiki Sloveniji</w:t>
            </w:r>
            <w:r>
              <w:rPr>
                <w:iCs/>
                <w:sz w:val="20"/>
                <w:szCs w:val="20"/>
              </w:rPr>
              <w:t xml:space="preserve"> izloči iz predloga uredbe.</w:t>
            </w:r>
          </w:p>
          <w:p w:rsidR="00DA4202" w:rsidRDefault="00DA4202" w:rsidP="00062D15">
            <w:pPr>
              <w:pStyle w:val="Neotevilenodstavek"/>
              <w:widowControl w:val="0"/>
              <w:spacing w:before="0" w:after="0" w:line="260" w:lineRule="exact"/>
              <w:rPr>
                <w:iCs/>
                <w:sz w:val="20"/>
                <w:szCs w:val="20"/>
              </w:rPr>
            </w:pPr>
          </w:p>
          <w:p w:rsidR="00F57B88" w:rsidRDefault="00F57B88" w:rsidP="00F57B88">
            <w:pPr>
              <w:pStyle w:val="Neotevilenodstavek"/>
              <w:widowControl w:val="0"/>
              <w:spacing w:before="0" w:after="0" w:line="260" w:lineRule="exact"/>
              <w:rPr>
                <w:iCs/>
                <w:sz w:val="20"/>
                <w:szCs w:val="20"/>
              </w:rPr>
            </w:pPr>
            <w:r>
              <w:rPr>
                <w:iCs/>
                <w:sz w:val="20"/>
                <w:szCs w:val="20"/>
              </w:rPr>
              <w:t>Predlagano</w:t>
            </w:r>
            <w:r w:rsidR="00624945">
              <w:rPr>
                <w:iCs/>
                <w:sz w:val="20"/>
                <w:szCs w:val="20"/>
              </w:rPr>
              <w:t xml:space="preserve"> je bilo še</w:t>
            </w:r>
            <w:r>
              <w:rPr>
                <w:iCs/>
                <w:sz w:val="20"/>
                <w:szCs w:val="20"/>
              </w:rPr>
              <w:t>, da se določeni ukrepi oz. področja, ki so zajeta v Strategiji</w:t>
            </w:r>
            <w:r w:rsidRPr="009954F0">
              <w:rPr>
                <w:iCs/>
                <w:sz w:val="20"/>
                <w:szCs w:val="20"/>
              </w:rPr>
              <w:t xml:space="preserve"> na področju razvoja trga za vzpostavitev ustrezne infrastrukture v zvezi z alternativnimi gorivi v prometnem sektorju v Republiki Sloveniji</w:t>
            </w:r>
            <w:r>
              <w:rPr>
                <w:iCs/>
                <w:sz w:val="20"/>
                <w:szCs w:val="20"/>
              </w:rPr>
              <w:t xml:space="preserve"> vključijo v predlog uredbe, kar pa nismo upoštevali. V tem primeru bi namreč v uredbo vnašali elemente, ki vanjo ne spadajo (npr. zagotovitev gostovanja, zagotovitev enotnega portala za obveščanje uporabnikov)</w:t>
            </w:r>
            <w:r w:rsidR="00624945">
              <w:rPr>
                <w:iCs/>
                <w:sz w:val="20"/>
                <w:szCs w:val="20"/>
              </w:rPr>
              <w:t xml:space="preserve"> in uredbo po nepotrebnem preveč širili.</w:t>
            </w:r>
          </w:p>
          <w:p w:rsidR="001F01A6" w:rsidRDefault="001F01A6" w:rsidP="00062D15">
            <w:pPr>
              <w:pStyle w:val="Neotevilenodstavek"/>
              <w:widowControl w:val="0"/>
              <w:spacing w:before="0" w:after="0" w:line="260" w:lineRule="exact"/>
              <w:rPr>
                <w:iCs/>
                <w:sz w:val="20"/>
                <w:szCs w:val="20"/>
              </w:rPr>
            </w:pPr>
          </w:p>
          <w:p w:rsidR="001F01A6" w:rsidRDefault="00F57B88" w:rsidP="00062D15">
            <w:pPr>
              <w:pStyle w:val="Neotevilenodstavek"/>
              <w:widowControl w:val="0"/>
              <w:spacing w:before="0" w:after="0" w:line="260" w:lineRule="exact"/>
              <w:rPr>
                <w:iCs/>
                <w:sz w:val="20"/>
                <w:szCs w:val="20"/>
              </w:rPr>
            </w:pPr>
            <w:r>
              <w:rPr>
                <w:iCs/>
                <w:sz w:val="20"/>
                <w:szCs w:val="20"/>
              </w:rPr>
              <w:t xml:space="preserve">Ob pripravi naslednje verzije Strategije na področju </w:t>
            </w:r>
            <w:r w:rsidRPr="00F57B88">
              <w:rPr>
                <w:iCs/>
                <w:sz w:val="20"/>
                <w:szCs w:val="20"/>
              </w:rPr>
              <w:t>razvoja trga za vzpostavitev ustrezne infrastrukture v zvezi z alternativnimi gorivi v prometnem sektorju v Republiki Sloveniji</w:t>
            </w:r>
            <w:r>
              <w:rPr>
                <w:iCs/>
                <w:sz w:val="20"/>
                <w:szCs w:val="20"/>
              </w:rPr>
              <w:t xml:space="preserve">, </w:t>
            </w:r>
            <w:r w:rsidR="00624945">
              <w:rPr>
                <w:iCs/>
                <w:sz w:val="20"/>
                <w:szCs w:val="20"/>
              </w:rPr>
              <w:t>bomo</w:t>
            </w:r>
            <w:r>
              <w:rPr>
                <w:iCs/>
                <w:sz w:val="20"/>
                <w:szCs w:val="20"/>
              </w:rPr>
              <w:t xml:space="preserve"> uskladili tudi terminologijo oz. definicije med to uredbo in strategijo.</w:t>
            </w:r>
          </w:p>
          <w:p w:rsidR="001F01A6" w:rsidRPr="000D7F9E" w:rsidRDefault="001F01A6" w:rsidP="00062D15">
            <w:pPr>
              <w:pStyle w:val="Neotevilenodstavek"/>
              <w:widowControl w:val="0"/>
              <w:spacing w:before="0" w:after="0" w:line="260" w:lineRule="exact"/>
              <w:rPr>
                <w:iCs/>
                <w:sz w:val="20"/>
                <w:szCs w:val="20"/>
              </w:rPr>
            </w:pPr>
          </w:p>
          <w:p w:rsidR="00273AE3" w:rsidRPr="000D7F9E" w:rsidRDefault="00273AE3" w:rsidP="00D66C08">
            <w:pPr>
              <w:pStyle w:val="Neotevilenodstavek"/>
              <w:widowControl w:val="0"/>
              <w:spacing w:before="0" w:after="0" w:line="260" w:lineRule="exact"/>
              <w:rPr>
                <w:iCs/>
                <w:sz w:val="20"/>
                <w:szCs w:val="20"/>
              </w:rPr>
            </w:pP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0C01EA" w:rsidRPr="000D7F9E" w:rsidRDefault="000C01EA" w:rsidP="00062D15">
            <w:pPr>
              <w:pStyle w:val="Neotevilenodstavek"/>
              <w:widowControl w:val="0"/>
              <w:spacing w:before="0" w:after="0" w:line="260" w:lineRule="exact"/>
              <w:jc w:val="left"/>
              <w:rPr>
                <w:sz w:val="20"/>
                <w:szCs w:val="20"/>
              </w:rPr>
            </w:pPr>
            <w:r>
              <w:rPr>
                <w:b/>
                <w:sz w:val="20"/>
                <w:szCs w:val="20"/>
              </w:rPr>
              <w:lastRenderedPageBreak/>
              <w:t>10</w:t>
            </w:r>
            <w:r w:rsidRPr="000D7F9E">
              <w:rPr>
                <w:b/>
                <w:sz w:val="20"/>
                <w:szCs w:val="20"/>
              </w:rPr>
              <w:t>. Pri pripravi gradiva so bile upoštevane zahteve iz Resolucije o normativni dejavnosti:</w:t>
            </w:r>
          </w:p>
        </w:tc>
        <w:tc>
          <w:tcPr>
            <w:tcW w:w="2431" w:type="dxa"/>
            <w:gridSpan w:val="2"/>
            <w:vAlign w:val="center"/>
          </w:tcPr>
          <w:p w:rsidR="000C01EA" w:rsidRPr="000D7F9E" w:rsidRDefault="000C01EA" w:rsidP="00062D15">
            <w:pPr>
              <w:pStyle w:val="Neotevilenodstavek"/>
              <w:widowControl w:val="0"/>
              <w:spacing w:before="0" w:after="0" w:line="260" w:lineRule="exact"/>
              <w:jc w:val="center"/>
              <w:rPr>
                <w:iCs/>
                <w:sz w:val="20"/>
                <w:szCs w:val="20"/>
              </w:rPr>
            </w:pPr>
            <w:r>
              <w:rPr>
                <w:sz w:val="20"/>
                <w:szCs w:val="20"/>
              </w:rPr>
              <w:t>/</w:t>
            </w: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0C01EA" w:rsidRPr="000D7F9E" w:rsidRDefault="000C01EA" w:rsidP="00062D15">
            <w:pPr>
              <w:pStyle w:val="Neotevilenodstavek"/>
              <w:widowControl w:val="0"/>
              <w:spacing w:before="0" w:after="0" w:line="260" w:lineRule="exact"/>
              <w:jc w:val="left"/>
              <w:rPr>
                <w:b/>
                <w:sz w:val="20"/>
                <w:szCs w:val="20"/>
              </w:rPr>
            </w:pPr>
            <w:r>
              <w:rPr>
                <w:b/>
                <w:sz w:val="20"/>
                <w:szCs w:val="20"/>
              </w:rPr>
              <w:t>11</w:t>
            </w:r>
            <w:r w:rsidRPr="000D7F9E">
              <w:rPr>
                <w:b/>
                <w:sz w:val="20"/>
                <w:szCs w:val="20"/>
              </w:rPr>
              <w:t>. Gradivo je uvrščeno v delovni program vlade:</w:t>
            </w:r>
          </w:p>
        </w:tc>
        <w:tc>
          <w:tcPr>
            <w:tcW w:w="2431" w:type="dxa"/>
            <w:gridSpan w:val="2"/>
            <w:vAlign w:val="center"/>
          </w:tcPr>
          <w:p w:rsidR="000C01EA" w:rsidRPr="00591B28" w:rsidRDefault="00591B28" w:rsidP="00062D15">
            <w:pPr>
              <w:pStyle w:val="Neotevilenodstavek"/>
              <w:widowControl w:val="0"/>
              <w:spacing w:before="0" w:after="0" w:line="260" w:lineRule="exact"/>
              <w:jc w:val="center"/>
              <w:rPr>
                <w:b/>
                <w:sz w:val="20"/>
                <w:szCs w:val="20"/>
              </w:rPr>
            </w:pPr>
            <w:r w:rsidRPr="00591B28">
              <w:rPr>
                <w:b/>
                <w:sz w:val="20"/>
                <w:szCs w:val="20"/>
              </w:rPr>
              <w:t>DA</w:t>
            </w: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0C01EA" w:rsidRDefault="000C01EA" w:rsidP="00062D15">
            <w:pPr>
              <w:pStyle w:val="Poglavje"/>
              <w:widowControl w:val="0"/>
              <w:spacing w:before="0" w:after="0" w:line="260" w:lineRule="exact"/>
              <w:ind w:left="5662" w:firstLine="284"/>
              <w:jc w:val="left"/>
              <w:rPr>
                <w:b w:val="0"/>
                <w:sz w:val="20"/>
                <w:szCs w:val="20"/>
              </w:rPr>
            </w:pPr>
          </w:p>
          <w:p w:rsidR="000C01EA" w:rsidRDefault="000C01EA" w:rsidP="00062D15">
            <w:pPr>
              <w:pStyle w:val="Poglavje"/>
              <w:widowControl w:val="0"/>
              <w:spacing w:before="0" w:after="0" w:line="260" w:lineRule="exact"/>
              <w:ind w:left="5662" w:firstLine="284"/>
              <w:jc w:val="left"/>
              <w:rPr>
                <w:b w:val="0"/>
                <w:sz w:val="20"/>
                <w:szCs w:val="20"/>
              </w:rPr>
            </w:pPr>
          </w:p>
          <w:p w:rsidR="000C01EA" w:rsidRPr="000D7F9E" w:rsidRDefault="000C01EA" w:rsidP="00062D15">
            <w:pPr>
              <w:pStyle w:val="Poglavje"/>
              <w:widowControl w:val="0"/>
              <w:spacing w:before="0" w:after="0" w:line="260" w:lineRule="exact"/>
              <w:ind w:left="5662" w:firstLine="284"/>
              <w:jc w:val="left"/>
              <w:rPr>
                <w:b w:val="0"/>
                <w:sz w:val="20"/>
                <w:szCs w:val="20"/>
              </w:rPr>
            </w:pPr>
            <w:r w:rsidRPr="000D7F9E">
              <w:rPr>
                <w:b w:val="0"/>
                <w:sz w:val="20"/>
                <w:szCs w:val="20"/>
              </w:rPr>
              <w:t>dr. Peter Gašperšič</w:t>
            </w:r>
          </w:p>
          <w:p w:rsidR="000C01EA" w:rsidRPr="000D7F9E" w:rsidRDefault="000C01EA" w:rsidP="00062D15">
            <w:pPr>
              <w:pStyle w:val="Poglavje"/>
              <w:widowControl w:val="0"/>
              <w:spacing w:before="0" w:after="0" w:line="260" w:lineRule="exact"/>
              <w:ind w:left="5946" w:firstLine="284"/>
              <w:jc w:val="left"/>
              <w:rPr>
                <w:b w:val="0"/>
                <w:sz w:val="20"/>
                <w:szCs w:val="20"/>
              </w:rPr>
            </w:pPr>
            <w:r w:rsidRPr="000D7F9E">
              <w:rPr>
                <w:b w:val="0"/>
                <w:sz w:val="20"/>
                <w:szCs w:val="20"/>
              </w:rPr>
              <w:t xml:space="preserve">   MINISTER</w:t>
            </w:r>
          </w:p>
          <w:p w:rsidR="000C01EA" w:rsidRDefault="000C01EA" w:rsidP="00062D15">
            <w:pPr>
              <w:pStyle w:val="Poglavje"/>
              <w:widowControl w:val="0"/>
              <w:spacing w:before="0" w:after="0" w:line="260" w:lineRule="exact"/>
              <w:ind w:left="3400"/>
              <w:jc w:val="left"/>
              <w:rPr>
                <w:sz w:val="20"/>
                <w:szCs w:val="20"/>
              </w:rPr>
            </w:pPr>
          </w:p>
          <w:p w:rsidR="000F45B4" w:rsidRDefault="000F45B4" w:rsidP="00062D15">
            <w:pPr>
              <w:pStyle w:val="Poglavje"/>
              <w:widowControl w:val="0"/>
              <w:spacing w:before="0" w:after="0" w:line="260" w:lineRule="exact"/>
              <w:ind w:left="3400"/>
              <w:jc w:val="left"/>
              <w:rPr>
                <w:sz w:val="20"/>
                <w:szCs w:val="20"/>
              </w:rPr>
            </w:pPr>
          </w:p>
          <w:p w:rsidR="000F45B4" w:rsidRPr="000D7F9E" w:rsidRDefault="000F45B4" w:rsidP="00062D15">
            <w:pPr>
              <w:pStyle w:val="Poglavje"/>
              <w:widowControl w:val="0"/>
              <w:spacing w:before="0" w:after="0" w:line="260" w:lineRule="exact"/>
              <w:ind w:left="3400"/>
              <w:jc w:val="left"/>
              <w:rPr>
                <w:sz w:val="20"/>
                <w:szCs w:val="20"/>
              </w:rPr>
            </w:pPr>
          </w:p>
        </w:tc>
      </w:tr>
    </w:tbl>
    <w:p w:rsidR="00E74290" w:rsidRDefault="00E74290" w:rsidP="00ED5CC7">
      <w:pPr>
        <w:overflowPunct w:val="0"/>
        <w:autoSpaceDE w:val="0"/>
        <w:autoSpaceDN w:val="0"/>
        <w:adjustRightInd w:val="0"/>
        <w:textAlignment w:val="baseline"/>
        <w:rPr>
          <w:rFonts w:ascii="Arial" w:hAnsi="Arial" w:cs="Arial"/>
          <w:sz w:val="20"/>
          <w:szCs w:val="20"/>
          <w:lang w:eastAsia="sl-SI"/>
        </w:rPr>
      </w:pPr>
    </w:p>
    <w:p w:rsidR="000679A7" w:rsidRDefault="000679A7" w:rsidP="00ED5CC7">
      <w:pPr>
        <w:overflowPunct w:val="0"/>
        <w:autoSpaceDE w:val="0"/>
        <w:autoSpaceDN w:val="0"/>
        <w:adjustRightInd w:val="0"/>
        <w:textAlignment w:val="baseline"/>
        <w:rPr>
          <w:rFonts w:ascii="Arial" w:hAnsi="Arial" w:cs="Arial"/>
          <w:sz w:val="20"/>
          <w:szCs w:val="20"/>
          <w:lang w:eastAsia="sl-SI"/>
        </w:rPr>
      </w:pPr>
    </w:p>
    <w:p w:rsidR="000679A7" w:rsidRDefault="000679A7" w:rsidP="00ED5CC7">
      <w:pPr>
        <w:overflowPunct w:val="0"/>
        <w:autoSpaceDE w:val="0"/>
        <w:autoSpaceDN w:val="0"/>
        <w:adjustRightInd w:val="0"/>
        <w:textAlignment w:val="baseline"/>
        <w:rPr>
          <w:rFonts w:ascii="Arial" w:hAnsi="Arial" w:cs="Arial"/>
          <w:sz w:val="20"/>
          <w:szCs w:val="20"/>
          <w:lang w:eastAsia="sl-SI"/>
        </w:rPr>
      </w:pPr>
    </w:p>
    <w:p w:rsidR="000679A7" w:rsidRDefault="000679A7" w:rsidP="00ED5CC7">
      <w:pPr>
        <w:overflowPunct w:val="0"/>
        <w:autoSpaceDE w:val="0"/>
        <w:autoSpaceDN w:val="0"/>
        <w:adjustRightInd w:val="0"/>
        <w:textAlignment w:val="baseline"/>
        <w:rPr>
          <w:rFonts w:ascii="Arial" w:hAnsi="Arial" w:cs="Arial"/>
          <w:sz w:val="20"/>
          <w:szCs w:val="20"/>
          <w:lang w:eastAsia="sl-SI"/>
        </w:rPr>
      </w:pPr>
    </w:p>
    <w:p w:rsidR="00ED5CC7" w:rsidRPr="00ED5CC7" w:rsidRDefault="00ED5CC7" w:rsidP="00ED5CC7">
      <w:pPr>
        <w:overflowPunct w:val="0"/>
        <w:autoSpaceDE w:val="0"/>
        <w:autoSpaceDN w:val="0"/>
        <w:adjustRightInd w:val="0"/>
        <w:textAlignment w:val="baseline"/>
        <w:rPr>
          <w:rFonts w:ascii="Arial" w:hAnsi="Arial" w:cs="Arial"/>
          <w:sz w:val="20"/>
          <w:szCs w:val="20"/>
          <w:lang w:eastAsia="sl-SI"/>
        </w:rPr>
      </w:pPr>
      <w:r w:rsidRPr="00ED5CC7">
        <w:rPr>
          <w:rFonts w:ascii="Arial" w:hAnsi="Arial" w:cs="Arial"/>
          <w:sz w:val="20"/>
          <w:szCs w:val="20"/>
          <w:lang w:eastAsia="sl-SI"/>
        </w:rPr>
        <w:t xml:space="preserve">PRILOGA: </w:t>
      </w:r>
    </w:p>
    <w:p w:rsidR="00ED5666" w:rsidRPr="00624945" w:rsidRDefault="00624945" w:rsidP="00624945">
      <w:pPr>
        <w:pStyle w:val="Odstavekseznama"/>
        <w:numPr>
          <w:ilvl w:val="1"/>
          <w:numId w:val="8"/>
        </w:numPr>
        <w:suppressAutoHyphens w:val="0"/>
        <w:overflowPunct w:val="0"/>
        <w:autoSpaceDE w:val="0"/>
        <w:autoSpaceDN w:val="0"/>
        <w:adjustRightInd w:val="0"/>
        <w:ind w:left="709"/>
        <w:textAlignment w:val="baseline"/>
        <w:rPr>
          <w:rFonts w:ascii="Arial" w:hAnsi="Arial" w:cs="Arial"/>
          <w:sz w:val="20"/>
          <w:szCs w:val="20"/>
          <w:lang w:eastAsia="sl-SI"/>
        </w:rPr>
      </w:pPr>
      <w:r>
        <w:rPr>
          <w:rFonts w:ascii="Arial" w:hAnsi="Arial" w:cs="Arial"/>
          <w:bCs/>
          <w:sz w:val="20"/>
          <w:szCs w:val="20"/>
          <w:lang w:eastAsia="sl-SI"/>
        </w:rPr>
        <w:t>Predlog u</w:t>
      </w:r>
      <w:r w:rsidRPr="00624945">
        <w:rPr>
          <w:rFonts w:ascii="Arial" w:hAnsi="Arial" w:cs="Arial"/>
          <w:bCs/>
          <w:sz w:val="20"/>
          <w:szCs w:val="20"/>
          <w:lang w:eastAsia="sl-SI"/>
        </w:rPr>
        <w:t xml:space="preserve">redba </w:t>
      </w:r>
      <w:r w:rsidRPr="00624945">
        <w:rPr>
          <w:rFonts w:ascii="Arial" w:hAnsi="Arial" w:cs="Arial"/>
          <w:sz w:val="20"/>
          <w:szCs w:val="20"/>
          <w:lang w:eastAsia="sl-SI"/>
        </w:rPr>
        <w:t>o vzpostavitvi infrastrukture za alternativna goriva v prometu</w:t>
      </w:r>
    </w:p>
    <w:sectPr w:rsidR="00ED5666" w:rsidRPr="00624945" w:rsidSect="004E0EBF">
      <w:headerReference w:type="default" r:id="rId12"/>
      <w:footerReference w:type="default" r:id="rId13"/>
      <w:headerReference w:type="first" r:id="rId14"/>
      <w:footerReference w:type="first" r:id="rId15"/>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2DF" w:rsidRDefault="009162DF">
      <w:r>
        <w:separator/>
      </w:r>
    </w:p>
  </w:endnote>
  <w:endnote w:type="continuationSeparator" w:id="0">
    <w:p w:rsidR="009162DF" w:rsidRDefault="0091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87"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6E" w:rsidRPr="008A57C5" w:rsidRDefault="000C2A6E">
    <w:pPr>
      <w:pStyle w:val="Noga"/>
      <w:jc w:val="center"/>
      <w:rPr>
        <w:rFonts w:ascii="Arial" w:hAnsi="Arial" w:cs="Arial"/>
        <w:sz w:val="20"/>
        <w:szCs w:val="20"/>
      </w:rPr>
    </w:pPr>
    <w:r w:rsidRPr="008A57C5">
      <w:rPr>
        <w:rFonts w:ascii="Arial" w:hAnsi="Arial" w:cs="Arial"/>
        <w:sz w:val="20"/>
        <w:szCs w:val="20"/>
      </w:rPr>
      <w:t xml:space="preserve">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BF73BB">
      <w:rPr>
        <w:rFonts w:ascii="Arial" w:hAnsi="Arial" w:cs="Arial"/>
        <w:bCs/>
        <w:noProof/>
        <w:sz w:val="20"/>
        <w:szCs w:val="20"/>
      </w:rPr>
      <w:t>3</w:t>
    </w:r>
    <w:r w:rsidRPr="008A57C5">
      <w:rPr>
        <w:rFonts w:ascii="Arial" w:hAnsi="Arial" w:cs="Arial"/>
        <w:bCs/>
        <w:sz w:val="20"/>
        <w:szCs w:val="20"/>
      </w:rPr>
      <w:fldChar w:fldCharType="end"/>
    </w:r>
  </w:p>
  <w:p w:rsidR="000C2A6E" w:rsidRDefault="000C2A6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789725"/>
      <w:docPartObj>
        <w:docPartGallery w:val="Page Numbers (Bottom of Page)"/>
        <w:docPartUnique/>
      </w:docPartObj>
    </w:sdtPr>
    <w:sdtEndPr/>
    <w:sdtContent>
      <w:p w:rsidR="000C2A6E" w:rsidRDefault="000C2A6E">
        <w:pPr>
          <w:pStyle w:val="Noga"/>
          <w:jc w:val="center"/>
        </w:pPr>
        <w:r>
          <w:fldChar w:fldCharType="begin"/>
        </w:r>
        <w:r>
          <w:instrText>PAGE   \* MERGEFORMAT</w:instrText>
        </w:r>
        <w:r>
          <w:fldChar w:fldCharType="separate"/>
        </w:r>
        <w:r w:rsidR="00BF73BB">
          <w:rPr>
            <w:noProof/>
          </w:rPr>
          <w:t>1</w:t>
        </w:r>
        <w:r>
          <w:fldChar w:fldCharType="end"/>
        </w:r>
      </w:p>
    </w:sdtContent>
  </w:sdt>
  <w:p w:rsidR="000C2A6E" w:rsidRDefault="000C2A6E" w:rsidP="004E0EBF">
    <w:pPr>
      <w:pStyle w:val="Nog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2DF" w:rsidRDefault="009162DF">
      <w:r>
        <w:separator/>
      </w:r>
    </w:p>
  </w:footnote>
  <w:footnote w:type="continuationSeparator" w:id="0">
    <w:p w:rsidR="009162DF" w:rsidRDefault="00916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6E" w:rsidRPr="001B1D79" w:rsidRDefault="000C2A6E">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6E" w:rsidRPr="00125A68" w:rsidRDefault="000C2A6E" w:rsidP="004E0EBF">
    <w:pPr>
      <w:spacing w:before="4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FBE5909"/>
    <w:multiLevelType w:val="hybridMultilevel"/>
    <w:tmpl w:val="E4042DCE"/>
    <w:lvl w:ilvl="0" w:tplc="04240001">
      <w:start w:val="1"/>
      <w:numFmt w:val="bullet"/>
      <w:lvlText w:val=""/>
      <w:lvlJc w:val="left"/>
      <w:pPr>
        <w:tabs>
          <w:tab w:val="num" w:pos="502"/>
        </w:tabs>
        <w:ind w:left="502" w:hanging="360"/>
      </w:pPr>
      <w:rPr>
        <w:rFonts w:ascii="Symbol" w:hAnsi="Symbol" w:hint="default"/>
      </w:rPr>
    </w:lvl>
    <w:lvl w:ilvl="1" w:tplc="04240003">
      <w:start w:val="1"/>
      <w:numFmt w:val="bullet"/>
      <w:lvlText w:val="o"/>
      <w:lvlJc w:val="left"/>
      <w:pPr>
        <w:tabs>
          <w:tab w:val="num" w:pos="1222"/>
        </w:tabs>
        <w:ind w:left="1222" w:hanging="360"/>
      </w:pPr>
      <w:rPr>
        <w:rFonts w:ascii="Courier New" w:hAnsi="Courier New" w:hint="default"/>
      </w:rPr>
    </w:lvl>
    <w:lvl w:ilvl="2" w:tplc="04240005" w:tentative="1">
      <w:start w:val="1"/>
      <w:numFmt w:val="bullet"/>
      <w:lvlText w:val=""/>
      <w:lvlJc w:val="left"/>
      <w:pPr>
        <w:tabs>
          <w:tab w:val="num" w:pos="1942"/>
        </w:tabs>
        <w:ind w:left="1942" w:hanging="360"/>
      </w:pPr>
      <w:rPr>
        <w:rFonts w:ascii="Wingdings" w:hAnsi="Wingdings" w:hint="default"/>
      </w:rPr>
    </w:lvl>
    <w:lvl w:ilvl="3" w:tplc="04240001" w:tentative="1">
      <w:start w:val="1"/>
      <w:numFmt w:val="bullet"/>
      <w:lvlText w:val=""/>
      <w:lvlJc w:val="left"/>
      <w:pPr>
        <w:tabs>
          <w:tab w:val="num" w:pos="2662"/>
        </w:tabs>
        <w:ind w:left="2662" w:hanging="360"/>
      </w:pPr>
      <w:rPr>
        <w:rFonts w:ascii="Symbol" w:hAnsi="Symbol" w:hint="default"/>
      </w:rPr>
    </w:lvl>
    <w:lvl w:ilvl="4" w:tplc="04240003" w:tentative="1">
      <w:start w:val="1"/>
      <w:numFmt w:val="bullet"/>
      <w:lvlText w:val="o"/>
      <w:lvlJc w:val="left"/>
      <w:pPr>
        <w:tabs>
          <w:tab w:val="num" w:pos="3382"/>
        </w:tabs>
        <w:ind w:left="3382" w:hanging="360"/>
      </w:pPr>
      <w:rPr>
        <w:rFonts w:ascii="Courier New" w:hAnsi="Courier New" w:hint="default"/>
      </w:rPr>
    </w:lvl>
    <w:lvl w:ilvl="5" w:tplc="04240005" w:tentative="1">
      <w:start w:val="1"/>
      <w:numFmt w:val="bullet"/>
      <w:lvlText w:val=""/>
      <w:lvlJc w:val="left"/>
      <w:pPr>
        <w:tabs>
          <w:tab w:val="num" w:pos="4102"/>
        </w:tabs>
        <w:ind w:left="4102" w:hanging="360"/>
      </w:pPr>
      <w:rPr>
        <w:rFonts w:ascii="Wingdings" w:hAnsi="Wingdings" w:hint="default"/>
      </w:rPr>
    </w:lvl>
    <w:lvl w:ilvl="6" w:tplc="04240001" w:tentative="1">
      <w:start w:val="1"/>
      <w:numFmt w:val="bullet"/>
      <w:lvlText w:val=""/>
      <w:lvlJc w:val="left"/>
      <w:pPr>
        <w:tabs>
          <w:tab w:val="num" w:pos="4822"/>
        </w:tabs>
        <w:ind w:left="4822" w:hanging="360"/>
      </w:pPr>
      <w:rPr>
        <w:rFonts w:ascii="Symbol" w:hAnsi="Symbol" w:hint="default"/>
      </w:rPr>
    </w:lvl>
    <w:lvl w:ilvl="7" w:tplc="04240003" w:tentative="1">
      <w:start w:val="1"/>
      <w:numFmt w:val="bullet"/>
      <w:lvlText w:val="o"/>
      <w:lvlJc w:val="left"/>
      <w:pPr>
        <w:tabs>
          <w:tab w:val="num" w:pos="5542"/>
        </w:tabs>
        <w:ind w:left="5542" w:hanging="360"/>
      </w:pPr>
      <w:rPr>
        <w:rFonts w:ascii="Courier New" w:hAnsi="Courier New" w:hint="default"/>
      </w:rPr>
    </w:lvl>
    <w:lvl w:ilvl="8" w:tplc="04240005" w:tentative="1">
      <w:start w:val="1"/>
      <w:numFmt w:val="bullet"/>
      <w:lvlText w:val=""/>
      <w:lvlJc w:val="left"/>
      <w:pPr>
        <w:tabs>
          <w:tab w:val="num" w:pos="6262"/>
        </w:tabs>
        <w:ind w:left="6262" w:hanging="360"/>
      </w:pPr>
      <w:rPr>
        <w:rFonts w:ascii="Wingdings" w:hAnsi="Wingdings" w:hint="default"/>
      </w:rPr>
    </w:lvl>
  </w:abstractNum>
  <w:abstractNum w:abstractNumId="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6810C07"/>
    <w:multiLevelType w:val="hybridMultilevel"/>
    <w:tmpl w:val="5114D822"/>
    <w:lvl w:ilvl="0" w:tplc="6F520862">
      <w:numFmt w:val="bullet"/>
      <w:lvlText w:val="−"/>
      <w:lvlJc w:val="center"/>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A2B78B3"/>
    <w:multiLevelType w:val="hybridMultilevel"/>
    <w:tmpl w:val="6C6A7DCE"/>
    <w:lvl w:ilvl="0" w:tplc="6F520862">
      <w:numFmt w:val="bullet"/>
      <w:lvlText w:val="−"/>
      <w:lvlJc w:val="center"/>
      <w:pPr>
        <w:ind w:left="720" w:hanging="360"/>
      </w:pPr>
      <w:rPr>
        <w:rFonts w:ascii="Times New Roman" w:eastAsia="Times New Roman" w:hAnsi="Times New Roman" w:cs="Times New Roman" w:hint="default"/>
      </w:rPr>
    </w:lvl>
    <w:lvl w:ilvl="1" w:tplc="6F520862">
      <w:numFmt w:val="bullet"/>
      <w:lvlText w:val="−"/>
      <w:lvlJc w:val="center"/>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08A5E8D"/>
    <w:multiLevelType w:val="hybridMultilevel"/>
    <w:tmpl w:val="01C2AA66"/>
    <w:lvl w:ilvl="0" w:tplc="70E0DB1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68F456C"/>
    <w:multiLevelType w:val="hybridMultilevel"/>
    <w:tmpl w:val="72D283C2"/>
    <w:lvl w:ilvl="0" w:tplc="B01491F2">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83A3C17"/>
    <w:multiLevelType w:val="hybridMultilevel"/>
    <w:tmpl w:val="DBFCFFBE"/>
    <w:lvl w:ilvl="0" w:tplc="70E0DB16">
      <w:numFmt w:val="bullet"/>
      <w:lvlText w:val="-"/>
      <w:lvlJc w:val="left"/>
      <w:pPr>
        <w:tabs>
          <w:tab w:val="num" w:pos="720"/>
        </w:tabs>
        <w:ind w:left="720" w:hanging="360"/>
      </w:pPr>
      <w:rPr>
        <w:rFonts w:ascii="Tahoma" w:eastAsia="Times New Roman" w:hAnsi="Tahoma" w:cs="Tahoma" w:hint="default"/>
      </w:rPr>
    </w:lvl>
    <w:lvl w:ilvl="1" w:tplc="746A707A" w:tentative="1">
      <w:start w:val="1"/>
      <w:numFmt w:val="bullet"/>
      <w:lvlText w:val="•"/>
      <w:lvlJc w:val="left"/>
      <w:pPr>
        <w:tabs>
          <w:tab w:val="num" w:pos="1440"/>
        </w:tabs>
        <w:ind w:left="1440" w:hanging="360"/>
      </w:pPr>
      <w:rPr>
        <w:rFonts w:ascii="Arial" w:hAnsi="Arial" w:hint="default"/>
      </w:rPr>
    </w:lvl>
    <w:lvl w:ilvl="2" w:tplc="7070F184" w:tentative="1">
      <w:start w:val="1"/>
      <w:numFmt w:val="bullet"/>
      <w:lvlText w:val="•"/>
      <w:lvlJc w:val="left"/>
      <w:pPr>
        <w:tabs>
          <w:tab w:val="num" w:pos="2160"/>
        </w:tabs>
        <w:ind w:left="2160" w:hanging="360"/>
      </w:pPr>
      <w:rPr>
        <w:rFonts w:ascii="Arial" w:hAnsi="Arial" w:hint="default"/>
      </w:rPr>
    </w:lvl>
    <w:lvl w:ilvl="3" w:tplc="E73693E8" w:tentative="1">
      <w:start w:val="1"/>
      <w:numFmt w:val="bullet"/>
      <w:lvlText w:val="•"/>
      <w:lvlJc w:val="left"/>
      <w:pPr>
        <w:tabs>
          <w:tab w:val="num" w:pos="2880"/>
        </w:tabs>
        <w:ind w:left="2880" w:hanging="360"/>
      </w:pPr>
      <w:rPr>
        <w:rFonts w:ascii="Arial" w:hAnsi="Arial" w:hint="default"/>
      </w:rPr>
    </w:lvl>
    <w:lvl w:ilvl="4" w:tplc="BF0CE702" w:tentative="1">
      <w:start w:val="1"/>
      <w:numFmt w:val="bullet"/>
      <w:lvlText w:val="•"/>
      <w:lvlJc w:val="left"/>
      <w:pPr>
        <w:tabs>
          <w:tab w:val="num" w:pos="3600"/>
        </w:tabs>
        <w:ind w:left="3600" w:hanging="360"/>
      </w:pPr>
      <w:rPr>
        <w:rFonts w:ascii="Arial" w:hAnsi="Arial" w:hint="default"/>
      </w:rPr>
    </w:lvl>
    <w:lvl w:ilvl="5" w:tplc="CD025376" w:tentative="1">
      <w:start w:val="1"/>
      <w:numFmt w:val="bullet"/>
      <w:lvlText w:val="•"/>
      <w:lvlJc w:val="left"/>
      <w:pPr>
        <w:tabs>
          <w:tab w:val="num" w:pos="4320"/>
        </w:tabs>
        <w:ind w:left="4320" w:hanging="360"/>
      </w:pPr>
      <w:rPr>
        <w:rFonts w:ascii="Arial" w:hAnsi="Arial" w:hint="default"/>
      </w:rPr>
    </w:lvl>
    <w:lvl w:ilvl="6" w:tplc="5FA6E56C" w:tentative="1">
      <w:start w:val="1"/>
      <w:numFmt w:val="bullet"/>
      <w:lvlText w:val="•"/>
      <w:lvlJc w:val="left"/>
      <w:pPr>
        <w:tabs>
          <w:tab w:val="num" w:pos="5040"/>
        </w:tabs>
        <w:ind w:left="5040" w:hanging="360"/>
      </w:pPr>
      <w:rPr>
        <w:rFonts w:ascii="Arial" w:hAnsi="Arial" w:hint="default"/>
      </w:rPr>
    </w:lvl>
    <w:lvl w:ilvl="7" w:tplc="EDF0A2F0" w:tentative="1">
      <w:start w:val="1"/>
      <w:numFmt w:val="bullet"/>
      <w:lvlText w:val="•"/>
      <w:lvlJc w:val="left"/>
      <w:pPr>
        <w:tabs>
          <w:tab w:val="num" w:pos="5760"/>
        </w:tabs>
        <w:ind w:left="5760" w:hanging="360"/>
      </w:pPr>
      <w:rPr>
        <w:rFonts w:ascii="Arial" w:hAnsi="Arial" w:hint="default"/>
      </w:rPr>
    </w:lvl>
    <w:lvl w:ilvl="8" w:tplc="593CAABE" w:tentative="1">
      <w:start w:val="1"/>
      <w:numFmt w:val="bullet"/>
      <w:lvlText w:val="•"/>
      <w:lvlJc w:val="left"/>
      <w:pPr>
        <w:tabs>
          <w:tab w:val="num" w:pos="6480"/>
        </w:tabs>
        <w:ind w:left="6480" w:hanging="360"/>
      </w:pPr>
      <w:rPr>
        <w:rFonts w:ascii="Arial" w:hAnsi="Arial" w:hint="default"/>
      </w:rPr>
    </w:lvl>
  </w:abstractNum>
  <w:abstractNum w:abstractNumId="12">
    <w:nsid w:val="7BE84163"/>
    <w:multiLevelType w:val="hybridMultilevel"/>
    <w:tmpl w:val="96EC6D00"/>
    <w:lvl w:ilvl="0" w:tplc="B422145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num>
  <w:num w:numId="3">
    <w:abstractNumId w:val="0"/>
  </w:num>
  <w:num w:numId="4">
    <w:abstractNumId w:val="7"/>
  </w:num>
  <w:num w:numId="5">
    <w:abstractNumId w:val="10"/>
  </w:num>
  <w:num w:numId="6">
    <w:abstractNumId w:val="13"/>
  </w:num>
  <w:num w:numId="7">
    <w:abstractNumId w:val="5"/>
  </w:num>
  <w:num w:numId="8">
    <w:abstractNumId w:val="6"/>
  </w:num>
  <w:num w:numId="9">
    <w:abstractNumId w:val="4"/>
  </w:num>
  <w:num w:numId="10">
    <w:abstractNumId w:val="9"/>
  </w:num>
  <w:num w:numId="11">
    <w:abstractNumId w:val="12"/>
  </w:num>
  <w:num w:numId="12">
    <w:abstractNumId w:val="1"/>
  </w:num>
  <w:num w:numId="13">
    <w:abstractNumId w:val="11"/>
  </w:num>
  <w:num w:numId="14">
    <w:abstractNumId w:val="8"/>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mijan leskovšek">
    <w15:presenceInfo w15:providerId="Windows Live" w15:userId="97d091437d83fe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77"/>
    <w:rsid w:val="000025D6"/>
    <w:rsid w:val="00002770"/>
    <w:rsid w:val="000044DB"/>
    <w:rsid w:val="000123AA"/>
    <w:rsid w:val="0002546E"/>
    <w:rsid w:val="00030AD9"/>
    <w:rsid w:val="0003491A"/>
    <w:rsid w:val="000355C2"/>
    <w:rsid w:val="00042052"/>
    <w:rsid w:val="00051526"/>
    <w:rsid w:val="00054F6F"/>
    <w:rsid w:val="00055244"/>
    <w:rsid w:val="0005797F"/>
    <w:rsid w:val="00062360"/>
    <w:rsid w:val="00062D15"/>
    <w:rsid w:val="0006712C"/>
    <w:rsid w:val="000679A7"/>
    <w:rsid w:val="00086A7D"/>
    <w:rsid w:val="0009123E"/>
    <w:rsid w:val="00095660"/>
    <w:rsid w:val="00096875"/>
    <w:rsid w:val="000A0F6C"/>
    <w:rsid w:val="000A4F54"/>
    <w:rsid w:val="000A6241"/>
    <w:rsid w:val="000B1D5D"/>
    <w:rsid w:val="000C01EA"/>
    <w:rsid w:val="000C2A6E"/>
    <w:rsid w:val="000C5083"/>
    <w:rsid w:val="000C591F"/>
    <w:rsid w:val="000D399F"/>
    <w:rsid w:val="000D470B"/>
    <w:rsid w:val="000E138A"/>
    <w:rsid w:val="000E3319"/>
    <w:rsid w:val="000E7A63"/>
    <w:rsid w:val="000E7B1D"/>
    <w:rsid w:val="000F45B4"/>
    <w:rsid w:val="000F6A1F"/>
    <w:rsid w:val="00100B5E"/>
    <w:rsid w:val="00106F61"/>
    <w:rsid w:val="00114CA9"/>
    <w:rsid w:val="001178F9"/>
    <w:rsid w:val="00125CE3"/>
    <w:rsid w:val="0013138A"/>
    <w:rsid w:val="00131DD8"/>
    <w:rsid w:val="001402F1"/>
    <w:rsid w:val="00141058"/>
    <w:rsid w:val="00145915"/>
    <w:rsid w:val="00153039"/>
    <w:rsid w:val="00156F06"/>
    <w:rsid w:val="001654F6"/>
    <w:rsid w:val="00171BF0"/>
    <w:rsid w:val="00172457"/>
    <w:rsid w:val="00176CA5"/>
    <w:rsid w:val="001873D7"/>
    <w:rsid w:val="00195F48"/>
    <w:rsid w:val="00195FA2"/>
    <w:rsid w:val="001A44D5"/>
    <w:rsid w:val="001A69C3"/>
    <w:rsid w:val="001A798B"/>
    <w:rsid w:val="001B0AB2"/>
    <w:rsid w:val="001C056F"/>
    <w:rsid w:val="001C4FFE"/>
    <w:rsid w:val="001D0E71"/>
    <w:rsid w:val="001E04EB"/>
    <w:rsid w:val="001F01A6"/>
    <w:rsid w:val="001F245F"/>
    <w:rsid w:val="001F3974"/>
    <w:rsid w:val="001F54A6"/>
    <w:rsid w:val="00202CAD"/>
    <w:rsid w:val="00205FC3"/>
    <w:rsid w:val="00206EB7"/>
    <w:rsid w:val="00212E8C"/>
    <w:rsid w:val="00213776"/>
    <w:rsid w:val="0021430F"/>
    <w:rsid w:val="00226B31"/>
    <w:rsid w:val="00233B1D"/>
    <w:rsid w:val="00233EED"/>
    <w:rsid w:val="002378A0"/>
    <w:rsid w:val="002400D4"/>
    <w:rsid w:val="002404C5"/>
    <w:rsid w:val="00241720"/>
    <w:rsid w:val="00245033"/>
    <w:rsid w:val="00254E8C"/>
    <w:rsid w:val="00255CC0"/>
    <w:rsid w:val="002577B1"/>
    <w:rsid w:val="00257DA9"/>
    <w:rsid w:val="00264ABB"/>
    <w:rsid w:val="002710AF"/>
    <w:rsid w:val="00273AE3"/>
    <w:rsid w:val="00273EC6"/>
    <w:rsid w:val="00275E89"/>
    <w:rsid w:val="00280695"/>
    <w:rsid w:val="00284D09"/>
    <w:rsid w:val="00285860"/>
    <w:rsid w:val="00286A26"/>
    <w:rsid w:val="00291179"/>
    <w:rsid w:val="00297AD8"/>
    <w:rsid w:val="002B3584"/>
    <w:rsid w:val="002B3E4A"/>
    <w:rsid w:val="002B46CC"/>
    <w:rsid w:val="002B6780"/>
    <w:rsid w:val="002C19CD"/>
    <w:rsid w:val="002C768B"/>
    <w:rsid w:val="002E0759"/>
    <w:rsid w:val="002E0F7D"/>
    <w:rsid w:val="002E1241"/>
    <w:rsid w:val="002E4B67"/>
    <w:rsid w:val="002E701F"/>
    <w:rsid w:val="002E743C"/>
    <w:rsid w:val="002F07D8"/>
    <w:rsid w:val="002F09EE"/>
    <w:rsid w:val="002F10DB"/>
    <w:rsid w:val="002F1537"/>
    <w:rsid w:val="002F6A40"/>
    <w:rsid w:val="00313583"/>
    <w:rsid w:val="00315B49"/>
    <w:rsid w:val="00315B61"/>
    <w:rsid w:val="0032442E"/>
    <w:rsid w:val="0032768D"/>
    <w:rsid w:val="00333B4D"/>
    <w:rsid w:val="0034306C"/>
    <w:rsid w:val="0035059A"/>
    <w:rsid w:val="00351BD5"/>
    <w:rsid w:val="00355B13"/>
    <w:rsid w:val="00357E04"/>
    <w:rsid w:val="00360183"/>
    <w:rsid w:val="00361FF1"/>
    <w:rsid w:val="003731AA"/>
    <w:rsid w:val="003740E3"/>
    <w:rsid w:val="00383090"/>
    <w:rsid w:val="00391217"/>
    <w:rsid w:val="00391E77"/>
    <w:rsid w:val="00392C7C"/>
    <w:rsid w:val="003A0D78"/>
    <w:rsid w:val="003A2193"/>
    <w:rsid w:val="003B344A"/>
    <w:rsid w:val="003B4769"/>
    <w:rsid w:val="003C00BD"/>
    <w:rsid w:val="003C3680"/>
    <w:rsid w:val="003C38FF"/>
    <w:rsid w:val="003C3A88"/>
    <w:rsid w:val="003C6E56"/>
    <w:rsid w:val="003C7130"/>
    <w:rsid w:val="003C7717"/>
    <w:rsid w:val="003D1AF7"/>
    <w:rsid w:val="003E1537"/>
    <w:rsid w:val="003E2D7F"/>
    <w:rsid w:val="003F5868"/>
    <w:rsid w:val="003F5F88"/>
    <w:rsid w:val="003F712A"/>
    <w:rsid w:val="00403424"/>
    <w:rsid w:val="004058A0"/>
    <w:rsid w:val="0040696C"/>
    <w:rsid w:val="00425C71"/>
    <w:rsid w:val="004264A1"/>
    <w:rsid w:val="004320FD"/>
    <w:rsid w:val="00450266"/>
    <w:rsid w:val="00452605"/>
    <w:rsid w:val="0046060C"/>
    <w:rsid w:val="004634FC"/>
    <w:rsid w:val="00474645"/>
    <w:rsid w:val="00475FBF"/>
    <w:rsid w:val="0047795C"/>
    <w:rsid w:val="00481C18"/>
    <w:rsid w:val="00483024"/>
    <w:rsid w:val="0048733F"/>
    <w:rsid w:val="00487EAD"/>
    <w:rsid w:val="00495FDC"/>
    <w:rsid w:val="004977FA"/>
    <w:rsid w:val="004A5FAA"/>
    <w:rsid w:val="004B1F80"/>
    <w:rsid w:val="004C1077"/>
    <w:rsid w:val="004C7A0F"/>
    <w:rsid w:val="004D1201"/>
    <w:rsid w:val="004D1F63"/>
    <w:rsid w:val="004D4E29"/>
    <w:rsid w:val="004D5297"/>
    <w:rsid w:val="004D7CCF"/>
    <w:rsid w:val="004E0EBF"/>
    <w:rsid w:val="004F2C25"/>
    <w:rsid w:val="004F4607"/>
    <w:rsid w:val="005010E0"/>
    <w:rsid w:val="00501465"/>
    <w:rsid w:val="00501FE5"/>
    <w:rsid w:val="00503BFC"/>
    <w:rsid w:val="005043B6"/>
    <w:rsid w:val="00506FB2"/>
    <w:rsid w:val="00514BB8"/>
    <w:rsid w:val="00523C18"/>
    <w:rsid w:val="005261A2"/>
    <w:rsid w:val="00527F08"/>
    <w:rsid w:val="00530C30"/>
    <w:rsid w:val="005310D9"/>
    <w:rsid w:val="00531C1D"/>
    <w:rsid w:val="00537669"/>
    <w:rsid w:val="00544782"/>
    <w:rsid w:val="00545E97"/>
    <w:rsid w:val="005528B6"/>
    <w:rsid w:val="005536BB"/>
    <w:rsid w:val="0055458F"/>
    <w:rsid w:val="005562C9"/>
    <w:rsid w:val="00557761"/>
    <w:rsid w:val="00563C17"/>
    <w:rsid w:val="00564DD8"/>
    <w:rsid w:val="0056745F"/>
    <w:rsid w:val="00570758"/>
    <w:rsid w:val="00571527"/>
    <w:rsid w:val="00571601"/>
    <w:rsid w:val="0058451C"/>
    <w:rsid w:val="00584B66"/>
    <w:rsid w:val="0058600B"/>
    <w:rsid w:val="0058728C"/>
    <w:rsid w:val="00591945"/>
    <w:rsid w:val="00591B28"/>
    <w:rsid w:val="00593DBF"/>
    <w:rsid w:val="00596F13"/>
    <w:rsid w:val="005A1103"/>
    <w:rsid w:val="005A154F"/>
    <w:rsid w:val="005B29C6"/>
    <w:rsid w:val="005B30DA"/>
    <w:rsid w:val="005B35E7"/>
    <w:rsid w:val="005B7499"/>
    <w:rsid w:val="005C2E5A"/>
    <w:rsid w:val="005C35C5"/>
    <w:rsid w:val="005C35EB"/>
    <w:rsid w:val="005D1966"/>
    <w:rsid w:val="005F10F9"/>
    <w:rsid w:val="00601EED"/>
    <w:rsid w:val="00602AA7"/>
    <w:rsid w:val="00603476"/>
    <w:rsid w:val="00606DE8"/>
    <w:rsid w:val="006102DD"/>
    <w:rsid w:val="00611092"/>
    <w:rsid w:val="00611E54"/>
    <w:rsid w:val="006163F3"/>
    <w:rsid w:val="00617207"/>
    <w:rsid w:val="0062052F"/>
    <w:rsid w:val="00624945"/>
    <w:rsid w:val="00626AE4"/>
    <w:rsid w:val="006338DD"/>
    <w:rsid w:val="006351FA"/>
    <w:rsid w:val="00635C49"/>
    <w:rsid w:val="00637B06"/>
    <w:rsid w:val="00637E38"/>
    <w:rsid w:val="0064048F"/>
    <w:rsid w:val="00642F7F"/>
    <w:rsid w:val="006514BE"/>
    <w:rsid w:val="00653753"/>
    <w:rsid w:val="00655EE5"/>
    <w:rsid w:val="00656E14"/>
    <w:rsid w:val="00662E0B"/>
    <w:rsid w:val="00667828"/>
    <w:rsid w:val="00671976"/>
    <w:rsid w:val="00675345"/>
    <w:rsid w:val="00680F0B"/>
    <w:rsid w:val="00682F29"/>
    <w:rsid w:val="00683301"/>
    <w:rsid w:val="00685418"/>
    <w:rsid w:val="00695A24"/>
    <w:rsid w:val="006A028D"/>
    <w:rsid w:val="006A5864"/>
    <w:rsid w:val="006A75C8"/>
    <w:rsid w:val="006B08DA"/>
    <w:rsid w:val="006C31AB"/>
    <w:rsid w:val="006C6635"/>
    <w:rsid w:val="006D12CD"/>
    <w:rsid w:val="006D60FF"/>
    <w:rsid w:val="006D771B"/>
    <w:rsid w:val="006E0350"/>
    <w:rsid w:val="006E681C"/>
    <w:rsid w:val="006F3E85"/>
    <w:rsid w:val="006F4927"/>
    <w:rsid w:val="006F502C"/>
    <w:rsid w:val="00700B92"/>
    <w:rsid w:val="00701644"/>
    <w:rsid w:val="007035E8"/>
    <w:rsid w:val="00704CA8"/>
    <w:rsid w:val="00704EEE"/>
    <w:rsid w:val="00706F69"/>
    <w:rsid w:val="007077DF"/>
    <w:rsid w:val="00710A54"/>
    <w:rsid w:val="00715CD2"/>
    <w:rsid w:val="00724ED1"/>
    <w:rsid w:val="00737455"/>
    <w:rsid w:val="0074173A"/>
    <w:rsid w:val="00742416"/>
    <w:rsid w:val="0074353D"/>
    <w:rsid w:val="007445B5"/>
    <w:rsid w:val="0074500F"/>
    <w:rsid w:val="00746177"/>
    <w:rsid w:val="0074697B"/>
    <w:rsid w:val="00750633"/>
    <w:rsid w:val="007521F9"/>
    <w:rsid w:val="00752A5A"/>
    <w:rsid w:val="00754A5D"/>
    <w:rsid w:val="0076089C"/>
    <w:rsid w:val="0076285F"/>
    <w:rsid w:val="007654C2"/>
    <w:rsid w:val="007661BB"/>
    <w:rsid w:val="0077131A"/>
    <w:rsid w:val="00775CF5"/>
    <w:rsid w:val="00776FB4"/>
    <w:rsid w:val="007772D6"/>
    <w:rsid w:val="00777F2A"/>
    <w:rsid w:val="00781D32"/>
    <w:rsid w:val="007826FC"/>
    <w:rsid w:val="00783B64"/>
    <w:rsid w:val="00786FD9"/>
    <w:rsid w:val="00787EF2"/>
    <w:rsid w:val="00790355"/>
    <w:rsid w:val="00792F34"/>
    <w:rsid w:val="007950DE"/>
    <w:rsid w:val="00795507"/>
    <w:rsid w:val="007A48B2"/>
    <w:rsid w:val="007A62C5"/>
    <w:rsid w:val="007A7C23"/>
    <w:rsid w:val="007C5620"/>
    <w:rsid w:val="007C7DD2"/>
    <w:rsid w:val="007D31A3"/>
    <w:rsid w:val="007E44E8"/>
    <w:rsid w:val="007E6323"/>
    <w:rsid w:val="007F1E20"/>
    <w:rsid w:val="007F3324"/>
    <w:rsid w:val="007F4991"/>
    <w:rsid w:val="00800183"/>
    <w:rsid w:val="00805EE1"/>
    <w:rsid w:val="00806DB3"/>
    <w:rsid w:val="00812B0A"/>
    <w:rsid w:val="008148A9"/>
    <w:rsid w:val="00814A93"/>
    <w:rsid w:val="0082033B"/>
    <w:rsid w:val="0083194D"/>
    <w:rsid w:val="00832DAC"/>
    <w:rsid w:val="00833BDE"/>
    <w:rsid w:val="008401C9"/>
    <w:rsid w:val="008440D0"/>
    <w:rsid w:val="00850D78"/>
    <w:rsid w:val="0086023C"/>
    <w:rsid w:val="0087321D"/>
    <w:rsid w:val="00875E9C"/>
    <w:rsid w:val="008813F1"/>
    <w:rsid w:val="0088374E"/>
    <w:rsid w:val="00884691"/>
    <w:rsid w:val="00894733"/>
    <w:rsid w:val="008A09E7"/>
    <w:rsid w:val="008A14D4"/>
    <w:rsid w:val="008A342E"/>
    <w:rsid w:val="008A4458"/>
    <w:rsid w:val="008A57C5"/>
    <w:rsid w:val="008A7778"/>
    <w:rsid w:val="008B0E74"/>
    <w:rsid w:val="008B10BB"/>
    <w:rsid w:val="008B1A82"/>
    <w:rsid w:val="008B2D54"/>
    <w:rsid w:val="008B3A3E"/>
    <w:rsid w:val="008C14BE"/>
    <w:rsid w:val="008C2643"/>
    <w:rsid w:val="008C689B"/>
    <w:rsid w:val="008C7CD3"/>
    <w:rsid w:val="008E1ED8"/>
    <w:rsid w:val="008F00D8"/>
    <w:rsid w:val="008F02D6"/>
    <w:rsid w:val="008F2B97"/>
    <w:rsid w:val="008F410F"/>
    <w:rsid w:val="008F415B"/>
    <w:rsid w:val="008F44FB"/>
    <w:rsid w:val="008F7453"/>
    <w:rsid w:val="008F7B85"/>
    <w:rsid w:val="00906D92"/>
    <w:rsid w:val="009072CC"/>
    <w:rsid w:val="00907E12"/>
    <w:rsid w:val="00911555"/>
    <w:rsid w:val="00912E5D"/>
    <w:rsid w:val="009162DF"/>
    <w:rsid w:val="0093313C"/>
    <w:rsid w:val="00937690"/>
    <w:rsid w:val="009547AF"/>
    <w:rsid w:val="00954EC9"/>
    <w:rsid w:val="0096137A"/>
    <w:rsid w:val="0097453D"/>
    <w:rsid w:val="00986198"/>
    <w:rsid w:val="009876E7"/>
    <w:rsid w:val="009915B2"/>
    <w:rsid w:val="009954F0"/>
    <w:rsid w:val="009A110B"/>
    <w:rsid w:val="009A459C"/>
    <w:rsid w:val="009A6584"/>
    <w:rsid w:val="009B009E"/>
    <w:rsid w:val="009B0F75"/>
    <w:rsid w:val="009B45A5"/>
    <w:rsid w:val="009B5763"/>
    <w:rsid w:val="009B6DF8"/>
    <w:rsid w:val="009C413C"/>
    <w:rsid w:val="009C4515"/>
    <w:rsid w:val="009D4BAD"/>
    <w:rsid w:val="009D64C7"/>
    <w:rsid w:val="009D7319"/>
    <w:rsid w:val="009F1F2B"/>
    <w:rsid w:val="00A02612"/>
    <w:rsid w:val="00A12279"/>
    <w:rsid w:val="00A13B0C"/>
    <w:rsid w:val="00A17C5A"/>
    <w:rsid w:val="00A2151E"/>
    <w:rsid w:val="00A267D6"/>
    <w:rsid w:val="00A31433"/>
    <w:rsid w:val="00A41EF1"/>
    <w:rsid w:val="00A46A45"/>
    <w:rsid w:val="00A46C26"/>
    <w:rsid w:val="00A56B63"/>
    <w:rsid w:val="00A61B95"/>
    <w:rsid w:val="00A67192"/>
    <w:rsid w:val="00A739B1"/>
    <w:rsid w:val="00A75DBB"/>
    <w:rsid w:val="00A76992"/>
    <w:rsid w:val="00A80D2E"/>
    <w:rsid w:val="00A81F5C"/>
    <w:rsid w:val="00A850B4"/>
    <w:rsid w:val="00A85D47"/>
    <w:rsid w:val="00A91EB3"/>
    <w:rsid w:val="00A93AF9"/>
    <w:rsid w:val="00A95E71"/>
    <w:rsid w:val="00AA11A4"/>
    <w:rsid w:val="00AA33A0"/>
    <w:rsid w:val="00AA3EA1"/>
    <w:rsid w:val="00AA5EBF"/>
    <w:rsid w:val="00AA66A2"/>
    <w:rsid w:val="00AB3AC6"/>
    <w:rsid w:val="00AB54D8"/>
    <w:rsid w:val="00AE6D2A"/>
    <w:rsid w:val="00AF24E1"/>
    <w:rsid w:val="00AF505A"/>
    <w:rsid w:val="00AF6E1D"/>
    <w:rsid w:val="00AF7A0A"/>
    <w:rsid w:val="00B04878"/>
    <w:rsid w:val="00B05D13"/>
    <w:rsid w:val="00B110CF"/>
    <w:rsid w:val="00B12819"/>
    <w:rsid w:val="00B1296C"/>
    <w:rsid w:val="00B14706"/>
    <w:rsid w:val="00B21D71"/>
    <w:rsid w:val="00B23BEE"/>
    <w:rsid w:val="00B2496D"/>
    <w:rsid w:val="00B35441"/>
    <w:rsid w:val="00B36272"/>
    <w:rsid w:val="00B479F4"/>
    <w:rsid w:val="00B53481"/>
    <w:rsid w:val="00B574D0"/>
    <w:rsid w:val="00B609C0"/>
    <w:rsid w:val="00B61F78"/>
    <w:rsid w:val="00B62176"/>
    <w:rsid w:val="00B62D68"/>
    <w:rsid w:val="00B62DC6"/>
    <w:rsid w:val="00B65AA9"/>
    <w:rsid w:val="00B70049"/>
    <w:rsid w:val="00B73DE4"/>
    <w:rsid w:val="00B8597E"/>
    <w:rsid w:val="00B8684A"/>
    <w:rsid w:val="00B87BA9"/>
    <w:rsid w:val="00B92ECD"/>
    <w:rsid w:val="00B944C4"/>
    <w:rsid w:val="00B94CEB"/>
    <w:rsid w:val="00B96EE4"/>
    <w:rsid w:val="00BA066E"/>
    <w:rsid w:val="00BA2793"/>
    <w:rsid w:val="00BB1831"/>
    <w:rsid w:val="00BB2AA5"/>
    <w:rsid w:val="00BB4EC8"/>
    <w:rsid w:val="00BB6020"/>
    <w:rsid w:val="00BC384F"/>
    <w:rsid w:val="00BD3BB1"/>
    <w:rsid w:val="00BD4DFB"/>
    <w:rsid w:val="00BE0702"/>
    <w:rsid w:val="00BF1663"/>
    <w:rsid w:val="00BF73BB"/>
    <w:rsid w:val="00C04B10"/>
    <w:rsid w:val="00C05CB9"/>
    <w:rsid w:val="00C0625F"/>
    <w:rsid w:val="00C1387F"/>
    <w:rsid w:val="00C14661"/>
    <w:rsid w:val="00C30E48"/>
    <w:rsid w:val="00C31064"/>
    <w:rsid w:val="00C337DD"/>
    <w:rsid w:val="00C3731D"/>
    <w:rsid w:val="00C4306C"/>
    <w:rsid w:val="00C45FBB"/>
    <w:rsid w:val="00C4613A"/>
    <w:rsid w:val="00C50D64"/>
    <w:rsid w:val="00C54157"/>
    <w:rsid w:val="00C54FDF"/>
    <w:rsid w:val="00C5699D"/>
    <w:rsid w:val="00C6162F"/>
    <w:rsid w:val="00C670AB"/>
    <w:rsid w:val="00C74FBE"/>
    <w:rsid w:val="00C83845"/>
    <w:rsid w:val="00C84D10"/>
    <w:rsid w:val="00C8730D"/>
    <w:rsid w:val="00C91176"/>
    <w:rsid w:val="00C94F64"/>
    <w:rsid w:val="00CA29C9"/>
    <w:rsid w:val="00CA3B7B"/>
    <w:rsid w:val="00CA40A4"/>
    <w:rsid w:val="00CA6E16"/>
    <w:rsid w:val="00CA749D"/>
    <w:rsid w:val="00CB4667"/>
    <w:rsid w:val="00CC4CF0"/>
    <w:rsid w:val="00CC5F54"/>
    <w:rsid w:val="00CD1BFC"/>
    <w:rsid w:val="00CD248B"/>
    <w:rsid w:val="00CD2AFF"/>
    <w:rsid w:val="00CD3F55"/>
    <w:rsid w:val="00CD504D"/>
    <w:rsid w:val="00CE2CBF"/>
    <w:rsid w:val="00CE31EF"/>
    <w:rsid w:val="00CE5121"/>
    <w:rsid w:val="00CF5074"/>
    <w:rsid w:val="00D000B5"/>
    <w:rsid w:val="00D00A75"/>
    <w:rsid w:val="00D01B49"/>
    <w:rsid w:val="00D11434"/>
    <w:rsid w:val="00D143D0"/>
    <w:rsid w:val="00D1451F"/>
    <w:rsid w:val="00D165DA"/>
    <w:rsid w:val="00D22D9B"/>
    <w:rsid w:val="00D27950"/>
    <w:rsid w:val="00D35840"/>
    <w:rsid w:val="00D43A88"/>
    <w:rsid w:val="00D462AF"/>
    <w:rsid w:val="00D471D2"/>
    <w:rsid w:val="00D53DAB"/>
    <w:rsid w:val="00D545BC"/>
    <w:rsid w:val="00D572A7"/>
    <w:rsid w:val="00D5780A"/>
    <w:rsid w:val="00D57D8A"/>
    <w:rsid w:val="00D62181"/>
    <w:rsid w:val="00D62F73"/>
    <w:rsid w:val="00D65680"/>
    <w:rsid w:val="00D65BA6"/>
    <w:rsid w:val="00D66C08"/>
    <w:rsid w:val="00D67D49"/>
    <w:rsid w:val="00D711D5"/>
    <w:rsid w:val="00D71E9F"/>
    <w:rsid w:val="00D723E2"/>
    <w:rsid w:val="00D72964"/>
    <w:rsid w:val="00D735CB"/>
    <w:rsid w:val="00D77DC5"/>
    <w:rsid w:val="00D80890"/>
    <w:rsid w:val="00D82B10"/>
    <w:rsid w:val="00D91CF7"/>
    <w:rsid w:val="00D91D1F"/>
    <w:rsid w:val="00D92CAA"/>
    <w:rsid w:val="00D937F3"/>
    <w:rsid w:val="00D94826"/>
    <w:rsid w:val="00D95876"/>
    <w:rsid w:val="00D97719"/>
    <w:rsid w:val="00DA05EE"/>
    <w:rsid w:val="00DA4202"/>
    <w:rsid w:val="00DA5FE4"/>
    <w:rsid w:val="00DA7B79"/>
    <w:rsid w:val="00DB3332"/>
    <w:rsid w:val="00DB5174"/>
    <w:rsid w:val="00DB68CE"/>
    <w:rsid w:val="00DC1AE8"/>
    <w:rsid w:val="00DC3520"/>
    <w:rsid w:val="00DC3F9B"/>
    <w:rsid w:val="00DD0F1E"/>
    <w:rsid w:val="00DD3BCF"/>
    <w:rsid w:val="00DD4731"/>
    <w:rsid w:val="00DD5BD2"/>
    <w:rsid w:val="00DD5E7B"/>
    <w:rsid w:val="00DD6975"/>
    <w:rsid w:val="00DE0C44"/>
    <w:rsid w:val="00DE2902"/>
    <w:rsid w:val="00DE3237"/>
    <w:rsid w:val="00DE3C4F"/>
    <w:rsid w:val="00DE6BE7"/>
    <w:rsid w:val="00DE6D81"/>
    <w:rsid w:val="00DF44C2"/>
    <w:rsid w:val="00E01200"/>
    <w:rsid w:val="00E056D9"/>
    <w:rsid w:val="00E06303"/>
    <w:rsid w:val="00E07EAC"/>
    <w:rsid w:val="00E12291"/>
    <w:rsid w:val="00E131DB"/>
    <w:rsid w:val="00E150A6"/>
    <w:rsid w:val="00E1536E"/>
    <w:rsid w:val="00E21726"/>
    <w:rsid w:val="00E22247"/>
    <w:rsid w:val="00E26B0E"/>
    <w:rsid w:val="00E306AE"/>
    <w:rsid w:val="00E32BAE"/>
    <w:rsid w:val="00E36BC2"/>
    <w:rsid w:val="00E43E8B"/>
    <w:rsid w:val="00E453D0"/>
    <w:rsid w:val="00E45823"/>
    <w:rsid w:val="00E469DC"/>
    <w:rsid w:val="00E476FE"/>
    <w:rsid w:val="00E50485"/>
    <w:rsid w:val="00E542E9"/>
    <w:rsid w:val="00E54D39"/>
    <w:rsid w:val="00E564A6"/>
    <w:rsid w:val="00E6258A"/>
    <w:rsid w:val="00E633E4"/>
    <w:rsid w:val="00E66369"/>
    <w:rsid w:val="00E7097B"/>
    <w:rsid w:val="00E73C70"/>
    <w:rsid w:val="00E74290"/>
    <w:rsid w:val="00E757E2"/>
    <w:rsid w:val="00E7683A"/>
    <w:rsid w:val="00E773B7"/>
    <w:rsid w:val="00E7752F"/>
    <w:rsid w:val="00E8753F"/>
    <w:rsid w:val="00E87A04"/>
    <w:rsid w:val="00E95832"/>
    <w:rsid w:val="00E9587E"/>
    <w:rsid w:val="00E96DB5"/>
    <w:rsid w:val="00EB433D"/>
    <w:rsid w:val="00EB4FE2"/>
    <w:rsid w:val="00EC1457"/>
    <w:rsid w:val="00EC1BA6"/>
    <w:rsid w:val="00ED273C"/>
    <w:rsid w:val="00ED5666"/>
    <w:rsid w:val="00ED5CC7"/>
    <w:rsid w:val="00ED6399"/>
    <w:rsid w:val="00EE0D29"/>
    <w:rsid w:val="00EF2309"/>
    <w:rsid w:val="00F00427"/>
    <w:rsid w:val="00F014EE"/>
    <w:rsid w:val="00F02B4B"/>
    <w:rsid w:val="00F125F6"/>
    <w:rsid w:val="00F152C4"/>
    <w:rsid w:val="00F242EA"/>
    <w:rsid w:val="00F244DF"/>
    <w:rsid w:val="00F254D5"/>
    <w:rsid w:val="00F261B4"/>
    <w:rsid w:val="00F402BA"/>
    <w:rsid w:val="00F405CF"/>
    <w:rsid w:val="00F40F30"/>
    <w:rsid w:val="00F4226A"/>
    <w:rsid w:val="00F42EB0"/>
    <w:rsid w:val="00F5111D"/>
    <w:rsid w:val="00F520A6"/>
    <w:rsid w:val="00F531ED"/>
    <w:rsid w:val="00F54F88"/>
    <w:rsid w:val="00F56084"/>
    <w:rsid w:val="00F56103"/>
    <w:rsid w:val="00F57B88"/>
    <w:rsid w:val="00F64F8B"/>
    <w:rsid w:val="00F65D90"/>
    <w:rsid w:val="00F67729"/>
    <w:rsid w:val="00F7393D"/>
    <w:rsid w:val="00F74FBA"/>
    <w:rsid w:val="00F823D3"/>
    <w:rsid w:val="00F92E4F"/>
    <w:rsid w:val="00FA027D"/>
    <w:rsid w:val="00FA1AEB"/>
    <w:rsid w:val="00FA57AA"/>
    <w:rsid w:val="00FA5D2D"/>
    <w:rsid w:val="00FA6F4B"/>
    <w:rsid w:val="00FB21B8"/>
    <w:rsid w:val="00FB26DA"/>
    <w:rsid w:val="00FB39E4"/>
    <w:rsid w:val="00FB3CF3"/>
    <w:rsid w:val="00FC1EC0"/>
    <w:rsid w:val="00FC412D"/>
    <w:rsid w:val="00FE2404"/>
    <w:rsid w:val="00FF2EF3"/>
    <w:rsid w:val="00FF3C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043B6"/>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Poglavje1,Heading 1si"/>
    <w:basedOn w:val="Navaden"/>
    <w:next w:val="Navaden"/>
    <w:link w:val="Naslov1Znak"/>
    <w:uiPriority w:val="9"/>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2">
    <w:name w:val="heading 2"/>
    <w:basedOn w:val="Navaden"/>
    <w:next w:val="Navaden"/>
    <w:link w:val="Naslov2Znak"/>
    <w:qFormat/>
    <w:rsid w:val="00D91D1F"/>
    <w:pPr>
      <w:keepNext/>
      <w:spacing w:before="240" w:after="60"/>
      <w:ind w:left="576" w:hanging="576"/>
      <w:outlineLvl w:val="1"/>
    </w:pPr>
    <w:rPr>
      <w:rFonts w:ascii="Tahoma" w:hAnsi="Tahoma"/>
      <w:b/>
      <w:bCs/>
      <w:iCs/>
      <w:sz w:val="22"/>
      <w:szCs w:val="28"/>
    </w:rPr>
  </w:style>
  <w:style w:type="paragraph" w:styleId="Naslov3">
    <w:name w:val="heading 3"/>
    <w:basedOn w:val="Navaden"/>
    <w:next w:val="Navaden"/>
    <w:link w:val="Naslov3Znak"/>
    <w:qFormat/>
    <w:rsid w:val="00D91D1F"/>
    <w:pPr>
      <w:keepNext/>
      <w:spacing w:before="240" w:after="60"/>
      <w:ind w:left="720" w:hanging="720"/>
      <w:outlineLvl w:val="2"/>
    </w:pPr>
    <w:rPr>
      <w:rFonts w:ascii="Cambria" w:hAnsi="Cambria"/>
      <w:b/>
      <w:bCs/>
      <w:sz w:val="26"/>
      <w:szCs w:val="26"/>
    </w:rPr>
  </w:style>
  <w:style w:type="paragraph" w:styleId="Naslov4">
    <w:name w:val="heading 4"/>
    <w:basedOn w:val="Navaden"/>
    <w:next w:val="Navaden"/>
    <w:link w:val="Naslov4Znak"/>
    <w:unhideWhenUsed/>
    <w:qFormat/>
    <w:rsid w:val="00B1296C"/>
    <w:pPr>
      <w:keepNext/>
      <w:keepLines/>
      <w:spacing w:before="200"/>
      <w:outlineLvl w:val="3"/>
    </w:pPr>
    <w:rPr>
      <w:rFonts w:asciiTheme="majorHAnsi" w:eastAsiaTheme="majorEastAsia" w:hAnsiTheme="majorHAnsi" w:cstheme="majorBidi"/>
      <w:b/>
      <w:bCs/>
      <w:i/>
      <w:iCs/>
      <w:color w:val="5B9BD5" w:themeColor="accent1"/>
    </w:rPr>
  </w:style>
  <w:style w:type="paragraph" w:styleId="Naslov5">
    <w:name w:val="heading 5"/>
    <w:basedOn w:val="Navaden"/>
    <w:next w:val="Navaden"/>
    <w:link w:val="Naslov5Znak"/>
    <w:qFormat/>
    <w:rsid w:val="00D91D1F"/>
    <w:pPr>
      <w:spacing w:before="240" w:after="60"/>
      <w:ind w:left="1008" w:hanging="1008"/>
      <w:outlineLvl w:val="4"/>
    </w:pPr>
    <w:rPr>
      <w:rFonts w:ascii="Calibri" w:hAnsi="Calibri"/>
      <w:b/>
      <w:bCs/>
      <w:i/>
      <w:iCs/>
      <w:sz w:val="26"/>
      <w:szCs w:val="26"/>
    </w:rPr>
  </w:style>
  <w:style w:type="paragraph" w:styleId="Naslov6">
    <w:name w:val="heading 6"/>
    <w:basedOn w:val="Navaden"/>
    <w:next w:val="Navaden"/>
    <w:link w:val="Naslov6Znak"/>
    <w:qFormat/>
    <w:rsid w:val="00D91D1F"/>
    <w:pPr>
      <w:spacing w:before="240" w:after="60"/>
      <w:ind w:left="1152" w:hanging="1152"/>
      <w:outlineLvl w:val="5"/>
    </w:pPr>
    <w:rPr>
      <w:rFonts w:ascii="Calibri" w:hAnsi="Calibri"/>
      <w:b/>
      <w:bCs/>
      <w:sz w:val="22"/>
      <w:szCs w:val="22"/>
    </w:rPr>
  </w:style>
  <w:style w:type="paragraph" w:styleId="Naslov7">
    <w:name w:val="heading 7"/>
    <w:basedOn w:val="Navaden"/>
    <w:next w:val="Navaden"/>
    <w:link w:val="Naslov7Znak"/>
    <w:qFormat/>
    <w:rsid w:val="00D91D1F"/>
    <w:pPr>
      <w:spacing w:before="240" w:after="60"/>
      <w:ind w:left="1296" w:hanging="1296"/>
      <w:outlineLvl w:val="6"/>
    </w:pPr>
    <w:rPr>
      <w:rFonts w:ascii="Calibri" w:hAnsi="Calibri"/>
      <w:sz w:val="22"/>
    </w:rPr>
  </w:style>
  <w:style w:type="paragraph" w:styleId="Naslov8">
    <w:name w:val="heading 8"/>
    <w:basedOn w:val="Navaden"/>
    <w:next w:val="Navaden"/>
    <w:link w:val="Naslov8Znak"/>
    <w:qFormat/>
    <w:rsid w:val="00D91D1F"/>
    <w:pPr>
      <w:spacing w:before="240" w:after="60"/>
      <w:ind w:left="1440" w:hanging="1440"/>
      <w:outlineLvl w:val="7"/>
    </w:pPr>
    <w:rPr>
      <w:rFonts w:ascii="Calibri" w:hAnsi="Calibri"/>
      <w:i/>
      <w:iCs/>
      <w:sz w:val="22"/>
    </w:rPr>
  </w:style>
  <w:style w:type="paragraph" w:styleId="Naslov9">
    <w:name w:val="heading 9"/>
    <w:basedOn w:val="Navaden"/>
    <w:next w:val="Navaden"/>
    <w:link w:val="Naslov9Znak"/>
    <w:qFormat/>
    <w:rsid w:val="00D91D1F"/>
    <w:pPr>
      <w:spacing w:before="240" w:after="60"/>
      <w:ind w:left="1584" w:hanging="1584"/>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Poglavje1 Znak"/>
    <w:link w:val="Naslov1"/>
    <w:uiPriority w:val="9"/>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rsid w:val="000E138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link w:val="BesedilooblakaZnak"/>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Odstavekseznama">
    <w:name w:val="List Paragraph"/>
    <w:basedOn w:val="Navaden"/>
    <w:uiPriority w:val="34"/>
    <w:qFormat/>
    <w:rsid w:val="00ED5CC7"/>
    <w:pPr>
      <w:ind w:left="720"/>
      <w:contextualSpacing/>
    </w:pPr>
  </w:style>
  <w:style w:type="character" w:customStyle="1" w:styleId="Naslov4Znak">
    <w:name w:val="Naslov 4 Znak"/>
    <w:basedOn w:val="Privzetapisavaodstavka"/>
    <w:link w:val="Naslov4"/>
    <w:rsid w:val="00B1296C"/>
    <w:rPr>
      <w:rFonts w:asciiTheme="majorHAnsi" w:eastAsiaTheme="majorEastAsia" w:hAnsiTheme="majorHAnsi" w:cstheme="majorBidi"/>
      <w:b/>
      <w:bCs/>
      <w:i/>
      <w:iCs/>
      <w:color w:val="5B9BD5" w:themeColor="accent1"/>
      <w:sz w:val="24"/>
      <w:szCs w:val="24"/>
      <w:lang w:eastAsia="ar-SA"/>
    </w:rPr>
  </w:style>
  <w:style w:type="character" w:styleId="Besediloograde">
    <w:name w:val="Placeholder Text"/>
    <w:basedOn w:val="Privzetapisavaodstavka"/>
    <w:uiPriority w:val="99"/>
    <w:semiHidden/>
    <w:rsid w:val="00F40F30"/>
    <w:rPr>
      <w:color w:val="808080"/>
    </w:rPr>
  </w:style>
  <w:style w:type="character" w:customStyle="1" w:styleId="Naslov2Znak">
    <w:name w:val="Naslov 2 Znak"/>
    <w:basedOn w:val="Privzetapisavaodstavka"/>
    <w:link w:val="Naslov2"/>
    <w:rsid w:val="00D91D1F"/>
    <w:rPr>
      <w:rFonts w:ascii="Tahoma" w:hAnsi="Tahoma"/>
      <w:b/>
      <w:bCs/>
      <w:iCs/>
      <w:sz w:val="22"/>
      <w:szCs w:val="28"/>
      <w:lang w:eastAsia="ar-SA"/>
    </w:rPr>
  </w:style>
  <w:style w:type="character" w:customStyle="1" w:styleId="Naslov3Znak">
    <w:name w:val="Naslov 3 Znak"/>
    <w:basedOn w:val="Privzetapisavaodstavka"/>
    <w:link w:val="Naslov3"/>
    <w:rsid w:val="00D91D1F"/>
    <w:rPr>
      <w:rFonts w:ascii="Cambria" w:hAnsi="Cambria"/>
      <w:b/>
      <w:bCs/>
      <w:sz w:val="26"/>
      <w:szCs w:val="26"/>
      <w:lang w:eastAsia="ar-SA"/>
    </w:rPr>
  </w:style>
  <w:style w:type="character" w:customStyle="1" w:styleId="Naslov5Znak">
    <w:name w:val="Naslov 5 Znak"/>
    <w:basedOn w:val="Privzetapisavaodstavka"/>
    <w:link w:val="Naslov5"/>
    <w:rsid w:val="00D91D1F"/>
    <w:rPr>
      <w:rFonts w:ascii="Calibri" w:hAnsi="Calibri"/>
      <w:b/>
      <w:bCs/>
      <w:i/>
      <w:iCs/>
      <w:sz w:val="26"/>
      <w:szCs w:val="26"/>
      <w:lang w:eastAsia="ar-SA"/>
    </w:rPr>
  </w:style>
  <w:style w:type="character" w:customStyle="1" w:styleId="Naslov6Znak">
    <w:name w:val="Naslov 6 Znak"/>
    <w:basedOn w:val="Privzetapisavaodstavka"/>
    <w:link w:val="Naslov6"/>
    <w:rsid w:val="00D91D1F"/>
    <w:rPr>
      <w:rFonts w:ascii="Calibri" w:hAnsi="Calibri"/>
      <w:b/>
      <w:bCs/>
      <w:sz w:val="22"/>
      <w:szCs w:val="22"/>
      <w:lang w:eastAsia="ar-SA"/>
    </w:rPr>
  </w:style>
  <w:style w:type="character" w:customStyle="1" w:styleId="Naslov7Znak">
    <w:name w:val="Naslov 7 Znak"/>
    <w:basedOn w:val="Privzetapisavaodstavka"/>
    <w:link w:val="Naslov7"/>
    <w:rsid w:val="00D91D1F"/>
    <w:rPr>
      <w:rFonts w:ascii="Calibri" w:hAnsi="Calibri"/>
      <w:sz w:val="22"/>
      <w:szCs w:val="24"/>
      <w:lang w:eastAsia="ar-SA"/>
    </w:rPr>
  </w:style>
  <w:style w:type="character" w:customStyle="1" w:styleId="Naslov8Znak">
    <w:name w:val="Naslov 8 Znak"/>
    <w:basedOn w:val="Privzetapisavaodstavka"/>
    <w:link w:val="Naslov8"/>
    <w:rsid w:val="00D91D1F"/>
    <w:rPr>
      <w:rFonts w:ascii="Calibri" w:hAnsi="Calibri"/>
      <w:i/>
      <w:iCs/>
      <w:sz w:val="22"/>
      <w:szCs w:val="24"/>
      <w:lang w:eastAsia="ar-SA"/>
    </w:rPr>
  </w:style>
  <w:style w:type="character" w:customStyle="1" w:styleId="Naslov9Znak">
    <w:name w:val="Naslov 9 Znak"/>
    <w:basedOn w:val="Privzetapisavaodstavka"/>
    <w:link w:val="Naslov9"/>
    <w:rsid w:val="00D91D1F"/>
    <w:rPr>
      <w:rFonts w:ascii="Cambria" w:hAnsi="Cambria"/>
      <w:sz w:val="22"/>
      <w:szCs w:val="22"/>
      <w:lang w:eastAsia="ar-SA"/>
    </w:rPr>
  </w:style>
  <w:style w:type="character" w:customStyle="1" w:styleId="BesedilooblakaZnak">
    <w:name w:val="Besedilo oblačka Znak"/>
    <w:basedOn w:val="Privzetapisavaodstavka"/>
    <w:link w:val="Besedilooblaka"/>
    <w:rsid w:val="00D91D1F"/>
    <w:rPr>
      <w:rFonts w:ascii="Tahoma" w:hAnsi="Tahoma" w:cs="Tahoma"/>
      <w:sz w:val="16"/>
      <w:szCs w:val="16"/>
      <w:lang w:eastAsia="ar-SA"/>
    </w:rPr>
  </w:style>
  <w:style w:type="character" w:styleId="Pripombasklic">
    <w:name w:val="annotation reference"/>
    <w:rsid w:val="00D91D1F"/>
    <w:rPr>
      <w:sz w:val="16"/>
      <w:szCs w:val="16"/>
    </w:rPr>
  </w:style>
  <w:style w:type="paragraph" w:styleId="Pripombabesedilo">
    <w:name w:val="annotation text"/>
    <w:basedOn w:val="Navaden"/>
    <w:link w:val="PripombabesediloZnak"/>
    <w:rsid w:val="00D91D1F"/>
    <w:rPr>
      <w:rFonts w:ascii="Tahoma" w:hAnsi="Tahoma"/>
      <w:sz w:val="20"/>
      <w:szCs w:val="20"/>
    </w:rPr>
  </w:style>
  <w:style w:type="character" w:customStyle="1" w:styleId="PripombabesediloZnak">
    <w:name w:val="Pripomba – besedilo Znak"/>
    <w:basedOn w:val="Privzetapisavaodstavka"/>
    <w:link w:val="Pripombabesedilo"/>
    <w:rsid w:val="00D91D1F"/>
    <w:rPr>
      <w:rFonts w:ascii="Tahoma" w:hAnsi="Tahoma"/>
      <w:lang w:eastAsia="ar-SA"/>
    </w:rPr>
  </w:style>
  <w:style w:type="paragraph" w:styleId="Zadevapripombe">
    <w:name w:val="annotation subject"/>
    <w:basedOn w:val="Pripombabesedilo"/>
    <w:next w:val="Pripombabesedilo"/>
    <w:link w:val="ZadevapripombeZnak"/>
    <w:rsid w:val="00D91D1F"/>
    <w:rPr>
      <w:b/>
      <w:bCs/>
    </w:rPr>
  </w:style>
  <w:style w:type="character" w:customStyle="1" w:styleId="ZadevapripombeZnak">
    <w:name w:val="Zadeva pripombe Znak"/>
    <w:basedOn w:val="PripombabesediloZnak"/>
    <w:link w:val="Zadevapripombe"/>
    <w:rsid w:val="00D91D1F"/>
    <w:rPr>
      <w:rFonts w:ascii="Tahoma" w:hAnsi="Tahoma"/>
      <w:b/>
      <w:bCs/>
      <w:lang w:eastAsia="ar-SA"/>
    </w:rPr>
  </w:style>
  <w:style w:type="paragraph" w:styleId="Revizija">
    <w:name w:val="Revision"/>
    <w:hidden/>
    <w:uiPriority w:val="99"/>
    <w:semiHidden/>
    <w:rsid w:val="00D91D1F"/>
    <w:rPr>
      <w:sz w:val="24"/>
      <w:szCs w:val="24"/>
      <w:lang w:eastAsia="ar-SA"/>
    </w:rPr>
  </w:style>
  <w:style w:type="character" w:customStyle="1" w:styleId="GlavaZnak">
    <w:name w:val="Glava Znak"/>
    <w:basedOn w:val="Privzetapisavaodstavka"/>
    <w:link w:val="Glava"/>
    <w:uiPriority w:val="99"/>
    <w:rsid w:val="00D91D1F"/>
    <w:rPr>
      <w:rFonts w:ascii="Arial" w:hAnsi="Arial"/>
      <w:szCs w:val="24"/>
      <w:lang w:val="en-US" w:eastAsia="en-US"/>
    </w:rPr>
  </w:style>
  <w:style w:type="paragraph" w:styleId="NaslovTOC">
    <w:name w:val="TOC Heading"/>
    <w:basedOn w:val="Naslov1"/>
    <w:next w:val="Navaden"/>
    <w:uiPriority w:val="39"/>
    <w:qFormat/>
    <w:rsid w:val="00D91D1F"/>
    <w:pPr>
      <w:keepLines/>
      <w:overflowPunct/>
      <w:autoSpaceDE/>
      <w:autoSpaceDN/>
      <w:adjustRightInd/>
      <w:spacing w:before="480" w:after="0" w:line="276" w:lineRule="auto"/>
      <w:ind w:left="432" w:hanging="432"/>
      <w:jc w:val="left"/>
      <w:textAlignment w:val="auto"/>
      <w:outlineLvl w:val="9"/>
    </w:pPr>
    <w:rPr>
      <w:rFonts w:ascii="Tahoma" w:hAnsi="Tahoma" w:cs="Times New Roman"/>
      <w:caps/>
      <w:color w:val="365F91"/>
      <w:kern w:val="0"/>
      <w:sz w:val="28"/>
      <w:szCs w:val="28"/>
      <w:lang w:eastAsia="sl-SI"/>
    </w:rPr>
  </w:style>
  <w:style w:type="paragraph" w:styleId="Naslov">
    <w:name w:val="Title"/>
    <w:basedOn w:val="Navaden"/>
    <w:next w:val="Navaden"/>
    <w:link w:val="NaslovZnak"/>
    <w:qFormat/>
    <w:rsid w:val="00D91D1F"/>
    <w:pPr>
      <w:spacing w:before="240" w:after="60"/>
      <w:jc w:val="center"/>
      <w:outlineLvl w:val="0"/>
    </w:pPr>
    <w:rPr>
      <w:rFonts w:ascii="Tahoma" w:hAnsi="Tahoma"/>
      <w:b/>
      <w:bCs/>
      <w:kern w:val="28"/>
      <w:sz w:val="28"/>
      <w:szCs w:val="32"/>
    </w:rPr>
  </w:style>
  <w:style w:type="character" w:customStyle="1" w:styleId="NaslovZnak">
    <w:name w:val="Naslov Znak"/>
    <w:basedOn w:val="Privzetapisavaodstavka"/>
    <w:link w:val="Naslov"/>
    <w:rsid w:val="00D91D1F"/>
    <w:rPr>
      <w:rFonts w:ascii="Tahoma" w:hAnsi="Tahoma"/>
      <w:b/>
      <w:bCs/>
      <w:kern w:val="28"/>
      <w:sz w:val="28"/>
      <w:szCs w:val="32"/>
      <w:lang w:eastAsia="ar-SA"/>
    </w:rPr>
  </w:style>
  <w:style w:type="paragraph" w:styleId="Kazalovsebine1">
    <w:name w:val="toc 1"/>
    <w:basedOn w:val="Navaden"/>
    <w:next w:val="Navaden"/>
    <w:autoRedefine/>
    <w:uiPriority w:val="39"/>
    <w:rsid w:val="00D91D1F"/>
    <w:pPr>
      <w:tabs>
        <w:tab w:val="left" w:pos="426"/>
        <w:tab w:val="right" w:leader="dot" w:pos="9062"/>
      </w:tabs>
      <w:ind w:left="426" w:hanging="426"/>
    </w:pPr>
    <w:rPr>
      <w:rFonts w:ascii="Tahoma" w:hAnsi="Tahoma"/>
      <w:sz w:val="22"/>
    </w:rPr>
  </w:style>
  <w:style w:type="paragraph" w:styleId="Kazalovsebine2">
    <w:name w:val="toc 2"/>
    <w:basedOn w:val="Navaden"/>
    <w:next w:val="Navaden"/>
    <w:autoRedefine/>
    <w:uiPriority w:val="39"/>
    <w:rsid w:val="00D91D1F"/>
    <w:pPr>
      <w:ind w:left="240"/>
    </w:pPr>
    <w:rPr>
      <w:rFonts w:ascii="Tahoma" w:hAnsi="Tahoma"/>
      <w:sz w:val="22"/>
    </w:rPr>
  </w:style>
  <w:style w:type="paragraph" w:styleId="Napis">
    <w:name w:val="caption"/>
    <w:basedOn w:val="Navaden"/>
    <w:next w:val="Navaden"/>
    <w:qFormat/>
    <w:rsid w:val="00D91D1F"/>
    <w:rPr>
      <w:rFonts w:ascii="Tahoma" w:hAnsi="Tahoma"/>
      <w:b/>
      <w:bCs/>
      <w:sz w:val="20"/>
      <w:szCs w:val="20"/>
    </w:rPr>
  </w:style>
  <w:style w:type="character" w:customStyle="1" w:styleId="apple-converted-space">
    <w:name w:val="apple-converted-space"/>
    <w:rsid w:val="00D91D1F"/>
  </w:style>
  <w:style w:type="paragraph" w:customStyle="1" w:styleId="esegmenth4">
    <w:name w:val="esegment_h4"/>
    <w:basedOn w:val="Navaden"/>
    <w:rsid w:val="00D91D1F"/>
    <w:pPr>
      <w:suppressAutoHyphens w:val="0"/>
      <w:spacing w:before="100" w:beforeAutospacing="1" w:after="100" w:afterAutospacing="1"/>
    </w:pPr>
    <w:rPr>
      <w:lang w:val="en-GB" w:eastAsia="en-GB"/>
    </w:rPr>
  </w:style>
  <w:style w:type="paragraph" w:styleId="Navadensplet">
    <w:name w:val="Normal (Web)"/>
    <w:basedOn w:val="Navaden"/>
    <w:uiPriority w:val="99"/>
    <w:unhideWhenUsed/>
    <w:rsid w:val="00D91D1F"/>
    <w:pPr>
      <w:suppressAutoHyphens w:val="0"/>
      <w:spacing w:before="100" w:beforeAutospacing="1" w:after="100" w:afterAutospacing="1"/>
    </w:pPr>
    <w:rPr>
      <w:lang w:val="en-GB" w:eastAsia="en-GB"/>
    </w:rPr>
  </w:style>
  <w:style w:type="paragraph" w:customStyle="1" w:styleId="Odstavek">
    <w:name w:val="Odstavek"/>
    <w:basedOn w:val="Navaden"/>
    <w:link w:val="OdstavekZnak"/>
    <w:qFormat/>
    <w:rsid w:val="00D91D1F"/>
    <w:pPr>
      <w:suppressAutoHyphens w:val="0"/>
      <w:overflowPunct w:val="0"/>
      <w:autoSpaceDE w:val="0"/>
      <w:autoSpaceDN w:val="0"/>
      <w:adjustRightInd w:val="0"/>
      <w:spacing w:before="240"/>
      <w:ind w:firstLine="1021"/>
      <w:jc w:val="both"/>
      <w:textAlignment w:val="baseline"/>
    </w:pPr>
    <w:rPr>
      <w:rFonts w:ascii="Arial" w:hAnsi="Arial" w:cs="Arial"/>
      <w:sz w:val="22"/>
      <w:szCs w:val="22"/>
      <w:lang w:eastAsia="sl-SI"/>
    </w:rPr>
  </w:style>
  <w:style w:type="character" w:customStyle="1" w:styleId="OdstavekZnak">
    <w:name w:val="Odstavek Znak"/>
    <w:link w:val="Odstavek"/>
    <w:rsid w:val="00D91D1F"/>
    <w:rPr>
      <w:rFonts w:ascii="Arial" w:hAnsi="Arial" w:cs="Arial"/>
      <w:sz w:val="22"/>
      <w:szCs w:val="22"/>
    </w:rPr>
  </w:style>
  <w:style w:type="character" w:styleId="Neensklic">
    <w:name w:val="Subtle Reference"/>
    <w:uiPriority w:val="31"/>
    <w:qFormat/>
    <w:rsid w:val="00D91D1F"/>
    <w:rPr>
      <w:smallCaps/>
      <w:color w:val="C0504D"/>
      <w:u w:val="single"/>
    </w:rPr>
  </w:style>
  <w:style w:type="paragraph" w:styleId="Sprotnaopomba-besedilo">
    <w:name w:val="footnote text"/>
    <w:basedOn w:val="Navaden"/>
    <w:link w:val="Sprotnaopomba-besediloZnak"/>
    <w:rsid w:val="00D91D1F"/>
    <w:rPr>
      <w:rFonts w:ascii="Tahoma" w:hAnsi="Tahoma"/>
      <w:sz w:val="20"/>
      <w:szCs w:val="20"/>
    </w:rPr>
  </w:style>
  <w:style w:type="character" w:customStyle="1" w:styleId="Sprotnaopomba-besediloZnak">
    <w:name w:val="Sprotna opomba - besedilo Znak"/>
    <w:basedOn w:val="Privzetapisavaodstavka"/>
    <w:link w:val="Sprotnaopomba-besedilo"/>
    <w:rsid w:val="00D91D1F"/>
    <w:rPr>
      <w:rFonts w:ascii="Tahoma" w:hAnsi="Tahoma"/>
      <w:lang w:eastAsia="ar-SA"/>
    </w:rPr>
  </w:style>
  <w:style w:type="character" w:styleId="Sprotnaopomba-sklic">
    <w:name w:val="footnote reference"/>
    <w:rsid w:val="00D91D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043B6"/>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Poglavje1,Heading 1si"/>
    <w:basedOn w:val="Navaden"/>
    <w:next w:val="Navaden"/>
    <w:link w:val="Naslov1Znak"/>
    <w:uiPriority w:val="9"/>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2">
    <w:name w:val="heading 2"/>
    <w:basedOn w:val="Navaden"/>
    <w:next w:val="Navaden"/>
    <w:link w:val="Naslov2Znak"/>
    <w:qFormat/>
    <w:rsid w:val="00D91D1F"/>
    <w:pPr>
      <w:keepNext/>
      <w:spacing w:before="240" w:after="60"/>
      <w:ind w:left="576" w:hanging="576"/>
      <w:outlineLvl w:val="1"/>
    </w:pPr>
    <w:rPr>
      <w:rFonts w:ascii="Tahoma" w:hAnsi="Tahoma"/>
      <w:b/>
      <w:bCs/>
      <w:iCs/>
      <w:sz w:val="22"/>
      <w:szCs w:val="28"/>
    </w:rPr>
  </w:style>
  <w:style w:type="paragraph" w:styleId="Naslov3">
    <w:name w:val="heading 3"/>
    <w:basedOn w:val="Navaden"/>
    <w:next w:val="Navaden"/>
    <w:link w:val="Naslov3Znak"/>
    <w:qFormat/>
    <w:rsid w:val="00D91D1F"/>
    <w:pPr>
      <w:keepNext/>
      <w:spacing w:before="240" w:after="60"/>
      <w:ind w:left="720" w:hanging="720"/>
      <w:outlineLvl w:val="2"/>
    </w:pPr>
    <w:rPr>
      <w:rFonts w:ascii="Cambria" w:hAnsi="Cambria"/>
      <w:b/>
      <w:bCs/>
      <w:sz w:val="26"/>
      <w:szCs w:val="26"/>
    </w:rPr>
  </w:style>
  <w:style w:type="paragraph" w:styleId="Naslov4">
    <w:name w:val="heading 4"/>
    <w:basedOn w:val="Navaden"/>
    <w:next w:val="Navaden"/>
    <w:link w:val="Naslov4Znak"/>
    <w:unhideWhenUsed/>
    <w:qFormat/>
    <w:rsid w:val="00B1296C"/>
    <w:pPr>
      <w:keepNext/>
      <w:keepLines/>
      <w:spacing w:before="200"/>
      <w:outlineLvl w:val="3"/>
    </w:pPr>
    <w:rPr>
      <w:rFonts w:asciiTheme="majorHAnsi" w:eastAsiaTheme="majorEastAsia" w:hAnsiTheme="majorHAnsi" w:cstheme="majorBidi"/>
      <w:b/>
      <w:bCs/>
      <w:i/>
      <w:iCs/>
      <w:color w:val="5B9BD5" w:themeColor="accent1"/>
    </w:rPr>
  </w:style>
  <w:style w:type="paragraph" w:styleId="Naslov5">
    <w:name w:val="heading 5"/>
    <w:basedOn w:val="Navaden"/>
    <w:next w:val="Navaden"/>
    <w:link w:val="Naslov5Znak"/>
    <w:qFormat/>
    <w:rsid w:val="00D91D1F"/>
    <w:pPr>
      <w:spacing w:before="240" w:after="60"/>
      <w:ind w:left="1008" w:hanging="1008"/>
      <w:outlineLvl w:val="4"/>
    </w:pPr>
    <w:rPr>
      <w:rFonts w:ascii="Calibri" w:hAnsi="Calibri"/>
      <w:b/>
      <w:bCs/>
      <w:i/>
      <w:iCs/>
      <w:sz w:val="26"/>
      <w:szCs w:val="26"/>
    </w:rPr>
  </w:style>
  <w:style w:type="paragraph" w:styleId="Naslov6">
    <w:name w:val="heading 6"/>
    <w:basedOn w:val="Navaden"/>
    <w:next w:val="Navaden"/>
    <w:link w:val="Naslov6Znak"/>
    <w:qFormat/>
    <w:rsid w:val="00D91D1F"/>
    <w:pPr>
      <w:spacing w:before="240" w:after="60"/>
      <w:ind w:left="1152" w:hanging="1152"/>
      <w:outlineLvl w:val="5"/>
    </w:pPr>
    <w:rPr>
      <w:rFonts w:ascii="Calibri" w:hAnsi="Calibri"/>
      <w:b/>
      <w:bCs/>
      <w:sz w:val="22"/>
      <w:szCs w:val="22"/>
    </w:rPr>
  </w:style>
  <w:style w:type="paragraph" w:styleId="Naslov7">
    <w:name w:val="heading 7"/>
    <w:basedOn w:val="Navaden"/>
    <w:next w:val="Navaden"/>
    <w:link w:val="Naslov7Znak"/>
    <w:qFormat/>
    <w:rsid w:val="00D91D1F"/>
    <w:pPr>
      <w:spacing w:before="240" w:after="60"/>
      <w:ind w:left="1296" w:hanging="1296"/>
      <w:outlineLvl w:val="6"/>
    </w:pPr>
    <w:rPr>
      <w:rFonts w:ascii="Calibri" w:hAnsi="Calibri"/>
      <w:sz w:val="22"/>
    </w:rPr>
  </w:style>
  <w:style w:type="paragraph" w:styleId="Naslov8">
    <w:name w:val="heading 8"/>
    <w:basedOn w:val="Navaden"/>
    <w:next w:val="Navaden"/>
    <w:link w:val="Naslov8Znak"/>
    <w:qFormat/>
    <w:rsid w:val="00D91D1F"/>
    <w:pPr>
      <w:spacing w:before="240" w:after="60"/>
      <w:ind w:left="1440" w:hanging="1440"/>
      <w:outlineLvl w:val="7"/>
    </w:pPr>
    <w:rPr>
      <w:rFonts w:ascii="Calibri" w:hAnsi="Calibri"/>
      <w:i/>
      <w:iCs/>
      <w:sz w:val="22"/>
    </w:rPr>
  </w:style>
  <w:style w:type="paragraph" w:styleId="Naslov9">
    <w:name w:val="heading 9"/>
    <w:basedOn w:val="Navaden"/>
    <w:next w:val="Navaden"/>
    <w:link w:val="Naslov9Znak"/>
    <w:qFormat/>
    <w:rsid w:val="00D91D1F"/>
    <w:pPr>
      <w:spacing w:before="240" w:after="60"/>
      <w:ind w:left="1584" w:hanging="1584"/>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Poglavje1 Znak"/>
    <w:link w:val="Naslov1"/>
    <w:uiPriority w:val="9"/>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rsid w:val="000E138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link w:val="BesedilooblakaZnak"/>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Odstavekseznama">
    <w:name w:val="List Paragraph"/>
    <w:basedOn w:val="Navaden"/>
    <w:uiPriority w:val="34"/>
    <w:qFormat/>
    <w:rsid w:val="00ED5CC7"/>
    <w:pPr>
      <w:ind w:left="720"/>
      <w:contextualSpacing/>
    </w:pPr>
  </w:style>
  <w:style w:type="character" w:customStyle="1" w:styleId="Naslov4Znak">
    <w:name w:val="Naslov 4 Znak"/>
    <w:basedOn w:val="Privzetapisavaodstavka"/>
    <w:link w:val="Naslov4"/>
    <w:rsid w:val="00B1296C"/>
    <w:rPr>
      <w:rFonts w:asciiTheme="majorHAnsi" w:eastAsiaTheme="majorEastAsia" w:hAnsiTheme="majorHAnsi" w:cstheme="majorBidi"/>
      <w:b/>
      <w:bCs/>
      <w:i/>
      <w:iCs/>
      <w:color w:val="5B9BD5" w:themeColor="accent1"/>
      <w:sz w:val="24"/>
      <w:szCs w:val="24"/>
      <w:lang w:eastAsia="ar-SA"/>
    </w:rPr>
  </w:style>
  <w:style w:type="character" w:styleId="Besediloograde">
    <w:name w:val="Placeholder Text"/>
    <w:basedOn w:val="Privzetapisavaodstavka"/>
    <w:uiPriority w:val="99"/>
    <w:semiHidden/>
    <w:rsid w:val="00F40F30"/>
    <w:rPr>
      <w:color w:val="808080"/>
    </w:rPr>
  </w:style>
  <w:style w:type="character" w:customStyle="1" w:styleId="Naslov2Znak">
    <w:name w:val="Naslov 2 Znak"/>
    <w:basedOn w:val="Privzetapisavaodstavka"/>
    <w:link w:val="Naslov2"/>
    <w:rsid w:val="00D91D1F"/>
    <w:rPr>
      <w:rFonts w:ascii="Tahoma" w:hAnsi="Tahoma"/>
      <w:b/>
      <w:bCs/>
      <w:iCs/>
      <w:sz w:val="22"/>
      <w:szCs w:val="28"/>
      <w:lang w:eastAsia="ar-SA"/>
    </w:rPr>
  </w:style>
  <w:style w:type="character" w:customStyle="1" w:styleId="Naslov3Znak">
    <w:name w:val="Naslov 3 Znak"/>
    <w:basedOn w:val="Privzetapisavaodstavka"/>
    <w:link w:val="Naslov3"/>
    <w:rsid w:val="00D91D1F"/>
    <w:rPr>
      <w:rFonts w:ascii="Cambria" w:hAnsi="Cambria"/>
      <w:b/>
      <w:bCs/>
      <w:sz w:val="26"/>
      <w:szCs w:val="26"/>
      <w:lang w:eastAsia="ar-SA"/>
    </w:rPr>
  </w:style>
  <w:style w:type="character" w:customStyle="1" w:styleId="Naslov5Znak">
    <w:name w:val="Naslov 5 Znak"/>
    <w:basedOn w:val="Privzetapisavaodstavka"/>
    <w:link w:val="Naslov5"/>
    <w:rsid w:val="00D91D1F"/>
    <w:rPr>
      <w:rFonts w:ascii="Calibri" w:hAnsi="Calibri"/>
      <w:b/>
      <w:bCs/>
      <w:i/>
      <w:iCs/>
      <w:sz w:val="26"/>
      <w:szCs w:val="26"/>
      <w:lang w:eastAsia="ar-SA"/>
    </w:rPr>
  </w:style>
  <w:style w:type="character" w:customStyle="1" w:styleId="Naslov6Znak">
    <w:name w:val="Naslov 6 Znak"/>
    <w:basedOn w:val="Privzetapisavaodstavka"/>
    <w:link w:val="Naslov6"/>
    <w:rsid w:val="00D91D1F"/>
    <w:rPr>
      <w:rFonts w:ascii="Calibri" w:hAnsi="Calibri"/>
      <w:b/>
      <w:bCs/>
      <w:sz w:val="22"/>
      <w:szCs w:val="22"/>
      <w:lang w:eastAsia="ar-SA"/>
    </w:rPr>
  </w:style>
  <w:style w:type="character" w:customStyle="1" w:styleId="Naslov7Znak">
    <w:name w:val="Naslov 7 Znak"/>
    <w:basedOn w:val="Privzetapisavaodstavka"/>
    <w:link w:val="Naslov7"/>
    <w:rsid w:val="00D91D1F"/>
    <w:rPr>
      <w:rFonts w:ascii="Calibri" w:hAnsi="Calibri"/>
      <w:sz w:val="22"/>
      <w:szCs w:val="24"/>
      <w:lang w:eastAsia="ar-SA"/>
    </w:rPr>
  </w:style>
  <w:style w:type="character" w:customStyle="1" w:styleId="Naslov8Znak">
    <w:name w:val="Naslov 8 Znak"/>
    <w:basedOn w:val="Privzetapisavaodstavka"/>
    <w:link w:val="Naslov8"/>
    <w:rsid w:val="00D91D1F"/>
    <w:rPr>
      <w:rFonts w:ascii="Calibri" w:hAnsi="Calibri"/>
      <w:i/>
      <w:iCs/>
      <w:sz w:val="22"/>
      <w:szCs w:val="24"/>
      <w:lang w:eastAsia="ar-SA"/>
    </w:rPr>
  </w:style>
  <w:style w:type="character" w:customStyle="1" w:styleId="Naslov9Znak">
    <w:name w:val="Naslov 9 Znak"/>
    <w:basedOn w:val="Privzetapisavaodstavka"/>
    <w:link w:val="Naslov9"/>
    <w:rsid w:val="00D91D1F"/>
    <w:rPr>
      <w:rFonts w:ascii="Cambria" w:hAnsi="Cambria"/>
      <w:sz w:val="22"/>
      <w:szCs w:val="22"/>
      <w:lang w:eastAsia="ar-SA"/>
    </w:rPr>
  </w:style>
  <w:style w:type="character" w:customStyle="1" w:styleId="BesedilooblakaZnak">
    <w:name w:val="Besedilo oblačka Znak"/>
    <w:basedOn w:val="Privzetapisavaodstavka"/>
    <w:link w:val="Besedilooblaka"/>
    <w:rsid w:val="00D91D1F"/>
    <w:rPr>
      <w:rFonts w:ascii="Tahoma" w:hAnsi="Tahoma" w:cs="Tahoma"/>
      <w:sz w:val="16"/>
      <w:szCs w:val="16"/>
      <w:lang w:eastAsia="ar-SA"/>
    </w:rPr>
  </w:style>
  <w:style w:type="character" w:styleId="Pripombasklic">
    <w:name w:val="annotation reference"/>
    <w:rsid w:val="00D91D1F"/>
    <w:rPr>
      <w:sz w:val="16"/>
      <w:szCs w:val="16"/>
    </w:rPr>
  </w:style>
  <w:style w:type="paragraph" w:styleId="Pripombabesedilo">
    <w:name w:val="annotation text"/>
    <w:basedOn w:val="Navaden"/>
    <w:link w:val="PripombabesediloZnak"/>
    <w:rsid w:val="00D91D1F"/>
    <w:rPr>
      <w:rFonts w:ascii="Tahoma" w:hAnsi="Tahoma"/>
      <w:sz w:val="20"/>
      <w:szCs w:val="20"/>
    </w:rPr>
  </w:style>
  <w:style w:type="character" w:customStyle="1" w:styleId="PripombabesediloZnak">
    <w:name w:val="Pripomba – besedilo Znak"/>
    <w:basedOn w:val="Privzetapisavaodstavka"/>
    <w:link w:val="Pripombabesedilo"/>
    <w:rsid w:val="00D91D1F"/>
    <w:rPr>
      <w:rFonts w:ascii="Tahoma" w:hAnsi="Tahoma"/>
      <w:lang w:eastAsia="ar-SA"/>
    </w:rPr>
  </w:style>
  <w:style w:type="paragraph" w:styleId="Zadevapripombe">
    <w:name w:val="annotation subject"/>
    <w:basedOn w:val="Pripombabesedilo"/>
    <w:next w:val="Pripombabesedilo"/>
    <w:link w:val="ZadevapripombeZnak"/>
    <w:rsid w:val="00D91D1F"/>
    <w:rPr>
      <w:b/>
      <w:bCs/>
    </w:rPr>
  </w:style>
  <w:style w:type="character" w:customStyle="1" w:styleId="ZadevapripombeZnak">
    <w:name w:val="Zadeva pripombe Znak"/>
    <w:basedOn w:val="PripombabesediloZnak"/>
    <w:link w:val="Zadevapripombe"/>
    <w:rsid w:val="00D91D1F"/>
    <w:rPr>
      <w:rFonts w:ascii="Tahoma" w:hAnsi="Tahoma"/>
      <w:b/>
      <w:bCs/>
      <w:lang w:eastAsia="ar-SA"/>
    </w:rPr>
  </w:style>
  <w:style w:type="paragraph" w:styleId="Revizija">
    <w:name w:val="Revision"/>
    <w:hidden/>
    <w:uiPriority w:val="99"/>
    <w:semiHidden/>
    <w:rsid w:val="00D91D1F"/>
    <w:rPr>
      <w:sz w:val="24"/>
      <w:szCs w:val="24"/>
      <w:lang w:eastAsia="ar-SA"/>
    </w:rPr>
  </w:style>
  <w:style w:type="character" w:customStyle="1" w:styleId="GlavaZnak">
    <w:name w:val="Glava Znak"/>
    <w:basedOn w:val="Privzetapisavaodstavka"/>
    <w:link w:val="Glava"/>
    <w:uiPriority w:val="99"/>
    <w:rsid w:val="00D91D1F"/>
    <w:rPr>
      <w:rFonts w:ascii="Arial" w:hAnsi="Arial"/>
      <w:szCs w:val="24"/>
      <w:lang w:val="en-US" w:eastAsia="en-US"/>
    </w:rPr>
  </w:style>
  <w:style w:type="paragraph" w:styleId="NaslovTOC">
    <w:name w:val="TOC Heading"/>
    <w:basedOn w:val="Naslov1"/>
    <w:next w:val="Navaden"/>
    <w:uiPriority w:val="39"/>
    <w:qFormat/>
    <w:rsid w:val="00D91D1F"/>
    <w:pPr>
      <w:keepLines/>
      <w:overflowPunct/>
      <w:autoSpaceDE/>
      <w:autoSpaceDN/>
      <w:adjustRightInd/>
      <w:spacing w:before="480" w:after="0" w:line="276" w:lineRule="auto"/>
      <w:ind w:left="432" w:hanging="432"/>
      <w:jc w:val="left"/>
      <w:textAlignment w:val="auto"/>
      <w:outlineLvl w:val="9"/>
    </w:pPr>
    <w:rPr>
      <w:rFonts w:ascii="Tahoma" w:hAnsi="Tahoma" w:cs="Times New Roman"/>
      <w:caps/>
      <w:color w:val="365F91"/>
      <w:kern w:val="0"/>
      <w:sz w:val="28"/>
      <w:szCs w:val="28"/>
      <w:lang w:eastAsia="sl-SI"/>
    </w:rPr>
  </w:style>
  <w:style w:type="paragraph" w:styleId="Naslov">
    <w:name w:val="Title"/>
    <w:basedOn w:val="Navaden"/>
    <w:next w:val="Navaden"/>
    <w:link w:val="NaslovZnak"/>
    <w:qFormat/>
    <w:rsid w:val="00D91D1F"/>
    <w:pPr>
      <w:spacing w:before="240" w:after="60"/>
      <w:jc w:val="center"/>
      <w:outlineLvl w:val="0"/>
    </w:pPr>
    <w:rPr>
      <w:rFonts w:ascii="Tahoma" w:hAnsi="Tahoma"/>
      <w:b/>
      <w:bCs/>
      <w:kern w:val="28"/>
      <w:sz w:val="28"/>
      <w:szCs w:val="32"/>
    </w:rPr>
  </w:style>
  <w:style w:type="character" w:customStyle="1" w:styleId="NaslovZnak">
    <w:name w:val="Naslov Znak"/>
    <w:basedOn w:val="Privzetapisavaodstavka"/>
    <w:link w:val="Naslov"/>
    <w:rsid w:val="00D91D1F"/>
    <w:rPr>
      <w:rFonts w:ascii="Tahoma" w:hAnsi="Tahoma"/>
      <w:b/>
      <w:bCs/>
      <w:kern w:val="28"/>
      <w:sz w:val="28"/>
      <w:szCs w:val="32"/>
      <w:lang w:eastAsia="ar-SA"/>
    </w:rPr>
  </w:style>
  <w:style w:type="paragraph" w:styleId="Kazalovsebine1">
    <w:name w:val="toc 1"/>
    <w:basedOn w:val="Navaden"/>
    <w:next w:val="Navaden"/>
    <w:autoRedefine/>
    <w:uiPriority w:val="39"/>
    <w:rsid w:val="00D91D1F"/>
    <w:pPr>
      <w:tabs>
        <w:tab w:val="left" w:pos="426"/>
        <w:tab w:val="right" w:leader="dot" w:pos="9062"/>
      </w:tabs>
      <w:ind w:left="426" w:hanging="426"/>
    </w:pPr>
    <w:rPr>
      <w:rFonts w:ascii="Tahoma" w:hAnsi="Tahoma"/>
      <w:sz w:val="22"/>
    </w:rPr>
  </w:style>
  <w:style w:type="paragraph" w:styleId="Kazalovsebine2">
    <w:name w:val="toc 2"/>
    <w:basedOn w:val="Navaden"/>
    <w:next w:val="Navaden"/>
    <w:autoRedefine/>
    <w:uiPriority w:val="39"/>
    <w:rsid w:val="00D91D1F"/>
    <w:pPr>
      <w:ind w:left="240"/>
    </w:pPr>
    <w:rPr>
      <w:rFonts w:ascii="Tahoma" w:hAnsi="Tahoma"/>
      <w:sz w:val="22"/>
    </w:rPr>
  </w:style>
  <w:style w:type="paragraph" w:styleId="Napis">
    <w:name w:val="caption"/>
    <w:basedOn w:val="Navaden"/>
    <w:next w:val="Navaden"/>
    <w:qFormat/>
    <w:rsid w:val="00D91D1F"/>
    <w:rPr>
      <w:rFonts w:ascii="Tahoma" w:hAnsi="Tahoma"/>
      <w:b/>
      <w:bCs/>
      <w:sz w:val="20"/>
      <w:szCs w:val="20"/>
    </w:rPr>
  </w:style>
  <w:style w:type="character" w:customStyle="1" w:styleId="apple-converted-space">
    <w:name w:val="apple-converted-space"/>
    <w:rsid w:val="00D91D1F"/>
  </w:style>
  <w:style w:type="paragraph" w:customStyle="1" w:styleId="esegmenth4">
    <w:name w:val="esegment_h4"/>
    <w:basedOn w:val="Navaden"/>
    <w:rsid w:val="00D91D1F"/>
    <w:pPr>
      <w:suppressAutoHyphens w:val="0"/>
      <w:spacing w:before="100" w:beforeAutospacing="1" w:after="100" w:afterAutospacing="1"/>
    </w:pPr>
    <w:rPr>
      <w:lang w:val="en-GB" w:eastAsia="en-GB"/>
    </w:rPr>
  </w:style>
  <w:style w:type="paragraph" w:styleId="Navadensplet">
    <w:name w:val="Normal (Web)"/>
    <w:basedOn w:val="Navaden"/>
    <w:uiPriority w:val="99"/>
    <w:unhideWhenUsed/>
    <w:rsid w:val="00D91D1F"/>
    <w:pPr>
      <w:suppressAutoHyphens w:val="0"/>
      <w:spacing w:before="100" w:beforeAutospacing="1" w:after="100" w:afterAutospacing="1"/>
    </w:pPr>
    <w:rPr>
      <w:lang w:val="en-GB" w:eastAsia="en-GB"/>
    </w:rPr>
  </w:style>
  <w:style w:type="paragraph" w:customStyle="1" w:styleId="Odstavek">
    <w:name w:val="Odstavek"/>
    <w:basedOn w:val="Navaden"/>
    <w:link w:val="OdstavekZnak"/>
    <w:qFormat/>
    <w:rsid w:val="00D91D1F"/>
    <w:pPr>
      <w:suppressAutoHyphens w:val="0"/>
      <w:overflowPunct w:val="0"/>
      <w:autoSpaceDE w:val="0"/>
      <w:autoSpaceDN w:val="0"/>
      <w:adjustRightInd w:val="0"/>
      <w:spacing w:before="240"/>
      <w:ind w:firstLine="1021"/>
      <w:jc w:val="both"/>
      <w:textAlignment w:val="baseline"/>
    </w:pPr>
    <w:rPr>
      <w:rFonts w:ascii="Arial" w:hAnsi="Arial" w:cs="Arial"/>
      <w:sz w:val="22"/>
      <w:szCs w:val="22"/>
      <w:lang w:eastAsia="sl-SI"/>
    </w:rPr>
  </w:style>
  <w:style w:type="character" w:customStyle="1" w:styleId="OdstavekZnak">
    <w:name w:val="Odstavek Znak"/>
    <w:link w:val="Odstavek"/>
    <w:rsid w:val="00D91D1F"/>
    <w:rPr>
      <w:rFonts w:ascii="Arial" w:hAnsi="Arial" w:cs="Arial"/>
      <w:sz w:val="22"/>
      <w:szCs w:val="22"/>
    </w:rPr>
  </w:style>
  <w:style w:type="character" w:styleId="Neensklic">
    <w:name w:val="Subtle Reference"/>
    <w:uiPriority w:val="31"/>
    <w:qFormat/>
    <w:rsid w:val="00D91D1F"/>
    <w:rPr>
      <w:smallCaps/>
      <w:color w:val="C0504D"/>
      <w:u w:val="single"/>
    </w:rPr>
  </w:style>
  <w:style w:type="paragraph" w:styleId="Sprotnaopomba-besedilo">
    <w:name w:val="footnote text"/>
    <w:basedOn w:val="Navaden"/>
    <w:link w:val="Sprotnaopomba-besediloZnak"/>
    <w:rsid w:val="00D91D1F"/>
    <w:rPr>
      <w:rFonts w:ascii="Tahoma" w:hAnsi="Tahoma"/>
      <w:sz w:val="20"/>
      <w:szCs w:val="20"/>
    </w:rPr>
  </w:style>
  <w:style w:type="character" w:customStyle="1" w:styleId="Sprotnaopomba-besediloZnak">
    <w:name w:val="Sprotna opomba - besedilo Znak"/>
    <w:basedOn w:val="Privzetapisavaodstavka"/>
    <w:link w:val="Sprotnaopomba-besedilo"/>
    <w:rsid w:val="00D91D1F"/>
    <w:rPr>
      <w:rFonts w:ascii="Tahoma" w:hAnsi="Tahoma"/>
      <w:lang w:eastAsia="ar-SA"/>
    </w:rPr>
  </w:style>
  <w:style w:type="character" w:styleId="Sprotnaopomba-sklic">
    <w:name w:val="footnote reference"/>
    <w:rsid w:val="00D91D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7536">
      <w:bodyDiv w:val="1"/>
      <w:marLeft w:val="0"/>
      <w:marRight w:val="0"/>
      <w:marTop w:val="0"/>
      <w:marBottom w:val="0"/>
      <w:divBdr>
        <w:top w:val="none" w:sz="0" w:space="0" w:color="auto"/>
        <w:left w:val="none" w:sz="0" w:space="0" w:color="auto"/>
        <w:bottom w:val="none" w:sz="0" w:space="0" w:color="auto"/>
        <w:right w:val="none" w:sz="0" w:space="0" w:color="auto"/>
      </w:divBdr>
    </w:div>
    <w:div w:id="186800805">
      <w:bodyDiv w:val="1"/>
      <w:marLeft w:val="0"/>
      <w:marRight w:val="0"/>
      <w:marTop w:val="0"/>
      <w:marBottom w:val="0"/>
      <w:divBdr>
        <w:top w:val="none" w:sz="0" w:space="0" w:color="auto"/>
        <w:left w:val="none" w:sz="0" w:space="0" w:color="auto"/>
        <w:bottom w:val="none" w:sz="0" w:space="0" w:color="auto"/>
        <w:right w:val="none" w:sz="0" w:space="0" w:color="auto"/>
      </w:divBdr>
    </w:div>
    <w:div w:id="197544342">
      <w:bodyDiv w:val="1"/>
      <w:marLeft w:val="0"/>
      <w:marRight w:val="0"/>
      <w:marTop w:val="0"/>
      <w:marBottom w:val="0"/>
      <w:divBdr>
        <w:top w:val="none" w:sz="0" w:space="0" w:color="auto"/>
        <w:left w:val="none" w:sz="0" w:space="0" w:color="auto"/>
        <w:bottom w:val="none" w:sz="0" w:space="0" w:color="auto"/>
        <w:right w:val="none" w:sz="0" w:space="0" w:color="auto"/>
      </w:divBdr>
      <w:divsChild>
        <w:div w:id="156844108">
          <w:marLeft w:val="0"/>
          <w:marRight w:val="0"/>
          <w:marTop w:val="0"/>
          <w:marBottom w:val="0"/>
          <w:divBdr>
            <w:top w:val="none" w:sz="0" w:space="0" w:color="auto"/>
            <w:left w:val="none" w:sz="0" w:space="0" w:color="auto"/>
            <w:bottom w:val="none" w:sz="0" w:space="0" w:color="auto"/>
            <w:right w:val="none" w:sz="0" w:space="0" w:color="auto"/>
          </w:divBdr>
          <w:divsChild>
            <w:div w:id="1516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8200">
      <w:bodyDiv w:val="1"/>
      <w:marLeft w:val="0"/>
      <w:marRight w:val="0"/>
      <w:marTop w:val="0"/>
      <w:marBottom w:val="0"/>
      <w:divBdr>
        <w:top w:val="none" w:sz="0" w:space="0" w:color="auto"/>
        <w:left w:val="none" w:sz="0" w:space="0" w:color="auto"/>
        <w:bottom w:val="none" w:sz="0" w:space="0" w:color="auto"/>
        <w:right w:val="none" w:sz="0" w:space="0" w:color="auto"/>
      </w:divBdr>
    </w:div>
    <w:div w:id="428894284">
      <w:bodyDiv w:val="1"/>
      <w:marLeft w:val="0"/>
      <w:marRight w:val="0"/>
      <w:marTop w:val="0"/>
      <w:marBottom w:val="0"/>
      <w:divBdr>
        <w:top w:val="none" w:sz="0" w:space="0" w:color="auto"/>
        <w:left w:val="none" w:sz="0" w:space="0" w:color="auto"/>
        <w:bottom w:val="none" w:sz="0" w:space="0" w:color="auto"/>
        <w:right w:val="none" w:sz="0" w:space="0" w:color="auto"/>
      </w:divBdr>
    </w:div>
    <w:div w:id="480193486">
      <w:bodyDiv w:val="1"/>
      <w:marLeft w:val="0"/>
      <w:marRight w:val="0"/>
      <w:marTop w:val="0"/>
      <w:marBottom w:val="0"/>
      <w:divBdr>
        <w:top w:val="none" w:sz="0" w:space="0" w:color="auto"/>
        <w:left w:val="none" w:sz="0" w:space="0" w:color="auto"/>
        <w:bottom w:val="none" w:sz="0" w:space="0" w:color="auto"/>
        <w:right w:val="none" w:sz="0" w:space="0" w:color="auto"/>
      </w:divBdr>
    </w:div>
    <w:div w:id="697004019">
      <w:bodyDiv w:val="1"/>
      <w:marLeft w:val="0"/>
      <w:marRight w:val="0"/>
      <w:marTop w:val="0"/>
      <w:marBottom w:val="0"/>
      <w:divBdr>
        <w:top w:val="none" w:sz="0" w:space="0" w:color="auto"/>
        <w:left w:val="none" w:sz="0" w:space="0" w:color="auto"/>
        <w:bottom w:val="none" w:sz="0" w:space="0" w:color="auto"/>
        <w:right w:val="none" w:sz="0" w:space="0" w:color="auto"/>
      </w:divBdr>
    </w:div>
    <w:div w:id="724068159">
      <w:bodyDiv w:val="1"/>
      <w:marLeft w:val="0"/>
      <w:marRight w:val="0"/>
      <w:marTop w:val="0"/>
      <w:marBottom w:val="0"/>
      <w:divBdr>
        <w:top w:val="none" w:sz="0" w:space="0" w:color="auto"/>
        <w:left w:val="none" w:sz="0" w:space="0" w:color="auto"/>
        <w:bottom w:val="none" w:sz="0" w:space="0" w:color="auto"/>
        <w:right w:val="none" w:sz="0" w:space="0" w:color="auto"/>
      </w:divBdr>
    </w:div>
    <w:div w:id="771361623">
      <w:bodyDiv w:val="1"/>
      <w:marLeft w:val="0"/>
      <w:marRight w:val="0"/>
      <w:marTop w:val="0"/>
      <w:marBottom w:val="0"/>
      <w:divBdr>
        <w:top w:val="none" w:sz="0" w:space="0" w:color="auto"/>
        <w:left w:val="none" w:sz="0" w:space="0" w:color="auto"/>
        <w:bottom w:val="none" w:sz="0" w:space="0" w:color="auto"/>
        <w:right w:val="none" w:sz="0" w:space="0" w:color="auto"/>
      </w:divBdr>
    </w:div>
    <w:div w:id="785080026">
      <w:bodyDiv w:val="1"/>
      <w:marLeft w:val="0"/>
      <w:marRight w:val="0"/>
      <w:marTop w:val="0"/>
      <w:marBottom w:val="0"/>
      <w:divBdr>
        <w:top w:val="none" w:sz="0" w:space="0" w:color="auto"/>
        <w:left w:val="none" w:sz="0" w:space="0" w:color="auto"/>
        <w:bottom w:val="none" w:sz="0" w:space="0" w:color="auto"/>
        <w:right w:val="none" w:sz="0" w:space="0" w:color="auto"/>
      </w:divBdr>
    </w:div>
    <w:div w:id="821506739">
      <w:bodyDiv w:val="1"/>
      <w:marLeft w:val="0"/>
      <w:marRight w:val="0"/>
      <w:marTop w:val="0"/>
      <w:marBottom w:val="0"/>
      <w:divBdr>
        <w:top w:val="none" w:sz="0" w:space="0" w:color="auto"/>
        <w:left w:val="none" w:sz="0" w:space="0" w:color="auto"/>
        <w:bottom w:val="none" w:sz="0" w:space="0" w:color="auto"/>
        <w:right w:val="none" w:sz="0" w:space="0" w:color="auto"/>
      </w:divBdr>
    </w:div>
    <w:div w:id="829951877">
      <w:bodyDiv w:val="1"/>
      <w:marLeft w:val="0"/>
      <w:marRight w:val="0"/>
      <w:marTop w:val="0"/>
      <w:marBottom w:val="0"/>
      <w:divBdr>
        <w:top w:val="none" w:sz="0" w:space="0" w:color="auto"/>
        <w:left w:val="none" w:sz="0" w:space="0" w:color="auto"/>
        <w:bottom w:val="none" w:sz="0" w:space="0" w:color="auto"/>
        <w:right w:val="none" w:sz="0" w:space="0" w:color="auto"/>
      </w:divBdr>
    </w:div>
    <w:div w:id="944918447">
      <w:bodyDiv w:val="1"/>
      <w:marLeft w:val="0"/>
      <w:marRight w:val="0"/>
      <w:marTop w:val="0"/>
      <w:marBottom w:val="0"/>
      <w:divBdr>
        <w:top w:val="none" w:sz="0" w:space="0" w:color="auto"/>
        <w:left w:val="none" w:sz="0" w:space="0" w:color="auto"/>
        <w:bottom w:val="none" w:sz="0" w:space="0" w:color="auto"/>
        <w:right w:val="none" w:sz="0" w:space="0" w:color="auto"/>
      </w:divBdr>
      <w:divsChild>
        <w:div w:id="209849194">
          <w:marLeft w:val="547"/>
          <w:marRight w:val="0"/>
          <w:marTop w:val="120"/>
          <w:marBottom w:val="0"/>
          <w:divBdr>
            <w:top w:val="none" w:sz="0" w:space="0" w:color="auto"/>
            <w:left w:val="none" w:sz="0" w:space="0" w:color="auto"/>
            <w:bottom w:val="none" w:sz="0" w:space="0" w:color="auto"/>
            <w:right w:val="none" w:sz="0" w:space="0" w:color="auto"/>
          </w:divBdr>
        </w:div>
        <w:div w:id="45421456">
          <w:marLeft w:val="547"/>
          <w:marRight w:val="0"/>
          <w:marTop w:val="120"/>
          <w:marBottom w:val="0"/>
          <w:divBdr>
            <w:top w:val="none" w:sz="0" w:space="0" w:color="auto"/>
            <w:left w:val="none" w:sz="0" w:space="0" w:color="auto"/>
            <w:bottom w:val="none" w:sz="0" w:space="0" w:color="auto"/>
            <w:right w:val="none" w:sz="0" w:space="0" w:color="auto"/>
          </w:divBdr>
        </w:div>
        <w:div w:id="1860896741">
          <w:marLeft w:val="547"/>
          <w:marRight w:val="0"/>
          <w:marTop w:val="120"/>
          <w:marBottom w:val="0"/>
          <w:divBdr>
            <w:top w:val="none" w:sz="0" w:space="0" w:color="auto"/>
            <w:left w:val="none" w:sz="0" w:space="0" w:color="auto"/>
            <w:bottom w:val="none" w:sz="0" w:space="0" w:color="auto"/>
            <w:right w:val="none" w:sz="0" w:space="0" w:color="auto"/>
          </w:divBdr>
        </w:div>
        <w:div w:id="1347054838">
          <w:marLeft w:val="547"/>
          <w:marRight w:val="0"/>
          <w:marTop w:val="120"/>
          <w:marBottom w:val="0"/>
          <w:divBdr>
            <w:top w:val="none" w:sz="0" w:space="0" w:color="auto"/>
            <w:left w:val="none" w:sz="0" w:space="0" w:color="auto"/>
            <w:bottom w:val="none" w:sz="0" w:space="0" w:color="auto"/>
            <w:right w:val="none" w:sz="0" w:space="0" w:color="auto"/>
          </w:divBdr>
        </w:div>
        <w:div w:id="964312600">
          <w:marLeft w:val="547"/>
          <w:marRight w:val="0"/>
          <w:marTop w:val="120"/>
          <w:marBottom w:val="0"/>
          <w:divBdr>
            <w:top w:val="none" w:sz="0" w:space="0" w:color="auto"/>
            <w:left w:val="none" w:sz="0" w:space="0" w:color="auto"/>
            <w:bottom w:val="none" w:sz="0" w:space="0" w:color="auto"/>
            <w:right w:val="none" w:sz="0" w:space="0" w:color="auto"/>
          </w:divBdr>
        </w:div>
      </w:divsChild>
    </w:div>
    <w:div w:id="1037311898">
      <w:bodyDiv w:val="1"/>
      <w:marLeft w:val="0"/>
      <w:marRight w:val="0"/>
      <w:marTop w:val="0"/>
      <w:marBottom w:val="0"/>
      <w:divBdr>
        <w:top w:val="none" w:sz="0" w:space="0" w:color="auto"/>
        <w:left w:val="none" w:sz="0" w:space="0" w:color="auto"/>
        <w:bottom w:val="none" w:sz="0" w:space="0" w:color="auto"/>
        <w:right w:val="none" w:sz="0" w:space="0" w:color="auto"/>
      </w:divBdr>
    </w:div>
    <w:div w:id="1073812973">
      <w:bodyDiv w:val="1"/>
      <w:marLeft w:val="0"/>
      <w:marRight w:val="0"/>
      <w:marTop w:val="0"/>
      <w:marBottom w:val="0"/>
      <w:divBdr>
        <w:top w:val="none" w:sz="0" w:space="0" w:color="auto"/>
        <w:left w:val="none" w:sz="0" w:space="0" w:color="auto"/>
        <w:bottom w:val="none" w:sz="0" w:space="0" w:color="auto"/>
        <w:right w:val="none" w:sz="0" w:space="0" w:color="auto"/>
      </w:divBdr>
    </w:div>
    <w:div w:id="1138063519">
      <w:bodyDiv w:val="1"/>
      <w:marLeft w:val="0"/>
      <w:marRight w:val="0"/>
      <w:marTop w:val="0"/>
      <w:marBottom w:val="0"/>
      <w:divBdr>
        <w:top w:val="none" w:sz="0" w:space="0" w:color="auto"/>
        <w:left w:val="none" w:sz="0" w:space="0" w:color="auto"/>
        <w:bottom w:val="none" w:sz="0" w:space="0" w:color="auto"/>
        <w:right w:val="none" w:sz="0" w:space="0" w:color="auto"/>
      </w:divBdr>
    </w:div>
    <w:div w:id="1147821088">
      <w:bodyDiv w:val="1"/>
      <w:marLeft w:val="0"/>
      <w:marRight w:val="0"/>
      <w:marTop w:val="0"/>
      <w:marBottom w:val="0"/>
      <w:divBdr>
        <w:top w:val="none" w:sz="0" w:space="0" w:color="auto"/>
        <w:left w:val="none" w:sz="0" w:space="0" w:color="auto"/>
        <w:bottom w:val="none" w:sz="0" w:space="0" w:color="auto"/>
        <w:right w:val="none" w:sz="0" w:space="0" w:color="auto"/>
      </w:divBdr>
    </w:div>
    <w:div w:id="1179736288">
      <w:bodyDiv w:val="1"/>
      <w:marLeft w:val="0"/>
      <w:marRight w:val="0"/>
      <w:marTop w:val="0"/>
      <w:marBottom w:val="0"/>
      <w:divBdr>
        <w:top w:val="none" w:sz="0" w:space="0" w:color="auto"/>
        <w:left w:val="none" w:sz="0" w:space="0" w:color="auto"/>
        <w:bottom w:val="none" w:sz="0" w:space="0" w:color="auto"/>
        <w:right w:val="none" w:sz="0" w:space="0" w:color="auto"/>
      </w:divBdr>
    </w:div>
    <w:div w:id="1355500669">
      <w:bodyDiv w:val="1"/>
      <w:marLeft w:val="0"/>
      <w:marRight w:val="0"/>
      <w:marTop w:val="0"/>
      <w:marBottom w:val="0"/>
      <w:divBdr>
        <w:top w:val="none" w:sz="0" w:space="0" w:color="auto"/>
        <w:left w:val="none" w:sz="0" w:space="0" w:color="auto"/>
        <w:bottom w:val="none" w:sz="0" w:space="0" w:color="auto"/>
        <w:right w:val="none" w:sz="0" w:space="0" w:color="auto"/>
      </w:divBdr>
    </w:div>
    <w:div w:id="1693534222">
      <w:bodyDiv w:val="1"/>
      <w:marLeft w:val="0"/>
      <w:marRight w:val="0"/>
      <w:marTop w:val="0"/>
      <w:marBottom w:val="0"/>
      <w:divBdr>
        <w:top w:val="none" w:sz="0" w:space="0" w:color="auto"/>
        <w:left w:val="none" w:sz="0" w:space="0" w:color="auto"/>
        <w:bottom w:val="none" w:sz="0" w:space="0" w:color="auto"/>
        <w:right w:val="none" w:sz="0" w:space="0" w:color="auto"/>
      </w:divBdr>
    </w:div>
    <w:div w:id="1827434868">
      <w:bodyDiv w:val="1"/>
      <w:marLeft w:val="0"/>
      <w:marRight w:val="0"/>
      <w:marTop w:val="0"/>
      <w:marBottom w:val="0"/>
      <w:divBdr>
        <w:top w:val="none" w:sz="0" w:space="0" w:color="auto"/>
        <w:left w:val="none" w:sz="0" w:space="0" w:color="auto"/>
        <w:bottom w:val="none" w:sz="0" w:space="0" w:color="auto"/>
        <w:right w:val="none" w:sz="0" w:space="0" w:color="auto"/>
      </w:divBdr>
      <w:divsChild>
        <w:div w:id="1541893911">
          <w:marLeft w:val="0"/>
          <w:marRight w:val="0"/>
          <w:marTop w:val="0"/>
          <w:marBottom w:val="0"/>
          <w:divBdr>
            <w:top w:val="none" w:sz="0" w:space="0" w:color="auto"/>
            <w:left w:val="none" w:sz="0" w:space="0" w:color="auto"/>
            <w:bottom w:val="none" w:sz="0" w:space="0" w:color="auto"/>
            <w:right w:val="none" w:sz="0" w:space="0" w:color="auto"/>
          </w:divBdr>
          <w:divsChild>
            <w:div w:id="778723410">
              <w:marLeft w:val="0"/>
              <w:marRight w:val="0"/>
              <w:marTop w:val="100"/>
              <w:marBottom w:val="100"/>
              <w:divBdr>
                <w:top w:val="none" w:sz="0" w:space="0" w:color="auto"/>
                <w:left w:val="none" w:sz="0" w:space="0" w:color="auto"/>
                <w:bottom w:val="none" w:sz="0" w:space="0" w:color="auto"/>
                <w:right w:val="none" w:sz="0" w:space="0" w:color="auto"/>
              </w:divBdr>
              <w:divsChild>
                <w:div w:id="154298960">
                  <w:marLeft w:val="0"/>
                  <w:marRight w:val="0"/>
                  <w:marTop w:val="0"/>
                  <w:marBottom w:val="0"/>
                  <w:divBdr>
                    <w:top w:val="none" w:sz="0" w:space="0" w:color="auto"/>
                    <w:left w:val="none" w:sz="0" w:space="0" w:color="auto"/>
                    <w:bottom w:val="none" w:sz="0" w:space="0" w:color="auto"/>
                    <w:right w:val="none" w:sz="0" w:space="0" w:color="auto"/>
                  </w:divBdr>
                  <w:divsChild>
                    <w:div w:id="148786048">
                      <w:marLeft w:val="0"/>
                      <w:marRight w:val="0"/>
                      <w:marTop w:val="0"/>
                      <w:marBottom w:val="0"/>
                      <w:divBdr>
                        <w:top w:val="none" w:sz="0" w:space="0" w:color="auto"/>
                        <w:left w:val="none" w:sz="0" w:space="0" w:color="auto"/>
                        <w:bottom w:val="none" w:sz="0" w:space="0" w:color="auto"/>
                        <w:right w:val="none" w:sz="0" w:space="0" w:color="auto"/>
                      </w:divBdr>
                      <w:divsChild>
                        <w:div w:id="211424291">
                          <w:marLeft w:val="0"/>
                          <w:marRight w:val="0"/>
                          <w:marTop w:val="0"/>
                          <w:marBottom w:val="0"/>
                          <w:divBdr>
                            <w:top w:val="none" w:sz="0" w:space="0" w:color="auto"/>
                            <w:left w:val="none" w:sz="0" w:space="0" w:color="auto"/>
                            <w:bottom w:val="none" w:sz="0" w:space="0" w:color="auto"/>
                            <w:right w:val="none" w:sz="0" w:space="0" w:color="auto"/>
                          </w:divBdr>
                          <w:divsChild>
                            <w:div w:id="1054428593">
                              <w:marLeft w:val="0"/>
                              <w:marRight w:val="0"/>
                              <w:marTop w:val="0"/>
                              <w:marBottom w:val="0"/>
                              <w:divBdr>
                                <w:top w:val="none" w:sz="0" w:space="0" w:color="auto"/>
                                <w:left w:val="none" w:sz="0" w:space="0" w:color="auto"/>
                                <w:bottom w:val="none" w:sz="0" w:space="0" w:color="auto"/>
                                <w:right w:val="none" w:sz="0" w:space="0" w:color="auto"/>
                              </w:divBdr>
                              <w:divsChild>
                                <w:div w:id="2102026932">
                                  <w:marLeft w:val="0"/>
                                  <w:marRight w:val="0"/>
                                  <w:marTop w:val="0"/>
                                  <w:marBottom w:val="0"/>
                                  <w:divBdr>
                                    <w:top w:val="none" w:sz="0" w:space="0" w:color="auto"/>
                                    <w:left w:val="none" w:sz="0" w:space="0" w:color="auto"/>
                                    <w:bottom w:val="none" w:sz="0" w:space="0" w:color="auto"/>
                                    <w:right w:val="none" w:sz="0" w:space="0" w:color="auto"/>
                                  </w:divBdr>
                                  <w:divsChild>
                                    <w:div w:id="395250365">
                                      <w:marLeft w:val="0"/>
                                      <w:marRight w:val="0"/>
                                      <w:marTop w:val="0"/>
                                      <w:marBottom w:val="0"/>
                                      <w:divBdr>
                                        <w:top w:val="none" w:sz="0" w:space="0" w:color="auto"/>
                                        <w:left w:val="none" w:sz="0" w:space="0" w:color="auto"/>
                                        <w:bottom w:val="none" w:sz="0" w:space="0" w:color="auto"/>
                                        <w:right w:val="none" w:sz="0" w:space="0" w:color="auto"/>
                                      </w:divBdr>
                                      <w:divsChild>
                                        <w:div w:id="5847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238665">
      <w:bodyDiv w:val="1"/>
      <w:marLeft w:val="0"/>
      <w:marRight w:val="0"/>
      <w:marTop w:val="0"/>
      <w:marBottom w:val="0"/>
      <w:divBdr>
        <w:top w:val="none" w:sz="0" w:space="0" w:color="auto"/>
        <w:left w:val="none" w:sz="0" w:space="0" w:color="auto"/>
        <w:bottom w:val="none" w:sz="0" w:space="0" w:color="auto"/>
        <w:right w:val="none" w:sz="0" w:space="0" w:color="auto"/>
      </w:divBdr>
      <w:divsChild>
        <w:div w:id="963392715">
          <w:marLeft w:val="547"/>
          <w:marRight w:val="0"/>
          <w:marTop w:val="154"/>
          <w:marBottom w:val="0"/>
          <w:divBdr>
            <w:top w:val="none" w:sz="0" w:space="0" w:color="auto"/>
            <w:left w:val="none" w:sz="0" w:space="0" w:color="auto"/>
            <w:bottom w:val="none" w:sz="0" w:space="0" w:color="auto"/>
            <w:right w:val="none" w:sz="0" w:space="0" w:color="auto"/>
          </w:divBdr>
        </w:div>
        <w:div w:id="1657411705">
          <w:marLeft w:val="547"/>
          <w:marRight w:val="0"/>
          <w:marTop w:val="154"/>
          <w:marBottom w:val="0"/>
          <w:divBdr>
            <w:top w:val="none" w:sz="0" w:space="0" w:color="auto"/>
            <w:left w:val="none" w:sz="0" w:space="0" w:color="auto"/>
            <w:bottom w:val="none" w:sz="0" w:space="0" w:color="auto"/>
            <w:right w:val="none" w:sz="0" w:space="0" w:color="auto"/>
          </w:divBdr>
        </w:div>
      </w:divsChild>
    </w:div>
    <w:div w:id="2015956167">
      <w:bodyDiv w:val="1"/>
      <w:marLeft w:val="0"/>
      <w:marRight w:val="0"/>
      <w:marTop w:val="0"/>
      <w:marBottom w:val="0"/>
      <w:divBdr>
        <w:top w:val="none" w:sz="0" w:space="0" w:color="auto"/>
        <w:left w:val="none" w:sz="0" w:space="0" w:color="auto"/>
        <w:bottom w:val="none" w:sz="0" w:space="0" w:color="auto"/>
        <w:right w:val="none" w:sz="0" w:space="0" w:color="auto"/>
      </w:divBdr>
    </w:div>
    <w:div w:id="2067869600">
      <w:bodyDiv w:val="1"/>
      <w:marLeft w:val="0"/>
      <w:marRight w:val="0"/>
      <w:marTop w:val="0"/>
      <w:marBottom w:val="0"/>
      <w:divBdr>
        <w:top w:val="none" w:sz="0" w:space="0" w:color="auto"/>
        <w:left w:val="none" w:sz="0" w:space="0" w:color="auto"/>
        <w:bottom w:val="none" w:sz="0" w:space="0" w:color="auto"/>
        <w:right w:val="none" w:sz="0" w:space="0" w:color="auto"/>
      </w:divBdr>
    </w:div>
    <w:div w:id="214403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6-01-3211"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6DFE087-CB2E-41BF-B1CB-C0D7A32C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2146</Words>
  <Characters>12238</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14356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Glažar</dc:creator>
  <cp:lastModifiedBy>Dijana Ciriković</cp:lastModifiedBy>
  <cp:revision>5</cp:revision>
  <cp:lastPrinted>2017-07-19T05:59:00Z</cp:lastPrinted>
  <dcterms:created xsi:type="dcterms:W3CDTF">2017-07-18T12:15:00Z</dcterms:created>
  <dcterms:modified xsi:type="dcterms:W3CDTF">2017-07-19T05:59:00Z</dcterms:modified>
</cp:coreProperties>
</file>