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74781" w14:textId="62EF1332" w:rsidR="00C93D99" w:rsidRPr="00C12F05" w:rsidRDefault="00C12F05" w:rsidP="00C12F05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8"/>
          <w:szCs w:val="28"/>
        </w:rPr>
      </w:pPr>
      <w:r w:rsidRPr="00C12F05">
        <w:rPr>
          <w:rFonts w:cs="Helv"/>
          <w:b/>
          <w:color w:val="000000"/>
          <w:sz w:val="28"/>
          <w:szCs w:val="28"/>
        </w:rPr>
        <w:t>Priloga 6.6</w:t>
      </w:r>
      <w:r w:rsidR="00C93D99" w:rsidRPr="00C12F05">
        <w:rPr>
          <w:rFonts w:cs="Helv"/>
          <w:b/>
          <w:color w:val="000000"/>
          <w:sz w:val="28"/>
          <w:szCs w:val="28"/>
        </w:rPr>
        <w:t xml:space="preserve"> </w:t>
      </w:r>
      <w:r w:rsidRPr="00C12F05">
        <w:rPr>
          <w:rFonts w:cs="Helv"/>
          <w:b/>
          <w:color w:val="000000"/>
          <w:sz w:val="28"/>
          <w:szCs w:val="28"/>
        </w:rPr>
        <w:t>»</w:t>
      </w:r>
      <w:r w:rsidR="00C93D99" w:rsidRPr="00C12F05">
        <w:rPr>
          <w:rFonts w:cs="Helv"/>
          <w:b/>
          <w:color w:val="000000"/>
          <w:sz w:val="28"/>
          <w:szCs w:val="28"/>
        </w:rPr>
        <w:t>Presoja sprejemljivosti na varovana območja</w:t>
      </w:r>
      <w:r w:rsidRPr="00C12F05">
        <w:rPr>
          <w:rFonts w:cs="Helv"/>
          <w:b/>
          <w:color w:val="000000"/>
          <w:sz w:val="28"/>
          <w:szCs w:val="28"/>
        </w:rPr>
        <w:t>«</w:t>
      </w:r>
    </w:p>
    <w:p w14:paraId="5EBEE060" w14:textId="77777777" w:rsidR="00C93D99" w:rsidRPr="00FE0007" w:rsidRDefault="00C93D99" w:rsidP="00C12F05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00D93C16" w14:textId="43A59328" w:rsidR="00C93D99" w:rsidRDefault="00C93D99" w:rsidP="008D0E20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FE0007">
        <w:rPr>
          <w:rFonts w:cs="Helv"/>
          <w:color w:val="000000"/>
          <w:sz w:val="24"/>
          <w:szCs w:val="24"/>
        </w:rPr>
        <w:t xml:space="preserve">V skladu z usmeritvijo EU Slovenija že od vsega začetka implementacije celovite presoje vplivov na okolje </w:t>
      </w:r>
      <w:r w:rsidR="007B0941" w:rsidRPr="00FE0007">
        <w:rPr>
          <w:rFonts w:cs="Helv"/>
          <w:color w:val="000000"/>
          <w:sz w:val="24"/>
          <w:szCs w:val="24"/>
        </w:rPr>
        <w:t xml:space="preserve">(CPVO) </w:t>
      </w:r>
      <w:r w:rsidRPr="00FE0007">
        <w:rPr>
          <w:rFonts w:cs="Helv"/>
          <w:color w:val="000000"/>
          <w:sz w:val="24"/>
          <w:szCs w:val="24"/>
        </w:rPr>
        <w:t>in presoje sprejemljivosti na varovana območ</w:t>
      </w:r>
      <w:r w:rsidR="00C12F05" w:rsidRPr="00FE0007">
        <w:rPr>
          <w:rFonts w:cs="Helv"/>
          <w:color w:val="000000"/>
          <w:sz w:val="24"/>
          <w:szCs w:val="24"/>
        </w:rPr>
        <w:t>ja vodi</w:t>
      </w:r>
      <w:r w:rsidRPr="00FE0007">
        <w:rPr>
          <w:rFonts w:cs="Helv"/>
          <w:color w:val="000000"/>
          <w:sz w:val="24"/>
          <w:szCs w:val="24"/>
        </w:rPr>
        <w:t xml:space="preserve"> en proces za presojo vplivov programov in planov v državi ("one -stop </w:t>
      </w:r>
      <w:proofErr w:type="spellStart"/>
      <w:r w:rsidRPr="00FE0007">
        <w:rPr>
          <w:rFonts w:cs="Helv"/>
          <w:color w:val="000000"/>
          <w:sz w:val="24"/>
          <w:szCs w:val="24"/>
        </w:rPr>
        <w:t>shop</w:t>
      </w:r>
      <w:proofErr w:type="spellEnd"/>
      <w:r w:rsidRPr="00FE0007">
        <w:rPr>
          <w:rFonts w:cs="Helv"/>
          <w:color w:val="000000"/>
          <w:sz w:val="24"/>
          <w:szCs w:val="24"/>
        </w:rPr>
        <w:t xml:space="preserve">"). Med pomembno skupino planov uvrščano plane s področja načrtovanja rabe prostora (občinske prostorske načrte) in državne prostorske načrte, ki pomenijo podrobnejše načrtovanje za državne projekte in obenem določajo </w:t>
      </w:r>
      <w:r w:rsidR="00EC1F24">
        <w:rPr>
          <w:rFonts w:cs="Helv"/>
          <w:color w:val="000000"/>
          <w:sz w:val="24"/>
          <w:szCs w:val="24"/>
        </w:rPr>
        <w:t xml:space="preserve">tako </w:t>
      </w:r>
      <w:r w:rsidRPr="00FE0007">
        <w:rPr>
          <w:rFonts w:cs="Helv"/>
          <w:color w:val="000000"/>
          <w:sz w:val="24"/>
          <w:szCs w:val="24"/>
        </w:rPr>
        <w:t>koridorje, kot tudi izvedbo projektov.</w:t>
      </w:r>
    </w:p>
    <w:p w14:paraId="30761A8A" w14:textId="77777777" w:rsidR="00EC1F24" w:rsidRDefault="00EC1F24" w:rsidP="008D0E20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3DE4F241" w14:textId="207669A8" w:rsidR="00EC1F24" w:rsidRPr="00FE0007" w:rsidRDefault="00EC1F24" w:rsidP="008D0E20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>
        <w:rPr>
          <w:rFonts w:cs="Helv"/>
          <w:color w:val="000000"/>
          <w:sz w:val="24"/>
          <w:szCs w:val="24"/>
        </w:rPr>
        <w:t>Pred gradbenim dovoljenjem pa j</w:t>
      </w:r>
      <w:r w:rsidR="00C42FAD">
        <w:rPr>
          <w:rFonts w:cs="Helv"/>
          <w:color w:val="000000"/>
          <w:sz w:val="24"/>
          <w:szCs w:val="24"/>
        </w:rPr>
        <w:t>e za projekte treba pripraviti p</w:t>
      </w:r>
      <w:r>
        <w:rPr>
          <w:rFonts w:cs="Helv"/>
          <w:color w:val="000000"/>
          <w:sz w:val="24"/>
          <w:szCs w:val="24"/>
        </w:rPr>
        <w:t>resojo vplivov na okolje</w:t>
      </w:r>
      <w:r w:rsidR="00C42FAD">
        <w:rPr>
          <w:rFonts w:cs="Helv"/>
          <w:color w:val="000000"/>
          <w:sz w:val="24"/>
          <w:szCs w:val="24"/>
        </w:rPr>
        <w:t xml:space="preserve"> (PVO)</w:t>
      </w:r>
      <w:r>
        <w:rPr>
          <w:rFonts w:cs="Helv"/>
          <w:color w:val="000000"/>
          <w:sz w:val="24"/>
          <w:szCs w:val="24"/>
        </w:rPr>
        <w:t xml:space="preserve"> in pridobiti okoljevarstveno soglasje, </w:t>
      </w:r>
      <w:r w:rsidR="00C42FAD">
        <w:rPr>
          <w:rFonts w:cs="Helv"/>
          <w:color w:val="000000"/>
          <w:sz w:val="24"/>
          <w:szCs w:val="24"/>
        </w:rPr>
        <w:t>v okviru katere se izvede tudi p</w:t>
      </w:r>
      <w:r>
        <w:rPr>
          <w:rFonts w:cs="Helv"/>
          <w:color w:val="000000"/>
          <w:sz w:val="24"/>
          <w:szCs w:val="24"/>
        </w:rPr>
        <w:t xml:space="preserve">resoja sprejemljivosti na varovana območja. </w:t>
      </w:r>
    </w:p>
    <w:p w14:paraId="28E2BA03" w14:textId="77777777" w:rsidR="00C93D99" w:rsidRPr="00FE0007" w:rsidRDefault="00C93D99" w:rsidP="008D0E20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420B315C" w14:textId="454397D0" w:rsidR="00EC1F24" w:rsidRDefault="00C93D99" w:rsidP="008D0E20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FE0007">
        <w:rPr>
          <w:rFonts w:cs="Helv"/>
          <w:color w:val="000000"/>
          <w:sz w:val="24"/>
          <w:szCs w:val="24"/>
        </w:rPr>
        <w:t>Ministrstvo, pristojno z</w:t>
      </w:r>
      <w:r w:rsidR="007B0941" w:rsidRPr="00FE0007">
        <w:rPr>
          <w:rFonts w:cs="Helv"/>
          <w:color w:val="000000"/>
          <w:sz w:val="24"/>
          <w:szCs w:val="24"/>
        </w:rPr>
        <w:t>a okolje</w:t>
      </w:r>
      <w:r w:rsidR="00BF49EA">
        <w:rPr>
          <w:rFonts w:cs="Helv"/>
          <w:color w:val="000000"/>
          <w:sz w:val="24"/>
          <w:szCs w:val="24"/>
        </w:rPr>
        <w:t>,</w:t>
      </w:r>
      <w:r w:rsidR="007B0941" w:rsidRPr="00FE0007">
        <w:rPr>
          <w:rFonts w:cs="Helv"/>
          <w:color w:val="000000"/>
          <w:sz w:val="24"/>
          <w:szCs w:val="24"/>
        </w:rPr>
        <w:t xml:space="preserve"> je za lažje izvajanje p</w:t>
      </w:r>
      <w:r w:rsidRPr="00FE0007">
        <w:rPr>
          <w:rFonts w:cs="Helv"/>
          <w:color w:val="000000"/>
          <w:sz w:val="24"/>
          <w:szCs w:val="24"/>
        </w:rPr>
        <w:t xml:space="preserve">resoj sprejemljivosti na varovana območja določilo natančna pravila, ki so sprejeta v </w:t>
      </w:r>
      <w:r w:rsidR="007B0941" w:rsidRPr="00FE0007">
        <w:rPr>
          <w:rFonts w:cs="Helv"/>
          <w:color w:val="000000"/>
          <w:sz w:val="24"/>
          <w:szCs w:val="24"/>
        </w:rPr>
        <w:t>Pravilniku o presoji sprejemljivosti vplivov izvedbe planov in posegov v naravo na varovana območja (Uradni list RS, št. 130/04, 53/06, 38/10 in 3/11). S potrditvijo planov s pozitivnimi</w:t>
      </w:r>
      <w:r w:rsidRPr="00FE0007">
        <w:rPr>
          <w:rFonts w:cs="Helv"/>
          <w:color w:val="000000"/>
          <w:sz w:val="24"/>
          <w:szCs w:val="24"/>
        </w:rPr>
        <w:t xml:space="preserve"> </w:t>
      </w:r>
      <w:r w:rsidR="007B0941" w:rsidRPr="00FE0007">
        <w:rPr>
          <w:rFonts w:cs="Helv"/>
          <w:color w:val="000000"/>
          <w:sz w:val="24"/>
          <w:szCs w:val="24"/>
        </w:rPr>
        <w:t>presojami</w:t>
      </w:r>
      <w:r w:rsidRPr="00FE0007">
        <w:rPr>
          <w:rFonts w:cs="Helv"/>
          <w:color w:val="000000"/>
          <w:sz w:val="24"/>
          <w:szCs w:val="24"/>
        </w:rPr>
        <w:t xml:space="preserve"> sprejemljivosti </w:t>
      </w:r>
      <w:r w:rsidR="007B0941" w:rsidRPr="00FE0007">
        <w:rPr>
          <w:rFonts w:cs="Helv"/>
          <w:color w:val="000000"/>
          <w:sz w:val="24"/>
          <w:szCs w:val="24"/>
        </w:rPr>
        <w:t xml:space="preserve">planov </w:t>
      </w:r>
      <w:r w:rsidRPr="00FE0007">
        <w:rPr>
          <w:rFonts w:cs="Helv"/>
          <w:color w:val="000000"/>
          <w:sz w:val="24"/>
          <w:szCs w:val="24"/>
        </w:rPr>
        <w:t>na varovanih območj</w:t>
      </w:r>
      <w:r w:rsidR="007B0941" w:rsidRPr="00FE0007">
        <w:rPr>
          <w:rFonts w:cs="Helv"/>
          <w:color w:val="000000"/>
          <w:sz w:val="24"/>
          <w:szCs w:val="24"/>
        </w:rPr>
        <w:t>ih je ministrstvo doseglo okoljske cilje.</w:t>
      </w:r>
      <w:r w:rsidR="008D0E20" w:rsidRPr="00FE0007">
        <w:rPr>
          <w:rFonts w:cs="Helv"/>
          <w:color w:val="000000"/>
          <w:sz w:val="24"/>
          <w:szCs w:val="24"/>
        </w:rPr>
        <w:t xml:space="preserve"> </w:t>
      </w:r>
    </w:p>
    <w:p w14:paraId="13E417EA" w14:textId="77777777" w:rsidR="00EC1F24" w:rsidRDefault="00EC1F24" w:rsidP="008D0E20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</w:p>
    <w:p w14:paraId="198E9450" w14:textId="5CC2666F" w:rsidR="008D0E20" w:rsidRDefault="008D0E20" w:rsidP="008D0E20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FE0007">
        <w:rPr>
          <w:rFonts w:cs="Helv"/>
          <w:color w:val="000000"/>
          <w:sz w:val="24"/>
          <w:szCs w:val="24"/>
        </w:rPr>
        <w:t xml:space="preserve">Iz preučitve doseganja okoljskih ciljev od začetka izvajanja CPVO </w:t>
      </w:r>
      <w:r w:rsidR="00EC1F24">
        <w:rPr>
          <w:rFonts w:cs="Helv"/>
          <w:color w:val="000000"/>
          <w:sz w:val="24"/>
          <w:szCs w:val="24"/>
        </w:rPr>
        <w:t xml:space="preserve">in </w:t>
      </w:r>
      <w:r w:rsidRPr="00FE0007">
        <w:rPr>
          <w:rFonts w:cs="Helv"/>
          <w:color w:val="000000"/>
          <w:sz w:val="24"/>
          <w:szCs w:val="24"/>
        </w:rPr>
        <w:t xml:space="preserve">presoje sprejemljivosti na varovana območja (območja Natura) pa izhajajo priporočila, ki se jih uporabi </w:t>
      </w:r>
      <w:r w:rsidR="00BF49EA">
        <w:rPr>
          <w:rFonts w:cs="Helv"/>
          <w:color w:val="000000"/>
          <w:sz w:val="24"/>
          <w:szCs w:val="24"/>
        </w:rPr>
        <w:t>(g</w:t>
      </w:r>
      <w:r w:rsidR="00BF49EA" w:rsidRPr="00452110">
        <w:rPr>
          <w:rFonts w:cs="Helv"/>
          <w:color w:val="000000"/>
          <w:sz w:val="24"/>
          <w:szCs w:val="24"/>
        </w:rPr>
        <w:t>lede presoje sprejemljivosti na območja Natura v okviru postopka CPVO in PVO</w:t>
      </w:r>
      <w:r w:rsidR="00BF49EA">
        <w:rPr>
          <w:rFonts w:cs="Helv"/>
          <w:color w:val="000000"/>
          <w:sz w:val="24"/>
          <w:szCs w:val="24"/>
        </w:rPr>
        <w:t>)</w:t>
      </w:r>
      <w:r w:rsidR="00BF49EA" w:rsidRPr="00FE0007">
        <w:rPr>
          <w:rFonts w:cs="Helv"/>
          <w:color w:val="000000"/>
          <w:sz w:val="24"/>
          <w:szCs w:val="24"/>
        </w:rPr>
        <w:t xml:space="preserve"> </w:t>
      </w:r>
      <w:r w:rsidRPr="00FE0007">
        <w:rPr>
          <w:rFonts w:cs="Helv"/>
          <w:color w:val="000000"/>
          <w:sz w:val="24"/>
          <w:szCs w:val="24"/>
        </w:rPr>
        <w:t xml:space="preserve">tudi pri </w:t>
      </w:r>
      <w:r w:rsidR="00BF49EA">
        <w:rPr>
          <w:rFonts w:cs="Helv"/>
          <w:color w:val="000000"/>
          <w:sz w:val="24"/>
          <w:szCs w:val="24"/>
        </w:rPr>
        <w:t xml:space="preserve">morebitni </w:t>
      </w:r>
      <w:r w:rsidRPr="00FE0007">
        <w:rPr>
          <w:rFonts w:cs="Helv"/>
          <w:color w:val="000000"/>
          <w:sz w:val="24"/>
          <w:szCs w:val="24"/>
        </w:rPr>
        <w:t xml:space="preserve">razpravi o prenovi </w:t>
      </w:r>
      <w:r w:rsidR="00C42FAD">
        <w:rPr>
          <w:rFonts w:cs="Helv"/>
          <w:color w:val="000000"/>
          <w:sz w:val="24"/>
          <w:szCs w:val="24"/>
        </w:rPr>
        <w:t>Dire</w:t>
      </w:r>
      <w:r w:rsidR="00BF49EA">
        <w:rPr>
          <w:rFonts w:cs="Helv"/>
          <w:color w:val="000000"/>
          <w:sz w:val="24"/>
          <w:szCs w:val="24"/>
        </w:rPr>
        <w:t>ktive</w:t>
      </w:r>
      <w:r w:rsidRPr="00FE0007">
        <w:rPr>
          <w:rFonts w:cs="Helv"/>
          <w:color w:val="000000"/>
          <w:sz w:val="24"/>
          <w:szCs w:val="24"/>
        </w:rPr>
        <w:t xml:space="preserve"> o ha</w:t>
      </w:r>
      <w:r w:rsidR="00BF49EA">
        <w:rPr>
          <w:rFonts w:cs="Helv"/>
          <w:color w:val="000000"/>
          <w:sz w:val="24"/>
          <w:szCs w:val="24"/>
        </w:rPr>
        <w:t>bitatih ter Direktive</w:t>
      </w:r>
      <w:r w:rsidRPr="00FE0007">
        <w:rPr>
          <w:rFonts w:cs="Helv"/>
          <w:color w:val="000000"/>
          <w:sz w:val="24"/>
          <w:szCs w:val="24"/>
        </w:rPr>
        <w:t xml:space="preserve"> o pticah</w:t>
      </w:r>
      <w:r w:rsidR="00BF49EA">
        <w:rPr>
          <w:rFonts w:cs="Helv"/>
          <w:color w:val="000000"/>
          <w:sz w:val="24"/>
          <w:szCs w:val="24"/>
        </w:rPr>
        <w:t xml:space="preserve"> v povezavi s določili</w:t>
      </w:r>
      <w:r w:rsidR="00BF49EA" w:rsidRPr="00BF49EA">
        <w:rPr>
          <w:rFonts w:cs="Helv"/>
          <w:color w:val="000000"/>
          <w:sz w:val="24"/>
          <w:szCs w:val="24"/>
        </w:rPr>
        <w:t xml:space="preserve"> </w:t>
      </w:r>
      <w:r w:rsidR="00BF49EA" w:rsidRPr="00FE0007">
        <w:rPr>
          <w:rFonts w:cs="Helv"/>
          <w:color w:val="000000"/>
          <w:sz w:val="24"/>
          <w:szCs w:val="24"/>
        </w:rPr>
        <w:t>Direktive o strateški presoji vplivov</w:t>
      </w:r>
      <w:r w:rsidRPr="00FE0007">
        <w:rPr>
          <w:rStyle w:val="Sprotnaopomba-sklic"/>
          <w:rFonts w:cs="Helv"/>
          <w:color w:val="000000"/>
          <w:sz w:val="24"/>
          <w:szCs w:val="24"/>
        </w:rPr>
        <w:footnoteReference w:id="1"/>
      </w:r>
      <w:r w:rsidRPr="00FE0007">
        <w:rPr>
          <w:rFonts w:cs="Helv"/>
          <w:color w:val="000000"/>
          <w:sz w:val="24"/>
          <w:szCs w:val="24"/>
        </w:rPr>
        <w:t>:</w:t>
      </w:r>
    </w:p>
    <w:p w14:paraId="188250EE" w14:textId="675E182B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V </w:t>
      </w:r>
      <w:proofErr w:type="spellStart"/>
      <w:r w:rsidR="00452110">
        <w:rPr>
          <w:rFonts w:cs="ArialMT"/>
          <w:color w:val="000000"/>
          <w:sz w:val="24"/>
          <w:szCs w:val="24"/>
        </w:rPr>
        <w:t>okoljskem</w:t>
      </w:r>
      <w:proofErr w:type="spellEnd"/>
      <w:r w:rsidR="00452110">
        <w:rPr>
          <w:rFonts w:cs="ArialMT"/>
          <w:color w:val="000000"/>
          <w:sz w:val="24"/>
          <w:szCs w:val="24"/>
        </w:rPr>
        <w:t xml:space="preserve"> poročilu</w:t>
      </w:r>
      <w:r w:rsidRPr="00452110">
        <w:rPr>
          <w:rFonts w:cs="ArialMT"/>
          <w:color w:val="000000"/>
          <w:sz w:val="24"/>
          <w:szCs w:val="24"/>
        </w:rPr>
        <w:t xml:space="preserve"> naj bo jasno opredeljen problem, ki ga ocenjevanje obravnava in namen/cilji procesa ocenjevanja.</w:t>
      </w:r>
    </w:p>
    <w:p w14:paraId="5A6783D0" w14:textId="79BD1677" w:rsidR="00DC7474" w:rsidRPr="00452110" w:rsidRDefault="00452110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Okoljsko poročilo</w:t>
      </w:r>
      <w:r w:rsidR="00DC7474" w:rsidRPr="00452110">
        <w:rPr>
          <w:rFonts w:cs="ArialMT"/>
          <w:color w:val="000000"/>
          <w:sz w:val="24"/>
          <w:szCs w:val="24"/>
        </w:rPr>
        <w:t xml:space="preserve"> je treba opremiti s časovnim sledenjem in beleženjem oblikovanja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="00DC7474" w:rsidRPr="00452110">
        <w:rPr>
          <w:rFonts w:cs="ArialMT"/>
          <w:color w:val="000000"/>
          <w:sz w:val="24"/>
          <w:szCs w:val="24"/>
        </w:rPr>
        <w:t xml:space="preserve">, pri čemer je treba upoštevati vse udeležence v postopku priprave </w:t>
      </w:r>
      <w:r w:rsidR="00170554">
        <w:rPr>
          <w:rFonts w:cs="ArialMT"/>
          <w:color w:val="000000"/>
          <w:sz w:val="24"/>
          <w:szCs w:val="24"/>
        </w:rPr>
        <w:t xml:space="preserve">presojane </w:t>
      </w:r>
      <w:r w:rsidR="00170554" w:rsidRPr="00880866">
        <w:rPr>
          <w:rFonts w:cs="ArialMT"/>
          <w:color w:val="000000"/>
          <w:sz w:val="24"/>
          <w:szCs w:val="24"/>
        </w:rPr>
        <w:t>politik</w:t>
      </w:r>
      <w:r w:rsidR="00170554">
        <w:rPr>
          <w:rFonts w:cs="ArialMT"/>
          <w:color w:val="000000"/>
          <w:sz w:val="24"/>
          <w:szCs w:val="24"/>
        </w:rPr>
        <w:t>e, programa</w:t>
      </w:r>
      <w:r w:rsidR="00170554" w:rsidRPr="00880866">
        <w:rPr>
          <w:rFonts w:cs="ArialMT"/>
          <w:color w:val="000000"/>
          <w:sz w:val="24"/>
          <w:szCs w:val="24"/>
        </w:rPr>
        <w:t xml:space="preserve"> </w:t>
      </w:r>
      <w:r w:rsidR="00170554">
        <w:rPr>
          <w:rFonts w:cs="ArialMT"/>
          <w:color w:val="000000"/>
          <w:sz w:val="24"/>
          <w:szCs w:val="24"/>
        </w:rPr>
        <w:t>ali plana</w:t>
      </w:r>
      <w:r w:rsidR="00170554" w:rsidRPr="00452110">
        <w:rPr>
          <w:rFonts w:cs="ArialMT"/>
          <w:color w:val="000000"/>
          <w:sz w:val="24"/>
          <w:szCs w:val="24"/>
        </w:rPr>
        <w:t xml:space="preserve"> </w:t>
      </w:r>
      <w:r w:rsidR="00DC7474" w:rsidRPr="00452110">
        <w:rPr>
          <w:rFonts w:cs="ArialMT"/>
          <w:color w:val="000000"/>
          <w:sz w:val="24"/>
          <w:szCs w:val="24"/>
        </w:rPr>
        <w:t>(naročnik/investitor, izdelovalec</w:t>
      </w:r>
      <w:r w:rsidR="00087141" w:rsidRPr="00452110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="00DC7474" w:rsidRPr="00452110">
        <w:rPr>
          <w:rFonts w:cs="ArialMT"/>
          <w:color w:val="000000"/>
          <w:sz w:val="24"/>
          <w:szCs w:val="24"/>
        </w:rPr>
        <w:t xml:space="preserve">, </w:t>
      </w:r>
      <w:r w:rsidR="00FE0007" w:rsidRPr="00452110">
        <w:rPr>
          <w:rFonts w:cs="ArialMT"/>
          <w:sz w:val="24"/>
          <w:szCs w:val="24"/>
        </w:rPr>
        <w:t>nosilci urejanja prostora</w:t>
      </w:r>
      <w:r w:rsidR="00DC7474" w:rsidRPr="00452110">
        <w:rPr>
          <w:rFonts w:cs="ArialMT"/>
          <w:color w:val="000000"/>
          <w:sz w:val="24"/>
          <w:szCs w:val="24"/>
        </w:rPr>
        <w:t xml:space="preserve">, različne javnosti in izdelovalec </w:t>
      </w:r>
      <w:r w:rsidR="00170554">
        <w:rPr>
          <w:rFonts w:cs="ArialMT"/>
          <w:color w:val="000000"/>
          <w:sz w:val="24"/>
          <w:szCs w:val="24"/>
        </w:rPr>
        <w:t>okoljskega poročila</w:t>
      </w:r>
      <w:r w:rsidR="00DC7474" w:rsidRPr="00452110">
        <w:rPr>
          <w:rFonts w:cs="ArialMT"/>
          <w:color w:val="000000"/>
          <w:sz w:val="24"/>
          <w:szCs w:val="24"/>
        </w:rPr>
        <w:t>.</w:t>
      </w:r>
    </w:p>
    <w:p w14:paraId="07F15C80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sz w:val="24"/>
          <w:szCs w:val="24"/>
        </w:rPr>
      </w:pPr>
      <w:r w:rsidRPr="00452110">
        <w:rPr>
          <w:rFonts w:cs="ArialMT"/>
          <w:sz w:val="24"/>
          <w:szCs w:val="24"/>
        </w:rPr>
        <w:t>Večja pozornost naj se nameni natančni, jasni in pregledni opredelitvi okoljskih ciljev in kvantitativni opredelitvi ciljev, kjer je to smiselno in mogoče.</w:t>
      </w:r>
    </w:p>
    <w:p w14:paraId="419D4CE0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Okoljski cilji bi se morali določiti že v fazi </w:t>
      </w:r>
      <w:proofErr w:type="spellStart"/>
      <w:r w:rsidRPr="00452110">
        <w:rPr>
          <w:rFonts w:cs="ArialMT"/>
          <w:color w:val="000000"/>
          <w:sz w:val="24"/>
          <w:szCs w:val="24"/>
        </w:rPr>
        <w:t>vsebinjenja</w:t>
      </w:r>
      <w:proofErr w:type="spellEnd"/>
      <w:r w:rsidRPr="00452110">
        <w:rPr>
          <w:rFonts w:cs="ArialMT"/>
          <w:color w:val="000000"/>
          <w:sz w:val="24"/>
          <w:szCs w:val="24"/>
        </w:rPr>
        <w:t>. Okoljski cilji bi morali biti osnova za določitev vsebin obravnavanih v presoji.</w:t>
      </w:r>
    </w:p>
    <w:p w14:paraId="4A9AF1C9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Izbrane okoljske cilje bi moral potrditi sektor za CPVO.</w:t>
      </w:r>
    </w:p>
    <w:p w14:paraId="353A7FA4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lastRenderedPageBreak/>
        <w:t>Cilji bi morali upoštevati in ohranjati tudi raznovrstne potenciale določenega prostora, ne samo obstoječih prostorskih značilnosti. Težiti bi morali k izboljšanju obstoječega stanja.</w:t>
      </w:r>
    </w:p>
    <w:p w14:paraId="3FEABDAF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Cilji plana morajo izhajati iz okoljskih ciljev.</w:t>
      </w:r>
    </w:p>
    <w:p w14:paraId="2B7BB812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Vsebina okoljskih poročil bi morala biti vezana na okoljske cilje. Iz presoje bi morala biti razvidna povezava med vplivi, omilitvenimi ukrepi in okoljskimi cilji.</w:t>
      </w:r>
    </w:p>
    <w:p w14:paraId="7D37C070" w14:textId="19A0A56E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V okoljskih poročilih naj se več pozornosti nameni upoštevanju načela ALARA. Pri pripravi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="00880866" w:rsidRPr="00452110">
        <w:rPr>
          <w:rFonts w:cs="ArialMT"/>
          <w:color w:val="000000"/>
          <w:sz w:val="24"/>
          <w:szCs w:val="24"/>
        </w:rPr>
        <w:t xml:space="preserve"> </w:t>
      </w:r>
      <w:r w:rsidRPr="00452110">
        <w:rPr>
          <w:rFonts w:cs="ArialMT"/>
          <w:color w:val="000000"/>
          <w:sz w:val="24"/>
          <w:szCs w:val="24"/>
        </w:rPr>
        <w:t xml:space="preserve">se mora oblikovati inovativne alternativne rešitve, ki bodo dosegale najmanjše negativne vplive na okolje. Podajanje samo omilitvenih ukrepov, ki bodo negativne vplive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="00880866" w:rsidRPr="00452110">
        <w:rPr>
          <w:rFonts w:cs="ArialMT"/>
          <w:color w:val="000000"/>
          <w:sz w:val="24"/>
          <w:szCs w:val="24"/>
        </w:rPr>
        <w:t xml:space="preserve"> </w:t>
      </w:r>
      <w:r w:rsidRPr="00452110">
        <w:rPr>
          <w:rFonts w:cs="ArialMT"/>
          <w:color w:val="000000"/>
          <w:sz w:val="24"/>
          <w:szCs w:val="24"/>
        </w:rPr>
        <w:t>le zmanjšali, ni dovolj.</w:t>
      </w:r>
    </w:p>
    <w:p w14:paraId="5EDE8DE9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Vsebina okoljskega poročila mora biti pregledna, jasna in sledljiva. Vsebovati mora opise vseh faz postopka CPVO – tudi </w:t>
      </w:r>
      <w:proofErr w:type="spellStart"/>
      <w:r w:rsidRPr="00452110">
        <w:rPr>
          <w:rFonts w:cs="ArialMT"/>
          <w:color w:val="000000"/>
          <w:sz w:val="24"/>
          <w:szCs w:val="24"/>
        </w:rPr>
        <w:t>vsebinjenja</w:t>
      </w:r>
      <w:proofErr w:type="spellEnd"/>
      <w:r w:rsidRPr="00452110">
        <w:rPr>
          <w:rFonts w:cs="ArialMT"/>
          <w:color w:val="000000"/>
          <w:sz w:val="24"/>
          <w:szCs w:val="24"/>
        </w:rPr>
        <w:t>.</w:t>
      </w:r>
    </w:p>
    <w:p w14:paraId="1AF6FBFD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sz w:val="24"/>
          <w:szCs w:val="24"/>
        </w:rPr>
      </w:pPr>
      <w:r w:rsidRPr="00452110">
        <w:rPr>
          <w:rFonts w:cs="ArialMT"/>
          <w:sz w:val="24"/>
          <w:szCs w:val="24"/>
        </w:rPr>
        <w:t>V poročilih naj se večja pozornost nameni ohranjanju potencialov in ne samo obstoječega stanja kot je bila predvsem dosedanja praksa.</w:t>
      </w:r>
    </w:p>
    <w:p w14:paraId="48E9D96B" w14:textId="77777777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Natančneje naj se opredeli, kaj so kumulativni in </w:t>
      </w:r>
      <w:proofErr w:type="spellStart"/>
      <w:r w:rsidRPr="00452110">
        <w:rPr>
          <w:rFonts w:cs="ArialMT"/>
          <w:color w:val="000000"/>
          <w:sz w:val="24"/>
          <w:szCs w:val="24"/>
        </w:rPr>
        <w:t>sinergijski</w:t>
      </w:r>
      <w:proofErr w:type="spellEnd"/>
      <w:r w:rsidRPr="00452110">
        <w:rPr>
          <w:rFonts w:cs="ArialMT"/>
          <w:color w:val="000000"/>
          <w:sz w:val="24"/>
          <w:szCs w:val="24"/>
        </w:rPr>
        <w:t xml:space="preserve"> vplivi in kako naj se obravnavajo (glej opredelitve in vire v izhodiščih tega poglavja).</w:t>
      </w:r>
    </w:p>
    <w:p w14:paraId="4E46CAF7" w14:textId="7701DBBD" w:rsidR="00DC7474" w:rsidRPr="00452110" w:rsidRDefault="00DC7474" w:rsidP="00880866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Izdela naj se baza podatkov o planiranih in že sprejetih </w:t>
      </w:r>
      <w:r w:rsidR="00880866">
        <w:rPr>
          <w:rFonts w:cs="ArialMT"/>
          <w:color w:val="000000"/>
          <w:sz w:val="24"/>
          <w:szCs w:val="24"/>
        </w:rPr>
        <w:t xml:space="preserve">presojanih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ah, programih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in planih</w:t>
      </w:r>
      <w:r w:rsidRPr="00452110">
        <w:rPr>
          <w:rFonts w:cs="ArialMT"/>
          <w:color w:val="000000"/>
          <w:sz w:val="24"/>
          <w:szCs w:val="24"/>
        </w:rPr>
        <w:t>, ki bo redno ažurirana.</w:t>
      </w:r>
    </w:p>
    <w:p w14:paraId="1D4F0A6C" w14:textId="42845F29" w:rsidR="00DC7474" w:rsidRPr="00452110" w:rsidRDefault="00DC7474" w:rsidP="0045211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Lestvica za vrednotenje vplivov plana naj se spremeni. Ocene naj se podajo dvakrat, in sicer za </w:t>
      </w:r>
      <w:r w:rsidR="00880866">
        <w:rPr>
          <w:rFonts w:cs="ArialMT"/>
          <w:color w:val="000000"/>
          <w:sz w:val="24"/>
          <w:szCs w:val="24"/>
        </w:rPr>
        <w:t xml:space="preserve">presojano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o, program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</w:t>
      </w:r>
      <w:r w:rsidRPr="00452110">
        <w:rPr>
          <w:rFonts w:cs="ArialMT"/>
          <w:color w:val="000000"/>
          <w:sz w:val="24"/>
          <w:szCs w:val="24"/>
        </w:rPr>
        <w:t>:</w:t>
      </w:r>
    </w:p>
    <w:p w14:paraId="7C4F9724" w14:textId="216CEEC7" w:rsidR="00DC7474" w:rsidRPr="00452110" w:rsidRDefault="00DC7474" w:rsidP="00452110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- brez izvedbe omilitvenih ukrepov (oz. brez optimizacije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Pr="00452110">
        <w:rPr>
          <w:rFonts w:cs="ArialMT"/>
          <w:color w:val="000000"/>
          <w:sz w:val="24"/>
          <w:szCs w:val="24"/>
        </w:rPr>
        <w:t>)</w:t>
      </w:r>
    </w:p>
    <w:p w14:paraId="14662BFA" w14:textId="0A1DF220" w:rsidR="00DC7474" w:rsidRPr="00452110" w:rsidRDefault="00DC7474" w:rsidP="00452110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- z izvedenimi omilitvenimi ukrepi (oz. z optimizacijo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Pr="00452110">
        <w:rPr>
          <w:rFonts w:cs="ArialMT"/>
          <w:color w:val="000000"/>
          <w:sz w:val="24"/>
          <w:szCs w:val="24"/>
        </w:rPr>
        <w:t>)</w:t>
      </w:r>
    </w:p>
    <w:p w14:paraId="2EB1DEE0" w14:textId="77777777" w:rsidR="00DC7474" w:rsidRPr="00452110" w:rsidRDefault="00DC7474" w:rsidP="00452110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Lestvice vrednotenja vplivov plana v Uredbi o okoljskem poročilu in podrobnejšem postopku celovite presoje vplivov izvedbe planov na okolje in Pravilniku o presoji sprejemljivosti vplivov izvedbe planov in posegov v naravo na varovana območja naj se poenotijo.</w:t>
      </w:r>
    </w:p>
    <w:p w14:paraId="78C01508" w14:textId="5267BBA1" w:rsidR="00DC7474" w:rsidRPr="00452110" w:rsidRDefault="00DC7474" w:rsidP="00452110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V poročilih naj se natančno opredeli</w:t>
      </w:r>
      <w:r w:rsidR="0079292E">
        <w:rPr>
          <w:rFonts w:cs="ArialMT"/>
          <w:color w:val="000000"/>
          <w:sz w:val="24"/>
          <w:szCs w:val="24"/>
        </w:rPr>
        <w:t>,</w:t>
      </w:r>
      <w:r w:rsidRPr="00452110">
        <w:rPr>
          <w:rFonts w:cs="ArialMT"/>
          <w:color w:val="000000"/>
          <w:sz w:val="24"/>
          <w:szCs w:val="24"/>
        </w:rPr>
        <w:t xml:space="preserve"> s kakšno gotovostjo je bila ocena podana.</w:t>
      </w:r>
    </w:p>
    <w:p w14:paraId="5467C48E" w14:textId="77777777" w:rsidR="00DC7474" w:rsidRPr="00452110" w:rsidRDefault="00DC7474" w:rsidP="00452110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Natančneje naj se določi nivo podrobnosti, do katerega je potrebno opisati omilitvene ukrepe v sklopu postopka CPVO.</w:t>
      </w:r>
    </w:p>
    <w:p w14:paraId="2BEC63F6" w14:textId="211B8517" w:rsidR="00DC7474" w:rsidRPr="00452110" w:rsidRDefault="00DC7474" w:rsidP="00452110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Natančneje naj se </w:t>
      </w:r>
      <w:r w:rsidR="00FE0007" w:rsidRPr="00452110">
        <w:rPr>
          <w:rFonts w:cs="ArialMT"/>
          <w:color w:val="000000"/>
          <w:sz w:val="24"/>
          <w:szCs w:val="24"/>
        </w:rPr>
        <w:t>opredeliti omilitvene ukrepe</w:t>
      </w:r>
      <w:r w:rsidRPr="00452110">
        <w:rPr>
          <w:rFonts w:cs="ArialMT"/>
          <w:color w:val="000000"/>
          <w:sz w:val="24"/>
          <w:szCs w:val="24"/>
        </w:rPr>
        <w:t>:</w:t>
      </w:r>
    </w:p>
    <w:p w14:paraId="26C3AF2F" w14:textId="77777777" w:rsidR="00DC7474" w:rsidRPr="00452110" w:rsidRDefault="00DC7474" w:rsidP="00FD5B7D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- Ukrepi, ki neposredno izhajajo iz zahtev veljavne zakonodaje naj se ne navajajo kot omilitveni ukrep. Lahko se jih navede v ločenem poglavju, kjer pa mora biti eksplicitno navedeno, da gre le za upoštevanje veljavne zakonodaje.</w:t>
      </w:r>
    </w:p>
    <w:p w14:paraId="3C24573F" w14:textId="6954A959" w:rsidR="00DC7474" w:rsidRPr="00452110" w:rsidRDefault="00DC7474" w:rsidP="00FD5B7D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- Zaradi preglednosti naj se splošne omilitvene ukrepe, ki ne pomenijo bistvene spremembe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Pr="00452110">
        <w:rPr>
          <w:rFonts w:cs="ArialMT"/>
          <w:color w:val="000000"/>
          <w:sz w:val="24"/>
          <w:szCs w:val="24"/>
        </w:rPr>
        <w:t xml:space="preserve">, navaja ločeno od ukrepov, ki pomenijo večjo spremembo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Pr="00452110">
        <w:rPr>
          <w:rFonts w:cs="ArialMT"/>
          <w:color w:val="000000"/>
          <w:sz w:val="24"/>
          <w:szCs w:val="24"/>
        </w:rPr>
        <w:t>.</w:t>
      </w:r>
    </w:p>
    <w:p w14:paraId="5933D611" w14:textId="77777777" w:rsidR="00DC7474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Poveča naj se inšpekcijski nadzor nad izvajanjem omilitvenih ukrepov.</w:t>
      </w:r>
    </w:p>
    <w:p w14:paraId="34A81D46" w14:textId="7C533DFD" w:rsidR="00DC7474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V </w:t>
      </w:r>
      <w:r w:rsidR="00452110">
        <w:rPr>
          <w:rFonts w:cs="ArialMT"/>
          <w:color w:val="000000"/>
          <w:sz w:val="24"/>
          <w:szCs w:val="24"/>
        </w:rPr>
        <w:t>okoljskem poročilu</w:t>
      </w:r>
      <w:r w:rsidRPr="00452110">
        <w:rPr>
          <w:rFonts w:cs="ArialMT"/>
          <w:color w:val="000000"/>
          <w:sz w:val="24"/>
          <w:szCs w:val="24"/>
        </w:rPr>
        <w:t xml:space="preserve"> morajo biti pregledno in natančno zabeležene vse predlagane spremembe in ukrepi za izboljšanje, ki so jih v procesu priprave </w:t>
      </w:r>
      <w:r w:rsidR="00880866">
        <w:rPr>
          <w:rFonts w:cs="ArialMT"/>
          <w:color w:val="000000"/>
          <w:sz w:val="24"/>
          <w:szCs w:val="24"/>
        </w:rPr>
        <w:t xml:space="preserve">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="00880866" w:rsidRPr="00452110">
        <w:rPr>
          <w:rFonts w:cs="ArialMT"/>
          <w:color w:val="000000"/>
          <w:sz w:val="24"/>
          <w:szCs w:val="24"/>
        </w:rPr>
        <w:t xml:space="preserve"> </w:t>
      </w:r>
      <w:r w:rsidRPr="00452110">
        <w:rPr>
          <w:rFonts w:cs="ArialMT"/>
          <w:color w:val="000000"/>
          <w:sz w:val="24"/>
          <w:szCs w:val="24"/>
        </w:rPr>
        <w:t>izpostavili ali predlagali različni deležniki (naročnik</w:t>
      </w:r>
      <w:r w:rsidR="00880866">
        <w:rPr>
          <w:rFonts w:cs="ArialMT"/>
          <w:color w:val="000000"/>
          <w:sz w:val="24"/>
          <w:szCs w:val="24"/>
        </w:rPr>
        <w:t xml:space="preserve">, </w:t>
      </w:r>
      <w:r w:rsidRPr="00452110">
        <w:rPr>
          <w:rFonts w:cs="ArialMT"/>
          <w:color w:val="000000"/>
          <w:sz w:val="24"/>
          <w:szCs w:val="24"/>
        </w:rPr>
        <w:t>pripravljavec</w:t>
      </w:r>
      <w:r w:rsidR="00880866">
        <w:rPr>
          <w:rFonts w:cs="ArialMT"/>
          <w:color w:val="000000"/>
          <w:sz w:val="24"/>
          <w:szCs w:val="24"/>
        </w:rPr>
        <w:t xml:space="preserve"> in</w:t>
      </w:r>
      <w:r w:rsidRPr="00452110">
        <w:rPr>
          <w:rFonts w:cs="ArialMT"/>
          <w:color w:val="000000"/>
          <w:sz w:val="24"/>
          <w:szCs w:val="24"/>
        </w:rPr>
        <w:t xml:space="preserve"> izdelovalec</w:t>
      </w:r>
      <w:r w:rsidR="00880866">
        <w:rPr>
          <w:rFonts w:cs="ArialMT"/>
          <w:color w:val="000000"/>
          <w:sz w:val="24"/>
          <w:szCs w:val="24"/>
        </w:rPr>
        <w:t xml:space="preserve"> presojane </w:t>
      </w:r>
      <w:r w:rsidR="00880866" w:rsidRPr="00880866">
        <w:rPr>
          <w:rFonts w:cs="ArialMT"/>
          <w:color w:val="000000"/>
          <w:sz w:val="24"/>
          <w:szCs w:val="24"/>
        </w:rPr>
        <w:t>politik</w:t>
      </w:r>
      <w:r w:rsidR="00880866">
        <w:rPr>
          <w:rFonts w:cs="ArialMT"/>
          <w:color w:val="000000"/>
          <w:sz w:val="24"/>
          <w:szCs w:val="24"/>
        </w:rPr>
        <w:t>e, programa</w:t>
      </w:r>
      <w:r w:rsidR="00880866" w:rsidRPr="00880866">
        <w:rPr>
          <w:rFonts w:cs="ArialMT"/>
          <w:color w:val="000000"/>
          <w:sz w:val="24"/>
          <w:szCs w:val="24"/>
        </w:rPr>
        <w:t xml:space="preserve"> </w:t>
      </w:r>
      <w:r w:rsidR="00880866">
        <w:rPr>
          <w:rFonts w:cs="ArialMT"/>
          <w:color w:val="000000"/>
          <w:sz w:val="24"/>
          <w:szCs w:val="24"/>
        </w:rPr>
        <w:t>ali plana</w:t>
      </w:r>
      <w:r w:rsidRPr="00452110">
        <w:rPr>
          <w:rFonts w:cs="ArialMT"/>
          <w:color w:val="000000"/>
          <w:sz w:val="24"/>
          <w:szCs w:val="24"/>
        </w:rPr>
        <w:t xml:space="preserve">, </w:t>
      </w:r>
      <w:r w:rsidR="00880866">
        <w:rPr>
          <w:rFonts w:cs="ArialMT"/>
          <w:sz w:val="24"/>
          <w:szCs w:val="24"/>
        </w:rPr>
        <w:t>nosilci</w:t>
      </w:r>
      <w:r w:rsidR="00FE0007" w:rsidRPr="00452110">
        <w:rPr>
          <w:rFonts w:cs="ArialMT"/>
          <w:sz w:val="24"/>
          <w:szCs w:val="24"/>
        </w:rPr>
        <w:t xml:space="preserve"> urejanja prostora</w:t>
      </w:r>
      <w:r w:rsidRPr="00452110">
        <w:rPr>
          <w:rFonts w:cs="ArialMT"/>
          <w:color w:val="000000"/>
          <w:sz w:val="24"/>
          <w:szCs w:val="24"/>
        </w:rPr>
        <w:t xml:space="preserve">, strokovna in širša javnost, izdelovalec </w:t>
      </w:r>
      <w:r w:rsidR="00452110">
        <w:rPr>
          <w:rFonts w:cs="ArialMT"/>
          <w:color w:val="000000"/>
          <w:sz w:val="24"/>
          <w:szCs w:val="24"/>
        </w:rPr>
        <w:t>okoljskega poročila</w:t>
      </w:r>
      <w:r w:rsidRPr="00452110">
        <w:rPr>
          <w:rFonts w:cs="ArialMT"/>
          <w:color w:val="000000"/>
          <w:sz w:val="24"/>
          <w:szCs w:val="24"/>
        </w:rPr>
        <w:t xml:space="preserve">). </w:t>
      </w:r>
    </w:p>
    <w:p w14:paraId="7EAA8DDA" w14:textId="77777777" w:rsidR="00DC7474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52110">
        <w:rPr>
          <w:rFonts w:cs="ArialMT"/>
          <w:sz w:val="24"/>
          <w:szCs w:val="24"/>
        </w:rPr>
        <w:t>Večja pozornost naj se nameni vzpostavitvi učinkovitega sistema spremljanja stanja okolja.</w:t>
      </w:r>
    </w:p>
    <w:p w14:paraId="7010DD6D" w14:textId="77777777" w:rsidR="00DC7474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52110">
        <w:rPr>
          <w:rFonts w:cs="ArialMT"/>
          <w:sz w:val="24"/>
          <w:szCs w:val="24"/>
        </w:rPr>
        <w:lastRenderedPageBreak/>
        <w:t>V poročilu naj se posveti večja pozornost dinamiki pričakovanih sprememb. Temu primerno naj se priredi tudi predpisano spremljanje stanja.</w:t>
      </w:r>
    </w:p>
    <w:p w14:paraId="520B9AE7" w14:textId="77777777" w:rsidR="00DC7474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52110">
        <w:rPr>
          <w:rFonts w:cs="ArialMT"/>
          <w:sz w:val="24"/>
          <w:szCs w:val="24"/>
        </w:rPr>
        <w:t>Spremljanje stanja v okoljskih poročilih naj se navede tako, da bo predvidevalo tudi ukrepe v primeru drugačnih sprememb v okolju, kot je bilo predhodno ocenjeno.</w:t>
      </w:r>
    </w:p>
    <w:p w14:paraId="224276F2" w14:textId="77777777" w:rsidR="00DC7474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52110">
        <w:rPr>
          <w:rFonts w:cs="ArialMT"/>
          <w:sz w:val="24"/>
          <w:szCs w:val="24"/>
        </w:rPr>
        <w:t>V največji možni meri naj se uporabljajo obstoječe sisteme spremljanja stanja, ki temeljijo na zakonskih podlagah.</w:t>
      </w:r>
    </w:p>
    <w:p w14:paraId="6AD9F262" w14:textId="77777777" w:rsidR="00DC7474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>Za izboljšanje strateškega ocenjevanja naj se organizirajo redni posveti in delavnice, na katerih bodo imeli vsi udeleženci možnost podajanja predlogov.</w:t>
      </w:r>
    </w:p>
    <w:p w14:paraId="07EB74E1" w14:textId="2892D0D8" w:rsidR="00B26006" w:rsidRPr="00452110" w:rsidRDefault="00DC7474" w:rsidP="00452110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2110">
        <w:rPr>
          <w:rFonts w:cs="ArialMT"/>
          <w:color w:val="000000"/>
          <w:sz w:val="24"/>
          <w:szCs w:val="24"/>
        </w:rPr>
        <w:t xml:space="preserve">Vzpostavi naj se sistematično spremljanje učinkovitosti postopkov </w:t>
      </w:r>
      <w:r w:rsidR="00FE0007" w:rsidRPr="00452110">
        <w:rPr>
          <w:rFonts w:cs="ArialMT"/>
          <w:color w:val="000000"/>
          <w:sz w:val="24"/>
          <w:szCs w:val="24"/>
        </w:rPr>
        <w:t>p</w:t>
      </w:r>
      <w:r w:rsidR="00B724DA" w:rsidRPr="00452110">
        <w:rPr>
          <w:rFonts w:cs="ArialMT"/>
          <w:sz w:val="24"/>
          <w:szCs w:val="24"/>
        </w:rPr>
        <w:t>resoje sprejemljivosti na varovana območja</w:t>
      </w:r>
      <w:r w:rsidR="00452110">
        <w:rPr>
          <w:rFonts w:cs="ArialMT"/>
          <w:sz w:val="24"/>
          <w:szCs w:val="24"/>
        </w:rPr>
        <w:t>.</w:t>
      </w:r>
    </w:p>
    <w:sectPr w:rsidR="00B26006" w:rsidRPr="0045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ACD1" w14:textId="77777777" w:rsidR="00980575" w:rsidRDefault="00980575" w:rsidP="008D0E20">
      <w:pPr>
        <w:spacing w:after="0" w:line="240" w:lineRule="auto"/>
      </w:pPr>
      <w:r>
        <w:separator/>
      </w:r>
    </w:p>
  </w:endnote>
  <w:endnote w:type="continuationSeparator" w:id="0">
    <w:p w14:paraId="6656F19A" w14:textId="77777777" w:rsidR="00980575" w:rsidRDefault="00980575" w:rsidP="008D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EE"/>
    <w:family w:val="auto"/>
    <w:notTrueType/>
    <w:pitch w:val="default"/>
    <w:sig w:usb0="00000000" w:usb1="08080000" w:usb2="00000010" w:usb3="00000000" w:csb0="001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907A" w14:textId="77777777" w:rsidR="00980575" w:rsidRDefault="00980575" w:rsidP="008D0E20">
      <w:pPr>
        <w:spacing w:after="0" w:line="240" w:lineRule="auto"/>
      </w:pPr>
      <w:r>
        <w:separator/>
      </w:r>
    </w:p>
  </w:footnote>
  <w:footnote w:type="continuationSeparator" w:id="0">
    <w:p w14:paraId="15A815E8" w14:textId="77777777" w:rsidR="00980575" w:rsidRDefault="00980575" w:rsidP="008D0E20">
      <w:pPr>
        <w:spacing w:after="0" w:line="240" w:lineRule="auto"/>
      </w:pPr>
      <w:r>
        <w:continuationSeparator/>
      </w:r>
    </w:p>
  </w:footnote>
  <w:footnote w:id="1">
    <w:p w14:paraId="479D3DCA" w14:textId="6F5EED24" w:rsidR="008D0E20" w:rsidRPr="00950CA1" w:rsidRDefault="008D0E20" w:rsidP="00950CA1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FE0007">
        <w:rPr>
          <w:rFonts w:cs="Helv"/>
          <w:color w:val="000000"/>
          <w:sz w:val="20"/>
          <w:szCs w:val="20"/>
        </w:rPr>
        <w:t>Da bi s pomočjo znanosti na statistično reprezentativnih vzorcih proučilo učinkovitost doseganja okoljskih ciljev od  začetka izvajanja in z namenom, da se Slovenija pripravi na</w:t>
      </w:r>
      <w:r w:rsidR="00BF49EA">
        <w:rPr>
          <w:rFonts w:cs="Helv"/>
          <w:color w:val="000000"/>
          <w:sz w:val="20"/>
          <w:szCs w:val="20"/>
        </w:rPr>
        <w:t xml:space="preserve"> napovedano</w:t>
      </w:r>
      <w:r w:rsidRPr="00FE0007">
        <w:rPr>
          <w:rFonts w:cs="Helv"/>
          <w:color w:val="000000"/>
          <w:sz w:val="20"/>
          <w:szCs w:val="20"/>
        </w:rPr>
        <w:t xml:space="preserve"> razpravo o prenovi Direktive o strateški presoji vplivov in Direktive o habitatih ter Direktive o pticah je ministrstvo, pristojno za okolje skupaj z Agencijo Republike Slovenije za raziskovalno dejavnost razpisalo Ciljni raziskovalni projekt (z natančno proje</w:t>
      </w:r>
      <w:r w:rsidR="000B7F78">
        <w:rPr>
          <w:rFonts w:cs="Helv"/>
          <w:color w:val="000000"/>
          <w:sz w:val="20"/>
          <w:szCs w:val="20"/>
        </w:rPr>
        <w:t>ktno nalogo), ki se je zaključil z</w:t>
      </w:r>
      <w:r w:rsidRPr="00FE0007">
        <w:rPr>
          <w:rFonts w:cs="Helv"/>
          <w:color w:val="000000"/>
          <w:sz w:val="20"/>
          <w:szCs w:val="20"/>
        </w:rPr>
        <w:t xml:space="preserve"> </w:t>
      </w:r>
      <w:r w:rsidR="000B7F78">
        <w:rPr>
          <w:rFonts w:cs="Helv"/>
          <w:color w:val="000000"/>
          <w:sz w:val="20"/>
          <w:szCs w:val="20"/>
        </w:rPr>
        <w:t>nalogo</w:t>
      </w:r>
      <w:r w:rsidR="000B7F78" w:rsidRPr="00FE0007">
        <w:rPr>
          <w:rFonts w:cs="Helv"/>
          <w:color w:val="000000"/>
          <w:sz w:val="20"/>
          <w:szCs w:val="20"/>
        </w:rPr>
        <w:t xml:space="preserve"> (</w:t>
      </w:r>
      <w:r w:rsidR="000B7F78" w:rsidRPr="00FE0007">
        <w:rPr>
          <w:sz w:val="20"/>
          <w:szCs w:val="20"/>
        </w:rPr>
        <w:t>Aleš Mlakar (10.20</w:t>
      </w:r>
      <w:r w:rsidR="000B7F78">
        <w:rPr>
          <w:sz w:val="20"/>
          <w:szCs w:val="20"/>
        </w:rPr>
        <w:t>10-09.2012):</w:t>
      </w:r>
      <w:r w:rsidR="000B7F78" w:rsidRPr="00FE0007">
        <w:rPr>
          <w:sz w:val="20"/>
          <w:szCs w:val="20"/>
        </w:rPr>
        <w:t xml:space="preserve"> Uporaba in učinkovitost celovite presoje vplivov na okolje ter presoja vplivov na človekovo zdravje</w:t>
      </w:r>
      <w:r w:rsidR="000B7F78">
        <w:rPr>
          <w:sz w:val="20"/>
          <w:szCs w:val="20"/>
        </w:rPr>
        <w:t>).</w:t>
      </w:r>
      <w:r w:rsidR="00BF49EA">
        <w:rPr>
          <w:rFonts w:cs="Helv"/>
          <w:color w:val="000000"/>
          <w:sz w:val="20"/>
          <w:szCs w:val="20"/>
        </w:rPr>
        <w:t xml:space="preserve"> Razprava o prenovi Direktive o strateški presoji vplivov se nato ni odpirala, odpira pa se razprava o prenovi Direktive o habitatih in Direktive o pticah. Priporočila, navedena v tej prilogi Programa upravljanja, se nanašajo na presojo sprejemljivosti, določeno v Direktivi o habitatih. Pripomoček pri pripravi teh priporočil so bila </w:t>
      </w:r>
      <w:r w:rsidR="00950CA1">
        <w:rPr>
          <w:rFonts w:cs="Helv"/>
          <w:color w:val="000000"/>
          <w:sz w:val="20"/>
          <w:szCs w:val="20"/>
        </w:rPr>
        <w:t xml:space="preserve">priporočila </w:t>
      </w:r>
      <w:r w:rsidR="00BF49EA">
        <w:rPr>
          <w:rFonts w:cs="Helv"/>
          <w:color w:val="000000"/>
          <w:sz w:val="20"/>
          <w:szCs w:val="20"/>
        </w:rPr>
        <w:t>iz navedene naloge, ki so za postopek presoje sprejemljivosti relevantna.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CA2"/>
    <w:multiLevelType w:val="hybridMultilevel"/>
    <w:tmpl w:val="148A6E4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8539D"/>
    <w:multiLevelType w:val="hybridMultilevel"/>
    <w:tmpl w:val="04FA307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1E7E"/>
    <w:multiLevelType w:val="hybridMultilevel"/>
    <w:tmpl w:val="FE2C73D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F6B92"/>
    <w:multiLevelType w:val="hybridMultilevel"/>
    <w:tmpl w:val="3586B8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72D5D"/>
    <w:multiLevelType w:val="hybridMultilevel"/>
    <w:tmpl w:val="5BB6C526"/>
    <w:lvl w:ilvl="0" w:tplc="051AEEBC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610"/>
    <w:multiLevelType w:val="hybridMultilevel"/>
    <w:tmpl w:val="090A41B0"/>
    <w:lvl w:ilvl="0" w:tplc="47AC0D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752"/>
    <w:multiLevelType w:val="hybridMultilevel"/>
    <w:tmpl w:val="A46AF640"/>
    <w:lvl w:ilvl="0" w:tplc="AA26FBCC">
      <w:start w:val="3"/>
      <w:numFmt w:val="bullet"/>
      <w:lvlText w:val="-"/>
      <w:lvlJc w:val="left"/>
      <w:pPr>
        <w:ind w:left="360" w:hanging="360"/>
      </w:pPr>
      <w:rPr>
        <w:rFonts w:ascii="ArialMT" w:eastAsiaTheme="minorHAnsi" w:hAnsi="ArialMT" w:cs="Aria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206AF9"/>
    <w:multiLevelType w:val="hybridMultilevel"/>
    <w:tmpl w:val="5E2C3552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51731"/>
    <w:multiLevelType w:val="hybridMultilevel"/>
    <w:tmpl w:val="DC5A0BEE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4F3F6B"/>
    <w:multiLevelType w:val="hybridMultilevel"/>
    <w:tmpl w:val="4C5E034E"/>
    <w:lvl w:ilvl="0" w:tplc="47AC0D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30E9F"/>
    <w:multiLevelType w:val="hybridMultilevel"/>
    <w:tmpl w:val="3C306272"/>
    <w:lvl w:ilvl="0" w:tplc="47AC0D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30F1"/>
    <w:multiLevelType w:val="hybridMultilevel"/>
    <w:tmpl w:val="1A881198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A46A52"/>
    <w:multiLevelType w:val="hybridMultilevel"/>
    <w:tmpl w:val="8982ACC8"/>
    <w:lvl w:ilvl="0" w:tplc="47AC0D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2F4"/>
    <w:multiLevelType w:val="hybridMultilevel"/>
    <w:tmpl w:val="58588DB0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74D0C"/>
    <w:multiLevelType w:val="hybridMultilevel"/>
    <w:tmpl w:val="1B5CF81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9269F"/>
    <w:multiLevelType w:val="hybridMultilevel"/>
    <w:tmpl w:val="CE3A22B4"/>
    <w:lvl w:ilvl="0" w:tplc="47AC0D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C246A"/>
    <w:multiLevelType w:val="hybridMultilevel"/>
    <w:tmpl w:val="42FA0796"/>
    <w:lvl w:ilvl="0" w:tplc="47AC0D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92D9D"/>
    <w:multiLevelType w:val="hybridMultilevel"/>
    <w:tmpl w:val="6C6837FC"/>
    <w:lvl w:ilvl="0" w:tplc="AA26FBCC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47AC0DF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color w:val="0081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F7032"/>
    <w:multiLevelType w:val="hybridMultilevel"/>
    <w:tmpl w:val="2102B1B4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EB38D2"/>
    <w:multiLevelType w:val="hybridMultilevel"/>
    <w:tmpl w:val="A7864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74F77"/>
    <w:multiLevelType w:val="hybridMultilevel"/>
    <w:tmpl w:val="85C8DC44"/>
    <w:lvl w:ilvl="0" w:tplc="47AC0D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14CFF"/>
    <w:multiLevelType w:val="hybridMultilevel"/>
    <w:tmpl w:val="0E506708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ED0E61"/>
    <w:multiLevelType w:val="hybridMultilevel"/>
    <w:tmpl w:val="97F89CA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62EC9"/>
    <w:multiLevelType w:val="hybridMultilevel"/>
    <w:tmpl w:val="679E90D0"/>
    <w:lvl w:ilvl="0" w:tplc="AA26FBCC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52077"/>
    <w:multiLevelType w:val="hybridMultilevel"/>
    <w:tmpl w:val="87729CFE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E5975"/>
    <w:multiLevelType w:val="hybridMultilevel"/>
    <w:tmpl w:val="AF7A83BE"/>
    <w:lvl w:ilvl="0" w:tplc="47AC0DF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27443"/>
    <w:multiLevelType w:val="hybridMultilevel"/>
    <w:tmpl w:val="DCECCB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11D9D"/>
    <w:multiLevelType w:val="hybridMultilevel"/>
    <w:tmpl w:val="707E04D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F26ECC"/>
    <w:multiLevelType w:val="hybridMultilevel"/>
    <w:tmpl w:val="CFE2A6D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D82BF7"/>
    <w:multiLevelType w:val="hybridMultilevel"/>
    <w:tmpl w:val="A08C941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2C285B"/>
    <w:multiLevelType w:val="hybridMultilevel"/>
    <w:tmpl w:val="B2F2A35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8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18"/>
  </w:num>
  <w:num w:numId="5">
    <w:abstractNumId w:val="21"/>
  </w:num>
  <w:num w:numId="6">
    <w:abstractNumId w:val="5"/>
  </w:num>
  <w:num w:numId="7">
    <w:abstractNumId w:val="16"/>
  </w:num>
  <w:num w:numId="8">
    <w:abstractNumId w:val="11"/>
  </w:num>
  <w:num w:numId="9">
    <w:abstractNumId w:val="15"/>
  </w:num>
  <w:num w:numId="10">
    <w:abstractNumId w:val="24"/>
  </w:num>
  <w:num w:numId="11">
    <w:abstractNumId w:val="2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20"/>
  </w:num>
  <w:num w:numId="17">
    <w:abstractNumId w:val="9"/>
  </w:num>
  <w:num w:numId="18">
    <w:abstractNumId w:val="12"/>
  </w:num>
  <w:num w:numId="19">
    <w:abstractNumId w:val="19"/>
  </w:num>
  <w:num w:numId="20">
    <w:abstractNumId w:val="6"/>
  </w:num>
  <w:num w:numId="21">
    <w:abstractNumId w:val="28"/>
  </w:num>
  <w:num w:numId="22">
    <w:abstractNumId w:val="29"/>
  </w:num>
  <w:num w:numId="23">
    <w:abstractNumId w:val="27"/>
  </w:num>
  <w:num w:numId="24">
    <w:abstractNumId w:val="1"/>
  </w:num>
  <w:num w:numId="25">
    <w:abstractNumId w:val="26"/>
  </w:num>
  <w:num w:numId="26">
    <w:abstractNumId w:val="22"/>
  </w:num>
  <w:num w:numId="27">
    <w:abstractNumId w:val="2"/>
  </w:num>
  <w:num w:numId="28">
    <w:abstractNumId w:val="3"/>
  </w:num>
  <w:num w:numId="29">
    <w:abstractNumId w:val="3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AE"/>
    <w:rsid w:val="000549A4"/>
    <w:rsid w:val="00074DF2"/>
    <w:rsid w:val="00087141"/>
    <w:rsid w:val="000B7F78"/>
    <w:rsid w:val="001622E1"/>
    <w:rsid w:val="00170554"/>
    <w:rsid w:val="002330AE"/>
    <w:rsid w:val="00452110"/>
    <w:rsid w:val="004707C4"/>
    <w:rsid w:val="00486137"/>
    <w:rsid w:val="004D049C"/>
    <w:rsid w:val="0079292E"/>
    <w:rsid w:val="007B0941"/>
    <w:rsid w:val="007E6828"/>
    <w:rsid w:val="00880866"/>
    <w:rsid w:val="008D0E20"/>
    <w:rsid w:val="008F7169"/>
    <w:rsid w:val="00950CA1"/>
    <w:rsid w:val="00980575"/>
    <w:rsid w:val="00A24B25"/>
    <w:rsid w:val="00A7369B"/>
    <w:rsid w:val="00AC2558"/>
    <w:rsid w:val="00B26006"/>
    <w:rsid w:val="00B724DA"/>
    <w:rsid w:val="00BF49EA"/>
    <w:rsid w:val="00BF5CCD"/>
    <w:rsid w:val="00C075D6"/>
    <w:rsid w:val="00C12F05"/>
    <w:rsid w:val="00C42FAD"/>
    <w:rsid w:val="00C61DE0"/>
    <w:rsid w:val="00C93D99"/>
    <w:rsid w:val="00CF525B"/>
    <w:rsid w:val="00D8616F"/>
    <w:rsid w:val="00D95DA5"/>
    <w:rsid w:val="00D965D8"/>
    <w:rsid w:val="00DC7474"/>
    <w:rsid w:val="00EC1F24"/>
    <w:rsid w:val="00F03CA8"/>
    <w:rsid w:val="00FD5B7D"/>
    <w:rsid w:val="00FE000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0BAC"/>
  <w15:docId w15:val="{1E14CCF4-4473-4A0E-9901-A9254F4E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5D8"/>
    <w:pPr>
      <w:ind w:left="720"/>
      <w:contextualSpacing/>
    </w:pPr>
  </w:style>
  <w:style w:type="table" w:styleId="Tabelamrea">
    <w:name w:val="Table Grid"/>
    <w:basedOn w:val="Navadnatabela"/>
    <w:uiPriority w:val="39"/>
    <w:rsid w:val="00D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075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75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75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75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75D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5D6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0E2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0E2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0E20"/>
    <w:rPr>
      <w:vertAlign w:val="superscript"/>
    </w:rPr>
  </w:style>
  <w:style w:type="paragraph" w:styleId="Brezrazmikov">
    <w:name w:val="No Spacing"/>
    <w:uiPriority w:val="1"/>
    <w:qFormat/>
    <w:rsid w:val="004D0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2C2B-8A66-4786-A3A1-0C1363DB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Bibic</dc:creator>
  <cp:lastModifiedBy>Andrej Bibic</cp:lastModifiedBy>
  <cp:revision>3</cp:revision>
  <dcterms:created xsi:type="dcterms:W3CDTF">2015-03-26T15:15:00Z</dcterms:created>
  <dcterms:modified xsi:type="dcterms:W3CDTF">2015-03-27T14:32:00Z</dcterms:modified>
</cp:coreProperties>
</file>