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F02B4B" w:rsidRDefault="001D16C0" w:rsidP="000E138A">
      <w:pPr>
        <w:spacing w:before="40"/>
        <w:ind w:right="-3"/>
        <w:rPr>
          <w:rFonts w:ascii="Arial" w:hAnsi="Arial" w:cs="Arial"/>
          <w:sz w:val="20"/>
          <w:szCs w:val="20"/>
        </w:rPr>
      </w:pPr>
      <w:r>
        <w:rPr>
          <w:noProof/>
          <w:lang w:eastAsia="sl-SI"/>
        </w:rPr>
        <w:drawing>
          <wp:anchor distT="0" distB="0" distL="114300" distR="114300" simplePos="0" relativeHeight="251660288" behindDoc="0" locked="0" layoutInCell="1" allowOverlap="1" wp14:anchorId="25B7B850" wp14:editId="14268B9D">
            <wp:simplePos x="0" y="0"/>
            <wp:positionH relativeFrom="column">
              <wp:posOffset>22860</wp:posOffset>
            </wp:positionH>
            <wp:positionV relativeFrom="paragraph">
              <wp:posOffset>-24765</wp:posOffset>
            </wp:positionV>
            <wp:extent cx="3121660" cy="376555"/>
            <wp:effectExtent l="0" t="0" r="254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0E138A" w:rsidRPr="00F02B4B" w:rsidRDefault="000E138A" w:rsidP="000E138A">
      <w:pPr>
        <w:spacing w:before="60"/>
        <w:ind w:right="-3"/>
        <w:rPr>
          <w:rFonts w:ascii="Arial" w:hAnsi="Arial" w:cs="Arial"/>
          <w:sz w:val="20"/>
          <w:szCs w:val="20"/>
        </w:rPr>
      </w:pPr>
    </w:p>
    <w:p w:rsidR="000E138A" w:rsidRPr="00F02B4B" w:rsidRDefault="00EB748D"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5C6C281" wp14:editId="552098BE">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25D" w:rsidRPr="00D61ACE" w:rsidRDefault="0034225D"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34225D" w:rsidRPr="00D61ACE" w:rsidRDefault="0034225D" w:rsidP="000E138A">
                      <w:pPr>
                        <w:rPr>
                          <w:color w:val="000000"/>
                          <w:spacing w:val="-2"/>
                          <w:sz w:val="16"/>
                          <w:szCs w:val="16"/>
                          <w:lang w:eastAsia="sl-SI"/>
                        </w:rPr>
                      </w:pPr>
                    </w:p>
                  </w:txbxContent>
                </v:textbox>
              </v:shape>
            </w:pict>
          </mc:Fallback>
        </mc:AlternateContent>
      </w:r>
    </w:p>
    <w:p w:rsidR="000E138A" w:rsidRPr="00F02B4B" w:rsidRDefault="000E138A" w:rsidP="000E138A">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 xml:space="preserve">F: 01 478 81 39 </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w:t>
      </w:r>
      <w:r w:rsidR="001F3974" w:rsidRPr="00F02B4B">
        <w:rPr>
          <w:rFonts w:cs="Arial"/>
          <w:szCs w:val="20"/>
          <w:lang w:val="sl-SI"/>
        </w:rPr>
        <w:t>i</w:t>
      </w:r>
      <w:r w:rsidRPr="00F02B4B">
        <w:rPr>
          <w:rFonts w:cs="Arial"/>
          <w:szCs w:val="20"/>
          <w:lang w:val="sl-SI"/>
        </w:rPr>
        <w:t>p@gov.si</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proofErr w:type="spellStart"/>
      <w:r w:rsidRPr="00F02B4B">
        <w:rPr>
          <w:rFonts w:cs="Arial"/>
          <w:szCs w:val="20"/>
          <w:lang w:val="sl-SI"/>
        </w:rPr>
        <w:t>www.mz</w:t>
      </w:r>
      <w:r w:rsidR="001F3974" w:rsidRPr="00F02B4B">
        <w:rPr>
          <w:rFonts w:cs="Arial"/>
          <w:szCs w:val="20"/>
          <w:lang w:val="sl-SI"/>
        </w:rPr>
        <w:t>i</w:t>
      </w:r>
      <w:r w:rsidRPr="00F02B4B">
        <w:rPr>
          <w:rFonts w:cs="Arial"/>
          <w:szCs w:val="20"/>
          <w:lang w:val="sl-SI"/>
        </w:rPr>
        <w:t>p.gov.si</w:t>
      </w:r>
      <w:proofErr w:type="spellEnd"/>
    </w:p>
    <w:p w:rsidR="000E138A" w:rsidRPr="008401C9" w:rsidRDefault="000E138A" w:rsidP="000E138A">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8D1759" w:rsidTr="003F712A">
        <w:trPr>
          <w:gridAfter w:val="2"/>
          <w:wAfter w:w="3067" w:type="dxa"/>
        </w:trPr>
        <w:tc>
          <w:tcPr>
            <w:tcW w:w="6096" w:type="dxa"/>
            <w:gridSpan w:val="2"/>
          </w:tcPr>
          <w:p w:rsidR="00F02B4B" w:rsidRPr="008D1759" w:rsidRDefault="00F02B4B" w:rsidP="00E039EE">
            <w:pPr>
              <w:pStyle w:val="Neotevilenodstavek"/>
              <w:spacing w:before="0" w:after="0" w:line="260" w:lineRule="exact"/>
              <w:jc w:val="left"/>
              <w:rPr>
                <w:sz w:val="20"/>
                <w:szCs w:val="20"/>
              </w:rPr>
            </w:pPr>
            <w:r>
              <w:rPr>
                <w:sz w:val="20"/>
                <w:szCs w:val="20"/>
              </w:rPr>
              <w:t>Številka:</w:t>
            </w:r>
            <w:r w:rsidR="00480178">
              <w:rPr>
                <w:sz w:val="20"/>
                <w:szCs w:val="20"/>
              </w:rPr>
              <w:t xml:space="preserve"> </w:t>
            </w:r>
            <w:r>
              <w:rPr>
                <w:sz w:val="20"/>
                <w:szCs w:val="20"/>
              </w:rPr>
              <w:t xml:space="preserve"> </w:t>
            </w:r>
            <w:r w:rsidR="00DF262B" w:rsidRPr="00DF262B">
              <w:rPr>
                <w:sz w:val="20"/>
                <w:szCs w:val="20"/>
              </w:rPr>
              <w:t>007-213/2014</w:t>
            </w:r>
            <w:r w:rsidR="00DF262B">
              <w:rPr>
                <w:sz w:val="20"/>
                <w:szCs w:val="20"/>
              </w:rPr>
              <w:t>-</w:t>
            </w:r>
            <w:r w:rsidR="00535FB2">
              <w:rPr>
                <w:sz w:val="20"/>
                <w:szCs w:val="20"/>
              </w:rPr>
              <w:t>2</w:t>
            </w:r>
            <w:r w:rsidR="00E039EE">
              <w:rPr>
                <w:sz w:val="20"/>
                <w:szCs w:val="20"/>
              </w:rPr>
              <w:t>3</w:t>
            </w:r>
          </w:p>
        </w:tc>
      </w:tr>
      <w:tr w:rsidR="00F02B4B" w:rsidRPr="008D1759" w:rsidTr="003F712A">
        <w:trPr>
          <w:gridAfter w:val="2"/>
          <w:wAfter w:w="3067" w:type="dxa"/>
        </w:trPr>
        <w:tc>
          <w:tcPr>
            <w:tcW w:w="6096" w:type="dxa"/>
            <w:gridSpan w:val="2"/>
          </w:tcPr>
          <w:p w:rsidR="00F02B4B" w:rsidRPr="008D1759" w:rsidRDefault="00F02B4B" w:rsidP="00D565BC">
            <w:pPr>
              <w:pStyle w:val="Neotevilenodstavek"/>
              <w:spacing w:before="0" w:after="0" w:line="260" w:lineRule="exact"/>
              <w:jc w:val="left"/>
              <w:rPr>
                <w:sz w:val="20"/>
                <w:szCs w:val="20"/>
              </w:rPr>
            </w:pPr>
            <w:r>
              <w:rPr>
                <w:sz w:val="20"/>
                <w:szCs w:val="20"/>
              </w:rPr>
              <w:t>Ljubljana,</w:t>
            </w:r>
            <w:r w:rsidR="001C0A2D">
              <w:rPr>
                <w:sz w:val="20"/>
                <w:szCs w:val="20"/>
              </w:rPr>
              <w:t xml:space="preserve"> </w:t>
            </w:r>
            <w:r w:rsidR="00D565BC">
              <w:rPr>
                <w:sz w:val="20"/>
                <w:szCs w:val="20"/>
              </w:rPr>
              <w:t>8</w:t>
            </w:r>
            <w:r w:rsidR="00762D85">
              <w:rPr>
                <w:sz w:val="20"/>
                <w:szCs w:val="20"/>
              </w:rPr>
              <w:t>.</w:t>
            </w:r>
            <w:r w:rsidR="003C092D">
              <w:rPr>
                <w:sz w:val="20"/>
                <w:szCs w:val="20"/>
              </w:rPr>
              <w:t xml:space="preserve"> </w:t>
            </w:r>
            <w:r w:rsidR="00D86D9A">
              <w:rPr>
                <w:sz w:val="20"/>
                <w:szCs w:val="20"/>
              </w:rPr>
              <w:t>1</w:t>
            </w:r>
            <w:r w:rsidR="00535FB2">
              <w:rPr>
                <w:sz w:val="20"/>
                <w:szCs w:val="20"/>
              </w:rPr>
              <w:t>2</w:t>
            </w:r>
            <w:r w:rsidR="00762D85">
              <w:rPr>
                <w:sz w:val="20"/>
                <w:szCs w:val="20"/>
              </w:rPr>
              <w:t>.</w:t>
            </w:r>
            <w:r w:rsidR="003C092D">
              <w:rPr>
                <w:sz w:val="20"/>
                <w:szCs w:val="20"/>
              </w:rPr>
              <w:t xml:space="preserve"> </w:t>
            </w:r>
            <w:r w:rsidR="00762D85">
              <w:rPr>
                <w:sz w:val="20"/>
                <w:szCs w:val="20"/>
              </w:rPr>
              <w:t>2014</w:t>
            </w:r>
          </w:p>
        </w:tc>
      </w:tr>
      <w:tr w:rsidR="00F02B4B" w:rsidRPr="008D1759" w:rsidTr="003F712A">
        <w:trPr>
          <w:gridAfter w:val="2"/>
          <w:wAfter w:w="3067" w:type="dxa"/>
        </w:trPr>
        <w:tc>
          <w:tcPr>
            <w:tcW w:w="6096" w:type="dxa"/>
            <w:gridSpan w:val="2"/>
          </w:tcPr>
          <w:p w:rsidR="00F02B4B" w:rsidRPr="00594B90" w:rsidRDefault="00F02B4B" w:rsidP="003C092D">
            <w:pPr>
              <w:pStyle w:val="Neotevilenodstavek"/>
              <w:spacing w:before="0" w:after="0" w:line="260" w:lineRule="exact"/>
              <w:jc w:val="left"/>
              <w:rPr>
                <w:sz w:val="20"/>
                <w:szCs w:val="20"/>
              </w:rPr>
            </w:pPr>
            <w:r w:rsidRPr="00594B90">
              <w:rPr>
                <w:iCs/>
                <w:sz w:val="20"/>
                <w:szCs w:val="20"/>
              </w:rPr>
              <w:t xml:space="preserve">EVA </w:t>
            </w:r>
            <w:r w:rsidR="00082E63" w:rsidRPr="00082E63">
              <w:rPr>
                <w:iCs/>
                <w:sz w:val="20"/>
                <w:szCs w:val="20"/>
              </w:rPr>
              <w:t>2014-2430-</w:t>
            </w:r>
            <w:r w:rsidR="002E38E8">
              <w:rPr>
                <w:iCs/>
                <w:sz w:val="20"/>
                <w:szCs w:val="20"/>
              </w:rPr>
              <w:t>0025</w:t>
            </w:r>
          </w:p>
        </w:tc>
      </w:tr>
      <w:tr w:rsidR="00F02B4B" w:rsidRPr="008D1759" w:rsidTr="003F712A">
        <w:trPr>
          <w:gridAfter w:val="2"/>
          <w:wAfter w:w="3067" w:type="dxa"/>
        </w:trPr>
        <w:tc>
          <w:tcPr>
            <w:tcW w:w="6096" w:type="dxa"/>
            <w:gridSpan w:val="2"/>
          </w:tcPr>
          <w:p w:rsidR="00F02B4B" w:rsidRPr="00F02B4B" w:rsidRDefault="00F02B4B" w:rsidP="003F712A">
            <w:pPr>
              <w:spacing w:line="260" w:lineRule="exact"/>
              <w:rPr>
                <w:rFonts w:ascii="Arial" w:hAnsi="Arial" w:cs="Arial"/>
                <w:sz w:val="20"/>
                <w:szCs w:val="20"/>
              </w:rPr>
            </w:pPr>
          </w:p>
          <w:p w:rsidR="00F02B4B" w:rsidRPr="00F02B4B" w:rsidRDefault="00F02B4B" w:rsidP="003F712A">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F02B4B" w:rsidRDefault="0034225D" w:rsidP="003F712A">
            <w:pPr>
              <w:spacing w:line="260" w:lineRule="exact"/>
              <w:rPr>
                <w:rFonts w:ascii="Arial" w:hAnsi="Arial" w:cs="Arial"/>
                <w:sz w:val="20"/>
                <w:szCs w:val="20"/>
              </w:rPr>
            </w:pPr>
            <w:hyperlink r:id="rId10" w:history="1">
              <w:r w:rsidR="00F02B4B" w:rsidRPr="00826140">
                <w:rPr>
                  <w:rStyle w:val="Hiperpovezava"/>
                  <w:rFonts w:ascii="Arial" w:hAnsi="Arial" w:cs="Arial"/>
                  <w:sz w:val="20"/>
                  <w:szCs w:val="20"/>
                </w:rPr>
                <w:t>Gp.gs@gov.si</w:t>
              </w:r>
            </w:hyperlink>
          </w:p>
          <w:p w:rsidR="00F02B4B" w:rsidRPr="00F02B4B" w:rsidRDefault="00F02B4B" w:rsidP="003F712A">
            <w:pPr>
              <w:spacing w:line="260" w:lineRule="exact"/>
              <w:rPr>
                <w:rFonts w:ascii="Arial" w:hAnsi="Arial" w:cs="Arial"/>
                <w:sz w:val="20"/>
                <w:szCs w:val="20"/>
              </w:rPr>
            </w:pPr>
          </w:p>
          <w:p w:rsidR="00F02B4B" w:rsidRPr="008D1759" w:rsidRDefault="00F02B4B" w:rsidP="003F712A">
            <w:pPr>
              <w:spacing w:line="260" w:lineRule="exact"/>
              <w:rPr>
                <w:rFonts w:ascii="Arial" w:hAnsi="Arial" w:cs="Arial"/>
                <w:sz w:val="20"/>
                <w:szCs w:val="20"/>
              </w:rPr>
            </w:pPr>
          </w:p>
        </w:tc>
      </w:tr>
      <w:tr w:rsidR="00F02B4B" w:rsidRPr="008D1759" w:rsidTr="003F712A">
        <w:tc>
          <w:tcPr>
            <w:tcW w:w="9163" w:type="dxa"/>
            <w:gridSpan w:val="4"/>
          </w:tcPr>
          <w:p w:rsidR="00F02B4B" w:rsidRPr="008D1759" w:rsidRDefault="00F02B4B" w:rsidP="00D74E79">
            <w:pPr>
              <w:pStyle w:val="Naslovpredpisa"/>
              <w:spacing w:after="120" w:line="260" w:lineRule="exact"/>
              <w:jc w:val="left"/>
              <w:rPr>
                <w:sz w:val="20"/>
                <w:szCs w:val="20"/>
              </w:rPr>
            </w:pPr>
            <w:r>
              <w:rPr>
                <w:sz w:val="20"/>
                <w:szCs w:val="20"/>
              </w:rPr>
              <w:t>ZADEVA:</w:t>
            </w:r>
            <w:r w:rsidR="004A7613">
              <w:rPr>
                <w:sz w:val="20"/>
                <w:szCs w:val="20"/>
              </w:rPr>
              <w:t xml:space="preserve"> </w:t>
            </w:r>
            <w:r w:rsidR="00BE55B3">
              <w:rPr>
                <w:sz w:val="20"/>
                <w:szCs w:val="20"/>
              </w:rPr>
              <w:t>Predlog</w:t>
            </w:r>
            <w:r w:rsidR="004A7613" w:rsidRPr="00070BBF">
              <w:rPr>
                <w:sz w:val="20"/>
                <w:szCs w:val="20"/>
              </w:rPr>
              <w:t xml:space="preserve"> </w:t>
            </w:r>
            <w:r w:rsidR="003C092D">
              <w:rPr>
                <w:sz w:val="20"/>
                <w:szCs w:val="20"/>
              </w:rPr>
              <w:t xml:space="preserve">Uredbe o </w:t>
            </w:r>
            <w:r w:rsidR="00D81A81">
              <w:rPr>
                <w:sz w:val="20"/>
                <w:szCs w:val="20"/>
              </w:rPr>
              <w:t xml:space="preserve">zagotavljanju </w:t>
            </w:r>
            <w:r w:rsidR="00A921AC">
              <w:rPr>
                <w:sz w:val="20"/>
                <w:szCs w:val="20"/>
              </w:rPr>
              <w:t>prihrank</w:t>
            </w:r>
            <w:r w:rsidR="00D81A81">
              <w:rPr>
                <w:sz w:val="20"/>
                <w:szCs w:val="20"/>
              </w:rPr>
              <w:t>ov</w:t>
            </w:r>
            <w:r w:rsidR="00A921AC">
              <w:rPr>
                <w:sz w:val="20"/>
                <w:szCs w:val="20"/>
              </w:rPr>
              <w:t xml:space="preserve"> energije</w:t>
            </w:r>
            <w:r w:rsidR="00D81A81">
              <w:rPr>
                <w:sz w:val="20"/>
                <w:szCs w:val="20"/>
              </w:rPr>
              <w:t xml:space="preserve"> </w:t>
            </w:r>
          </w:p>
        </w:tc>
      </w:tr>
      <w:tr w:rsidR="00F02B4B" w:rsidRPr="008D1759" w:rsidTr="003F712A">
        <w:tc>
          <w:tcPr>
            <w:tcW w:w="9163" w:type="dxa"/>
            <w:gridSpan w:val="4"/>
          </w:tcPr>
          <w:p w:rsidR="00F02B4B" w:rsidRPr="008D1759" w:rsidRDefault="00F02B4B" w:rsidP="003F712A">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F02B4B" w:rsidRPr="008D1759" w:rsidTr="003F712A">
        <w:tc>
          <w:tcPr>
            <w:tcW w:w="9163" w:type="dxa"/>
            <w:gridSpan w:val="4"/>
          </w:tcPr>
          <w:p w:rsidR="00646B8D" w:rsidRDefault="00646B8D" w:rsidP="00480178">
            <w:pPr>
              <w:pStyle w:val="Neotevilenodstavek"/>
              <w:spacing w:before="0" w:after="0" w:line="240" w:lineRule="auto"/>
              <w:rPr>
                <w:iCs/>
                <w:sz w:val="20"/>
                <w:szCs w:val="20"/>
              </w:rPr>
            </w:pPr>
          </w:p>
          <w:p w:rsidR="00480178" w:rsidRPr="0075383D" w:rsidRDefault="00480178" w:rsidP="00480178">
            <w:pPr>
              <w:pStyle w:val="Neotevilenodstavek"/>
              <w:spacing w:before="0" w:after="0" w:line="240" w:lineRule="auto"/>
              <w:rPr>
                <w:iCs/>
                <w:sz w:val="20"/>
                <w:szCs w:val="20"/>
              </w:rPr>
            </w:pPr>
            <w:r w:rsidRPr="0075383D">
              <w:rPr>
                <w:iCs/>
                <w:sz w:val="20"/>
                <w:szCs w:val="20"/>
              </w:rPr>
              <w:t xml:space="preserve">Na podlagi </w:t>
            </w:r>
            <w:r w:rsidR="00B3466A">
              <w:rPr>
                <w:iCs/>
                <w:sz w:val="20"/>
                <w:szCs w:val="20"/>
              </w:rPr>
              <w:t xml:space="preserve"> </w:t>
            </w:r>
            <w:r w:rsidR="000B258A">
              <w:rPr>
                <w:sz w:val="20"/>
                <w:szCs w:val="20"/>
                <w:lang w:eastAsia="en-US"/>
              </w:rPr>
              <w:t xml:space="preserve">tretjega odstavka 317., </w:t>
            </w:r>
            <w:r w:rsidR="00546E3B" w:rsidRPr="00484C2F">
              <w:rPr>
                <w:sz w:val="20"/>
                <w:szCs w:val="20"/>
                <w:lang w:eastAsia="en-US"/>
              </w:rPr>
              <w:t>tretjega</w:t>
            </w:r>
            <w:r w:rsidR="000B258A">
              <w:rPr>
                <w:sz w:val="20"/>
                <w:szCs w:val="20"/>
                <w:lang w:eastAsia="en-US"/>
              </w:rPr>
              <w:t xml:space="preserve"> in četrtega</w:t>
            </w:r>
            <w:r w:rsidR="00546E3B" w:rsidRPr="00484C2F">
              <w:rPr>
                <w:sz w:val="20"/>
                <w:szCs w:val="20"/>
                <w:lang w:eastAsia="en-US"/>
              </w:rPr>
              <w:t xml:space="preserve"> odstavka 318</w:t>
            </w:r>
            <w:r w:rsidR="000B258A">
              <w:rPr>
                <w:sz w:val="20"/>
                <w:szCs w:val="20"/>
                <w:lang w:eastAsia="en-US"/>
              </w:rPr>
              <w:t xml:space="preserve">. člena ter drugega odstavka 319. člena </w:t>
            </w:r>
            <w:r w:rsidR="00546E3B">
              <w:rPr>
                <w:sz w:val="20"/>
                <w:szCs w:val="20"/>
                <w:lang w:eastAsia="en-US"/>
              </w:rPr>
              <w:t xml:space="preserve"> </w:t>
            </w:r>
            <w:r w:rsidR="00B3466A">
              <w:rPr>
                <w:iCs/>
                <w:sz w:val="20"/>
                <w:szCs w:val="20"/>
              </w:rPr>
              <w:t xml:space="preserve">Energetskega zakona </w:t>
            </w:r>
            <w:r w:rsidR="00B3466A" w:rsidRPr="0075383D">
              <w:rPr>
                <w:iCs/>
                <w:sz w:val="20"/>
                <w:szCs w:val="20"/>
              </w:rPr>
              <w:t>(Uradni list RS, št.</w:t>
            </w:r>
            <w:r w:rsidR="00B3466A">
              <w:rPr>
                <w:iCs/>
                <w:sz w:val="20"/>
                <w:szCs w:val="20"/>
              </w:rPr>
              <w:t xml:space="preserve"> 17/14)</w:t>
            </w:r>
            <w:r w:rsidR="00B3466A" w:rsidRPr="0075383D">
              <w:rPr>
                <w:iCs/>
                <w:sz w:val="20"/>
                <w:szCs w:val="20"/>
              </w:rPr>
              <w:t xml:space="preserve"> </w:t>
            </w:r>
            <w:r w:rsidRPr="0075383D">
              <w:rPr>
                <w:iCs/>
                <w:sz w:val="20"/>
                <w:szCs w:val="20"/>
              </w:rPr>
              <w:t xml:space="preserve">je Vlada Republike Slovenije na … seji dne … pod točko … sprejela naslednji </w:t>
            </w:r>
          </w:p>
          <w:p w:rsidR="00480178" w:rsidRPr="0075383D" w:rsidRDefault="00480178" w:rsidP="00480178">
            <w:pPr>
              <w:pStyle w:val="Neotevilenodstavek"/>
              <w:spacing w:before="0" w:after="0" w:line="240" w:lineRule="auto"/>
              <w:rPr>
                <w:iCs/>
                <w:sz w:val="20"/>
                <w:szCs w:val="20"/>
              </w:rPr>
            </w:pPr>
          </w:p>
          <w:p w:rsidR="00480178" w:rsidRPr="0075383D" w:rsidRDefault="00480178" w:rsidP="00480178">
            <w:pPr>
              <w:pStyle w:val="Neotevilenodstavek"/>
              <w:spacing w:before="0" w:after="0" w:line="240" w:lineRule="auto"/>
              <w:rPr>
                <w:iCs/>
                <w:sz w:val="20"/>
                <w:szCs w:val="20"/>
              </w:rPr>
            </w:pPr>
          </w:p>
          <w:p w:rsidR="00480178" w:rsidRPr="0075383D" w:rsidRDefault="00480178" w:rsidP="00480178">
            <w:pPr>
              <w:pStyle w:val="Neotevilenodstavek"/>
              <w:spacing w:before="0" w:after="0" w:line="240" w:lineRule="auto"/>
              <w:jc w:val="center"/>
              <w:rPr>
                <w:iCs/>
                <w:sz w:val="20"/>
                <w:szCs w:val="20"/>
              </w:rPr>
            </w:pPr>
            <w:r w:rsidRPr="0075383D">
              <w:rPr>
                <w:iCs/>
                <w:sz w:val="20"/>
                <w:szCs w:val="20"/>
              </w:rPr>
              <w:t>SKLEP</w:t>
            </w:r>
            <w:r w:rsidRPr="0075383D">
              <w:rPr>
                <w:iCs/>
                <w:sz w:val="20"/>
                <w:szCs w:val="20"/>
              </w:rPr>
              <w:cr/>
            </w:r>
          </w:p>
          <w:p w:rsidR="00480178" w:rsidRPr="00070BBF" w:rsidRDefault="00480178" w:rsidP="00480178">
            <w:pPr>
              <w:pStyle w:val="Neotevilenodstavek"/>
              <w:rPr>
                <w:sz w:val="20"/>
                <w:szCs w:val="20"/>
              </w:rPr>
            </w:pPr>
            <w:r w:rsidRPr="00070BBF">
              <w:rPr>
                <w:sz w:val="20"/>
                <w:szCs w:val="20"/>
              </w:rPr>
              <w:t xml:space="preserve">Vlada Republike Slovenije </w:t>
            </w:r>
            <w:r w:rsidR="0065326B">
              <w:rPr>
                <w:sz w:val="20"/>
                <w:szCs w:val="20"/>
              </w:rPr>
              <w:t xml:space="preserve">je izdala </w:t>
            </w:r>
            <w:r w:rsidRPr="00070BBF">
              <w:rPr>
                <w:sz w:val="20"/>
                <w:szCs w:val="20"/>
              </w:rPr>
              <w:t xml:space="preserve">Uredbo </w:t>
            </w:r>
            <w:r w:rsidR="00A921AC">
              <w:rPr>
                <w:sz w:val="20"/>
                <w:szCs w:val="20"/>
              </w:rPr>
              <w:t>o</w:t>
            </w:r>
            <w:r w:rsidR="00D81A81">
              <w:rPr>
                <w:sz w:val="20"/>
                <w:szCs w:val="20"/>
              </w:rPr>
              <w:t xml:space="preserve"> zagotavljanju</w:t>
            </w:r>
            <w:r w:rsidR="00A921AC">
              <w:rPr>
                <w:sz w:val="20"/>
                <w:szCs w:val="20"/>
              </w:rPr>
              <w:t xml:space="preserve"> prihrank</w:t>
            </w:r>
            <w:r w:rsidR="00D81A81">
              <w:rPr>
                <w:sz w:val="20"/>
                <w:szCs w:val="20"/>
              </w:rPr>
              <w:t>ov</w:t>
            </w:r>
            <w:r w:rsidR="00A921AC">
              <w:rPr>
                <w:sz w:val="20"/>
                <w:szCs w:val="20"/>
              </w:rPr>
              <w:t xml:space="preserve"> energije </w:t>
            </w:r>
            <w:r w:rsidRPr="00070BBF">
              <w:rPr>
                <w:sz w:val="20"/>
                <w:szCs w:val="20"/>
              </w:rPr>
              <w:t>in jo objavi v Uradnem listu Republike Slovenije.</w:t>
            </w:r>
          </w:p>
          <w:p w:rsidR="00480178" w:rsidRPr="00070BBF" w:rsidRDefault="00480178" w:rsidP="00480178">
            <w:pPr>
              <w:pStyle w:val="Neotevilenodstavek"/>
              <w:rPr>
                <w:sz w:val="20"/>
                <w:szCs w:val="20"/>
              </w:rPr>
            </w:pPr>
          </w:p>
          <w:p w:rsidR="00480178" w:rsidRDefault="00480178" w:rsidP="00480178">
            <w:pPr>
              <w:pStyle w:val="Neotevilenodstavek"/>
              <w:rPr>
                <w:sz w:val="20"/>
                <w:szCs w:val="20"/>
              </w:rPr>
            </w:pPr>
            <w:r w:rsidRPr="00070BBF">
              <w:rPr>
                <w:sz w:val="20"/>
                <w:szCs w:val="20"/>
              </w:rPr>
              <w:t>Št.</w:t>
            </w:r>
            <w:r>
              <w:rPr>
                <w:sz w:val="20"/>
                <w:szCs w:val="20"/>
              </w:rPr>
              <w:t xml:space="preserve"> </w:t>
            </w:r>
          </w:p>
          <w:p w:rsidR="00480178" w:rsidRPr="00070BBF" w:rsidRDefault="00480178" w:rsidP="00480178">
            <w:pPr>
              <w:pStyle w:val="Neotevilenodstavek"/>
              <w:rPr>
                <w:sz w:val="20"/>
                <w:szCs w:val="20"/>
              </w:rPr>
            </w:pPr>
            <w:r w:rsidRPr="00070BBF">
              <w:rPr>
                <w:sz w:val="20"/>
                <w:szCs w:val="20"/>
              </w:rPr>
              <w:t xml:space="preserve">Ljubljana, </w:t>
            </w:r>
          </w:p>
          <w:p w:rsidR="00480178" w:rsidRPr="00070BBF" w:rsidRDefault="00480178" w:rsidP="00480178">
            <w:pPr>
              <w:pStyle w:val="Neotevilenodstavek"/>
              <w:rPr>
                <w:sz w:val="20"/>
                <w:szCs w:val="20"/>
              </w:rPr>
            </w:pPr>
            <w:r w:rsidRPr="00070BBF">
              <w:rPr>
                <w:sz w:val="20"/>
                <w:szCs w:val="20"/>
              </w:rPr>
              <w:t xml:space="preserve">EVA </w:t>
            </w:r>
            <w:r w:rsidR="00082E63" w:rsidRPr="00082E63">
              <w:rPr>
                <w:sz w:val="20"/>
                <w:szCs w:val="20"/>
              </w:rPr>
              <w:t>2014-2430-</w:t>
            </w:r>
            <w:r w:rsidR="00AD1F82">
              <w:rPr>
                <w:sz w:val="20"/>
                <w:szCs w:val="20"/>
              </w:rPr>
              <w:t>0025</w:t>
            </w:r>
          </w:p>
          <w:p w:rsidR="00480178" w:rsidRDefault="00480178" w:rsidP="00480178">
            <w:pPr>
              <w:pStyle w:val="Neotevilenodstavek"/>
              <w:rPr>
                <w:sz w:val="20"/>
                <w:szCs w:val="20"/>
              </w:rPr>
            </w:pPr>
          </w:p>
          <w:p w:rsidR="00480178" w:rsidRPr="0075383D" w:rsidRDefault="00480178" w:rsidP="00480178">
            <w:pPr>
              <w:pStyle w:val="Neotevilenodstavek"/>
              <w:rPr>
                <w:sz w:val="20"/>
                <w:szCs w:val="20"/>
              </w:rPr>
            </w:pPr>
          </w:p>
          <w:p w:rsidR="00480178" w:rsidRPr="0075383D" w:rsidRDefault="00F7117B" w:rsidP="00480178">
            <w:pPr>
              <w:pStyle w:val="Neotevilenodstavek"/>
              <w:ind w:left="6480"/>
              <w:rPr>
                <w:sz w:val="20"/>
                <w:szCs w:val="20"/>
              </w:rPr>
            </w:pPr>
            <w:r>
              <w:rPr>
                <w:sz w:val="20"/>
                <w:szCs w:val="20"/>
              </w:rPr>
              <w:t>mag. Darko Krašovec</w:t>
            </w:r>
          </w:p>
          <w:p w:rsidR="00480178" w:rsidRPr="0075383D" w:rsidRDefault="00F7117B" w:rsidP="00480178">
            <w:pPr>
              <w:pStyle w:val="Neotevilenodstavek"/>
              <w:ind w:left="5760"/>
              <w:rPr>
                <w:sz w:val="20"/>
                <w:szCs w:val="20"/>
              </w:rPr>
            </w:pPr>
            <w:r>
              <w:rPr>
                <w:sz w:val="20"/>
                <w:szCs w:val="20"/>
              </w:rPr>
              <w:t xml:space="preserve">         </w:t>
            </w:r>
            <w:r w:rsidR="00480178" w:rsidRPr="0075383D">
              <w:rPr>
                <w:sz w:val="20"/>
                <w:szCs w:val="20"/>
              </w:rPr>
              <w:t>GENERALN</w:t>
            </w:r>
            <w:r>
              <w:rPr>
                <w:sz w:val="20"/>
                <w:szCs w:val="20"/>
              </w:rPr>
              <w:t>I</w:t>
            </w:r>
            <w:r w:rsidR="00480178" w:rsidRPr="0075383D">
              <w:rPr>
                <w:sz w:val="20"/>
                <w:szCs w:val="20"/>
              </w:rPr>
              <w:t xml:space="preserve"> SEKRETAR</w:t>
            </w:r>
          </w:p>
          <w:p w:rsidR="0053002D" w:rsidRDefault="0053002D" w:rsidP="00480178">
            <w:pPr>
              <w:pStyle w:val="Neotevilenodstavek"/>
              <w:ind w:left="292"/>
              <w:rPr>
                <w:sz w:val="20"/>
                <w:szCs w:val="20"/>
              </w:rPr>
            </w:pPr>
          </w:p>
          <w:p w:rsidR="00480178" w:rsidRPr="0075383D" w:rsidRDefault="00480178" w:rsidP="00480178">
            <w:pPr>
              <w:pStyle w:val="Neotevilenodstavek"/>
              <w:ind w:left="292"/>
              <w:rPr>
                <w:sz w:val="20"/>
                <w:szCs w:val="20"/>
              </w:rPr>
            </w:pPr>
            <w:r w:rsidRPr="0075383D">
              <w:rPr>
                <w:sz w:val="20"/>
                <w:szCs w:val="20"/>
              </w:rPr>
              <w:t>Prejmejo:</w:t>
            </w:r>
          </w:p>
          <w:p w:rsidR="00480178" w:rsidRDefault="00F7117B" w:rsidP="00480178">
            <w:pPr>
              <w:pStyle w:val="Telobesedila"/>
              <w:widowControl w:val="0"/>
              <w:numPr>
                <w:ilvl w:val="0"/>
                <w:numId w:val="23"/>
              </w:numPr>
              <w:suppressAutoHyphens/>
              <w:spacing w:after="0" w:line="240" w:lineRule="auto"/>
              <w:rPr>
                <w:rFonts w:cs="Arial"/>
                <w:szCs w:val="20"/>
                <w:lang w:val="sl-SI"/>
              </w:rPr>
            </w:pPr>
            <w:r>
              <w:rPr>
                <w:rFonts w:cs="Arial"/>
                <w:szCs w:val="20"/>
                <w:lang w:val="sl-SI"/>
              </w:rPr>
              <w:t>Ministrstvo za infrastrukturo</w:t>
            </w:r>
            <w:r w:rsidR="00480178" w:rsidRPr="0075383D">
              <w:rPr>
                <w:rFonts w:cs="Arial"/>
                <w:szCs w:val="20"/>
                <w:lang w:val="sl-SI"/>
              </w:rPr>
              <w:t>,</w:t>
            </w:r>
          </w:p>
          <w:p w:rsidR="00A30636" w:rsidRDefault="00A30636" w:rsidP="00A30636">
            <w:pPr>
              <w:pStyle w:val="Telobesedila"/>
              <w:widowControl w:val="0"/>
              <w:numPr>
                <w:ilvl w:val="0"/>
                <w:numId w:val="23"/>
              </w:numPr>
              <w:suppressAutoHyphens/>
              <w:spacing w:after="0" w:line="240" w:lineRule="auto"/>
              <w:rPr>
                <w:rFonts w:cs="Arial"/>
                <w:szCs w:val="20"/>
                <w:lang w:val="sl-SI"/>
              </w:rPr>
            </w:pPr>
            <w:r w:rsidRPr="00A30636">
              <w:rPr>
                <w:rFonts w:cs="Arial"/>
                <w:szCs w:val="20"/>
                <w:lang w:val="sl-SI"/>
              </w:rPr>
              <w:t>Ministrstvo za</w:t>
            </w:r>
            <w:r>
              <w:rPr>
                <w:rFonts w:cs="Arial"/>
                <w:szCs w:val="20"/>
                <w:lang w:val="sl-SI"/>
              </w:rPr>
              <w:t xml:space="preserve"> finance,</w:t>
            </w:r>
          </w:p>
          <w:p w:rsidR="004A5B99" w:rsidRDefault="004A5B99" w:rsidP="00A30636">
            <w:pPr>
              <w:pStyle w:val="Telobesedila"/>
              <w:widowControl w:val="0"/>
              <w:numPr>
                <w:ilvl w:val="0"/>
                <w:numId w:val="23"/>
              </w:numPr>
              <w:suppressAutoHyphens/>
              <w:spacing w:after="0" w:line="240" w:lineRule="auto"/>
              <w:rPr>
                <w:rFonts w:cs="Arial"/>
                <w:szCs w:val="20"/>
                <w:lang w:val="sl-SI"/>
              </w:rPr>
            </w:pPr>
            <w:r>
              <w:rPr>
                <w:rFonts w:cs="Arial"/>
                <w:szCs w:val="20"/>
                <w:lang w:val="sl-SI"/>
              </w:rPr>
              <w:t>Ministrstvo za gospodarski razvoj in tehnologijo,</w:t>
            </w:r>
          </w:p>
          <w:p w:rsidR="0029709A" w:rsidRPr="0075383D" w:rsidRDefault="0029709A" w:rsidP="00A30636">
            <w:pPr>
              <w:pStyle w:val="Telobesedila"/>
              <w:widowControl w:val="0"/>
              <w:numPr>
                <w:ilvl w:val="0"/>
                <w:numId w:val="23"/>
              </w:numPr>
              <w:suppressAutoHyphens/>
              <w:spacing w:after="0" w:line="240" w:lineRule="auto"/>
              <w:rPr>
                <w:rFonts w:cs="Arial"/>
                <w:szCs w:val="20"/>
                <w:lang w:val="sl-SI"/>
              </w:rPr>
            </w:pPr>
            <w:r>
              <w:rPr>
                <w:rFonts w:cs="Arial"/>
                <w:szCs w:val="20"/>
                <w:lang w:val="sl-SI"/>
              </w:rPr>
              <w:t xml:space="preserve">Ministrstvo za </w:t>
            </w:r>
            <w:r w:rsidR="00F7117B">
              <w:rPr>
                <w:rFonts w:cs="Arial"/>
                <w:szCs w:val="20"/>
                <w:lang w:val="sl-SI"/>
              </w:rPr>
              <w:t>o</w:t>
            </w:r>
            <w:r w:rsidR="00A921AC">
              <w:rPr>
                <w:rFonts w:cs="Arial"/>
                <w:szCs w:val="20"/>
                <w:lang w:val="sl-SI"/>
              </w:rPr>
              <w:t>kolje</w:t>
            </w:r>
            <w:r w:rsidR="00F7117B">
              <w:rPr>
                <w:rFonts w:cs="Arial"/>
                <w:szCs w:val="20"/>
                <w:lang w:val="sl-SI"/>
              </w:rPr>
              <w:t xml:space="preserve"> in prostor</w:t>
            </w:r>
            <w:r w:rsidR="00A921AC">
              <w:rPr>
                <w:rFonts w:cs="Arial"/>
                <w:szCs w:val="20"/>
                <w:lang w:val="sl-SI"/>
              </w:rPr>
              <w:t>,</w:t>
            </w:r>
          </w:p>
          <w:p w:rsidR="00480178" w:rsidRDefault="006B1864" w:rsidP="00480178">
            <w:pPr>
              <w:pStyle w:val="Telobesedila"/>
              <w:widowControl w:val="0"/>
              <w:numPr>
                <w:ilvl w:val="0"/>
                <w:numId w:val="23"/>
              </w:numPr>
              <w:suppressAutoHyphens/>
              <w:spacing w:after="0" w:line="240" w:lineRule="auto"/>
              <w:rPr>
                <w:rFonts w:cs="Arial"/>
                <w:szCs w:val="20"/>
                <w:lang w:val="sl-SI"/>
              </w:rPr>
            </w:pPr>
            <w:r>
              <w:rPr>
                <w:rFonts w:cs="Arial"/>
                <w:szCs w:val="20"/>
                <w:lang w:val="sl-SI"/>
              </w:rPr>
              <w:t>Urad vlade za komuniciranje,</w:t>
            </w:r>
          </w:p>
          <w:p w:rsidR="00480178" w:rsidRPr="00A20336" w:rsidRDefault="00A921AC" w:rsidP="00480178">
            <w:pPr>
              <w:pStyle w:val="Telobesedila"/>
              <w:widowControl w:val="0"/>
              <w:numPr>
                <w:ilvl w:val="0"/>
                <w:numId w:val="23"/>
              </w:numPr>
              <w:suppressAutoHyphens/>
              <w:spacing w:after="0" w:line="240" w:lineRule="auto"/>
              <w:rPr>
                <w:rFonts w:cs="Arial"/>
                <w:szCs w:val="20"/>
                <w:lang w:val="sl-SI"/>
              </w:rPr>
            </w:pPr>
            <w:r>
              <w:rPr>
                <w:rFonts w:cs="Arial"/>
                <w:szCs w:val="20"/>
                <w:lang w:val="sl-SI"/>
              </w:rPr>
              <w:t>Eko sklad, Bleiweisova 30, 1000 Ljubljana</w:t>
            </w:r>
          </w:p>
          <w:p w:rsidR="006B1864" w:rsidRPr="00234B1A" w:rsidRDefault="006B1864" w:rsidP="00A921AC">
            <w:pPr>
              <w:pStyle w:val="Telobesedila"/>
              <w:widowControl w:val="0"/>
              <w:suppressAutoHyphens/>
              <w:spacing w:after="0" w:line="240" w:lineRule="auto"/>
              <w:ind w:left="360"/>
              <w:rPr>
                <w:rFonts w:cs="Arial"/>
                <w:szCs w:val="20"/>
                <w:lang w:val="sl-SI"/>
              </w:rPr>
            </w:pP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F02B4B" w:rsidRPr="008D1759" w:rsidTr="003F712A">
        <w:tc>
          <w:tcPr>
            <w:tcW w:w="9163" w:type="dxa"/>
            <w:gridSpan w:val="4"/>
          </w:tcPr>
          <w:p w:rsidR="00F02B4B" w:rsidRPr="0053002D" w:rsidRDefault="0053002D" w:rsidP="003F712A">
            <w:pPr>
              <w:pStyle w:val="Neotevilenodstavek"/>
              <w:spacing w:before="0" w:after="0" w:line="260" w:lineRule="exact"/>
              <w:rPr>
                <w:iCs/>
                <w:sz w:val="20"/>
                <w:szCs w:val="20"/>
              </w:rPr>
            </w:pPr>
            <w:r w:rsidRPr="0053002D">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F02B4B" w:rsidRPr="008D1759" w:rsidTr="003F712A">
        <w:tc>
          <w:tcPr>
            <w:tcW w:w="9163" w:type="dxa"/>
            <w:gridSpan w:val="4"/>
          </w:tcPr>
          <w:p w:rsidR="00480178" w:rsidRDefault="00480178" w:rsidP="00480178">
            <w:pPr>
              <w:pStyle w:val="Neotevilenodstavek"/>
              <w:numPr>
                <w:ilvl w:val="0"/>
                <w:numId w:val="22"/>
              </w:numPr>
              <w:spacing w:before="0" w:after="0" w:line="240" w:lineRule="auto"/>
              <w:ind w:left="714" w:hanging="357"/>
              <w:rPr>
                <w:iCs/>
                <w:sz w:val="20"/>
                <w:szCs w:val="20"/>
              </w:rPr>
            </w:pPr>
            <w:bookmarkStart w:id="0" w:name="OLE_LINK1"/>
            <w:r w:rsidRPr="0075383D">
              <w:rPr>
                <w:iCs/>
                <w:sz w:val="20"/>
                <w:szCs w:val="20"/>
              </w:rPr>
              <w:t>Danijel Levičar, generaln</w:t>
            </w:r>
            <w:r>
              <w:rPr>
                <w:iCs/>
                <w:sz w:val="20"/>
                <w:szCs w:val="20"/>
              </w:rPr>
              <w:t>i direktor</w:t>
            </w:r>
            <w:r w:rsidRPr="0075383D">
              <w:rPr>
                <w:iCs/>
                <w:sz w:val="20"/>
                <w:szCs w:val="20"/>
              </w:rPr>
              <w:t xml:space="preserve"> Direktorata za energijo, Ministrstvo za infrastrukturo,</w:t>
            </w:r>
          </w:p>
          <w:p w:rsidR="00A921AC" w:rsidRDefault="00480178" w:rsidP="00A921AC">
            <w:pPr>
              <w:pStyle w:val="Neotevilenodstavek"/>
              <w:numPr>
                <w:ilvl w:val="0"/>
                <w:numId w:val="22"/>
              </w:numPr>
              <w:spacing w:before="0" w:after="0" w:line="240" w:lineRule="auto"/>
              <w:ind w:left="714" w:hanging="357"/>
              <w:rPr>
                <w:iCs/>
                <w:sz w:val="20"/>
                <w:szCs w:val="20"/>
              </w:rPr>
            </w:pPr>
            <w:r w:rsidRPr="00480178">
              <w:rPr>
                <w:iCs/>
                <w:sz w:val="20"/>
                <w:szCs w:val="20"/>
              </w:rPr>
              <w:t xml:space="preserve">mag. </w:t>
            </w:r>
            <w:r w:rsidR="00A921AC">
              <w:rPr>
                <w:iCs/>
                <w:sz w:val="20"/>
                <w:szCs w:val="20"/>
              </w:rPr>
              <w:t>Mojca Vendramin</w:t>
            </w:r>
            <w:r w:rsidRPr="00480178">
              <w:rPr>
                <w:iCs/>
                <w:sz w:val="20"/>
                <w:szCs w:val="20"/>
              </w:rPr>
              <w:t>, sekretar</w:t>
            </w:r>
            <w:r w:rsidR="00A921AC">
              <w:rPr>
                <w:iCs/>
                <w:sz w:val="20"/>
                <w:szCs w:val="20"/>
              </w:rPr>
              <w:t>ka</w:t>
            </w:r>
            <w:r w:rsidRPr="00480178">
              <w:rPr>
                <w:iCs/>
                <w:sz w:val="20"/>
                <w:szCs w:val="20"/>
              </w:rPr>
              <w:t xml:space="preserve">, Sektor za </w:t>
            </w:r>
            <w:r w:rsidR="00A921AC">
              <w:rPr>
                <w:iCs/>
                <w:sz w:val="20"/>
                <w:szCs w:val="20"/>
              </w:rPr>
              <w:t>učinkovito rabo in obnovljive vire energije</w:t>
            </w:r>
            <w:r w:rsidRPr="00480178">
              <w:rPr>
                <w:iCs/>
                <w:sz w:val="20"/>
                <w:szCs w:val="20"/>
              </w:rPr>
              <w:t>, Ministrstvo za infrastrukturo</w:t>
            </w:r>
            <w:r w:rsidR="00A921AC">
              <w:rPr>
                <w:iCs/>
                <w:sz w:val="20"/>
                <w:szCs w:val="20"/>
              </w:rPr>
              <w:t>,</w:t>
            </w:r>
          </w:p>
          <w:p w:rsidR="00F02B4B" w:rsidRPr="00480178" w:rsidRDefault="00A921AC" w:rsidP="00F7117B">
            <w:pPr>
              <w:pStyle w:val="Neotevilenodstavek"/>
              <w:numPr>
                <w:ilvl w:val="0"/>
                <w:numId w:val="22"/>
              </w:numPr>
              <w:spacing w:before="0" w:after="0" w:line="240" w:lineRule="auto"/>
              <w:ind w:left="714" w:hanging="357"/>
              <w:rPr>
                <w:iCs/>
                <w:sz w:val="20"/>
                <w:szCs w:val="20"/>
              </w:rPr>
            </w:pPr>
            <w:r w:rsidRPr="00480178">
              <w:rPr>
                <w:iCs/>
                <w:sz w:val="20"/>
                <w:szCs w:val="20"/>
              </w:rPr>
              <w:t xml:space="preserve">mag. </w:t>
            </w:r>
            <w:r w:rsidR="00771DC9">
              <w:rPr>
                <w:iCs/>
                <w:sz w:val="20"/>
                <w:szCs w:val="20"/>
              </w:rPr>
              <w:t>Hinko Šolinc</w:t>
            </w:r>
            <w:r w:rsidRPr="00480178">
              <w:rPr>
                <w:iCs/>
                <w:sz w:val="20"/>
                <w:szCs w:val="20"/>
              </w:rPr>
              <w:t xml:space="preserve">, sekretar, Sektor za </w:t>
            </w:r>
            <w:r>
              <w:rPr>
                <w:iCs/>
                <w:sz w:val="20"/>
                <w:szCs w:val="20"/>
              </w:rPr>
              <w:t>učinkovito rabo in obnovljive vire energije</w:t>
            </w:r>
            <w:r w:rsidRPr="00480178">
              <w:rPr>
                <w:iCs/>
                <w:sz w:val="20"/>
                <w:szCs w:val="20"/>
              </w:rPr>
              <w:t>, Ministrstvo za infrastrukturo</w:t>
            </w:r>
            <w:r w:rsidR="00480178" w:rsidRPr="00480178">
              <w:rPr>
                <w:iCs/>
                <w:sz w:val="20"/>
                <w:szCs w:val="20"/>
              </w:rPr>
              <w:t>.</w:t>
            </w:r>
            <w:bookmarkEnd w:id="0"/>
          </w:p>
        </w:tc>
      </w:tr>
      <w:tr w:rsidR="00F02B4B" w:rsidRPr="008D1759" w:rsidTr="003F712A">
        <w:tc>
          <w:tcPr>
            <w:tcW w:w="9163" w:type="dxa"/>
            <w:gridSpan w:val="4"/>
          </w:tcPr>
          <w:p w:rsidR="00F02B4B" w:rsidRPr="005F3DC6" w:rsidRDefault="00F02B4B" w:rsidP="003F712A">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F02B4B" w:rsidRPr="008D1759" w:rsidTr="003F712A">
        <w:tc>
          <w:tcPr>
            <w:tcW w:w="9163" w:type="dxa"/>
            <w:gridSpan w:val="4"/>
          </w:tcPr>
          <w:p w:rsidR="00F02B4B" w:rsidRPr="008D1759" w:rsidRDefault="00480178" w:rsidP="003F712A">
            <w:pPr>
              <w:pStyle w:val="Neotevilenodstavek"/>
              <w:spacing w:before="0" w:after="0" w:line="260" w:lineRule="exact"/>
              <w:rPr>
                <w:iCs/>
                <w:sz w:val="20"/>
                <w:szCs w:val="20"/>
              </w:rPr>
            </w:pPr>
            <w:r>
              <w:rPr>
                <w:iCs/>
                <w:sz w:val="20"/>
                <w:szCs w:val="20"/>
              </w:rPr>
              <w:lastRenderedPageBreak/>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F02B4B" w:rsidRPr="008D1759" w:rsidTr="003F712A">
        <w:tc>
          <w:tcPr>
            <w:tcW w:w="9163" w:type="dxa"/>
            <w:gridSpan w:val="4"/>
          </w:tcPr>
          <w:p w:rsidR="00F02B4B" w:rsidRPr="0053002D" w:rsidRDefault="0053002D" w:rsidP="003F712A">
            <w:pPr>
              <w:pStyle w:val="Neotevilenodstavek"/>
              <w:spacing w:before="0" w:after="0" w:line="260" w:lineRule="exact"/>
              <w:rPr>
                <w:b/>
                <w:sz w:val="20"/>
                <w:szCs w:val="20"/>
              </w:rPr>
            </w:pPr>
            <w:r w:rsidRPr="0053002D">
              <w:rPr>
                <w:b/>
                <w:sz w:val="20"/>
                <w:szCs w:val="20"/>
              </w:rPr>
              <w:t>/</w:t>
            </w: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F02B4B" w:rsidRPr="008D1759" w:rsidTr="003F712A">
        <w:tc>
          <w:tcPr>
            <w:tcW w:w="9163" w:type="dxa"/>
            <w:gridSpan w:val="4"/>
          </w:tcPr>
          <w:p w:rsidR="008F57B5" w:rsidRPr="008F57B5" w:rsidRDefault="008F57B5" w:rsidP="008F57B5">
            <w:pPr>
              <w:pStyle w:val="Neotevilenodstavek"/>
              <w:spacing w:after="120" w:line="260" w:lineRule="exact"/>
              <w:rPr>
                <w:iCs/>
                <w:sz w:val="20"/>
                <w:szCs w:val="20"/>
              </w:rPr>
            </w:pPr>
            <w:r w:rsidRPr="008F57B5">
              <w:rPr>
                <w:iCs/>
                <w:sz w:val="20"/>
                <w:szCs w:val="20"/>
              </w:rPr>
              <w:t>V skladu s 7. členom Direktive 2012/27/EU o energetski učinkovitosti mora vsaka država članica določiti sistem obveznosti energetske učinkovitosti, s katerim zagotovi, da distributerji energije oziroma podjetja za maloprodajo energije vsako leto dosežejo prihranke energije v višini 1,5 % letne količine prodane energije končnim odjemalcem.</w:t>
            </w:r>
          </w:p>
          <w:p w:rsidR="0063157F" w:rsidRDefault="008F57B5" w:rsidP="008F57B5">
            <w:pPr>
              <w:pStyle w:val="Neotevilenodstavek"/>
              <w:spacing w:before="0" w:after="120" w:line="260" w:lineRule="exact"/>
              <w:rPr>
                <w:iCs/>
                <w:sz w:val="20"/>
                <w:szCs w:val="20"/>
              </w:rPr>
            </w:pPr>
            <w:r w:rsidRPr="008F57B5">
              <w:rPr>
                <w:iCs/>
                <w:sz w:val="20"/>
                <w:szCs w:val="20"/>
              </w:rPr>
              <w:t xml:space="preserve">V Sloveniji bomo en del te zaveze dosegli z obveznostmi dobaviteljev energije, drug del pa preko spodbud Eko sklada. In sicer </w:t>
            </w:r>
            <w:r>
              <w:rPr>
                <w:iCs/>
                <w:sz w:val="20"/>
                <w:szCs w:val="20"/>
              </w:rPr>
              <w:t xml:space="preserve"> </w:t>
            </w:r>
            <w:r w:rsidR="0053002D" w:rsidRPr="0053002D">
              <w:rPr>
                <w:iCs/>
                <w:sz w:val="20"/>
                <w:szCs w:val="20"/>
              </w:rPr>
              <w:t xml:space="preserve">Energetski zakon </w:t>
            </w:r>
            <w:r w:rsidR="0053002D">
              <w:rPr>
                <w:iCs/>
                <w:sz w:val="20"/>
                <w:szCs w:val="20"/>
              </w:rPr>
              <w:t xml:space="preserve">(EZ-1) (Uradni list RS, št. 17/14) </w:t>
            </w:r>
            <w:r w:rsidR="0063157F" w:rsidRPr="0063157F">
              <w:rPr>
                <w:iCs/>
                <w:sz w:val="20"/>
                <w:szCs w:val="20"/>
              </w:rPr>
              <w:t>v 318. in 319. členu določa, da morajo vsi dobavitelji energije končnim odjemalcem (v nadaljevanju: zavezanci) zagotavljati prihranke energije pri končnih odjemalcih.</w:t>
            </w:r>
            <w:r w:rsidR="00AA650B">
              <w:rPr>
                <w:iCs/>
                <w:sz w:val="20"/>
                <w:szCs w:val="20"/>
              </w:rPr>
              <w:t xml:space="preserve"> </w:t>
            </w:r>
            <w:r>
              <w:rPr>
                <w:iCs/>
                <w:sz w:val="20"/>
                <w:szCs w:val="20"/>
              </w:rPr>
              <w:t>Ta u</w:t>
            </w:r>
            <w:r w:rsidR="0063157F" w:rsidRPr="0063157F">
              <w:rPr>
                <w:iCs/>
                <w:sz w:val="20"/>
                <w:szCs w:val="20"/>
              </w:rPr>
              <w:t>redba določa obdobje in višino prihrankov končne energije (v nadaljnjem besedilu: prihranki energije), način izračuna prihrankov energije, porazdelitev prihrankov energije po posam</w:t>
            </w:r>
            <w:r w:rsidR="00AA650B">
              <w:rPr>
                <w:iCs/>
                <w:sz w:val="20"/>
                <w:szCs w:val="20"/>
              </w:rPr>
              <w:t xml:space="preserve">eznih letih določenega obdobja </w:t>
            </w:r>
            <w:r w:rsidR="0063157F" w:rsidRPr="0063157F">
              <w:rPr>
                <w:iCs/>
                <w:sz w:val="20"/>
                <w:szCs w:val="20"/>
              </w:rPr>
              <w:t xml:space="preserve">ter vrste energetskih storitev in ukrepov za doseganje prihrankov energije. </w:t>
            </w:r>
          </w:p>
          <w:p w:rsidR="00AA650B" w:rsidRDefault="00AA650B" w:rsidP="004A5B99">
            <w:pPr>
              <w:pStyle w:val="Neotevilenodstavek"/>
              <w:spacing w:before="0" w:after="120" w:line="260" w:lineRule="exact"/>
              <w:rPr>
                <w:iCs/>
                <w:sz w:val="20"/>
                <w:szCs w:val="20"/>
              </w:rPr>
            </w:pPr>
            <w:r>
              <w:rPr>
                <w:iCs/>
                <w:sz w:val="20"/>
                <w:szCs w:val="20"/>
              </w:rPr>
              <w:t>Pri tem so v največji dopuščeni meri upoštevane oziroma uporabljen</w:t>
            </w:r>
            <w:r w:rsidR="0065326B">
              <w:rPr>
                <w:iCs/>
                <w:sz w:val="20"/>
                <w:szCs w:val="20"/>
              </w:rPr>
              <w:t>e</w:t>
            </w:r>
            <w:r>
              <w:rPr>
                <w:iCs/>
                <w:sz w:val="20"/>
                <w:szCs w:val="20"/>
              </w:rPr>
              <w:t xml:space="preserve"> izjem</w:t>
            </w:r>
            <w:r w:rsidR="0065326B">
              <w:rPr>
                <w:iCs/>
                <w:sz w:val="20"/>
                <w:szCs w:val="20"/>
              </w:rPr>
              <w:t>e</w:t>
            </w:r>
            <w:r>
              <w:rPr>
                <w:iCs/>
                <w:sz w:val="20"/>
                <w:szCs w:val="20"/>
              </w:rPr>
              <w:t>, ki jih dopušča Direktiva 2012/27/EU o energetski učinkovitosti, tako da bodo zavezanci za doseganje prihrankov in posredno odjemalci energije, ukrep začeli uporabljati postopoma.</w:t>
            </w:r>
          </w:p>
          <w:p w:rsidR="008F57B5" w:rsidRDefault="008F57B5" w:rsidP="004A5B99">
            <w:pPr>
              <w:pStyle w:val="Neotevilenodstavek"/>
              <w:spacing w:before="0" w:after="120" w:line="260" w:lineRule="exact"/>
              <w:rPr>
                <w:iCs/>
                <w:sz w:val="20"/>
                <w:szCs w:val="20"/>
              </w:rPr>
            </w:pPr>
            <w:r w:rsidRPr="008F57B5">
              <w:rPr>
                <w:iCs/>
                <w:sz w:val="20"/>
                <w:szCs w:val="20"/>
              </w:rPr>
              <w:t xml:space="preserve">Druga polovica prihrankov energije na podlagi obveznosti 7. člena Direktive o energetski učinkovitosti pa bo dosežena z izvajanjem ukrepov Eko sklada, za kar je pravna podlaga dana v 314. in 317. členu EZ-1. V drugem odstavku 314. člena je določeno, da Eko sklad na nacionalni ravni pripravlja in izvaja program za izboljšanje energetske učinkovitosti. Ta Uredba določa tudi višino prispevka na rabo energije za povečanje energetske učinkovitosti za izvajanje programa Eko sklada, Slovenskega okoljskega javnega sklada (v nadaljnjem besedilu: Eko sklad) za izboljšanje energetske učinkovitosti. </w:t>
            </w:r>
          </w:p>
          <w:p w:rsidR="0063157F" w:rsidRPr="0063157F" w:rsidRDefault="0063157F" w:rsidP="004A5B99">
            <w:pPr>
              <w:pStyle w:val="Neotevilenodstavek"/>
              <w:spacing w:before="0" w:after="120" w:line="260" w:lineRule="exact"/>
              <w:rPr>
                <w:iCs/>
                <w:sz w:val="20"/>
                <w:szCs w:val="20"/>
              </w:rPr>
            </w:pPr>
            <w:r w:rsidRPr="0063157F">
              <w:rPr>
                <w:iCs/>
                <w:sz w:val="20"/>
                <w:szCs w:val="20"/>
              </w:rPr>
              <w:t xml:space="preserve">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plačujejo operaterju, kjer ta obstaja, pri drugih energentih pa dobavitelju energije oziroma goriv, le ta pa jih nakazuje Eko skladu. </w:t>
            </w:r>
          </w:p>
          <w:p w:rsidR="00AA650B" w:rsidRDefault="0063157F" w:rsidP="004A5B99">
            <w:pPr>
              <w:pStyle w:val="Neotevilenodstavek"/>
              <w:spacing w:before="0" w:after="120" w:line="260" w:lineRule="exact"/>
              <w:rPr>
                <w:iCs/>
                <w:sz w:val="20"/>
                <w:szCs w:val="20"/>
              </w:rPr>
            </w:pPr>
            <w:r w:rsidRPr="0063157F">
              <w:rPr>
                <w:iCs/>
                <w:sz w:val="20"/>
                <w:szCs w:val="20"/>
              </w:rPr>
              <w:t xml:space="preserve">Višina prispevka je določena tako, da je vsaka kilovatna ure energije, ne glede na to v kakšni obliki je, enakomerno obremenjena. Skupna zbrana sredstva na letnem nivoju morajo zadoščati za izvajanje programa Eko sklada. </w:t>
            </w:r>
            <w:r w:rsidR="00AA650B">
              <w:rPr>
                <w:iCs/>
                <w:sz w:val="20"/>
                <w:szCs w:val="20"/>
              </w:rPr>
              <w:t xml:space="preserve">Na podlagi uredbe bo na letnem nivoju zbranih </w:t>
            </w:r>
            <w:r w:rsidR="00F93A63">
              <w:rPr>
                <w:iCs/>
                <w:sz w:val="20"/>
                <w:szCs w:val="20"/>
              </w:rPr>
              <w:t>okrog 35</w:t>
            </w:r>
            <w:r w:rsidR="00AA650B">
              <w:rPr>
                <w:iCs/>
                <w:sz w:val="20"/>
                <w:szCs w:val="20"/>
              </w:rPr>
              <w:t xml:space="preserve"> mio EUR. Ta sredstva bo Eko sklad </w:t>
            </w:r>
            <w:r w:rsidR="008F57B5" w:rsidRPr="008F57B5">
              <w:rPr>
                <w:iCs/>
                <w:sz w:val="20"/>
                <w:szCs w:val="20"/>
              </w:rPr>
              <w:t xml:space="preserve">namenil za spodbude </w:t>
            </w:r>
            <w:r w:rsidR="00AA650B">
              <w:rPr>
                <w:iCs/>
                <w:sz w:val="20"/>
                <w:szCs w:val="20"/>
              </w:rPr>
              <w:t>za energetsko sanacijo stavb.</w:t>
            </w:r>
          </w:p>
          <w:p w:rsidR="00771DC9" w:rsidRPr="00F02B4B" w:rsidRDefault="00771DC9" w:rsidP="00771DC9">
            <w:pPr>
              <w:pStyle w:val="Neotevilenodstavek"/>
              <w:spacing w:before="0" w:after="0" w:line="260" w:lineRule="exact"/>
              <w:rPr>
                <w:iCs/>
                <w:color w:val="FF0000"/>
                <w:sz w:val="20"/>
                <w:szCs w:val="20"/>
              </w:rPr>
            </w:pP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02B4B" w:rsidRPr="008D1759" w:rsidRDefault="00F02B4B" w:rsidP="003F71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60532D">
              <w:rPr>
                <w:b/>
                <w:sz w:val="20"/>
                <w:szCs w:val="20"/>
              </w:rPr>
              <w:t>DA</w:t>
            </w:r>
            <w:r>
              <w:rPr>
                <w:sz w:val="20"/>
                <w:szCs w:val="20"/>
              </w:rPr>
              <w:t>/</w:t>
            </w:r>
            <w:r w:rsidRPr="0060532D">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53002D">
              <w:rPr>
                <w:b/>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F02B4B" w:rsidRPr="00E9424F" w:rsidRDefault="00F02B4B" w:rsidP="00E9424F">
            <w:pPr>
              <w:pStyle w:val="Neotevilenodstavek"/>
              <w:spacing w:before="0" w:after="0" w:line="260" w:lineRule="exact"/>
              <w:rPr>
                <w:iCs/>
                <w:sz w:val="20"/>
                <w:szCs w:val="20"/>
              </w:rPr>
            </w:pPr>
            <w:r w:rsidRPr="00E9424F">
              <w:rPr>
                <w:sz w:val="20"/>
                <w:szCs w:val="20"/>
              </w:rPr>
              <w:t>administrativne posledice</w:t>
            </w:r>
            <w:r w:rsidR="002475D6" w:rsidRPr="00E9424F">
              <w:rPr>
                <w:sz w:val="20"/>
                <w:szCs w:val="20"/>
              </w:rPr>
              <w:t xml:space="preserve">: </w:t>
            </w:r>
          </w:p>
        </w:tc>
        <w:tc>
          <w:tcPr>
            <w:tcW w:w="2271" w:type="dxa"/>
            <w:vAlign w:val="center"/>
          </w:tcPr>
          <w:p w:rsidR="00F02B4B" w:rsidRPr="00A24E98" w:rsidRDefault="00F02B4B" w:rsidP="003F712A">
            <w:pPr>
              <w:pStyle w:val="Neotevilenodstavek"/>
              <w:spacing w:before="0" w:after="0" w:line="260" w:lineRule="exact"/>
              <w:jc w:val="center"/>
              <w:rPr>
                <w:sz w:val="20"/>
                <w:szCs w:val="20"/>
              </w:rPr>
            </w:pPr>
            <w:r w:rsidRPr="00E1223F">
              <w:rPr>
                <w:sz w:val="20"/>
                <w:szCs w:val="20"/>
              </w:rPr>
              <w:t>DA</w:t>
            </w:r>
            <w:r w:rsidRPr="008D1759">
              <w:rPr>
                <w:sz w:val="20"/>
                <w:szCs w:val="20"/>
              </w:rPr>
              <w:t>/</w:t>
            </w:r>
            <w:r w:rsidRPr="00E1223F">
              <w:rPr>
                <w:b/>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F02B4B" w:rsidRPr="00E9424F" w:rsidRDefault="00F02B4B" w:rsidP="00E9424F">
            <w:pPr>
              <w:pStyle w:val="Neotevilenodstavek"/>
              <w:spacing w:before="0" w:after="0" w:line="260" w:lineRule="exact"/>
              <w:rPr>
                <w:bCs/>
                <w:sz w:val="20"/>
                <w:szCs w:val="20"/>
              </w:rPr>
            </w:pPr>
            <w:r w:rsidRPr="00E9424F">
              <w:rPr>
                <w:sz w:val="20"/>
                <w:szCs w:val="20"/>
              </w:rPr>
              <w:t>gospodarstvo, zlasti</w:t>
            </w:r>
            <w:r w:rsidRPr="00E9424F">
              <w:rPr>
                <w:bCs/>
                <w:sz w:val="20"/>
                <w:szCs w:val="20"/>
              </w:rPr>
              <w:t xml:space="preserve"> mala in srednja podjetja ter konkurenčnost podjetij</w:t>
            </w:r>
            <w:r w:rsidR="002475D6" w:rsidRPr="00E9424F">
              <w:rPr>
                <w:bCs/>
                <w:sz w:val="20"/>
                <w:szCs w:val="20"/>
              </w:rPr>
              <w:t>:</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E1223F">
              <w:rPr>
                <w:b/>
                <w:sz w:val="20"/>
                <w:szCs w:val="20"/>
              </w:rPr>
              <w:t>DA</w:t>
            </w:r>
            <w:r w:rsidRPr="008D1759">
              <w:rPr>
                <w:sz w:val="20"/>
                <w:szCs w:val="20"/>
              </w:rPr>
              <w:t>/</w:t>
            </w:r>
            <w:r w:rsidRPr="00E1223F">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F02B4B" w:rsidRPr="008D1759" w:rsidRDefault="00F02B4B" w:rsidP="003F71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8D1759">
              <w:rPr>
                <w:sz w:val="20"/>
                <w:szCs w:val="20"/>
              </w:rPr>
              <w:t>/</w:t>
            </w:r>
            <w:r w:rsidRPr="002475D6">
              <w:rPr>
                <w:b/>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F02B4B" w:rsidRPr="008D1759" w:rsidRDefault="00F02B4B" w:rsidP="003F712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E1223F">
              <w:rPr>
                <w:b/>
                <w:sz w:val="20"/>
                <w:szCs w:val="20"/>
              </w:rPr>
              <w:t>DA</w:t>
            </w:r>
            <w:r>
              <w:rPr>
                <w:sz w:val="20"/>
                <w:szCs w:val="20"/>
              </w:rPr>
              <w:t>/</w:t>
            </w:r>
            <w:r w:rsidRPr="00E1223F">
              <w:rPr>
                <w:sz w:val="20"/>
                <w:szCs w:val="20"/>
              </w:rPr>
              <w:t>NE</w:t>
            </w:r>
          </w:p>
        </w:tc>
      </w:tr>
      <w:tr w:rsidR="00F02B4B" w:rsidRPr="008D1759" w:rsidTr="003F712A">
        <w:tc>
          <w:tcPr>
            <w:tcW w:w="1448" w:type="dxa"/>
            <w:tcBorders>
              <w:bottom w:val="single" w:sz="4" w:space="0" w:color="auto"/>
            </w:tcBorders>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F02B4B" w:rsidRPr="008D1759" w:rsidRDefault="00F02B4B" w:rsidP="003F71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nacionalne d</w:t>
            </w:r>
            <w:r>
              <w:rPr>
                <w:bCs/>
                <w:sz w:val="20"/>
                <w:szCs w:val="20"/>
              </w:rPr>
              <w:t>okumente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politike na ravni programov po strukturi razvojne klasifikacije programskega proračuna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r w:rsidRPr="008D1759">
              <w:rPr>
                <w:sz w:val="20"/>
                <w:szCs w:val="20"/>
              </w:rPr>
              <w:t>/</w:t>
            </w:r>
            <w:r w:rsidRPr="002475D6">
              <w:rPr>
                <w:b/>
                <w:sz w:val="20"/>
                <w:szCs w:val="20"/>
              </w:rPr>
              <w:t>NE</w:t>
            </w:r>
          </w:p>
        </w:tc>
      </w:tr>
      <w:tr w:rsidR="00F02B4B" w:rsidRPr="008D1759"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F02B4B" w:rsidRDefault="0060532D" w:rsidP="0060532D">
            <w:pPr>
              <w:pStyle w:val="Oddelek"/>
              <w:widowControl w:val="0"/>
              <w:numPr>
                <w:ilvl w:val="0"/>
                <w:numId w:val="0"/>
              </w:numPr>
              <w:spacing w:before="0" w:after="0" w:line="260" w:lineRule="exact"/>
              <w:jc w:val="left"/>
              <w:rPr>
                <w:b w:val="0"/>
                <w:sz w:val="20"/>
                <w:szCs w:val="20"/>
              </w:rPr>
            </w:pPr>
            <w:r>
              <w:rPr>
                <w:b w:val="0"/>
                <w:sz w:val="20"/>
                <w:szCs w:val="20"/>
              </w:rPr>
              <w:lastRenderedPageBreak/>
              <w:t>Sprejem uredbe bi lahko imel posredni vpliv na proračun RS. Ob predpostavki, da se pri enaki končni ceni energentov, ki vključuje vse dajatve in davščine, proda enaka količina energentov, bi povečanje prispevka za energetsko učinkovitost lahko povzročilo manjšo prodajo energentov. Če bi želeli ohraniti enako končno ceno energentov in s tem enako količino prodanih energentov, bi bilo potrebno zmanjšati druge dajatve, ki bremenijo energente.</w:t>
            </w:r>
          </w:p>
          <w:p w:rsidR="0060532D" w:rsidRPr="002475D6" w:rsidRDefault="0060532D" w:rsidP="0060532D">
            <w:pPr>
              <w:pStyle w:val="Oddelek"/>
              <w:widowControl w:val="0"/>
              <w:numPr>
                <w:ilvl w:val="0"/>
                <w:numId w:val="0"/>
              </w:numPr>
              <w:spacing w:before="0" w:after="0" w:line="260" w:lineRule="exact"/>
              <w:jc w:val="left"/>
              <w:rPr>
                <w:b w:val="0"/>
                <w:sz w:val="20"/>
                <w:szCs w:val="20"/>
              </w:rPr>
            </w:pPr>
          </w:p>
        </w:tc>
      </w:tr>
    </w:tbl>
    <w:p w:rsidR="00F02B4B" w:rsidRPr="008D1759"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8D1759"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D1759" w:rsidRDefault="00F02B4B" w:rsidP="003F712A">
            <w:pPr>
              <w:pStyle w:val="Naslov1"/>
              <w:keepNext w:val="0"/>
              <w:pageBreakBefore/>
              <w:widowControl w:val="0"/>
              <w:tabs>
                <w:tab w:val="left" w:pos="2340"/>
              </w:tabs>
              <w:spacing w:before="0" w:after="0"/>
              <w:ind w:left="142" w:hanging="142"/>
              <w:rPr>
                <w:sz w:val="20"/>
                <w:szCs w:val="20"/>
              </w:rPr>
            </w:pPr>
            <w:r w:rsidRPr="008D1759">
              <w:rPr>
                <w:sz w:val="20"/>
                <w:szCs w:val="20"/>
              </w:rPr>
              <w:lastRenderedPageBreak/>
              <w:t>I. Ocena finančnih posledic, ki niso načrtovane v sprejetem proračunu</w:t>
            </w:r>
          </w:p>
        </w:tc>
      </w:tr>
      <w:tr w:rsidR="00F02B4B" w:rsidRPr="008D1759"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proofErr w:type="spellStart"/>
            <w:r>
              <w:rPr>
                <w:sz w:val="20"/>
                <w:szCs w:val="20"/>
              </w:rPr>
              <w:t>II.a</w:t>
            </w:r>
            <w:proofErr w:type="spellEnd"/>
            <w:r w:rsidRPr="008D1759">
              <w:rPr>
                <w:sz w:val="20"/>
                <w:szCs w:val="20"/>
              </w:rPr>
              <w:t xml:space="preserve"> Pravice porabe za izvedbo predlaganih rešitev </w:t>
            </w:r>
            <w:r>
              <w:rPr>
                <w:sz w:val="20"/>
                <w:szCs w:val="20"/>
              </w:rPr>
              <w:t>so zagotovljene</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II.b</w:t>
            </w:r>
            <w:proofErr w:type="spellEnd"/>
            <w:r w:rsidRPr="008D1759">
              <w:rPr>
                <w:sz w:val="20"/>
                <w:szCs w:val="20"/>
              </w:rPr>
              <w:t xml:space="preserve"> Manjkajoče pravice porabe bodo za</w:t>
            </w:r>
            <w:r>
              <w:rPr>
                <w:sz w:val="20"/>
                <w:szCs w:val="20"/>
              </w:rPr>
              <w:t>gotovljene s prerazporeditvijo</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II.c</w:t>
            </w:r>
            <w:proofErr w:type="spellEnd"/>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F02B4B" w:rsidRPr="008D1759"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8D1759" w:rsidRDefault="00F02B4B" w:rsidP="003F712A">
            <w:pPr>
              <w:widowControl w:val="0"/>
              <w:spacing w:line="260" w:lineRule="exact"/>
              <w:rPr>
                <w:rFonts w:ascii="Arial" w:hAnsi="Arial" w:cs="Arial"/>
                <w:b/>
                <w:sz w:val="20"/>
                <w:szCs w:val="20"/>
              </w:rPr>
            </w:pPr>
          </w:p>
          <w:p w:rsidR="00F02B4B" w:rsidRPr="008D1759" w:rsidRDefault="00F02B4B" w:rsidP="003F712A">
            <w:pPr>
              <w:widowControl w:val="0"/>
              <w:spacing w:line="260" w:lineRule="exact"/>
              <w:rPr>
                <w:rFonts w:ascii="Arial" w:hAnsi="Arial" w:cs="Arial"/>
                <w:b/>
                <w:sz w:val="20"/>
                <w:szCs w:val="20"/>
              </w:rPr>
            </w:pPr>
            <w:r w:rsidRPr="008D1759">
              <w:rPr>
                <w:rFonts w:ascii="Arial" w:hAnsi="Arial" w:cs="Arial"/>
                <w:b/>
                <w:sz w:val="20"/>
                <w:szCs w:val="20"/>
              </w:rPr>
              <w:t>OBRAZLOŽITEV:</w:t>
            </w: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F02B4B" w:rsidRPr="008D1759" w:rsidRDefault="0063157F" w:rsidP="00F02B4B">
            <w:pPr>
              <w:widowControl w:val="0"/>
              <w:numPr>
                <w:ilvl w:val="0"/>
                <w:numId w:val="18"/>
              </w:numPr>
              <w:spacing w:line="260" w:lineRule="exact"/>
              <w:jc w:val="both"/>
              <w:rPr>
                <w:rFonts w:ascii="Arial" w:hAnsi="Arial" w:cs="Arial"/>
                <w:sz w:val="20"/>
                <w:szCs w:val="20"/>
              </w:rPr>
            </w:pPr>
            <w:r>
              <w:rPr>
                <w:rFonts w:ascii="Arial" w:hAnsi="Arial" w:cs="Arial"/>
                <w:sz w:val="20"/>
                <w:szCs w:val="20"/>
                <w:lang w:eastAsia="sl-SI"/>
              </w:rPr>
              <w:t>Predlagana uredba nima posledic na državni proračun in na občinske proračune.</w:t>
            </w:r>
          </w:p>
          <w:p w:rsidR="00F02B4B" w:rsidRPr="008D1759" w:rsidRDefault="00F02B4B" w:rsidP="003F712A">
            <w:pPr>
              <w:widowControl w:val="0"/>
              <w:spacing w:line="260" w:lineRule="exact"/>
              <w:ind w:left="284"/>
              <w:rPr>
                <w:rFonts w:ascii="Arial" w:hAnsi="Arial" w:cs="Arial"/>
                <w:sz w:val="20"/>
                <w:szCs w:val="20"/>
                <w:lang w:eastAsia="sl-SI"/>
              </w:rPr>
            </w:pP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8D1759" w:rsidRDefault="00F02B4B" w:rsidP="003F712A">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w:t>
            </w:r>
            <w:r>
              <w:rPr>
                <w:rFonts w:ascii="Arial" w:hAnsi="Arial" w:cs="Arial"/>
                <w:sz w:val="20"/>
                <w:szCs w:val="20"/>
                <w:lang w:eastAsia="sl-SI"/>
              </w:rPr>
              <w:lastRenderedPageBreak/>
              <w:t xml:space="preserve">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rsidR="00F02B4B" w:rsidRPr="008D1759" w:rsidRDefault="00F02B4B" w:rsidP="00F02B4B">
            <w:pPr>
              <w:widowControl w:val="0"/>
              <w:numPr>
                <w:ilvl w:val="0"/>
                <w:numId w:val="19"/>
              </w:numPr>
              <w:spacing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F02B4B" w:rsidRPr="008D1759" w:rsidRDefault="00F02B4B" w:rsidP="003F712A">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rsidR="00F02B4B" w:rsidRPr="008D1759" w:rsidRDefault="00F02B4B" w:rsidP="003F712A">
            <w:pPr>
              <w:pStyle w:val="Vrstapredpisa"/>
              <w:widowControl w:val="0"/>
              <w:spacing w:before="0" w:line="260" w:lineRule="exact"/>
              <w:jc w:val="both"/>
              <w:rPr>
                <w:color w:val="auto"/>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lastRenderedPageBreak/>
              <w:t>7</w:t>
            </w:r>
            <w:r w:rsidRPr="008D1759">
              <w:rPr>
                <w:sz w:val="20"/>
                <w:szCs w:val="20"/>
              </w:rPr>
              <w:t>.b</w:t>
            </w:r>
            <w:proofErr w:type="spellEnd"/>
            <w:r w:rsidRPr="008D1759">
              <w:rPr>
                <w:sz w:val="20"/>
                <w:szCs w:val="20"/>
              </w:rPr>
              <w:t xml:space="preserve"> Predstavitev ocene finančnih posledic</w:t>
            </w:r>
            <w:r>
              <w:rPr>
                <w:sz w:val="20"/>
                <w:szCs w:val="20"/>
              </w:rPr>
              <w:t xml:space="preserve"> pod 40.</w:t>
            </w:r>
            <w:r w:rsidRPr="008D1759">
              <w:rPr>
                <w:sz w:val="20"/>
                <w:szCs w:val="20"/>
              </w:rPr>
              <w:t>000 EUR</w:t>
            </w:r>
            <w:r>
              <w:rPr>
                <w:sz w:val="20"/>
                <w:szCs w:val="20"/>
              </w:rPr>
              <w:t>:</w:t>
            </w:r>
          </w:p>
          <w:p w:rsidR="002475D6" w:rsidRPr="002475D6" w:rsidRDefault="002475D6" w:rsidP="002475D6">
            <w:pPr>
              <w:pStyle w:val="Oddelek"/>
              <w:widowControl w:val="0"/>
              <w:numPr>
                <w:ilvl w:val="0"/>
                <w:numId w:val="0"/>
              </w:numPr>
              <w:spacing w:before="0" w:after="0" w:line="260" w:lineRule="exact"/>
              <w:jc w:val="left"/>
              <w:rPr>
                <w:b w:val="0"/>
                <w:sz w:val="20"/>
                <w:szCs w:val="20"/>
              </w:rPr>
            </w:pPr>
            <w:r w:rsidRPr="002475D6">
              <w:rPr>
                <w:b w:val="0"/>
                <w:sz w:val="20"/>
                <w:szCs w:val="20"/>
              </w:rPr>
              <w:t>Zaradi sprejema nove uredbe ne bo nobenih finančnih posledic za proračun.</w:t>
            </w:r>
          </w:p>
          <w:p w:rsidR="00F02B4B" w:rsidRPr="008D1759" w:rsidRDefault="00F02B4B" w:rsidP="003F712A">
            <w:pPr>
              <w:pStyle w:val="Oddelek"/>
              <w:widowControl w:val="0"/>
              <w:numPr>
                <w:ilvl w:val="0"/>
                <w:numId w:val="0"/>
              </w:numPr>
              <w:spacing w:before="0" w:after="0" w:line="260" w:lineRule="exact"/>
              <w:jc w:val="left"/>
              <w:rPr>
                <w:b w:val="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r>
              <w:rPr>
                <w:sz w:val="20"/>
                <w:szCs w:val="20"/>
              </w:rPr>
              <w:t>8</w:t>
            </w:r>
            <w:r w:rsidRPr="008D1759">
              <w:rPr>
                <w:sz w:val="20"/>
                <w:szCs w:val="20"/>
              </w:rPr>
              <w:t>. Predstavitev sodelovanja javnosti</w:t>
            </w:r>
            <w:r>
              <w:rPr>
                <w:sz w:val="20"/>
                <w:szCs w:val="20"/>
              </w:rPr>
              <w:t>:</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D1759" w:rsidRDefault="00F02B4B" w:rsidP="003F712A">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431" w:type="dxa"/>
            <w:gridSpan w:val="2"/>
          </w:tcPr>
          <w:p w:rsidR="00F02B4B" w:rsidRPr="008D1759" w:rsidRDefault="00F02B4B" w:rsidP="003F712A">
            <w:pPr>
              <w:pStyle w:val="Neotevilenodstavek"/>
              <w:widowControl w:val="0"/>
              <w:spacing w:before="0" w:after="0" w:line="260" w:lineRule="exact"/>
              <w:jc w:val="center"/>
              <w:rPr>
                <w:iCs/>
                <w:sz w:val="20"/>
                <w:szCs w:val="20"/>
              </w:rPr>
            </w:pPr>
            <w:r w:rsidRPr="002475D6">
              <w:rPr>
                <w:b/>
                <w:sz w:val="20"/>
                <w:szCs w:val="20"/>
              </w:rPr>
              <w:t>DA</w:t>
            </w:r>
            <w:r w:rsidRPr="008D1759">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F02B4B" w:rsidRDefault="00F02B4B" w:rsidP="003F712A">
            <w:pPr>
              <w:pStyle w:val="Neotevilenodstavek"/>
              <w:widowControl w:val="0"/>
              <w:spacing w:before="0" w:after="0" w:line="260" w:lineRule="exact"/>
              <w:rPr>
                <w:iCs/>
                <w:color w:val="FF000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703C8" w:rsidRDefault="00F02B4B" w:rsidP="003F712A">
            <w:pPr>
              <w:pStyle w:val="Neotevilenodstavek"/>
              <w:widowControl w:val="0"/>
              <w:spacing w:before="0" w:after="0" w:line="260" w:lineRule="exact"/>
              <w:rPr>
                <w:iCs/>
                <w:sz w:val="20"/>
                <w:szCs w:val="20"/>
              </w:rPr>
            </w:pPr>
            <w:r w:rsidRPr="0068465E">
              <w:rPr>
                <w:iCs/>
                <w:sz w:val="20"/>
                <w:szCs w:val="20"/>
              </w:rPr>
              <w:t xml:space="preserve">Datum objave: </w:t>
            </w:r>
            <w:r w:rsidR="00DF262B">
              <w:rPr>
                <w:iCs/>
                <w:sz w:val="20"/>
                <w:szCs w:val="20"/>
              </w:rPr>
              <w:t>2</w:t>
            </w:r>
            <w:r w:rsidR="00FA6B76">
              <w:rPr>
                <w:iCs/>
                <w:sz w:val="20"/>
                <w:szCs w:val="20"/>
              </w:rPr>
              <w:t>4</w:t>
            </w:r>
            <w:r w:rsidR="001703C8" w:rsidRPr="00B3466A">
              <w:rPr>
                <w:iCs/>
                <w:sz w:val="20"/>
                <w:szCs w:val="20"/>
              </w:rPr>
              <w:t>.</w:t>
            </w:r>
            <w:r w:rsidR="001D46BD" w:rsidRPr="00B3466A">
              <w:rPr>
                <w:iCs/>
                <w:sz w:val="20"/>
                <w:szCs w:val="20"/>
              </w:rPr>
              <w:t xml:space="preserve"> 6</w:t>
            </w:r>
            <w:r w:rsidR="001703C8" w:rsidRPr="00B3466A">
              <w:rPr>
                <w:iCs/>
                <w:sz w:val="20"/>
                <w:szCs w:val="20"/>
              </w:rPr>
              <w:t>.</w:t>
            </w:r>
            <w:r w:rsidR="001D46BD" w:rsidRPr="00B3466A">
              <w:rPr>
                <w:iCs/>
                <w:sz w:val="20"/>
                <w:szCs w:val="20"/>
              </w:rPr>
              <w:t xml:space="preserve"> </w:t>
            </w:r>
            <w:r w:rsidR="001703C8" w:rsidRPr="00B3466A">
              <w:rPr>
                <w:iCs/>
                <w:sz w:val="20"/>
                <w:szCs w:val="20"/>
              </w:rPr>
              <w:t>2014</w:t>
            </w: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 xml:space="preserve">V razpravo so bili vključeni: </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 xml:space="preserve">nevladne organizacije, </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predstavniki zainteresirane javnosti,</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 xml:space="preserve">predstavniki strokovne javnosti, </w:t>
            </w:r>
          </w:p>
          <w:p w:rsidR="00F02B4B" w:rsidRPr="00345F62" w:rsidRDefault="00F02B4B" w:rsidP="00F02B4B">
            <w:pPr>
              <w:pStyle w:val="Neotevilenodstavek"/>
              <w:widowControl w:val="0"/>
              <w:numPr>
                <w:ilvl w:val="0"/>
                <w:numId w:val="20"/>
              </w:numPr>
              <w:spacing w:before="0" w:after="0" w:line="260" w:lineRule="exact"/>
              <w:rPr>
                <w:iCs/>
                <w:sz w:val="20"/>
                <w:szCs w:val="20"/>
              </w:rPr>
            </w:pPr>
            <w:r w:rsidRPr="00345F62">
              <w:rPr>
                <w:iCs/>
                <w:sz w:val="20"/>
                <w:szCs w:val="20"/>
              </w:rPr>
              <w:t>občine in združenja občin ali pa navedite, da se gradivo ne nanaša nanje.</w:t>
            </w: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Mnenja, predlogi in pri</w:t>
            </w:r>
            <w:r>
              <w:rPr>
                <w:iCs/>
                <w:sz w:val="20"/>
                <w:szCs w:val="20"/>
              </w:rPr>
              <w:t xml:space="preserve">pombe z navedbo predlagateljev </w:t>
            </w:r>
            <w:r w:rsidRPr="00345F62">
              <w:rPr>
                <w:color w:val="000000"/>
                <w:sz w:val="20"/>
                <w:szCs w:val="20"/>
              </w:rPr>
              <w:t>(imen in priimkov fizičnih oseb, ki niso poslovni subjekti, ne navajajte</w:t>
            </w:r>
            <w:r w:rsidRPr="00345F62">
              <w:rPr>
                <w:iCs/>
                <w:sz w:val="20"/>
                <w:szCs w:val="20"/>
              </w:rPr>
              <w:t>):</w:t>
            </w:r>
          </w:p>
          <w:p w:rsidR="00F02B4B" w:rsidRPr="00345F62" w:rsidRDefault="006F549D" w:rsidP="004A5B99">
            <w:pPr>
              <w:pStyle w:val="Neotevilenodstavek"/>
              <w:widowControl w:val="0"/>
              <w:spacing w:line="260" w:lineRule="exact"/>
              <w:ind w:left="360"/>
              <w:rPr>
                <w:iCs/>
                <w:sz w:val="20"/>
                <w:szCs w:val="20"/>
              </w:rPr>
            </w:pPr>
            <w:r w:rsidRPr="006F549D">
              <w:rPr>
                <w:iCs/>
                <w:sz w:val="20"/>
                <w:szCs w:val="20"/>
              </w:rPr>
              <w:t>GIZ DZP</w:t>
            </w:r>
            <w:r>
              <w:rPr>
                <w:iCs/>
                <w:sz w:val="20"/>
                <w:szCs w:val="20"/>
              </w:rPr>
              <w:t xml:space="preserve">, </w:t>
            </w:r>
            <w:r w:rsidRPr="006F549D">
              <w:rPr>
                <w:iCs/>
                <w:sz w:val="20"/>
                <w:szCs w:val="20"/>
              </w:rPr>
              <w:t>Butan plin</w:t>
            </w:r>
            <w:r>
              <w:rPr>
                <w:iCs/>
                <w:sz w:val="20"/>
                <w:szCs w:val="20"/>
              </w:rPr>
              <w:t xml:space="preserve">, </w:t>
            </w:r>
            <w:r w:rsidRPr="006F549D">
              <w:rPr>
                <w:iCs/>
                <w:sz w:val="20"/>
                <w:szCs w:val="20"/>
              </w:rPr>
              <w:t>GZS</w:t>
            </w:r>
            <w:r>
              <w:rPr>
                <w:iCs/>
                <w:sz w:val="20"/>
                <w:szCs w:val="20"/>
              </w:rPr>
              <w:t xml:space="preserve">, Petrol, </w:t>
            </w:r>
            <w:r w:rsidRPr="006F549D">
              <w:rPr>
                <w:iCs/>
                <w:sz w:val="20"/>
                <w:szCs w:val="20"/>
              </w:rPr>
              <w:t>Talum</w:t>
            </w:r>
            <w:r>
              <w:rPr>
                <w:iCs/>
                <w:sz w:val="20"/>
                <w:szCs w:val="20"/>
              </w:rPr>
              <w:t xml:space="preserve">, Energetika Ljubljana, </w:t>
            </w:r>
            <w:r w:rsidRPr="006F549D">
              <w:rPr>
                <w:iCs/>
                <w:sz w:val="20"/>
                <w:szCs w:val="20"/>
              </w:rPr>
              <w:t>Borzen</w:t>
            </w:r>
            <w:r>
              <w:rPr>
                <w:iCs/>
                <w:sz w:val="20"/>
                <w:szCs w:val="20"/>
              </w:rPr>
              <w:t xml:space="preserve">, </w:t>
            </w:r>
            <w:r w:rsidRPr="006F549D">
              <w:rPr>
                <w:iCs/>
                <w:sz w:val="20"/>
                <w:szCs w:val="20"/>
              </w:rPr>
              <w:t>Plinarna Maribor</w:t>
            </w:r>
            <w:r>
              <w:rPr>
                <w:iCs/>
                <w:sz w:val="20"/>
                <w:szCs w:val="20"/>
              </w:rPr>
              <w:t xml:space="preserve">, </w:t>
            </w:r>
            <w:r w:rsidRPr="006F549D">
              <w:rPr>
                <w:iCs/>
                <w:sz w:val="20"/>
                <w:szCs w:val="20"/>
              </w:rPr>
              <w:t>Steklarna Hrastnik</w:t>
            </w:r>
            <w:r>
              <w:rPr>
                <w:iCs/>
                <w:sz w:val="20"/>
                <w:szCs w:val="20"/>
              </w:rPr>
              <w:t xml:space="preserve">, </w:t>
            </w:r>
            <w:r w:rsidRPr="006F549D">
              <w:rPr>
                <w:iCs/>
                <w:sz w:val="20"/>
                <w:szCs w:val="20"/>
              </w:rPr>
              <w:t>Elektro Energija</w:t>
            </w:r>
            <w:r>
              <w:rPr>
                <w:iCs/>
                <w:sz w:val="20"/>
                <w:szCs w:val="20"/>
              </w:rPr>
              <w:t xml:space="preserve">, </w:t>
            </w:r>
            <w:r w:rsidRPr="006F549D">
              <w:rPr>
                <w:iCs/>
                <w:sz w:val="20"/>
                <w:szCs w:val="20"/>
              </w:rPr>
              <w:t>SODO</w:t>
            </w:r>
            <w:r>
              <w:rPr>
                <w:iCs/>
                <w:sz w:val="20"/>
                <w:szCs w:val="20"/>
              </w:rPr>
              <w:t xml:space="preserve">, </w:t>
            </w:r>
            <w:proofErr w:type="spellStart"/>
            <w:r w:rsidRPr="006F549D">
              <w:rPr>
                <w:iCs/>
                <w:sz w:val="20"/>
                <w:szCs w:val="20"/>
              </w:rPr>
              <w:t>Silkem</w:t>
            </w:r>
            <w:proofErr w:type="spellEnd"/>
            <w:r>
              <w:rPr>
                <w:iCs/>
                <w:sz w:val="20"/>
                <w:szCs w:val="20"/>
              </w:rPr>
              <w:t xml:space="preserve">, </w:t>
            </w:r>
            <w:r w:rsidRPr="006F549D">
              <w:rPr>
                <w:iCs/>
                <w:sz w:val="20"/>
                <w:szCs w:val="20"/>
              </w:rPr>
              <w:t>Gen I</w:t>
            </w:r>
            <w:r>
              <w:rPr>
                <w:iCs/>
                <w:sz w:val="20"/>
                <w:szCs w:val="20"/>
              </w:rPr>
              <w:t xml:space="preserve">, </w:t>
            </w:r>
            <w:r w:rsidRPr="006F549D">
              <w:rPr>
                <w:iCs/>
                <w:sz w:val="20"/>
                <w:szCs w:val="20"/>
              </w:rPr>
              <w:t>TZS</w:t>
            </w:r>
            <w:r>
              <w:rPr>
                <w:iCs/>
                <w:sz w:val="20"/>
                <w:szCs w:val="20"/>
              </w:rPr>
              <w:t xml:space="preserve">, </w:t>
            </w:r>
            <w:r w:rsidRPr="006F549D">
              <w:rPr>
                <w:iCs/>
                <w:sz w:val="20"/>
                <w:szCs w:val="20"/>
              </w:rPr>
              <w:t>Goriške opekarne</w:t>
            </w:r>
            <w:r>
              <w:rPr>
                <w:iCs/>
                <w:sz w:val="20"/>
                <w:szCs w:val="20"/>
              </w:rPr>
              <w:t xml:space="preserve">, </w:t>
            </w:r>
            <w:r w:rsidRPr="006F549D">
              <w:rPr>
                <w:iCs/>
                <w:sz w:val="20"/>
                <w:szCs w:val="20"/>
              </w:rPr>
              <w:t>Elektro Gorenjska Prodaja</w:t>
            </w:r>
            <w:r>
              <w:rPr>
                <w:iCs/>
                <w:sz w:val="20"/>
                <w:szCs w:val="20"/>
              </w:rPr>
              <w:t xml:space="preserve"> in </w:t>
            </w:r>
            <w:r w:rsidRPr="006F549D">
              <w:rPr>
                <w:iCs/>
                <w:sz w:val="20"/>
                <w:szCs w:val="20"/>
              </w:rPr>
              <w:t>ELES</w:t>
            </w:r>
            <w:r>
              <w:rPr>
                <w:iCs/>
                <w:sz w:val="20"/>
                <w:szCs w:val="20"/>
              </w:rPr>
              <w:t>.</w:t>
            </w:r>
          </w:p>
          <w:p w:rsidR="00F02B4B" w:rsidRPr="00345F62" w:rsidRDefault="00F02B4B" w:rsidP="003F712A">
            <w:pPr>
              <w:pStyle w:val="Neotevilenodstavek"/>
              <w:widowControl w:val="0"/>
              <w:spacing w:before="0" w:after="0" w:line="260" w:lineRule="exact"/>
              <w:rPr>
                <w:iCs/>
                <w:sz w:val="20"/>
                <w:szCs w:val="20"/>
              </w:rPr>
            </w:pPr>
          </w:p>
          <w:p w:rsidR="00F02B4B" w:rsidRPr="00345F62" w:rsidRDefault="006F549D" w:rsidP="003F712A">
            <w:pPr>
              <w:pStyle w:val="Neotevilenodstavek"/>
              <w:widowControl w:val="0"/>
              <w:spacing w:before="0" w:after="0" w:line="260" w:lineRule="exact"/>
              <w:rPr>
                <w:iCs/>
                <w:sz w:val="20"/>
                <w:szCs w:val="20"/>
              </w:rPr>
            </w:pPr>
            <w:r>
              <w:rPr>
                <w:iCs/>
                <w:sz w:val="20"/>
                <w:szCs w:val="20"/>
              </w:rPr>
              <w:t>Predlogi so bili u</w:t>
            </w:r>
            <w:r w:rsidR="00F02B4B" w:rsidRPr="00345F62">
              <w:rPr>
                <w:iCs/>
                <w:sz w:val="20"/>
                <w:szCs w:val="20"/>
              </w:rPr>
              <w:t>poštevani:</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v celoti,</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večinoma,</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4A5B99">
              <w:rPr>
                <w:b/>
                <w:iCs/>
                <w:sz w:val="20"/>
                <w:szCs w:val="20"/>
              </w:rPr>
              <w:t>delno</w:t>
            </w:r>
            <w:r w:rsidRPr="00345F62">
              <w:rPr>
                <w:iCs/>
                <w:sz w:val="20"/>
                <w:szCs w:val="20"/>
              </w:rPr>
              <w:t>,</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niso bili upoštevani.</w:t>
            </w:r>
          </w:p>
          <w:p w:rsidR="00F02B4B" w:rsidRPr="00345F62" w:rsidRDefault="00F02B4B" w:rsidP="003F712A">
            <w:pPr>
              <w:pStyle w:val="Neotevilenodstavek"/>
              <w:widowControl w:val="0"/>
              <w:spacing w:before="0" w:after="0" w:line="260" w:lineRule="exact"/>
              <w:rPr>
                <w:iCs/>
                <w:sz w:val="20"/>
                <w:szCs w:val="20"/>
              </w:rPr>
            </w:pPr>
          </w:p>
          <w:p w:rsidR="00F02B4B" w:rsidRDefault="00F02B4B" w:rsidP="003F712A">
            <w:pPr>
              <w:pStyle w:val="Neotevilenodstavek"/>
              <w:widowControl w:val="0"/>
              <w:spacing w:before="0" w:after="0" w:line="260" w:lineRule="exact"/>
              <w:rPr>
                <w:iCs/>
                <w:sz w:val="20"/>
                <w:szCs w:val="20"/>
              </w:rPr>
            </w:pPr>
            <w:r w:rsidRPr="00345F62">
              <w:rPr>
                <w:iCs/>
                <w:sz w:val="20"/>
                <w:szCs w:val="20"/>
              </w:rPr>
              <w:t>Bistvena mnenja, predlogi in pripombe, ki niso bili upoštevani, ter razlogi za neupoštevanje:</w:t>
            </w:r>
          </w:p>
          <w:p w:rsidR="006F549D" w:rsidRDefault="006F549D" w:rsidP="003F712A">
            <w:pPr>
              <w:pStyle w:val="Neotevilenodstavek"/>
              <w:widowControl w:val="0"/>
              <w:spacing w:before="0" w:after="0" w:line="260" w:lineRule="exact"/>
              <w:rPr>
                <w:iCs/>
                <w:sz w:val="20"/>
                <w:szCs w:val="20"/>
              </w:rPr>
            </w:pPr>
            <w:r>
              <w:rPr>
                <w:iCs/>
                <w:sz w:val="20"/>
                <w:szCs w:val="20"/>
              </w:rPr>
              <w:t>Bistveni pripombi se nanašata na izključitev ETS sektorja iz celotne uredbe in na veliko povečanje prispevka za povečanje energetske učinkovitosti za nekatere energente.</w:t>
            </w:r>
          </w:p>
          <w:p w:rsidR="006F549D" w:rsidRDefault="006F549D" w:rsidP="003F712A">
            <w:pPr>
              <w:pStyle w:val="Neotevilenodstavek"/>
              <w:widowControl w:val="0"/>
              <w:spacing w:before="0" w:after="0" w:line="260" w:lineRule="exact"/>
              <w:rPr>
                <w:iCs/>
                <w:sz w:val="20"/>
                <w:szCs w:val="20"/>
              </w:rPr>
            </w:pPr>
          </w:p>
          <w:p w:rsidR="0063157F" w:rsidRDefault="006F549D" w:rsidP="003F712A">
            <w:pPr>
              <w:pStyle w:val="Neotevilenodstavek"/>
              <w:widowControl w:val="0"/>
              <w:spacing w:before="0" w:after="0" w:line="260" w:lineRule="exact"/>
              <w:rPr>
                <w:iCs/>
                <w:sz w:val="20"/>
                <w:szCs w:val="20"/>
              </w:rPr>
            </w:pPr>
            <w:r>
              <w:rPr>
                <w:iCs/>
                <w:sz w:val="20"/>
                <w:szCs w:val="20"/>
              </w:rPr>
              <w:t>Prva pripomba, o izključitvi E</w:t>
            </w:r>
            <w:r w:rsidR="00F7117B">
              <w:rPr>
                <w:iCs/>
                <w:sz w:val="20"/>
                <w:szCs w:val="20"/>
              </w:rPr>
              <w:t>T</w:t>
            </w:r>
            <w:r>
              <w:rPr>
                <w:iCs/>
                <w:sz w:val="20"/>
                <w:szCs w:val="20"/>
              </w:rPr>
              <w:t xml:space="preserve">S </w:t>
            </w:r>
            <w:r w:rsidR="0063157F">
              <w:rPr>
                <w:iCs/>
                <w:sz w:val="20"/>
                <w:szCs w:val="20"/>
              </w:rPr>
              <w:t>sektorja</w:t>
            </w:r>
            <w:r>
              <w:rPr>
                <w:iCs/>
                <w:sz w:val="20"/>
                <w:szCs w:val="20"/>
              </w:rPr>
              <w:t xml:space="preserve"> ni bila upoštevana, ker Energetski zakon EZ-1 </w:t>
            </w:r>
            <w:r w:rsidR="0063157F">
              <w:rPr>
                <w:iCs/>
                <w:sz w:val="20"/>
                <w:szCs w:val="20"/>
              </w:rPr>
              <w:t xml:space="preserve">ne dopušča take izjeme. </w:t>
            </w:r>
            <w:r w:rsidR="0063157F" w:rsidRPr="0063157F">
              <w:rPr>
                <w:iCs/>
                <w:sz w:val="20"/>
                <w:szCs w:val="20"/>
              </w:rPr>
              <w:t>EZ-1 v 317. členu določa, da prispevek za energetsko učinkovitost plačujejo vsi odjemalci.</w:t>
            </w:r>
          </w:p>
          <w:p w:rsidR="009C5914" w:rsidRDefault="009C5914" w:rsidP="003F712A">
            <w:pPr>
              <w:pStyle w:val="Neotevilenodstavek"/>
              <w:widowControl w:val="0"/>
              <w:spacing w:before="0" w:after="0" w:line="260" w:lineRule="exact"/>
              <w:rPr>
                <w:iCs/>
                <w:sz w:val="20"/>
                <w:szCs w:val="20"/>
              </w:rPr>
            </w:pPr>
          </w:p>
          <w:p w:rsidR="009C5914" w:rsidRDefault="009C5914" w:rsidP="003F712A">
            <w:pPr>
              <w:pStyle w:val="Neotevilenodstavek"/>
              <w:widowControl w:val="0"/>
              <w:spacing w:before="0" w:after="0" w:line="260" w:lineRule="exact"/>
              <w:rPr>
                <w:iCs/>
                <w:sz w:val="20"/>
                <w:szCs w:val="20"/>
              </w:rPr>
            </w:pPr>
            <w:r>
              <w:rPr>
                <w:iCs/>
                <w:sz w:val="20"/>
                <w:szCs w:val="20"/>
              </w:rPr>
              <w:lastRenderedPageBreak/>
              <w:t>Kljub temu je pripomba smiselno delno upoštevana v prehodni določbi in sicer na način, da se bo prispevek na električno energijo in zemeljski plin v letu 2015 glede na leto 2014 zmanjšal. Električna energije in zemeljski plin sta ključna energenta, ki ju porabljajo energetsko intenzivna podjetja.</w:t>
            </w:r>
          </w:p>
          <w:p w:rsidR="0063157F" w:rsidRDefault="0063157F" w:rsidP="003F712A">
            <w:pPr>
              <w:pStyle w:val="Neotevilenodstavek"/>
              <w:widowControl w:val="0"/>
              <w:spacing w:before="0" w:after="0" w:line="260" w:lineRule="exact"/>
              <w:rPr>
                <w:iCs/>
                <w:sz w:val="20"/>
                <w:szCs w:val="20"/>
              </w:rPr>
            </w:pPr>
          </w:p>
          <w:p w:rsidR="0063157F" w:rsidRPr="00345F62" w:rsidRDefault="0063157F" w:rsidP="003F712A">
            <w:pPr>
              <w:pStyle w:val="Neotevilenodstavek"/>
              <w:widowControl w:val="0"/>
              <w:spacing w:before="0" w:after="0" w:line="260" w:lineRule="exact"/>
              <w:rPr>
                <w:iCs/>
                <w:sz w:val="20"/>
                <w:szCs w:val="20"/>
              </w:rPr>
            </w:pPr>
            <w:r>
              <w:rPr>
                <w:iCs/>
                <w:sz w:val="20"/>
                <w:szCs w:val="20"/>
              </w:rPr>
              <w:t xml:space="preserve">Druga pripomba o velikem povečanju prispevka za nekatere energente ni bila upoštevana, ker  </w:t>
            </w:r>
            <w:r w:rsidRPr="0063157F">
              <w:rPr>
                <w:iCs/>
                <w:sz w:val="20"/>
                <w:szCs w:val="20"/>
              </w:rPr>
              <w:t>EZ-1 v 317. členu določa, da je vsaka kWh energije enako obremenjena, ne glede na vrsto energije. Višina prispevka in dodatka po stari uredbi je za različne energente različno visoka.</w:t>
            </w:r>
            <w:r>
              <w:rPr>
                <w:iCs/>
                <w:sz w:val="20"/>
                <w:szCs w:val="20"/>
              </w:rPr>
              <w:t xml:space="preserve"> Pri nekaterih energentih je prišlo do povečanja, pri drugih pa do zmanjšanja prispevka.</w:t>
            </w:r>
            <w:r w:rsidR="009C5914">
              <w:rPr>
                <w:iCs/>
                <w:sz w:val="20"/>
                <w:szCs w:val="20"/>
              </w:rPr>
              <w:t xml:space="preserve"> S prehodno določbo je pripomba delno upoštevana na način, da se bo višina prispevka v letih 2015 in 2016 postopoma spreminjala od vrednosti v letu 2014 na podlagi stare uredbe proti novim vrednostim, ki bodo veljale šele od leta 2017 naprej. </w:t>
            </w:r>
          </w:p>
          <w:p w:rsidR="00F02B4B" w:rsidRPr="00345F62" w:rsidRDefault="00F02B4B" w:rsidP="003F712A">
            <w:pPr>
              <w:pStyle w:val="Neotevilenodstavek"/>
              <w:widowControl w:val="0"/>
              <w:spacing w:before="0" w:after="0" w:line="260" w:lineRule="exact"/>
              <w:rPr>
                <w:iCs/>
                <w:sz w:val="20"/>
                <w:szCs w:val="20"/>
              </w:rPr>
            </w:pPr>
          </w:p>
          <w:p w:rsidR="00F02B4B" w:rsidRDefault="00F02B4B" w:rsidP="0063157F">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D1759" w:rsidRDefault="00F02B4B" w:rsidP="003F712A">
            <w:pPr>
              <w:pStyle w:val="Neotevilenodstavek"/>
              <w:widowControl w:val="0"/>
              <w:spacing w:before="0" w:after="0" w:line="260" w:lineRule="exact"/>
              <w:jc w:val="left"/>
              <w:rPr>
                <w:sz w:val="20"/>
                <w:szCs w:val="20"/>
              </w:rPr>
            </w:pPr>
            <w:r>
              <w:rPr>
                <w:b/>
                <w:sz w:val="20"/>
                <w:szCs w:val="20"/>
              </w:rPr>
              <w:lastRenderedPageBreak/>
              <w:t>9</w:t>
            </w:r>
            <w:r w:rsidRPr="00D43F59">
              <w:rPr>
                <w:b/>
                <w:sz w:val="20"/>
                <w:szCs w:val="20"/>
              </w:rPr>
              <w:t>. Pri pripravi gradiva so bile upoštevane zahteve iz Resolucije o normativni dejavnosti</w:t>
            </w:r>
            <w:r>
              <w:rPr>
                <w:b/>
                <w:sz w:val="20"/>
                <w:szCs w:val="20"/>
              </w:rPr>
              <w:t>:</w:t>
            </w:r>
          </w:p>
        </w:tc>
        <w:tc>
          <w:tcPr>
            <w:tcW w:w="2431" w:type="dxa"/>
            <w:gridSpan w:val="2"/>
            <w:vAlign w:val="center"/>
          </w:tcPr>
          <w:p w:rsidR="00F02B4B" w:rsidRPr="008D1759" w:rsidRDefault="00F02B4B" w:rsidP="003F712A">
            <w:pPr>
              <w:pStyle w:val="Neotevilenodstavek"/>
              <w:widowControl w:val="0"/>
              <w:spacing w:before="0" w:after="0" w:line="260" w:lineRule="exact"/>
              <w:jc w:val="center"/>
              <w:rPr>
                <w:iCs/>
                <w:sz w:val="20"/>
                <w:szCs w:val="20"/>
              </w:rPr>
            </w:pPr>
            <w:r w:rsidRPr="002475D6">
              <w:rPr>
                <w:b/>
                <w:sz w:val="20"/>
                <w:szCs w:val="20"/>
              </w:rPr>
              <w:t>DA</w:t>
            </w:r>
            <w:r w:rsidRPr="008D1759">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Default="00F02B4B" w:rsidP="003F712A">
            <w:pPr>
              <w:pStyle w:val="Neotevilenodstavek"/>
              <w:widowControl w:val="0"/>
              <w:spacing w:before="0" w:after="0" w:line="260" w:lineRule="exact"/>
              <w:jc w:val="left"/>
              <w:rPr>
                <w:b/>
                <w:sz w:val="20"/>
                <w:szCs w:val="20"/>
              </w:rPr>
            </w:pPr>
            <w:r>
              <w:rPr>
                <w:b/>
                <w:sz w:val="20"/>
                <w:szCs w:val="20"/>
              </w:rPr>
              <w:t>10</w:t>
            </w:r>
            <w:r w:rsidRPr="00D43F59">
              <w:rPr>
                <w:b/>
                <w:sz w:val="20"/>
                <w:szCs w:val="20"/>
              </w:rPr>
              <w:t>. Gradivo je uvrščeno v delovni program vlade</w:t>
            </w:r>
            <w:r>
              <w:rPr>
                <w:b/>
                <w:sz w:val="20"/>
                <w:szCs w:val="20"/>
              </w:rPr>
              <w:t>:</w:t>
            </w:r>
          </w:p>
        </w:tc>
        <w:tc>
          <w:tcPr>
            <w:tcW w:w="2431" w:type="dxa"/>
            <w:gridSpan w:val="2"/>
            <w:vAlign w:val="center"/>
          </w:tcPr>
          <w:p w:rsidR="00F02B4B" w:rsidRDefault="00F02B4B" w:rsidP="003F712A">
            <w:pPr>
              <w:pStyle w:val="Neotevilenodstavek"/>
              <w:widowControl w:val="0"/>
              <w:spacing w:before="0" w:after="0" w:line="260" w:lineRule="exact"/>
              <w:jc w:val="center"/>
              <w:rPr>
                <w:sz w:val="20"/>
                <w:szCs w:val="20"/>
              </w:rPr>
            </w:pPr>
            <w:r w:rsidRPr="002475D6">
              <w:rPr>
                <w:b/>
                <w:sz w:val="20"/>
                <w:szCs w:val="20"/>
              </w:rPr>
              <w:t>DA</w:t>
            </w:r>
            <w:r w:rsidRPr="008D1759">
              <w:rPr>
                <w:sz w:val="20"/>
                <w:szCs w:val="20"/>
              </w:rPr>
              <w:t>/NE</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Default="00F02B4B" w:rsidP="003F712A">
            <w:pPr>
              <w:pStyle w:val="Poglavje"/>
              <w:widowControl w:val="0"/>
              <w:spacing w:before="0" w:after="0" w:line="260" w:lineRule="exact"/>
              <w:ind w:left="3400"/>
              <w:jc w:val="left"/>
              <w:rPr>
                <w:sz w:val="20"/>
                <w:szCs w:val="20"/>
              </w:rPr>
            </w:pPr>
          </w:p>
          <w:p w:rsidR="00BE05BD" w:rsidRDefault="00BE05BD" w:rsidP="003F712A">
            <w:pPr>
              <w:pStyle w:val="Poglavje"/>
              <w:widowControl w:val="0"/>
              <w:spacing w:before="0" w:after="0" w:line="260" w:lineRule="exact"/>
              <w:ind w:left="3400"/>
              <w:jc w:val="left"/>
              <w:rPr>
                <w:sz w:val="20"/>
                <w:szCs w:val="20"/>
              </w:rPr>
            </w:pPr>
          </w:p>
          <w:p w:rsidR="00BE05BD" w:rsidRDefault="00BE05BD" w:rsidP="003F712A">
            <w:pPr>
              <w:pStyle w:val="Poglavje"/>
              <w:widowControl w:val="0"/>
              <w:spacing w:before="0" w:after="0" w:line="260" w:lineRule="exact"/>
              <w:ind w:left="3400"/>
              <w:jc w:val="left"/>
              <w:rPr>
                <w:sz w:val="20"/>
                <w:szCs w:val="20"/>
              </w:rPr>
            </w:pPr>
          </w:p>
          <w:p w:rsidR="00BE05BD" w:rsidRPr="008D1759" w:rsidRDefault="00BE05BD" w:rsidP="003F712A">
            <w:pPr>
              <w:pStyle w:val="Poglavje"/>
              <w:widowControl w:val="0"/>
              <w:spacing w:before="0" w:after="0" w:line="260" w:lineRule="exact"/>
              <w:ind w:left="3400"/>
              <w:jc w:val="left"/>
              <w:rPr>
                <w:sz w:val="20"/>
                <w:szCs w:val="20"/>
              </w:rPr>
            </w:pPr>
          </w:p>
          <w:p w:rsidR="00F02B4B" w:rsidRDefault="00F02B4B" w:rsidP="003F712A">
            <w:pPr>
              <w:pStyle w:val="Poglavje"/>
              <w:widowControl w:val="0"/>
              <w:spacing w:before="0" w:after="0" w:line="260" w:lineRule="exact"/>
              <w:ind w:left="5662" w:firstLine="284"/>
              <w:jc w:val="left"/>
              <w:rPr>
                <w:b w:val="0"/>
                <w:sz w:val="20"/>
                <w:szCs w:val="20"/>
              </w:rPr>
            </w:pPr>
            <w:r>
              <w:rPr>
                <w:b w:val="0"/>
                <w:sz w:val="20"/>
                <w:szCs w:val="20"/>
              </w:rPr>
              <w:t xml:space="preserve"> </w:t>
            </w:r>
            <w:r w:rsidR="00F7117B">
              <w:rPr>
                <w:b w:val="0"/>
                <w:sz w:val="20"/>
                <w:szCs w:val="20"/>
              </w:rPr>
              <w:t>dr. Peter Gašperšič</w:t>
            </w:r>
          </w:p>
          <w:p w:rsidR="00F02B4B" w:rsidRPr="00F80081" w:rsidRDefault="00F7117B" w:rsidP="003F712A">
            <w:pPr>
              <w:pStyle w:val="Poglavje"/>
              <w:widowControl w:val="0"/>
              <w:spacing w:before="0" w:after="0" w:line="260" w:lineRule="exact"/>
              <w:ind w:left="5946" w:firstLine="284"/>
              <w:jc w:val="left"/>
              <w:rPr>
                <w:b w:val="0"/>
                <w:sz w:val="20"/>
                <w:szCs w:val="20"/>
              </w:rPr>
            </w:pPr>
            <w:r>
              <w:rPr>
                <w:b w:val="0"/>
                <w:sz w:val="20"/>
                <w:szCs w:val="20"/>
              </w:rPr>
              <w:t xml:space="preserve">  </w:t>
            </w:r>
            <w:r w:rsidR="00F02B4B">
              <w:rPr>
                <w:b w:val="0"/>
                <w:sz w:val="20"/>
                <w:szCs w:val="20"/>
              </w:rPr>
              <w:t>MINISTER</w:t>
            </w:r>
          </w:p>
          <w:p w:rsidR="00F02B4B" w:rsidRDefault="00F02B4B" w:rsidP="003F712A">
            <w:pPr>
              <w:pStyle w:val="Poglavje"/>
              <w:widowControl w:val="0"/>
              <w:spacing w:before="0" w:after="0" w:line="260" w:lineRule="exact"/>
              <w:ind w:left="3400"/>
              <w:jc w:val="left"/>
              <w:rPr>
                <w:sz w:val="20"/>
                <w:szCs w:val="20"/>
              </w:rPr>
            </w:pPr>
          </w:p>
          <w:p w:rsidR="00BE05BD" w:rsidRDefault="00BE05BD" w:rsidP="003F712A">
            <w:pPr>
              <w:pStyle w:val="Poglavje"/>
              <w:widowControl w:val="0"/>
              <w:spacing w:before="0" w:after="0" w:line="260" w:lineRule="exact"/>
              <w:ind w:left="3400"/>
              <w:jc w:val="left"/>
              <w:rPr>
                <w:sz w:val="20"/>
                <w:szCs w:val="20"/>
              </w:rPr>
            </w:pPr>
          </w:p>
          <w:p w:rsidR="00BE05BD" w:rsidRPr="008D1759" w:rsidRDefault="00BE05BD" w:rsidP="003F712A">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761F15" w:rsidRDefault="00761F15">
      <w:pPr>
        <w:suppressAutoHyphens w:val="0"/>
        <w:rPr>
          <w:rFonts w:ascii="Arial" w:hAnsi="Arial" w:cs="Arial"/>
          <w:color w:val="000000"/>
          <w:sz w:val="20"/>
          <w:szCs w:val="20"/>
        </w:rPr>
      </w:pPr>
      <w:r>
        <w:rPr>
          <w:rFonts w:ascii="Arial" w:hAnsi="Arial" w:cs="Arial"/>
          <w:color w:val="000000"/>
          <w:sz w:val="20"/>
          <w:szCs w:val="20"/>
        </w:rPr>
        <w:br w:type="page"/>
      </w:r>
    </w:p>
    <w:p w:rsidR="00DE63D9" w:rsidRDefault="00DE63D9" w:rsidP="000E138A">
      <w:pPr>
        <w:autoSpaceDE w:val="0"/>
        <w:autoSpaceDN w:val="0"/>
        <w:adjustRightInd w:val="0"/>
        <w:spacing w:line="240" w:lineRule="atLeast"/>
        <w:rPr>
          <w:rFonts w:ascii="Arial" w:hAnsi="Arial" w:cs="Arial"/>
          <w:color w:val="000000"/>
          <w:sz w:val="20"/>
          <w:szCs w:val="20"/>
        </w:rPr>
      </w:pPr>
    </w:p>
    <w:p w:rsidR="00DE63D9" w:rsidRDefault="00DE63D9" w:rsidP="000E138A">
      <w:pPr>
        <w:autoSpaceDE w:val="0"/>
        <w:autoSpaceDN w:val="0"/>
        <w:adjustRightInd w:val="0"/>
        <w:spacing w:line="240" w:lineRule="atLeast"/>
        <w:rPr>
          <w:rFonts w:ascii="Arial" w:hAnsi="Arial" w:cs="Arial"/>
          <w:color w:val="000000"/>
          <w:sz w:val="20"/>
          <w:szCs w:val="20"/>
        </w:rPr>
      </w:pPr>
    </w:p>
    <w:p w:rsidR="002D5BE3" w:rsidRPr="002D5BE3" w:rsidRDefault="002D5BE3" w:rsidP="002D5BE3">
      <w:pPr>
        <w:overflowPunct w:val="0"/>
        <w:autoSpaceDE w:val="0"/>
        <w:autoSpaceDN w:val="0"/>
        <w:adjustRightInd w:val="0"/>
        <w:spacing w:line="260" w:lineRule="exact"/>
        <w:jc w:val="both"/>
        <w:textAlignment w:val="baseline"/>
        <w:rPr>
          <w:rFonts w:ascii="Arial" w:hAnsi="Arial" w:cs="Arial"/>
          <w:b/>
          <w:sz w:val="20"/>
          <w:szCs w:val="20"/>
          <w:lang w:eastAsia="sl-SI"/>
        </w:rPr>
      </w:pPr>
      <w:r w:rsidRPr="002D5BE3">
        <w:rPr>
          <w:rFonts w:ascii="Arial" w:hAnsi="Arial" w:cs="Arial"/>
          <w:b/>
          <w:sz w:val="20"/>
          <w:szCs w:val="20"/>
          <w:lang w:eastAsia="sl-SI"/>
        </w:rPr>
        <w:t>PRILOGA (jedro gradiva):</w:t>
      </w:r>
    </w:p>
    <w:p w:rsidR="002D5BE3" w:rsidRPr="002D5BE3" w:rsidRDefault="002D5BE3" w:rsidP="002D5BE3">
      <w:pPr>
        <w:overflowPunct w:val="0"/>
        <w:autoSpaceDE w:val="0"/>
        <w:autoSpaceDN w:val="0"/>
        <w:adjustRightInd w:val="0"/>
        <w:spacing w:line="260" w:lineRule="exact"/>
        <w:jc w:val="right"/>
        <w:textAlignment w:val="baseline"/>
        <w:rPr>
          <w:rFonts w:ascii="Arial" w:hAnsi="Arial" w:cs="Arial"/>
          <w:b/>
          <w:sz w:val="20"/>
          <w:szCs w:val="20"/>
          <w:lang w:eastAsia="sl-SI"/>
        </w:rPr>
      </w:pPr>
      <w:r w:rsidRPr="002D5BE3">
        <w:rPr>
          <w:rFonts w:ascii="Arial" w:hAnsi="Arial" w:cs="Arial"/>
          <w:b/>
          <w:sz w:val="20"/>
          <w:szCs w:val="20"/>
          <w:lang w:eastAsia="sl-SI"/>
        </w:rPr>
        <w:t>PREDLOG</w:t>
      </w:r>
    </w:p>
    <w:p w:rsidR="002D5BE3" w:rsidRPr="002D5BE3" w:rsidRDefault="002D5BE3" w:rsidP="002D5BE3">
      <w:pPr>
        <w:overflowPunct w:val="0"/>
        <w:autoSpaceDE w:val="0"/>
        <w:autoSpaceDN w:val="0"/>
        <w:adjustRightInd w:val="0"/>
        <w:spacing w:line="260" w:lineRule="exact"/>
        <w:jc w:val="right"/>
        <w:textAlignment w:val="baseline"/>
        <w:rPr>
          <w:rFonts w:ascii="Arial" w:hAnsi="Arial" w:cs="Arial"/>
          <w:b/>
          <w:sz w:val="20"/>
          <w:szCs w:val="20"/>
          <w:lang w:eastAsia="sl-SI"/>
        </w:rPr>
      </w:pPr>
      <w:r w:rsidRPr="002D5BE3">
        <w:rPr>
          <w:rFonts w:ascii="Arial" w:hAnsi="Arial" w:cs="Arial"/>
          <w:b/>
          <w:sz w:val="20"/>
          <w:szCs w:val="20"/>
          <w:lang w:eastAsia="sl-SI"/>
        </w:rPr>
        <w:t>(EVA</w:t>
      </w:r>
      <w:r w:rsidRPr="002D5BE3">
        <w:rPr>
          <w:sz w:val="20"/>
          <w:szCs w:val="20"/>
        </w:rPr>
        <w:t xml:space="preserve"> </w:t>
      </w:r>
      <w:r w:rsidRPr="002D5BE3">
        <w:rPr>
          <w:rFonts w:ascii="Arial" w:hAnsi="Arial" w:cs="Arial"/>
          <w:b/>
          <w:sz w:val="20"/>
          <w:szCs w:val="20"/>
          <w:lang w:eastAsia="sl-SI"/>
        </w:rPr>
        <w:t>2014-2430-</w:t>
      </w:r>
      <w:r w:rsidR="00E9424F">
        <w:rPr>
          <w:rFonts w:ascii="Arial" w:hAnsi="Arial" w:cs="Arial"/>
          <w:b/>
          <w:sz w:val="20"/>
          <w:szCs w:val="20"/>
          <w:lang w:eastAsia="sl-SI"/>
        </w:rPr>
        <w:t>0025</w:t>
      </w:r>
      <w:r w:rsidRPr="002D5BE3">
        <w:rPr>
          <w:rFonts w:ascii="Arial" w:hAnsi="Arial" w:cs="Arial"/>
          <w:b/>
          <w:sz w:val="20"/>
          <w:szCs w:val="20"/>
          <w:lang w:eastAsia="sl-SI"/>
        </w:rPr>
        <w:t>)</w:t>
      </w:r>
    </w:p>
    <w:p w:rsidR="002D5BE3" w:rsidRDefault="002D5BE3" w:rsidP="002D5BE3">
      <w:pPr>
        <w:suppressAutoHyphens w:val="0"/>
        <w:spacing w:after="210"/>
        <w:ind w:firstLine="240"/>
        <w:jc w:val="both"/>
        <w:rPr>
          <w:rFonts w:ascii="Arial" w:hAnsi="Arial" w:cs="Arial"/>
          <w:color w:val="333333"/>
          <w:sz w:val="20"/>
          <w:szCs w:val="20"/>
          <w:lang w:eastAsia="sl-SI"/>
        </w:rPr>
      </w:pPr>
    </w:p>
    <w:p w:rsidR="00761F15" w:rsidRPr="002D5BE3" w:rsidRDefault="00761F15" w:rsidP="002D5BE3">
      <w:pPr>
        <w:suppressAutoHyphens w:val="0"/>
        <w:spacing w:after="210"/>
        <w:ind w:firstLine="240"/>
        <w:jc w:val="both"/>
        <w:rPr>
          <w:rFonts w:ascii="Arial" w:hAnsi="Arial" w:cs="Arial"/>
          <w:color w:val="333333"/>
          <w:sz w:val="20"/>
          <w:szCs w:val="20"/>
          <w:lang w:eastAsia="sl-SI"/>
        </w:rPr>
      </w:pPr>
    </w:p>
    <w:p w:rsidR="002B6BCF" w:rsidRPr="002B6BCF" w:rsidRDefault="002B6BCF" w:rsidP="002B6BCF">
      <w:pPr>
        <w:suppressAutoHyphens w:val="0"/>
        <w:jc w:val="both"/>
        <w:rPr>
          <w:rFonts w:ascii="Arial" w:hAnsi="Arial" w:cs="Arial"/>
          <w:sz w:val="22"/>
          <w:szCs w:val="22"/>
          <w:lang w:eastAsia="en-US"/>
        </w:rPr>
      </w:pPr>
      <w:r w:rsidRPr="002B6BCF">
        <w:rPr>
          <w:rFonts w:ascii="Arial" w:hAnsi="Arial" w:cs="Arial"/>
          <w:sz w:val="22"/>
          <w:szCs w:val="22"/>
          <w:lang w:eastAsia="en-US"/>
        </w:rPr>
        <w:t>Na</w:t>
      </w:r>
      <w:r w:rsidR="003C080A">
        <w:rPr>
          <w:rFonts w:ascii="Arial" w:hAnsi="Arial" w:cs="Arial"/>
          <w:sz w:val="22"/>
          <w:szCs w:val="22"/>
          <w:lang w:eastAsia="en-US"/>
        </w:rPr>
        <w:t xml:space="preserve"> podlagi tretjega odstavka 317., </w:t>
      </w:r>
      <w:r w:rsidR="00DF262B">
        <w:rPr>
          <w:rFonts w:ascii="Arial" w:hAnsi="Arial" w:cs="Arial"/>
          <w:sz w:val="22"/>
          <w:szCs w:val="22"/>
          <w:lang w:eastAsia="en-US"/>
        </w:rPr>
        <w:t xml:space="preserve">tretjega </w:t>
      </w:r>
      <w:r w:rsidR="00546E3B">
        <w:rPr>
          <w:rFonts w:ascii="Arial" w:hAnsi="Arial" w:cs="Arial"/>
          <w:sz w:val="22"/>
          <w:szCs w:val="22"/>
          <w:lang w:eastAsia="en-US"/>
        </w:rPr>
        <w:t xml:space="preserve">in četrtega </w:t>
      </w:r>
      <w:r w:rsidR="00DF262B">
        <w:rPr>
          <w:rFonts w:ascii="Arial" w:hAnsi="Arial" w:cs="Arial"/>
          <w:sz w:val="22"/>
          <w:szCs w:val="22"/>
          <w:lang w:eastAsia="en-US"/>
        </w:rPr>
        <w:t xml:space="preserve">odstavka </w:t>
      </w:r>
      <w:r w:rsidR="002E1769">
        <w:rPr>
          <w:rFonts w:ascii="Arial" w:hAnsi="Arial" w:cs="Arial"/>
          <w:sz w:val="22"/>
          <w:szCs w:val="22"/>
          <w:lang w:eastAsia="en-US"/>
        </w:rPr>
        <w:t xml:space="preserve">318. </w:t>
      </w:r>
      <w:r w:rsidRPr="002B6BCF">
        <w:rPr>
          <w:rFonts w:ascii="Arial" w:hAnsi="Arial" w:cs="Arial"/>
          <w:sz w:val="22"/>
          <w:szCs w:val="22"/>
          <w:lang w:eastAsia="en-US"/>
        </w:rPr>
        <w:t>člena</w:t>
      </w:r>
      <w:r w:rsidR="003C080A">
        <w:rPr>
          <w:rFonts w:ascii="Arial" w:hAnsi="Arial" w:cs="Arial"/>
          <w:sz w:val="22"/>
          <w:szCs w:val="22"/>
          <w:lang w:eastAsia="en-US"/>
        </w:rPr>
        <w:t xml:space="preserve"> ter drugega odstavka 319. člena</w:t>
      </w:r>
      <w:r w:rsidRPr="002B6BCF">
        <w:rPr>
          <w:rFonts w:ascii="Arial" w:hAnsi="Arial" w:cs="Arial"/>
          <w:sz w:val="22"/>
          <w:szCs w:val="22"/>
          <w:lang w:eastAsia="en-US"/>
        </w:rPr>
        <w:t xml:space="preserve"> Energetskega zakona (Uradni list RS, št. 17/14) Vlada Republike Slovenije izdaja</w:t>
      </w:r>
    </w:p>
    <w:p w:rsidR="002B6BCF" w:rsidRPr="002B6BCF" w:rsidRDefault="002B6BCF" w:rsidP="002B6BCF">
      <w:pPr>
        <w:suppressAutoHyphens w:val="0"/>
        <w:jc w:val="center"/>
        <w:rPr>
          <w:rFonts w:ascii="Arial" w:hAnsi="Arial" w:cs="Arial"/>
          <w:b/>
          <w:sz w:val="22"/>
          <w:szCs w:val="22"/>
          <w:lang w:eastAsia="en-US"/>
        </w:rPr>
      </w:pPr>
    </w:p>
    <w:p w:rsidR="002B6BCF" w:rsidRPr="002B6BCF" w:rsidRDefault="002B6BCF" w:rsidP="002B6BCF">
      <w:pPr>
        <w:suppressAutoHyphens w:val="0"/>
        <w:jc w:val="center"/>
        <w:rPr>
          <w:rFonts w:ascii="Arial" w:hAnsi="Arial" w:cs="Arial"/>
          <w:b/>
          <w:sz w:val="22"/>
          <w:szCs w:val="22"/>
          <w:lang w:eastAsia="en-US"/>
        </w:rPr>
      </w:pPr>
    </w:p>
    <w:p w:rsidR="002B6BCF" w:rsidRPr="002B6BCF" w:rsidRDefault="002B6BCF" w:rsidP="00761F15">
      <w:pPr>
        <w:suppressAutoHyphens w:val="0"/>
        <w:spacing w:after="240"/>
        <w:jc w:val="center"/>
        <w:rPr>
          <w:rFonts w:ascii="Arial" w:hAnsi="Arial" w:cs="Arial"/>
          <w:b/>
          <w:sz w:val="22"/>
          <w:szCs w:val="22"/>
          <w:lang w:eastAsia="en-US"/>
        </w:rPr>
      </w:pPr>
      <w:r w:rsidRPr="002B6BCF">
        <w:rPr>
          <w:rFonts w:ascii="Arial" w:hAnsi="Arial" w:cs="Arial"/>
          <w:b/>
          <w:sz w:val="22"/>
          <w:szCs w:val="22"/>
          <w:lang w:eastAsia="en-US"/>
        </w:rPr>
        <w:t>U</w:t>
      </w:r>
      <w:r w:rsidR="00761F15">
        <w:rPr>
          <w:rFonts w:ascii="Arial" w:hAnsi="Arial" w:cs="Arial"/>
          <w:b/>
          <w:sz w:val="22"/>
          <w:szCs w:val="22"/>
          <w:lang w:eastAsia="en-US"/>
        </w:rPr>
        <w:t xml:space="preserve"> </w:t>
      </w:r>
      <w:r w:rsidRPr="002B6BCF">
        <w:rPr>
          <w:rFonts w:ascii="Arial" w:hAnsi="Arial" w:cs="Arial"/>
          <w:b/>
          <w:sz w:val="22"/>
          <w:szCs w:val="22"/>
          <w:lang w:eastAsia="en-US"/>
        </w:rPr>
        <w:t>R</w:t>
      </w:r>
      <w:r w:rsidR="00761F15">
        <w:rPr>
          <w:rFonts w:ascii="Arial" w:hAnsi="Arial" w:cs="Arial"/>
          <w:b/>
          <w:sz w:val="22"/>
          <w:szCs w:val="22"/>
          <w:lang w:eastAsia="en-US"/>
        </w:rPr>
        <w:t xml:space="preserve"> </w:t>
      </w:r>
      <w:r w:rsidRPr="002B6BCF">
        <w:rPr>
          <w:rFonts w:ascii="Arial" w:hAnsi="Arial" w:cs="Arial"/>
          <w:b/>
          <w:sz w:val="22"/>
          <w:szCs w:val="22"/>
          <w:lang w:eastAsia="en-US"/>
        </w:rPr>
        <w:t>E</w:t>
      </w:r>
      <w:r w:rsidR="00761F15">
        <w:rPr>
          <w:rFonts w:ascii="Arial" w:hAnsi="Arial" w:cs="Arial"/>
          <w:b/>
          <w:sz w:val="22"/>
          <w:szCs w:val="22"/>
          <w:lang w:eastAsia="en-US"/>
        </w:rPr>
        <w:t xml:space="preserve"> </w:t>
      </w:r>
      <w:r w:rsidRPr="002B6BCF">
        <w:rPr>
          <w:rFonts w:ascii="Arial" w:hAnsi="Arial" w:cs="Arial"/>
          <w:b/>
          <w:sz w:val="22"/>
          <w:szCs w:val="22"/>
          <w:lang w:eastAsia="en-US"/>
        </w:rPr>
        <w:t>D</w:t>
      </w:r>
      <w:r w:rsidR="00761F15">
        <w:rPr>
          <w:rFonts w:ascii="Arial" w:hAnsi="Arial" w:cs="Arial"/>
          <w:b/>
          <w:sz w:val="22"/>
          <w:szCs w:val="22"/>
          <w:lang w:eastAsia="en-US"/>
        </w:rPr>
        <w:t xml:space="preserve"> </w:t>
      </w:r>
      <w:r w:rsidRPr="002B6BCF">
        <w:rPr>
          <w:rFonts w:ascii="Arial" w:hAnsi="Arial" w:cs="Arial"/>
          <w:b/>
          <w:sz w:val="22"/>
          <w:szCs w:val="22"/>
          <w:lang w:eastAsia="en-US"/>
        </w:rPr>
        <w:t>B</w:t>
      </w:r>
      <w:r w:rsidR="00761F15">
        <w:rPr>
          <w:rFonts w:ascii="Arial" w:hAnsi="Arial" w:cs="Arial"/>
          <w:b/>
          <w:sz w:val="22"/>
          <w:szCs w:val="22"/>
          <w:lang w:eastAsia="en-US"/>
        </w:rPr>
        <w:t xml:space="preserve"> </w:t>
      </w:r>
      <w:r w:rsidRPr="002B6BCF">
        <w:rPr>
          <w:rFonts w:ascii="Arial" w:hAnsi="Arial" w:cs="Arial"/>
          <w:b/>
          <w:sz w:val="22"/>
          <w:szCs w:val="22"/>
          <w:lang w:eastAsia="en-US"/>
        </w:rPr>
        <w:t>O</w:t>
      </w:r>
    </w:p>
    <w:p w:rsidR="002B6BCF" w:rsidRPr="002B6BCF" w:rsidRDefault="00761F15" w:rsidP="002B6BCF">
      <w:pPr>
        <w:suppressAutoHyphens w:val="0"/>
        <w:jc w:val="center"/>
        <w:rPr>
          <w:rFonts w:ascii="Arial" w:hAnsi="Arial" w:cs="Arial"/>
          <w:b/>
          <w:sz w:val="22"/>
          <w:szCs w:val="22"/>
          <w:lang w:eastAsia="en-US"/>
        </w:rPr>
      </w:pPr>
      <w:r w:rsidRPr="002B6BCF">
        <w:rPr>
          <w:rFonts w:ascii="Arial" w:hAnsi="Arial" w:cs="Arial"/>
          <w:b/>
          <w:sz w:val="22"/>
          <w:szCs w:val="22"/>
          <w:lang w:eastAsia="en-US"/>
        </w:rPr>
        <w:t xml:space="preserve">O ZAGOTAVLJANJU PRIHRANKOV ENERGIJE </w:t>
      </w:r>
    </w:p>
    <w:p w:rsidR="002B6BCF" w:rsidRPr="002B6BCF" w:rsidRDefault="002B6BCF" w:rsidP="002B6BCF">
      <w:pPr>
        <w:suppressAutoHyphens w:val="0"/>
        <w:jc w:val="both"/>
        <w:rPr>
          <w:rFonts w:ascii="Arial" w:hAnsi="Arial" w:cs="Arial"/>
          <w:b/>
          <w:sz w:val="22"/>
          <w:szCs w:val="22"/>
          <w:lang w:eastAsia="en-US"/>
        </w:rPr>
      </w:pPr>
    </w:p>
    <w:p w:rsidR="00761F15" w:rsidRDefault="00761F15" w:rsidP="002B6BCF">
      <w:pPr>
        <w:suppressAutoHyphens w:val="0"/>
        <w:jc w:val="center"/>
        <w:rPr>
          <w:rFonts w:ascii="Arial" w:hAnsi="Arial" w:cs="Arial"/>
          <w:b/>
          <w:sz w:val="22"/>
          <w:szCs w:val="22"/>
          <w:lang w:eastAsia="en-US"/>
        </w:rPr>
      </w:pPr>
    </w:p>
    <w:p w:rsidR="002B6BCF" w:rsidRPr="002B6BCF" w:rsidRDefault="002B6BCF" w:rsidP="002B6BCF">
      <w:pPr>
        <w:suppressAutoHyphens w:val="0"/>
        <w:jc w:val="center"/>
        <w:rPr>
          <w:rFonts w:ascii="Arial" w:hAnsi="Arial" w:cs="Arial"/>
          <w:b/>
          <w:sz w:val="22"/>
          <w:szCs w:val="22"/>
          <w:lang w:eastAsia="en-US"/>
        </w:rPr>
      </w:pPr>
      <w:r w:rsidRPr="002B6BCF">
        <w:rPr>
          <w:rFonts w:ascii="Arial" w:hAnsi="Arial" w:cs="Arial"/>
          <w:b/>
          <w:sz w:val="22"/>
          <w:szCs w:val="22"/>
          <w:lang w:eastAsia="en-US"/>
        </w:rPr>
        <w:t>I. SPLOŠNE DOLOČBE</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1. člen</w:t>
      </w: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(vsebina)</w:t>
      </w:r>
    </w:p>
    <w:p w:rsidR="002B6BCF" w:rsidRPr="002B6BCF" w:rsidRDefault="002B6BCF" w:rsidP="002B6BCF">
      <w:pPr>
        <w:suppressAutoHyphens w:val="0"/>
        <w:jc w:val="center"/>
        <w:rPr>
          <w:rFonts w:ascii="Arial" w:hAnsi="Arial" w:cs="Arial"/>
          <w:sz w:val="22"/>
          <w:szCs w:val="22"/>
          <w:lang w:eastAsia="en-US"/>
        </w:rPr>
      </w:pPr>
    </w:p>
    <w:p w:rsidR="00EE6F80" w:rsidRDefault="00EE6F80" w:rsidP="002B6BCF">
      <w:pPr>
        <w:suppressAutoHyphens w:val="0"/>
        <w:jc w:val="both"/>
        <w:rPr>
          <w:rFonts w:ascii="Arial" w:eastAsia="Calibri" w:hAnsi="Arial" w:cs="Arial"/>
          <w:sz w:val="22"/>
          <w:szCs w:val="22"/>
          <w:lang w:eastAsia="en-US"/>
        </w:rPr>
      </w:pPr>
      <w:r>
        <w:rPr>
          <w:rFonts w:ascii="Arial" w:hAnsi="Arial" w:cs="Arial"/>
          <w:sz w:val="22"/>
          <w:szCs w:val="22"/>
          <w:lang w:eastAsia="en-US"/>
        </w:rPr>
        <w:t xml:space="preserve">(1) </w:t>
      </w:r>
      <w:r w:rsidR="002B6BCF" w:rsidRPr="002B6BCF">
        <w:rPr>
          <w:rFonts w:ascii="Arial" w:hAnsi="Arial" w:cs="Arial"/>
          <w:sz w:val="22"/>
          <w:szCs w:val="22"/>
          <w:lang w:eastAsia="en-US"/>
        </w:rPr>
        <w:t xml:space="preserve">Ta uredba določa </w:t>
      </w:r>
      <w:r w:rsidR="002B6BCF" w:rsidRPr="002B6BCF">
        <w:rPr>
          <w:rFonts w:ascii="Arial" w:hAnsi="Arial" w:cs="Arial"/>
          <w:color w:val="000000"/>
          <w:sz w:val="22"/>
          <w:szCs w:val="22"/>
          <w:lang w:eastAsia="sl-SI"/>
        </w:rPr>
        <w:t xml:space="preserve">obdobje in višino prihrankov energije, </w:t>
      </w:r>
      <w:r w:rsidR="002B6BCF" w:rsidRPr="002B6BCF">
        <w:rPr>
          <w:rFonts w:ascii="Arial" w:eastAsia="Calibri" w:hAnsi="Arial" w:cs="Arial"/>
          <w:sz w:val="22"/>
          <w:szCs w:val="22"/>
          <w:lang w:eastAsia="en-US"/>
        </w:rPr>
        <w:t>način izračuna prihrankov</w:t>
      </w:r>
      <w:r w:rsidR="003A178A">
        <w:rPr>
          <w:rFonts w:ascii="Arial" w:eastAsia="Calibri" w:hAnsi="Arial" w:cs="Arial"/>
          <w:sz w:val="22"/>
          <w:szCs w:val="22"/>
          <w:lang w:eastAsia="en-US"/>
        </w:rPr>
        <w:t xml:space="preserve"> energije</w:t>
      </w:r>
      <w:r w:rsidR="002B6BCF" w:rsidRPr="002B6BCF">
        <w:rPr>
          <w:rFonts w:ascii="Arial" w:eastAsia="Calibri" w:hAnsi="Arial" w:cs="Arial"/>
          <w:sz w:val="22"/>
          <w:szCs w:val="22"/>
          <w:lang w:eastAsia="en-US"/>
        </w:rPr>
        <w:t>, porazdelitev prihrankov</w:t>
      </w:r>
      <w:r w:rsidR="003A178A">
        <w:rPr>
          <w:rFonts w:ascii="Arial" w:eastAsia="Calibri" w:hAnsi="Arial" w:cs="Arial"/>
          <w:sz w:val="22"/>
          <w:szCs w:val="22"/>
          <w:lang w:eastAsia="en-US"/>
        </w:rPr>
        <w:t xml:space="preserve"> energije</w:t>
      </w:r>
      <w:r w:rsidR="002B6BCF" w:rsidRPr="002B6BCF">
        <w:rPr>
          <w:rFonts w:ascii="Arial" w:eastAsia="Calibri" w:hAnsi="Arial" w:cs="Arial"/>
          <w:sz w:val="22"/>
          <w:szCs w:val="22"/>
          <w:lang w:eastAsia="en-US"/>
        </w:rPr>
        <w:t xml:space="preserve"> po posameznih letih določenega obdobja, način in roke za izpolnjevanje obveznosti </w:t>
      </w:r>
      <w:r w:rsidR="002E1769">
        <w:rPr>
          <w:rFonts w:ascii="Arial" w:eastAsia="Calibri" w:hAnsi="Arial" w:cs="Arial"/>
          <w:sz w:val="22"/>
          <w:szCs w:val="22"/>
          <w:lang w:eastAsia="en-US"/>
        </w:rPr>
        <w:t>doseganja prihrank</w:t>
      </w:r>
      <w:r w:rsidR="003A178A">
        <w:rPr>
          <w:rFonts w:ascii="Arial" w:eastAsia="Calibri" w:hAnsi="Arial" w:cs="Arial"/>
          <w:sz w:val="22"/>
          <w:szCs w:val="22"/>
          <w:lang w:eastAsia="en-US"/>
        </w:rPr>
        <w:t>ov energije</w:t>
      </w:r>
      <w:r w:rsidR="002E1769">
        <w:rPr>
          <w:rFonts w:ascii="Arial" w:eastAsia="Calibri" w:hAnsi="Arial" w:cs="Arial"/>
          <w:sz w:val="22"/>
          <w:szCs w:val="22"/>
          <w:lang w:eastAsia="en-US"/>
        </w:rPr>
        <w:t xml:space="preserve"> ter</w:t>
      </w:r>
      <w:r w:rsidR="002B6BCF" w:rsidRPr="002B6BCF">
        <w:rPr>
          <w:rFonts w:ascii="Arial" w:eastAsia="Calibri" w:hAnsi="Arial" w:cs="Arial"/>
          <w:sz w:val="22"/>
          <w:szCs w:val="22"/>
          <w:lang w:eastAsia="en-US"/>
        </w:rPr>
        <w:t xml:space="preserve"> </w:t>
      </w:r>
      <w:r w:rsidR="002E1769" w:rsidRPr="002B6BCF">
        <w:rPr>
          <w:rFonts w:ascii="Arial" w:eastAsia="Calibri" w:hAnsi="Arial" w:cs="Arial"/>
          <w:sz w:val="22"/>
          <w:szCs w:val="22"/>
          <w:lang w:eastAsia="en-US"/>
        </w:rPr>
        <w:t>vrste energetskih storitev in ukrepov za doseganje prihrankov</w:t>
      </w:r>
      <w:r w:rsidR="003A178A">
        <w:rPr>
          <w:rFonts w:ascii="Arial" w:eastAsia="Calibri" w:hAnsi="Arial" w:cs="Arial"/>
          <w:sz w:val="22"/>
          <w:szCs w:val="22"/>
          <w:lang w:eastAsia="en-US"/>
        </w:rPr>
        <w:t xml:space="preserve"> energije</w:t>
      </w:r>
      <w:r w:rsidR="002E1769" w:rsidRPr="002B6BCF">
        <w:rPr>
          <w:rFonts w:ascii="Arial" w:eastAsia="Calibri" w:hAnsi="Arial" w:cs="Arial"/>
          <w:sz w:val="22"/>
          <w:szCs w:val="22"/>
          <w:lang w:eastAsia="en-US"/>
        </w:rPr>
        <w:t>.</w:t>
      </w:r>
      <w:r w:rsidR="002E1769">
        <w:rPr>
          <w:rFonts w:ascii="Arial" w:eastAsia="Calibri" w:hAnsi="Arial" w:cs="Arial"/>
          <w:sz w:val="22"/>
          <w:szCs w:val="22"/>
          <w:lang w:eastAsia="en-US"/>
        </w:rPr>
        <w:t xml:space="preserve"> </w:t>
      </w:r>
    </w:p>
    <w:p w:rsidR="00EE6F80" w:rsidRDefault="00EE6F80" w:rsidP="002B6BCF">
      <w:pPr>
        <w:suppressAutoHyphens w:val="0"/>
        <w:jc w:val="both"/>
        <w:rPr>
          <w:rFonts w:ascii="Arial" w:eastAsia="Calibri" w:hAnsi="Arial" w:cs="Arial"/>
          <w:sz w:val="22"/>
          <w:szCs w:val="22"/>
          <w:lang w:eastAsia="en-US"/>
        </w:rPr>
      </w:pPr>
    </w:p>
    <w:p w:rsidR="002B6BCF" w:rsidRPr="002B6BCF" w:rsidRDefault="00EE6F80" w:rsidP="002B6BCF">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2E1769">
        <w:rPr>
          <w:rFonts w:ascii="Arial" w:eastAsia="Calibri" w:hAnsi="Arial" w:cs="Arial"/>
          <w:sz w:val="22"/>
          <w:szCs w:val="22"/>
          <w:lang w:eastAsia="en-US"/>
        </w:rPr>
        <w:t>Uredba določa tudi višino prispevka na rabo energije za povečanje energetske učinkovitosti</w:t>
      </w:r>
      <w:r w:rsidR="003A178A">
        <w:rPr>
          <w:rFonts w:ascii="Arial" w:eastAsia="Calibri" w:hAnsi="Arial" w:cs="Arial"/>
          <w:sz w:val="22"/>
          <w:szCs w:val="22"/>
          <w:lang w:eastAsia="en-US"/>
        </w:rPr>
        <w:t xml:space="preserve"> z</w:t>
      </w:r>
      <w:r w:rsidR="00B3466A">
        <w:rPr>
          <w:rFonts w:ascii="Arial" w:eastAsia="Calibri" w:hAnsi="Arial" w:cs="Arial"/>
          <w:sz w:val="22"/>
          <w:szCs w:val="22"/>
          <w:lang w:eastAsia="en-US"/>
        </w:rPr>
        <w:t>a</w:t>
      </w:r>
      <w:r w:rsidR="003A178A">
        <w:rPr>
          <w:rFonts w:ascii="Arial" w:eastAsia="Calibri" w:hAnsi="Arial" w:cs="Arial"/>
          <w:sz w:val="22"/>
          <w:szCs w:val="22"/>
          <w:lang w:eastAsia="en-US"/>
        </w:rPr>
        <w:t xml:space="preserve"> izvajanje programa Eko sklada, Slovenskega okoljskega javnega sklada (v nadaljnjem besedilu: Eko sklad).</w:t>
      </w:r>
      <w:r w:rsidR="002B6BCF" w:rsidRPr="002B6BCF">
        <w:rPr>
          <w:rFonts w:ascii="Arial" w:eastAsia="Calibri" w:hAnsi="Arial" w:cs="Arial"/>
          <w:sz w:val="22"/>
          <w:szCs w:val="22"/>
          <w:lang w:eastAsia="en-US"/>
        </w:rPr>
        <w:t xml:space="preserve"> </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2. člen</w:t>
      </w: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(pomen izrazov)</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both"/>
        <w:rPr>
          <w:rFonts w:ascii="Arial" w:hAnsi="Arial" w:cs="Arial"/>
          <w:sz w:val="22"/>
          <w:szCs w:val="22"/>
          <w:lang w:eastAsia="en-US"/>
        </w:rPr>
      </w:pPr>
      <w:r w:rsidRPr="002B6BCF">
        <w:rPr>
          <w:rFonts w:ascii="Arial" w:hAnsi="Arial" w:cs="Arial"/>
          <w:sz w:val="22"/>
          <w:szCs w:val="22"/>
          <w:lang w:eastAsia="en-US"/>
        </w:rPr>
        <w:t>(1) Izrazi, uporabljeni v tej uredbi, imajo naslednji pomen:</w:t>
      </w:r>
    </w:p>
    <w:p w:rsidR="002B6BCF" w:rsidRPr="002B6BCF" w:rsidRDefault="002B6BCF" w:rsidP="00DD2B18">
      <w:pPr>
        <w:numPr>
          <w:ilvl w:val="0"/>
          <w:numId w:val="41"/>
        </w:numPr>
        <w:suppressAutoHyphens w:val="0"/>
        <w:spacing w:line="276" w:lineRule="auto"/>
        <w:jc w:val="both"/>
        <w:rPr>
          <w:rFonts w:ascii="Arial" w:hAnsi="Arial" w:cs="Arial"/>
          <w:sz w:val="22"/>
          <w:szCs w:val="22"/>
          <w:lang w:eastAsia="en-US"/>
        </w:rPr>
      </w:pPr>
      <w:r w:rsidRPr="002B6BCF">
        <w:rPr>
          <w:rFonts w:ascii="Arial" w:hAnsi="Arial" w:cs="Arial"/>
          <w:sz w:val="22"/>
          <w:szCs w:val="22"/>
          <w:lang w:eastAsia="en-US"/>
        </w:rPr>
        <w:t xml:space="preserve">prihranek energije je količina prihranjene energije pri </w:t>
      </w:r>
      <w:r w:rsidR="00B3466A">
        <w:rPr>
          <w:rFonts w:ascii="Arial" w:hAnsi="Arial" w:cs="Arial"/>
          <w:sz w:val="22"/>
          <w:szCs w:val="22"/>
          <w:lang w:eastAsia="en-US"/>
        </w:rPr>
        <w:t xml:space="preserve">končnih </w:t>
      </w:r>
      <w:r w:rsidRPr="002B6BCF">
        <w:rPr>
          <w:rFonts w:ascii="Arial" w:hAnsi="Arial" w:cs="Arial"/>
          <w:sz w:val="22"/>
          <w:szCs w:val="22"/>
          <w:lang w:eastAsia="en-US"/>
        </w:rPr>
        <w:t>odjemalcih, določena z merjenjem oziroma oceno porabe pred in po izvedbi ene ali več energetskih storitev ali ukrepov za izboljšanje energetske učinkovitosti;</w:t>
      </w:r>
    </w:p>
    <w:p w:rsidR="002E1769" w:rsidRDefault="002B6BCF" w:rsidP="00DD2B18">
      <w:pPr>
        <w:numPr>
          <w:ilvl w:val="0"/>
          <w:numId w:val="41"/>
        </w:numPr>
        <w:suppressAutoHyphens w:val="0"/>
        <w:spacing w:line="276" w:lineRule="auto"/>
        <w:jc w:val="both"/>
        <w:rPr>
          <w:rFonts w:ascii="Arial" w:hAnsi="Arial" w:cs="Arial"/>
          <w:sz w:val="22"/>
          <w:szCs w:val="22"/>
          <w:lang w:eastAsia="en-US"/>
        </w:rPr>
      </w:pPr>
      <w:r w:rsidRPr="00FC065D">
        <w:rPr>
          <w:rFonts w:ascii="Arial" w:hAnsi="Arial" w:cs="Arial"/>
          <w:sz w:val="22"/>
          <w:szCs w:val="22"/>
          <w:lang w:eastAsia="en-US"/>
        </w:rPr>
        <w:t>program za izboljšanje energetske učinkovitosti</w:t>
      </w:r>
      <w:r w:rsidRPr="002B6BCF">
        <w:rPr>
          <w:rFonts w:ascii="Arial" w:hAnsi="Arial" w:cs="Arial"/>
          <w:sz w:val="22"/>
          <w:szCs w:val="22"/>
          <w:lang w:eastAsia="en-US"/>
        </w:rPr>
        <w:t xml:space="preserve"> je program spodbujanja energetske učinkovitosti in rabe obnovljivih virov </w:t>
      </w:r>
      <w:r w:rsidR="003A178A">
        <w:rPr>
          <w:rFonts w:ascii="Arial" w:hAnsi="Arial" w:cs="Arial"/>
          <w:sz w:val="22"/>
          <w:szCs w:val="22"/>
          <w:lang w:eastAsia="en-US"/>
        </w:rPr>
        <w:t xml:space="preserve">energije </w:t>
      </w:r>
      <w:r w:rsidR="00EE6F80">
        <w:rPr>
          <w:rFonts w:ascii="Arial" w:hAnsi="Arial" w:cs="Arial"/>
          <w:sz w:val="22"/>
          <w:szCs w:val="22"/>
          <w:lang w:eastAsia="en-US"/>
        </w:rPr>
        <w:t>pri končnih odjemalcih.</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both"/>
        <w:rPr>
          <w:rFonts w:ascii="Arial" w:hAnsi="Arial" w:cs="Arial"/>
          <w:sz w:val="22"/>
          <w:szCs w:val="22"/>
          <w:lang w:eastAsia="en-US"/>
        </w:rPr>
      </w:pPr>
      <w:r w:rsidRPr="002B6BCF">
        <w:rPr>
          <w:rFonts w:ascii="Arial" w:hAnsi="Arial" w:cs="Arial"/>
          <w:sz w:val="22"/>
          <w:szCs w:val="22"/>
          <w:lang w:eastAsia="en-US"/>
        </w:rPr>
        <w:t xml:space="preserve">(2) Izrazi, ki niso opredeljeni s to uredbo, imajo enak pomen, kot </w:t>
      </w:r>
      <w:r w:rsidR="00EE6F80">
        <w:rPr>
          <w:rFonts w:ascii="Arial" w:hAnsi="Arial" w:cs="Arial"/>
          <w:sz w:val="22"/>
          <w:szCs w:val="22"/>
          <w:lang w:eastAsia="en-US"/>
        </w:rPr>
        <w:t>so določeni</w:t>
      </w:r>
      <w:r w:rsidR="00B3466A">
        <w:rPr>
          <w:rFonts w:ascii="Arial" w:hAnsi="Arial" w:cs="Arial"/>
          <w:sz w:val="22"/>
          <w:szCs w:val="22"/>
          <w:lang w:eastAsia="en-US"/>
        </w:rPr>
        <w:t xml:space="preserve"> </w:t>
      </w:r>
      <w:r w:rsidR="00DD2B18">
        <w:rPr>
          <w:rFonts w:ascii="Arial" w:hAnsi="Arial" w:cs="Arial"/>
          <w:sz w:val="22"/>
          <w:szCs w:val="22"/>
          <w:lang w:eastAsia="en-US"/>
        </w:rPr>
        <w:t xml:space="preserve">v </w:t>
      </w:r>
      <w:r w:rsidR="0006204A">
        <w:rPr>
          <w:rFonts w:ascii="Arial" w:hAnsi="Arial" w:cs="Arial"/>
          <w:sz w:val="22"/>
          <w:szCs w:val="22"/>
          <w:lang w:eastAsia="en-US"/>
        </w:rPr>
        <w:t>Energetskem zakonu</w:t>
      </w:r>
      <w:r w:rsidRPr="002B6BCF">
        <w:rPr>
          <w:rFonts w:ascii="Arial" w:hAnsi="Arial" w:cs="Arial"/>
          <w:sz w:val="22"/>
          <w:szCs w:val="22"/>
          <w:lang w:eastAsia="en-US"/>
        </w:rPr>
        <w:t>.</w:t>
      </w:r>
    </w:p>
    <w:p w:rsid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both"/>
        <w:rPr>
          <w:sz w:val="22"/>
          <w:szCs w:val="22"/>
          <w:lang w:eastAsia="en-US"/>
        </w:rPr>
      </w:pPr>
    </w:p>
    <w:p w:rsidR="002B6BCF" w:rsidRPr="002B6BCF" w:rsidRDefault="002B6BCF" w:rsidP="002B6BCF">
      <w:pPr>
        <w:suppressAutoHyphens w:val="0"/>
        <w:jc w:val="both"/>
        <w:rPr>
          <w:b/>
          <w:sz w:val="22"/>
          <w:szCs w:val="22"/>
          <w:lang w:eastAsia="en-US"/>
        </w:rPr>
      </w:pPr>
    </w:p>
    <w:p w:rsidR="002B6BCF" w:rsidRPr="002B6BCF" w:rsidRDefault="002B6BCF" w:rsidP="002B6BCF">
      <w:pPr>
        <w:suppressAutoHyphens w:val="0"/>
        <w:jc w:val="center"/>
        <w:rPr>
          <w:rFonts w:ascii="Arial" w:hAnsi="Arial" w:cs="Arial"/>
          <w:b/>
          <w:sz w:val="22"/>
          <w:szCs w:val="22"/>
          <w:lang w:eastAsia="en-US"/>
        </w:rPr>
      </w:pPr>
      <w:r w:rsidRPr="002B6BCF">
        <w:rPr>
          <w:rFonts w:ascii="Arial" w:hAnsi="Arial" w:cs="Arial"/>
          <w:b/>
          <w:sz w:val="22"/>
          <w:szCs w:val="22"/>
          <w:lang w:eastAsia="en-US"/>
        </w:rPr>
        <w:t xml:space="preserve">II. </w:t>
      </w:r>
      <w:r w:rsidR="00DD2B18">
        <w:rPr>
          <w:rFonts w:ascii="Arial" w:hAnsi="Arial" w:cs="Arial"/>
          <w:b/>
          <w:sz w:val="22"/>
          <w:szCs w:val="22"/>
          <w:lang w:eastAsia="en-US"/>
        </w:rPr>
        <w:t>PRIHRANKI ENERGIJE PRI KONČNIH ODJEMALCIH</w:t>
      </w:r>
    </w:p>
    <w:p w:rsidR="002B6BCF" w:rsidRPr="002B6BCF" w:rsidRDefault="002B6BCF" w:rsidP="002B6BCF">
      <w:pPr>
        <w:suppressAutoHyphens w:val="0"/>
        <w:jc w:val="both"/>
        <w:rPr>
          <w:b/>
          <w:sz w:val="22"/>
          <w:szCs w:val="22"/>
          <w:lang w:eastAsia="en-US"/>
        </w:rPr>
      </w:pPr>
    </w:p>
    <w:p w:rsidR="002B6BCF" w:rsidRPr="002B6BCF" w:rsidRDefault="002B6BCF" w:rsidP="002B6BCF">
      <w:pPr>
        <w:tabs>
          <w:tab w:val="left" w:pos="567"/>
          <w:tab w:val="left" w:pos="993"/>
        </w:tabs>
        <w:suppressAutoHyphens w:val="0"/>
        <w:jc w:val="center"/>
        <w:outlineLvl w:val="4"/>
        <w:rPr>
          <w:rFonts w:ascii="Arial" w:hAnsi="Arial" w:cs="Arial"/>
          <w:bCs/>
          <w:iCs/>
          <w:sz w:val="22"/>
          <w:szCs w:val="22"/>
          <w:lang w:eastAsia="en-US"/>
        </w:rPr>
      </w:pPr>
      <w:bookmarkStart w:id="1" w:name="_Ref295481700"/>
      <w:bookmarkStart w:id="2" w:name="_Toc364687522"/>
      <w:r w:rsidRPr="002B6BCF">
        <w:rPr>
          <w:rFonts w:ascii="Arial" w:hAnsi="Arial" w:cs="Arial"/>
          <w:bCs/>
          <w:iCs/>
          <w:sz w:val="22"/>
          <w:szCs w:val="22"/>
          <w:lang w:eastAsia="en-US"/>
        </w:rPr>
        <w:t>3. člen</w:t>
      </w:r>
      <w:r w:rsidRPr="002B6BCF">
        <w:rPr>
          <w:rFonts w:ascii="Arial" w:hAnsi="Arial" w:cs="Arial"/>
          <w:bCs/>
          <w:iCs/>
          <w:sz w:val="22"/>
          <w:szCs w:val="22"/>
          <w:lang w:eastAsia="en-US"/>
        </w:rPr>
        <w:br/>
        <w:t>(zavezanci)</w:t>
      </w:r>
      <w:bookmarkEnd w:id="1"/>
      <w:bookmarkEnd w:id="2"/>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r w:rsidRPr="002B6BCF">
        <w:rPr>
          <w:rFonts w:ascii="Arial" w:eastAsia="Calibri" w:hAnsi="Arial" w:cs="Arial"/>
          <w:sz w:val="22"/>
          <w:szCs w:val="22"/>
          <w:lang w:eastAsia="en-US"/>
        </w:rPr>
        <w:t xml:space="preserve">(1) Dobavitelji električne energije, toplote, plina ter tekočih in trdnih goriv končnim odjemalcem so zavezanci za doseganje prihrankov </w:t>
      </w:r>
      <w:r w:rsidR="00B3466A">
        <w:rPr>
          <w:rFonts w:ascii="Arial" w:eastAsia="Calibri" w:hAnsi="Arial" w:cs="Arial"/>
          <w:sz w:val="22"/>
          <w:szCs w:val="22"/>
          <w:lang w:eastAsia="en-US"/>
        </w:rPr>
        <w:t>energije</w:t>
      </w:r>
      <w:r w:rsidR="00D81A81">
        <w:rPr>
          <w:rFonts w:ascii="Arial" w:eastAsia="Calibri" w:hAnsi="Arial" w:cs="Arial"/>
          <w:sz w:val="22"/>
          <w:szCs w:val="22"/>
          <w:lang w:eastAsia="en-US"/>
        </w:rPr>
        <w:t xml:space="preserve"> pri končnih odjemalcih</w:t>
      </w:r>
      <w:r w:rsidR="00B3466A">
        <w:rPr>
          <w:rFonts w:ascii="Arial" w:eastAsia="Calibri" w:hAnsi="Arial" w:cs="Arial"/>
          <w:sz w:val="22"/>
          <w:szCs w:val="22"/>
          <w:lang w:eastAsia="en-US"/>
        </w:rPr>
        <w:t xml:space="preserve"> </w:t>
      </w:r>
      <w:r w:rsidRPr="002B6BCF">
        <w:rPr>
          <w:rFonts w:ascii="Arial" w:eastAsia="Calibri" w:hAnsi="Arial" w:cs="Arial"/>
          <w:sz w:val="22"/>
          <w:szCs w:val="22"/>
          <w:lang w:eastAsia="en-US"/>
        </w:rPr>
        <w:t>(v nadaljnjem besedilu: zavezanci</w:t>
      </w:r>
      <w:r w:rsidR="00DD2B18">
        <w:rPr>
          <w:rFonts w:ascii="Arial" w:eastAsia="Calibri" w:hAnsi="Arial" w:cs="Arial"/>
          <w:sz w:val="22"/>
          <w:szCs w:val="22"/>
          <w:lang w:eastAsia="en-US"/>
        </w:rPr>
        <w:t>)</w:t>
      </w:r>
      <w:r w:rsidRPr="002B6BCF">
        <w:rPr>
          <w:rFonts w:ascii="Arial" w:eastAsia="Calibri" w:hAnsi="Arial" w:cs="Arial"/>
          <w:sz w:val="22"/>
          <w:szCs w:val="22"/>
          <w:lang w:eastAsia="en-US"/>
        </w:rPr>
        <w:t xml:space="preserve">. </w:t>
      </w:r>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r w:rsidRPr="002B6BCF">
        <w:rPr>
          <w:rFonts w:ascii="Arial" w:eastAsia="Calibri" w:hAnsi="Arial" w:cs="Arial"/>
          <w:sz w:val="22"/>
          <w:szCs w:val="22"/>
          <w:lang w:eastAsia="en-US"/>
        </w:rPr>
        <w:lastRenderedPageBreak/>
        <w:t>(2) Prihranki energije se dosežejo z izvajanjem energetskih storitev in ukrepov za povečanje energetske učinkovitosti pri končnih odjemalcih.</w:t>
      </w:r>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jc w:val="center"/>
        <w:outlineLvl w:val="4"/>
        <w:rPr>
          <w:rFonts w:ascii="Arial" w:hAnsi="Arial" w:cs="Arial"/>
          <w:bCs/>
          <w:iCs/>
          <w:sz w:val="22"/>
          <w:szCs w:val="22"/>
          <w:lang w:eastAsia="en-US"/>
        </w:rPr>
      </w:pPr>
      <w:r w:rsidRPr="002B6BCF">
        <w:rPr>
          <w:rFonts w:ascii="Arial" w:hAnsi="Arial" w:cs="Arial"/>
          <w:bCs/>
          <w:iCs/>
          <w:sz w:val="22"/>
          <w:szCs w:val="22"/>
          <w:lang w:eastAsia="en-US"/>
        </w:rPr>
        <w:t>4. člen</w:t>
      </w:r>
      <w:r w:rsidRPr="002B6BCF">
        <w:rPr>
          <w:rFonts w:ascii="Arial" w:hAnsi="Arial" w:cs="Arial"/>
          <w:bCs/>
          <w:iCs/>
          <w:sz w:val="22"/>
          <w:szCs w:val="22"/>
          <w:lang w:eastAsia="en-US"/>
        </w:rPr>
        <w:br/>
        <w:t>(obdobje in višina prihrankov energije)</w:t>
      </w:r>
    </w:p>
    <w:p w:rsidR="002B6BCF" w:rsidRPr="002B6BCF" w:rsidRDefault="002B6BCF" w:rsidP="002B6BCF">
      <w:pPr>
        <w:tabs>
          <w:tab w:val="left" w:pos="567"/>
          <w:tab w:val="left" w:pos="993"/>
        </w:tabs>
        <w:suppressAutoHyphens w:val="0"/>
        <w:jc w:val="both"/>
        <w:rPr>
          <w:rFonts w:ascii="Arial" w:eastAsia="Calibri" w:hAnsi="Arial" w:cs="Arial"/>
          <w:sz w:val="22"/>
          <w:szCs w:val="22"/>
          <w:lang w:eastAsia="en-US"/>
        </w:rPr>
      </w:pPr>
    </w:p>
    <w:p w:rsidR="002B6BCF" w:rsidRDefault="002B6BCF" w:rsidP="002B6BCF">
      <w:pPr>
        <w:tabs>
          <w:tab w:val="left" w:pos="567"/>
          <w:tab w:val="left" w:pos="993"/>
        </w:tabs>
        <w:suppressAutoHyphens w:val="0"/>
        <w:contextualSpacing/>
        <w:jc w:val="both"/>
        <w:rPr>
          <w:rFonts w:ascii="Arial" w:hAnsi="Arial" w:cs="Arial"/>
          <w:color w:val="000000"/>
          <w:sz w:val="22"/>
          <w:szCs w:val="22"/>
          <w:lang w:eastAsia="sl-SI"/>
        </w:rPr>
      </w:pPr>
      <w:r w:rsidRPr="002B6BCF">
        <w:rPr>
          <w:rFonts w:ascii="Arial" w:hAnsi="Arial" w:cs="Arial"/>
          <w:color w:val="000000"/>
          <w:sz w:val="22"/>
          <w:szCs w:val="22"/>
          <w:lang w:eastAsia="sl-SI"/>
        </w:rPr>
        <w:t>(1) Zavezan</w:t>
      </w:r>
      <w:r w:rsidR="00C85BC7">
        <w:rPr>
          <w:rFonts w:ascii="Arial" w:hAnsi="Arial" w:cs="Arial"/>
          <w:color w:val="000000"/>
          <w:sz w:val="22"/>
          <w:szCs w:val="22"/>
          <w:lang w:eastAsia="sl-SI"/>
        </w:rPr>
        <w:t>e</w:t>
      </w:r>
      <w:r w:rsidRPr="002B6BCF">
        <w:rPr>
          <w:rFonts w:ascii="Arial" w:hAnsi="Arial" w:cs="Arial"/>
          <w:color w:val="000000"/>
          <w:sz w:val="22"/>
          <w:szCs w:val="22"/>
          <w:lang w:eastAsia="sl-SI"/>
        </w:rPr>
        <w:t xml:space="preserve">c mora </w:t>
      </w:r>
      <w:r w:rsidR="00D81A81">
        <w:rPr>
          <w:rFonts w:ascii="Arial" w:hAnsi="Arial" w:cs="Arial"/>
          <w:color w:val="000000"/>
          <w:sz w:val="22"/>
          <w:szCs w:val="22"/>
          <w:lang w:eastAsia="sl-SI"/>
        </w:rPr>
        <w:t>v tekočem koledarskem letu</w:t>
      </w:r>
      <w:r w:rsidRPr="002B6BCF">
        <w:rPr>
          <w:rFonts w:ascii="Arial" w:hAnsi="Arial" w:cs="Arial"/>
          <w:color w:val="000000"/>
          <w:sz w:val="22"/>
          <w:szCs w:val="22"/>
          <w:lang w:eastAsia="sl-SI"/>
        </w:rPr>
        <w:t xml:space="preserve"> dosegati prihranke </w:t>
      </w:r>
      <w:r w:rsidR="00D81A81">
        <w:rPr>
          <w:rFonts w:ascii="Arial" w:hAnsi="Arial" w:cs="Arial"/>
          <w:color w:val="000000"/>
          <w:sz w:val="22"/>
          <w:szCs w:val="22"/>
          <w:lang w:eastAsia="sl-SI"/>
        </w:rPr>
        <w:t xml:space="preserve">v višini 0,75 % </w:t>
      </w:r>
      <w:r w:rsidRPr="002B6BCF">
        <w:rPr>
          <w:rFonts w:ascii="Arial" w:hAnsi="Arial" w:cs="Arial"/>
          <w:color w:val="000000"/>
          <w:sz w:val="22"/>
          <w:szCs w:val="22"/>
          <w:lang w:eastAsia="sl-SI"/>
        </w:rPr>
        <w:t>prodane energije</w:t>
      </w:r>
      <w:r w:rsidR="00CE1EFF">
        <w:rPr>
          <w:rFonts w:ascii="Arial" w:hAnsi="Arial" w:cs="Arial"/>
          <w:color w:val="000000"/>
          <w:sz w:val="22"/>
          <w:szCs w:val="22"/>
          <w:lang w:eastAsia="sl-SI"/>
        </w:rPr>
        <w:t xml:space="preserve"> </w:t>
      </w:r>
      <w:r w:rsidRPr="002B6BCF">
        <w:rPr>
          <w:rFonts w:ascii="Arial" w:hAnsi="Arial" w:cs="Arial"/>
          <w:color w:val="000000"/>
          <w:sz w:val="22"/>
          <w:szCs w:val="22"/>
          <w:lang w:eastAsia="sl-SI"/>
        </w:rPr>
        <w:t xml:space="preserve">v </w:t>
      </w:r>
      <w:r w:rsidR="00C85BC7">
        <w:rPr>
          <w:rFonts w:ascii="Arial" w:hAnsi="Arial" w:cs="Arial"/>
          <w:color w:val="000000"/>
          <w:sz w:val="22"/>
          <w:szCs w:val="22"/>
          <w:lang w:eastAsia="sl-SI"/>
        </w:rPr>
        <w:t>preteklem</w:t>
      </w:r>
      <w:r w:rsidR="00CE1EFF">
        <w:rPr>
          <w:rFonts w:ascii="Arial" w:hAnsi="Arial" w:cs="Arial"/>
          <w:color w:val="000000"/>
          <w:sz w:val="22"/>
          <w:szCs w:val="22"/>
          <w:lang w:eastAsia="sl-SI"/>
        </w:rPr>
        <w:t xml:space="preserve"> letu.</w:t>
      </w:r>
    </w:p>
    <w:p w:rsidR="0006204A" w:rsidRDefault="0006204A" w:rsidP="002B6BCF">
      <w:pPr>
        <w:tabs>
          <w:tab w:val="left" w:pos="567"/>
          <w:tab w:val="left" w:pos="993"/>
        </w:tabs>
        <w:suppressAutoHyphens w:val="0"/>
        <w:contextualSpacing/>
        <w:jc w:val="both"/>
        <w:rPr>
          <w:rFonts w:ascii="Arial" w:hAnsi="Arial" w:cs="Arial"/>
          <w:color w:val="000000"/>
          <w:sz w:val="22"/>
          <w:szCs w:val="22"/>
          <w:lang w:eastAsia="sl-SI"/>
        </w:rPr>
      </w:pPr>
    </w:p>
    <w:p w:rsidR="0006204A" w:rsidRPr="002B6BCF" w:rsidRDefault="0006204A" w:rsidP="002B6BCF">
      <w:pPr>
        <w:tabs>
          <w:tab w:val="left" w:pos="567"/>
          <w:tab w:val="left" w:pos="993"/>
        </w:tabs>
        <w:suppressAutoHyphens w:val="0"/>
        <w:contextualSpacing/>
        <w:jc w:val="both"/>
        <w:rPr>
          <w:rFonts w:ascii="Arial" w:hAnsi="Arial" w:cs="Arial"/>
          <w:color w:val="000000"/>
          <w:sz w:val="22"/>
          <w:szCs w:val="22"/>
          <w:lang w:eastAsia="sl-SI"/>
        </w:rPr>
      </w:pPr>
      <w:r>
        <w:rPr>
          <w:rFonts w:ascii="Arial" w:hAnsi="Arial" w:cs="Arial"/>
          <w:color w:val="000000"/>
          <w:sz w:val="22"/>
          <w:szCs w:val="22"/>
          <w:lang w:eastAsia="sl-SI"/>
        </w:rPr>
        <w:t xml:space="preserve">(2) </w:t>
      </w:r>
      <w:r w:rsidR="00EE6F80">
        <w:rPr>
          <w:rFonts w:ascii="Arial" w:hAnsi="Arial" w:cs="Arial"/>
          <w:color w:val="000000"/>
          <w:sz w:val="22"/>
          <w:szCs w:val="22"/>
          <w:lang w:eastAsia="sl-SI"/>
        </w:rPr>
        <w:t>Ne glede na prejšnji odstavek mora z</w:t>
      </w:r>
      <w:r w:rsidR="00CE1EFF">
        <w:rPr>
          <w:rFonts w:ascii="Arial" w:hAnsi="Arial" w:cs="Arial"/>
          <w:color w:val="000000"/>
          <w:sz w:val="22"/>
          <w:szCs w:val="22"/>
          <w:lang w:eastAsia="sl-SI"/>
        </w:rPr>
        <w:t>avezanec</w:t>
      </w:r>
      <w:r w:rsidR="00EE6F80">
        <w:rPr>
          <w:rFonts w:ascii="Arial" w:hAnsi="Arial" w:cs="Arial"/>
          <w:color w:val="000000"/>
          <w:sz w:val="22"/>
          <w:szCs w:val="22"/>
          <w:lang w:eastAsia="sl-SI"/>
        </w:rPr>
        <w:t>, ki dobavlja tekoča goriva,</w:t>
      </w:r>
      <w:r>
        <w:rPr>
          <w:rFonts w:ascii="Arial" w:hAnsi="Arial" w:cs="Arial"/>
          <w:color w:val="000000"/>
          <w:sz w:val="22"/>
          <w:szCs w:val="22"/>
          <w:lang w:eastAsia="sl-SI"/>
        </w:rPr>
        <w:t xml:space="preserve"> v tekočem koledarskem letu</w:t>
      </w:r>
      <w:r w:rsidRPr="002B6BCF">
        <w:rPr>
          <w:rFonts w:ascii="Arial" w:hAnsi="Arial" w:cs="Arial"/>
          <w:color w:val="000000"/>
          <w:sz w:val="22"/>
          <w:szCs w:val="22"/>
          <w:lang w:eastAsia="sl-SI"/>
        </w:rPr>
        <w:t xml:space="preserve"> dosegati prihranke </w:t>
      </w:r>
      <w:r>
        <w:rPr>
          <w:rFonts w:ascii="Arial" w:hAnsi="Arial" w:cs="Arial"/>
          <w:color w:val="000000"/>
          <w:sz w:val="22"/>
          <w:szCs w:val="22"/>
          <w:lang w:eastAsia="sl-SI"/>
        </w:rPr>
        <w:t>v višini 0,25 % prodanega motornega bencina in dizelskega goriva</w:t>
      </w:r>
      <w:r w:rsidRPr="002B6BCF">
        <w:rPr>
          <w:rFonts w:ascii="Arial" w:hAnsi="Arial" w:cs="Arial"/>
          <w:color w:val="000000"/>
          <w:sz w:val="22"/>
          <w:szCs w:val="22"/>
          <w:lang w:eastAsia="sl-SI"/>
        </w:rPr>
        <w:t xml:space="preserve"> v </w:t>
      </w:r>
      <w:r>
        <w:rPr>
          <w:rFonts w:ascii="Arial" w:hAnsi="Arial" w:cs="Arial"/>
          <w:color w:val="000000"/>
          <w:sz w:val="22"/>
          <w:szCs w:val="22"/>
          <w:lang w:eastAsia="sl-SI"/>
        </w:rPr>
        <w:t>preteklem</w:t>
      </w:r>
      <w:r w:rsidRPr="002B6BCF">
        <w:rPr>
          <w:rFonts w:ascii="Arial" w:hAnsi="Arial" w:cs="Arial"/>
          <w:color w:val="000000"/>
          <w:sz w:val="22"/>
          <w:szCs w:val="22"/>
          <w:lang w:eastAsia="sl-SI"/>
        </w:rPr>
        <w:t xml:space="preserve"> letu.</w:t>
      </w:r>
    </w:p>
    <w:p w:rsidR="002B6BCF" w:rsidRPr="002B6BCF" w:rsidRDefault="002B6BCF" w:rsidP="002B6BCF">
      <w:pPr>
        <w:tabs>
          <w:tab w:val="left" w:pos="567"/>
          <w:tab w:val="left" w:pos="993"/>
        </w:tabs>
        <w:suppressAutoHyphens w:val="0"/>
        <w:contextualSpacing/>
        <w:jc w:val="both"/>
        <w:rPr>
          <w:rFonts w:ascii="Arial" w:hAnsi="Arial" w:cs="Arial"/>
          <w:color w:val="000000"/>
          <w:sz w:val="22"/>
          <w:szCs w:val="22"/>
          <w:lang w:eastAsia="sl-SI"/>
        </w:rPr>
      </w:pP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r w:rsidRPr="002B6BCF">
        <w:rPr>
          <w:rFonts w:ascii="Arial" w:eastAsia="Calibri" w:hAnsi="Arial" w:cs="Arial"/>
          <w:sz w:val="22"/>
          <w:szCs w:val="22"/>
          <w:lang w:eastAsia="en-US"/>
        </w:rPr>
        <w:t>(</w:t>
      </w:r>
      <w:r w:rsidR="00CE1EFF">
        <w:rPr>
          <w:rFonts w:ascii="Arial" w:eastAsia="Calibri" w:hAnsi="Arial" w:cs="Arial"/>
          <w:sz w:val="22"/>
          <w:szCs w:val="22"/>
          <w:lang w:eastAsia="en-US"/>
        </w:rPr>
        <w:t>3</w:t>
      </w:r>
      <w:r w:rsidRPr="002B6BCF">
        <w:rPr>
          <w:rFonts w:ascii="Arial" w:eastAsia="Calibri" w:hAnsi="Arial" w:cs="Arial"/>
          <w:sz w:val="22"/>
          <w:szCs w:val="22"/>
          <w:lang w:eastAsia="en-US"/>
        </w:rPr>
        <w:t xml:space="preserve">) Če zavezanec v posameznem </w:t>
      </w:r>
      <w:r w:rsidR="00EE6F80">
        <w:rPr>
          <w:rFonts w:ascii="Arial" w:eastAsia="Calibri" w:hAnsi="Arial" w:cs="Arial"/>
          <w:sz w:val="22"/>
          <w:szCs w:val="22"/>
          <w:lang w:eastAsia="en-US"/>
        </w:rPr>
        <w:t xml:space="preserve">koledarskem </w:t>
      </w:r>
      <w:r w:rsidRPr="002B6BCF">
        <w:rPr>
          <w:rFonts w:ascii="Arial" w:eastAsia="Calibri" w:hAnsi="Arial" w:cs="Arial"/>
          <w:sz w:val="22"/>
          <w:szCs w:val="22"/>
          <w:lang w:eastAsia="en-US"/>
        </w:rPr>
        <w:t>letu dose</w:t>
      </w:r>
      <w:r w:rsidR="00C85BC7">
        <w:rPr>
          <w:rFonts w:ascii="Arial" w:eastAsia="Calibri" w:hAnsi="Arial" w:cs="Arial"/>
          <w:sz w:val="22"/>
          <w:szCs w:val="22"/>
          <w:lang w:eastAsia="en-US"/>
        </w:rPr>
        <w:t>že</w:t>
      </w:r>
      <w:r w:rsidRPr="002B6BCF">
        <w:rPr>
          <w:rFonts w:ascii="Arial" w:eastAsia="Calibri" w:hAnsi="Arial" w:cs="Arial"/>
          <w:sz w:val="22"/>
          <w:szCs w:val="22"/>
          <w:lang w:eastAsia="en-US"/>
        </w:rPr>
        <w:t xml:space="preserve"> večje prihranke</w:t>
      </w:r>
      <w:r w:rsidR="00480ECA">
        <w:rPr>
          <w:rFonts w:ascii="Arial" w:eastAsia="Calibri" w:hAnsi="Arial" w:cs="Arial"/>
          <w:sz w:val="22"/>
          <w:szCs w:val="22"/>
          <w:lang w:eastAsia="en-US"/>
        </w:rPr>
        <w:t xml:space="preserve"> energije</w:t>
      </w:r>
      <w:r w:rsidRPr="002B6BCF">
        <w:rPr>
          <w:rFonts w:ascii="Arial" w:eastAsia="Calibri" w:hAnsi="Arial" w:cs="Arial"/>
          <w:sz w:val="22"/>
          <w:szCs w:val="22"/>
          <w:lang w:eastAsia="en-US"/>
        </w:rPr>
        <w:t xml:space="preserve">, kot so določeni v </w:t>
      </w:r>
      <w:r w:rsidR="00EE6F80">
        <w:rPr>
          <w:rFonts w:ascii="Arial" w:eastAsia="Calibri" w:hAnsi="Arial" w:cs="Arial"/>
          <w:sz w:val="22"/>
          <w:szCs w:val="22"/>
          <w:lang w:eastAsia="en-US"/>
        </w:rPr>
        <w:t>prvem in p</w:t>
      </w:r>
      <w:r w:rsidR="00DD2B18">
        <w:rPr>
          <w:rFonts w:ascii="Arial" w:eastAsia="Calibri" w:hAnsi="Arial" w:cs="Arial"/>
          <w:sz w:val="22"/>
          <w:szCs w:val="22"/>
          <w:lang w:eastAsia="en-US"/>
        </w:rPr>
        <w:t>rejšnjem</w:t>
      </w:r>
      <w:r w:rsidRPr="002B6BCF">
        <w:rPr>
          <w:rFonts w:ascii="Arial" w:eastAsia="Calibri" w:hAnsi="Arial" w:cs="Arial"/>
          <w:sz w:val="22"/>
          <w:szCs w:val="22"/>
          <w:lang w:eastAsia="en-US"/>
        </w:rPr>
        <w:t xml:space="preserve"> odstavku</w:t>
      </w:r>
      <w:r w:rsidR="00CC6DBF">
        <w:rPr>
          <w:rFonts w:ascii="Arial" w:eastAsia="Calibri" w:hAnsi="Arial" w:cs="Arial"/>
          <w:sz w:val="22"/>
          <w:szCs w:val="22"/>
          <w:lang w:eastAsia="en-US"/>
        </w:rPr>
        <w:t xml:space="preserve"> tega člena</w:t>
      </w:r>
      <w:r w:rsidR="00E9424F">
        <w:rPr>
          <w:rFonts w:ascii="Arial" w:eastAsia="Calibri" w:hAnsi="Arial" w:cs="Arial"/>
          <w:sz w:val="22"/>
          <w:szCs w:val="22"/>
          <w:lang w:eastAsia="en-US"/>
        </w:rPr>
        <w:t>,</w:t>
      </w:r>
      <w:r w:rsidRPr="002B6BCF">
        <w:rPr>
          <w:rFonts w:ascii="Arial" w:eastAsia="Calibri" w:hAnsi="Arial" w:cs="Arial"/>
          <w:sz w:val="22"/>
          <w:szCs w:val="22"/>
          <w:lang w:eastAsia="en-US"/>
        </w:rPr>
        <w:t xml:space="preserve"> </w:t>
      </w:r>
      <w:r w:rsidR="00C85BC7">
        <w:rPr>
          <w:rFonts w:ascii="Arial" w:eastAsia="Calibri" w:hAnsi="Arial" w:cs="Arial"/>
          <w:sz w:val="22"/>
          <w:szCs w:val="22"/>
          <w:lang w:eastAsia="en-US"/>
        </w:rPr>
        <w:t>presežek</w:t>
      </w:r>
      <w:r w:rsidRPr="002B6BCF">
        <w:rPr>
          <w:rFonts w:ascii="Arial" w:eastAsia="Calibri" w:hAnsi="Arial" w:cs="Arial"/>
          <w:sz w:val="22"/>
          <w:szCs w:val="22"/>
          <w:lang w:eastAsia="en-US"/>
        </w:rPr>
        <w:t xml:space="preserve"> </w:t>
      </w:r>
      <w:r w:rsidR="00CC6DBF">
        <w:rPr>
          <w:rFonts w:ascii="Arial" w:eastAsia="Calibri" w:hAnsi="Arial" w:cs="Arial"/>
          <w:sz w:val="22"/>
          <w:szCs w:val="22"/>
          <w:lang w:eastAsia="en-US"/>
        </w:rPr>
        <w:t xml:space="preserve">doseženih prihrankov energije </w:t>
      </w:r>
      <w:r w:rsidR="00C85BC7" w:rsidRPr="00C85BC7">
        <w:rPr>
          <w:rFonts w:ascii="Arial" w:eastAsia="Calibri" w:hAnsi="Arial" w:cs="Arial"/>
          <w:sz w:val="22"/>
          <w:szCs w:val="22"/>
          <w:lang w:eastAsia="en-US"/>
        </w:rPr>
        <w:t>upošteva za izpolnjevanje obveznosti v nasledn</w:t>
      </w:r>
      <w:r w:rsidR="00D81A81">
        <w:rPr>
          <w:rFonts w:ascii="Arial" w:eastAsia="Calibri" w:hAnsi="Arial" w:cs="Arial"/>
          <w:sz w:val="22"/>
          <w:szCs w:val="22"/>
          <w:lang w:eastAsia="en-US"/>
        </w:rPr>
        <w:t xml:space="preserve">jih </w:t>
      </w:r>
      <w:r w:rsidR="00EE6F80">
        <w:rPr>
          <w:rFonts w:ascii="Arial" w:eastAsia="Calibri" w:hAnsi="Arial" w:cs="Arial"/>
          <w:sz w:val="22"/>
          <w:szCs w:val="22"/>
          <w:lang w:eastAsia="en-US"/>
        </w:rPr>
        <w:t>treh</w:t>
      </w:r>
      <w:r w:rsidR="00C85BC7" w:rsidRPr="00C85BC7">
        <w:rPr>
          <w:rFonts w:ascii="Arial" w:eastAsia="Calibri" w:hAnsi="Arial" w:cs="Arial"/>
          <w:sz w:val="22"/>
          <w:szCs w:val="22"/>
          <w:lang w:eastAsia="en-US"/>
        </w:rPr>
        <w:t xml:space="preserve"> let</w:t>
      </w:r>
      <w:r w:rsidR="00D81A81">
        <w:rPr>
          <w:rFonts w:ascii="Arial" w:eastAsia="Calibri" w:hAnsi="Arial" w:cs="Arial"/>
          <w:sz w:val="22"/>
          <w:szCs w:val="22"/>
          <w:lang w:eastAsia="en-US"/>
        </w:rPr>
        <w:t>ih</w:t>
      </w:r>
      <w:r w:rsidRPr="002B6BCF">
        <w:rPr>
          <w:rFonts w:ascii="Arial" w:eastAsia="Calibri" w:hAnsi="Arial" w:cs="Arial"/>
          <w:sz w:val="22"/>
          <w:szCs w:val="22"/>
          <w:lang w:eastAsia="en-US"/>
        </w:rPr>
        <w:t>.</w:t>
      </w:r>
    </w:p>
    <w:p w:rsid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p>
    <w:p w:rsidR="00E9424F" w:rsidRPr="002B6BCF" w:rsidRDefault="00E9424F" w:rsidP="002B6BCF">
      <w:pPr>
        <w:tabs>
          <w:tab w:val="left" w:pos="567"/>
          <w:tab w:val="left" w:pos="993"/>
        </w:tabs>
        <w:suppressAutoHyphens w:val="0"/>
        <w:contextualSpacing/>
        <w:jc w:val="both"/>
        <w:rPr>
          <w:rFonts w:ascii="Arial" w:eastAsia="Calibri" w:hAnsi="Arial" w:cs="Arial"/>
          <w:sz w:val="22"/>
          <w:szCs w:val="22"/>
          <w:lang w:eastAsia="en-US"/>
        </w:rPr>
      </w:pPr>
    </w:p>
    <w:p w:rsidR="00E9424F" w:rsidRPr="002B6BCF" w:rsidRDefault="00E9424F" w:rsidP="00E9424F">
      <w:pPr>
        <w:tabs>
          <w:tab w:val="left" w:pos="567"/>
          <w:tab w:val="left" w:pos="993"/>
        </w:tabs>
        <w:suppressAutoHyphens w:val="0"/>
        <w:jc w:val="center"/>
        <w:outlineLvl w:val="4"/>
        <w:rPr>
          <w:rFonts w:ascii="Arial" w:hAnsi="Arial" w:cs="Arial"/>
          <w:bCs/>
          <w:iCs/>
          <w:sz w:val="22"/>
          <w:szCs w:val="22"/>
          <w:lang w:eastAsia="en-US"/>
        </w:rPr>
      </w:pPr>
      <w:r>
        <w:rPr>
          <w:rFonts w:ascii="Arial" w:hAnsi="Arial" w:cs="Arial"/>
          <w:bCs/>
          <w:iCs/>
          <w:sz w:val="22"/>
          <w:szCs w:val="22"/>
          <w:lang w:eastAsia="en-US"/>
        </w:rPr>
        <w:t>5</w:t>
      </w:r>
      <w:r w:rsidRPr="002B6BCF">
        <w:rPr>
          <w:rFonts w:ascii="Arial" w:hAnsi="Arial" w:cs="Arial"/>
          <w:bCs/>
          <w:iCs/>
          <w:sz w:val="22"/>
          <w:szCs w:val="22"/>
          <w:lang w:eastAsia="en-US"/>
        </w:rPr>
        <w:t>. člen</w:t>
      </w:r>
      <w:r w:rsidRPr="002B6BCF">
        <w:rPr>
          <w:rFonts w:ascii="Arial" w:hAnsi="Arial" w:cs="Arial"/>
          <w:bCs/>
          <w:iCs/>
          <w:sz w:val="22"/>
          <w:szCs w:val="22"/>
          <w:lang w:eastAsia="en-US"/>
        </w:rPr>
        <w:br/>
        <w:t>(v</w:t>
      </w:r>
      <w:r w:rsidRPr="002B6BCF">
        <w:rPr>
          <w:rFonts w:ascii="Arial" w:eastAsia="Calibri" w:hAnsi="Arial" w:cs="Arial"/>
          <w:sz w:val="22"/>
          <w:szCs w:val="22"/>
          <w:lang w:eastAsia="en-US"/>
        </w:rPr>
        <w:t>rste energetskih storitev in ukrepov</w:t>
      </w:r>
      <w:r w:rsidRPr="002B6BCF">
        <w:rPr>
          <w:rFonts w:ascii="Arial" w:hAnsi="Arial" w:cs="Arial"/>
          <w:bCs/>
          <w:iCs/>
          <w:sz w:val="22"/>
          <w:szCs w:val="22"/>
          <w:lang w:eastAsia="en-US"/>
        </w:rPr>
        <w:t>)</w:t>
      </w:r>
    </w:p>
    <w:p w:rsidR="00E9424F" w:rsidRPr="002B6BCF" w:rsidRDefault="00E9424F" w:rsidP="00E9424F">
      <w:pPr>
        <w:suppressAutoHyphens w:val="0"/>
        <w:jc w:val="both"/>
        <w:rPr>
          <w:b/>
          <w:sz w:val="22"/>
          <w:szCs w:val="22"/>
          <w:lang w:eastAsia="en-US"/>
        </w:rPr>
      </w:pPr>
    </w:p>
    <w:p w:rsidR="008268CC" w:rsidRDefault="008268CC" w:rsidP="008268CC">
      <w:p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w:t>
      </w:r>
      <w:r w:rsidR="00EE6F80">
        <w:rPr>
          <w:rFonts w:ascii="Arial" w:eastAsia="Calibri" w:hAnsi="Arial" w:cs="Arial"/>
          <w:sz w:val="22"/>
          <w:szCs w:val="22"/>
          <w:lang w:eastAsia="en-US"/>
        </w:rPr>
        <w:t>1</w:t>
      </w:r>
      <w:r>
        <w:rPr>
          <w:rFonts w:ascii="Arial" w:eastAsia="Calibri" w:hAnsi="Arial" w:cs="Arial"/>
          <w:sz w:val="22"/>
          <w:szCs w:val="22"/>
          <w:lang w:eastAsia="en-US"/>
        </w:rPr>
        <w:t>) U</w:t>
      </w:r>
      <w:r w:rsidRPr="008268CC">
        <w:rPr>
          <w:rFonts w:ascii="Arial" w:eastAsia="Calibri" w:hAnsi="Arial" w:cs="Arial"/>
          <w:sz w:val="22"/>
          <w:szCs w:val="22"/>
          <w:lang w:eastAsia="en-US"/>
        </w:rPr>
        <w:t>krepi učinkovite rabe in večje rabe obnovljivih virov energije pri proizvodnji toplote v javnem in storitvenem sektorju ter industriji so</w:t>
      </w:r>
      <w:r>
        <w:rPr>
          <w:rFonts w:ascii="Arial" w:eastAsia="Calibri" w:hAnsi="Arial" w:cs="Arial"/>
          <w:sz w:val="22"/>
          <w:szCs w:val="22"/>
          <w:lang w:eastAsia="en-US"/>
        </w:rPr>
        <w:t>:</w:t>
      </w:r>
    </w:p>
    <w:p w:rsidR="00057264" w:rsidRDefault="00057264" w:rsidP="00057264">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celovita obnova stavb;</w:t>
      </w:r>
    </w:p>
    <w:p w:rsidR="00057264" w:rsidRDefault="00057264" w:rsidP="00057264">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obnova posameznih elementov ali celotnega zunanjega ovoja stavb;</w:t>
      </w:r>
    </w:p>
    <w:p w:rsidR="008268CC" w:rsidRDefault="008268CC" w:rsidP="00057264">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vgradnja sprejemnikov sončne energije, toplotnih črpalk in drugih naprav za proizvodnjo toplote iz obnovljivih virov energije;</w:t>
      </w:r>
    </w:p>
    <w:p w:rsidR="008268CC" w:rsidRDefault="008268CC" w:rsidP="008268CC">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vgradnja energetsko učinkovitih sistemov razsvetljave</w:t>
      </w:r>
      <w:r w:rsidR="004059CC">
        <w:rPr>
          <w:rFonts w:ascii="Arial" w:hAnsi="Arial" w:cs="Arial"/>
          <w:sz w:val="22"/>
          <w:szCs w:val="22"/>
          <w:lang w:eastAsia="sl-SI"/>
        </w:rPr>
        <w:t xml:space="preserve"> v stavbah</w:t>
      </w:r>
      <w:r w:rsidRPr="002B6BCF">
        <w:rPr>
          <w:rFonts w:ascii="Arial" w:hAnsi="Arial" w:cs="Arial"/>
          <w:sz w:val="22"/>
          <w:szCs w:val="22"/>
          <w:lang w:eastAsia="sl-SI"/>
        </w:rPr>
        <w:t>;</w:t>
      </w:r>
    </w:p>
    <w:p w:rsidR="004059CC" w:rsidRDefault="004059CC" w:rsidP="008268CC">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energetsko učinkovita zunanja razsvetljava;</w:t>
      </w:r>
    </w:p>
    <w:p w:rsidR="004059CC" w:rsidRPr="002B6BCF" w:rsidRDefault="004059CC" w:rsidP="008268CC">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energetsko učinkoviti gospodinjski aparati;</w:t>
      </w:r>
    </w:p>
    <w:p w:rsidR="004059CC" w:rsidRDefault="008268CC" w:rsidP="008268CC">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vgradnja energetsko učinkovitih elektromotor</w:t>
      </w:r>
      <w:r w:rsidR="004059CC">
        <w:rPr>
          <w:rFonts w:ascii="Arial" w:hAnsi="Arial" w:cs="Arial"/>
          <w:sz w:val="22"/>
          <w:szCs w:val="22"/>
          <w:lang w:eastAsia="sl-SI"/>
        </w:rPr>
        <w:t>jev;</w:t>
      </w:r>
    </w:p>
    <w:p w:rsidR="008268CC" w:rsidRDefault="004059CC" w:rsidP="008268CC">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vgradnja frekvenčnih pretvornikov</w:t>
      </w:r>
      <w:r w:rsidR="008268CC" w:rsidRPr="002B6BCF">
        <w:rPr>
          <w:rFonts w:ascii="Arial" w:hAnsi="Arial" w:cs="Arial"/>
          <w:sz w:val="22"/>
          <w:szCs w:val="22"/>
          <w:lang w:eastAsia="sl-SI"/>
        </w:rPr>
        <w:t>;</w:t>
      </w:r>
    </w:p>
    <w:p w:rsidR="008268CC" w:rsidRPr="002B6BCF" w:rsidRDefault="008268CC" w:rsidP="008268CC">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povečanje učinkovitosti sistemov za pripravo komprimiranega zraka;</w:t>
      </w:r>
    </w:p>
    <w:p w:rsidR="008268CC" w:rsidRPr="002B6BCF" w:rsidRDefault="008268CC" w:rsidP="008268CC">
      <w:pPr>
        <w:numPr>
          <w:ilvl w:val="0"/>
          <w:numId w:val="45"/>
        </w:numPr>
        <w:tabs>
          <w:tab w:val="left" w:pos="567"/>
          <w:tab w:val="left" w:pos="993"/>
        </w:tabs>
        <w:suppressAutoHyphens w:val="0"/>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vgradnja naprav za</w:t>
      </w:r>
      <w:r w:rsidRPr="002B6BCF">
        <w:rPr>
          <w:rFonts w:ascii="Arial" w:eastAsia="Calibri" w:hAnsi="Arial" w:cs="Arial"/>
          <w:sz w:val="22"/>
          <w:szCs w:val="22"/>
          <w:lang w:eastAsia="en-US"/>
        </w:rPr>
        <w:t xml:space="preserve"> učinkovit</w:t>
      </w:r>
      <w:r>
        <w:rPr>
          <w:rFonts w:ascii="Arial" w:eastAsia="Calibri" w:hAnsi="Arial" w:cs="Arial"/>
          <w:sz w:val="22"/>
          <w:szCs w:val="22"/>
          <w:lang w:eastAsia="en-US"/>
        </w:rPr>
        <w:t>o</w:t>
      </w:r>
      <w:r w:rsidRPr="002B6BCF">
        <w:rPr>
          <w:rFonts w:ascii="Arial" w:eastAsia="Calibri" w:hAnsi="Arial" w:cs="Arial"/>
          <w:sz w:val="22"/>
          <w:szCs w:val="22"/>
          <w:lang w:eastAsia="en-US"/>
        </w:rPr>
        <w:t xml:space="preserve"> soproizvodnj</w:t>
      </w:r>
      <w:r>
        <w:rPr>
          <w:rFonts w:ascii="Arial" w:eastAsia="Calibri" w:hAnsi="Arial" w:cs="Arial"/>
          <w:sz w:val="22"/>
          <w:szCs w:val="22"/>
          <w:lang w:eastAsia="en-US"/>
        </w:rPr>
        <w:t>o;</w:t>
      </w:r>
    </w:p>
    <w:p w:rsidR="0089528E" w:rsidRDefault="008268CC" w:rsidP="008268CC">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zamenjava električnih peči </w:t>
      </w:r>
      <w:r w:rsidR="0089528E">
        <w:rPr>
          <w:rFonts w:ascii="Arial" w:hAnsi="Arial" w:cs="Arial"/>
          <w:sz w:val="22"/>
          <w:szCs w:val="22"/>
          <w:lang w:eastAsia="sl-SI"/>
        </w:rPr>
        <w:t>z novimi kotli na lesno biomaso;</w:t>
      </w:r>
    </w:p>
    <w:p w:rsidR="008268CC" w:rsidRPr="002B6BCF" w:rsidRDefault="0089528E" w:rsidP="008268CC">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zamenjava električnih peči </w:t>
      </w:r>
      <w:r w:rsidRPr="002B6BCF">
        <w:rPr>
          <w:rFonts w:ascii="Arial" w:hAnsi="Arial" w:cs="Arial"/>
          <w:sz w:val="22"/>
          <w:szCs w:val="22"/>
          <w:lang w:eastAsia="sl-SI"/>
        </w:rPr>
        <w:t xml:space="preserve">z novimi kotli na </w:t>
      </w:r>
      <w:r w:rsidR="008268CC" w:rsidRPr="002B6BCF">
        <w:rPr>
          <w:rFonts w:ascii="Arial" w:hAnsi="Arial" w:cs="Arial"/>
          <w:sz w:val="22"/>
          <w:szCs w:val="22"/>
          <w:lang w:eastAsia="sl-SI"/>
        </w:rPr>
        <w:t>plin;</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 xml:space="preserve">zamenjava kotlov na vse vrste goriv z novimi kotli </w:t>
      </w:r>
      <w:r w:rsidR="00057264" w:rsidRPr="002B6BCF">
        <w:rPr>
          <w:rFonts w:ascii="Arial" w:hAnsi="Arial" w:cs="Arial"/>
          <w:sz w:val="22"/>
          <w:szCs w:val="22"/>
          <w:lang w:eastAsia="sl-SI"/>
        </w:rPr>
        <w:t xml:space="preserve">z visokim izkoristkom </w:t>
      </w:r>
      <w:r w:rsidRPr="002B6BCF">
        <w:rPr>
          <w:rFonts w:ascii="Arial" w:hAnsi="Arial" w:cs="Arial"/>
          <w:sz w:val="22"/>
          <w:szCs w:val="22"/>
          <w:lang w:eastAsia="sl-SI"/>
        </w:rPr>
        <w:t>na lesno biomaso;</w:t>
      </w:r>
    </w:p>
    <w:p w:rsidR="0089528E" w:rsidRDefault="0089528E" w:rsidP="0089528E">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zamenjava kotlov na vse vrste goriv z novimi kotli z visokim izkoristkom na plin;</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vgradnja </w:t>
      </w:r>
      <w:r w:rsidRPr="002B6BCF">
        <w:rPr>
          <w:rFonts w:ascii="Arial" w:hAnsi="Arial" w:cs="Arial"/>
          <w:sz w:val="22"/>
          <w:szCs w:val="22"/>
          <w:lang w:eastAsia="sl-SI"/>
        </w:rPr>
        <w:t>sistem</w:t>
      </w:r>
      <w:r>
        <w:rPr>
          <w:rFonts w:ascii="Arial" w:hAnsi="Arial" w:cs="Arial"/>
          <w:sz w:val="22"/>
          <w:szCs w:val="22"/>
          <w:lang w:eastAsia="sl-SI"/>
        </w:rPr>
        <w:t>ov</w:t>
      </w:r>
      <w:r w:rsidRPr="002B6BCF">
        <w:rPr>
          <w:rFonts w:ascii="Arial" w:hAnsi="Arial" w:cs="Arial"/>
          <w:sz w:val="22"/>
          <w:szCs w:val="22"/>
          <w:lang w:eastAsia="sl-SI"/>
        </w:rPr>
        <w:t xml:space="preserve"> za izkoriščanje odpadne toplote;</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namestitev </w:t>
      </w:r>
      <w:r w:rsidRPr="002B6BCF">
        <w:rPr>
          <w:rFonts w:ascii="Arial" w:hAnsi="Arial" w:cs="Arial"/>
          <w:sz w:val="22"/>
          <w:szCs w:val="22"/>
          <w:lang w:eastAsia="sl-SI"/>
        </w:rPr>
        <w:t>oprem</w:t>
      </w:r>
      <w:r>
        <w:rPr>
          <w:rFonts w:ascii="Arial" w:hAnsi="Arial" w:cs="Arial"/>
          <w:sz w:val="22"/>
          <w:szCs w:val="22"/>
          <w:lang w:eastAsia="sl-SI"/>
        </w:rPr>
        <w:t>e</w:t>
      </w:r>
      <w:r w:rsidRPr="002B6BCF">
        <w:rPr>
          <w:rFonts w:ascii="Arial" w:hAnsi="Arial" w:cs="Arial"/>
          <w:sz w:val="22"/>
          <w:szCs w:val="22"/>
          <w:lang w:eastAsia="sl-SI"/>
        </w:rPr>
        <w:t xml:space="preserve"> za izvajanje obratovalnega monitoringa in upravljanja z energijo pri odjemalcih;</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vgradnja naprednih merilnih sistemov;</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uvedba sistema upravljanja z energijo;</w:t>
      </w:r>
    </w:p>
    <w:p w:rsidR="00573B9F" w:rsidRPr="005B1C05" w:rsidRDefault="00573B9F" w:rsidP="00573B9F">
      <w:pPr>
        <w:numPr>
          <w:ilvl w:val="0"/>
          <w:numId w:val="45"/>
        </w:numPr>
        <w:suppressAutoHyphens w:val="0"/>
        <w:spacing w:line="276" w:lineRule="auto"/>
        <w:jc w:val="both"/>
        <w:rPr>
          <w:rFonts w:ascii="Arial" w:hAnsi="Arial" w:cs="Arial"/>
          <w:sz w:val="22"/>
          <w:szCs w:val="22"/>
          <w:lang w:eastAsia="sl-SI"/>
        </w:rPr>
      </w:pPr>
      <w:r w:rsidRPr="005B1C05">
        <w:rPr>
          <w:rFonts w:ascii="Arial" w:hAnsi="Arial" w:cs="Arial"/>
          <w:sz w:val="22"/>
          <w:szCs w:val="22"/>
          <w:lang w:eastAsia="sl-SI"/>
        </w:rPr>
        <w:t>optimizacija tehnoloških procesov, ki temelji na izvedenem energetskem pregledu.</w:t>
      </w:r>
    </w:p>
    <w:p w:rsidR="008268CC" w:rsidRPr="008268CC" w:rsidRDefault="008268CC" w:rsidP="008268CC">
      <w:pPr>
        <w:tabs>
          <w:tab w:val="left" w:pos="567"/>
          <w:tab w:val="left" w:pos="993"/>
        </w:tabs>
        <w:suppressAutoHyphens w:val="0"/>
        <w:jc w:val="both"/>
        <w:rPr>
          <w:rFonts w:ascii="Arial" w:eastAsia="Calibri" w:hAnsi="Arial" w:cs="Arial"/>
          <w:sz w:val="22"/>
          <w:szCs w:val="22"/>
          <w:lang w:eastAsia="en-US"/>
        </w:rPr>
      </w:pPr>
    </w:p>
    <w:p w:rsidR="008268CC" w:rsidRDefault="008268CC" w:rsidP="008268CC">
      <w:p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w:t>
      </w:r>
      <w:r w:rsidR="00EE6F80">
        <w:rPr>
          <w:rFonts w:ascii="Arial" w:eastAsia="Calibri" w:hAnsi="Arial" w:cs="Arial"/>
          <w:sz w:val="22"/>
          <w:szCs w:val="22"/>
          <w:lang w:eastAsia="en-US"/>
        </w:rPr>
        <w:t>2</w:t>
      </w:r>
      <w:r>
        <w:rPr>
          <w:rFonts w:ascii="Arial" w:eastAsia="Calibri" w:hAnsi="Arial" w:cs="Arial"/>
          <w:sz w:val="22"/>
          <w:szCs w:val="22"/>
          <w:lang w:eastAsia="en-US"/>
        </w:rPr>
        <w:t>) U</w:t>
      </w:r>
      <w:r w:rsidRPr="008268CC">
        <w:rPr>
          <w:rFonts w:ascii="Arial" w:eastAsia="Calibri" w:hAnsi="Arial" w:cs="Arial"/>
          <w:sz w:val="22"/>
          <w:szCs w:val="22"/>
          <w:lang w:eastAsia="en-US"/>
        </w:rPr>
        <w:t xml:space="preserve">krepi učinkovite rabe energije v </w:t>
      </w:r>
      <w:r w:rsidR="009B01C8">
        <w:rPr>
          <w:rFonts w:ascii="Arial" w:eastAsia="Calibri" w:hAnsi="Arial" w:cs="Arial"/>
          <w:sz w:val="22"/>
          <w:szCs w:val="22"/>
          <w:lang w:eastAsia="en-US"/>
        </w:rPr>
        <w:t>eno</w:t>
      </w:r>
      <w:r w:rsidR="0034225D">
        <w:rPr>
          <w:rFonts w:ascii="Arial" w:eastAsia="Calibri" w:hAnsi="Arial" w:cs="Arial"/>
          <w:sz w:val="22"/>
          <w:szCs w:val="22"/>
          <w:lang w:eastAsia="en-US"/>
        </w:rPr>
        <w:t>-</w:t>
      </w:r>
      <w:r w:rsidR="009B01C8">
        <w:rPr>
          <w:rFonts w:ascii="Arial" w:eastAsia="Calibri" w:hAnsi="Arial" w:cs="Arial"/>
          <w:sz w:val="22"/>
          <w:szCs w:val="22"/>
          <w:lang w:eastAsia="en-US"/>
        </w:rPr>
        <w:t>, dvo</w:t>
      </w:r>
      <w:r w:rsidR="0034225D">
        <w:rPr>
          <w:rFonts w:ascii="Arial" w:eastAsia="Calibri" w:hAnsi="Arial" w:cs="Arial"/>
          <w:sz w:val="22"/>
          <w:szCs w:val="22"/>
          <w:lang w:eastAsia="en-US"/>
        </w:rPr>
        <w:t>-</w:t>
      </w:r>
      <w:r w:rsidR="009B01C8">
        <w:rPr>
          <w:rFonts w:ascii="Arial" w:eastAsia="Calibri" w:hAnsi="Arial" w:cs="Arial"/>
          <w:sz w:val="22"/>
          <w:szCs w:val="22"/>
          <w:lang w:eastAsia="en-US"/>
        </w:rPr>
        <w:t xml:space="preserve"> in večstanovanjskih </w:t>
      </w:r>
      <w:r w:rsidRPr="008268CC">
        <w:rPr>
          <w:rFonts w:ascii="Arial" w:eastAsia="Calibri" w:hAnsi="Arial" w:cs="Arial"/>
          <w:sz w:val="22"/>
          <w:szCs w:val="22"/>
          <w:lang w:eastAsia="en-US"/>
        </w:rPr>
        <w:t>stavbah so</w:t>
      </w:r>
      <w:r>
        <w:rPr>
          <w:rFonts w:ascii="Arial" w:eastAsia="Calibri" w:hAnsi="Arial" w:cs="Arial"/>
          <w:sz w:val="22"/>
          <w:szCs w:val="22"/>
          <w:lang w:eastAsia="en-US"/>
        </w:rPr>
        <w:t>:</w:t>
      </w:r>
    </w:p>
    <w:p w:rsidR="0089528E" w:rsidRDefault="008268CC" w:rsidP="008268CC">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vgradn</w:t>
      </w:r>
      <w:r w:rsidR="0089528E">
        <w:rPr>
          <w:rFonts w:ascii="Arial" w:hAnsi="Arial" w:cs="Arial"/>
          <w:sz w:val="22"/>
          <w:szCs w:val="22"/>
          <w:lang w:eastAsia="sl-SI"/>
        </w:rPr>
        <w:t>ja sprejemnikov sončne energije;</w:t>
      </w:r>
      <w:r w:rsidRPr="002B6BCF">
        <w:rPr>
          <w:rFonts w:ascii="Arial" w:hAnsi="Arial" w:cs="Arial"/>
          <w:sz w:val="22"/>
          <w:szCs w:val="22"/>
          <w:lang w:eastAsia="sl-SI"/>
        </w:rPr>
        <w:t xml:space="preserve"> </w:t>
      </w:r>
    </w:p>
    <w:p w:rsidR="008268CC" w:rsidRPr="0089528E" w:rsidRDefault="0089528E" w:rsidP="008268CC">
      <w:pPr>
        <w:numPr>
          <w:ilvl w:val="0"/>
          <w:numId w:val="45"/>
        </w:numPr>
        <w:suppressAutoHyphens w:val="0"/>
        <w:spacing w:line="276" w:lineRule="auto"/>
        <w:jc w:val="both"/>
        <w:rPr>
          <w:rFonts w:ascii="Arial" w:hAnsi="Arial" w:cs="Arial"/>
          <w:sz w:val="22"/>
          <w:szCs w:val="22"/>
          <w:lang w:eastAsia="sl-SI"/>
        </w:rPr>
      </w:pPr>
      <w:r w:rsidRPr="0089528E">
        <w:rPr>
          <w:rFonts w:ascii="Arial" w:hAnsi="Arial" w:cs="Arial"/>
          <w:sz w:val="22"/>
          <w:szCs w:val="22"/>
          <w:lang w:eastAsia="sl-SI"/>
        </w:rPr>
        <w:t>vgradnja toplotnih črpalk;</w:t>
      </w:r>
    </w:p>
    <w:p w:rsidR="005C68BD" w:rsidRDefault="008268CC" w:rsidP="005C68BD">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 xml:space="preserve">posodobitev sistemov za skupno ogrevanje </w:t>
      </w:r>
      <w:r>
        <w:rPr>
          <w:rFonts w:ascii="Arial" w:hAnsi="Arial" w:cs="Arial"/>
          <w:sz w:val="22"/>
          <w:szCs w:val="22"/>
          <w:lang w:eastAsia="sl-SI"/>
        </w:rPr>
        <w:t>v večstanovanjskih stavbah</w:t>
      </w:r>
      <w:r w:rsidR="0034225D">
        <w:rPr>
          <w:rFonts w:ascii="Arial" w:hAnsi="Arial" w:cs="Arial"/>
          <w:sz w:val="22"/>
          <w:szCs w:val="22"/>
          <w:lang w:eastAsia="sl-SI"/>
        </w:rPr>
        <w:t>,</w:t>
      </w:r>
      <w:r>
        <w:rPr>
          <w:rFonts w:ascii="Arial" w:hAnsi="Arial" w:cs="Arial"/>
          <w:sz w:val="22"/>
          <w:szCs w:val="22"/>
          <w:lang w:eastAsia="sl-SI"/>
        </w:rPr>
        <w:t xml:space="preserve"> </w:t>
      </w:r>
      <w:r w:rsidRPr="002B6BCF">
        <w:rPr>
          <w:rFonts w:ascii="Arial" w:hAnsi="Arial" w:cs="Arial"/>
          <w:sz w:val="22"/>
          <w:szCs w:val="22"/>
          <w:lang w:eastAsia="sl-SI"/>
        </w:rPr>
        <w:t>vključno s toplotnimi postajami</w:t>
      </w:r>
      <w:r w:rsidR="0034225D">
        <w:rPr>
          <w:rFonts w:ascii="Arial" w:hAnsi="Arial" w:cs="Arial"/>
          <w:sz w:val="22"/>
          <w:szCs w:val="22"/>
          <w:lang w:eastAsia="sl-SI"/>
        </w:rPr>
        <w:t>,</w:t>
      </w:r>
      <w:r w:rsidRPr="005B1C05">
        <w:rPr>
          <w:rFonts w:ascii="Arial" w:hAnsi="Arial" w:cs="Arial"/>
          <w:sz w:val="22"/>
          <w:szCs w:val="22"/>
          <w:lang w:eastAsia="sl-SI"/>
        </w:rPr>
        <w:t xml:space="preserve"> </w:t>
      </w:r>
      <w:r w:rsidRPr="002B6BCF">
        <w:rPr>
          <w:rFonts w:ascii="Arial" w:hAnsi="Arial" w:cs="Arial"/>
          <w:sz w:val="22"/>
          <w:szCs w:val="22"/>
          <w:lang w:eastAsia="sl-SI"/>
        </w:rPr>
        <w:t>ki vključuje vgradnjo termostatskih ventilov in hidravlično uravnoteženje ogrevalnega sistema;</w:t>
      </w:r>
      <w:r w:rsidR="005C68BD" w:rsidRPr="005C68BD">
        <w:rPr>
          <w:rFonts w:ascii="Arial" w:hAnsi="Arial" w:cs="Arial"/>
          <w:sz w:val="22"/>
          <w:szCs w:val="22"/>
          <w:lang w:eastAsia="sl-SI"/>
        </w:rPr>
        <w:t xml:space="preserve"> </w:t>
      </w:r>
    </w:p>
    <w:p w:rsidR="005C68BD" w:rsidRDefault="005C68BD" w:rsidP="005C68BD">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lastRenderedPageBreak/>
        <w:t>optimizacija delovanja sistema ogrevanja v večstanovanjskih stavbah;</w:t>
      </w:r>
      <w:r w:rsidRPr="005C68BD">
        <w:rPr>
          <w:rFonts w:ascii="Arial" w:hAnsi="Arial" w:cs="Arial"/>
          <w:sz w:val="22"/>
          <w:szCs w:val="22"/>
          <w:lang w:eastAsia="sl-SI"/>
        </w:rPr>
        <w:t xml:space="preserve"> </w:t>
      </w:r>
    </w:p>
    <w:p w:rsidR="008268CC" w:rsidRPr="002B6BCF" w:rsidRDefault="008268CC" w:rsidP="008268CC">
      <w:pPr>
        <w:numPr>
          <w:ilvl w:val="0"/>
          <w:numId w:val="45"/>
        </w:numPr>
        <w:tabs>
          <w:tab w:val="left" w:pos="567"/>
          <w:tab w:val="left" w:pos="993"/>
        </w:tabs>
        <w:suppressAutoHyphens w:val="0"/>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vgradnja naprav za</w:t>
      </w:r>
      <w:r w:rsidRPr="002B6BCF">
        <w:rPr>
          <w:rFonts w:ascii="Arial" w:eastAsia="Calibri" w:hAnsi="Arial" w:cs="Arial"/>
          <w:sz w:val="22"/>
          <w:szCs w:val="22"/>
          <w:lang w:eastAsia="en-US"/>
        </w:rPr>
        <w:t xml:space="preserve"> učinkovit</w:t>
      </w:r>
      <w:r>
        <w:rPr>
          <w:rFonts w:ascii="Arial" w:eastAsia="Calibri" w:hAnsi="Arial" w:cs="Arial"/>
          <w:sz w:val="22"/>
          <w:szCs w:val="22"/>
          <w:lang w:eastAsia="en-US"/>
        </w:rPr>
        <w:t>o</w:t>
      </w:r>
      <w:r w:rsidRPr="002B6BCF">
        <w:rPr>
          <w:rFonts w:ascii="Arial" w:eastAsia="Calibri" w:hAnsi="Arial" w:cs="Arial"/>
          <w:sz w:val="22"/>
          <w:szCs w:val="22"/>
          <w:lang w:eastAsia="en-US"/>
        </w:rPr>
        <w:t xml:space="preserve"> soproizvodnj</w:t>
      </w:r>
      <w:r>
        <w:rPr>
          <w:rFonts w:ascii="Arial" w:eastAsia="Calibri" w:hAnsi="Arial" w:cs="Arial"/>
          <w:sz w:val="22"/>
          <w:szCs w:val="22"/>
          <w:lang w:eastAsia="en-US"/>
        </w:rPr>
        <w:t>o;</w:t>
      </w:r>
    </w:p>
    <w:p w:rsidR="008268CC" w:rsidRDefault="008268CC" w:rsidP="008268CC">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zamenjava električnih peči </w:t>
      </w:r>
      <w:r w:rsidRPr="002B6BCF">
        <w:rPr>
          <w:rFonts w:ascii="Arial" w:hAnsi="Arial" w:cs="Arial"/>
          <w:sz w:val="22"/>
          <w:szCs w:val="22"/>
          <w:lang w:eastAsia="sl-SI"/>
        </w:rPr>
        <w:t xml:space="preserve">z novimi kotli </w:t>
      </w:r>
      <w:r w:rsidR="009B01C8">
        <w:rPr>
          <w:rFonts w:ascii="Arial" w:hAnsi="Arial" w:cs="Arial"/>
          <w:sz w:val="22"/>
          <w:szCs w:val="22"/>
          <w:lang w:eastAsia="sl-SI"/>
        </w:rPr>
        <w:t>z visokim izkoristkom na</w:t>
      </w:r>
      <w:r w:rsidRPr="002B6BCF">
        <w:rPr>
          <w:rFonts w:ascii="Arial" w:hAnsi="Arial" w:cs="Arial"/>
          <w:sz w:val="22"/>
          <w:szCs w:val="22"/>
          <w:lang w:eastAsia="sl-SI"/>
        </w:rPr>
        <w:t xml:space="preserve"> plin;</w:t>
      </w:r>
    </w:p>
    <w:p w:rsidR="0089528E" w:rsidRPr="002B6BCF" w:rsidRDefault="0089528E" w:rsidP="0089528E">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zamenjava električnih peči </w:t>
      </w:r>
      <w:r w:rsidRPr="002B6BCF">
        <w:rPr>
          <w:rFonts w:ascii="Arial" w:hAnsi="Arial" w:cs="Arial"/>
          <w:sz w:val="22"/>
          <w:szCs w:val="22"/>
          <w:lang w:eastAsia="sl-SI"/>
        </w:rPr>
        <w:t xml:space="preserve">z novimi kotli </w:t>
      </w:r>
      <w:r>
        <w:rPr>
          <w:rFonts w:ascii="Arial" w:hAnsi="Arial" w:cs="Arial"/>
          <w:sz w:val="22"/>
          <w:szCs w:val="22"/>
          <w:lang w:eastAsia="sl-SI"/>
        </w:rPr>
        <w:t>z visokim izkoristkom na</w:t>
      </w:r>
      <w:r w:rsidRPr="002B6BCF">
        <w:rPr>
          <w:rFonts w:ascii="Arial" w:hAnsi="Arial" w:cs="Arial"/>
          <w:sz w:val="22"/>
          <w:szCs w:val="22"/>
          <w:lang w:eastAsia="sl-SI"/>
        </w:rPr>
        <w:t xml:space="preserve"> </w:t>
      </w:r>
      <w:r>
        <w:rPr>
          <w:rFonts w:ascii="Arial" w:hAnsi="Arial" w:cs="Arial"/>
          <w:sz w:val="22"/>
          <w:szCs w:val="22"/>
          <w:lang w:eastAsia="sl-SI"/>
        </w:rPr>
        <w:t>biomaso</w:t>
      </w:r>
      <w:r w:rsidRPr="002B6BCF">
        <w:rPr>
          <w:rFonts w:ascii="Arial" w:hAnsi="Arial" w:cs="Arial"/>
          <w:sz w:val="22"/>
          <w:szCs w:val="22"/>
          <w:lang w:eastAsia="sl-SI"/>
        </w:rPr>
        <w:t>;</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 xml:space="preserve">zamenjava kotlov na vse vrste goriv z novimi kotli </w:t>
      </w:r>
      <w:r w:rsidR="00057264">
        <w:rPr>
          <w:rFonts w:ascii="Arial" w:hAnsi="Arial" w:cs="Arial"/>
          <w:sz w:val="22"/>
          <w:szCs w:val="22"/>
          <w:lang w:eastAsia="sl-SI"/>
        </w:rPr>
        <w:t xml:space="preserve">z visokim izkoristkom </w:t>
      </w:r>
      <w:r w:rsidR="009B01C8">
        <w:rPr>
          <w:rFonts w:ascii="Arial" w:hAnsi="Arial" w:cs="Arial"/>
          <w:sz w:val="22"/>
          <w:szCs w:val="22"/>
          <w:lang w:eastAsia="sl-SI"/>
        </w:rPr>
        <w:t>na</w:t>
      </w:r>
      <w:r w:rsidRPr="002B6BCF">
        <w:rPr>
          <w:rFonts w:ascii="Arial" w:hAnsi="Arial" w:cs="Arial"/>
          <w:sz w:val="22"/>
          <w:szCs w:val="22"/>
          <w:lang w:eastAsia="sl-SI"/>
        </w:rPr>
        <w:t xml:space="preserve"> plin;</w:t>
      </w:r>
    </w:p>
    <w:p w:rsidR="0089528E" w:rsidRDefault="0089528E" w:rsidP="00573B9F">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 xml:space="preserve">zamenjava kotlov na vse vrste goriv z novimi kotli </w:t>
      </w:r>
      <w:r>
        <w:rPr>
          <w:rFonts w:ascii="Arial" w:hAnsi="Arial" w:cs="Arial"/>
          <w:sz w:val="22"/>
          <w:szCs w:val="22"/>
          <w:lang w:eastAsia="sl-SI"/>
        </w:rPr>
        <w:t>z visokim izkoristkom na</w:t>
      </w:r>
      <w:r w:rsidRPr="002B6BCF">
        <w:rPr>
          <w:rFonts w:ascii="Arial" w:hAnsi="Arial" w:cs="Arial"/>
          <w:sz w:val="22"/>
          <w:szCs w:val="22"/>
          <w:lang w:eastAsia="sl-SI"/>
        </w:rPr>
        <w:t xml:space="preserve"> </w:t>
      </w:r>
      <w:r>
        <w:rPr>
          <w:rFonts w:ascii="Arial" w:hAnsi="Arial" w:cs="Arial"/>
          <w:sz w:val="22"/>
          <w:szCs w:val="22"/>
          <w:lang w:eastAsia="sl-SI"/>
        </w:rPr>
        <w:t>biomaso;</w:t>
      </w:r>
    </w:p>
    <w:p w:rsidR="005C68BD" w:rsidRPr="002B6BCF" w:rsidRDefault="005C68BD" w:rsidP="005C68BD">
      <w:pPr>
        <w:numPr>
          <w:ilvl w:val="0"/>
          <w:numId w:val="45"/>
        </w:numPr>
        <w:suppressAutoHyphens w:val="0"/>
        <w:spacing w:line="276" w:lineRule="auto"/>
        <w:jc w:val="both"/>
        <w:rPr>
          <w:rFonts w:ascii="Arial" w:hAnsi="Arial" w:cs="Arial"/>
          <w:sz w:val="22"/>
          <w:szCs w:val="22"/>
          <w:lang w:eastAsia="sl-SI"/>
        </w:rPr>
      </w:pPr>
      <w:r w:rsidRPr="002B6BCF">
        <w:rPr>
          <w:rFonts w:ascii="Arial" w:hAnsi="Arial" w:cs="Arial"/>
          <w:sz w:val="22"/>
          <w:szCs w:val="22"/>
          <w:lang w:eastAsia="sl-SI"/>
        </w:rPr>
        <w:t>vgradnja energetsko učinkovitih sistemov razsvetljave;</w:t>
      </w:r>
    </w:p>
    <w:p w:rsidR="005C68BD" w:rsidRPr="002B6BCF" w:rsidRDefault="005C68BD" w:rsidP="005C68BD">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energetsko učinkoviti gospodinjski aparati;</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vgradnja naprednih merilnih sistemov;</w:t>
      </w:r>
    </w:p>
    <w:p w:rsidR="00573B9F" w:rsidRPr="002B6BCF" w:rsidRDefault="009B01C8"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uvedba naprednih načinov merjenja in obračunavanja</w:t>
      </w:r>
      <w:r w:rsidR="00573B9F">
        <w:rPr>
          <w:rFonts w:ascii="Arial" w:hAnsi="Arial" w:cs="Arial"/>
          <w:sz w:val="22"/>
          <w:szCs w:val="22"/>
          <w:lang w:eastAsia="sl-SI"/>
        </w:rPr>
        <w:t xml:space="preserve"> energije.</w:t>
      </w:r>
    </w:p>
    <w:p w:rsidR="008268CC" w:rsidRDefault="008268CC" w:rsidP="008268CC">
      <w:pPr>
        <w:tabs>
          <w:tab w:val="left" w:pos="567"/>
          <w:tab w:val="left" w:pos="993"/>
        </w:tabs>
        <w:suppressAutoHyphens w:val="0"/>
        <w:jc w:val="both"/>
        <w:rPr>
          <w:rFonts w:ascii="Arial" w:eastAsia="Calibri" w:hAnsi="Arial" w:cs="Arial"/>
          <w:sz w:val="22"/>
          <w:szCs w:val="22"/>
          <w:lang w:eastAsia="en-US"/>
        </w:rPr>
      </w:pPr>
    </w:p>
    <w:p w:rsidR="008268CC" w:rsidRDefault="008268CC" w:rsidP="008268CC">
      <w:p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w:t>
      </w:r>
      <w:r w:rsidR="00EE6F80">
        <w:rPr>
          <w:rFonts w:ascii="Arial" w:eastAsia="Calibri" w:hAnsi="Arial" w:cs="Arial"/>
          <w:sz w:val="22"/>
          <w:szCs w:val="22"/>
          <w:lang w:eastAsia="en-US"/>
        </w:rPr>
        <w:t>3</w:t>
      </w:r>
      <w:r>
        <w:rPr>
          <w:rFonts w:ascii="Arial" w:eastAsia="Calibri" w:hAnsi="Arial" w:cs="Arial"/>
          <w:sz w:val="22"/>
          <w:szCs w:val="22"/>
          <w:lang w:eastAsia="en-US"/>
        </w:rPr>
        <w:t>) U</w:t>
      </w:r>
      <w:r w:rsidRPr="008268CC">
        <w:rPr>
          <w:rFonts w:ascii="Arial" w:eastAsia="Calibri" w:hAnsi="Arial" w:cs="Arial"/>
          <w:sz w:val="22"/>
          <w:szCs w:val="22"/>
          <w:lang w:eastAsia="en-US"/>
        </w:rPr>
        <w:t>krepi učinkovite rabe energije v prometu so</w:t>
      </w:r>
      <w:r>
        <w:rPr>
          <w:rFonts w:ascii="Arial" w:eastAsia="Calibri" w:hAnsi="Arial" w:cs="Arial"/>
          <w:sz w:val="22"/>
          <w:szCs w:val="22"/>
          <w:lang w:eastAsia="en-US"/>
        </w:rPr>
        <w:t>:</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 xml:space="preserve">nakup </w:t>
      </w:r>
      <w:r w:rsidRPr="002B6BCF">
        <w:rPr>
          <w:rFonts w:ascii="Arial" w:hAnsi="Arial" w:cs="Arial"/>
          <w:sz w:val="22"/>
          <w:szCs w:val="22"/>
          <w:lang w:eastAsia="sl-SI"/>
        </w:rPr>
        <w:t>električn</w:t>
      </w:r>
      <w:r>
        <w:rPr>
          <w:rFonts w:ascii="Arial" w:hAnsi="Arial" w:cs="Arial"/>
          <w:sz w:val="22"/>
          <w:szCs w:val="22"/>
          <w:lang w:eastAsia="sl-SI"/>
        </w:rPr>
        <w:t>ih</w:t>
      </w:r>
      <w:r w:rsidRPr="002B6BCF">
        <w:rPr>
          <w:rFonts w:ascii="Arial" w:hAnsi="Arial" w:cs="Arial"/>
          <w:sz w:val="22"/>
          <w:szCs w:val="22"/>
          <w:lang w:eastAsia="sl-SI"/>
        </w:rPr>
        <w:t xml:space="preserve"> vozil;</w:t>
      </w:r>
    </w:p>
    <w:p w:rsidR="00573B9F" w:rsidRPr="002B6BC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nakup energetsko učinkovitih pnevmatik;</w:t>
      </w:r>
    </w:p>
    <w:p w:rsidR="00573B9F" w:rsidRDefault="00573B9F" w:rsidP="00573B9F">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drugi ukrepi za povečanje energetske učinkovitosti v prometu</w:t>
      </w:r>
      <w:r w:rsidR="0034225D">
        <w:rPr>
          <w:rFonts w:ascii="Arial" w:hAnsi="Arial" w:cs="Arial"/>
          <w:sz w:val="22"/>
          <w:szCs w:val="22"/>
          <w:lang w:eastAsia="sl-SI"/>
        </w:rPr>
        <w:t>.</w:t>
      </w:r>
    </w:p>
    <w:p w:rsidR="008268CC" w:rsidRPr="008268CC" w:rsidRDefault="008268CC" w:rsidP="008268CC">
      <w:pPr>
        <w:tabs>
          <w:tab w:val="left" w:pos="567"/>
          <w:tab w:val="left" w:pos="993"/>
        </w:tabs>
        <w:suppressAutoHyphens w:val="0"/>
        <w:jc w:val="both"/>
        <w:rPr>
          <w:rFonts w:ascii="Arial" w:eastAsia="Calibri" w:hAnsi="Arial" w:cs="Arial"/>
          <w:sz w:val="22"/>
          <w:szCs w:val="22"/>
          <w:lang w:eastAsia="en-US"/>
        </w:rPr>
      </w:pPr>
    </w:p>
    <w:p w:rsidR="008268CC" w:rsidRPr="008268CC" w:rsidRDefault="008268CC" w:rsidP="008268CC">
      <w:p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w:t>
      </w:r>
      <w:r w:rsidR="00EE6F80">
        <w:rPr>
          <w:rFonts w:ascii="Arial" w:eastAsia="Calibri" w:hAnsi="Arial" w:cs="Arial"/>
          <w:sz w:val="22"/>
          <w:szCs w:val="22"/>
          <w:lang w:eastAsia="en-US"/>
        </w:rPr>
        <w:t>4</w:t>
      </w:r>
      <w:r>
        <w:rPr>
          <w:rFonts w:ascii="Arial" w:eastAsia="Calibri" w:hAnsi="Arial" w:cs="Arial"/>
          <w:sz w:val="22"/>
          <w:szCs w:val="22"/>
          <w:lang w:eastAsia="en-US"/>
        </w:rPr>
        <w:t>) U</w:t>
      </w:r>
      <w:r w:rsidRPr="008268CC">
        <w:rPr>
          <w:rFonts w:ascii="Arial" w:eastAsia="Calibri" w:hAnsi="Arial" w:cs="Arial"/>
          <w:sz w:val="22"/>
          <w:szCs w:val="22"/>
          <w:lang w:eastAsia="en-US"/>
        </w:rPr>
        <w:t>krepi za povečanje učinkovitosti sistemov daljinskega ogrevanja so predvsem</w:t>
      </w:r>
      <w:r>
        <w:rPr>
          <w:rFonts w:ascii="Arial" w:eastAsia="Calibri" w:hAnsi="Arial" w:cs="Arial"/>
          <w:sz w:val="22"/>
          <w:szCs w:val="22"/>
          <w:lang w:eastAsia="en-US"/>
        </w:rPr>
        <w:t>:</w:t>
      </w:r>
    </w:p>
    <w:p w:rsidR="009B01C8" w:rsidRDefault="00057264" w:rsidP="009B01C8">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celovita prenova toplotne postaje</w:t>
      </w:r>
      <w:r w:rsidR="008268CC" w:rsidRPr="00057264">
        <w:rPr>
          <w:rFonts w:ascii="Arial" w:hAnsi="Arial" w:cs="Arial"/>
          <w:sz w:val="22"/>
          <w:szCs w:val="22"/>
          <w:lang w:eastAsia="sl-SI"/>
        </w:rPr>
        <w:t>;</w:t>
      </w:r>
    </w:p>
    <w:p w:rsidR="009B01C8" w:rsidRPr="009B01C8" w:rsidRDefault="009B01C8" w:rsidP="009B01C8">
      <w:pPr>
        <w:numPr>
          <w:ilvl w:val="0"/>
          <w:numId w:val="45"/>
        </w:numPr>
        <w:suppressAutoHyphens w:val="0"/>
        <w:spacing w:line="276" w:lineRule="auto"/>
        <w:jc w:val="both"/>
        <w:rPr>
          <w:rFonts w:ascii="Arial" w:hAnsi="Arial" w:cs="Arial"/>
          <w:sz w:val="22"/>
          <w:szCs w:val="22"/>
          <w:lang w:eastAsia="sl-SI"/>
        </w:rPr>
      </w:pPr>
      <w:r>
        <w:rPr>
          <w:rFonts w:ascii="Arial" w:hAnsi="Arial" w:cs="Arial"/>
          <w:sz w:val="22"/>
          <w:szCs w:val="22"/>
          <w:lang w:eastAsia="sl-SI"/>
        </w:rPr>
        <w:t>zmanjšanje izgub sistemov za razvod toplote;</w:t>
      </w:r>
    </w:p>
    <w:p w:rsidR="00CC5F06" w:rsidRPr="00573B9F" w:rsidRDefault="00E9424F" w:rsidP="00E9424F">
      <w:pPr>
        <w:numPr>
          <w:ilvl w:val="0"/>
          <w:numId w:val="45"/>
        </w:numPr>
        <w:suppressAutoHyphens w:val="0"/>
        <w:spacing w:line="276" w:lineRule="auto"/>
        <w:jc w:val="both"/>
        <w:rPr>
          <w:rFonts w:ascii="Arial" w:eastAsia="Calibri" w:hAnsi="Arial" w:cs="Arial"/>
          <w:sz w:val="22"/>
          <w:szCs w:val="22"/>
          <w:lang w:eastAsia="en-US"/>
        </w:rPr>
      </w:pPr>
      <w:r w:rsidRPr="00573B9F">
        <w:rPr>
          <w:rFonts w:ascii="Arial" w:hAnsi="Arial" w:cs="Arial"/>
          <w:sz w:val="22"/>
          <w:szCs w:val="22"/>
          <w:lang w:eastAsia="sl-SI"/>
        </w:rPr>
        <w:t xml:space="preserve">priklop stavb na </w:t>
      </w:r>
      <w:r w:rsidR="00943B51" w:rsidRPr="00573B9F">
        <w:rPr>
          <w:rFonts w:ascii="Arial" w:hAnsi="Arial" w:cs="Arial"/>
          <w:sz w:val="22"/>
          <w:szCs w:val="22"/>
          <w:lang w:eastAsia="sl-SI"/>
        </w:rPr>
        <w:t xml:space="preserve">učinkovit </w:t>
      </w:r>
      <w:r w:rsidR="00573B9F" w:rsidRPr="00573B9F">
        <w:rPr>
          <w:rFonts w:ascii="Arial" w:hAnsi="Arial" w:cs="Arial"/>
          <w:sz w:val="22"/>
          <w:szCs w:val="22"/>
          <w:lang w:eastAsia="sl-SI"/>
        </w:rPr>
        <w:t>sistem daljinskega ogrevanja.</w:t>
      </w:r>
    </w:p>
    <w:p w:rsidR="003C080A" w:rsidRDefault="003C080A" w:rsidP="00CC5F06">
      <w:pPr>
        <w:tabs>
          <w:tab w:val="left" w:pos="567"/>
          <w:tab w:val="left" w:pos="993"/>
        </w:tabs>
        <w:suppressAutoHyphens w:val="0"/>
        <w:jc w:val="both"/>
        <w:rPr>
          <w:rFonts w:ascii="Arial" w:eastAsia="Calibri" w:hAnsi="Arial" w:cs="Arial"/>
          <w:sz w:val="22"/>
          <w:szCs w:val="22"/>
          <w:lang w:eastAsia="en-US"/>
        </w:rPr>
      </w:pPr>
    </w:p>
    <w:p w:rsidR="003C080A" w:rsidRDefault="003C080A" w:rsidP="00CC5F06">
      <w:pPr>
        <w:tabs>
          <w:tab w:val="left" w:pos="567"/>
          <w:tab w:val="left" w:pos="993"/>
        </w:tabs>
        <w:suppressAutoHyphens w:val="0"/>
        <w:jc w:val="both"/>
        <w:rPr>
          <w:rFonts w:ascii="Arial" w:eastAsia="Calibri" w:hAnsi="Arial" w:cs="Arial"/>
          <w:sz w:val="22"/>
          <w:szCs w:val="22"/>
          <w:lang w:eastAsia="en-US"/>
        </w:rPr>
      </w:pPr>
    </w:p>
    <w:p w:rsidR="003C080A" w:rsidRPr="002B6BCF" w:rsidRDefault="003C080A" w:rsidP="003C080A">
      <w:pPr>
        <w:tabs>
          <w:tab w:val="left" w:pos="567"/>
          <w:tab w:val="left" w:pos="993"/>
        </w:tabs>
        <w:suppressAutoHyphens w:val="0"/>
        <w:jc w:val="center"/>
        <w:outlineLvl w:val="4"/>
        <w:rPr>
          <w:rFonts w:ascii="Arial" w:hAnsi="Arial" w:cs="Arial"/>
          <w:bCs/>
          <w:iCs/>
          <w:sz w:val="22"/>
          <w:szCs w:val="22"/>
          <w:lang w:eastAsia="en-US"/>
        </w:rPr>
      </w:pPr>
      <w:r>
        <w:rPr>
          <w:rFonts w:ascii="Arial" w:hAnsi="Arial" w:cs="Arial"/>
          <w:bCs/>
          <w:iCs/>
          <w:sz w:val="22"/>
          <w:szCs w:val="22"/>
          <w:lang w:eastAsia="en-US"/>
        </w:rPr>
        <w:t>6</w:t>
      </w:r>
      <w:r w:rsidRPr="002B6BCF">
        <w:rPr>
          <w:rFonts w:ascii="Arial" w:hAnsi="Arial" w:cs="Arial"/>
          <w:bCs/>
          <w:iCs/>
          <w:sz w:val="22"/>
          <w:szCs w:val="22"/>
          <w:lang w:eastAsia="en-US"/>
        </w:rPr>
        <w:t>. člen</w:t>
      </w:r>
      <w:r w:rsidRPr="002B6BCF">
        <w:rPr>
          <w:rFonts w:ascii="Arial" w:hAnsi="Arial" w:cs="Arial"/>
          <w:bCs/>
          <w:iCs/>
          <w:sz w:val="22"/>
          <w:szCs w:val="22"/>
          <w:lang w:eastAsia="en-US"/>
        </w:rPr>
        <w:br/>
        <w:t>(</w:t>
      </w:r>
      <w:r>
        <w:rPr>
          <w:rFonts w:ascii="Arial" w:hAnsi="Arial" w:cs="Arial"/>
          <w:bCs/>
          <w:iCs/>
          <w:sz w:val="22"/>
          <w:szCs w:val="22"/>
          <w:lang w:eastAsia="en-US"/>
        </w:rPr>
        <w:t>izjeme v drugih sektorjih</w:t>
      </w:r>
      <w:r w:rsidRPr="002B6BCF">
        <w:rPr>
          <w:rFonts w:ascii="Arial" w:hAnsi="Arial" w:cs="Arial"/>
          <w:bCs/>
          <w:iCs/>
          <w:sz w:val="22"/>
          <w:szCs w:val="22"/>
          <w:lang w:eastAsia="en-US"/>
        </w:rPr>
        <w:t>)</w:t>
      </w:r>
    </w:p>
    <w:p w:rsidR="003C080A" w:rsidRDefault="003C080A" w:rsidP="00CC5F06">
      <w:pPr>
        <w:tabs>
          <w:tab w:val="left" w:pos="567"/>
          <w:tab w:val="left" w:pos="993"/>
        </w:tabs>
        <w:suppressAutoHyphens w:val="0"/>
        <w:jc w:val="both"/>
        <w:rPr>
          <w:rFonts w:ascii="Arial" w:eastAsia="Calibri" w:hAnsi="Arial" w:cs="Arial"/>
          <w:sz w:val="22"/>
          <w:szCs w:val="22"/>
          <w:lang w:eastAsia="en-US"/>
        </w:rPr>
      </w:pPr>
    </w:p>
    <w:p w:rsidR="003C080A" w:rsidRDefault="003C080A" w:rsidP="00CC5F06">
      <w:p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 xml:space="preserve">(1) Ne glede na določbe prejšnjega člena se </w:t>
      </w:r>
      <w:r w:rsidRPr="003C080A">
        <w:rPr>
          <w:rFonts w:ascii="Arial" w:eastAsia="Calibri" w:hAnsi="Arial" w:cs="Arial"/>
          <w:sz w:val="22"/>
          <w:szCs w:val="22"/>
          <w:lang w:eastAsia="en-US"/>
        </w:rPr>
        <w:t>prihranek primarne energije, dosežen v sektorjih pretvorbe, distribucije in prenosa energije, vključno z infrastruktur</w:t>
      </w:r>
      <w:r w:rsidR="009E004A">
        <w:rPr>
          <w:rFonts w:ascii="Arial" w:eastAsia="Calibri" w:hAnsi="Arial" w:cs="Arial"/>
          <w:sz w:val="22"/>
          <w:szCs w:val="22"/>
          <w:lang w:eastAsia="en-US"/>
        </w:rPr>
        <w:t>o</w:t>
      </w:r>
      <w:r w:rsidRPr="003C080A">
        <w:rPr>
          <w:rFonts w:ascii="Arial" w:eastAsia="Calibri" w:hAnsi="Arial" w:cs="Arial"/>
          <w:sz w:val="22"/>
          <w:szCs w:val="22"/>
          <w:lang w:eastAsia="en-US"/>
        </w:rPr>
        <w:t xml:space="preserve"> za učinkovito daljinsko ogrevanje in hlajenje, upošteva pri prihranku energije</w:t>
      </w:r>
      <w:r>
        <w:rPr>
          <w:rFonts w:ascii="Arial" w:eastAsia="Calibri" w:hAnsi="Arial" w:cs="Arial"/>
          <w:sz w:val="22"/>
          <w:szCs w:val="22"/>
          <w:lang w:eastAsia="en-US"/>
        </w:rPr>
        <w:t>.</w:t>
      </w:r>
    </w:p>
    <w:p w:rsidR="003C080A" w:rsidRDefault="003C080A" w:rsidP="00CC5F06">
      <w:pPr>
        <w:tabs>
          <w:tab w:val="left" w:pos="567"/>
          <w:tab w:val="left" w:pos="993"/>
        </w:tabs>
        <w:suppressAutoHyphens w:val="0"/>
        <w:jc w:val="both"/>
        <w:rPr>
          <w:rFonts w:ascii="Arial" w:eastAsia="Calibri" w:hAnsi="Arial" w:cs="Arial"/>
          <w:sz w:val="22"/>
          <w:szCs w:val="22"/>
          <w:lang w:eastAsia="en-US"/>
        </w:rPr>
      </w:pPr>
    </w:p>
    <w:p w:rsidR="003C080A" w:rsidRDefault="003C080A" w:rsidP="003C080A">
      <w:p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(2) Z</w:t>
      </w:r>
      <w:r w:rsidR="00CC5F06" w:rsidRPr="003C080A">
        <w:rPr>
          <w:rFonts w:ascii="Arial" w:eastAsia="Calibri" w:hAnsi="Arial" w:cs="Arial"/>
          <w:sz w:val="22"/>
          <w:szCs w:val="22"/>
          <w:lang w:eastAsia="en-US"/>
        </w:rPr>
        <w:t xml:space="preserve">avezanci </w:t>
      </w:r>
      <w:r w:rsidRPr="003C080A">
        <w:rPr>
          <w:rFonts w:ascii="Arial" w:eastAsia="Calibri" w:hAnsi="Arial" w:cs="Arial"/>
          <w:sz w:val="22"/>
          <w:szCs w:val="22"/>
          <w:lang w:eastAsia="en-US"/>
        </w:rPr>
        <w:t xml:space="preserve">lahko </w:t>
      </w:r>
      <w:r w:rsidR="00CC5F06" w:rsidRPr="003C080A">
        <w:rPr>
          <w:rFonts w:ascii="Arial" w:eastAsia="Calibri" w:hAnsi="Arial" w:cs="Arial"/>
          <w:sz w:val="22"/>
          <w:szCs w:val="22"/>
          <w:lang w:eastAsia="en-US"/>
        </w:rPr>
        <w:t>prihranke</w:t>
      </w:r>
      <w:r w:rsidR="00CC6DBF" w:rsidRPr="003C080A">
        <w:rPr>
          <w:rFonts w:ascii="Arial" w:eastAsia="Calibri" w:hAnsi="Arial" w:cs="Arial"/>
          <w:sz w:val="22"/>
          <w:szCs w:val="22"/>
          <w:lang w:eastAsia="en-US"/>
        </w:rPr>
        <w:t xml:space="preserve"> energije</w:t>
      </w:r>
      <w:r w:rsidR="00CC5F06" w:rsidRPr="003C080A">
        <w:rPr>
          <w:rFonts w:ascii="Arial" w:eastAsia="Calibri" w:hAnsi="Arial" w:cs="Arial"/>
          <w:sz w:val="22"/>
          <w:szCs w:val="22"/>
          <w:lang w:eastAsia="en-US"/>
        </w:rPr>
        <w:t xml:space="preserve"> dosegajo </w:t>
      </w:r>
      <w:r w:rsidR="008F57B5">
        <w:rPr>
          <w:rFonts w:ascii="Arial" w:eastAsia="Calibri" w:hAnsi="Arial" w:cs="Arial"/>
          <w:sz w:val="22"/>
          <w:szCs w:val="22"/>
          <w:lang w:eastAsia="en-US"/>
        </w:rPr>
        <w:t>s</w:t>
      </w:r>
      <w:r>
        <w:rPr>
          <w:rFonts w:ascii="Arial" w:eastAsia="Calibri" w:hAnsi="Arial" w:cs="Arial"/>
          <w:sz w:val="22"/>
          <w:szCs w:val="22"/>
          <w:lang w:eastAsia="en-US"/>
        </w:rPr>
        <w:t>:</w:t>
      </w:r>
    </w:p>
    <w:p w:rsidR="003C080A" w:rsidRDefault="000B258A" w:rsidP="000B258A">
      <w:pPr>
        <w:pStyle w:val="Odstavekseznama"/>
        <w:numPr>
          <w:ilvl w:val="0"/>
          <w:numId w:val="46"/>
        </w:numPr>
        <w:tabs>
          <w:tab w:val="left" w:pos="567"/>
          <w:tab w:val="left" w:pos="993"/>
        </w:tabs>
        <w:suppressAutoHyphens w:val="0"/>
        <w:jc w:val="both"/>
        <w:rPr>
          <w:rFonts w:ascii="Arial" w:eastAsia="Calibri" w:hAnsi="Arial" w:cs="Arial"/>
          <w:sz w:val="22"/>
          <w:szCs w:val="22"/>
          <w:lang w:eastAsia="en-US"/>
        </w:rPr>
      </w:pPr>
      <w:r w:rsidRPr="000B258A">
        <w:rPr>
          <w:rFonts w:ascii="Arial" w:eastAsia="Calibri" w:hAnsi="Arial" w:cs="Arial"/>
          <w:sz w:val="22"/>
          <w:szCs w:val="22"/>
          <w:lang w:eastAsia="en-US"/>
        </w:rPr>
        <w:t>celovit</w:t>
      </w:r>
      <w:r>
        <w:rPr>
          <w:rFonts w:ascii="Arial" w:eastAsia="Calibri" w:hAnsi="Arial" w:cs="Arial"/>
          <w:sz w:val="22"/>
          <w:szCs w:val="22"/>
          <w:lang w:eastAsia="en-US"/>
        </w:rPr>
        <w:t>o prenovo</w:t>
      </w:r>
      <w:r w:rsidRPr="000B258A">
        <w:rPr>
          <w:rFonts w:ascii="Arial" w:eastAsia="Calibri" w:hAnsi="Arial" w:cs="Arial"/>
          <w:sz w:val="22"/>
          <w:szCs w:val="22"/>
          <w:lang w:eastAsia="en-US"/>
        </w:rPr>
        <w:t xml:space="preserve"> toplotne postaje</w:t>
      </w:r>
      <w:r w:rsidR="00CB104D" w:rsidRPr="003C080A">
        <w:rPr>
          <w:rFonts w:ascii="Arial" w:eastAsia="Calibri" w:hAnsi="Arial" w:cs="Arial"/>
          <w:sz w:val="22"/>
          <w:szCs w:val="22"/>
          <w:lang w:eastAsia="en-US"/>
        </w:rPr>
        <w:t>, ne glede na lastništvo toplotn</w:t>
      </w:r>
      <w:r>
        <w:rPr>
          <w:rFonts w:ascii="Arial" w:eastAsia="Calibri" w:hAnsi="Arial" w:cs="Arial"/>
          <w:sz w:val="22"/>
          <w:szCs w:val="22"/>
          <w:lang w:eastAsia="en-US"/>
        </w:rPr>
        <w:t>e</w:t>
      </w:r>
      <w:r w:rsidR="00CB104D" w:rsidRPr="003C080A">
        <w:rPr>
          <w:rFonts w:ascii="Arial" w:eastAsia="Calibri" w:hAnsi="Arial" w:cs="Arial"/>
          <w:sz w:val="22"/>
          <w:szCs w:val="22"/>
          <w:lang w:eastAsia="en-US"/>
        </w:rPr>
        <w:t xml:space="preserve"> postaj</w:t>
      </w:r>
      <w:r>
        <w:rPr>
          <w:rFonts w:ascii="Arial" w:eastAsia="Calibri" w:hAnsi="Arial" w:cs="Arial"/>
          <w:sz w:val="22"/>
          <w:szCs w:val="22"/>
          <w:lang w:eastAsia="en-US"/>
        </w:rPr>
        <w:t>e</w:t>
      </w:r>
      <w:r w:rsidR="00CB104D" w:rsidRPr="003C080A">
        <w:rPr>
          <w:rFonts w:ascii="Arial" w:eastAsia="Calibri" w:hAnsi="Arial" w:cs="Arial"/>
          <w:sz w:val="22"/>
          <w:szCs w:val="22"/>
          <w:lang w:eastAsia="en-US"/>
        </w:rPr>
        <w:t xml:space="preserve"> in ne glede na lokacijo števcev za toploto</w:t>
      </w:r>
      <w:r w:rsidR="00057264">
        <w:rPr>
          <w:rFonts w:ascii="Arial" w:eastAsia="Calibri" w:hAnsi="Arial" w:cs="Arial"/>
          <w:sz w:val="22"/>
          <w:szCs w:val="22"/>
          <w:lang w:eastAsia="en-US"/>
        </w:rPr>
        <w:t>;</w:t>
      </w:r>
    </w:p>
    <w:p w:rsidR="00057264" w:rsidRDefault="000B258A" w:rsidP="00CC5F06">
      <w:pPr>
        <w:pStyle w:val="Odstavekseznama"/>
        <w:numPr>
          <w:ilvl w:val="0"/>
          <w:numId w:val="46"/>
        </w:numPr>
        <w:tabs>
          <w:tab w:val="left" w:pos="567"/>
          <w:tab w:val="left" w:pos="993"/>
        </w:tabs>
        <w:suppressAutoHyphens w:val="0"/>
        <w:jc w:val="both"/>
        <w:rPr>
          <w:rFonts w:ascii="Arial" w:eastAsia="Calibri" w:hAnsi="Arial" w:cs="Arial"/>
          <w:sz w:val="22"/>
          <w:szCs w:val="22"/>
          <w:lang w:eastAsia="en-US"/>
        </w:rPr>
      </w:pPr>
      <w:r>
        <w:rPr>
          <w:rFonts w:ascii="Arial" w:eastAsia="Calibri" w:hAnsi="Arial" w:cs="Arial"/>
          <w:sz w:val="22"/>
          <w:szCs w:val="22"/>
          <w:lang w:eastAsia="en-US"/>
        </w:rPr>
        <w:t xml:space="preserve">ukrepi </w:t>
      </w:r>
      <w:r w:rsidR="00057264">
        <w:rPr>
          <w:rFonts w:ascii="Arial" w:eastAsia="Calibri" w:hAnsi="Arial" w:cs="Arial"/>
          <w:sz w:val="22"/>
          <w:szCs w:val="22"/>
          <w:lang w:eastAsia="en-US"/>
        </w:rPr>
        <w:t>za povečanje učinkovitosti sistema za distribucijo toplote;</w:t>
      </w:r>
    </w:p>
    <w:p w:rsidR="00CC5F06" w:rsidRPr="003C080A" w:rsidRDefault="00CC5F06" w:rsidP="00CC5F06">
      <w:pPr>
        <w:pStyle w:val="Odstavekseznama"/>
        <w:numPr>
          <w:ilvl w:val="0"/>
          <w:numId w:val="46"/>
        </w:numPr>
        <w:tabs>
          <w:tab w:val="left" w:pos="567"/>
          <w:tab w:val="left" w:pos="993"/>
        </w:tabs>
        <w:suppressAutoHyphens w:val="0"/>
        <w:jc w:val="both"/>
        <w:rPr>
          <w:rFonts w:ascii="Arial" w:eastAsia="Calibri" w:hAnsi="Arial" w:cs="Arial"/>
          <w:sz w:val="22"/>
          <w:szCs w:val="22"/>
          <w:lang w:eastAsia="en-US"/>
        </w:rPr>
      </w:pPr>
      <w:r w:rsidRPr="003C080A">
        <w:rPr>
          <w:rFonts w:ascii="Arial" w:eastAsia="Calibri" w:hAnsi="Arial" w:cs="Arial"/>
          <w:sz w:val="22"/>
          <w:szCs w:val="22"/>
          <w:lang w:eastAsia="en-US"/>
        </w:rPr>
        <w:t>vgradnjo naprav za proizvodnjo toplote</w:t>
      </w:r>
      <w:r w:rsidR="000B258A">
        <w:rPr>
          <w:rFonts w:ascii="Arial" w:eastAsia="Calibri" w:hAnsi="Arial" w:cs="Arial"/>
          <w:sz w:val="22"/>
          <w:szCs w:val="22"/>
          <w:lang w:eastAsia="en-US"/>
        </w:rPr>
        <w:t xml:space="preserve"> za daljinsko ogrevanje</w:t>
      </w:r>
      <w:r w:rsidR="00CB104D" w:rsidRPr="003C080A">
        <w:rPr>
          <w:rFonts w:ascii="Arial" w:eastAsia="Calibri" w:hAnsi="Arial" w:cs="Arial"/>
          <w:sz w:val="22"/>
          <w:szCs w:val="22"/>
          <w:lang w:eastAsia="en-US"/>
        </w:rPr>
        <w:t>, tako da sistemi daljinskega ogrevanja dosega</w:t>
      </w:r>
      <w:r w:rsidR="00EE6F80">
        <w:rPr>
          <w:rFonts w:ascii="Arial" w:eastAsia="Calibri" w:hAnsi="Arial" w:cs="Arial"/>
          <w:sz w:val="22"/>
          <w:szCs w:val="22"/>
          <w:lang w:eastAsia="en-US"/>
        </w:rPr>
        <w:t>jo</w:t>
      </w:r>
      <w:r w:rsidR="00CB104D" w:rsidRPr="003C080A">
        <w:rPr>
          <w:rFonts w:ascii="Arial" w:eastAsia="Calibri" w:hAnsi="Arial" w:cs="Arial"/>
          <w:sz w:val="22"/>
          <w:szCs w:val="22"/>
          <w:lang w:eastAsia="en-US"/>
        </w:rPr>
        <w:t xml:space="preserve"> kriterije za energetsko učinkovite sistem</w:t>
      </w:r>
      <w:r w:rsidR="00E70345">
        <w:rPr>
          <w:rFonts w:ascii="Arial" w:eastAsia="Calibri" w:hAnsi="Arial" w:cs="Arial"/>
          <w:sz w:val="22"/>
          <w:szCs w:val="22"/>
          <w:lang w:eastAsia="en-US"/>
        </w:rPr>
        <w:t>e</w:t>
      </w:r>
      <w:r w:rsidR="00CB104D" w:rsidRPr="003C080A">
        <w:rPr>
          <w:rFonts w:ascii="Arial" w:eastAsia="Calibri" w:hAnsi="Arial" w:cs="Arial"/>
          <w:sz w:val="22"/>
          <w:szCs w:val="22"/>
          <w:lang w:eastAsia="en-US"/>
        </w:rPr>
        <w:t xml:space="preserve"> daljinskega ogrevanja, k</w:t>
      </w:r>
      <w:r w:rsidR="00EE6F80">
        <w:rPr>
          <w:rFonts w:ascii="Arial" w:eastAsia="Calibri" w:hAnsi="Arial" w:cs="Arial"/>
          <w:sz w:val="22"/>
          <w:szCs w:val="22"/>
          <w:lang w:eastAsia="en-US"/>
        </w:rPr>
        <w:t>i</w:t>
      </w:r>
      <w:r w:rsidR="00CB104D" w:rsidRPr="003C080A">
        <w:rPr>
          <w:rFonts w:ascii="Arial" w:eastAsia="Calibri" w:hAnsi="Arial" w:cs="Arial"/>
          <w:sz w:val="22"/>
          <w:szCs w:val="22"/>
          <w:lang w:eastAsia="en-US"/>
        </w:rPr>
        <w:t xml:space="preserve"> jih določa </w:t>
      </w:r>
      <w:r w:rsidR="00E70345">
        <w:rPr>
          <w:rFonts w:ascii="Arial" w:eastAsia="Calibri" w:hAnsi="Arial" w:cs="Arial"/>
          <w:sz w:val="22"/>
          <w:szCs w:val="22"/>
          <w:lang w:eastAsia="en-US"/>
        </w:rPr>
        <w:t>Energetski zakon</w:t>
      </w:r>
      <w:r w:rsidR="00CB104D" w:rsidRPr="003C080A">
        <w:rPr>
          <w:rFonts w:ascii="Arial" w:eastAsia="Calibri" w:hAnsi="Arial" w:cs="Arial"/>
          <w:sz w:val="22"/>
          <w:szCs w:val="22"/>
          <w:lang w:eastAsia="en-US"/>
        </w:rPr>
        <w:t>.</w:t>
      </w:r>
    </w:p>
    <w:p w:rsidR="00CC5F06" w:rsidRDefault="00CC5F06" w:rsidP="00CC5F06">
      <w:pPr>
        <w:tabs>
          <w:tab w:val="left" w:pos="567"/>
          <w:tab w:val="left" w:pos="993"/>
        </w:tabs>
        <w:suppressAutoHyphens w:val="0"/>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p>
    <w:p w:rsidR="002B6BCF" w:rsidRPr="002B6BCF" w:rsidRDefault="00016BFA" w:rsidP="002B6BCF">
      <w:pPr>
        <w:tabs>
          <w:tab w:val="left" w:pos="567"/>
          <w:tab w:val="left" w:pos="993"/>
        </w:tabs>
        <w:suppressAutoHyphens w:val="0"/>
        <w:jc w:val="center"/>
        <w:outlineLvl w:val="4"/>
        <w:rPr>
          <w:rFonts w:ascii="Arial" w:hAnsi="Arial" w:cs="Arial"/>
          <w:bCs/>
          <w:iCs/>
          <w:sz w:val="22"/>
          <w:szCs w:val="22"/>
          <w:lang w:eastAsia="en-US"/>
        </w:rPr>
      </w:pPr>
      <w:r>
        <w:rPr>
          <w:rFonts w:ascii="Arial" w:hAnsi="Arial" w:cs="Arial"/>
          <w:bCs/>
          <w:iCs/>
          <w:sz w:val="22"/>
          <w:szCs w:val="22"/>
          <w:lang w:eastAsia="en-US"/>
        </w:rPr>
        <w:t>7</w:t>
      </w:r>
      <w:r w:rsidR="002B6BCF" w:rsidRPr="002B6BCF">
        <w:rPr>
          <w:rFonts w:ascii="Arial" w:hAnsi="Arial" w:cs="Arial"/>
          <w:bCs/>
          <w:iCs/>
          <w:sz w:val="22"/>
          <w:szCs w:val="22"/>
          <w:lang w:eastAsia="en-US"/>
        </w:rPr>
        <w:t>. člen</w:t>
      </w:r>
      <w:r w:rsidR="002B6BCF" w:rsidRPr="002B6BCF">
        <w:rPr>
          <w:rFonts w:ascii="Arial" w:hAnsi="Arial" w:cs="Arial"/>
          <w:bCs/>
          <w:iCs/>
          <w:sz w:val="22"/>
          <w:szCs w:val="22"/>
          <w:lang w:eastAsia="en-US"/>
        </w:rPr>
        <w:br/>
        <w:t>(način doseganja prihrankov</w:t>
      </w:r>
      <w:r w:rsidR="00CC6DBF">
        <w:rPr>
          <w:rFonts w:ascii="Arial" w:hAnsi="Arial" w:cs="Arial"/>
          <w:bCs/>
          <w:iCs/>
          <w:sz w:val="22"/>
          <w:szCs w:val="22"/>
          <w:lang w:eastAsia="en-US"/>
        </w:rPr>
        <w:t xml:space="preserve"> energije</w:t>
      </w:r>
      <w:r w:rsidR="002B6BCF" w:rsidRPr="002B6BCF">
        <w:rPr>
          <w:rFonts w:ascii="Arial" w:hAnsi="Arial" w:cs="Arial"/>
          <w:bCs/>
          <w:iCs/>
          <w:sz w:val="22"/>
          <w:szCs w:val="22"/>
          <w:lang w:eastAsia="en-US"/>
        </w:rPr>
        <w:t>)</w:t>
      </w:r>
    </w:p>
    <w:p w:rsidR="002B6BCF" w:rsidRPr="002B6BCF" w:rsidRDefault="002B6BCF" w:rsidP="002B6BCF">
      <w:pPr>
        <w:tabs>
          <w:tab w:val="left" w:pos="567"/>
          <w:tab w:val="left" w:pos="993"/>
        </w:tabs>
        <w:suppressAutoHyphens w:val="0"/>
        <w:contextualSpacing/>
        <w:jc w:val="both"/>
        <w:rPr>
          <w:rFonts w:ascii="Arial" w:hAnsi="Arial" w:cs="Arial"/>
          <w:color w:val="000000"/>
          <w:sz w:val="22"/>
          <w:szCs w:val="22"/>
          <w:lang w:eastAsia="sl-SI"/>
        </w:rPr>
      </w:pP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r w:rsidRPr="002B6BCF">
        <w:rPr>
          <w:rFonts w:ascii="Arial" w:eastAsia="Calibri" w:hAnsi="Arial" w:cs="Arial"/>
          <w:sz w:val="22"/>
          <w:szCs w:val="22"/>
          <w:lang w:eastAsia="en-US"/>
        </w:rPr>
        <w:t xml:space="preserve">(1) Zavezanci </w:t>
      </w:r>
      <w:r w:rsidR="00DD2B18">
        <w:rPr>
          <w:rFonts w:ascii="Arial" w:eastAsia="Calibri" w:hAnsi="Arial" w:cs="Arial"/>
          <w:sz w:val="22"/>
          <w:szCs w:val="22"/>
          <w:lang w:eastAsia="en-US"/>
        </w:rPr>
        <w:t xml:space="preserve">lahko </w:t>
      </w:r>
      <w:r w:rsidRPr="002B6BCF">
        <w:rPr>
          <w:rFonts w:ascii="Arial" w:eastAsia="Calibri" w:hAnsi="Arial" w:cs="Arial"/>
          <w:sz w:val="22"/>
          <w:szCs w:val="22"/>
          <w:lang w:eastAsia="en-US"/>
        </w:rPr>
        <w:t xml:space="preserve">prihranke </w:t>
      </w:r>
      <w:r w:rsidR="00C85BC7">
        <w:rPr>
          <w:rFonts w:ascii="Arial" w:eastAsia="Calibri" w:hAnsi="Arial" w:cs="Arial"/>
          <w:sz w:val="22"/>
          <w:szCs w:val="22"/>
          <w:lang w:eastAsia="en-US"/>
        </w:rPr>
        <w:t xml:space="preserve">energije </w:t>
      </w:r>
      <w:r w:rsidRPr="002B6BCF">
        <w:rPr>
          <w:rFonts w:ascii="Arial" w:eastAsia="Calibri" w:hAnsi="Arial" w:cs="Arial"/>
          <w:sz w:val="22"/>
          <w:szCs w:val="22"/>
          <w:lang w:eastAsia="en-US"/>
        </w:rPr>
        <w:t xml:space="preserve">dosežejo z investiranjem v ukrepe za povečanje energetske učinkovitosti, dodeljevanjem spodbud, izvajanjem energetskih storitev, pogodbenim zagotavljanjem prihrankov </w:t>
      </w:r>
      <w:r w:rsidR="00C85BC7">
        <w:rPr>
          <w:rFonts w:ascii="Arial" w:eastAsia="Calibri" w:hAnsi="Arial" w:cs="Arial"/>
          <w:sz w:val="22"/>
          <w:szCs w:val="22"/>
          <w:lang w:eastAsia="en-US"/>
        </w:rPr>
        <w:t xml:space="preserve">energije </w:t>
      </w:r>
      <w:r w:rsidR="00DD2B18">
        <w:rPr>
          <w:rFonts w:ascii="Arial" w:eastAsia="Calibri" w:hAnsi="Arial" w:cs="Arial"/>
          <w:sz w:val="22"/>
          <w:szCs w:val="22"/>
          <w:lang w:eastAsia="en-US"/>
        </w:rPr>
        <w:t>ali na drug</w:t>
      </w:r>
      <w:r w:rsidRPr="002B6BCF">
        <w:rPr>
          <w:rFonts w:ascii="Arial" w:eastAsia="Calibri" w:hAnsi="Arial" w:cs="Arial"/>
          <w:sz w:val="22"/>
          <w:szCs w:val="22"/>
          <w:lang w:eastAsia="en-US"/>
        </w:rPr>
        <w:t xml:space="preserve"> način.</w:t>
      </w: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r w:rsidRPr="002B6BCF">
        <w:rPr>
          <w:rFonts w:ascii="Arial" w:eastAsia="Calibri" w:hAnsi="Arial" w:cs="Arial"/>
          <w:sz w:val="22"/>
          <w:szCs w:val="22"/>
          <w:lang w:eastAsia="en-US"/>
        </w:rPr>
        <w:t>(2) Način, s katerim zavezanci dosegajo prihranke</w:t>
      </w:r>
      <w:r w:rsidR="006E6115">
        <w:rPr>
          <w:rFonts w:ascii="Arial" w:eastAsia="Calibri" w:hAnsi="Arial" w:cs="Arial"/>
          <w:sz w:val="22"/>
          <w:szCs w:val="22"/>
          <w:lang w:eastAsia="en-US"/>
        </w:rPr>
        <w:t xml:space="preserve"> energije</w:t>
      </w:r>
      <w:r w:rsidRPr="002B6BCF">
        <w:rPr>
          <w:rFonts w:ascii="Arial" w:eastAsia="Calibri" w:hAnsi="Arial" w:cs="Arial"/>
          <w:sz w:val="22"/>
          <w:szCs w:val="22"/>
          <w:lang w:eastAsia="en-US"/>
        </w:rPr>
        <w:t xml:space="preserve"> pri končnih odjemalcih</w:t>
      </w:r>
      <w:r w:rsidR="00594AB0">
        <w:rPr>
          <w:rFonts w:ascii="Arial" w:eastAsia="Calibri" w:hAnsi="Arial" w:cs="Arial"/>
          <w:sz w:val="22"/>
          <w:szCs w:val="22"/>
          <w:lang w:eastAsia="en-US"/>
        </w:rPr>
        <w:t>,</w:t>
      </w:r>
      <w:r w:rsidRPr="002B6BCF">
        <w:rPr>
          <w:rFonts w:ascii="Arial" w:eastAsia="Calibri" w:hAnsi="Arial" w:cs="Arial"/>
          <w:sz w:val="22"/>
          <w:szCs w:val="22"/>
          <w:lang w:eastAsia="en-US"/>
        </w:rPr>
        <w:t xml:space="preserve"> mora izkazovati, da </w:t>
      </w:r>
      <w:r w:rsidR="00594AB0">
        <w:rPr>
          <w:rFonts w:ascii="Arial" w:eastAsia="Calibri" w:hAnsi="Arial" w:cs="Arial"/>
          <w:sz w:val="22"/>
          <w:szCs w:val="22"/>
          <w:lang w:eastAsia="en-US"/>
        </w:rPr>
        <w:t>je</w:t>
      </w:r>
      <w:r w:rsidRPr="002B6BCF">
        <w:rPr>
          <w:rFonts w:ascii="Arial" w:eastAsia="Calibri" w:hAnsi="Arial" w:cs="Arial"/>
          <w:sz w:val="22"/>
          <w:szCs w:val="22"/>
          <w:lang w:eastAsia="en-US"/>
        </w:rPr>
        <w:t xml:space="preserve"> posredovanj</w:t>
      </w:r>
      <w:r w:rsidR="00A12B16">
        <w:rPr>
          <w:rFonts w:ascii="Arial" w:eastAsia="Calibri" w:hAnsi="Arial" w:cs="Arial"/>
          <w:sz w:val="22"/>
          <w:szCs w:val="22"/>
          <w:lang w:eastAsia="en-US"/>
        </w:rPr>
        <w:t>e</w:t>
      </w:r>
      <w:r w:rsidRPr="002B6BCF">
        <w:rPr>
          <w:rFonts w:ascii="Arial" w:eastAsia="Calibri" w:hAnsi="Arial" w:cs="Arial"/>
          <w:sz w:val="22"/>
          <w:szCs w:val="22"/>
          <w:lang w:eastAsia="en-US"/>
        </w:rPr>
        <w:t xml:space="preserve"> zavezanca </w:t>
      </w:r>
      <w:r w:rsidR="00594AB0">
        <w:rPr>
          <w:rFonts w:ascii="Arial" w:eastAsia="Calibri" w:hAnsi="Arial" w:cs="Arial"/>
          <w:sz w:val="22"/>
          <w:szCs w:val="22"/>
          <w:lang w:eastAsia="en-US"/>
        </w:rPr>
        <w:t>prispevalo k realizaciji doseženih prihrankov</w:t>
      </w:r>
      <w:r w:rsidRPr="002B6BCF">
        <w:rPr>
          <w:rFonts w:ascii="Arial" w:eastAsia="Calibri" w:hAnsi="Arial" w:cs="Arial"/>
          <w:sz w:val="22"/>
          <w:szCs w:val="22"/>
          <w:lang w:eastAsia="en-US"/>
        </w:rPr>
        <w:t>.</w:t>
      </w: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p>
    <w:p w:rsidR="002B6BCF" w:rsidRPr="002B6BCF" w:rsidRDefault="002B6BCF" w:rsidP="002B6BCF">
      <w:pPr>
        <w:tabs>
          <w:tab w:val="left" w:pos="567"/>
          <w:tab w:val="left" w:pos="993"/>
        </w:tabs>
        <w:suppressAutoHyphens w:val="0"/>
        <w:contextualSpacing/>
        <w:jc w:val="both"/>
        <w:rPr>
          <w:rFonts w:ascii="Arial" w:hAnsi="Arial" w:cs="Arial"/>
          <w:color w:val="000000"/>
          <w:sz w:val="22"/>
          <w:szCs w:val="22"/>
          <w:lang w:eastAsia="sl-SI"/>
        </w:rPr>
      </w:pPr>
    </w:p>
    <w:p w:rsidR="002B6BCF" w:rsidRPr="002B6BCF" w:rsidRDefault="00016BFA" w:rsidP="002B6BCF">
      <w:pPr>
        <w:tabs>
          <w:tab w:val="left" w:pos="567"/>
          <w:tab w:val="left" w:pos="993"/>
        </w:tabs>
        <w:suppressAutoHyphens w:val="0"/>
        <w:jc w:val="center"/>
        <w:outlineLvl w:val="4"/>
        <w:rPr>
          <w:rFonts w:ascii="Arial" w:hAnsi="Arial" w:cs="Arial"/>
          <w:bCs/>
          <w:iCs/>
          <w:sz w:val="22"/>
          <w:szCs w:val="22"/>
          <w:lang w:eastAsia="en-US"/>
        </w:rPr>
      </w:pPr>
      <w:r>
        <w:rPr>
          <w:rFonts w:ascii="Arial" w:hAnsi="Arial" w:cs="Arial"/>
          <w:bCs/>
          <w:iCs/>
          <w:sz w:val="22"/>
          <w:szCs w:val="22"/>
          <w:lang w:eastAsia="en-US"/>
        </w:rPr>
        <w:t>8</w:t>
      </w:r>
      <w:r w:rsidR="002B6BCF" w:rsidRPr="002B6BCF">
        <w:rPr>
          <w:rFonts w:ascii="Arial" w:hAnsi="Arial" w:cs="Arial"/>
          <w:bCs/>
          <w:iCs/>
          <w:sz w:val="22"/>
          <w:szCs w:val="22"/>
          <w:lang w:eastAsia="en-US"/>
        </w:rPr>
        <w:t>. člen</w:t>
      </w:r>
      <w:r w:rsidR="002B6BCF" w:rsidRPr="002B6BCF">
        <w:rPr>
          <w:rFonts w:ascii="Arial" w:hAnsi="Arial" w:cs="Arial"/>
          <w:bCs/>
          <w:iCs/>
          <w:sz w:val="22"/>
          <w:szCs w:val="22"/>
          <w:lang w:eastAsia="en-US"/>
        </w:rPr>
        <w:br/>
        <w:t>(izračun prihrankov</w:t>
      </w:r>
      <w:r w:rsidR="006E6115">
        <w:rPr>
          <w:rFonts w:ascii="Arial" w:hAnsi="Arial" w:cs="Arial"/>
          <w:bCs/>
          <w:iCs/>
          <w:sz w:val="22"/>
          <w:szCs w:val="22"/>
          <w:lang w:eastAsia="en-US"/>
        </w:rPr>
        <w:t xml:space="preserve"> energije</w:t>
      </w:r>
      <w:r w:rsidR="002B6BCF" w:rsidRPr="002B6BCF">
        <w:rPr>
          <w:rFonts w:ascii="Arial" w:hAnsi="Arial" w:cs="Arial"/>
          <w:bCs/>
          <w:iCs/>
          <w:sz w:val="22"/>
          <w:szCs w:val="22"/>
          <w:lang w:eastAsia="en-US"/>
        </w:rPr>
        <w:t>)</w:t>
      </w:r>
    </w:p>
    <w:p w:rsidR="002B6BCF" w:rsidRPr="002B6BCF" w:rsidRDefault="002B6BCF" w:rsidP="002B6BCF">
      <w:pPr>
        <w:tabs>
          <w:tab w:val="left" w:pos="567"/>
          <w:tab w:val="left" w:pos="993"/>
        </w:tabs>
        <w:suppressAutoHyphens w:val="0"/>
        <w:contextualSpacing/>
        <w:jc w:val="both"/>
        <w:rPr>
          <w:rFonts w:ascii="Arial" w:hAnsi="Arial" w:cs="Arial"/>
          <w:color w:val="000000"/>
          <w:sz w:val="22"/>
          <w:szCs w:val="22"/>
          <w:lang w:eastAsia="sl-SI"/>
        </w:rPr>
      </w:pPr>
    </w:p>
    <w:p w:rsidR="002B6BCF" w:rsidRPr="002B6BCF" w:rsidRDefault="00DD2B18" w:rsidP="002B6BCF">
      <w:pPr>
        <w:tabs>
          <w:tab w:val="left" w:pos="567"/>
          <w:tab w:val="left" w:pos="993"/>
        </w:tabs>
        <w:suppressAutoHyphens w:val="0"/>
        <w:contextualSpacing/>
        <w:jc w:val="both"/>
        <w:rPr>
          <w:rFonts w:ascii="Arial" w:eastAsia="Calibri" w:hAnsi="Arial" w:cs="Arial"/>
          <w:sz w:val="22"/>
          <w:szCs w:val="22"/>
          <w:lang w:eastAsia="en-US"/>
        </w:rPr>
      </w:pPr>
      <w:r>
        <w:rPr>
          <w:rFonts w:ascii="Arial" w:eastAsia="Calibri" w:hAnsi="Arial" w:cs="Arial"/>
          <w:sz w:val="22"/>
          <w:szCs w:val="22"/>
          <w:lang w:eastAsia="en-US"/>
        </w:rPr>
        <w:t>(1) Zavezanci v poročilu</w:t>
      </w:r>
      <w:r w:rsidR="00EE6F80">
        <w:rPr>
          <w:rFonts w:ascii="Arial" w:eastAsia="Calibri" w:hAnsi="Arial" w:cs="Arial"/>
          <w:sz w:val="22"/>
          <w:szCs w:val="22"/>
          <w:lang w:eastAsia="en-US"/>
        </w:rPr>
        <w:t xml:space="preserve">, ki ga </w:t>
      </w:r>
      <w:r w:rsidR="000C1D53">
        <w:rPr>
          <w:rFonts w:ascii="Arial" w:eastAsia="Calibri" w:hAnsi="Arial" w:cs="Arial"/>
          <w:sz w:val="22"/>
          <w:szCs w:val="22"/>
          <w:lang w:eastAsia="en-US"/>
        </w:rPr>
        <w:t xml:space="preserve">za posamezno leto </w:t>
      </w:r>
      <w:r w:rsidR="0034225D">
        <w:rPr>
          <w:rFonts w:ascii="Arial" w:eastAsia="Calibri" w:hAnsi="Arial" w:cs="Arial"/>
          <w:sz w:val="22"/>
          <w:szCs w:val="22"/>
          <w:lang w:eastAsia="en-US"/>
        </w:rPr>
        <w:t>pošljejo</w:t>
      </w:r>
      <w:r w:rsidR="00EE6F80">
        <w:rPr>
          <w:rFonts w:ascii="Arial" w:eastAsia="Calibri" w:hAnsi="Arial" w:cs="Arial"/>
          <w:sz w:val="22"/>
          <w:szCs w:val="22"/>
          <w:lang w:eastAsia="en-US"/>
        </w:rPr>
        <w:t xml:space="preserve"> Agenciji za energijo,</w:t>
      </w:r>
      <w:r>
        <w:rPr>
          <w:rFonts w:ascii="Arial" w:eastAsia="Calibri" w:hAnsi="Arial" w:cs="Arial"/>
          <w:sz w:val="22"/>
          <w:szCs w:val="22"/>
          <w:lang w:eastAsia="en-US"/>
        </w:rPr>
        <w:t xml:space="preserve"> </w:t>
      </w:r>
      <w:r w:rsidR="006E6115">
        <w:rPr>
          <w:rFonts w:ascii="Arial" w:eastAsia="Calibri" w:hAnsi="Arial" w:cs="Arial"/>
          <w:sz w:val="22"/>
          <w:szCs w:val="22"/>
          <w:lang w:eastAsia="en-US"/>
        </w:rPr>
        <w:t>izkažejo</w:t>
      </w:r>
      <w:r w:rsidR="002B6BCF" w:rsidRPr="002B6BCF">
        <w:rPr>
          <w:rFonts w:ascii="Arial" w:eastAsia="Calibri" w:hAnsi="Arial" w:cs="Arial"/>
          <w:sz w:val="22"/>
          <w:szCs w:val="22"/>
          <w:lang w:eastAsia="en-US"/>
        </w:rPr>
        <w:t xml:space="preserve"> skupne prihranke</w:t>
      </w:r>
      <w:r w:rsidR="00C85BC7">
        <w:rPr>
          <w:rFonts w:ascii="Arial" w:eastAsia="Calibri" w:hAnsi="Arial" w:cs="Arial"/>
          <w:sz w:val="22"/>
          <w:szCs w:val="22"/>
          <w:lang w:eastAsia="en-US"/>
        </w:rPr>
        <w:t xml:space="preserve"> energije</w:t>
      </w:r>
      <w:r w:rsidR="002B6BCF" w:rsidRPr="002B6BCF">
        <w:rPr>
          <w:rFonts w:ascii="Arial" w:eastAsia="Calibri" w:hAnsi="Arial" w:cs="Arial"/>
          <w:sz w:val="22"/>
          <w:szCs w:val="22"/>
          <w:lang w:eastAsia="en-US"/>
        </w:rPr>
        <w:t xml:space="preserve">, ki so jih dosegli </w:t>
      </w:r>
      <w:r w:rsidR="000C1D53">
        <w:rPr>
          <w:rFonts w:ascii="Arial" w:eastAsia="Calibri" w:hAnsi="Arial" w:cs="Arial"/>
          <w:sz w:val="22"/>
          <w:szCs w:val="22"/>
          <w:lang w:eastAsia="en-US"/>
        </w:rPr>
        <w:t xml:space="preserve">z ukrepi </w:t>
      </w:r>
      <w:r w:rsidR="002B6BCF" w:rsidRPr="002B6BCF">
        <w:rPr>
          <w:rFonts w:ascii="Arial" w:eastAsia="Calibri" w:hAnsi="Arial" w:cs="Arial"/>
          <w:sz w:val="22"/>
          <w:szCs w:val="22"/>
          <w:lang w:eastAsia="en-US"/>
        </w:rPr>
        <w:t>pri končnih odjemalcih.</w:t>
      </w: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p>
    <w:p w:rsid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r w:rsidRPr="002B6BCF">
        <w:rPr>
          <w:rFonts w:ascii="Arial" w:eastAsia="Calibri" w:hAnsi="Arial" w:cs="Arial"/>
          <w:sz w:val="22"/>
          <w:szCs w:val="22"/>
          <w:lang w:eastAsia="en-US"/>
        </w:rPr>
        <w:t xml:space="preserve">(2) Skupni prihranki </w:t>
      </w:r>
      <w:r w:rsidR="00C85BC7">
        <w:rPr>
          <w:rFonts w:ascii="Arial" w:eastAsia="Calibri" w:hAnsi="Arial" w:cs="Arial"/>
          <w:sz w:val="22"/>
          <w:szCs w:val="22"/>
          <w:lang w:eastAsia="en-US"/>
        </w:rPr>
        <w:t xml:space="preserve">energije </w:t>
      </w:r>
      <w:r w:rsidRPr="002B6BCF">
        <w:rPr>
          <w:rFonts w:ascii="Arial" w:eastAsia="Calibri" w:hAnsi="Arial" w:cs="Arial"/>
          <w:sz w:val="22"/>
          <w:szCs w:val="22"/>
          <w:lang w:eastAsia="en-US"/>
        </w:rPr>
        <w:t xml:space="preserve">se izračunajo kot vsota vseh prihrankov </w:t>
      </w:r>
      <w:r w:rsidR="00C85BC7">
        <w:rPr>
          <w:rFonts w:ascii="Arial" w:eastAsia="Calibri" w:hAnsi="Arial" w:cs="Arial"/>
          <w:sz w:val="22"/>
          <w:szCs w:val="22"/>
          <w:lang w:eastAsia="en-US"/>
        </w:rPr>
        <w:t xml:space="preserve">energije </w:t>
      </w:r>
      <w:r w:rsidRPr="002B6BCF">
        <w:rPr>
          <w:rFonts w:ascii="Arial" w:eastAsia="Calibri" w:hAnsi="Arial" w:cs="Arial"/>
          <w:sz w:val="22"/>
          <w:szCs w:val="22"/>
          <w:lang w:eastAsia="en-US"/>
        </w:rPr>
        <w:t>doseženih s posameznimi ukrepi</w:t>
      </w:r>
      <w:r w:rsidR="00085A42">
        <w:rPr>
          <w:rFonts w:ascii="Arial" w:eastAsia="Calibri" w:hAnsi="Arial" w:cs="Arial"/>
          <w:sz w:val="22"/>
          <w:szCs w:val="22"/>
          <w:lang w:eastAsia="en-US"/>
        </w:rPr>
        <w:t xml:space="preserve">, ki </w:t>
      </w:r>
      <w:r w:rsidR="00085A42" w:rsidRPr="002B6BCF">
        <w:rPr>
          <w:rFonts w:ascii="Arial" w:eastAsia="Calibri" w:hAnsi="Arial" w:cs="Arial"/>
          <w:sz w:val="22"/>
          <w:szCs w:val="22"/>
          <w:lang w:eastAsia="en-US"/>
        </w:rPr>
        <w:t>s</w:t>
      </w:r>
      <w:r w:rsidR="001B36DE">
        <w:rPr>
          <w:rFonts w:ascii="Arial" w:eastAsia="Calibri" w:hAnsi="Arial" w:cs="Arial"/>
          <w:sz w:val="22"/>
          <w:szCs w:val="22"/>
          <w:lang w:eastAsia="en-US"/>
        </w:rPr>
        <w:t>o določeni</w:t>
      </w:r>
      <w:r w:rsidR="00085A42" w:rsidRPr="002B6BCF">
        <w:rPr>
          <w:rFonts w:ascii="Arial" w:eastAsia="Calibri" w:hAnsi="Arial" w:cs="Arial"/>
          <w:sz w:val="22"/>
          <w:szCs w:val="22"/>
          <w:lang w:eastAsia="en-US"/>
        </w:rPr>
        <w:t xml:space="preserve"> na podlagi </w:t>
      </w:r>
      <w:r w:rsidR="00085A42">
        <w:rPr>
          <w:rFonts w:ascii="Arial" w:eastAsia="Calibri" w:hAnsi="Arial" w:cs="Arial"/>
          <w:sz w:val="22"/>
          <w:szCs w:val="22"/>
          <w:lang w:eastAsia="en-US"/>
        </w:rPr>
        <w:t>metod iz predpisa, ki določa metode za določanje prihrankov energije</w:t>
      </w:r>
      <w:r w:rsidRPr="002B6BCF">
        <w:rPr>
          <w:rFonts w:ascii="Arial" w:eastAsia="Calibri" w:hAnsi="Arial" w:cs="Arial"/>
          <w:sz w:val="22"/>
          <w:szCs w:val="22"/>
          <w:lang w:eastAsia="en-US"/>
        </w:rPr>
        <w:t>.</w:t>
      </w:r>
      <w:r w:rsidR="000C1D53">
        <w:rPr>
          <w:rFonts w:ascii="Arial" w:eastAsia="Calibri" w:hAnsi="Arial" w:cs="Arial"/>
          <w:sz w:val="22"/>
          <w:szCs w:val="22"/>
          <w:lang w:eastAsia="en-US"/>
        </w:rPr>
        <w:t xml:space="preserve"> Pri izračunu se upoštevajo prihranki, ki izhajajo iz izvedenih ukrepov, katerih učinki bodo trajali najmanj do leta 2020. </w:t>
      </w:r>
    </w:p>
    <w:p w:rsidR="002B6BCF" w:rsidRPr="002B6BCF" w:rsidRDefault="002B6BCF" w:rsidP="002B6BCF">
      <w:pPr>
        <w:tabs>
          <w:tab w:val="left" w:pos="567"/>
          <w:tab w:val="left" w:pos="993"/>
        </w:tabs>
        <w:suppressAutoHyphens w:val="0"/>
        <w:contextualSpacing/>
        <w:jc w:val="both"/>
        <w:rPr>
          <w:rFonts w:ascii="Arial" w:eastAsia="Calibri" w:hAnsi="Arial" w:cs="Arial"/>
          <w:sz w:val="22"/>
          <w:szCs w:val="22"/>
          <w:lang w:eastAsia="en-US"/>
        </w:rPr>
      </w:pPr>
    </w:p>
    <w:p w:rsidR="0089528E" w:rsidRPr="002B6BCF" w:rsidRDefault="0089528E" w:rsidP="002B6BCF">
      <w:pPr>
        <w:tabs>
          <w:tab w:val="left" w:pos="567"/>
          <w:tab w:val="left" w:pos="993"/>
        </w:tabs>
        <w:suppressAutoHyphens w:val="0"/>
        <w:contextualSpacing/>
        <w:jc w:val="both"/>
        <w:rPr>
          <w:rFonts w:ascii="Arial" w:eastAsia="Calibri" w:hAnsi="Arial" w:cs="Arial"/>
          <w:sz w:val="22"/>
          <w:szCs w:val="22"/>
          <w:lang w:eastAsia="en-US"/>
        </w:rPr>
      </w:pPr>
      <w:r>
        <w:rPr>
          <w:rFonts w:ascii="Arial" w:eastAsia="Calibri" w:hAnsi="Arial" w:cs="Arial"/>
          <w:sz w:val="22"/>
          <w:szCs w:val="22"/>
          <w:lang w:eastAsia="en-US"/>
        </w:rPr>
        <w:t>(</w:t>
      </w:r>
      <w:r w:rsidR="00085A42">
        <w:rPr>
          <w:rFonts w:ascii="Arial" w:eastAsia="Calibri" w:hAnsi="Arial" w:cs="Arial"/>
          <w:sz w:val="22"/>
          <w:szCs w:val="22"/>
          <w:lang w:eastAsia="en-US"/>
        </w:rPr>
        <w:t>3</w:t>
      </w:r>
      <w:r>
        <w:rPr>
          <w:rFonts w:ascii="Arial" w:eastAsia="Calibri" w:hAnsi="Arial" w:cs="Arial"/>
          <w:sz w:val="22"/>
          <w:szCs w:val="22"/>
          <w:lang w:eastAsia="en-US"/>
        </w:rPr>
        <w:t>) Za ukrepe, za katere način izračuna prihrankov energije ni določen v predpisu iz prejšnjega odstavka, se prihranki energije izračunajo na podlagi izvedenega energetskega pregleda.</w:t>
      </w:r>
    </w:p>
    <w:p w:rsidR="002B6BCF" w:rsidRDefault="002B6BCF" w:rsidP="002B6BCF">
      <w:pPr>
        <w:suppressAutoHyphens w:val="0"/>
        <w:jc w:val="both"/>
        <w:rPr>
          <w:b/>
          <w:sz w:val="22"/>
          <w:szCs w:val="22"/>
          <w:lang w:eastAsia="en-US"/>
        </w:rPr>
      </w:pPr>
    </w:p>
    <w:p w:rsidR="002B6BCF" w:rsidRPr="002B6BCF" w:rsidRDefault="002B6BCF" w:rsidP="002B6BCF">
      <w:pPr>
        <w:suppressAutoHyphens w:val="0"/>
        <w:jc w:val="both"/>
        <w:rPr>
          <w:b/>
          <w:sz w:val="22"/>
          <w:szCs w:val="22"/>
          <w:lang w:eastAsia="en-US"/>
        </w:rPr>
      </w:pPr>
    </w:p>
    <w:p w:rsidR="002B6BCF" w:rsidRPr="002B6BCF" w:rsidRDefault="00016BFA" w:rsidP="002B6BCF">
      <w:pPr>
        <w:tabs>
          <w:tab w:val="left" w:pos="567"/>
          <w:tab w:val="left" w:pos="993"/>
        </w:tabs>
        <w:suppressAutoHyphens w:val="0"/>
        <w:jc w:val="center"/>
        <w:outlineLvl w:val="4"/>
        <w:rPr>
          <w:rFonts w:ascii="Arial" w:hAnsi="Arial" w:cs="Arial"/>
          <w:bCs/>
          <w:iCs/>
          <w:sz w:val="22"/>
          <w:szCs w:val="22"/>
          <w:lang w:eastAsia="en-US"/>
        </w:rPr>
      </w:pPr>
      <w:r>
        <w:rPr>
          <w:rFonts w:ascii="Arial" w:hAnsi="Arial" w:cs="Arial"/>
          <w:bCs/>
          <w:iCs/>
          <w:sz w:val="22"/>
          <w:szCs w:val="22"/>
          <w:lang w:eastAsia="en-US"/>
        </w:rPr>
        <w:t>9</w:t>
      </w:r>
      <w:r w:rsidR="002B6BCF" w:rsidRPr="002B6BCF">
        <w:rPr>
          <w:rFonts w:ascii="Arial" w:hAnsi="Arial" w:cs="Arial"/>
          <w:bCs/>
          <w:iCs/>
          <w:sz w:val="22"/>
          <w:szCs w:val="22"/>
          <w:lang w:eastAsia="en-US"/>
        </w:rPr>
        <w:t>. člen</w:t>
      </w:r>
      <w:r w:rsidR="002B6BCF" w:rsidRPr="002B6BCF">
        <w:rPr>
          <w:rFonts w:ascii="Arial" w:hAnsi="Arial" w:cs="Arial"/>
          <w:bCs/>
          <w:iCs/>
          <w:sz w:val="22"/>
          <w:szCs w:val="22"/>
          <w:lang w:eastAsia="en-US"/>
        </w:rPr>
        <w:br/>
        <w:t>(</w:t>
      </w:r>
      <w:r w:rsidR="00EE6F80">
        <w:rPr>
          <w:rFonts w:ascii="Arial" w:hAnsi="Arial" w:cs="Arial"/>
          <w:bCs/>
          <w:iCs/>
          <w:sz w:val="22"/>
          <w:szCs w:val="22"/>
          <w:lang w:eastAsia="en-US"/>
        </w:rPr>
        <w:t>nakazilo finančnih sredstev Eko skladu</w:t>
      </w:r>
      <w:r w:rsidR="002B6BCF" w:rsidRPr="002B6BCF">
        <w:rPr>
          <w:rFonts w:ascii="Arial" w:hAnsi="Arial" w:cs="Arial"/>
          <w:bCs/>
          <w:iCs/>
          <w:sz w:val="22"/>
          <w:szCs w:val="22"/>
          <w:lang w:eastAsia="en-US"/>
        </w:rPr>
        <w:t>)</w:t>
      </w:r>
    </w:p>
    <w:p w:rsidR="002B6BCF" w:rsidRPr="002B6BCF" w:rsidRDefault="002B6BCF" w:rsidP="002B6BCF">
      <w:pPr>
        <w:suppressAutoHyphens w:val="0"/>
        <w:jc w:val="both"/>
        <w:rPr>
          <w:b/>
          <w:sz w:val="22"/>
          <w:szCs w:val="22"/>
          <w:lang w:eastAsia="en-US"/>
        </w:rPr>
      </w:pPr>
    </w:p>
    <w:p w:rsidR="002B6BCF" w:rsidRPr="002B6BCF" w:rsidRDefault="002B6BCF" w:rsidP="002B6BCF">
      <w:pPr>
        <w:suppressAutoHyphens w:val="0"/>
        <w:jc w:val="both"/>
        <w:rPr>
          <w:rFonts w:ascii="Arial" w:eastAsia="Calibri" w:hAnsi="Arial" w:cs="Arial"/>
          <w:sz w:val="22"/>
          <w:szCs w:val="22"/>
          <w:lang w:eastAsia="en-US"/>
        </w:rPr>
      </w:pPr>
      <w:r w:rsidRPr="002B6BCF">
        <w:rPr>
          <w:rFonts w:ascii="Arial" w:eastAsia="Calibri" w:hAnsi="Arial" w:cs="Arial"/>
          <w:sz w:val="22"/>
          <w:szCs w:val="22"/>
          <w:lang w:eastAsia="en-US"/>
        </w:rPr>
        <w:t xml:space="preserve">(1) </w:t>
      </w:r>
      <w:r w:rsidR="004059CC">
        <w:rPr>
          <w:rFonts w:ascii="Arial" w:eastAsia="Calibri" w:hAnsi="Arial" w:cs="Arial"/>
          <w:sz w:val="22"/>
          <w:szCs w:val="22"/>
          <w:lang w:eastAsia="en-US"/>
        </w:rPr>
        <w:t xml:space="preserve">Zavezanci, ki </w:t>
      </w:r>
      <w:r w:rsidRPr="002B6BCF">
        <w:rPr>
          <w:rFonts w:ascii="Arial" w:eastAsia="Calibri" w:hAnsi="Arial" w:cs="Arial"/>
          <w:sz w:val="22"/>
          <w:szCs w:val="22"/>
          <w:lang w:eastAsia="en-US"/>
        </w:rPr>
        <w:t xml:space="preserve">obveznost </w:t>
      </w:r>
      <w:r w:rsidR="00EE6F80">
        <w:rPr>
          <w:rFonts w:ascii="Arial" w:eastAsia="Calibri" w:hAnsi="Arial" w:cs="Arial"/>
          <w:sz w:val="22"/>
          <w:szCs w:val="22"/>
          <w:lang w:eastAsia="en-US"/>
        </w:rPr>
        <w:t>zagotavljanja prihrankov energije</w:t>
      </w:r>
      <w:r w:rsidR="004059CC">
        <w:rPr>
          <w:rFonts w:ascii="Arial" w:eastAsia="Calibri" w:hAnsi="Arial" w:cs="Arial"/>
          <w:sz w:val="22"/>
          <w:szCs w:val="22"/>
          <w:lang w:eastAsia="en-US"/>
        </w:rPr>
        <w:t xml:space="preserve"> </w:t>
      </w:r>
      <w:r w:rsidR="00D96895">
        <w:rPr>
          <w:rFonts w:ascii="Arial" w:eastAsia="Calibri" w:hAnsi="Arial" w:cs="Arial"/>
          <w:sz w:val="22"/>
          <w:szCs w:val="22"/>
          <w:lang w:eastAsia="en-US"/>
        </w:rPr>
        <w:t>delno ali v celoti izpolni</w:t>
      </w:r>
      <w:r w:rsidR="00EE6F80">
        <w:rPr>
          <w:rFonts w:ascii="Arial" w:eastAsia="Calibri" w:hAnsi="Arial" w:cs="Arial"/>
          <w:sz w:val="22"/>
          <w:szCs w:val="22"/>
          <w:lang w:eastAsia="en-US"/>
        </w:rPr>
        <w:t>jo</w:t>
      </w:r>
      <w:r w:rsidR="004059CC">
        <w:rPr>
          <w:rFonts w:ascii="Arial" w:eastAsia="Calibri" w:hAnsi="Arial" w:cs="Arial"/>
          <w:sz w:val="22"/>
          <w:szCs w:val="22"/>
          <w:lang w:eastAsia="en-US"/>
        </w:rPr>
        <w:t xml:space="preserve"> </w:t>
      </w:r>
      <w:r w:rsidRPr="002B6BCF">
        <w:rPr>
          <w:rFonts w:ascii="Arial" w:eastAsia="Calibri" w:hAnsi="Arial" w:cs="Arial"/>
          <w:sz w:val="22"/>
          <w:szCs w:val="22"/>
          <w:lang w:eastAsia="en-US"/>
        </w:rPr>
        <w:t>z nakazilo</w:t>
      </w:r>
      <w:r w:rsidR="004059CC">
        <w:rPr>
          <w:rFonts w:ascii="Arial" w:eastAsia="Calibri" w:hAnsi="Arial" w:cs="Arial"/>
          <w:sz w:val="22"/>
          <w:szCs w:val="22"/>
          <w:lang w:eastAsia="en-US"/>
        </w:rPr>
        <w:t xml:space="preserve">m finančnih sredstev Eko skladu, </w:t>
      </w:r>
      <w:r w:rsidR="00EE6F80">
        <w:rPr>
          <w:rFonts w:ascii="Arial" w:eastAsia="Calibri" w:hAnsi="Arial" w:cs="Arial"/>
          <w:sz w:val="22"/>
          <w:szCs w:val="22"/>
          <w:lang w:eastAsia="en-US"/>
        </w:rPr>
        <w:t>morajo</w:t>
      </w:r>
      <w:r w:rsidR="004059CC">
        <w:rPr>
          <w:rFonts w:ascii="Arial" w:eastAsia="Calibri" w:hAnsi="Arial" w:cs="Arial"/>
          <w:sz w:val="22"/>
          <w:szCs w:val="22"/>
          <w:lang w:eastAsia="en-US"/>
        </w:rPr>
        <w:t xml:space="preserve"> obvesti</w:t>
      </w:r>
      <w:r w:rsidR="00FC445B">
        <w:rPr>
          <w:rFonts w:ascii="Arial" w:eastAsia="Calibri" w:hAnsi="Arial" w:cs="Arial"/>
          <w:sz w:val="22"/>
          <w:szCs w:val="22"/>
          <w:lang w:eastAsia="en-US"/>
        </w:rPr>
        <w:t>ti</w:t>
      </w:r>
      <w:r w:rsidR="004059CC">
        <w:rPr>
          <w:rFonts w:ascii="Arial" w:eastAsia="Calibri" w:hAnsi="Arial" w:cs="Arial"/>
          <w:sz w:val="22"/>
          <w:szCs w:val="22"/>
          <w:lang w:eastAsia="en-US"/>
        </w:rPr>
        <w:t xml:space="preserve"> Eko sklad naj</w:t>
      </w:r>
      <w:r w:rsidR="0034225D">
        <w:rPr>
          <w:rFonts w:ascii="Arial" w:eastAsia="Calibri" w:hAnsi="Arial" w:cs="Arial"/>
          <w:sz w:val="22"/>
          <w:szCs w:val="22"/>
          <w:lang w:eastAsia="en-US"/>
        </w:rPr>
        <w:t>pozneje</w:t>
      </w:r>
      <w:r w:rsidR="004059CC">
        <w:rPr>
          <w:rFonts w:ascii="Arial" w:eastAsia="Calibri" w:hAnsi="Arial" w:cs="Arial"/>
          <w:sz w:val="22"/>
          <w:szCs w:val="22"/>
          <w:lang w:eastAsia="en-US"/>
        </w:rPr>
        <w:t xml:space="preserve"> do 1. oktobra za naslednje leto.</w:t>
      </w:r>
    </w:p>
    <w:p w:rsidR="002B6BCF" w:rsidRPr="002B6BCF" w:rsidRDefault="002B6BCF" w:rsidP="002B6BCF">
      <w:pPr>
        <w:suppressAutoHyphens w:val="0"/>
        <w:jc w:val="both"/>
        <w:rPr>
          <w:rFonts w:ascii="Arial" w:eastAsia="Calibri" w:hAnsi="Arial" w:cs="Arial"/>
          <w:sz w:val="22"/>
          <w:szCs w:val="22"/>
          <w:u w:val="single"/>
          <w:lang w:eastAsia="en-US"/>
        </w:rPr>
      </w:pPr>
    </w:p>
    <w:p w:rsidR="002B6BCF" w:rsidRDefault="002B6BCF" w:rsidP="002B6BCF">
      <w:pPr>
        <w:suppressAutoHyphens w:val="0"/>
        <w:jc w:val="both"/>
        <w:rPr>
          <w:rFonts w:ascii="Arial" w:eastAsia="Calibri" w:hAnsi="Arial" w:cs="Arial"/>
          <w:sz w:val="22"/>
          <w:szCs w:val="22"/>
          <w:lang w:eastAsia="en-US"/>
        </w:rPr>
      </w:pPr>
      <w:r w:rsidRPr="002B6BCF">
        <w:rPr>
          <w:rFonts w:ascii="Arial" w:eastAsia="Calibri" w:hAnsi="Arial" w:cs="Arial"/>
          <w:sz w:val="22"/>
          <w:szCs w:val="22"/>
          <w:lang w:eastAsia="en-US"/>
        </w:rPr>
        <w:t xml:space="preserve">(2) Eko sklad objavi specifični strošek doseganja prihrankov </w:t>
      </w:r>
      <w:r w:rsidR="006E6115">
        <w:rPr>
          <w:rFonts w:ascii="Arial" w:eastAsia="Calibri" w:hAnsi="Arial" w:cs="Arial"/>
          <w:sz w:val="22"/>
          <w:szCs w:val="22"/>
          <w:lang w:eastAsia="en-US"/>
        </w:rPr>
        <w:t xml:space="preserve">energije </w:t>
      </w:r>
      <w:r w:rsidRPr="002B6BCF">
        <w:rPr>
          <w:rFonts w:ascii="Arial" w:eastAsia="Calibri" w:hAnsi="Arial" w:cs="Arial"/>
          <w:sz w:val="22"/>
          <w:szCs w:val="22"/>
          <w:lang w:eastAsia="en-US"/>
        </w:rPr>
        <w:t xml:space="preserve">za preteklo leto do 1. </w:t>
      </w:r>
      <w:r w:rsidR="006E6115">
        <w:rPr>
          <w:rFonts w:ascii="Arial" w:eastAsia="Calibri" w:hAnsi="Arial" w:cs="Arial"/>
          <w:sz w:val="22"/>
          <w:szCs w:val="22"/>
          <w:lang w:eastAsia="en-US"/>
        </w:rPr>
        <w:t>aprila</w:t>
      </w:r>
      <w:r w:rsidRPr="002B6BCF">
        <w:rPr>
          <w:rFonts w:ascii="Arial" w:eastAsia="Calibri" w:hAnsi="Arial" w:cs="Arial"/>
          <w:sz w:val="22"/>
          <w:szCs w:val="22"/>
          <w:lang w:eastAsia="en-US"/>
        </w:rPr>
        <w:t xml:space="preserve"> tekočega leta.</w:t>
      </w:r>
    </w:p>
    <w:p w:rsidR="00D96895" w:rsidRDefault="00D96895" w:rsidP="002B6BCF">
      <w:pPr>
        <w:suppressAutoHyphens w:val="0"/>
        <w:jc w:val="both"/>
        <w:rPr>
          <w:rFonts w:ascii="Arial" w:eastAsia="Calibri" w:hAnsi="Arial" w:cs="Arial"/>
          <w:sz w:val="22"/>
          <w:szCs w:val="22"/>
          <w:lang w:eastAsia="en-US"/>
        </w:rPr>
      </w:pPr>
    </w:p>
    <w:p w:rsidR="006E6115" w:rsidRPr="002B6BCF" w:rsidRDefault="006E6115" w:rsidP="006E6115">
      <w:pPr>
        <w:suppressAutoHyphens w:val="0"/>
        <w:jc w:val="both"/>
        <w:rPr>
          <w:b/>
          <w:sz w:val="22"/>
          <w:szCs w:val="22"/>
          <w:lang w:eastAsia="en-US"/>
        </w:rPr>
      </w:pPr>
      <w:r>
        <w:rPr>
          <w:rFonts w:ascii="Arial" w:eastAsia="Calibri" w:hAnsi="Arial" w:cs="Arial"/>
          <w:sz w:val="22"/>
          <w:szCs w:val="22"/>
          <w:lang w:eastAsia="en-US"/>
        </w:rPr>
        <w:t>(</w:t>
      </w:r>
      <w:r w:rsidR="004059CC">
        <w:rPr>
          <w:rFonts w:ascii="Arial" w:eastAsia="Calibri" w:hAnsi="Arial" w:cs="Arial"/>
          <w:sz w:val="22"/>
          <w:szCs w:val="22"/>
          <w:lang w:eastAsia="en-US"/>
        </w:rPr>
        <w:t>3</w:t>
      </w:r>
      <w:r>
        <w:rPr>
          <w:rFonts w:ascii="Arial" w:eastAsia="Calibri" w:hAnsi="Arial" w:cs="Arial"/>
          <w:sz w:val="22"/>
          <w:szCs w:val="22"/>
          <w:lang w:eastAsia="en-US"/>
        </w:rPr>
        <w:t xml:space="preserve">) </w:t>
      </w:r>
      <w:r w:rsidRPr="002B6BCF">
        <w:rPr>
          <w:rFonts w:ascii="Arial" w:hAnsi="Arial" w:cs="Arial"/>
          <w:sz w:val="22"/>
          <w:szCs w:val="22"/>
          <w:lang w:eastAsia="en-US"/>
        </w:rPr>
        <w:t xml:space="preserve">Podrobnejši postopek poročanja in nakazovanja sredstev določi Eko sklad </w:t>
      </w:r>
      <w:r w:rsidR="00DD2B18">
        <w:rPr>
          <w:rFonts w:ascii="Arial" w:hAnsi="Arial" w:cs="Arial"/>
          <w:sz w:val="22"/>
          <w:szCs w:val="22"/>
          <w:lang w:eastAsia="en-US"/>
        </w:rPr>
        <w:t>in</w:t>
      </w:r>
      <w:r w:rsidRPr="002B6BCF">
        <w:rPr>
          <w:rFonts w:ascii="Arial" w:hAnsi="Arial" w:cs="Arial"/>
          <w:sz w:val="22"/>
          <w:szCs w:val="22"/>
          <w:lang w:eastAsia="en-US"/>
        </w:rPr>
        <w:t xml:space="preserve"> ga objavi na svoji spletni strani</w:t>
      </w:r>
      <w:r>
        <w:rPr>
          <w:rFonts w:ascii="Arial" w:hAnsi="Arial" w:cs="Arial"/>
          <w:sz w:val="22"/>
          <w:szCs w:val="22"/>
          <w:lang w:eastAsia="en-US"/>
        </w:rPr>
        <w:t>.</w:t>
      </w:r>
    </w:p>
    <w:p w:rsidR="002B6BCF" w:rsidRPr="002B6BCF" w:rsidRDefault="002B6BCF" w:rsidP="002B6BCF">
      <w:pPr>
        <w:suppressAutoHyphens w:val="0"/>
        <w:jc w:val="both"/>
        <w:rPr>
          <w:b/>
          <w:sz w:val="22"/>
          <w:szCs w:val="22"/>
          <w:lang w:eastAsia="en-US"/>
        </w:rPr>
      </w:pPr>
    </w:p>
    <w:p w:rsidR="002B6BCF" w:rsidRPr="002B6BCF" w:rsidRDefault="002B6BCF" w:rsidP="002B6BCF">
      <w:pPr>
        <w:suppressAutoHyphens w:val="0"/>
        <w:jc w:val="both"/>
        <w:rPr>
          <w:b/>
          <w:sz w:val="22"/>
          <w:szCs w:val="22"/>
          <w:lang w:eastAsia="en-US"/>
        </w:rPr>
      </w:pPr>
    </w:p>
    <w:p w:rsidR="002B6BCF" w:rsidRPr="002B6BCF" w:rsidRDefault="002B6BCF" w:rsidP="002B6BCF">
      <w:pPr>
        <w:suppressAutoHyphens w:val="0"/>
        <w:jc w:val="center"/>
        <w:rPr>
          <w:rFonts w:ascii="Arial" w:hAnsi="Arial" w:cs="Arial"/>
          <w:b/>
          <w:sz w:val="22"/>
          <w:szCs w:val="22"/>
          <w:lang w:eastAsia="en-US"/>
        </w:rPr>
      </w:pPr>
      <w:r w:rsidRPr="002B6BCF">
        <w:rPr>
          <w:rFonts w:ascii="Arial" w:hAnsi="Arial" w:cs="Arial"/>
          <w:b/>
          <w:sz w:val="22"/>
          <w:szCs w:val="22"/>
          <w:lang w:eastAsia="en-US"/>
        </w:rPr>
        <w:t xml:space="preserve">III. </w:t>
      </w:r>
      <w:r w:rsidR="00DD2B18">
        <w:rPr>
          <w:rFonts w:ascii="Arial" w:hAnsi="Arial" w:cs="Arial"/>
          <w:b/>
          <w:sz w:val="22"/>
          <w:szCs w:val="22"/>
          <w:lang w:eastAsia="en-US"/>
        </w:rPr>
        <w:t>PRISPEVEK ZA ENERGETSKO UČINKOVITOST</w:t>
      </w:r>
    </w:p>
    <w:p w:rsidR="002B6BCF" w:rsidRPr="002B6BCF" w:rsidRDefault="002B6BCF" w:rsidP="002B6BCF">
      <w:pPr>
        <w:suppressAutoHyphens w:val="0"/>
        <w:jc w:val="both"/>
        <w:rPr>
          <w:b/>
          <w:sz w:val="22"/>
          <w:szCs w:val="22"/>
          <w:lang w:eastAsia="en-US"/>
        </w:rPr>
      </w:pPr>
    </w:p>
    <w:p w:rsidR="00016BFA" w:rsidRDefault="00016BFA" w:rsidP="002B6BCF">
      <w:pPr>
        <w:suppressAutoHyphens w:val="0"/>
        <w:jc w:val="both"/>
        <w:rPr>
          <w:rFonts w:ascii="Arial" w:hAnsi="Arial" w:cs="Arial"/>
          <w:sz w:val="22"/>
          <w:szCs w:val="22"/>
          <w:lang w:eastAsia="en-US"/>
        </w:rPr>
      </w:pPr>
    </w:p>
    <w:p w:rsidR="00016BFA" w:rsidRPr="002B6BCF" w:rsidRDefault="00016BFA" w:rsidP="00016BFA">
      <w:pPr>
        <w:suppressAutoHyphens w:val="0"/>
        <w:jc w:val="center"/>
        <w:rPr>
          <w:rFonts w:ascii="Arial" w:hAnsi="Arial" w:cs="Arial"/>
          <w:sz w:val="22"/>
          <w:szCs w:val="22"/>
          <w:lang w:eastAsia="en-US"/>
        </w:rPr>
      </w:pPr>
      <w:r>
        <w:rPr>
          <w:rFonts w:ascii="Arial" w:hAnsi="Arial" w:cs="Arial"/>
          <w:sz w:val="22"/>
          <w:szCs w:val="22"/>
          <w:lang w:eastAsia="en-US"/>
        </w:rPr>
        <w:t>1</w:t>
      </w:r>
      <w:r w:rsidR="00F80C9F">
        <w:rPr>
          <w:rFonts w:ascii="Arial" w:hAnsi="Arial" w:cs="Arial"/>
          <w:sz w:val="22"/>
          <w:szCs w:val="22"/>
          <w:lang w:eastAsia="en-US"/>
        </w:rPr>
        <w:t>0</w:t>
      </w:r>
      <w:r w:rsidRPr="002B6BCF">
        <w:rPr>
          <w:rFonts w:ascii="Arial" w:hAnsi="Arial" w:cs="Arial"/>
          <w:sz w:val="22"/>
          <w:szCs w:val="22"/>
          <w:lang w:eastAsia="en-US"/>
        </w:rPr>
        <w:t>. člen</w:t>
      </w:r>
    </w:p>
    <w:p w:rsidR="00016BFA" w:rsidRPr="002B6BCF" w:rsidRDefault="00016BFA" w:rsidP="00016BFA">
      <w:pPr>
        <w:suppressAutoHyphens w:val="0"/>
        <w:jc w:val="center"/>
        <w:rPr>
          <w:rFonts w:ascii="Arial" w:hAnsi="Arial" w:cs="Arial"/>
          <w:sz w:val="22"/>
          <w:szCs w:val="22"/>
          <w:lang w:eastAsia="en-US"/>
        </w:rPr>
      </w:pPr>
      <w:r w:rsidRPr="002B6BCF">
        <w:rPr>
          <w:rFonts w:ascii="Arial" w:hAnsi="Arial" w:cs="Arial"/>
          <w:sz w:val="22"/>
          <w:szCs w:val="22"/>
          <w:lang w:eastAsia="en-US"/>
        </w:rPr>
        <w:t>(</w:t>
      </w:r>
      <w:r>
        <w:rPr>
          <w:rFonts w:ascii="Arial" w:hAnsi="Arial" w:cs="Arial"/>
          <w:sz w:val="22"/>
          <w:szCs w:val="22"/>
          <w:lang w:eastAsia="en-US"/>
        </w:rPr>
        <w:t>višina prispevka</w:t>
      </w:r>
      <w:r w:rsidR="00AE1744">
        <w:rPr>
          <w:rFonts w:ascii="Arial" w:hAnsi="Arial" w:cs="Arial"/>
          <w:sz w:val="22"/>
          <w:szCs w:val="22"/>
          <w:lang w:eastAsia="en-US"/>
        </w:rPr>
        <w:t xml:space="preserve"> za energetsko učinkovitost</w:t>
      </w:r>
      <w:r w:rsidRPr="002B6BCF">
        <w:rPr>
          <w:rFonts w:ascii="Arial" w:hAnsi="Arial" w:cs="Arial"/>
          <w:sz w:val="22"/>
          <w:szCs w:val="22"/>
          <w:lang w:eastAsia="en-US"/>
        </w:rPr>
        <w:t>)</w:t>
      </w:r>
    </w:p>
    <w:p w:rsidR="00016BFA" w:rsidRDefault="00016BFA" w:rsidP="002B6BCF">
      <w:pPr>
        <w:suppressAutoHyphens w:val="0"/>
        <w:jc w:val="both"/>
        <w:rPr>
          <w:rFonts w:ascii="Arial" w:hAnsi="Arial" w:cs="Arial"/>
          <w:sz w:val="22"/>
          <w:szCs w:val="22"/>
          <w:lang w:eastAsia="en-US"/>
        </w:rPr>
      </w:pPr>
    </w:p>
    <w:p w:rsidR="00831528" w:rsidRPr="002B6BCF" w:rsidRDefault="00016BFA" w:rsidP="00AE1744">
      <w:pPr>
        <w:suppressAutoHyphens w:val="0"/>
        <w:jc w:val="both"/>
        <w:rPr>
          <w:rFonts w:ascii="Arial" w:hAnsi="Arial" w:cs="Arial"/>
          <w:sz w:val="22"/>
          <w:szCs w:val="22"/>
          <w:lang w:eastAsia="sl-SI"/>
        </w:rPr>
      </w:pPr>
      <w:r w:rsidRPr="002B6BCF">
        <w:rPr>
          <w:rFonts w:ascii="Arial" w:hAnsi="Arial" w:cs="Arial"/>
          <w:sz w:val="22"/>
          <w:szCs w:val="22"/>
          <w:lang w:eastAsia="en-US"/>
        </w:rPr>
        <w:t>Višina prispevka</w:t>
      </w:r>
      <w:r w:rsidR="00AE1744">
        <w:rPr>
          <w:rFonts w:ascii="Arial" w:hAnsi="Arial" w:cs="Arial"/>
          <w:sz w:val="22"/>
          <w:szCs w:val="22"/>
          <w:lang w:eastAsia="en-US"/>
        </w:rPr>
        <w:t xml:space="preserve"> </w:t>
      </w:r>
      <w:r w:rsidR="00AE1744">
        <w:rPr>
          <w:rFonts w:ascii="Arial" w:hAnsi="Arial" w:cs="Arial"/>
          <w:sz w:val="22"/>
          <w:szCs w:val="22"/>
          <w:lang w:eastAsia="sl-SI"/>
        </w:rPr>
        <w:t>za</w:t>
      </w:r>
      <w:r w:rsidR="00831528" w:rsidRPr="002B6BCF">
        <w:rPr>
          <w:rFonts w:ascii="Arial" w:hAnsi="Arial" w:cs="Arial"/>
          <w:sz w:val="22"/>
          <w:szCs w:val="22"/>
          <w:lang w:eastAsia="sl-SI"/>
        </w:rPr>
        <w:t xml:space="preserve"> energetsk</w:t>
      </w:r>
      <w:r w:rsidR="00AE1744">
        <w:rPr>
          <w:rFonts w:ascii="Arial" w:hAnsi="Arial" w:cs="Arial"/>
          <w:sz w:val="22"/>
          <w:szCs w:val="22"/>
          <w:lang w:eastAsia="sl-SI"/>
        </w:rPr>
        <w:t>o učinkovitost</w:t>
      </w:r>
      <w:r w:rsidR="00FC445B">
        <w:rPr>
          <w:rFonts w:ascii="Arial" w:hAnsi="Arial" w:cs="Arial"/>
          <w:sz w:val="22"/>
          <w:szCs w:val="22"/>
          <w:lang w:eastAsia="sl-SI"/>
        </w:rPr>
        <w:t>, ki ga plačuje končni odjemalec električne energije, zemeljskega plina in toplote iz omrežja ter končni odjemalec trdnih, tekočih in plinastih goriv,</w:t>
      </w:r>
      <w:r w:rsidR="00AE1744">
        <w:rPr>
          <w:rFonts w:ascii="Arial" w:hAnsi="Arial" w:cs="Arial"/>
          <w:sz w:val="22"/>
          <w:szCs w:val="22"/>
          <w:lang w:eastAsia="sl-SI"/>
        </w:rPr>
        <w:t xml:space="preserve"> </w:t>
      </w:r>
      <w:r w:rsidR="003C2A79">
        <w:rPr>
          <w:rFonts w:ascii="Arial" w:hAnsi="Arial" w:cs="Arial"/>
          <w:sz w:val="22"/>
          <w:szCs w:val="22"/>
          <w:lang w:eastAsia="sl-SI"/>
        </w:rPr>
        <w:t>je 0,</w:t>
      </w:r>
      <w:r w:rsidR="000B258A">
        <w:rPr>
          <w:rFonts w:ascii="Arial" w:hAnsi="Arial" w:cs="Arial"/>
          <w:sz w:val="22"/>
          <w:szCs w:val="22"/>
          <w:lang w:eastAsia="sl-SI"/>
        </w:rPr>
        <w:t>0</w:t>
      </w:r>
      <w:r w:rsidR="00F80C9F">
        <w:rPr>
          <w:rFonts w:ascii="Arial" w:hAnsi="Arial" w:cs="Arial"/>
          <w:sz w:val="22"/>
          <w:szCs w:val="22"/>
          <w:lang w:eastAsia="sl-SI"/>
        </w:rPr>
        <w:t>8 centa na kilovatno uro. Višina prispevka</w:t>
      </w:r>
      <w:r w:rsidR="00FC445B">
        <w:rPr>
          <w:rFonts w:ascii="Arial" w:hAnsi="Arial" w:cs="Arial"/>
          <w:sz w:val="22"/>
          <w:szCs w:val="22"/>
          <w:lang w:eastAsia="sl-SI"/>
        </w:rPr>
        <w:t>,</w:t>
      </w:r>
      <w:r w:rsidR="00F80C9F">
        <w:rPr>
          <w:rFonts w:ascii="Arial" w:hAnsi="Arial" w:cs="Arial"/>
          <w:sz w:val="22"/>
          <w:szCs w:val="22"/>
          <w:lang w:eastAsia="sl-SI"/>
        </w:rPr>
        <w:t xml:space="preserve"> preračunana na prodajno enoto za posamezno vrsto energije</w:t>
      </w:r>
      <w:r w:rsidR="0034225D">
        <w:rPr>
          <w:rFonts w:ascii="Arial" w:hAnsi="Arial" w:cs="Arial"/>
          <w:sz w:val="22"/>
          <w:szCs w:val="22"/>
          <w:lang w:eastAsia="sl-SI"/>
        </w:rPr>
        <w:t>,</w:t>
      </w:r>
      <w:r w:rsidR="00F80C9F">
        <w:rPr>
          <w:rFonts w:ascii="Arial" w:hAnsi="Arial" w:cs="Arial"/>
          <w:sz w:val="22"/>
          <w:szCs w:val="22"/>
          <w:lang w:eastAsia="sl-SI"/>
        </w:rPr>
        <w:t xml:space="preserve"> </w:t>
      </w:r>
      <w:r w:rsidR="00AE1744">
        <w:rPr>
          <w:rFonts w:ascii="Arial" w:hAnsi="Arial" w:cs="Arial"/>
          <w:sz w:val="22"/>
          <w:szCs w:val="22"/>
          <w:lang w:eastAsia="sl-SI"/>
        </w:rPr>
        <w:t xml:space="preserve">je </w:t>
      </w:r>
      <w:r w:rsidR="00FC445B">
        <w:rPr>
          <w:rFonts w:ascii="Arial" w:hAnsi="Arial" w:cs="Arial"/>
          <w:sz w:val="22"/>
          <w:szCs w:val="22"/>
          <w:lang w:eastAsia="sl-SI"/>
        </w:rPr>
        <w:t>določena v spodnji tabeli:</w:t>
      </w:r>
    </w:p>
    <w:p w:rsidR="00831528" w:rsidRPr="002B6BCF" w:rsidRDefault="00831528" w:rsidP="00831528">
      <w:pPr>
        <w:suppressAutoHyphens w:val="0"/>
        <w:rPr>
          <w:rFonts w:ascii="Arial" w:hAnsi="Arial" w:cs="Arial"/>
          <w:sz w:val="22"/>
          <w:szCs w:val="22"/>
          <w:lang w:eastAsia="sl-SI"/>
        </w:rPr>
      </w:pPr>
    </w:p>
    <w:tbl>
      <w:tblPr>
        <w:tblW w:w="8103" w:type="dxa"/>
        <w:jc w:val="center"/>
        <w:tblInd w:w="-1665" w:type="dxa"/>
        <w:tblCellMar>
          <w:left w:w="70" w:type="dxa"/>
          <w:right w:w="70" w:type="dxa"/>
        </w:tblCellMar>
        <w:tblLook w:val="0000" w:firstRow="0" w:lastRow="0" w:firstColumn="0" w:lastColumn="0" w:noHBand="0" w:noVBand="0"/>
      </w:tblPr>
      <w:tblGrid>
        <w:gridCol w:w="5169"/>
        <w:gridCol w:w="1861"/>
        <w:gridCol w:w="1073"/>
      </w:tblGrid>
      <w:tr w:rsidR="003C2A79" w:rsidRPr="00AB7102" w:rsidTr="00F80C9F">
        <w:trPr>
          <w:trHeight w:val="240"/>
          <w:jc w:val="center"/>
        </w:trPr>
        <w:tc>
          <w:tcPr>
            <w:tcW w:w="5169" w:type="dxa"/>
            <w:tcBorders>
              <w:top w:val="single" w:sz="8" w:space="0" w:color="auto"/>
              <w:left w:val="single" w:sz="4" w:space="0" w:color="auto"/>
              <w:bottom w:val="double" w:sz="4" w:space="0" w:color="auto"/>
              <w:right w:val="single" w:sz="4" w:space="0" w:color="auto"/>
            </w:tcBorders>
            <w:shd w:val="clear" w:color="auto" w:fill="auto"/>
            <w:noWrap/>
            <w:vAlign w:val="bottom"/>
          </w:tcPr>
          <w:p w:rsidR="003C2A79" w:rsidRPr="00AB7102" w:rsidRDefault="003C2A79" w:rsidP="00D81A81">
            <w:pPr>
              <w:suppressAutoHyphens w:val="0"/>
              <w:rPr>
                <w:rFonts w:ascii="Arial" w:hAnsi="Arial" w:cs="Arial"/>
                <w:sz w:val="20"/>
                <w:szCs w:val="20"/>
                <w:lang w:eastAsia="sl-SI"/>
              </w:rPr>
            </w:pPr>
          </w:p>
        </w:tc>
        <w:tc>
          <w:tcPr>
            <w:tcW w:w="1861" w:type="dxa"/>
            <w:tcBorders>
              <w:top w:val="single" w:sz="8" w:space="0" w:color="auto"/>
              <w:left w:val="nil"/>
              <w:bottom w:val="double" w:sz="4" w:space="0" w:color="auto"/>
              <w:right w:val="single" w:sz="4" w:space="0" w:color="auto"/>
            </w:tcBorders>
          </w:tcPr>
          <w:p w:rsidR="003C2A79" w:rsidRPr="00AB7102" w:rsidRDefault="003C2A79" w:rsidP="002C5D82">
            <w:pPr>
              <w:suppressAutoHyphens w:val="0"/>
              <w:jc w:val="center"/>
              <w:rPr>
                <w:rFonts w:ascii="Arial" w:hAnsi="Arial" w:cs="Arial"/>
                <w:sz w:val="20"/>
                <w:szCs w:val="20"/>
                <w:lang w:eastAsia="sl-SI"/>
              </w:rPr>
            </w:pPr>
            <w:r w:rsidRPr="00AB7102">
              <w:rPr>
                <w:rFonts w:ascii="Arial" w:hAnsi="Arial" w:cs="Arial"/>
                <w:sz w:val="20"/>
                <w:szCs w:val="20"/>
                <w:lang w:eastAsia="sl-SI"/>
              </w:rPr>
              <w:t>višina prispevka</w:t>
            </w:r>
          </w:p>
        </w:tc>
        <w:tc>
          <w:tcPr>
            <w:tcW w:w="1073" w:type="dxa"/>
            <w:tcBorders>
              <w:top w:val="single" w:sz="8" w:space="0" w:color="auto"/>
              <w:left w:val="nil"/>
              <w:bottom w:val="double" w:sz="4" w:space="0" w:color="auto"/>
              <w:right w:val="single" w:sz="4" w:space="0" w:color="auto"/>
            </w:tcBorders>
          </w:tcPr>
          <w:p w:rsidR="003C2A79" w:rsidRPr="00AB7102" w:rsidRDefault="00F80C9F" w:rsidP="00D81A81">
            <w:pPr>
              <w:suppressAutoHyphens w:val="0"/>
              <w:jc w:val="center"/>
              <w:rPr>
                <w:rFonts w:ascii="Arial" w:hAnsi="Arial" w:cs="Arial"/>
                <w:sz w:val="20"/>
                <w:szCs w:val="20"/>
                <w:lang w:eastAsia="sl-SI"/>
              </w:rPr>
            </w:pPr>
            <w:r w:rsidRPr="00AB7102">
              <w:rPr>
                <w:rFonts w:ascii="Arial" w:hAnsi="Arial" w:cs="Arial"/>
                <w:sz w:val="20"/>
                <w:szCs w:val="20"/>
                <w:lang w:eastAsia="sl-SI"/>
              </w:rPr>
              <w:t>enota</w:t>
            </w:r>
          </w:p>
        </w:tc>
      </w:tr>
      <w:tr w:rsidR="003C68A7" w:rsidRPr="00AB7102" w:rsidTr="00F80C9F">
        <w:trPr>
          <w:trHeight w:val="285"/>
          <w:jc w:val="center"/>
        </w:trPr>
        <w:tc>
          <w:tcPr>
            <w:tcW w:w="5169" w:type="dxa"/>
            <w:tcBorders>
              <w:top w:val="double" w:sz="4" w:space="0" w:color="auto"/>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 xml:space="preserve">električna energija </w:t>
            </w:r>
          </w:p>
        </w:tc>
        <w:tc>
          <w:tcPr>
            <w:tcW w:w="1861" w:type="dxa"/>
            <w:tcBorders>
              <w:top w:val="double" w:sz="4" w:space="0" w:color="auto"/>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0,080</w:t>
            </w:r>
          </w:p>
        </w:tc>
        <w:tc>
          <w:tcPr>
            <w:tcW w:w="1073" w:type="dxa"/>
            <w:tcBorders>
              <w:top w:val="double" w:sz="4" w:space="0" w:color="auto"/>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€c/kWh</w:t>
            </w:r>
          </w:p>
        </w:tc>
      </w:tr>
      <w:tr w:rsidR="003C68A7" w:rsidRPr="00AB7102" w:rsidTr="00F80C9F">
        <w:trPr>
          <w:trHeight w:val="285"/>
          <w:jc w:val="center"/>
        </w:trPr>
        <w:tc>
          <w:tcPr>
            <w:tcW w:w="5169" w:type="dxa"/>
            <w:tcBorders>
              <w:top w:val="nil"/>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 xml:space="preserve">zemeljski plin </w:t>
            </w:r>
          </w:p>
        </w:tc>
        <w:tc>
          <w:tcPr>
            <w:tcW w:w="1861" w:type="dxa"/>
            <w:tcBorders>
              <w:top w:val="nil"/>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0,757</w:t>
            </w:r>
          </w:p>
        </w:tc>
        <w:tc>
          <w:tcPr>
            <w:tcW w:w="1073" w:type="dxa"/>
            <w:tcBorders>
              <w:top w:val="nil"/>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€c/Sm</w:t>
            </w:r>
            <w:r w:rsidRPr="00AB7102">
              <w:rPr>
                <w:rFonts w:ascii="Arial" w:hAnsi="Arial" w:cs="Arial"/>
                <w:sz w:val="20"/>
                <w:szCs w:val="20"/>
                <w:vertAlign w:val="superscript"/>
                <w:lang w:eastAsia="sl-SI"/>
              </w:rPr>
              <w:t>3</w:t>
            </w:r>
          </w:p>
        </w:tc>
      </w:tr>
      <w:tr w:rsidR="003C68A7" w:rsidRPr="00AB7102" w:rsidTr="00F80C9F">
        <w:trPr>
          <w:trHeight w:val="285"/>
          <w:jc w:val="center"/>
        </w:trPr>
        <w:tc>
          <w:tcPr>
            <w:tcW w:w="5169" w:type="dxa"/>
            <w:tcBorders>
              <w:top w:val="nil"/>
              <w:left w:val="single" w:sz="4" w:space="0" w:color="auto"/>
              <w:bottom w:val="single" w:sz="4" w:space="0" w:color="auto"/>
              <w:right w:val="single" w:sz="4" w:space="0" w:color="auto"/>
            </w:tcBorders>
            <w:shd w:val="clear" w:color="auto" w:fill="auto"/>
            <w:noWrap/>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daljinska toplota</w:t>
            </w:r>
          </w:p>
        </w:tc>
        <w:tc>
          <w:tcPr>
            <w:tcW w:w="1861" w:type="dxa"/>
            <w:tcBorders>
              <w:top w:val="nil"/>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0,080</w:t>
            </w:r>
          </w:p>
        </w:tc>
        <w:tc>
          <w:tcPr>
            <w:tcW w:w="1073" w:type="dxa"/>
            <w:tcBorders>
              <w:top w:val="nil"/>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€c/kWh</w:t>
            </w:r>
          </w:p>
        </w:tc>
      </w:tr>
      <w:tr w:rsidR="003C68A7" w:rsidRPr="00AB7102" w:rsidTr="00F80C9F">
        <w:trPr>
          <w:trHeight w:val="285"/>
          <w:jc w:val="center"/>
        </w:trPr>
        <w:tc>
          <w:tcPr>
            <w:tcW w:w="5169" w:type="dxa"/>
            <w:tcBorders>
              <w:top w:val="nil"/>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 xml:space="preserve">UNP </w:t>
            </w:r>
          </w:p>
        </w:tc>
        <w:tc>
          <w:tcPr>
            <w:tcW w:w="1861" w:type="dxa"/>
            <w:tcBorders>
              <w:top w:val="nil"/>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1,023</w:t>
            </w:r>
          </w:p>
        </w:tc>
        <w:tc>
          <w:tcPr>
            <w:tcW w:w="1073" w:type="dxa"/>
            <w:tcBorders>
              <w:top w:val="nil"/>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€c/kg</w:t>
            </w:r>
          </w:p>
        </w:tc>
      </w:tr>
      <w:tr w:rsidR="003C68A7" w:rsidRPr="00AB7102" w:rsidTr="00F80C9F">
        <w:trPr>
          <w:trHeight w:val="285"/>
          <w:jc w:val="center"/>
        </w:trPr>
        <w:tc>
          <w:tcPr>
            <w:tcW w:w="5169" w:type="dxa"/>
            <w:tcBorders>
              <w:top w:val="nil"/>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 xml:space="preserve">motorni bencin </w:t>
            </w:r>
          </w:p>
        </w:tc>
        <w:tc>
          <w:tcPr>
            <w:tcW w:w="1861" w:type="dxa"/>
            <w:tcBorders>
              <w:top w:val="nil"/>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0,736</w:t>
            </w:r>
          </w:p>
        </w:tc>
        <w:tc>
          <w:tcPr>
            <w:tcW w:w="1073" w:type="dxa"/>
            <w:tcBorders>
              <w:top w:val="nil"/>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€c/l</w:t>
            </w:r>
          </w:p>
        </w:tc>
      </w:tr>
      <w:tr w:rsidR="003C68A7" w:rsidRPr="00AB7102" w:rsidTr="00F80C9F">
        <w:trPr>
          <w:trHeight w:val="285"/>
          <w:jc w:val="center"/>
        </w:trPr>
        <w:tc>
          <w:tcPr>
            <w:tcW w:w="5169" w:type="dxa"/>
            <w:tcBorders>
              <w:top w:val="nil"/>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 xml:space="preserve">dizelsko gorivo </w:t>
            </w:r>
          </w:p>
        </w:tc>
        <w:tc>
          <w:tcPr>
            <w:tcW w:w="1861" w:type="dxa"/>
            <w:tcBorders>
              <w:top w:val="nil"/>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0,800</w:t>
            </w:r>
          </w:p>
        </w:tc>
        <w:tc>
          <w:tcPr>
            <w:tcW w:w="1073" w:type="dxa"/>
            <w:tcBorders>
              <w:top w:val="nil"/>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€c/l</w:t>
            </w:r>
          </w:p>
        </w:tc>
      </w:tr>
      <w:tr w:rsidR="003C68A7" w:rsidRPr="00AB7102" w:rsidTr="007D220E">
        <w:trPr>
          <w:trHeight w:val="285"/>
          <w:jc w:val="center"/>
        </w:trPr>
        <w:tc>
          <w:tcPr>
            <w:tcW w:w="5169" w:type="dxa"/>
            <w:tcBorders>
              <w:top w:val="nil"/>
              <w:left w:val="single" w:sz="4" w:space="0" w:color="auto"/>
              <w:bottom w:val="single" w:sz="4" w:space="0" w:color="auto"/>
              <w:right w:val="single" w:sz="4" w:space="0" w:color="auto"/>
            </w:tcBorders>
            <w:shd w:val="clear" w:color="auto" w:fill="auto"/>
            <w:noWrap/>
            <w:vAlign w:val="bottom"/>
          </w:tcPr>
          <w:p w:rsidR="003C68A7" w:rsidRPr="00AB7102" w:rsidRDefault="003C68A7" w:rsidP="0006204A">
            <w:pPr>
              <w:suppressAutoHyphens w:val="0"/>
              <w:rPr>
                <w:rFonts w:ascii="Arial" w:hAnsi="Arial" w:cs="Arial"/>
                <w:sz w:val="20"/>
                <w:szCs w:val="20"/>
                <w:lang w:eastAsia="sl-SI"/>
              </w:rPr>
            </w:pPr>
            <w:r w:rsidRPr="00AB7102">
              <w:rPr>
                <w:rFonts w:ascii="Arial" w:hAnsi="Arial" w:cs="Arial"/>
                <w:sz w:val="20"/>
                <w:szCs w:val="20"/>
                <w:lang w:eastAsia="sl-SI"/>
              </w:rPr>
              <w:t xml:space="preserve">ekstra lahko kurilno olje </w:t>
            </w:r>
          </w:p>
        </w:tc>
        <w:tc>
          <w:tcPr>
            <w:tcW w:w="1861" w:type="dxa"/>
            <w:tcBorders>
              <w:top w:val="nil"/>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0,800</w:t>
            </w:r>
          </w:p>
        </w:tc>
        <w:tc>
          <w:tcPr>
            <w:tcW w:w="1073" w:type="dxa"/>
            <w:tcBorders>
              <w:top w:val="nil"/>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€c/l</w:t>
            </w:r>
          </w:p>
        </w:tc>
      </w:tr>
      <w:tr w:rsidR="003C68A7" w:rsidRPr="00AB7102" w:rsidTr="007D220E">
        <w:trPr>
          <w:trHeight w:val="300"/>
          <w:jc w:val="center"/>
        </w:trPr>
        <w:tc>
          <w:tcPr>
            <w:tcW w:w="5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 xml:space="preserve">kurilno olje </w:t>
            </w:r>
          </w:p>
        </w:tc>
        <w:tc>
          <w:tcPr>
            <w:tcW w:w="1861" w:type="dxa"/>
            <w:tcBorders>
              <w:top w:val="single" w:sz="4" w:space="0" w:color="auto"/>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0,882</w:t>
            </w:r>
          </w:p>
        </w:tc>
        <w:tc>
          <w:tcPr>
            <w:tcW w:w="1073" w:type="dxa"/>
            <w:tcBorders>
              <w:top w:val="single" w:sz="4" w:space="0" w:color="auto"/>
              <w:left w:val="nil"/>
              <w:bottom w:val="single" w:sz="4" w:space="0" w:color="auto"/>
              <w:right w:val="single" w:sz="4" w:space="0" w:color="auto"/>
            </w:tcBorders>
            <w:vAlign w:val="bottom"/>
          </w:tcPr>
          <w:p w:rsidR="003C68A7" w:rsidRPr="00AB7102" w:rsidRDefault="003C68A7" w:rsidP="00D81A81">
            <w:pPr>
              <w:suppressAutoHyphens w:val="0"/>
              <w:rPr>
                <w:rFonts w:ascii="Arial" w:hAnsi="Arial" w:cs="Arial"/>
                <w:sz w:val="20"/>
                <w:szCs w:val="20"/>
                <w:lang w:eastAsia="sl-SI"/>
              </w:rPr>
            </w:pPr>
            <w:r w:rsidRPr="00AB7102">
              <w:rPr>
                <w:rFonts w:ascii="Arial" w:hAnsi="Arial" w:cs="Arial"/>
                <w:sz w:val="20"/>
                <w:szCs w:val="20"/>
                <w:lang w:eastAsia="sl-SI"/>
              </w:rPr>
              <w:t>€c/kg</w:t>
            </w:r>
          </w:p>
        </w:tc>
      </w:tr>
      <w:tr w:rsidR="003C68A7" w:rsidRPr="00AB7102" w:rsidTr="007D220E">
        <w:trPr>
          <w:trHeight w:val="300"/>
          <w:jc w:val="center"/>
        </w:trPr>
        <w:tc>
          <w:tcPr>
            <w:tcW w:w="5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8A7" w:rsidRPr="00AB7102" w:rsidRDefault="003C68A7" w:rsidP="00831528">
            <w:pPr>
              <w:suppressAutoHyphens w:val="0"/>
              <w:rPr>
                <w:rFonts w:ascii="Arial" w:hAnsi="Arial" w:cs="Arial"/>
                <w:sz w:val="20"/>
                <w:szCs w:val="20"/>
                <w:lang w:eastAsia="sl-SI"/>
              </w:rPr>
            </w:pPr>
            <w:r w:rsidRPr="00AB7102">
              <w:rPr>
                <w:rFonts w:ascii="Arial" w:hAnsi="Arial" w:cs="Arial"/>
                <w:sz w:val="20"/>
                <w:szCs w:val="20"/>
                <w:lang w:eastAsia="sl-SI"/>
              </w:rPr>
              <w:t>lesna biomasa</w:t>
            </w:r>
          </w:p>
        </w:tc>
        <w:tc>
          <w:tcPr>
            <w:tcW w:w="1861" w:type="dxa"/>
            <w:tcBorders>
              <w:top w:val="single" w:sz="4" w:space="0" w:color="auto"/>
              <w:left w:val="nil"/>
              <w:bottom w:val="single" w:sz="4" w:space="0" w:color="auto"/>
              <w:right w:val="single" w:sz="4" w:space="0" w:color="auto"/>
            </w:tcBorders>
            <w:shd w:val="clear" w:color="auto" w:fill="auto"/>
            <w:noWrap/>
            <w:vAlign w:val="bottom"/>
          </w:tcPr>
          <w:p w:rsidR="003C68A7" w:rsidRPr="00AB7102" w:rsidRDefault="003C68A7">
            <w:pPr>
              <w:jc w:val="center"/>
              <w:rPr>
                <w:rFonts w:ascii="Arial" w:hAnsi="Arial" w:cs="Arial"/>
                <w:bCs/>
                <w:color w:val="000000"/>
                <w:sz w:val="20"/>
                <w:szCs w:val="20"/>
              </w:rPr>
            </w:pPr>
            <w:r w:rsidRPr="00AB7102">
              <w:rPr>
                <w:rFonts w:ascii="Arial" w:hAnsi="Arial" w:cs="Arial"/>
                <w:bCs/>
                <w:color w:val="000000"/>
                <w:sz w:val="20"/>
                <w:szCs w:val="20"/>
              </w:rPr>
              <w:t>0,080</w:t>
            </w:r>
          </w:p>
        </w:tc>
        <w:tc>
          <w:tcPr>
            <w:tcW w:w="1073" w:type="dxa"/>
            <w:tcBorders>
              <w:top w:val="single" w:sz="4" w:space="0" w:color="auto"/>
              <w:left w:val="nil"/>
              <w:bottom w:val="single" w:sz="4" w:space="0" w:color="auto"/>
              <w:right w:val="single" w:sz="4" w:space="0" w:color="auto"/>
            </w:tcBorders>
            <w:vAlign w:val="bottom"/>
          </w:tcPr>
          <w:p w:rsidR="003C68A7" w:rsidRPr="00AB7102" w:rsidRDefault="003C68A7" w:rsidP="00622F9C">
            <w:pPr>
              <w:suppressAutoHyphens w:val="0"/>
              <w:rPr>
                <w:rFonts w:ascii="Arial" w:hAnsi="Arial" w:cs="Arial"/>
                <w:sz w:val="20"/>
                <w:szCs w:val="20"/>
                <w:lang w:eastAsia="sl-SI"/>
              </w:rPr>
            </w:pPr>
            <w:r w:rsidRPr="00AB7102">
              <w:rPr>
                <w:rFonts w:ascii="Arial" w:hAnsi="Arial" w:cs="Arial"/>
                <w:sz w:val="20"/>
                <w:szCs w:val="20"/>
                <w:lang w:eastAsia="sl-SI"/>
              </w:rPr>
              <w:t>€c/kWh</w:t>
            </w:r>
          </w:p>
        </w:tc>
      </w:tr>
      <w:tr w:rsidR="00F80C9F" w:rsidRPr="00AB7102" w:rsidTr="007D220E">
        <w:trPr>
          <w:trHeight w:val="300"/>
          <w:jc w:val="center"/>
        </w:trPr>
        <w:tc>
          <w:tcPr>
            <w:tcW w:w="5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0C9F" w:rsidRPr="00AB7102" w:rsidRDefault="00F80C9F" w:rsidP="00831528">
            <w:pPr>
              <w:suppressAutoHyphens w:val="0"/>
              <w:rPr>
                <w:rFonts w:ascii="Arial" w:hAnsi="Arial" w:cs="Arial"/>
                <w:sz w:val="20"/>
                <w:szCs w:val="20"/>
                <w:lang w:eastAsia="sl-SI"/>
              </w:rPr>
            </w:pPr>
            <w:r w:rsidRPr="00AB7102">
              <w:rPr>
                <w:rFonts w:ascii="Arial" w:hAnsi="Arial" w:cs="Arial"/>
                <w:sz w:val="20"/>
                <w:szCs w:val="20"/>
                <w:lang w:eastAsia="sl-SI"/>
              </w:rPr>
              <w:t>premog in koks</w:t>
            </w:r>
          </w:p>
        </w:tc>
        <w:tc>
          <w:tcPr>
            <w:tcW w:w="1861" w:type="dxa"/>
            <w:tcBorders>
              <w:top w:val="single" w:sz="4" w:space="0" w:color="auto"/>
              <w:left w:val="nil"/>
              <w:bottom w:val="single" w:sz="4" w:space="0" w:color="auto"/>
              <w:right w:val="single" w:sz="4" w:space="0" w:color="auto"/>
            </w:tcBorders>
            <w:shd w:val="clear" w:color="auto" w:fill="auto"/>
            <w:noWrap/>
            <w:vAlign w:val="bottom"/>
          </w:tcPr>
          <w:p w:rsidR="00F80C9F" w:rsidRPr="00AB7102" w:rsidRDefault="003C68A7" w:rsidP="003C68A7">
            <w:pPr>
              <w:suppressAutoHyphens w:val="0"/>
              <w:jc w:val="center"/>
              <w:rPr>
                <w:rFonts w:ascii="Arial" w:hAnsi="Arial" w:cs="Arial"/>
                <w:sz w:val="20"/>
                <w:szCs w:val="20"/>
                <w:lang w:eastAsia="sl-SI"/>
              </w:rPr>
            </w:pPr>
            <w:r w:rsidRPr="00AB7102">
              <w:rPr>
                <w:rFonts w:ascii="Arial" w:hAnsi="Arial" w:cs="Arial"/>
                <w:bCs/>
                <w:color w:val="000000"/>
                <w:sz w:val="20"/>
                <w:szCs w:val="20"/>
              </w:rPr>
              <w:t>0,080</w:t>
            </w:r>
          </w:p>
        </w:tc>
        <w:tc>
          <w:tcPr>
            <w:tcW w:w="1073" w:type="dxa"/>
            <w:tcBorders>
              <w:top w:val="single" w:sz="4" w:space="0" w:color="auto"/>
              <w:left w:val="nil"/>
              <w:bottom w:val="single" w:sz="4" w:space="0" w:color="auto"/>
              <w:right w:val="single" w:sz="4" w:space="0" w:color="auto"/>
            </w:tcBorders>
            <w:vAlign w:val="bottom"/>
          </w:tcPr>
          <w:p w:rsidR="00F80C9F" w:rsidRPr="00AB7102" w:rsidRDefault="00F80C9F" w:rsidP="00622F9C">
            <w:pPr>
              <w:suppressAutoHyphens w:val="0"/>
              <w:rPr>
                <w:rFonts w:ascii="Arial" w:hAnsi="Arial" w:cs="Arial"/>
                <w:sz w:val="20"/>
                <w:szCs w:val="20"/>
                <w:lang w:eastAsia="sl-SI"/>
              </w:rPr>
            </w:pPr>
            <w:r w:rsidRPr="00AB7102">
              <w:rPr>
                <w:rFonts w:ascii="Arial" w:hAnsi="Arial" w:cs="Arial"/>
                <w:sz w:val="20"/>
                <w:szCs w:val="20"/>
                <w:lang w:eastAsia="sl-SI"/>
              </w:rPr>
              <w:t>€c/kWh</w:t>
            </w:r>
          </w:p>
        </w:tc>
      </w:tr>
    </w:tbl>
    <w:p w:rsidR="00831528" w:rsidRPr="002B6BCF" w:rsidRDefault="00831528" w:rsidP="00831528">
      <w:pPr>
        <w:suppressAutoHyphens w:val="0"/>
        <w:rPr>
          <w:rFonts w:ascii="Arial" w:hAnsi="Arial" w:cs="Arial"/>
          <w:sz w:val="22"/>
          <w:szCs w:val="22"/>
          <w:lang w:eastAsia="sl-SI"/>
        </w:rPr>
      </w:pPr>
    </w:p>
    <w:p w:rsidR="002C5D82" w:rsidRDefault="002C5D82" w:rsidP="002B6BCF">
      <w:pPr>
        <w:suppressAutoHyphens w:val="0"/>
        <w:jc w:val="both"/>
        <w:rPr>
          <w:rFonts w:ascii="Arial" w:hAnsi="Arial" w:cs="Arial"/>
          <w:sz w:val="22"/>
          <w:szCs w:val="22"/>
          <w:lang w:eastAsia="en-US"/>
        </w:rPr>
      </w:pPr>
    </w:p>
    <w:p w:rsidR="00F80C9F" w:rsidRPr="002B6BCF" w:rsidRDefault="00F80C9F" w:rsidP="00F80C9F">
      <w:pPr>
        <w:suppressAutoHyphens w:val="0"/>
        <w:jc w:val="center"/>
        <w:rPr>
          <w:rFonts w:ascii="Arial" w:hAnsi="Arial" w:cs="Arial"/>
          <w:sz w:val="22"/>
          <w:szCs w:val="22"/>
          <w:lang w:eastAsia="en-US"/>
        </w:rPr>
      </w:pPr>
      <w:r>
        <w:rPr>
          <w:rFonts w:ascii="Arial" w:hAnsi="Arial" w:cs="Arial"/>
          <w:sz w:val="22"/>
          <w:szCs w:val="22"/>
          <w:lang w:eastAsia="en-US"/>
        </w:rPr>
        <w:t>1</w:t>
      </w:r>
      <w:r w:rsidR="007234B4">
        <w:rPr>
          <w:rFonts w:ascii="Arial" w:hAnsi="Arial" w:cs="Arial"/>
          <w:sz w:val="22"/>
          <w:szCs w:val="22"/>
          <w:lang w:eastAsia="en-US"/>
        </w:rPr>
        <w:t>1</w:t>
      </w:r>
      <w:r w:rsidRPr="002B6BCF">
        <w:rPr>
          <w:rFonts w:ascii="Arial" w:hAnsi="Arial" w:cs="Arial"/>
          <w:sz w:val="22"/>
          <w:szCs w:val="22"/>
          <w:lang w:eastAsia="en-US"/>
        </w:rPr>
        <w:t>. člen</w:t>
      </w:r>
    </w:p>
    <w:p w:rsidR="00F80C9F" w:rsidRPr="002B6BCF" w:rsidRDefault="00F80C9F" w:rsidP="00F80C9F">
      <w:pPr>
        <w:suppressAutoHyphens w:val="0"/>
        <w:jc w:val="center"/>
        <w:rPr>
          <w:rFonts w:ascii="Arial" w:hAnsi="Arial" w:cs="Arial"/>
          <w:sz w:val="22"/>
          <w:szCs w:val="22"/>
          <w:lang w:eastAsia="en-US"/>
        </w:rPr>
      </w:pPr>
      <w:r w:rsidRPr="002B6BCF">
        <w:rPr>
          <w:rFonts w:ascii="Arial" w:hAnsi="Arial" w:cs="Arial"/>
          <w:sz w:val="22"/>
          <w:szCs w:val="22"/>
          <w:lang w:eastAsia="en-US"/>
        </w:rPr>
        <w:t>(</w:t>
      </w:r>
      <w:r w:rsidR="007234B4">
        <w:rPr>
          <w:rFonts w:ascii="Arial" w:hAnsi="Arial" w:cs="Arial"/>
          <w:sz w:val="22"/>
          <w:szCs w:val="22"/>
          <w:lang w:eastAsia="en-US"/>
        </w:rPr>
        <w:t xml:space="preserve">sredstva za izvajanje </w:t>
      </w:r>
      <w:r w:rsidRPr="002B6BCF">
        <w:rPr>
          <w:rFonts w:ascii="Arial" w:hAnsi="Arial" w:cs="Arial"/>
          <w:sz w:val="22"/>
          <w:szCs w:val="22"/>
          <w:lang w:eastAsia="en-US"/>
        </w:rPr>
        <w:t>program</w:t>
      </w:r>
      <w:r w:rsidR="007234B4">
        <w:rPr>
          <w:rFonts w:ascii="Arial" w:hAnsi="Arial" w:cs="Arial"/>
          <w:sz w:val="22"/>
          <w:szCs w:val="22"/>
          <w:lang w:eastAsia="en-US"/>
        </w:rPr>
        <w:t>a</w:t>
      </w:r>
      <w:r w:rsidRPr="002B6BCF">
        <w:rPr>
          <w:rFonts w:ascii="Arial" w:hAnsi="Arial" w:cs="Arial"/>
          <w:sz w:val="22"/>
          <w:szCs w:val="22"/>
          <w:lang w:eastAsia="en-US"/>
        </w:rPr>
        <w:t xml:space="preserve"> Eko sklada)</w:t>
      </w:r>
    </w:p>
    <w:p w:rsidR="00F80C9F" w:rsidRDefault="00F80C9F" w:rsidP="00F80C9F">
      <w:pPr>
        <w:suppressAutoHyphens w:val="0"/>
        <w:jc w:val="both"/>
        <w:rPr>
          <w:rFonts w:ascii="Arial" w:hAnsi="Arial" w:cs="Arial"/>
          <w:sz w:val="22"/>
          <w:szCs w:val="22"/>
          <w:lang w:eastAsia="en-US"/>
        </w:rPr>
      </w:pPr>
    </w:p>
    <w:p w:rsidR="00F80C9F" w:rsidRDefault="00F80C9F" w:rsidP="00F80C9F">
      <w:pPr>
        <w:suppressAutoHyphens w:val="0"/>
        <w:jc w:val="both"/>
        <w:rPr>
          <w:rFonts w:ascii="Arial" w:hAnsi="Arial" w:cs="Arial"/>
          <w:sz w:val="22"/>
          <w:szCs w:val="22"/>
          <w:lang w:eastAsia="en-US"/>
        </w:rPr>
      </w:pPr>
      <w:r w:rsidRPr="002B6BCF">
        <w:rPr>
          <w:rFonts w:ascii="Arial" w:hAnsi="Arial" w:cs="Arial"/>
          <w:sz w:val="22"/>
          <w:szCs w:val="22"/>
          <w:lang w:eastAsia="en-US"/>
        </w:rPr>
        <w:t>(</w:t>
      </w:r>
      <w:r>
        <w:rPr>
          <w:rFonts w:ascii="Arial" w:hAnsi="Arial" w:cs="Arial"/>
          <w:sz w:val="22"/>
          <w:szCs w:val="22"/>
          <w:lang w:eastAsia="en-US"/>
        </w:rPr>
        <w:t>1</w:t>
      </w:r>
      <w:r w:rsidRPr="002B6BCF">
        <w:rPr>
          <w:rFonts w:ascii="Arial" w:hAnsi="Arial" w:cs="Arial"/>
          <w:sz w:val="22"/>
          <w:szCs w:val="22"/>
          <w:lang w:eastAsia="en-US"/>
        </w:rPr>
        <w:t xml:space="preserve">) </w:t>
      </w:r>
      <w:r>
        <w:rPr>
          <w:rFonts w:ascii="Arial" w:hAnsi="Arial" w:cs="Arial"/>
          <w:sz w:val="22"/>
          <w:szCs w:val="22"/>
          <w:lang w:eastAsia="en-US"/>
        </w:rPr>
        <w:t>Operaterji in d</w:t>
      </w:r>
      <w:r w:rsidRPr="002B6BCF">
        <w:rPr>
          <w:rFonts w:ascii="Arial" w:hAnsi="Arial" w:cs="Arial"/>
          <w:sz w:val="22"/>
          <w:szCs w:val="22"/>
          <w:lang w:eastAsia="en-US"/>
        </w:rPr>
        <w:t>obavitelji</w:t>
      </w:r>
      <w:r>
        <w:rPr>
          <w:rFonts w:ascii="Arial" w:hAnsi="Arial" w:cs="Arial"/>
          <w:sz w:val="22"/>
          <w:szCs w:val="22"/>
          <w:lang w:eastAsia="en-US"/>
        </w:rPr>
        <w:t xml:space="preserve"> </w:t>
      </w:r>
      <w:r w:rsidRPr="002B6BCF">
        <w:rPr>
          <w:rFonts w:ascii="Arial" w:hAnsi="Arial" w:cs="Arial"/>
          <w:sz w:val="22"/>
          <w:szCs w:val="22"/>
          <w:lang w:eastAsia="en-US"/>
        </w:rPr>
        <w:t xml:space="preserve">zaračunavajo prispevek končnim odjemalcem na računih za električno energijo, toploto iz distribucijskega omrežja, </w:t>
      </w:r>
      <w:r>
        <w:rPr>
          <w:rFonts w:ascii="Arial" w:hAnsi="Arial" w:cs="Arial"/>
          <w:sz w:val="22"/>
          <w:szCs w:val="22"/>
          <w:lang w:eastAsia="en-US"/>
        </w:rPr>
        <w:t xml:space="preserve">zemeljski </w:t>
      </w:r>
      <w:r w:rsidRPr="002B6BCF">
        <w:rPr>
          <w:rFonts w:ascii="Arial" w:hAnsi="Arial" w:cs="Arial"/>
          <w:sz w:val="22"/>
          <w:szCs w:val="22"/>
          <w:lang w:eastAsia="en-US"/>
        </w:rPr>
        <w:t xml:space="preserve">plin </w:t>
      </w:r>
      <w:r>
        <w:rPr>
          <w:rFonts w:ascii="Arial" w:hAnsi="Arial" w:cs="Arial"/>
          <w:sz w:val="22"/>
          <w:szCs w:val="22"/>
          <w:lang w:eastAsia="en-US"/>
        </w:rPr>
        <w:t xml:space="preserve">ter druga plinasta, </w:t>
      </w:r>
      <w:r w:rsidRPr="002B6BCF">
        <w:rPr>
          <w:rFonts w:ascii="Arial" w:hAnsi="Arial" w:cs="Arial"/>
          <w:sz w:val="22"/>
          <w:szCs w:val="22"/>
          <w:lang w:eastAsia="en-US"/>
        </w:rPr>
        <w:t xml:space="preserve">tekoča </w:t>
      </w:r>
      <w:r>
        <w:rPr>
          <w:rFonts w:ascii="Arial" w:hAnsi="Arial" w:cs="Arial"/>
          <w:sz w:val="22"/>
          <w:szCs w:val="22"/>
          <w:lang w:eastAsia="en-US"/>
        </w:rPr>
        <w:t xml:space="preserve">in trdna </w:t>
      </w:r>
      <w:r w:rsidRPr="002B6BCF">
        <w:rPr>
          <w:rFonts w:ascii="Arial" w:hAnsi="Arial" w:cs="Arial"/>
          <w:sz w:val="22"/>
          <w:szCs w:val="22"/>
          <w:lang w:eastAsia="en-US"/>
        </w:rPr>
        <w:t>goriva.</w:t>
      </w:r>
    </w:p>
    <w:p w:rsidR="00F80C9F" w:rsidRPr="002B6BCF" w:rsidRDefault="00F80C9F" w:rsidP="00F80C9F">
      <w:pPr>
        <w:suppressAutoHyphens w:val="0"/>
        <w:jc w:val="both"/>
        <w:rPr>
          <w:rFonts w:ascii="Arial" w:hAnsi="Arial" w:cs="Arial"/>
          <w:sz w:val="22"/>
          <w:szCs w:val="22"/>
          <w:lang w:eastAsia="en-US"/>
        </w:rPr>
      </w:pPr>
    </w:p>
    <w:p w:rsidR="00F80C9F" w:rsidRDefault="00F80C9F" w:rsidP="00F80C9F">
      <w:pPr>
        <w:suppressAutoHyphens w:val="0"/>
        <w:jc w:val="both"/>
        <w:rPr>
          <w:rFonts w:ascii="Arial" w:hAnsi="Arial" w:cs="Arial"/>
          <w:sz w:val="22"/>
          <w:szCs w:val="22"/>
          <w:lang w:eastAsia="en-US"/>
        </w:rPr>
      </w:pPr>
      <w:r>
        <w:rPr>
          <w:rFonts w:ascii="Arial" w:hAnsi="Arial" w:cs="Arial"/>
          <w:sz w:val="22"/>
          <w:szCs w:val="22"/>
          <w:lang w:eastAsia="en-US"/>
        </w:rPr>
        <w:lastRenderedPageBreak/>
        <w:t>(</w:t>
      </w:r>
      <w:r w:rsidR="007234B4">
        <w:rPr>
          <w:rFonts w:ascii="Arial" w:hAnsi="Arial" w:cs="Arial"/>
          <w:sz w:val="22"/>
          <w:szCs w:val="22"/>
          <w:lang w:eastAsia="en-US"/>
        </w:rPr>
        <w:t>2</w:t>
      </w:r>
      <w:r>
        <w:rPr>
          <w:rFonts w:ascii="Arial" w:hAnsi="Arial" w:cs="Arial"/>
          <w:sz w:val="22"/>
          <w:szCs w:val="22"/>
          <w:lang w:eastAsia="en-US"/>
        </w:rPr>
        <w:t>) Operaterji in dobavitelji morajo na podlagi obračunov končnim odjemalcem mesečno poročati o obračunanih količinah</w:t>
      </w:r>
      <w:r w:rsidR="00FC445B">
        <w:rPr>
          <w:rFonts w:ascii="Arial" w:hAnsi="Arial" w:cs="Arial"/>
          <w:sz w:val="22"/>
          <w:szCs w:val="22"/>
          <w:lang w:eastAsia="en-US"/>
        </w:rPr>
        <w:t xml:space="preserve"> in</w:t>
      </w:r>
      <w:r>
        <w:rPr>
          <w:rFonts w:ascii="Arial" w:hAnsi="Arial" w:cs="Arial"/>
          <w:sz w:val="22"/>
          <w:szCs w:val="22"/>
          <w:lang w:eastAsia="en-US"/>
        </w:rPr>
        <w:t xml:space="preserve"> zbranih sredstvih </w:t>
      </w:r>
      <w:r w:rsidR="00FC445B">
        <w:rPr>
          <w:rFonts w:ascii="Arial" w:hAnsi="Arial" w:cs="Arial"/>
          <w:sz w:val="22"/>
          <w:szCs w:val="22"/>
          <w:lang w:eastAsia="en-US"/>
        </w:rPr>
        <w:t>ter</w:t>
      </w:r>
      <w:r>
        <w:rPr>
          <w:rFonts w:ascii="Arial" w:hAnsi="Arial" w:cs="Arial"/>
          <w:sz w:val="22"/>
          <w:szCs w:val="22"/>
          <w:lang w:eastAsia="en-US"/>
        </w:rPr>
        <w:t xml:space="preserve"> jih mesečno nakazovati Eko skladu.</w:t>
      </w:r>
    </w:p>
    <w:p w:rsidR="00F80C9F" w:rsidRDefault="00F80C9F" w:rsidP="00F80C9F">
      <w:pPr>
        <w:suppressAutoHyphens w:val="0"/>
        <w:jc w:val="both"/>
        <w:rPr>
          <w:rFonts w:ascii="Arial" w:hAnsi="Arial" w:cs="Arial"/>
          <w:sz w:val="22"/>
          <w:szCs w:val="22"/>
          <w:lang w:eastAsia="en-US"/>
        </w:rPr>
      </w:pPr>
    </w:p>
    <w:p w:rsidR="00F80C9F" w:rsidRPr="002B6BCF" w:rsidRDefault="00F80C9F" w:rsidP="00F80C9F">
      <w:pPr>
        <w:suppressAutoHyphens w:val="0"/>
        <w:jc w:val="both"/>
        <w:rPr>
          <w:rFonts w:ascii="Arial" w:hAnsi="Arial" w:cs="Arial"/>
          <w:sz w:val="22"/>
          <w:szCs w:val="22"/>
          <w:lang w:eastAsia="en-US"/>
        </w:rPr>
      </w:pPr>
      <w:r>
        <w:rPr>
          <w:rFonts w:ascii="Arial" w:hAnsi="Arial" w:cs="Arial"/>
          <w:sz w:val="22"/>
          <w:szCs w:val="22"/>
          <w:lang w:eastAsia="en-US"/>
        </w:rPr>
        <w:t>(</w:t>
      </w:r>
      <w:r w:rsidR="007234B4">
        <w:rPr>
          <w:rFonts w:ascii="Arial" w:hAnsi="Arial" w:cs="Arial"/>
          <w:sz w:val="22"/>
          <w:szCs w:val="22"/>
          <w:lang w:eastAsia="en-US"/>
        </w:rPr>
        <w:t>3</w:t>
      </w:r>
      <w:r>
        <w:rPr>
          <w:rFonts w:ascii="Arial" w:hAnsi="Arial" w:cs="Arial"/>
          <w:sz w:val="22"/>
          <w:szCs w:val="22"/>
          <w:lang w:eastAsia="en-US"/>
        </w:rPr>
        <w:t xml:space="preserve">) </w:t>
      </w:r>
      <w:r w:rsidRPr="00CC5F06">
        <w:rPr>
          <w:rFonts w:ascii="Arial" w:hAnsi="Arial" w:cs="Arial"/>
          <w:sz w:val="22"/>
          <w:szCs w:val="22"/>
          <w:lang w:eastAsia="en-US"/>
        </w:rPr>
        <w:t>Eko sklad zbrana sredstva do izplačila prikazuje na kratkoročno odloženih prihodkih.</w:t>
      </w:r>
    </w:p>
    <w:p w:rsidR="00F80C9F" w:rsidRPr="002B6BCF" w:rsidRDefault="00F80C9F" w:rsidP="00F80C9F">
      <w:pPr>
        <w:suppressAutoHyphens w:val="0"/>
        <w:jc w:val="both"/>
        <w:rPr>
          <w:rFonts w:ascii="Arial" w:hAnsi="Arial" w:cs="Arial"/>
          <w:sz w:val="22"/>
          <w:szCs w:val="22"/>
          <w:lang w:eastAsia="en-US"/>
        </w:rPr>
      </w:pPr>
    </w:p>
    <w:p w:rsidR="00F80C9F" w:rsidRDefault="00F80C9F" w:rsidP="00F80C9F">
      <w:pPr>
        <w:suppressAutoHyphens w:val="0"/>
        <w:jc w:val="both"/>
        <w:rPr>
          <w:rFonts w:ascii="Arial" w:hAnsi="Arial" w:cs="Arial"/>
          <w:sz w:val="22"/>
          <w:szCs w:val="22"/>
          <w:lang w:eastAsia="en-US"/>
        </w:rPr>
      </w:pPr>
      <w:r w:rsidRPr="002B6BCF">
        <w:rPr>
          <w:rFonts w:ascii="Arial" w:hAnsi="Arial" w:cs="Arial"/>
          <w:sz w:val="22"/>
          <w:szCs w:val="22"/>
          <w:lang w:eastAsia="en-US"/>
        </w:rPr>
        <w:t>(</w:t>
      </w:r>
      <w:r w:rsidR="007234B4">
        <w:rPr>
          <w:rFonts w:ascii="Arial" w:hAnsi="Arial" w:cs="Arial"/>
          <w:sz w:val="22"/>
          <w:szCs w:val="22"/>
          <w:lang w:eastAsia="en-US"/>
        </w:rPr>
        <w:t>4</w:t>
      </w:r>
      <w:r w:rsidRPr="002B6BCF">
        <w:rPr>
          <w:rFonts w:ascii="Arial" w:hAnsi="Arial" w:cs="Arial"/>
          <w:sz w:val="22"/>
          <w:szCs w:val="22"/>
          <w:lang w:eastAsia="en-US"/>
        </w:rPr>
        <w:t>) Podrobnejši postopek poročanja in nakazovanja sredstev za izvajanje program</w:t>
      </w:r>
      <w:r>
        <w:rPr>
          <w:rFonts w:ascii="Arial" w:hAnsi="Arial" w:cs="Arial"/>
          <w:sz w:val="22"/>
          <w:szCs w:val="22"/>
          <w:lang w:eastAsia="en-US"/>
        </w:rPr>
        <w:t>a</w:t>
      </w:r>
      <w:r w:rsidRPr="002B6BCF">
        <w:rPr>
          <w:rFonts w:ascii="Arial" w:hAnsi="Arial" w:cs="Arial"/>
          <w:sz w:val="22"/>
          <w:szCs w:val="22"/>
          <w:lang w:eastAsia="en-US"/>
        </w:rPr>
        <w:t xml:space="preserve"> </w:t>
      </w:r>
      <w:r>
        <w:rPr>
          <w:rFonts w:ascii="Arial" w:hAnsi="Arial" w:cs="Arial"/>
          <w:sz w:val="22"/>
          <w:szCs w:val="22"/>
          <w:lang w:eastAsia="en-US"/>
        </w:rPr>
        <w:t>za izboljšanje energetske učinkovitosti</w:t>
      </w:r>
      <w:r w:rsidRPr="002B6BCF">
        <w:rPr>
          <w:rFonts w:ascii="Arial" w:hAnsi="Arial" w:cs="Arial"/>
          <w:sz w:val="22"/>
          <w:szCs w:val="22"/>
          <w:lang w:eastAsia="en-US"/>
        </w:rPr>
        <w:t xml:space="preserve"> določi Eko sklad </w:t>
      </w:r>
      <w:r w:rsidR="00FC445B">
        <w:rPr>
          <w:rFonts w:ascii="Arial" w:hAnsi="Arial" w:cs="Arial"/>
          <w:sz w:val="22"/>
          <w:szCs w:val="22"/>
          <w:lang w:eastAsia="en-US"/>
        </w:rPr>
        <w:t>in</w:t>
      </w:r>
      <w:r w:rsidRPr="002B6BCF">
        <w:rPr>
          <w:rFonts w:ascii="Arial" w:hAnsi="Arial" w:cs="Arial"/>
          <w:sz w:val="22"/>
          <w:szCs w:val="22"/>
          <w:lang w:eastAsia="en-US"/>
        </w:rPr>
        <w:t xml:space="preserve"> ga objavi na svoji spletni strani.</w:t>
      </w:r>
    </w:p>
    <w:p w:rsidR="002C5D82" w:rsidRDefault="002C5D82" w:rsidP="002B6BCF">
      <w:pPr>
        <w:suppressAutoHyphens w:val="0"/>
        <w:jc w:val="both"/>
        <w:rPr>
          <w:rFonts w:ascii="Arial" w:hAnsi="Arial" w:cs="Arial"/>
          <w:sz w:val="22"/>
          <w:szCs w:val="22"/>
          <w:lang w:eastAsia="en-US"/>
        </w:rPr>
      </w:pPr>
    </w:p>
    <w:p w:rsidR="007234B4" w:rsidRPr="002B6BCF" w:rsidRDefault="007234B4" w:rsidP="002B6BCF">
      <w:pPr>
        <w:suppressAutoHyphens w:val="0"/>
        <w:jc w:val="both"/>
        <w:rPr>
          <w:rFonts w:ascii="Arial" w:hAnsi="Arial" w:cs="Arial"/>
          <w:sz w:val="22"/>
          <w:szCs w:val="22"/>
          <w:lang w:eastAsia="en-US"/>
        </w:rPr>
      </w:pPr>
    </w:p>
    <w:p w:rsidR="002B6BCF" w:rsidRPr="002B6BCF" w:rsidRDefault="00DD2B18" w:rsidP="002B6BCF">
      <w:pPr>
        <w:suppressAutoHyphens w:val="0"/>
        <w:jc w:val="center"/>
        <w:rPr>
          <w:rFonts w:ascii="Arial" w:hAnsi="Arial" w:cs="Arial"/>
          <w:b/>
          <w:sz w:val="22"/>
          <w:szCs w:val="22"/>
          <w:lang w:eastAsia="en-US"/>
        </w:rPr>
      </w:pPr>
      <w:r>
        <w:rPr>
          <w:rFonts w:ascii="Arial" w:hAnsi="Arial" w:cs="Arial"/>
          <w:b/>
          <w:sz w:val="22"/>
          <w:szCs w:val="22"/>
          <w:lang w:eastAsia="en-US"/>
        </w:rPr>
        <w:t>I</w:t>
      </w:r>
      <w:r w:rsidR="002B6BCF" w:rsidRPr="002B6BCF">
        <w:rPr>
          <w:rFonts w:ascii="Arial" w:hAnsi="Arial" w:cs="Arial"/>
          <w:b/>
          <w:sz w:val="22"/>
          <w:szCs w:val="22"/>
          <w:lang w:eastAsia="en-US"/>
        </w:rPr>
        <w:t>V. PREHODN</w:t>
      </w:r>
      <w:r w:rsidR="007D5D30">
        <w:rPr>
          <w:rFonts w:ascii="Arial" w:hAnsi="Arial" w:cs="Arial"/>
          <w:b/>
          <w:sz w:val="22"/>
          <w:szCs w:val="22"/>
          <w:lang w:eastAsia="en-US"/>
        </w:rPr>
        <w:t>E</w:t>
      </w:r>
      <w:r w:rsidR="002B6BCF" w:rsidRPr="002B6BCF">
        <w:rPr>
          <w:rFonts w:ascii="Arial" w:hAnsi="Arial" w:cs="Arial"/>
          <w:b/>
          <w:sz w:val="22"/>
          <w:szCs w:val="22"/>
          <w:lang w:eastAsia="en-US"/>
        </w:rPr>
        <w:t xml:space="preserve"> IN KONČN</w:t>
      </w:r>
      <w:r w:rsidR="007D5D30">
        <w:rPr>
          <w:rFonts w:ascii="Arial" w:hAnsi="Arial" w:cs="Arial"/>
          <w:b/>
          <w:sz w:val="22"/>
          <w:szCs w:val="22"/>
          <w:lang w:eastAsia="en-US"/>
        </w:rPr>
        <w:t>E</w:t>
      </w:r>
      <w:r w:rsidR="002B6BCF" w:rsidRPr="002B6BCF">
        <w:rPr>
          <w:rFonts w:ascii="Arial" w:hAnsi="Arial" w:cs="Arial"/>
          <w:b/>
          <w:sz w:val="22"/>
          <w:szCs w:val="22"/>
          <w:lang w:eastAsia="en-US"/>
        </w:rPr>
        <w:t xml:space="preserve"> DOLOČB</w:t>
      </w:r>
      <w:r w:rsidR="005D5506">
        <w:rPr>
          <w:rFonts w:ascii="Arial" w:hAnsi="Arial" w:cs="Arial"/>
          <w:b/>
          <w:sz w:val="22"/>
          <w:szCs w:val="22"/>
          <w:lang w:eastAsia="en-US"/>
        </w:rPr>
        <w:t>E</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1</w:t>
      </w:r>
      <w:r w:rsidR="007234B4">
        <w:rPr>
          <w:rFonts w:ascii="Arial" w:hAnsi="Arial" w:cs="Arial"/>
          <w:sz w:val="22"/>
          <w:szCs w:val="22"/>
          <w:lang w:eastAsia="en-US"/>
        </w:rPr>
        <w:t>2</w:t>
      </w:r>
      <w:r w:rsidRPr="002B6BCF">
        <w:rPr>
          <w:rFonts w:ascii="Arial" w:hAnsi="Arial" w:cs="Arial"/>
          <w:sz w:val="22"/>
          <w:szCs w:val="22"/>
          <w:lang w:eastAsia="en-US"/>
        </w:rPr>
        <w:t>. člen</w:t>
      </w: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w:t>
      </w:r>
      <w:r w:rsidR="00FC445B">
        <w:rPr>
          <w:rFonts w:ascii="Arial" w:hAnsi="Arial" w:cs="Arial"/>
          <w:sz w:val="22"/>
          <w:szCs w:val="22"/>
          <w:lang w:eastAsia="en-US"/>
        </w:rPr>
        <w:t>prehodno obdobje doseganja</w:t>
      </w:r>
      <w:r w:rsidR="0006204A">
        <w:rPr>
          <w:rFonts w:ascii="Arial" w:hAnsi="Arial" w:cs="Arial"/>
          <w:sz w:val="22"/>
          <w:szCs w:val="22"/>
          <w:lang w:eastAsia="en-US"/>
        </w:rPr>
        <w:t xml:space="preserve"> prihrankov</w:t>
      </w:r>
      <w:r w:rsidRPr="002B6BCF">
        <w:rPr>
          <w:rFonts w:ascii="Arial" w:hAnsi="Arial" w:cs="Arial"/>
          <w:sz w:val="22"/>
          <w:szCs w:val="22"/>
          <w:lang w:eastAsia="en-US"/>
        </w:rPr>
        <w:t>)</w:t>
      </w:r>
    </w:p>
    <w:p w:rsidR="002B6BCF" w:rsidRPr="002B6BCF" w:rsidRDefault="002B6BCF" w:rsidP="002B6BCF">
      <w:pPr>
        <w:suppressAutoHyphens w:val="0"/>
        <w:jc w:val="both"/>
        <w:rPr>
          <w:rFonts w:ascii="Arial" w:hAnsi="Arial" w:cs="Arial"/>
          <w:sz w:val="22"/>
          <w:szCs w:val="22"/>
          <w:lang w:eastAsia="en-US"/>
        </w:rPr>
      </w:pPr>
    </w:p>
    <w:p w:rsidR="00FC445B" w:rsidRDefault="0006204A" w:rsidP="0006204A">
      <w:pPr>
        <w:tabs>
          <w:tab w:val="left" w:pos="567"/>
          <w:tab w:val="left" w:pos="993"/>
        </w:tabs>
        <w:suppressAutoHyphens w:val="0"/>
        <w:contextualSpacing/>
        <w:jc w:val="both"/>
        <w:rPr>
          <w:rFonts w:ascii="Arial" w:hAnsi="Arial" w:cs="Arial"/>
          <w:color w:val="000000"/>
          <w:sz w:val="22"/>
          <w:szCs w:val="22"/>
          <w:lang w:eastAsia="sl-SI"/>
        </w:rPr>
      </w:pPr>
      <w:r>
        <w:rPr>
          <w:rFonts w:ascii="Arial" w:hAnsi="Arial" w:cs="Arial"/>
          <w:color w:val="000000"/>
          <w:sz w:val="22"/>
          <w:szCs w:val="22"/>
          <w:lang w:eastAsia="sl-SI"/>
        </w:rPr>
        <w:t>Ne glede na določb</w:t>
      </w:r>
      <w:r w:rsidR="00FC445B">
        <w:rPr>
          <w:rFonts w:ascii="Arial" w:hAnsi="Arial" w:cs="Arial"/>
          <w:color w:val="000000"/>
          <w:sz w:val="22"/>
          <w:szCs w:val="22"/>
          <w:lang w:eastAsia="sl-SI"/>
        </w:rPr>
        <w:t>o</w:t>
      </w:r>
      <w:r>
        <w:rPr>
          <w:rFonts w:ascii="Arial" w:hAnsi="Arial" w:cs="Arial"/>
          <w:color w:val="000000"/>
          <w:sz w:val="22"/>
          <w:szCs w:val="22"/>
          <w:lang w:eastAsia="sl-SI"/>
        </w:rPr>
        <w:t xml:space="preserve"> </w:t>
      </w:r>
      <w:r w:rsidR="00CE1EFF">
        <w:rPr>
          <w:rFonts w:ascii="Arial" w:hAnsi="Arial" w:cs="Arial"/>
          <w:color w:val="000000"/>
          <w:sz w:val="22"/>
          <w:szCs w:val="22"/>
          <w:lang w:eastAsia="sl-SI"/>
        </w:rPr>
        <w:t xml:space="preserve">prvega odstavka </w:t>
      </w:r>
      <w:r>
        <w:rPr>
          <w:rFonts w:ascii="Arial" w:hAnsi="Arial" w:cs="Arial"/>
          <w:color w:val="000000"/>
          <w:sz w:val="22"/>
          <w:szCs w:val="22"/>
          <w:lang w:eastAsia="sl-SI"/>
        </w:rPr>
        <w:t xml:space="preserve">4. člena </w:t>
      </w:r>
      <w:r w:rsidR="00FC445B">
        <w:rPr>
          <w:rFonts w:ascii="Arial" w:hAnsi="Arial" w:cs="Arial"/>
          <w:color w:val="000000"/>
          <w:sz w:val="22"/>
          <w:szCs w:val="22"/>
          <w:lang w:eastAsia="sl-SI"/>
        </w:rPr>
        <w:t>morajo zavezanci:</w:t>
      </w:r>
    </w:p>
    <w:p w:rsidR="00FC445B" w:rsidRDefault="00CE1EFF" w:rsidP="00CE1EFF">
      <w:pPr>
        <w:pStyle w:val="Odstavekseznama"/>
        <w:numPr>
          <w:ilvl w:val="0"/>
          <w:numId w:val="50"/>
        </w:numPr>
        <w:tabs>
          <w:tab w:val="left" w:pos="567"/>
          <w:tab w:val="left" w:pos="993"/>
        </w:tabs>
        <w:suppressAutoHyphens w:val="0"/>
        <w:jc w:val="both"/>
        <w:rPr>
          <w:rFonts w:ascii="Arial" w:hAnsi="Arial" w:cs="Arial"/>
          <w:color w:val="000000"/>
          <w:sz w:val="22"/>
          <w:szCs w:val="22"/>
          <w:lang w:eastAsia="sl-SI"/>
        </w:rPr>
      </w:pPr>
      <w:r w:rsidRPr="00FC445B">
        <w:rPr>
          <w:rFonts w:ascii="Arial" w:hAnsi="Arial" w:cs="Arial"/>
          <w:color w:val="000000"/>
          <w:sz w:val="22"/>
          <w:szCs w:val="22"/>
          <w:lang w:eastAsia="sl-SI"/>
        </w:rPr>
        <w:t xml:space="preserve">v letu 2015 dosegati prihranke v višini 0,25 % </w:t>
      </w:r>
      <w:r w:rsidR="00FC445B">
        <w:rPr>
          <w:rFonts w:ascii="Arial" w:hAnsi="Arial" w:cs="Arial"/>
          <w:color w:val="000000"/>
          <w:sz w:val="22"/>
          <w:szCs w:val="22"/>
          <w:lang w:eastAsia="sl-SI"/>
        </w:rPr>
        <w:t xml:space="preserve">prodane energije </w:t>
      </w:r>
      <w:r w:rsidRPr="00FC445B">
        <w:rPr>
          <w:rFonts w:ascii="Arial" w:hAnsi="Arial" w:cs="Arial"/>
          <w:color w:val="000000"/>
          <w:sz w:val="22"/>
          <w:szCs w:val="22"/>
          <w:lang w:eastAsia="sl-SI"/>
        </w:rPr>
        <w:t>v letu 2014</w:t>
      </w:r>
      <w:r w:rsidR="00FC445B">
        <w:rPr>
          <w:rFonts w:ascii="Arial" w:hAnsi="Arial" w:cs="Arial"/>
          <w:color w:val="000000"/>
          <w:sz w:val="22"/>
          <w:szCs w:val="22"/>
          <w:lang w:eastAsia="sl-SI"/>
        </w:rPr>
        <w:t>;</w:t>
      </w:r>
    </w:p>
    <w:p w:rsidR="00FC445B" w:rsidRDefault="00CE1EFF" w:rsidP="00CE1EFF">
      <w:pPr>
        <w:pStyle w:val="Odstavekseznama"/>
        <w:numPr>
          <w:ilvl w:val="0"/>
          <w:numId w:val="50"/>
        </w:numPr>
        <w:tabs>
          <w:tab w:val="left" w:pos="567"/>
          <w:tab w:val="left" w:pos="993"/>
        </w:tabs>
        <w:suppressAutoHyphens w:val="0"/>
        <w:jc w:val="both"/>
        <w:rPr>
          <w:rFonts w:ascii="Arial" w:hAnsi="Arial" w:cs="Arial"/>
          <w:color w:val="000000"/>
          <w:sz w:val="22"/>
          <w:szCs w:val="22"/>
          <w:lang w:eastAsia="sl-SI"/>
        </w:rPr>
      </w:pPr>
      <w:r w:rsidRPr="00FC445B">
        <w:rPr>
          <w:rFonts w:ascii="Arial" w:hAnsi="Arial" w:cs="Arial"/>
          <w:color w:val="000000"/>
          <w:sz w:val="22"/>
          <w:szCs w:val="22"/>
          <w:lang w:eastAsia="sl-SI"/>
        </w:rPr>
        <w:t>v letu 2016</w:t>
      </w:r>
      <w:r w:rsidR="00FC445B">
        <w:rPr>
          <w:rFonts w:ascii="Arial" w:hAnsi="Arial" w:cs="Arial"/>
          <w:color w:val="000000"/>
          <w:sz w:val="22"/>
          <w:szCs w:val="22"/>
          <w:lang w:eastAsia="sl-SI"/>
        </w:rPr>
        <w:t xml:space="preserve"> in 2017</w:t>
      </w:r>
      <w:r w:rsidRPr="00FC445B">
        <w:rPr>
          <w:rFonts w:ascii="Arial" w:hAnsi="Arial" w:cs="Arial"/>
          <w:color w:val="000000"/>
          <w:sz w:val="22"/>
          <w:szCs w:val="22"/>
          <w:lang w:eastAsia="sl-SI"/>
        </w:rPr>
        <w:t xml:space="preserve"> dosegati prihranke v višini 0,50 % prodane energije</w:t>
      </w:r>
      <w:r w:rsidR="00FC445B">
        <w:rPr>
          <w:rFonts w:ascii="Arial" w:hAnsi="Arial" w:cs="Arial"/>
          <w:color w:val="000000"/>
          <w:sz w:val="22"/>
          <w:szCs w:val="22"/>
          <w:lang w:eastAsia="sl-SI"/>
        </w:rPr>
        <w:t xml:space="preserve"> v preteklem koledarskem letu.</w:t>
      </w:r>
    </w:p>
    <w:p w:rsidR="0006204A" w:rsidRDefault="0006204A" w:rsidP="0006204A">
      <w:pPr>
        <w:tabs>
          <w:tab w:val="left" w:pos="567"/>
          <w:tab w:val="left" w:pos="993"/>
        </w:tabs>
        <w:suppressAutoHyphens w:val="0"/>
        <w:contextualSpacing/>
        <w:jc w:val="both"/>
        <w:rPr>
          <w:rFonts w:ascii="Arial" w:hAnsi="Arial" w:cs="Arial"/>
          <w:color w:val="000000"/>
          <w:sz w:val="22"/>
          <w:szCs w:val="22"/>
          <w:lang w:eastAsia="sl-SI"/>
        </w:rPr>
      </w:pPr>
    </w:p>
    <w:p w:rsidR="007D220E" w:rsidRPr="002B6BCF" w:rsidRDefault="007D220E" w:rsidP="007D220E">
      <w:pPr>
        <w:suppressAutoHyphens w:val="0"/>
        <w:jc w:val="center"/>
        <w:rPr>
          <w:rFonts w:ascii="Arial" w:hAnsi="Arial" w:cs="Arial"/>
          <w:sz w:val="22"/>
          <w:szCs w:val="22"/>
          <w:lang w:eastAsia="en-US"/>
        </w:rPr>
      </w:pPr>
      <w:r w:rsidRPr="002B6BCF">
        <w:rPr>
          <w:rFonts w:ascii="Arial" w:hAnsi="Arial" w:cs="Arial"/>
          <w:sz w:val="22"/>
          <w:szCs w:val="22"/>
          <w:lang w:eastAsia="en-US"/>
        </w:rPr>
        <w:t>1</w:t>
      </w:r>
      <w:r>
        <w:rPr>
          <w:rFonts w:ascii="Arial" w:hAnsi="Arial" w:cs="Arial"/>
          <w:sz w:val="22"/>
          <w:szCs w:val="22"/>
          <w:lang w:eastAsia="en-US"/>
        </w:rPr>
        <w:t>3</w:t>
      </w:r>
      <w:r w:rsidRPr="002B6BCF">
        <w:rPr>
          <w:rFonts w:ascii="Arial" w:hAnsi="Arial" w:cs="Arial"/>
          <w:sz w:val="22"/>
          <w:szCs w:val="22"/>
          <w:lang w:eastAsia="en-US"/>
        </w:rPr>
        <w:t>. člen</w:t>
      </w:r>
    </w:p>
    <w:p w:rsidR="007D220E" w:rsidRPr="002B6BCF" w:rsidRDefault="007D220E" w:rsidP="007D220E">
      <w:pPr>
        <w:suppressAutoHyphens w:val="0"/>
        <w:jc w:val="center"/>
        <w:rPr>
          <w:rFonts w:ascii="Arial" w:hAnsi="Arial" w:cs="Arial"/>
          <w:sz w:val="22"/>
          <w:szCs w:val="22"/>
          <w:lang w:eastAsia="en-US"/>
        </w:rPr>
      </w:pPr>
      <w:r w:rsidRPr="002B6BCF">
        <w:rPr>
          <w:rFonts w:ascii="Arial" w:hAnsi="Arial" w:cs="Arial"/>
          <w:sz w:val="22"/>
          <w:szCs w:val="22"/>
          <w:lang w:eastAsia="en-US"/>
        </w:rPr>
        <w:t>(</w:t>
      </w:r>
      <w:r>
        <w:rPr>
          <w:rFonts w:ascii="Arial" w:hAnsi="Arial" w:cs="Arial"/>
          <w:sz w:val="22"/>
          <w:szCs w:val="22"/>
          <w:lang w:eastAsia="en-US"/>
        </w:rPr>
        <w:t>višina prispevka za energetsko učinkovitost v letih 2015 in 2016</w:t>
      </w:r>
      <w:r w:rsidRPr="002B6BCF">
        <w:rPr>
          <w:rFonts w:ascii="Arial" w:hAnsi="Arial" w:cs="Arial"/>
          <w:sz w:val="22"/>
          <w:szCs w:val="22"/>
          <w:lang w:eastAsia="en-US"/>
        </w:rPr>
        <w:t>)</w:t>
      </w:r>
    </w:p>
    <w:p w:rsidR="007D220E" w:rsidRDefault="007D220E" w:rsidP="0006204A">
      <w:pPr>
        <w:tabs>
          <w:tab w:val="left" w:pos="567"/>
          <w:tab w:val="left" w:pos="993"/>
        </w:tabs>
        <w:suppressAutoHyphens w:val="0"/>
        <w:contextualSpacing/>
        <w:jc w:val="both"/>
        <w:rPr>
          <w:rFonts w:ascii="Arial" w:hAnsi="Arial" w:cs="Arial"/>
          <w:color w:val="000000"/>
          <w:sz w:val="22"/>
          <w:szCs w:val="22"/>
          <w:lang w:eastAsia="sl-SI"/>
        </w:rPr>
      </w:pPr>
    </w:p>
    <w:p w:rsidR="007D220E" w:rsidRDefault="007D220E" w:rsidP="0006204A">
      <w:pPr>
        <w:tabs>
          <w:tab w:val="left" w:pos="567"/>
          <w:tab w:val="left" w:pos="993"/>
        </w:tabs>
        <w:suppressAutoHyphens w:val="0"/>
        <w:contextualSpacing/>
        <w:jc w:val="both"/>
        <w:rPr>
          <w:rFonts w:ascii="Arial" w:hAnsi="Arial" w:cs="Arial"/>
          <w:color w:val="000000"/>
          <w:sz w:val="22"/>
          <w:szCs w:val="22"/>
          <w:lang w:eastAsia="sl-SI"/>
        </w:rPr>
      </w:pPr>
      <w:r>
        <w:rPr>
          <w:rFonts w:ascii="Arial" w:hAnsi="Arial" w:cs="Arial"/>
          <w:color w:val="000000"/>
          <w:sz w:val="22"/>
          <w:szCs w:val="22"/>
          <w:lang w:eastAsia="sl-SI"/>
        </w:rPr>
        <w:t>Ne glede na določbe 10</w:t>
      </w:r>
      <w:r w:rsidR="0034225D">
        <w:rPr>
          <w:rFonts w:ascii="Arial" w:hAnsi="Arial" w:cs="Arial"/>
          <w:color w:val="000000"/>
          <w:sz w:val="22"/>
          <w:szCs w:val="22"/>
          <w:lang w:eastAsia="sl-SI"/>
        </w:rPr>
        <w:t>.</w:t>
      </w:r>
      <w:r>
        <w:rPr>
          <w:rFonts w:ascii="Arial" w:hAnsi="Arial" w:cs="Arial"/>
          <w:color w:val="000000"/>
          <w:sz w:val="22"/>
          <w:szCs w:val="22"/>
          <w:lang w:eastAsia="sl-SI"/>
        </w:rPr>
        <w:t xml:space="preserve"> člena je višina prispevka za energetsko učinkovitost v letih 2015 in 2016 preračunana na prodajno enoto za posamezno vrsto energije</w:t>
      </w:r>
      <w:r w:rsidR="0034225D">
        <w:rPr>
          <w:rFonts w:ascii="Arial" w:hAnsi="Arial" w:cs="Arial"/>
          <w:color w:val="000000"/>
          <w:sz w:val="22"/>
          <w:szCs w:val="22"/>
          <w:lang w:eastAsia="sl-SI"/>
        </w:rPr>
        <w:t>,</w:t>
      </w:r>
      <w:r>
        <w:rPr>
          <w:rFonts w:ascii="Arial" w:hAnsi="Arial" w:cs="Arial"/>
          <w:color w:val="000000"/>
          <w:sz w:val="22"/>
          <w:szCs w:val="22"/>
          <w:lang w:eastAsia="sl-SI"/>
        </w:rPr>
        <w:t xml:space="preserve"> določena v spodnji tabeli:</w:t>
      </w:r>
    </w:p>
    <w:p w:rsidR="007D220E" w:rsidRDefault="007D220E" w:rsidP="0006204A">
      <w:pPr>
        <w:tabs>
          <w:tab w:val="left" w:pos="567"/>
          <w:tab w:val="left" w:pos="993"/>
        </w:tabs>
        <w:suppressAutoHyphens w:val="0"/>
        <w:contextualSpacing/>
        <w:jc w:val="both"/>
        <w:rPr>
          <w:rFonts w:ascii="Arial" w:hAnsi="Arial" w:cs="Arial"/>
          <w:color w:val="000000"/>
          <w:sz w:val="22"/>
          <w:szCs w:val="22"/>
          <w:lang w:eastAsia="sl-SI"/>
        </w:rPr>
      </w:pPr>
    </w:p>
    <w:tbl>
      <w:tblPr>
        <w:tblW w:w="7320" w:type="dxa"/>
        <w:jc w:val="center"/>
        <w:tblInd w:w="65" w:type="dxa"/>
        <w:tblCellMar>
          <w:left w:w="70" w:type="dxa"/>
          <w:right w:w="70" w:type="dxa"/>
        </w:tblCellMar>
        <w:tblLook w:val="04A0" w:firstRow="1" w:lastRow="0" w:firstColumn="1" w:lastColumn="0" w:noHBand="0" w:noVBand="1"/>
      </w:tblPr>
      <w:tblGrid>
        <w:gridCol w:w="2560"/>
        <w:gridCol w:w="1840"/>
        <w:gridCol w:w="2060"/>
        <w:gridCol w:w="860"/>
      </w:tblGrid>
      <w:tr w:rsidR="007D220E" w:rsidRPr="007D220E" w:rsidTr="007D220E">
        <w:trPr>
          <w:trHeight w:val="240"/>
          <w:jc w:val="center"/>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right"/>
              <w:rPr>
                <w:rFonts w:ascii="Arial" w:hAnsi="Arial" w:cs="Arial"/>
                <w:b/>
                <w:bCs/>
                <w:color w:val="000000"/>
                <w:sz w:val="20"/>
                <w:szCs w:val="20"/>
                <w:lang w:eastAsia="sl-SI"/>
              </w:rPr>
            </w:pPr>
          </w:p>
        </w:tc>
        <w:tc>
          <w:tcPr>
            <w:tcW w:w="1840" w:type="dxa"/>
            <w:tcBorders>
              <w:top w:val="single" w:sz="4" w:space="0" w:color="auto"/>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b/>
                <w:bCs/>
                <w:color w:val="000000"/>
                <w:sz w:val="20"/>
                <w:szCs w:val="20"/>
                <w:lang w:eastAsia="sl-SI"/>
              </w:rPr>
            </w:pPr>
            <w:r w:rsidRPr="007D220E">
              <w:rPr>
                <w:rFonts w:ascii="Arial" w:hAnsi="Arial" w:cs="Arial"/>
                <w:b/>
                <w:bCs/>
                <w:color w:val="000000"/>
                <w:sz w:val="20"/>
                <w:szCs w:val="20"/>
                <w:lang w:eastAsia="sl-SI"/>
              </w:rPr>
              <w:t>2015</w:t>
            </w:r>
          </w:p>
        </w:tc>
        <w:tc>
          <w:tcPr>
            <w:tcW w:w="2060" w:type="dxa"/>
            <w:tcBorders>
              <w:top w:val="single" w:sz="4" w:space="0" w:color="auto"/>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b/>
                <w:bCs/>
                <w:color w:val="000000"/>
                <w:sz w:val="20"/>
                <w:szCs w:val="20"/>
                <w:lang w:eastAsia="sl-SI"/>
              </w:rPr>
            </w:pPr>
            <w:r w:rsidRPr="007D220E">
              <w:rPr>
                <w:rFonts w:ascii="Arial" w:hAnsi="Arial" w:cs="Arial"/>
                <w:b/>
                <w:bCs/>
                <w:color w:val="000000"/>
                <w:sz w:val="20"/>
                <w:szCs w:val="20"/>
                <w:lang w:eastAsia="sl-SI"/>
              </w:rPr>
              <w:t>2016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rPr>
                <w:rFonts w:ascii="Arial" w:hAnsi="Arial" w:cs="Arial"/>
                <w:color w:val="000000"/>
                <w:sz w:val="20"/>
                <w:szCs w:val="20"/>
                <w:lang w:eastAsia="sl-SI"/>
              </w:rPr>
            </w:pPr>
            <w:r w:rsidRPr="007D220E">
              <w:rPr>
                <w:rFonts w:ascii="Arial" w:hAnsi="Arial" w:cs="Arial"/>
                <w:color w:val="000000"/>
                <w:sz w:val="20"/>
                <w:szCs w:val="20"/>
                <w:lang w:eastAsia="sl-SI"/>
              </w:rPr>
              <w:t> </w:t>
            </w:r>
          </w:p>
        </w:tc>
      </w:tr>
      <w:tr w:rsidR="007D220E" w:rsidRPr="007D220E" w:rsidTr="007D220E">
        <w:trPr>
          <w:trHeight w:val="228"/>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rPr>
                <w:rFonts w:ascii="Arial" w:hAnsi="Arial" w:cs="Arial"/>
                <w:color w:val="000000"/>
                <w:sz w:val="20"/>
                <w:szCs w:val="20"/>
                <w:lang w:eastAsia="sl-SI"/>
              </w:rPr>
            </w:pPr>
            <w:r w:rsidRPr="007D220E">
              <w:rPr>
                <w:rFonts w:ascii="Arial" w:hAnsi="Arial" w:cs="Arial"/>
                <w:color w:val="000000"/>
                <w:sz w:val="20"/>
                <w:szCs w:val="20"/>
                <w:lang w:eastAsia="sl-SI"/>
              </w:rPr>
              <w:t> </w:t>
            </w:r>
          </w:p>
        </w:tc>
        <w:tc>
          <w:tcPr>
            <w:tcW w:w="184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višina prispevka</w:t>
            </w:r>
          </w:p>
        </w:tc>
        <w:tc>
          <w:tcPr>
            <w:tcW w:w="20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višina prispevka</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enota</w:t>
            </w:r>
          </w:p>
        </w:tc>
      </w:tr>
      <w:tr w:rsidR="007D220E" w:rsidRPr="007D220E" w:rsidTr="007D220E">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34225D">
            <w:pPr>
              <w:suppressAutoHyphens w:val="0"/>
              <w:rPr>
                <w:rFonts w:ascii="Arial" w:hAnsi="Arial" w:cs="Arial"/>
                <w:color w:val="000000"/>
                <w:sz w:val="20"/>
                <w:szCs w:val="20"/>
                <w:lang w:eastAsia="sl-SI"/>
              </w:rPr>
            </w:pPr>
            <w:r>
              <w:rPr>
                <w:rFonts w:ascii="Arial" w:hAnsi="Arial" w:cs="Arial"/>
                <w:color w:val="000000"/>
                <w:sz w:val="20"/>
                <w:szCs w:val="20"/>
                <w:lang w:eastAsia="sl-SI"/>
              </w:rPr>
              <w:t>e</w:t>
            </w:r>
            <w:r w:rsidR="007D220E" w:rsidRPr="007D220E">
              <w:rPr>
                <w:rFonts w:ascii="Arial" w:hAnsi="Arial" w:cs="Arial"/>
                <w:color w:val="000000"/>
                <w:sz w:val="20"/>
                <w:szCs w:val="20"/>
                <w:lang w:eastAsia="sl-SI"/>
              </w:rPr>
              <w:t>lektrična energija</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0,030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0,060</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€c/kWh</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7D220E">
            <w:pPr>
              <w:suppressAutoHyphens w:val="0"/>
              <w:rPr>
                <w:rFonts w:ascii="Arial" w:hAnsi="Arial" w:cs="Arial"/>
                <w:color w:val="000000"/>
                <w:sz w:val="20"/>
                <w:szCs w:val="20"/>
                <w:lang w:eastAsia="sl-SI"/>
              </w:rPr>
            </w:pPr>
            <w:r>
              <w:rPr>
                <w:rFonts w:ascii="Arial" w:hAnsi="Arial" w:cs="Arial"/>
                <w:color w:val="000000"/>
                <w:sz w:val="20"/>
                <w:szCs w:val="20"/>
                <w:lang w:eastAsia="sl-SI"/>
              </w:rPr>
              <w:t>z</w:t>
            </w:r>
            <w:r w:rsidR="007D220E" w:rsidRPr="007D220E">
              <w:rPr>
                <w:rFonts w:ascii="Arial" w:hAnsi="Arial" w:cs="Arial"/>
                <w:color w:val="000000"/>
                <w:sz w:val="20"/>
                <w:szCs w:val="20"/>
                <w:lang w:eastAsia="sl-SI"/>
              </w:rPr>
              <w:t>emeljski plin</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0,300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0,600</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€c/Sm</w:t>
            </w:r>
            <w:r w:rsidRPr="007D220E">
              <w:rPr>
                <w:rFonts w:ascii="Arial" w:hAnsi="Arial" w:cs="Arial"/>
                <w:color w:val="000000"/>
                <w:sz w:val="20"/>
                <w:szCs w:val="20"/>
                <w:vertAlign w:val="superscript"/>
                <w:lang w:eastAsia="sl-SI"/>
              </w:rPr>
              <w:t>3</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7D220E">
            <w:pPr>
              <w:suppressAutoHyphens w:val="0"/>
              <w:rPr>
                <w:rFonts w:ascii="Arial" w:hAnsi="Arial" w:cs="Arial"/>
                <w:color w:val="000000"/>
                <w:sz w:val="20"/>
                <w:szCs w:val="20"/>
                <w:lang w:eastAsia="sl-SI"/>
              </w:rPr>
            </w:pPr>
            <w:r>
              <w:rPr>
                <w:rFonts w:ascii="Arial" w:hAnsi="Arial" w:cs="Arial"/>
                <w:color w:val="000000"/>
                <w:sz w:val="20"/>
                <w:szCs w:val="20"/>
                <w:lang w:eastAsia="sl-SI"/>
              </w:rPr>
              <w:t>d</w:t>
            </w:r>
            <w:r w:rsidR="007D220E" w:rsidRPr="007D220E">
              <w:rPr>
                <w:rFonts w:ascii="Arial" w:hAnsi="Arial" w:cs="Arial"/>
                <w:color w:val="000000"/>
                <w:sz w:val="20"/>
                <w:szCs w:val="20"/>
                <w:lang w:eastAsia="sl-SI"/>
              </w:rPr>
              <w:t>aljinska toplota</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0,050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0,065</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€c/kWh</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rPr>
                <w:rFonts w:ascii="Arial" w:hAnsi="Arial" w:cs="Arial"/>
                <w:color w:val="000000"/>
                <w:sz w:val="20"/>
                <w:szCs w:val="20"/>
                <w:lang w:eastAsia="sl-SI"/>
              </w:rPr>
            </w:pPr>
            <w:r w:rsidRPr="007D220E">
              <w:rPr>
                <w:rFonts w:ascii="Arial" w:hAnsi="Arial" w:cs="Arial"/>
                <w:color w:val="000000"/>
                <w:sz w:val="20"/>
                <w:szCs w:val="20"/>
                <w:lang w:eastAsia="sl-SI"/>
              </w:rPr>
              <w:t>UNP</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1,600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1,023</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€c/kg</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7D220E">
            <w:pPr>
              <w:suppressAutoHyphens w:val="0"/>
              <w:rPr>
                <w:rFonts w:ascii="Arial" w:hAnsi="Arial" w:cs="Arial"/>
                <w:color w:val="000000"/>
                <w:sz w:val="20"/>
                <w:szCs w:val="20"/>
                <w:lang w:eastAsia="sl-SI"/>
              </w:rPr>
            </w:pPr>
            <w:r>
              <w:rPr>
                <w:rFonts w:ascii="Arial" w:hAnsi="Arial" w:cs="Arial"/>
                <w:color w:val="000000"/>
                <w:sz w:val="20"/>
                <w:szCs w:val="20"/>
                <w:lang w:eastAsia="sl-SI"/>
              </w:rPr>
              <w:t>n</w:t>
            </w:r>
            <w:r w:rsidR="007D220E" w:rsidRPr="007D220E">
              <w:rPr>
                <w:rFonts w:ascii="Arial" w:hAnsi="Arial" w:cs="Arial"/>
                <w:color w:val="000000"/>
                <w:sz w:val="20"/>
                <w:szCs w:val="20"/>
                <w:lang w:eastAsia="sl-SI"/>
              </w:rPr>
              <w:t xml:space="preserve">eosvinčen motorni bencin </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0,600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0,700</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€c/l</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7D220E">
            <w:pPr>
              <w:suppressAutoHyphens w:val="0"/>
              <w:rPr>
                <w:rFonts w:ascii="Arial" w:hAnsi="Arial" w:cs="Arial"/>
                <w:color w:val="000000"/>
                <w:sz w:val="20"/>
                <w:szCs w:val="20"/>
                <w:lang w:eastAsia="sl-SI"/>
              </w:rPr>
            </w:pPr>
            <w:r>
              <w:rPr>
                <w:rFonts w:ascii="Arial" w:hAnsi="Arial" w:cs="Arial"/>
                <w:color w:val="000000"/>
                <w:sz w:val="20"/>
                <w:szCs w:val="20"/>
                <w:lang w:eastAsia="sl-SI"/>
              </w:rPr>
              <w:t>d</w:t>
            </w:r>
            <w:r w:rsidR="007D220E" w:rsidRPr="007D220E">
              <w:rPr>
                <w:rFonts w:ascii="Arial" w:hAnsi="Arial" w:cs="Arial"/>
                <w:color w:val="000000"/>
                <w:sz w:val="20"/>
                <w:szCs w:val="20"/>
                <w:lang w:eastAsia="sl-SI"/>
              </w:rPr>
              <w:t>izelsko gorivo</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0,400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0,600</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€c/l</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7D220E">
            <w:pPr>
              <w:suppressAutoHyphens w:val="0"/>
              <w:rPr>
                <w:rFonts w:ascii="Arial" w:hAnsi="Arial" w:cs="Arial"/>
                <w:color w:val="000000"/>
                <w:sz w:val="20"/>
                <w:szCs w:val="20"/>
                <w:lang w:eastAsia="sl-SI"/>
              </w:rPr>
            </w:pPr>
            <w:r>
              <w:rPr>
                <w:rFonts w:ascii="Arial" w:hAnsi="Arial" w:cs="Arial"/>
                <w:color w:val="000000"/>
                <w:sz w:val="20"/>
                <w:szCs w:val="20"/>
                <w:lang w:eastAsia="sl-SI"/>
              </w:rPr>
              <w:t>e</w:t>
            </w:r>
            <w:r w:rsidR="007D220E" w:rsidRPr="007D220E">
              <w:rPr>
                <w:rFonts w:ascii="Arial" w:hAnsi="Arial" w:cs="Arial"/>
                <w:color w:val="000000"/>
                <w:sz w:val="20"/>
                <w:szCs w:val="20"/>
                <w:lang w:eastAsia="sl-SI"/>
              </w:rPr>
              <w:t>kstra lahko kurilno olje</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6,500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3,000</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€c/l</w:t>
            </w:r>
          </w:p>
        </w:tc>
      </w:tr>
      <w:tr w:rsidR="007D220E" w:rsidRPr="007D220E" w:rsidTr="007D220E">
        <w:trPr>
          <w:trHeight w:val="264"/>
          <w:jc w:val="center"/>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D220E" w:rsidRPr="007D220E" w:rsidRDefault="0034225D" w:rsidP="007D220E">
            <w:pPr>
              <w:suppressAutoHyphens w:val="0"/>
              <w:rPr>
                <w:rFonts w:ascii="Arial" w:hAnsi="Arial" w:cs="Arial"/>
                <w:color w:val="000000"/>
                <w:sz w:val="20"/>
                <w:szCs w:val="20"/>
                <w:lang w:eastAsia="sl-SI"/>
              </w:rPr>
            </w:pPr>
            <w:r>
              <w:rPr>
                <w:rFonts w:ascii="Arial" w:hAnsi="Arial" w:cs="Arial"/>
                <w:color w:val="000000"/>
                <w:sz w:val="20"/>
                <w:szCs w:val="20"/>
                <w:lang w:eastAsia="sl-SI"/>
              </w:rPr>
              <w:t>k</w:t>
            </w:r>
            <w:r w:rsidR="007D220E" w:rsidRPr="007D220E">
              <w:rPr>
                <w:rFonts w:ascii="Arial" w:hAnsi="Arial" w:cs="Arial"/>
                <w:color w:val="000000"/>
                <w:sz w:val="20"/>
                <w:szCs w:val="20"/>
                <w:lang w:eastAsia="sl-SI"/>
              </w:rPr>
              <w:t>urilno olje</w:t>
            </w:r>
          </w:p>
        </w:tc>
        <w:tc>
          <w:tcPr>
            <w:tcW w:w="184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6,500</w:t>
            </w:r>
          </w:p>
        </w:tc>
        <w:tc>
          <w:tcPr>
            <w:tcW w:w="2060" w:type="dxa"/>
            <w:tcBorders>
              <w:top w:val="nil"/>
              <w:left w:val="nil"/>
              <w:bottom w:val="single" w:sz="4" w:space="0" w:color="auto"/>
              <w:right w:val="single" w:sz="4" w:space="0" w:color="auto"/>
            </w:tcBorders>
            <w:shd w:val="clear" w:color="000000" w:fill="FFFFFF"/>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3,000</w:t>
            </w:r>
          </w:p>
        </w:tc>
        <w:tc>
          <w:tcPr>
            <w:tcW w:w="860" w:type="dxa"/>
            <w:tcBorders>
              <w:top w:val="nil"/>
              <w:left w:val="nil"/>
              <w:bottom w:val="single" w:sz="4" w:space="0" w:color="auto"/>
              <w:right w:val="single" w:sz="4" w:space="0" w:color="auto"/>
            </w:tcBorders>
            <w:shd w:val="clear" w:color="auto" w:fill="auto"/>
            <w:noWrap/>
            <w:vAlign w:val="bottom"/>
            <w:hideMark/>
          </w:tcPr>
          <w:p w:rsidR="007D220E" w:rsidRPr="007D220E" w:rsidRDefault="007D220E" w:rsidP="007D220E">
            <w:pPr>
              <w:suppressAutoHyphens w:val="0"/>
              <w:jc w:val="center"/>
              <w:rPr>
                <w:rFonts w:ascii="Arial" w:hAnsi="Arial" w:cs="Arial"/>
                <w:color w:val="000000"/>
                <w:sz w:val="20"/>
                <w:szCs w:val="20"/>
                <w:lang w:eastAsia="sl-SI"/>
              </w:rPr>
            </w:pPr>
            <w:r w:rsidRPr="007D220E">
              <w:rPr>
                <w:rFonts w:ascii="Arial" w:hAnsi="Arial" w:cs="Arial"/>
                <w:color w:val="000000"/>
                <w:sz w:val="20"/>
                <w:szCs w:val="20"/>
                <w:lang w:eastAsia="sl-SI"/>
              </w:rPr>
              <w:t>€c/kg</w:t>
            </w:r>
          </w:p>
        </w:tc>
      </w:tr>
    </w:tbl>
    <w:p w:rsidR="007D220E" w:rsidRDefault="007D220E" w:rsidP="0006204A">
      <w:pPr>
        <w:tabs>
          <w:tab w:val="left" w:pos="567"/>
          <w:tab w:val="left" w:pos="993"/>
        </w:tabs>
        <w:suppressAutoHyphens w:val="0"/>
        <w:contextualSpacing/>
        <w:jc w:val="both"/>
        <w:rPr>
          <w:rFonts w:ascii="Arial" w:hAnsi="Arial" w:cs="Arial"/>
          <w:color w:val="000000"/>
          <w:sz w:val="22"/>
          <w:szCs w:val="22"/>
          <w:lang w:eastAsia="sl-SI"/>
        </w:rPr>
      </w:pPr>
    </w:p>
    <w:p w:rsidR="007D220E" w:rsidRDefault="007D220E" w:rsidP="0006204A">
      <w:pPr>
        <w:tabs>
          <w:tab w:val="left" w:pos="567"/>
          <w:tab w:val="left" w:pos="993"/>
        </w:tabs>
        <w:suppressAutoHyphens w:val="0"/>
        <w:contextualSpacing/>
        <w:jc w:val="both"/>
        <w:rPr>
          <w:rFonts w:ascii="Arial" w:hAnsi="Arial" w:cs="Arial"/>
          <w:color w:val="000000"/>
          <w:sz w:val="22"/>
          <w:szCs w:val="22"/>
          <w:lang w:eastAsia="sl-SI"/>
        </w:rPr>
      </w:pPr>
    </w:p>
    <w:p w:rsidR="007234B4" w:rsidRPr="002B6BCF" w:rsidRDefault="007234B4" w:rsidP="007234B4">
      <w:pPr>
        <w:suppressAutoHyphens w:val="0"/>
        <w:jc w:val="center"/>
        <w:rPr>
          <w:rFonts w:ascii="Arial" w:hAnsi="Arial" w:cs="Arial"/>
          <w:sz w:val="22"/>
          <w:szCs w:val="22"/>
          <w:lang w:eastAsia="en-US"/>
        </w:rPr>
      </w:pPr>
      <w:r w:rsidRPr="002B6BCF">
        <w:rPr>
          <w:rFonts w:ascii="Arial" w:hAnsi="Arial" w:cs="Arial"/>
          <w:sz w:val="22"/>
          <w:szCs w:val="22"/>
          <w:lang w:eastAsia="en-US"/>
        </w:rPr>
        <w:t>1</w:t>
      </w:r>
      <w:r w:rsidR="007D220E">
        <w:rPr>
          <w:rFonts w:ascii="Arial" w:hAnsi="Arial" w:cs="Arial"/>
          <w:sz w:val="22"/>
          <w:szCs w:val="22"/>
          <w:lang w:eastAsia="en-US"/>
        </w:rPr>
        <w:t>4</w:t>
      </w:r>
      <w:r w:rsidRPr="002B6BCF">
        <w:rPr>
          <w:rFonts w:ascii="Arial" w:hAnsi="Arial" w:cs="Arial"/>
          <w:sz w:val="22"/>
          <w:szCs w:val="22"/>
          <w:lang w:eastAsia="en-US"/>
        </w:rPr>
        <w:t>. člen</w:t>
      </w:r>
    </w:p>
    <w:p w:rsidR="007234B4" w:rsidRPr="002B6BCF" w:rsidRDefault="007234B4" w:rsidP="007234B4">
      <w:pPr>
        <w:suppressAutoHyphens w:val="0"/>
        <w:jc w:val="center"/>
        <w:rPr>
          <w:rFonts w:ascii="Arial" w:hAnsi="Arial" w:cs="Arial"/>
          <w:sz w:val="22"/>
          <w:szCs w:val="22"/>
          <w:lang w:eastAsia="en-US"/>
        </w:rPr>
      </w:pPr>
      <w:r w:rsidRPr="002B6BCF">
        <w:rPr>
          <w:rFonts w:ascii="Arial" w:hAnsi="Arial" w:cs="Arial"/>
          <w:sz w:val="22"/>
          <w:szCs w:val="22"/>
          <w:lang w:eastAsia="en-US"/>
        </w:rPr>
        <w:t>(</w:t>
      </w:r>
      <w:r w:rsidR="0006204A" w:rsidRPr="002B6BCF">
        <w:rPr>
          <w:rFonts w:ascii="Arial" w:hAnsi="Arial" w:cs="Arial"/>
          <w:sz w:val="22"/>
          <w:szCs w:val="22"/>
          <w:lang w:eastAsia="en-US"/>
        </w:rPr>
        <w:t>začetek zbiranja prispevka</w:t>
      </w:r>
      <w:r w:rsidR="0006204A">
        <w:rPr>
          <w:rFonts w:ascii="Arial" w:hAnsi="Arial" w:cs="Arial"/>
          <w:sz w:val="22"/>
          <w:szCs w:val="22"/>
          <w:lang w:eastAsia="en-US"/>
        </w:rPr>
        <w:t xml:space="preserve"> za naftne derivate</w:t>
      </w:r>
      <w:r w:rsidRPr="002B6BCF">
        <w:rPr>
          <w:rFonts w:ascii="Arial" w:hAnsi="Arial" w:cs="Arial"/>
          <w:sz w:val="22"/>
          <w:szCs w:val="22"/>
          <w:lang w:eastAsia="en-US"/>
        </w:rPr>
        <w:t>)</w:t>
      </w:r>
    </w:p>
    <w:p w:rsidR="007D5D30" w:rsidRDefault="007D5D30" w:rsidP="002B6BCF">
      <w:pPr>
        <w:suppressAutoHyphens w:val="0"/>
        <w:jc w:val="both"/>
        <w:rPr>
          <w:rFonts w:ascii="Arial" w:hAnsi="Arial" w:cs="Arial"/>
          <w:sz w:val="22"/>
          <w:szCs w:val="22"/>
          <w:lang w:eastAsia="en-US"/>
        </w:rPr>
      </w:pPr>
    </w:p>
    <w:p w:rsidR="0006204A" w:rsidRPr="002B6BCF" w:rsidRDefault="0006204A" w:rsidP="0006204A">
      <w:pPr>
        <w:suppressAutoHyphens w:val="0"/>
        <w:jc w:val="both"/>
        <w:rPr>
          <w:rFonts w:ascii="Arial" w:hAnsi="Arial" w:cs="Arial"/>
          <w:sz w:val="22"/>
          <w:szCs w:val="22"/>
          <w:lang w:eastAsia="en-US"/>
        </w:rPr>
      </w:pPr>
      <w:r>
        <w:rPr>
          <w:rFonts w:ascii="Arial" w:hAnsi="Arial" w:cs="Arial"/>
          <w:sz w:val="22"/>
          <w:szCs w:val="22"/>
          <w:lang w:eastAsia="en-US"/>
        </w:rPr>
        <w:t>Z</w:t>
      </w:r>
      <w:r w:rsidRPr="002B6BCF">
        <w:rPr>
          <w:rFonts w:ascii="Arial" w:hAnsi="Arial" w:cs="Arial"/>
          <w:sz w:val="22"/>
          <w:szCs w:val="22"/>
          <w:lang w:eastAsia="en-US"/>
        </w:rPr>
        <w:t xml:space="preserve">avezanci, ki so dobavitelji naftnih derivatov, katerih cene se oblikujejo na podlagi predpisa o oblikovanju cen naftnih derivatov, </w:t>
      </w:r>
      <w:r w:rsidR="0034225D">
        <w:rPr>
          <w:rFonts w:ascii="Arial" w:hAnsi="Arial" w:cs="Arial"/>
          <w:sz w:val="22"/>
          <w:szCs w:val="22"/>
          <w:lang w:eastAsia="en-US"/>
        </w:rPr>
        <w:t>za</w:t>
      </w:r>
      <w:r w:rsidRPr="002B6BCF">
        <w:rPr>
          <w:rFonts w:ascii="Arial" w:hAnsi="Arial" w:cs="Arial"/>
          <w:sz w:val="22"/>
          <w:szCs w:val="22"/>
          <w:lang w:eastAsia="en-US"/>
        </w:rPr>
        <w:t>č</w:t>
      </w:r>
      <w:r w:rsidR="00FC445B">
        <w:rPr>
          <w:rFonts w:ascii="Arial" w:hAnsi="Arial" w:cs="Arial"/>
          <w:sz w:val="22"/>
          <w:szCs w:val="22"/>
          <w:lang w:eastAsia="en-US"/>
        </w:rPr>
        <w:t>n</w:t>
      </w:r>
      <w:r w:rsidRPr="002B6BCF">
        <w:rPr>
          <w:rFonts w:ascii="Arial" w:hAnsi="Arial" w:cs="Arial"/>
          <w:sz w:val="22"/>
          <w:szCs w:val="22"/>
          <w:lang w:eastAsia="en-US"/>
        </w:rPr>
        <w:t>e</w:t>
      </w:r>
      <w:r w:rsidR="00FC445B">
        <w:rPr>
          <w:rFonts w:ascii="Arial" w:hAnsi="Arial" w:cs="Arial"/>
          <w:sz w:val="22"/>
          <w:szCs w:val="22"/>
          <w:lang w:eastAsia="en-US"/>
        </w:rPr>
        <w:t>jo</w:t>
      </w:r>
      <w:r w:rsidRPr="002B6BCF">
        <w:rPr>
          <w:rFonts w:ascii="Arial" w:hAnsi="Arial" w:cs="Arial"/>
          <w:sz w:val="22"/>
          <w:szCs w:val="22"/>
          <w:lang w:eastAsia="en-US"/>
        </w:rPr>
        <w:t xml:space="preserve"> zbirati </w:t>
      </w:r>
      <w:r>
        <w:rPr>
          <w:rFonts w:ascii="Arial" w:hAnsi="Arial" w:cs="Arial"/>
          <w:sz w:val="22"/>
          <w:szCs w:val="22"/>
          <w:lang w:eastAsia="en-US"/>
        </w:rPr>
        <w:t>prispevek</w:t>
      </w:r>
      <w:r w:rsidRPr="002B6BCF">
        <w:rPr>
          <w:rFonts w:ascii="Arial" w:hAnsi="Arial" w:cs="Arial"/>
          <w:sz w:val="22"/>
          <w:szCs w:val="22"/>
          <w:lang w:eastAsia="en-US"/>
        </w:rPr>
        <w:t xml:space="preserve"> </w:t>
      </w:r>
      <w:r>
        <w:rPr>
          <w:rFonts w:ascii="Arial" w:hAnsi="Arial" w:cs="Arial"/>
          <w:sz w:val="22"/>
          <w:szCs w:val="22"/>
          <w:lang w:eastAsia="en-US"/>
        </w:rPr>
        <w:t xml:space="preserve">iz 10. člena </w:t>
      </w:r>
      <w:r w:rsidRPr="002B6BCF">
        <w:rPr>
          <w:rFonts w:ascii="Arial" w:hAnsi="Arial" w:cs="Arial"/>
          <w:sz w:val="22"/>
          <w:szCs w:val="22"/>
          <w:lang w:eastAsia="en-US"/>
        </w:rPr>
        <w:t xml:space="preserve">ob prvi spremembi cene naftnih derivatov </w:t>
      </w:r>
      <w:r w:rsidR="000B258A" w:rsidRPr="002B6BCF">
        <w:rPr>
          <w:rFonts w:ascii="Arial" w:hAnsi="Arial" w:cs="Arial"/>
          <w:sz w:val="22"/>
          <w:szCs w:val="22"/>
          <w:lang w:eastAsia="en-US"/>
        </w:rPr>
        <w:t xml:space="preserve">po </w:t>
      </w:r>
      <w:r w:rsidR="000B258A">
        <w:rPr>
          <w:rFonts w:ascii="Arial" w:hAnsi="Arial" w:cs="Arial"/>
          <w:sz w:val="22"/>
          <w:szCs w:val="22"/>
          <w:lang w:eastAsia="en-US"/>
        </w:rPr>
        <w:t xml:space="preserve">uveljavitvi </w:t>
      </w:r>
      <w:r w:rsidR="000B258A" w:rsidRPr="002B6BCF">
        <w:rPr>
          <w:rFonts w:ascii="Arial" w:hAnsi="Arial" w:cs="Arial"/>
          <w:sz w:val="22"/>
          <w:szCs w:val="22"/>
          <w:lang w:eastAsia="en-US"/>
        </w:rPr>
        <w:t>te uredbe</w:t>
      </w:r>
      <w:r w:rsidR="000B258A">
        <w:rPr>
          <w:rFonts w:ascii="Arial" w:hAnsi="Arial" w:cs="Arial"/>
          <w:sz w:val="22"/>
          <w:szCs w:val="22"/>
          <w:lang w:eastAsia="en-US"/>
        </w:rPr>
        <w:t xml:space="preserve"> </w:t>
      </w:r>
      <w:r w:rsidRPr="002B6BCF">
        <w:rPr>
          <w:rFonts w:ascii="Arial" w:hAnsi="Arial" w:cs="Arial"/>
          <w:sz w:val="22"/>
          <w:szCs w:val="22"/>
          <w:lang w:eastAsia="en-US"/>
        </w:rPr>
        <w:t>v skladu s predpisom o oblikovanju cen naftnih derivatov</w:t>
      </w:r>
      <w:r w:rsidR="000B258A">
        <w:rPr>
          <w:rFonts w:ascii="Arial" w:hAnsi="Arial" w:cs="Arial"/>
          <w:sz w:val="22"/>
          <w:szCs w:val="22"/>
          <w:lang w:eastAsia="en-US"/>
        </w:rPr>
        <w:t>.</w:t>
      </w:r>
    </w:p>
    <w:p w:rsidR="0006204A" w:rsidRDefault="0006204A" w:rsidP="00D81A81">
      <w:pPr>
        <w:tabs>
          <w:tab w:val="left" w:pos="567"/>
          <w:tab w:val="left" w:pos="993"/>
        </w:tabs>
        <w:suppressAutoHyphens w:val="0"/>
        <w:contextualSpacing/>
        <w:jc w:val="both"/>
        <w:rPr>
          <w:rFonts w:ascii="Arial" w:hAnsi="Arial" w:cs="Arial"/>
          <w:color w:val="000000"/>
          <w:sz w:val="22"/>
          <w:szCs w:val="22"/>
          <w:lang w:eastAsia="sl-SI"/>
        </w:rPr>
      </w:pPr>
    </w:p>
    <w:p w:rsidR="007D5D30" w:rsidRPr="002B6BCF" w:rsidRDefault="007D5D30" w:rsidP="007D5D30">
      <w:pPr>
        <w:suppressAutoHyphens w:val="0"/>
        <w:jc w:val="center"/>
        <w:rPr>
          <w:rFonts w:ascii="Arial" w:hAnsi="Arial" w:cs="Arial"/>
          <w:sz w:val="22"/>
          <w:szCs w:val="22"/>
          <w:lang w:eastAsia="en-US"/>
        </w:rPr>
      </w:pPr>
      <w:r w:rsidRPr="002B6BCF">
        <w:rPr>
          <w:rFonts w:ascii="Arial" w:hAnsi="Arial" w:cs="Arial"/>
          <w:sz w:val="22"/>
          <w:szCs w:val="22"/>
          <w:lang w:eastAsia="en-US"/>
        </w:rPr>
        <w:t>1</w:t>
      </w:r>
      <w:r w:rsidR="007D220E">
        <w:rPr>
          <w:rFonts w:ascii="Arial" w:hAnsi="Arial" w:cs="Arial"/>
          <w:sz w:val="22"/>
          <w:szCs w:val="22"/>
          <w:lang w:eastAsia="en-US"/>
        </w:rPr>
        <w:t>5</w:t>
      </w:r>
      <w:r w:rsidRPr="002B6BCF">
        <w:rPr>
          <w:rFonts w:ascii="Arial" w:hAnsi="Arial" w:cs="Arial"/>
          <w:sz w:val="22"/>
          <w:szCs w:val="22"/>
          <w:lang w:eastAsia="en-US"/>
        </w:rPr>
        <w:t>. člen</w:t>
      </w:r>
    </w:p>
    <w:p w:rsidR="007D5D30" w:rsidRPr="002B6BCF" w:rsidRDefault="007D5D30" w:rsidP="007D5D30">
      <w:pPr>
        <w:suppressAutoHyphens w:val="0"/>
        <w:jc w:val="center"/>
        <w:rPr>
          <w:rFonts w:ascii="Arial" w:hAnsi="Arial" w:cs="Arial"/>
          <w:sz w:val="22"/>
          <w:szCs w:val="22"/>
          <w:lang w:eastAsia="en-US"/>
        </w:rPr>
      </w:pPr>
      <w:r w:rsidRPr="002B6BCF">
        <w:rPr>
          <w:rFonts w:ascii="Arial" w:hAnsi="Arial" w:cs="Arial"/>
          <w:sz w:val="22"/>
          <w:szCs w:val="22"/>
          <w:lang w:eastAsia="en-US"/>
        </w:rPr>
        <w:t>(</w:t>
      </w:r>
      <w:r w:rsidR="002C5D82">
        <w:rPr>
          <w:rFonts w:ascii="Arial" w:hAnsi="Arial" w:cs="Arial"/>
          <w:sz w:val="22"/>
          <w:szCs w:val="22"/>
          <w:lang w:eastAsia="en-US"/>
        </w:rPr>
        <w:t>sredstva</w:t>
      </w:r>
      <w:r w:rsidR="0034225D">
        <w:rPr>
          <w:rFonts w:ascii="Arial" w:hAnsi="Arial" w:cs="Arial"/>
          <w:sz w:val="22"/>
          <w:szCs w:val="22"/>
          <w:lang w:eastAsia="en-US"/>
        </w:rPr>
        <w:t>,</w:t>
      </w:r>
      <w:r w:rsidR="002C5D82">
        <w:rPr>
          <w:rFonts w:ascii="Arial" w:hAnsi="Arial" w:cs="Arial"/>
          <w:sz w:val="22"/>
          <w:szCs w:val="22"/>
          <w:lang w:eastAsia="en-US"/>
        </w:rPr>
        <w:t xml:space="preserve"> zbrana na podlagi </w:t>
      </w:r>
      <w:r w:rsidR="00535FB2">
        <w:rPr>
          <w:rFonts w:ascii="Arial" w:hAnsi="Arial" w:cs="Arial"/>
          <w:sz w:val="22"/>
          <w:szCs w:val="22"/>
          <w:lang w:eastAsia="en-US"/>
        </w:rPr>
        <w:t>dosedanj</w:t>
      </w:r>
      <w:r w:rsidR="001B36DE">
        <w:rPr>
          <w:rFonts w:ascii="Arial" w:hAnsi="Arial" w:cs="Arial"/>
          <w:sz w:val="22"/>
          <w:szCs w:val="22"/>
          <w:lang w:eastAsia="en-US"/>
        </w:rPr>
        <w:t>ih</w:t>
      </w:r>
      <w:r w:rsidR="00535FB2">
        <w:rPr>
          <w:rFonts w:ascii="Arial" w:hAnsi="Arial" w:cs="Arial"/>
          <w:sz w:val="22"/>
          <w:szCs w:val="22"/>
          <w:lang w:eastAsia="en-US"/>
        </w:rPr>
        <w:t xml:space="preserve"> predpis</w:t>
      </w:r>
      <w:r w:rsidR="001B36DE">
        <w:rPr>
          <w:rFonts w:ascii="Arial" w:hAnsi="Arial" w:cs="Arial"/>
          <w:sz w:val="22"/>
          <w:szCs w:val="22"/>
          <w:lang w:eastAsia="en-US"/>
        </w:rPr>
        <w:t>ov</w:t>
      </w:r>
      <w:r w:rsidRPr="002B6BCF">
        <w:rPr>
          <w:rFonts w:ascii="Arial" w:hAnsi="Arial" w:cs="Arial"/>
          <w:sz w:val="22"/>
          <w:szCs w:val="22"/>
          <w:lang w:eastAsia="en-US"/>
        </w:rPr>
        <w:t>)</w:t>
      </w:r>
    </w:p>
    <w:p w:rsidR="007D5D30" w:rsidRPr="002B6BCF" w:rsidRDefault="007D5D30" w:rsidP="007D5D30">
      <w:pPr>
        <w:suppressAutoHyphens w:val="0"/>
        <w:jc w:val="both"/>
        <w:rPr>
          <w:rFonts w:ascii="Arial" w:hAnsi="Arial" w:cs="Arial"/>
          <w:sz w:val="22"/>
          <w:szCs w:val="22"/>
          <w:lang w:eastAsia="en-US"/>
        </w:rPr>
      </w:pPr>
    </w:p>
    <w:p w:rsidR="006530FF" w:rsidRDefault="006530FF" w:rsidP="002B6BCF">
      <w:pPr>
        <w:suppressAutoHyphens w:val="0"/>
        <w:jc w:val="both"/>
        <w:rPr>
          <w:rFonts w:ascii="Arial" w:hAnsi="Arial" w:cs="Arial"/>
          <w:sz w:val="22"/>
          <w:szCs w:val="22"/>
          <w:lang w:eastAsia="en-US"/>
        </w:rPr>
      </w:pPr>
      <w:r>
        <w:rPr>
          <w:rFonts w:ascii="Arial" w:hAnsi="Arial" w:cs="Arial"/>
          <w:sz w:val="22"/>
          <w:szCs w:val="22"/>
          <w:lang w:eastAsia="en-US"/>
        </w:rPr>
        <w:t>(1) Zavezanci</w:t>
      </w:r>
      <w:r w:rsidR="0034225D">
        <w:rPr>
          <w:rFonts w:ascii="Arial" w:hAnsi="Arial" w:cs="Arial"/>
          <w:sz w:val="22"/>
          <w:szCs w:val="22"/>
          <w:lang w:eastAsia="en-US"/>
        </w:rPr>
        <w:t>,</w:t>
      </w:r>
      <w:r w:rsidRPr="006530FF">
        <w:rPr>
          <w:rFonts w:ascii="Arial" w:hAnsi="Arial" w:cs="Arial"/>
          <w:sz w:val="22"/>
          <w:szCs w:val="22"/>
          <w:lang w:eastAsia="en-US"/>
        </w:rPr>
        <w:t xml:space="preserve"> </w:t>
      </w:r>
      <w:r>
        <w:rPr>
          <w:rFonts w:ascii="Arial" w:hAnsi="Arial" w:cs="Arial"/>
          <w:sz w:val="22"/>
          <w:szCs w:val="22"/>
          <w:lang w:eastAsia="en-US"/>
        </w:rPr>
        <w:t>določeni v Uredbi</w:t>
      </w:r>
      <w:r w:rsidRPr="002B6BCF">
        <w:rPr>
          <w:rFonts w:ascii="Arial" w:hAnsi="Arial" w:cs="Arial"/>
          <w:sz w:val="22"/>
          <w:szCs w:val="22"/>
          <w:lang w:eastAsia="en-US"/>
        </w:rPr>
        <w:t xml:space="preserve"> o zagotavljanju prihrankov energije pri končnih odjemalcih (Uradn</w:t>
      </w:r>
      <w:r>
        <w:rPr>
          <w:rFonts w:ascii="Arial" w:hAnsi="Arial" w:cs="Arial"/>
          <w:sz w:val="22"/>
          <w:szCs w:val="22"/>
          <w:lang w:eastAsia="en-US"/>
        </w:rPr>
        <w:t>i list RS, št. 114/09 in 75/11)</w:t>
      </w:r>
      <w:r w:rsidR="0034225D">
        <w:rPr>
          <w:rFonts w:ascii="Arial" w:hAnsi="Arial" w:cs="Arial"/>
          <w:sz w:val="22"/>
          <w:szCs w:val="22"/>
          <w:lang w:eastAsia="en-US"/>
        </w:rPr>
        <w:t>,</w:t>
      </w:r>
      <w:r>
        <w:rPr>
          <w:rFonts w:ascii="Arial" w:hAnsi="Arial" w:cs="Arial"/>
          <w:sz w:val="22"/>
          <w:szCs w:val="22"/>
          <w:lang w:eastAsia="en-US"/>
        </w:rPr>
        <w:t xml:space="preserve"> izvedejo programe za leto 2014, ki jih je potrdil Eko sklad.</w:t>
      </w:r>
    </w:p>
    <w:p w:rsidR="006530FF" w:rsidRDefault="006530FF" w:rsidP="002B6BCF">
      <w:pPr>
        <w:suppressAutoHyphens w:val="0"/>
        <w:jc w:val="both"/>
        <w:rPr>
          <w:rFonts w:ascii="Arial" w:hAnsi="Arial" w:cs="Arial"/>
          <w:sz w:val="22"/>
          <w:szCs w:val="22"/>
          <w:lang w:eastAsia="en-US"/>
        </w:rPr>
      </w:pPr>
    </w:p>
    <w:p w:rsidR="007D5D30" w:rsidRDefault="006530FF" w:rsidP="002B6BCF">
      <w:pPr>
        <w:suppressAutoHyphens w:val="0"/>
        <w:jc w:val="both"/>
        <w:rPr>
          <w:rFonts w:ascii="Arial" w:hAnsi="Arial" w:cs="Arial"/>
          <w:sz w:val="22"/>
          <w:szCs w:val="22"/>
          <w:lang w:eastAsia="en-US"/>
        </w:rPr>
      </w:pPr>
      <w:r>
        <w:rPr>
          <w:rFonts w:ascii="Arial" w:hAnsi="Arial" w:cs="Arial"/>
          <w:sz w:val="22"/>
          <w:szCs w:val="22"/>
          <w:lang w:eastAsia="en-US"/>
        </w:rPr>
        <w:t xml:space="preserve">(2) </w:t>
      </w:r>
      <w:r w:rsidR="002C5D82">
        <w:rPr>
          <w:rFonts w:ascii="Arial" w:hAnsi="Arial" w:cs="Arial"/>
          <w:sz w:val="22"/>
          <w:szCs w:val="22"/>
          <w:lang w:eastAsia="en-US"/>
        </w:rPr>
        <w:t xml:space="preserve">Zavezanci </w:t>
      </w:r>
      <w:r w:rsidR="00A574E7">
        <w:rPr>
          <w:rFonts w:ascii="Arial" w:hAnsi="Arial" w:cs="Arial"/>
          <w:sz w:val="22"/>
          <w:szCs w:val="22"/>
          <w:lang w:eastAsia="en-US"/>
        </w:rPr>
        <w:t xml:space="preserve">iz prejšnjega odstavka </w:t>
      </w:r>
      <w:r>
        <w:rPr>
          <w:rFonts w:ascii="Arial" w:hAnsi="Arial" w:cs="Arial"/>
          <w:sz w:val="22"/>
          <w:szCs w:val="22"/>
          <w:lang w:eastAsia="en-US"/>
        </w:rPr>
        <w:t xml:space="preserve">in center za podpore </w:t>
      </w:r>
      <w:r w:rsidR="002C5D82">
        <w:rPr>
          <w:rFonts w:ascii="Arial" w:hAnsi="Arial" w:cs="Arial"/>
          <w:sz w:val="22"/>
          <w:szCs w:val="22"/>
          <w:lang w:eastAsia="en-US"/>
        </w:rPr>
        <w:t>morajo sredstva</w:t>
      </w:r>
      <w:r w:rsidR="0034225D">
        <w:rPr>
          <w:rFonts w:ascii="Arial" w:hAnsi="Arial" w:cs="Arial"/>
          <w:sz w:val="22"/>
          <w:szCs w:val="22"/>
          <w:lang w:eastAsia="en-US"/>
        </w:rPr>
        <w:t>,</w:t>
      </w:r>
      <w:r w:rsidR="002C5D82">
        <w:rPr>
          <w:rFonts w:ascii="Arial" w:hAnsi="Arial" w:cs="Arial"/>
          <w:sz w:val="22"/>
          <w:szCs w:val="22"/>
          <w:lang w:eastAsia="en-US"/>
        </w:rPr>
        <w:t xml:space="preserve"> zbrana iz plačila prispevka in dodatka za povečanje energetske učinkovitosti za leto 2014</w:t>
      </w:r>
      <w:r>
        <w:rPr>
          <w:rFonts w:ascii="Arial" w:hAnsi="Arial" w:cs="Arial"/>
          <w:sz w:val="22"/>
          <w:szCs w:val="22"/>
          <w:lang w:eastAsia="en-US"/>
        </w:rPr>
        <w:t>, razen sredstev za izvedbo programa iz prejšnjega odstavka,</w:t>
      </w:r>
      <w:r w:rsidR="002C5D82">
        <w:rPr>
          <w:rFonts w:ascii="Arial" w:hAnsi="Arial" w:cs="Arial"/>
          <w:sz w:val="22"/>
          <w:szCs w:val="22"/>
          <w:lang w:eastAsia="en-US"/>
        </w:rPr>
        <w:t xml:space="preserve"> </w:t>
      </w:r>
      <w:r w:rsidR="00A82700">
        <w:rPr>
          <w:rFonts w:ascii="Arial" w:hAnsi="Arial" w:cs="Arial"/>
          <w:sz w:val="22"/>
          <w:szCs w:val="22"/>
          <w:lang w:eastAsia="en-US"/>
        </w:rPr>
        <w:t>nakazati Eko skladu.</w:t>
      </w:r>
    </w:p>
    <w:p w:rsidR="00A82700" w:rsidRPr="002B6BCF" w:rsidRDefault="00A82700" w:rsidP="002B6BCF">
      <w:pPr>
        <w:suppressAutoHyphens w:val="0"/>
        <w:jc w:val="both"/>
        <w:rPr>
          <w:rFonts w:ascii="Arial" w:hAnsi="Arial" w:cs="Arial"/>
          <w:sz w:val="22"/>
          <w:szCs w:val="22"/>
          <w:lang w:eastAsia="en-US"/>
        </w:rPr>
      </w:pP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1</w:t>
      </w:r>
      <w:r w:rsidR="007D220E">
        <w:rPr>
          <w:rFonts w:ascii="Arial" w:hAnsi="Arial" w:cs="Arial"/>
          <w:sz w:val="22"/>
          <w:szCs w:val="22"/>
          <w:lang w:eastAsia="en-US"/>
        </w:rPr>
        <w:t>6</w:t>
      </w:r>
      <w:r w:rsidRPr="002B6BCF">
        <w:rPr>
          <w:rFonts w:ascii="Arial" w:hAnsi="Arial" w:cs="Arial"/>
          <w:sz w:val="22"/>
          <w:szCs w:val="22"/>
          <w:lang w:eastAsia="en-US"/>
        </w:rPr>
        <w:t>. člen</w:t>
      </w: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w:t>
      </w:r>
      <w:r w:rsidR="00BA1F67">
        <w:rPr>
          <w:rFonts w:ascii="Arial" w:hAnsi="Arial" w:cs="Arial"/>
          <w:sz w:val="22"/>
          <w:szCs w:val="22"/>
          <w:lang w:eastAsia="en-US"/>
        </w:rPr>
        <w:t>prenehanje uporabe</w:t>
      </w:r>
      <w:r w:rsidRPr="002B6BCF">
        <w:rPr>
          <w:rFonts w:ascii="Arial" w:hAnsi="Arial" w:cs="Arial"/>
          <w:sz w:val="22"/>
          <w:szCs w:val="22"/>
          <w:lang w:eastAsia="en-US"/>
        </w:rPr>
        <w:t>)</w:t>
      </w:r>
    </w:p>
    <w:p w:rsidR="002B6BCF" w:rsidRPr="002B6BCF" w:rsidRDefault="002B6BCF" w:rsidP="002B6BCF">
      <w:pPr>
        <w:suppressAutoHyphens w:val="0"/>
        <w:jc w:val="both"/>
        <w:rPr>
          <w:rFonts w:ascii="Arial" w:hAnsi="Arial" w:cs="Arial"/>
          <w:sz w:val="22"/>
          <w:szCs w:val="22"/>
          <w:lang w:eastAsia="en-US"/>
        </w:rPr>
      </w:pPr>
    </w:p>
    <w:p w:rsidR="002B6BCF" w:rsidRDefault="00BA1F67" w:rsidP="002B6BCF">
      <w:pPr>
        <w:suppressAutoHyphens w:val="0"/>
        <w:jc w:val="both"/>
        <w:rPr>
          <w:rFonts w:ascii="Arial" w:hAnsi="Arial" w:cs="Arial"/>
          <w:sz w:val="22"/>
          <w:szCs w:val="22"/>
          <w:lang w:eastAsia="en-US"/>
        </w:rPr>
      </w:pPr>
      <w:r>
        <w:rPr>
          <w:rFonts w:ascii="Arial" w:hAnsi="Arial" w:cs="Arial"/>
          <w:sz w:val="22"/>
          <w:szCs w:val="22"/>
          <w:lang w:eastAsia="en-US"/>
        </w:rPr>
        <w:t>Z dnem uveljavitve te uredbe</w:t>
      </w:r>
      <w:r w:rsidRPr="002B6BCF">
        <w:rPr>
          <w:rFonts w:ascii="Arial" w:hAnsi="Arial" w:cs="Arial"/>
          <w:sz w:val="22"/>
          <w:szCs w:val="22"/>
          <w:lang w:eastAsia="en-US"/>
        </w:rPr>
        <w:t xml:space="preserve"> </w:t>
      </w:r>
      <w:r>
        <w:rPr>
          <w:rFonts w:ascii="Arial" w:hAnsi="Arial" w:cs="Arial"/>
          <w:sz w:val="22"/>
          <w:szCs w:val="22"/>
          <w:lang w:eastAsia="en-US"/>
        </w:rPr>
        <w:t xml:space="preserve">se preneha uporabljati </w:t>
      </w:r>
      <w:r w:rsidR="002B6BCF" w:rsidRPr="002B6BCF">
        <w:rPr>
          <w:rFonts w:ascii="Arial" w:hAnsi="Arial" w:cs="Arial"/>
          <w:sz w:val="22"/>
          <w:szCs w:val="22"/>
          <w:lang w:eastAsia="en-US"/>
        </w:rPr>
        <w:t>Uredba o zagotavljanju prihrankov energije pri končnih odjemalcih (Uradn</w:t>
      </w:r>
      <w:r w:rsidR="007D5D30">
        <w:rPr>
          <w:rFonts w:ascii="Arial" w:hAnsi="Arial" w:cs="Arial"/>
          <w:sz w:val="22"/>
          <w:szCs w:val="22"/>
          <w:lang w:eastAsia="en-US"/>
        </w:rPr>
        <w:t>i list RS, št. 114/09 in 75/11)</w:t>
      </w:r>
      <w:r w:rsidR="002D4D98">
        <w:rPr>
          <w:rFonts w:ascii="Arial" w:hAnsi="Arial" w:cs="Arial"/>
          <w:sz w:val="22"/>
          <w:szCs w:val="22"/>
          <w:lang w:eastAsia="en-US"/>
        </w:rPr>
        <w:t>.</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1</w:t>
      </w:r>
      <w:r w:rsidR="007D220E">
        <w:rPr>
          <w:rFonts w:ascii="Arial" w:hAnsi="Arial" w:cs="Arial"/>
          <w:sz w:val="22"/>
          <w:szCs w:val="22"/>
          <w:lang w:eastAsia="en-US"/>
        </w:rPr>
        <w:t>7</w:t>
      </w:r>
      <w:r w:rsidRPr="002B6BCF">
        <w:rPr>
          <w:rFonts w:ascii="Arial" w:hAnsi="Arial" w:cs="Arial"/>
          <w:sz w:val="22"/>
          <w:szCs w:val="22"/>
          <w:lang w:eastAsia="en-US"/>
        </w:rPr>
        <w:t>. člen</w:t>
      </w:r>
    </w:p>
    <w:p w:rsidR="002B6BCF" w:rsidRPr="002B6BCF" w:rsidRDefault="002B6BCF" w:rsidP="002B6BCF">
      <w:pPr>
        <w:suppressAutoHyphens w:val="0"/>
        <w:jc w:val="center"/>
        <w:rPr>
          <w:rFonts w:ascii="Arial" w:hAnsi="Arial" w:cs="Arial"/>
          <w:sz w:val="22"/>
          <w:szCs w:val="22"/>
          <w:lang w:eastAsia="en-US"/>
        </w:rPr>
      </w:pPr>
      <w:r w:rsidRPr="002B6BCF">
        <w:rPr>
          <w:rFonts w:ascii="Arial" w:hAnsi="Arial" w:cs="Arial"/>
          <w:sz w:val="22"/>
          <w:szCs w:val="22"/>
          <w:lang w:eastAsia="en-US"/>
        </w:rPr>
        <w:t>(začetek veljavnosti)</w:t>
      </w:r>
    </w:p>
    <w:p w:rsidR="002B6BCF" w:rsidRPr="002B6BCF" w:rsidRDefault="002B6BCF" w:rsidP="002B6BCF">
      <w:pPr>
        <w:suppressAutoHyphens w:val="0"/>
        <w:jc w:val="both"/>
        <w:rPr>
          <w:rFonts w:ascii="Arial" w:hAnsi="Arial" w:cs="Arial"/>
          <w:sz w:val="22"/>
          <w:szCs w:val="22"/>
          <w:lang w:eastAsia="en-US"/>
        </w:rPr>
      </w:pPr>
    </w:p>
    <w:p w:rsidR="002B6BCF" w:rsidRPr="002B6BCF" w:rsidRDefault="002B6BCF" w:rsidP="002B6BCF">
      <w:pPr>
        <w:suppressAutoHyphens w:val="0"/>
        <w:jc w:val="both"/>
        <w:rPr>
          <w:rFonts w:ascii="Arial" w:hAnsi="Arial" w:cs="Arial"/>
          <w:sz w:val="22"/>
          <w:szCs w:val="22"/>
          <w:lang w:eastAsia="en-US"/>
        </w:rPr>
      </w:pPr>
      <w:r w:rsidRPr="002B6BCF">
        <w:rPr>
          <w:rFonts w:ascii="Arial" w:hAnsi="Arial" w:cs="Arial"/>
          <w:sz w:val="22"/>
          <w:szCs w:val="22"/>
          <w:lang w:eastAsia="en-US"/>
        </w:rPr>
        <w:t>Ta uredba začne veljati 1.</w:t>
      </w:r>
      <w:r w:rsidR="007D5D30">
        <w:rPr>
          <w:rFonts w:ascii="Arial" w:hAnsi="Arial" w:cs="Arial"/>
          <w:sz w:val="22"/>
          <w:szCs w:val="22"/>
          <w:lang w:eastAsia="en-US"/>
        </w:rPr>
        <w:t xml:space="preserve"> </w:t>
      </w:r>
      <w:r w:rsidR="001A43B2">
        <w:rPr>
          <w:rFonts w:ascii="Arial" w:hAnsi="Arial" w:cs="Arial"/>
          <w:sz w:val="22"/>
          <w:szCs w:val="22"/>
          <w:lang w:eastAsia="en-US"/>
        </w:rPr>
        <w:t>januarja</w:t>
      </w:r>
      <w:r w:rsidRPr="002B6BCF">
        <w:rPr>
          <w:rFonts w:ascii="Arial" w:hAnsi="Arial" w:cs="Arial"/>
          <w:sz w:val="22"/>
          <w:szCs w:val="22"/>
          <w:lang w:eastAsia="en-US"/>
        </w:rPr>
        <w:t xml:space="preserve"> 2015.</w:t>
      </w:r>
    </w:p>
    <w:p w:rsidR="002D5BE3" w:rsidRDefault="002D5BE3" w:rsidP="002D5BE3">
      <w:pPr>
        <w:autoSpaceDE w:val="0"/>
        <w:autoSpaceDN w:val="0"/>
        <w:adjustRightInd w:val="0"/>
        <w:spacing w:line="240" w:lineRule="atLeast"/>
        <w:rPr>
          <w:rFonts w:ascii="Arial" w:hAnsi="Arial" w:cs="Arial"/>
          <w:color w:val="000000"/>
          <w:sz w:val="22"/>
          <w:szCs w:val="20"/>
        </w:rPr>
      </w:pPr>
    </w:p>
    <w:p w:rsidR="002B6BCF" w:rsidRDefault="002B6BCF" w:rsidP="002D5BE3">
      <w:pPr>
        <w:autoSpaceDE w:val="0"/>
        <w:autoSpaceDN w:val="0"/>
        <w:adjustRightInd w:val="0"/>
        <w:spacing w:line="240" w:lineRule="atLeast"/>
        <w:rPr>
          <w:rFonts w:ascii="Arial" w:hAnsi="Arial" w:cs="Arial"/>
          <w:color w:val="000000"/>
          <w:sz w:val="22"/>
          <w:szCs w:val="20"/>
        </w:rPr>
      </w:pPr>
    </w:p>
    <w:p w:rsidR="002B6BCF" w:rsidRPr="002B6BCF" w:rsidRDefault="002B6BCF" w:rsidP="002D5BE3">
      <w:pPr>
        <w:autoSpaceDE w:val="0"/>
        <w:autoSpaceDN w:val="0"/>
        <w:adjustRightInd w:val="0"/>
        <w:spacing w:line="240" w:lineRule="atLeast"/>
        <w:rPr>
          <w:rFonts w:ascii="Arial" w:hAnsi="Arial" w:cs="Arial"/>
          <w:color w:val="000000"/>
          <w:sz w:val="22"/>
          <w:szCs w:val="20"/>
        </w:rPr>
      </w:pPr>
    </w:p>
    <w:p w:rsidR="002D5BE3" w:rsidRPr="002B6BCF" w:rsidRDefault="002D5BE3" w:rsidP="002D5BE3">
      <w:pPr>
        <w:tabs>
          <w:tab w:val="left" w:pos="708"/>
        </w:tabs>
        <w:spacing w:line="260" w:lineRule="exact"/>
        <w:rPr>
          <w:rFonts w:ascii="Arial" w:hAnsi="Arial" w:cs="Arial"/>
          <w:color w:val="000000"/>
          <w:sz w:val="22"/>
          <w:szCs w:val="20"/>
        </w:rPr>
      </w:pPr>
      <w:r w:rsidRPr="002B6BCF">
        <w:rPr>
          <w:rFonts w:ascii="Arial" w:hAnsi="Arial" w:cs="Arial"/>
          <w:color w:val="000000"/>
          <w:sz w:val="22"/>
          <w:szCs w:val="20"/>
        </w:rPr>
        <w:t xml:space="preserve">Št. </w:t>
      </w:r>
      <w:r w:rsidR="00DF262B" w:rsidRPr="00DF262B">
        <w:rPr>
          <w:rFonts w:ascii="Arial" w:hAnsi="Arial" w:cs="Arial"/>
          <w:color w:val="000000"/>
          <w:sz w:val="22"/>
          <w:szCs w:val="20"/>
        </w:rPr>
        <w:t>007-213/2014-</w:t>
      </w:r>
      <w:r w:rsidR="00A50A39">
        <w:rPr>
          <w:rFonts w:ascii="Arial" w:hAnsi="Arial" w:cs="Arial"/>
          <w:color w:val="000000"/>
          <w:sz w:val="22"/>
          <w:szCs w:val="20"/>
        </w:rPr>
        <w:t>8</w:t>
      </w:r>
      <w:r w:rsidR="00DF262B" w:rsidRPr="00DF262B">
        <w:rPr>
          <w:rFonts w:ascii="Arial" w:hAnsi="Arial" w:cs="Arial"/>
          <w:color w:val="000000"/>
          <w:sz w:val="22"/>
          <w:szCs w:val="20"/>
        </w:rPr>
        <w:t xml:space="preserve">   </w:t>
      </w:r>
    </w:p>
    <w:p w:rsidR="002D5BE3" w:rsidRPr="002B6BCF" w:rsidRDefault="002D5BE3" w:rsidP="002D5BE3">
      <w:pPr>
        <w:tabs>
          <w:tab w:val="left" w:pos="708"/>
        </w:tabs>
        <w:spacing w:line="260" w:lineRule="exact"/>
        <w:rPr>
          <w:rFonts w:ascii="Arial" w:hAnsi="Arial" w:cs="Arial"/>
          <w:color w:val="000000"/>
          <w:sz w:val="22"/>
          <w:szCs w:val="20"/>
        </w:rPr>
      </w:pPr>
      <w:r w:rsidRPr="002B6BCF">
        <w:rPr>
          <w:rFonts w:ascii="Arial" w:hAnsi="Arial" w:cs="Arial"/>
          <w:color w:val="000000"/>
          <w:sz w:val="22"/>
          <w:szCs w:val="20"/>
        </w:rPr>
        <w:t xml:space="preserve">Ljubljana, </w:t>
      </w:r>
      <w:r w:rsidR="002709AE" w:rsidRPr="002B6BCF">
        <w:rPr>
          <w:rFonts w:ascii="Arial" w:hAnsi="Arial" w:cs="Arial"/>
          <w:color w:val="000000"/>
          <w:sz w:val="22"/>
          <w:szCs w:val="20"/>
        </w:rPr>
        <w:t>dne</w:t>
      </w:r>
      <w:r w:rsidR="001A43B2">
        <w:rPr>
          <w:rFonts w:ascii="Arial" w:hAnsi="Arial" w:cs="Arial"/>
          <w:color w:val="000000"/>
          <w:sz w:val="22"/>
          <w:szCs w:val="20"/>
        </w:rPr>
        <w:t xml:space="preserve"> </w:t>
      </w:r>
      <w:r w:rsidR="00535FB2">
        <w:rPr>
          <w:rFonts w:ascii="Arial" w:hAnsi="Arial" w:cs="Arial"/>
          <w:color w:val="000000"/>
          <w:sz w:val="22"/>
          <w:szCs w:val="20"/>
        </w:rPr>
        <w:t>2</w:t>
      </w:r>
      <w:r w:rsidR="00D74E79">
        <w:rPr>
          <w:rFonts w:ascii="Arial" w:hAnsi="Arial" w:cs="Arial"/>
          <w:color w:val="000000"/>
          <w:sz w:val="22"/>
          <w:szCs w:val="20"/>
        </w:rPr>
        <w:t>4</w:t>
      </w:r>
      <w:r w:rsidR="00FC445B">
        <w:rPr>
          <w:rFonts w:ascii="Arial" w:hAnsi="Arial" w:cs="Arial"/>
          <w:color w:val="000000"/>
          <w:sz w:val="22"/>
          <w:szCs w:val="20"/>
        </w:rPr>
        <w:t>. decembra</w:t>
      </w:r>
      <w:r w:rsidR="009E7431">
        <w:rPr>
          <w:rFonts w:ascii="Arial" w:hAnsi="Arial" w:cs="Arial"/>
          <w:color w:val="000000"/>
          <w:sz w:val="22"/>
          <w:szCs w:val="20"/>
        </w:rPr>
        <w:t xml:space="preserve"> 2014</w:t>
      </w:r>
    </w:p>
    <w:p w:rsidR="002D5BE3" w:rsidRPr="002B6BCF" w:rsidRDefault="00091102" w:rsidP="002D5BE3">
      <w:pPr>
        <w:suppressAutoHyphens w:val="0"/>
        <w:spacing w:after="200" w:line="276" w:lineRule="auto"/>
        <w:rPr>
          <w:rFonts w:ascii="Calibri" w:eastAsia="Calibri" w:hAnsi="Calibri"/>
          <w:sz w:val="22"/>
          <w:szCs w:val="20"/>
          <w:lang w:eastAsia="en-US"/>
        </w:rPr>
      </w:pPr>
      <w:r>
        <w:rPr>
          <w:rFonts w:ascii="Arial" w:hAnsi="Arial" w:cs="Arial"/>
          <w:color w:val="000000"/>
          <w:sz w:val="22"/>
          <w:szCs w:val="20"/>
        </w:rPr>
        <w:t>EVA  2014-2430-002</w:t>
      </w:r>
      <w:r w:rsidR="002D5BE3" w:rsidRPr="002B6BCF">
        <w:rPr>
          <w:rFonts w:ascii="Arial" w:hAnsi="Arial" w:cs="Arial"/>
          <w:color w:val="000000"/>
          <w:sz w:val="22"/>
          <w:szCs w:val="20"/>
        </w:rPr>
        <w:t>5</w:t>
      </w:r>
    </w:p>
    <w:p w:rsidR="002B6BCF" w:rsidRPr="0034225D" w:rsidRDefault="0034225D" w:rsidP="00AD63E1">
      <w:pPr>
        <w:tabs>
          <w:tab w:val="left" w:pos="708"/>
        </w:tabs>
        <w:spacing w:line="260" w:lineRule="exact"/>
        <w:rPr>
          <w:rFonts w:ascii="Arial" w:hAnsi="Arial" w:cs="Arial"/>
          <w:color w:val="000000"/>
          <w:sz w:val="22"/>
          <w:szCs w:val="22"/>
        </w:rPr>
      </w:pP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w:t>
      </w:r>
      <w:r w:rsidRPr="0034225D">
        <w:rPr>
          <w:rFonts w:ascii="Arial" w:hAnsi="Arial" w:cs="Arial"/>
          <w:color w:val="000000"/>
          <w:sz w:val="22"/>
          <w:szCs w:val="22"/>
        </w:rPr>
        <w:t>Vlada Republike Slovenije</w:t>
      </w:r>
    </w:p>
    <w:p w:rsidR="002B6BCF" w:rsidRPr="0034225D" w:rsidRDefault="00FC445B" w:rsidP="00AD63E1">
      <w:pPr>
        <w:tabs>
          <w:tab w:val="left" w:pos="708"/>
        </w:tabs>
        <w:spacing w:line="260" w:lineRule="exact"/>
        <w:rPr>
          <w:rFonts w:ascii="Arial" w:hAnsi="Arial" w:cs="Arial"/>
          <w:color w:val="000000"/>
          <w:sz w:val="22"/>
          <w:szCs w:val="22"/>
        </w:rPr>
      </w:pP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t>dr. Miro Cerar</w:t>
      </w:r>
    </w:p>
    <w:p w:rsidR="00FC445B" w:rsidRPr="0034225D" w:rsidRDefault="00FC445B" w:rsidP="00AD63E1">
      <w:pPr>
        <w:tabs>
          <w:tab w:val="left" w:pos="708"/>
        </w:tabs>
        <w:spacing w:line="260" w:lineRule="exact"/>
        <w:rPr>
          <w:rFonts w:ascii="Arial" w:hAnsi="Arial" w:cs="Arial"/>
          <w:color w:val="000000"/>
          <w:sz w:val="22"/>
          <w:szCs w:val="22"/>
        </w:rPr>
      </w:pP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r>
      <w:r w:rsidRPr="0034225D">
        <w:rPr>
          <w:rFonts w:ascii="Arial" w:hAnsi="Arial" w:cs="Arial"/>
          <w:color w:val="000000"/>
          <w:sz w:val="22"/>
          <w:szCs w:val="22"/>
        </w:rPr>
        <w:tab/>
        <w:t xml:space="preserve">   predsednik</w:t>
      </w:r>
    </w:p>
    <w:p w:rsidR="002B6BCF" w:rsidRPr="0034225D" w:rsidRDefault="002B6BCF" w:rsidP="00AD63E1">
      <w:pPr>
        <w:tabs>
          <w:tab w:val="left" w:pos="708"/>
        </w:tabs>
        <w:spacing w:line="260" w:lineRule="exact"/>
        <w:rPr>
          <w:rFonts w:ascii="Arial" w:hAnsi="Arial" w:cs="Arial"/>
          <w:color w:val="000000"/>
          <w:sz w:val="22"/>
          <w:szCs w:val="22"/>
        </w:rPr>
      </w:pPr>
    </w:p>
    <w:p w:rsidR="002B6BCF" w:rsidRPr="002B6BCF" w:rsidRDefault="002B6BCF" w:rsidP="00EE6F80">
      <w:pPr>
        <w:suppressAutoHyphens w:val="0"/>
        <w:rPr>
          <w:rFonts w:ascii="Arial" w:eastAsia="Calibri" w:hAnsi="Arial" w:cs="Arial"/>
          <w:sz w:val="22"/>
          <w:szCs w:val="22"/>
          <w:lang w:eastAsia="en-US"/>
        </w:rPr>
      </w:pPr>
    </w:p>
    <w:p w:rsidR="00AD63E1" w:rsidRPr="00826F8D" w:rsidRDefault="00AD63E1" w:rsidP="00010154">
      <w:pPr>
        <w:tabs>
          <w:tab w:val="left" w:pos="708"/>
        </w:tabs>
        <w:spacing w:line="288" w:lineRule="auto"/>
        <w:rPr>
          <w:rFonts w:ascii="Arial" w:eastAsia="Calibri" w:hAnsi="Arial" w:cs="Arial"/>
          <w:b/>
          <w:sz w:val="22"/>
          <w:szCs w:val="20"/>
          <w:lang w:eastAsia="en-US"/>
        </w:rPr>
      </w:pPr>
      <w:bookmarkStart w:id="3" w:name="_GoBack"/>
      <w:bookmarkEnd w:id="3"/>
      <w:r>
        <w:rPr>
          <w:rFonts w:ascii="Arial" w:hAnsi="Arial" w:cs="Arial"/>
          <w:color w:val="000000"/>
          <w:sz w:val="20"/>
          <w:szCs w:val="20"/>
        </w:rPr>
        <w:br w:type="page"/>
      </w:r>
      <w:r w:rsidRPr="00826F8D">
        <w:rPr>
          <w:rFonts w:ascii="Arial" w:eastAsia="Calibri" w:hAnsi="Arial" w:cs="Arial"/>
          <w:b/>
          <w:sz w:val="22"/>
          <w:szCs w:val="20"/>
          <w:lang w:eastAsia="en-US"/>
        </w:rPr>
        <w:lastRenderedPageBreak/>
        <w:t>OBRAZLOŽITEV</w:t>
      </w:r>
    </w:p>
    <w:p w:rsidR="00AD63E1" w:rsidRPr="00826F8D" w:rsidRDefault="00AD63E1" w:rsidP="00010154">
      <w:pPr>
        <w:tabs>
          <w:tab w:val="left" w:pos="708"/>
        </w:tabs>
        <w:suppressAutoHyphens w:val="0"/>
        <w:spacing w:line="288" w:lineRule="auto"/>
        <w:rPr>
          <w:rFonts w:ascii="Arial" w:eastAsia="Calibri" w:hAnsi="Arial" w:cs="Arial"/>
          <w:b/>
          <w:sz w:val="22"/>
          <w:szCs w:val="20"/>
          <w:lang w:eastAsia="en-US"/>
        </w:rPr>
      </w:pPr>
    </w:p>
    <w:p w:rsidR="00AD63E1" w:rsidRPr="00826F8D" w:rsidRDefault="00AD63E1" w:rsidP="00010154">
      <w:pPr>
        <w:tabs>
          <w:tab w:val="left" w:pos="708"/>
        </w:tabs>
        <w:suppressAutoHyphens w:val="0"/>
        <w:spacing w:line="288" w:lineRule="auto"/>
        <w:rPr>
          <w:rFonts w:ascii="Arial" w:eastAsia="Calibri" w:hAnsi="Arial" w:cs="Arial"/>
          <w:b/>
          <w:i/>
          <w:sz w:val="22"/>
          <w:szCs w:val="20"/>
          <w:u w:val="single"/>
          <w:lang w:eastAsia="en-US"/>
        </w:rPr>
      </w:pPr>
      <w:r w:rsidRPr="00826F8D">
        <w:rPr>
          <w:rFonts w:ascii="Arial" w:eastAsia="Calibri" w:hAnsi="Arial" w:cs="Arial"/>
          <w:b/>
          <w:i/>
          <w:sz w:val="22"/>
          <w:szCs w:val="20"/>
          <w:u w:val="single"/>
          <w:lang w:eastAsia="en-US"/>
        </w:rPr>
        <w:t>I. UVOD</w:t>
      </w:r>
    </w:p>
    <w:p w:rsidR="00AD63E1" w:rsidRPr="00826F8D" w:rsidRDefault="00AD63E1" w:rsidP="00010154">
      <w:pPr>
        <w:tabs>
          <w:tab w:val="left" w:pos="708"/>
        </w:tabs>
        <w:suppressAutoHyphens w:val="0"/>
        <w:spacing w:line="288" w:lineRule="auto"/>
        <w:ind w:left="720"/>
        <w:rPr>
          <w:rFonts w:ascii="Arial" w:eastAsia="Calibri" w:hAnsi="Arial" w:cs="Arial"/>
          <w:sz w:val="22"/>
          <w:szCs w:val="20"/>
          <w:lang w:eastAsia="en-US"/>
        </w:rPr>
      </w:pPr>
    </w:p>
    <w:p w:rsidR="006A0C72" w:rsidRPr="00826F8D" w:rsidRDefault="00AD63E1" w:rsidP="00010154">
      <w:pPr>
        <w:pStyle w:val="Odstavekseznama"/>
        <w:numPr>
          <w:ilvl w:val="0"/>
          <w:numId w:val="6"/>
        </w:numPr>
        <w:tabs>
          <w:tab w:val="clear" w:pos="-360"/>
          <w:tab w:val="num" w:pos="0"/>
          <w:tab w:val="left" w:pos="708"/>
        </w:tabs>
        <w:suppressAutoHyphens w:val="0"/>
        <w:spacing w:after="200" w:line="288" w:lineRule="auto"/>
        <w:ind w:left="0" w:firstLine="0"/>
        <w:jc w:val="both"/>
        <w:rPr>
          <w:rFonts w:ascii="Arial" w:eastAsia="Calibri" w:hAnsi="Arial" w:cs="Arial"/>
          <w:b/>
          <w:i/>
          <w:sz w:val="22"/>
          <w:szCs w:val="20"/>
          <w:lang w:eastAsia="en-US"/>
        </w:rPr>
      </w:pPr>
      <w:r w:rsidRPr="00826F8D">
        <w:rPr>
          <w:rFonts w:ascii="Arial" w:eastAsia="Calibri" w:hAnsi="Arial" w:cs="Arial"/>
          <w:b/>
          <w:i/>
          <w:sz w:val="22"/>
          <w:szCs w:val="20"/>
          <w:lang w:eastAsia="en-US"/>
        </w:rPr>
        <w:t>Pravna podlaga (besedilo, vsebina zakonske določbe, ki je podlaga za izdajo uredbe)</w:t>
      </w:r>
      <w:r w:rsidR="0053060F" w:rsidRPr="00826F8D">
        <w:rPr>
          <w:rFonts w:ascii="Arial" w:eastAsia="Calibri" w:hAnsi="Arial" w:cs="Arial"/>
          <w:b/>
          <w:i/>
          <w:sz w:val="22"/>
          <w:szCs w:val="20"/>
          <w:lang w:eastAsia="en-US"/>
        </w:rPr>
        <w:t xml:space="preserve">: </w:t>
      </w:r>
    </w:p>
    <w:p w:rsidR="006A0C72" w:rsidRPr="00826F8D" w:rsidRDefault="006A0C72" w:rsidP="00010154">
      <w:pPr>
        <w:pStyle w:val="Odstavekseznama"/>
        <w:tabs>
          <w:tab w:val="left" w:pos="708"/>
        </w:tabs>
        <w:suppressAutoHyphens w:val="0"/>
        <w:spacing w:after="200" w:line="288" w:lineRule="auto"/>
        <w:ind w:left="0"/>
        <w:jc w:val="both"/>
        <w:rPr>
          <w:rFonts w:ascii="Arial" w:eastAsia="Calibri" w:hAnsi="Arial" w:cs="Arial"/>
          <w:sz w:val="22"/>
          <w:szCs w:val="20"/>
          <w:lang w:eastAsia="en-US"/>
        </w:rPr>
      </w:pPr>
    </w:p>
    <w:p w:rsidR="00AD63E1" w:rsidRPr="00826F8D" w:rsidRDefault="00771DC9" w:rsidP="00010154">
      <w:pPr>
        <w:pStyle w:val="Odstavekseznama"/>
        <w:tabs>
          <w:tab w:val="left" w:pos="708"/>
        </w:tabs>
        <w:suppressAutoHyphens w:val="0"/>
        <w:spacing w:after="200" w:line="288" w:lineRule="auto"/>
        <w:ind w:left="0"/>
        <w:jc w:val="both"/>
        <w:rPr>
          <w:rFonts w:ascii="Arial" w:eastAsia="Calibri" w:hAnsi="Arial" w:cs="Arial"/>
          <w:sz w:val="22"/>
          <w:szCs w:val="20"/>
          <w:lang w:eastAsia="en-US"/>
        </w:rPr>
      </w:pPr>
      <w:r w:rsidRPr="00826F8D">
        <w:rPr>
          <w:rFonts w:ascii="Arial" w:eastAsia="Calibri" w:hAnsi="Arial" w:cs="Arial"/>
          <w:sz w:val="22"/>
          <w:szCs w:val="20"/>
          <w:lang w:eastAsia="en-US"/>
        </w:rPr>
        <w:t>Tretji</w:t>
      </w:r>
      <w:r w:rsidR="00AD63E1" w:rsidRPr="00826F8D">
        <w:rPr>
          <w:rFonts w:ascii="Arial" w:eastAsia="Calibri" w:hAnsi="Arial" w:cs="Arial"/>
          <w:sz w:val="22"/>
          <w:szCs w:val="20"/>
          <w:lang w:eastAsia="en-US"/>
        </w:rPr>
        <w:t xml:space="preserve"> odstavek </w:t>
      </w:r>
      <w:r w:rsidR="00970214" w:rsidRPr="00826F8D">
        <w:rPr>
          <w:rFonts w:ascii="Arial" w:eastAsia="Calibri" w:hAnsi="Arial" w:cs="Arial"/>
          <w:sz w:val="22"/>
          <w:szCs w:val="20"/>
          <w:lang w:eastAsia="en-US"/>
        </w:rPr>
        <w:t>31</w:t>
      </w:r>
      <w:r w:rsidR="00970214">
        <w:rPr>
          <w:rFonts w:ascii="Arial" w:eastAsia="Calibri" w:hAnsi="Arial" w:cs="Arial"/>
          <w:sz w:val="22"/>
          <w:szCs w:val="20"/>
          <w:lang w:eastAsia="en-US"/>
        </w:rPr>
        <w:t>7</w:t>
      </w:r>
      <w:r w:rsidR="00AD63E1" w:rsidRPr="00826F8D">
        <w:rPr>
          <w:rFonts w:ascii="Arial" w:eastAsia="Calibri" w:hAnsi="Arial" w:cs="Arial"/>
          <w:sz w:val="22"/>
          <w:szCs w:val="20"/>
          <w:lang w:eastAsia="en-US"/>
        </w:rPr>
        <w:t>. člena</w:t>
      </w:r>
      <w:r w:rsidR="006D7A36">
        <w:rPr>
          <w:rFonts w:ascii="Arial" w:eastAsia="Calibri" w:hAnsi="Arial" w:cs="Arial"/>
          <w:sz w:val="22"/>
          <w:szCs w:val="20"/>
          <w:lang w:eastAsia="en-US"/>
        </w:rPr>
        <w:t xml:space="preserve">, </w:t>
      </w:r>
      <w:r w:rsidRPr="00826F8D">
        <w:rPr>
          <w:rFonts w:ascii="Arial" w:eastAsia="Calibri" w:hAnsi="Arial" w:cs="Arial"/>
          <w:sz w:val="22"/>
          <w:szCs w:val="20"/>
          <w:lang w:eastAsia="en-US"/>
        </w:rPr>
        <w:t>tretji</w:t>
      </w:r>
      <w:r w:rsidR="006D7A36">
        <w:rPr>
          <w:rFonts w:ascii="Arial" w:eastAsia="Calibri" w:hAnsi="Arial" w:cs="Arial"/>
          <w:sz w:val="22"/>
          <w:szCs w:val="20"/>
          <w:lang w:eastAsia="en-US"/>
        </w:rPr>
        <w:t xml:space="preserve"> in četrti</w:t>
      </w:r>
      <w:r w:rsidRPr="00826F8D">
        <w:rPr>
          <w:rFonts w:ascii="Arial" w:eastAsia="Calibri" w:hAnsi="Arial" w:cs="Arial"/>
          <w:sz w:val="22"/>
          <w:szCs w:val="20"/>
          <w:lang w:eastAsia="en-US"/>
        </w:rPr>
        <w:t xml:space="preserve"> odstavek </w:t>
      </w:r>
      <w:r w:rsidR="00970214" w:rsidRPr="00826F8D">
        <w:rPr>
          <w:rFonts w:ascii="Arial" w:eastAsia="Calibri" w:hAnsi="Arial" w:cs="Arial"/>
          <w:sz w:val="22"/>
          <w:szCs w:val="20"/>
          <w:lang w:eastAsia="en-US"/>
        </w:rPr>
        <w:t>31</w:t>
      </w:r>
      <w:r w:rsidR="00970214">
        <w:rPr>
          <w:rFonts w:ascii="Arial" w:eastAsia="Calibri" w:hAnsi="Arial" w:cs="Arial"/>
          <w:sz w:val="22"/>
          <w:szCs w:val="20"/>
          <w:lang w:eastAsia="en-US"/>
        </w:rPr>
        <w:t>8</w:t>
      </w:r>
      <w:r w:rsidRPr="00826F8D">
        <w:rPr>
          <w:rFonts w:ascii="Arial" w:eastAsia="Calibri" w:hAnsi="Arial" w:cs="Arial"/>
          <w:sz w:val="22"/>
          <w:szCs w:val="20"/>
          <w:lang w:eastAsia="en-US"/>
        </w:rPr>
        <w:t>. člena</w:t>
      </w:r>
      <w:r w:rsidR="006D7A36">
        <w:rPr>
          <w:rFonts w:ascii="Arial" w:eastAsia="Calibri" w:hAnsi="Arial" w:cs="Arial"/>
          <w:sz w:val="22"/>
          <w:szCs w:val="20"/>
          <w:lang w:eastAsia="en-US"/>
        </w:rPr>
        <w:t xml:space="preserve"> ter drugi odstavek 319. člena</w:t>
      </w:r>
      <w:r w:rsidR="00AD63E1" w:rsidRPr="00826F8D">
        <w:rPr>
          <w:rFonts w:ascii="Arial" w:eastAsia="Calibri" w:hAnsi="Arial" w:cs="Arial"/>
          <w:sz w:val="22"/>
          <w:szCs w:val="20"/>
          <w:lang w:eastAsia="en-US"/>
        </w:rPr>
        <w:t xml:space="preserve"> Energetskega zakona</w:t>
      </w:r>
      <w:r w:rsidRPr="00826F8D">
        <w:rPr>
          <w:rFonts w:ascii="Arial" w:eastAsia="Calibri" w:hAnsi="Arial" w:cs="Arial"/>
          <w:sz w:val="22"/>
          <w:szCs w:val="20"/>
          <w:lang w:eastAsia="en-US"/>
        </w:rPr>
        <w:t xml:space="preserve"> (</w:t>
      </w:r>
      <w:r w:rsidR="005C139E">
        <w:rPr>
          <w:rFonts w:ascii="Arial" w:eastAsia="Calibri" w:hAnsi="Arial" w:cs="Arial"/>
          <w:sz w:val="22"/>
          <w:szCs w:val="20"/>
          <w:lang w:eastAsia="en-US"/>
        </w:rPr>
        <w:t>v nadaljnjem besedilu:</w:t>
      </w:r>
      <w:r w:rsidR="006D7A36">
        <w:rPr>
          <w:rFonts w:ascii="Arial" w:eastAsia="Calibri" w:hAnsi="Arial" w:cs="Arial"/>
          <w:sz w:val="22"/>
          <w:szCs w:val="20"/>
          <w:lang w:eastAsia="en-US"/>
        </w:rPr>
        <w:t xml:space="preserve"> </w:t>
      </w:r>
      <w:r w:rsidRPr="00826F8D">
        <w:rPr>
          <w:rFonts w:ascii="Arial" w:eastAsia="Calibri" w:hAnsi="Arial" w:cs="Arial"/>
          <w:sz w:val="22"/>
          <w:szCs w:val="20"/>
          <w:lang w:eastAsia="en-US"/>
        </w:rPr>
        <w:t>EZ-1) (Uradni list RS, št. 17/</w:t>
      </w:r>
      <w:r w:rsidR="00AD63E1" w:rsidRPr="00826F8D">
        <w:rPr>
          <w:rFonts w:ascii="Arial" w:eastAsia="Calibri" w:hAnsi="Arial" w:cs="Arial"/>
          <w:sz w:val="22"/>
          <w:szCs w:val="20"/>
          <w:lang w:eastAsia="en-US"/>
        </w:rPr>
        <w:t>14).</w:t>
      </w:r>
    </w:p>
    <w:p w:rsidR="00AD63E1" w:rsidRPr="00826F8D" w:rsidRDefault="00AD63E1" w:rsidP="00010154">
      <w:pPr>
        <w:tabs>
          <w:tab w:val="left" w:pos="708"/>
        </w:tabs>
        <w:suppressAutoHyphens w:val="0"/>
        <w:spacing w:line="288" w:lineRule="auto"/>
        <w:ind w:firstLine="708"/>
        <w:rPr>
          <w:rFonts w:ascii="Arial" w:eastAsia="Calibri" w:hAnsi="Arial" w:cs="Arial"/>
          <w:sz w:val="22"/>
          <w:szCs w:val="20"/>
          <w:lang w:eastAsia="en-US"/>
        </w:rPr>
      </w:pPr>
    </w:p>
    <w:p w:rsidR="006A0C72" w:rsidRPr="00826F8D" w:rsidRDefault="00AD63E1" w:rsidP="00010154">
      <w:pPr>
        <w:numPr>
          <w:ilvl w:val="0"/>
          <w:numId w:val="6"/>
        </w:numPr>
        <w:tabs>
          <w:tab w:val="clear" w:pos="-360"/>
          <w:tab w:val="num" w:pos="0"/>
        </w:tabs>
        <w:suppressAutoHyphens w:val="0"/>
        <w:spacing w:after="200" w:line="288" w:lineRule="auto"/>
        <w:ind w:left="0" w:firstLine="0"/>
        <w:jc w:val="both"/>
        <w:rPr>
          <w:rFonts w:ascii="Arial" w:eastAsia="Calibri" w:hAnsi="Arial" w:cs="Arial"/>
          <w:b/>
          <w:i/>
          <w:sz w:val="22"/>
          <w:szCs w:val="20"/>
          <w:lang w:eastAsia="en-US"/>
        </w:rPr>
      </w:pPr>
      <w:r w:rsidRPr="00826F8D">
        <w:rPr>
          <w:rFonts w:ascii="Arial" w:eastAsia="Calibri" w:hAnsi="Arial" w:cs="Arial"/>
          <w:b/>
          <w:i/>
          <w:sz w:val="22"/>
          <w:szCs w:val="20"/>
          <w:lang w:eastAsia="en-US"/>
        </w:rPr>
        <w:t>Rok za izdajo uredbe, določen z zakonom</w:t>
      </w:r>
      <w:r w:rsidR="0053060F" w:rsidRPr="00826F8D">
        <w:rPr>
          <w:rFonts w:ascii="Arial" w:eastAsia="Calibri" w:hAnsi="Arial" w:cs="Arial"/>
          <w:b/>
          <w:i/>
          <w:sz w:val="22"/>
          <w:szCs w:val="20"/>
          <w:lang w:eastAsia="en-US"/>
        </w:rPr>
        <w:t xml:space="preserve">: </w:t>
      </w:r>
    </w:p>
    <w:p w:rsidR="00AD63E1" w:rsidRPr="00826F8D" w:rsidRDefault="00AD63E1"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5</w:t>
      </w:r>
      <w:r w:rsidR="00771DC9" w:rsidRPr="00826F8D">
        <w:rPr>
          <w:rFonts w:ascii="Arial" w:eastAsia="Calibri" w:hAnsi="Arial" w:cs="Arial"/>
          <w:sz w:val="22"/>
          <w:szCs w:val="20"/>
          <w:lang w:eastAsia="en-US"/>
        </w:rPr>
        <w:t>5</w:t>
      </w:r>
      <w:r w:rsidRPr="00826F8D">
        <w:rPr>
          <w:rFonts w:ascii="Arial" w:eastAsia="Calibri" w:hAnsi="Arial" w:cs="Arial"/>
          <w:sz w:val="22"/>
          <w:szCs w:val="20"/>
          <w:lang w:eastAsia="en-US"/>
        </w:rPr>
        <w:t>3. člen Energetskega zakona določa, da mora Vlada sprejeti uredb</w:t>
      </w:r>
      <w:r w:rsidR="00771DC9" w:rsidRPr="00826F8D">
        <w:rPr>
          <w:rFonts w:ascii="Arial" w:eastAsia="Calibri" w:hAnsi="Arial" w:cs="Arial"/>
          <w:sz w:val="22"/>
          <w:szCs w:val="20"/>
          <w:lang w:eastAsia="en-US"/>
        </w:rPr>
        <w:t>e</w:t>
      </w:r>
      <w:r w:rsidRPr="00826F8D">
        <w:rPr>
          <w:rFonts w:ascii="Arial" w:eastAsia="Calibri" w:hAnsi="Arial" w:cs="Arial"/>
          <w:sz w:val="22"/>
          <w:szCs w:val="20"/>
          <w:lang w:eastAsia="en-US"/>
        </w:rPr>
        <w:t xml:space="preserve"> na podlagi </w:t>
      </w:r>
      <w:r w:rsidR="00771DC9" w:rsidRPr="00826F8D">
        <w:rPr>
          <w:rFonts w:ascii="Arial" w:eastAsia="Calibri" w:hAnsi="Arial" w:cs="Arial"/>
          <w:sz w:val="22"/>
          <w:szCs w:val="20"/>
          <w:lang w:eastAsia="en-US"/>
        </w:rPr>
        <w:t xml:space="preserve">EZ-1 </w:t>
      </w:r>
      <w:r w:rsidRPr="00826F8D">
        <w:rPr>
          <w:rFonts w:ascii="Arial" w:eastAsia="Calibri" w:hAnsi="Arial" w:cs="Arial"/>
          <w:sz w:val="22"/>
          <w:szCs w:val="20"/>
          <w:lang w:eastAsia="en-US"/>
        </w:rPr>
        <w:t xml:space="preserve">v roku </w:t>
      </w:r>
      <w:r w:rsidR="00771DC9" w:rsidRPr="00826F8D">
        <w:rPr>
          <w:rFonts w:ascii="Arial" w:eastAsia="Calibri" w:hAnsi="Arial" w:cs="Arial"/>
          <w:sz w:val="22"/>
          <w:szCs w:val="20"/>
          <w:lang w:eastAsia="en-US"/>
        </w:rPr>
        <w:t>12</w:t>
      </w:r>
      <w:r w:rsidRPr="00826F8D">
        <w:rPr>
          <w:rFonts w:ascii="Arial" w:eastAsia="Calibri" w:hAnsi="Arial" w:cs="Arial"/>
          <w:sz w:val="22"/>
          <w:szCs w:val="20"/>
          <w:lang w:eastAsia="en-US"/>
        </w:rPr>
        <w:t xml:space="preserve"> mesecev od uveljavitve zakona.</w:t>
      </w:r>
    </w:p>
    <w:p w:rsidR="00AD63E1" w:rsidRPr="00826F8D" w:rsidRDefault="00AD63E1" w:rsidP="00010154">
      <w:pPr>
        <w:tabs>
          <w:tab w:val="left" w:pos="708"/>
        </w:tabs>
        <w:suppressAutoHyphens w:val="0"/>
        <w:spacing w:line="288" w:lineRule="auto"/>
        <w:rPr>
          <w:rFonts w:ascii="Arial" w:eastAsia="Calibri" w:hAnsi="Arial" w:cs="Arial"/>
          <w:sz w:val="22"/>
          <w:szCs w:val="20"/>
          <w:lang w:eastAsia="en-US"/>
        </w:rPr>
      </w:pPr>
    </w:p>
    <w:p w:rsidR="00AD63E1" w:rsidRPr="00826F8D" w:rsidRDefault="0053060F" w:rsidP="00010154">
      <w:pPr>
        <w:numPr>
          <w:ilvl w:val="0"/>
          <w:numId w:val="6"/>
        </w:numPr>
        <w:tabs>
          <w:tab w:val="num" w:pos="0"/>
        </w:tabs>
        <w:suppressAutoHyphens w:val="0"/>
        <w:spacing w:after="200" w:line="288" w:lineRule="auto"/>
        <w:ind w:left="360"/>
        <w:jc w:val="both"/>
        <w:rPr>
          <w:rFonts w:ascii="Arial" w:eastAsia="Calibri" w:hAnsi="Arial" w:cs="Arial"/>
          <w:b/>
          <w:i/>
          <w:sz w:val="22"/>
          <w:szCs w:val="20"/>
          <w:lang w:eastAsia="en-US"/>
        </w:rPr>
      </w:pPr>
      <w:r w:rsidRPr="00826F8D">
        <w:rPr>
          <w:rFonts w:ascii="Arial" w:eastAsia="Calibri" w:hAnsi="Arial" w:cs="Arial"/>
          <w:b/>
          <w:i/>
          <w:sz w:val="22"/>
          <w:szCs w:val="20"/>
          <w:lang w:eastAsia="en-US"/>
        </w:rPr>
        <w:t xml:space="preserve">     </w:t>
      </w:r>
      <w:r w:rsidR="00AD63E1" w:rsidRPr="00826F8D">
        <w:rPr>
          <w:rFonts w:ascii="Arial" w:eastAsia="Calibri" w:hAnsi="Arial" w:cs="Arial"/>
          <w:b/>
          <w:i/>
          <w:sz w:val="22"/>
          <w:szCs w:val="20"/>
          <w:lang w:eastAsia="en-US"/>
        </w:rPr>
        <w:t>Splošna obrazložitev predloga uredbe, če je potrebna</w:t>
      </w:r>
      <w:r w:rsidRPr="00826F8D">
        <w:rPr>
          <w:rFonts w:ascii="Arial" w:eastAsia="Calibri" w:hAnsi="Arial" w:cs="Arial"/>
          <w:b/>
          <w:i/>
          <w:sz w:val="22"/>
          <w:szCs w:val="20"/>
          <w:lang w:eastAsia="en-US"/>
        </w:rPr>
        <w:t>:</w:t>
      </w:r>
    </w:p>
    <w:p w:rsidR="00756A1F" w:rsidRPr="00826F8D" w:rsidRDefault="00756A1F"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Določbe 7</w:t>
      </w:r>
      <w:r w:rsidR="0065326B">
        <w:rPr>
          <w:rFonts w:ascii="Arial" w:eastAsia="Calibri" w:hAnsi="Arial" w:cs="Arial"/>
          <w:sz w:val="22"/>
          <w:szCs w:val="20"/>
          <w:lang w:eastAsia="en-US"/>
        </w:rPr>
        <w:t>. člena</w:t>
      </w:r>
      <w:r w:rsidRPr="00826F8D">
        <w:rPr>
          <w:rFonts w:ascii="Arial" w:eastAsia="Calibri" w:hAnsi="Arial" w:cs="Arial"/>
          <w:sz w:val="22"/>
          <w:szCs w:val="20"/>
          <w:lang w:eastAsia="en-US"/>
        </w:rPr>
        <w:t xml:space="preserve"> Direktive </w:t>
      </w:r>
      <w:r w:rsidR="00443134">
        <w:rPr>
          <w:rFonts w:ascii="Arial" w:eastAsia="Calibri" w:hAnsi="Arial" w:cs="Arial"/>
          <w:sz w:val="22"/>
          <w:szCs w:val="20"/>
          <w:lang w:eastAsia="en-US"/>
        </w:rPr>
        <w:t xml:space="preserve">2012/27/EU Evropskega parlamenta in Sveta z dne 25. oktobra 2012 </w:t>
      </w:r>
      <w:r w:rsidRPr="00826F8D">
        <w:rPr>
          <w:rFonts w:ascii="Arial" w:eastAsia="Calibri" w:hAnsi="Arial" w:cs="Arial"/>
          <w:sz w:val="22"/>
          <w:szCs w:val="20"/>
          <w:lang w:eastAsia="en-US"/>
        </w:rPr>
        <w:t>o energetski učinkovitosti</w:t>
      </w:r>
      <w:r w:rsidR="00443134">
        <w:rPr>
          <w:rFonts w:ascii="Arial" w:eastAsia="Calibri" w:hAnsi="Arial" w:cs="Arial"/>
          <w:sz w:val="22"/>
          <w:szCs w:val="20"/>
          <w:lang w:eastAsia="en-US"/>
        </w:rPr>
        <w:t xml:space="preserve">, spremembi direktiv 2009/125/ES in 2010/30/EU ter razveljavitvi direktiv 2004/8/ES in 2006/32/ES </w:t>
      </w:r>
      <w:r w:rsidRPr="00826F8D">
        <w:rPr>
          <w:rFonts w:ascii="Arial" w:eastAsia="Calibri" w:hAnsi="Arial" w:cs="Arial"/>
          <w:sz w:val="22"/>
          <w:szCs w:val="20"/>
          <w:lang w:eastAsia="en-US"/>
        </w:rPr>
        <w:t>(</w:t>
      </w:r>
      <w:r w:rsidR="00970214">
        <w:rPr>
          <w:rFonts w:ascii="Arial" w:eastAsia="Calibri" w:hAnsi="Arial" w:cs="Arial"/>
          <w:sz w:val="22"/>
          <w:szCs w:val="20"/>
          <w:lang w:eastAsia="en-US"/>
        </w:rPr>
        <w:t>v nadaljnjem besedilu:</w:t>
      </w:r>
      <w:r w:rsidR="00194B09">
        <w:rPr>
          <w:rFonts w:ascii="Arial" w:eastAsia="Calibri" w:hAnsi="Arial" w:cs="Arial"/>
          <w:sz w:val="22"/>
          <w:szCs w:val="20"/>
          <w:lang w:eastAsia="en-US"/>
        </w:rPr>
        <w:t xml:space="preserve"> </w:t>
      </w:r>
      <w:r w:rsidR="00970214">
        <w:rPr>
          <w:rFonts w:ascii="Arial" w:eastAsia="Calibri" w:hAnsi="Arial" w:cs="Arial"/>
          <w:sz w:val="22"/>
          <w:szCs w:val="20"/>
          <w:lang w:eastAsia="en-US"/>
        </w:rPr>
        <w:t xml:space="preserve">Direktiva </w:t>
      </w:r>
      <w:r w:rsidRPr="00826F8D">
        <w:rPr>
          <w:rFonts w:ascii="Arial" w:eastAsia="Calibri" w:hAnsi="Arial" w:cs="Arial"/>
          <w:sz w:val="22"/>
          <w:szCs w:val="20"/>
          <w:lang w:eastAsia="en-US"/>
        </w:rPr>
        <w:t>2012/27/EU) določajo</w:t>
      </w:r>
      <w:r w:rsidR="00970214">
        <w:rPr>
          <w:rFonts w:ascii="Arial" w:eastAsia="Calibri" w:hAnsi="Arial" w:cs="Arial"/>
          <w:sz w:val="22"/>
          <w:szCs w:val="20"/>
          <w:lang w:eastAsia="en-US"/>
        </w:rPr>
        <w:t>,</w:t>
      </w:r>
      <w:r w:rsidRPr="00826F8D">
        <w:rPr>
          <w:rFonts w:ascii="Arial" w:eastAsia="Calibri" w:hAnsi="Arial" w:cs="Arial"/>
          <w:sz w:val="22"/>
          <w:szCs w:val="20"/>
          <w:lang w:eastAsia="en-US"/>
        </w:rPr>
        <w:t xml:space="preserve"> da mora vsaka država članica določiti sistem obveznosti energetske učinkovitosti, s katerim zagotovi, da distributerji energije oziroma podjetja za maloprodajo energije, ki delujejo na ozemlju posamezne države članice, do 31. decembra 2020 dosežejo cilj skupnega prihranka končne energije. Ciljni prihranek energije so letni prihranki energije v obdobju od 1. januarja 2014 do 31. decembra 2020 in sicer v višini 1,5 % letne količine prodane energije končnim odjemalcem s strani vseh distributerjev energije ali vseh podjetij za maloprodajo energije glede na povprečje v zadnjih treh letih pred 1. januarjem 2013. </w:t>
      </w:r>
    </w:p>
    <w:p w:rsidR="00756A1F" w:rsidRPr="00826F8D" w:rsidRDefault="00756A1F" w:rsidP="00010154">
      <w:pPr>
        <w:suppressAutoHyphens w:val="0"/>
        <w:spacing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Direktiva določa tudi pogoje</w:t>
      </w:r>
      <w:r w:rsidR="00970214">
        <w:rPr>
          <w:rFonts w:ascii="Arial" w:eastAsia="Calibri" w:hAnsi="Arial" w:cs="Arial"/>
          <w:sz w:val="22"/>
          <w:szCs w:val="20"/>
          <w:lang w:eastAsia="en-US"/>
        </w:rPr>
        <w:t>,</w:t>
      </w:r>
      <w:r w:rsidRPr="00826F8D">
        <w:rPr>
          <w:rFonts w:ascii="Arial" w:eastAsia="Calibri" w:hAnsi="Arial" w:cs="Arial"/>
          <w:sz w:val="22"/>
          <w:szCs w:val="20"/>
          <w:lang w:eastAsia="en-US"/>
        </w:rPr>
        <w:t xml:space="preserve"> pod katerimi se ciljni prihranek energije lahko zmanjša, pri čemer je skupno zmanjšanje lahko  največ za 25 %, in sicer iz naslednjih razlogov:</w:t>
      </w:r>
    </w:p>
    <w:p w:rsidR="00756A1F" w:rsidRPr="00826F8D" w:rsidRDefault="00756A1F" w:rsidP="00010154">
      <w:pPr>
        <w:pStyle w:val="Odstavekseznama"/>
        <w:numPr>
          <w:ilvl w:val="0"/>
          <w:numId w:val="31"/>
        </w:num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pri izračunu, se lahko uporabi vrednost 1 % v letih 2014 in 2015, 1,25 % v letih 2016 in 2017 ter 1,5 % v letih 2018, 2019 in 2020;</w:t>
      </w:r>
    </w:p>
    <w:p w:rsidR="00756A1F" w:rsidRPr="00826F8D" w:rsidRDefault="00756A1F" w:rsidP="00010154">
      <w:pPr>
        <w:pStyle w:val="Odstavekseznama"/>
        <w:numPr>
          <w:ilvl w:val="0"/>
          <w:numId w:val="31"/>
        </w:num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iz izračuna se lahko izključi vso ali del količine prodane energije, ki se uporablja v industrijskih dejavnostih, navedenih v Prilogi I k Direktivi 2003/87/ES;</w:t>
      </w:r>
    </w:p>
    <w:p w:rsidR="00756A1F" w:rsidRPr="00826F8D" w:rsidRDefault="00756A1F" w:rsidP="00010154">
      <w:pPr>
        <w:pStyle w:val="Odstavekseznama"/>
        <w:numPr>
          <w:ilvl w:val="0"/>
          <w:numId w:val="31"/>
        </w:num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lahko se dovoli, da se upošteva prihranek energije, dosežen v sektorjih pretvorbe, distribucije in prenosa energije, vključno z infrastrukturami za učinkovito daljinsko ogrevanje in hlajenje;</w:t>
      </w:r>
    </w:p>
    <w:p w:rsidR="00756A1F" w:rsidRPr="00826F8D" w:rsidRDefault="00756A1F" w:rsidP="00010154">
      <w:pPr>
        <w:pStyle w:val="Odstavekseznama"/>
        <w:numPr>
          <w:ilvl w:val="0"/>
          <w:numId w:val="31"/>
        </w:num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lahko se upošteva prihranek energije, ki izhaja iz posameznih ukrepov, ki se po novem izvajajo od 31. decembra 2008 in so še vedno učinkoviti leta 2020 ter jih je mogoče meriti in preverjati.</w:t>
      </w:r>
    </w:p>
    <w:p w:rsidR="00756A1F" w:rsidRPr="00826F8D" w:rsidRDefault="00756A1F"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V 20</w:t>
      </w:r>
      <w:r w:rsidR="0065326B">
        <w:rPr>
          <w:rFonts w:ascii="Arial" w:eastAsia="Calibri" w:hAnsi="Arial" w:cs="Arial"/>
          <w:sz w:val="22"/>
          <w:szCs w:val="20"/>
          <w:lang w:eastAsia="en-US"/>
        </w:rPr>
        <w:t>. členu</w:t>
      </w:r>
      <w:r w:rsidRPr="00826F8D">
        <w:rPr>
          <w:rFonts w:ascii="Arial" w:eastAsia="Calibri" w:hAnsi="Arial" w:cs="Arial"/>
          <w:sz w:val="22"/>
          <w:szCs w:val="20"/>
          <w:lang w:eastAsia="en-US"/>
        </w:rPr>
        <w:t xml:space="preserve"> </w:t>
      </w:r>
      <w:r w:rsidR="00970214">
        <w:rPr>
          <w:rFonts w:ascii="Arial" w:eastAsia="Calibri" w:hAnsi="Arial" w:cs="Arial"/>
          <w:sz w:val="22"/>
          <w:szCs w:val="20"/>
          <w:lang w:eastAsia="en-US"/>
        </w:rPr>
        <w:t>Direktive</w:t>
      </w:r>
      <w:r w:rsidR="00970214" w:rsidRPr="00970214">
        <w:rPr>
          <w:rFonts w:ascii="Arial" w:eastAsia="Calibri" w:hAnsi="Arial" w:cs="Arial"/>
          <w:sz w:val="22"/>
          <w:szCs w:val="20"/>
          <w:lang w:eastAsia="en-US"/>
        </w:rPr>
        <w:t xml:space="preserve"> </w:t>
      </w:r>
      <w:r w:rsidR="00970214" w:rsidRPr="00826F8D">
        <w:rPr>
          <w:rFonts w:ascii="Arial" w:eastAsia="Calibri" w:hAnsi="Arial" w:cs="Arial"/>
          <w:sz w:val="22"/>
          <w:szCs w:val="20"/>
          <w:lang w:eastAsia="en-US"/>
        </w:rPr>
        <w:t>2012</w:t>
      </w:r>
      <w:r w:rsidR="00970214">
        <w:rPr>
          <w:rFonts w:ascii="Arial" w:eastAsia="Calibri" w:hAnsi="Arial" w:cs="Arial"/>
          <w:sz w:val="22"/>
          <w:szCs w:val="20"/>
          <w:lang w:eastAsia="en-US"/>
        </w:rPr>
        <w:t xml:space="preserve">/27/EU </w:t>
      </w:r>
      <w:r w:rsidRPr="00826F8D">
        <w:rPr>
          <w:rFonts w:ascii="Arial" w:eastAsia="Calibri" w:hAnsi="Arial" w:cs="Arial"/>
          <w:sz w:val="22"/>
          <w:szCs w:val="20"/>
          <w:lang w:eastAsia="en-US"/>
        </w:rPr>
        <w:t xml:space="preserve">je določeno, da države članice lahko ustanovijo nacionalni sklad za energetsko učinkovitost, katerega namen je spodbujati izboljšanje energetske učinkovitosti. Nadalje je na podlagi določb tega člena direktive omogočeno, da se obveznosti določene v </w:t>
      </w:r>
      <w:r w:rsidR="0065326B">
        <w:rPr>
          <w:rFonts w:ascii="Arial" w:eastAsia="Calibri" w:hAnsi="Arial" w:cs="Arial"/>
          <w:sz w:val="22"/>
          <w:szCs w:val="20"/>
          <w:lang w:eastAsia="en-US"/>
        </w:rPr>
        <w:t>7. členu</w:t>
      </w:r>
      <w:r w:rsidR="00970214" w:rsidRPr="00970214">
        <w:rPr>
          <w:rFonts w:ascii="Arial" w:eastAsia="Calibri" w:hAnsi="Arial" w:cs="Arial"/>
          <w:sz w:val="22"/>
          <w:szCs w:val="20"/>
          <w:lang w:eastAsia="en-US"/>
        </w:rPr>
        <w:t xml:space="preserve"> </w:t>
      </w:r>
      <w:r w:rsidR="00970214">
        <w:rPr>
          <w:rFonts w:ascii="Arial" w:eastAsia="Calibri" w:hAnsi="Arial" w:cs="Arial"/>
          <w:sz w:val="22"/>
          <w:szCs w:val="20"/>
          <w:lang w:eastAsia="en-US"/>
        </w:rPr>
        <w:t>Direktive</w:t>
      </w:r>
      <w:r w:rsidR="00970214" w:rsidRPr="00970214">
        <w:rPr>
          <w:rFonts w:ascii="Arial" w:eastAsia="Calibri" w:hAnsi="Arial" w:cs="Arial"/>
          <w:sz w:val="22"/>
          <w:szCs w:val="20"/>
          <w:lang w:eastAsia="en-US"/>
        </w:rPr>
        <w:t xml:space="preserve"> </w:t>
      </w:r>
      <w:r w:rsidR="00970214" w:rsidRPr="00826F8D">
        <w:rPr>
          <w:rFonts w:ascii="Arial" w:eastAsia="Calibri" w:hAnsi="Arial" w:cs="Arial"/>
          <w:sz w:val="22"/>
          <w:szCs w:val="20"/>
          <w:lang w:eastAsia="en-US"/>
        </w:rPr>
        <w:t>2012</w:t>
      </w:r>
      <w:r w:rsidR="00970214">
        <w:rPr>
          <w:rFonts w:ascii="Arial" w:eastAsia="Calibri" w:hAnsi="Arial" w:cs="Arial"/>
          <w:sz w:val="22"/>
          <w:szCs w:val="20"/>
          <w:lang w:eastAsia="en-US"/>
        </w:rPr>
        <w:t>/27/EU</w:t>
      </w:r>
      <w:r w:rsidRPr="00826F8D">
        <w:rPr>
          <w:rFonts w:ascii="Arial" w:eastAsia="Calibri" w:hAnsi="Arial" w:cs="Arial"/>
          <w:sz w:val="22"/>
          <w:szCs w:val="20"/>
          <w:lang w:eastAsia="en-US"/>
        </w:rPr>
        <w:t>, izpolnijo tako, da zavezanci v nacionalni sklad za energetsko učinkovitost letno prispevajo znesek, ki je potreben za izpolnitev teh obveznosti.</w:t>
      </w:r>
    </w:p>
    <w:p w:rsidR="00756A1F" w:rsidRPr="00826F8D" w:rsidRDefault="00756A1F"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 xml:space="preserve">Prenos </w:t>
      </w:r>
      <w:r w:rsidR="001A3A10">
        <w:rPr>
          <w:rFonts w:ascii="Arial" w:eastAsia="Calibri" w:hAnsi="Arial" w:cs="Arial"/>
          <w:sz w:val="22"/>
          <w:szCs w:val="20"/>
          <w:lang w:eastAsia="en-US"/>
        </w:rPr>
        <w:t>D</w:t>
      </w:r>
      <w:r w:rsidR="001A3A10" w:rsidRPr="00826F8D">
        <w:rPr>
          <w:rFonts w:ascii="Arial" w:eastAsia="Calibri" w:hAnsi="Arial" w:cs="Arial"/>
          <w:sz w:val="22"/>
          <w:szCs w:val="20"/>
          <w:lang w:eastAsia="en-US"/>
        </w:rPr>
        <w:t xml:space="preserve">irektive </w:t>
      </w:r>
      <w:r w:rsidRPr="00826F8D">
        <w:rPr>
          <w:rFonts w:ascii="Arial" w:eastAsia="Calibri" w:hAnsi="Arial" w:cs="Arial"/>
          <w:sz w:val="22"/>
          <w:szCs w:val="20"/>
          <w:lang w:eastAsia="en-US"/>
        </w:rPr>
        <w:t xml:space="preserve">20122/27/EU v slovenski pravni red je na nivoju temeljnih določb direktive </w:t>
      </w:r>
      <w:r w:rsidR="001A3A10">
        <w:rPr>
          <w:rFonts w:ascii="Arial" w:eastAsia="Calibri" w:hAnsi="Arial" w:cs="Arial"/>
          <w:sz w:val="22"/>
          <w:szCs w:val="20"/>
          <w:lang w:eastAsia="en-US"/>
        </w:rPr>
        <w:t>izveden</w:t>
      </w:r>
      <w:r w:rsidR="001A3A10" w:rsidRPr="00826F8D">
        <w:rPr>
          <w:rFonts w:ascii="Arial" w:eastAsia="Calibri" w:hAnsi="Arial" w:cs="Arial"/>
          <w:sz w:val="22"/>
          <w:szCs w:val="20"/>
          <w:lang w:eastAsia="en-US"/>
        </w:rPr>
        <w:t xml:space="preserve"> </w:t>
      </w:r>
      <w:r w:rsidRPr="00826F8D">
        <w:rPr>
          <w:rFonts w:ascii="Arial" w:eastAsia="Calibri" w:hAnsi="Arial" w:cs="Arial"/>
          <w:sz w:val="22"/>
          <w:szCs w:val="20"/>
          <w:lang w:eastAsia="en-US"/>
        </w:rPr>
        <w:t xml:space="preserve">z Energetskim zakonom </w:t>
      </w:r>
      <w:r w:rsidR="00C9672B" w:rsidRPr="00826F8D">
        <w:rPr>
          <w:rFonts w:ascii="Arial" w:eastAsia="Calibri" w:hAnsi="Arial" w:cs="Arial"/>
          <w:sz w:val="22"/>
          <w:szCs w:val="20"/>
          <w:lang w:eastAsia="en-US"/>
        </w:rPr>
        <w:t>(Uradni list RS, št. 17/14)</w:t>
      </w:r>
      <w:r w:rsidRPr="00826F8D">
        <w:rPr>
          <w:rFonts w:ascii="Arial" w:eastAsia="Calibri" w:hAnsi="Arial" w:cs="Arial"/>
          <w:sz w:val="22"/>
          <w:szCs w:val="20"/>
          <w:lang w:eastAsia="en-US"/>
        </w:rPr>
        <w:t xml:space="preserve">. V </w:t>
      </w:r>
      <w:r w:rsidR="001A3A10">
        <w:rPr>
          <w:rFonts w:ascii="Arial" w:eastAsia="Calibri" w:hAnsi="Arial" w:cs="Arial"/>
          <w:sz w:val="22"/>
          <w:szCs w:val="20"/>
          <w:lang w:eastAsia="en-US"/>
        </w:rPr>
        <w:t>E</w:t>
      </w:r>
      <w:r w:rsidR="001A3A10" w:rsidRPr="00826F8D">
        <w:rPr>
          <w:rFonts w:ascii="Arial" w:eastAsia="Calibri" w:hAnsi="Arial" w:cs="Arial"/>
          <w:sz w:val="22"/>
          <w:szCs w:val="20"/>
          <w:lang w:eastAsia="en-US"/>
        </w:rPr>
        <w:t xml:space="preserve">nergetskem </w:t>
      </w:r>
      <w:r w:rsidRPr="00826F8D">
        <w:rPr>
          <w:rFonts w:ascii="Arial" w:eastAsia="Calibri" w:hAnsi="Arial" w:cs="Arial"/>
          <w:sz w:val="22"/>
          <w:szCs w:val="20"/>
          <w:lang w:eastAsia="en-US"/>
        </w:rPr>
        <w:t xml:space="preserve">zakonu so dane </w:t>
      </w:r>
      <w:r w:rsidRPr="00826F8D">
        <w:rPr>
          <w:rFonts w:ascii="Arial" w:eastAsia="Calibri" w:hAnsi="Arial" w:cs="Arial"/>
          <w:sz w:val="22"/>
          <w:szCs w:val="20"/>
          <w:lang w:eastAsia="en-US"/>
        </w:rPr>
        <w:lastRenderedPageBreak/>
        <w:t xml:space="preserve">podlage za </w:t>
      </w:r>
      <w:r w:rsidRPr="00194B09">
        <w:rPr>
          <w:rFonts w:ascii="Arial" w:eastAsia="Calibri" w:hAnsi="Arial" w:cs="Arial"/>
          <w:sz w:val="22"/>
          <w:szCs w:val="20"/>
          <w:lang w:eastAsia="en-US"/>
        </w:rPr>
        <w:t>celovit in podroben prenos</w:t>
      </w:r>
      <w:r w:rsidRPr="00484C2F">
        <w:rPr>
          <w:rFonts w:ascii="Arial" w:eastAsia="Calibri" w:hAnsi="Arial" w:cs="Arial"/>
          <w:color w:val="FF0000"/>
          <w:sz w:val="22"/>
          <w:szCs w:val="20"/>
          <w:lang w:eastAsia="en-US"/>
        </w:rPr>
        <w:t xml:space="preserve"> </w:t>
      </w:r>
      <w:r w:rsidRPr="00826F8D">
        <w:rPr>
          <w:rFonts w:ascii="Arial" w:eastAsia="Calibri" w:hAnsi="Arial" w:cs="Arial"/>
          <w:sz w:val="22"/>
          <w:szCs w:val="20"/>
          <w:lang w:eastAsia="en-US"/>
        </w:rPr>
        <w:t>s podzakonskimi akti. EZ-1 med drugim daje tudi podlago za prenos 7</w:t>
      </w:r>
      <w:r w:rsidR="0065326B">
        <w:rPr>
          <w:rFonts w:ascii="Arial" w:eastAsia="Calibri" w:hAnsi="Arial" w:cs="Arial"/>
          <w:sz w:val="22"/>
          <w:szCs w:val="20"/>
          <w:lang w:eastAsia="en-US"/>
        </w:rPr>
        <w:t>.</w:t>
      </w:r>
      <w:r w:rsidRPr="00826F8D">
        <w:rPr>
          <w:rFonts w:ascii="Arial" w:eastAsia="Calibri" w:hAnsi="Arial" w:cs="Arial"/>
          <w:sz w:val="22"/>
          <w:szCs w:val="20"/>
          <w:lang w:eastAsia="en-US"/>
        </w:rPr>
        <w:t xml:space="preserve"> in 20</w:t>
      </w:r>
      <w:r w:rsidR="0065326B">
        <w:rPr>
          <w:rFonts w:ascii="Arial" w:eastAsia="Calibri" w:hAnsi="Arial" w:cs="Arial"/>
          <w:sz w:val="22"/>
          <w:szCs w:val="20"/>
          <w:lang w:eastAsia="en-US"/>
        </w:rPr>
        <w:t xml:space="preserve"> člena Direktive</w:t>
      </w:r>
      <w:r w:rsidR="002259B5">
        <w:rPr>
          <w:rFonts w:ascii="Arial" w:eastAsia="Calibri" w:hAnsi="Arial" w:cs="Arial"/>
          <w:sz w:val="22"/>
          <w:szCs w:val="20"/>
          <w:lang w:eastAsia="en-US"/>
        </w:rPr>
        <w:t xml:space="preserve"> </w:t>
      </w:r>
      <w:r w:rsidR="001A3A10" w:rsidRPr="00826F8D">
        <w:rPr>
          <w:rFonts w:ascii="Arial" w:eastAsia="Calibri" w:hAnsi="Arial" w:cs="Arial"/>
          <w:sz w:val="22"/>
          <w:szCs w:val="20"/>
          <w:lang w:eastAsia="en-US"/>
        </w:rPr>
        <w:t>2012/27/EU</w:t>
      </w:r>
      <w:r w:rsidR="001A3A10">
        <w:rPr>
          <w:rFonts w:ascii="Arial" w:eastAsia="Calibri" w:hAnsi="Arial" w:cs="Arial"/>
          <w:sz w:val="22"/>
          <w:szCs w:val="20"/>
          <w:lang w:eastAsia="en-US"/>
        </w:rPr>
        <w:t xml:space="preserve"> v slovenski pravni red</w:t>
      </w:r>
      <w:r w:rsidRPr="00826F8D">
        <w:rPr>
          <w:rFonts w:ascii="Arial" w:eastAsia="Calibri" w:hAnsi="Arial" w:cs="Arial"/>
          <w:sz w:val="22"/>
          <w:szCs w:val="20"/>
          <w:lang w:eastAsia="en-US"/>
        </w:rPr>
        <w:t xml:space="preserve">. </w:t>
      </w:r>
    </w:p>
    <w:p w:rsidR="00756A1F" w:rsidRPr="00826F8D" w:rsidRDefault="001A3A10" w:rsidP="00010154">
      <w:pPr>
        <w:suppressAutoHyphens w:val="0"/>
        <w:spacing w:after="200" w:line="288" w:lineRule="auto"/>
        <w:jc w:val="both"/>
        <w:rPr>
          <w:rFonts w:ascii="Arial" w:eastAsia="Calibri" w:hAnsi="Arial" w:cs="Arial"/>
          <w:sz w:val="22"/>
          <w:szCs w:val="20"/>
          <w:lang w:eastAsia="en-US"/>
        </w:rPr>
      </w:pPr>
      <w:r>
        <w:rPr>
          <w:rFonts w:ascii="Arial" w:eastAsia="Calibri" w:hAnsi="Arial" w:cs="Arial"/>
          <w:sz w:val="22"/>
          <w:szCs w:val="20"/>
          <w:lang w:eastAsia="en-US"/>
        </w:rPr>
        <w:t>Energe</w:t>
      </w:r>
      <w:r w:rsidR="00087E4B">
        <w:rPr>
          <w:rFonts w:ascii="Arial" w:eastAsia="Calibri" w:hAnsi="Arial" w:cs="Arial"/>
          <w:sz w:val="22"/>
          <w:szCs w:val="20"/>
          <w:lang w:eastAsia="en-US"/>
        </w:rPr>
        <w:t>tski</w:t>
      </w:r>
      <w:r>
        <w:rPr>
          <w:rFonts w:ascii="Arial" w:eastAsia="Calibri" w:hAnsi="Arial" w:cs="Arial"/>
          <w:sz w:val="22"/>
          <w:szCs w:val="20"/>
          <w:lang w:eastAsia="en-US"/>
        </w:rPr>
        <w:t xml:space="preserve"> zakon</w:t>
      </w:r>
      <w:r w:rsidR="00756A1F" w:rsidRPr="00826F8D">
        <w:rPr>
          <w:rFonts w:ascii="Arial" w:eastAsia="Calibri" w:hAnsi="Arial" w:cs="Arial"/>
          <w:sz w:val="22"/>
          <w:szCs w:val="20"/>
          <w:lang w:eastAsia="en-US"/>
        </w:rPr>
        <w:t xml:space="preserve"> v 318. in 319. členu določa, da morajo vsi dobavitelji energije končnim odjemalcem (v nadaljevanju: zavezanci) zagotavljati prihranke energije pri končnih odjemalcih. Dan</w:t>
      </w:r>
      <w:r>
        <w:rPr>
          <w:rFonts w:ascii="Arial" w:eastAsia="Calibri" w:hAnsi="Arial" w:cs="Arial"/>
          <w:sz w:val="22"/>
          <w:szCs w:val="20"/>
          <w:lang w:eastAsia="en-US"/>
        </w:rPr>
        <w:t>a</w:t>
      </w:r>
      <w:r w:rsidR="00756A1F" w:rsidRPr="00826F8D">
        <w:rPr>
          <w:rFonts w:ascii="Arial" w:eastAsia="Calibri" w:hAnsi="Arial" w:cs="Arial"/>
          <w:sz w:val="22"/>
          <w:szCs w:val="20"/>
          <w:lang w:eastAsia="en-US"/>
        </w:rPr>
        <w:t xml:space="preserve"> je </w:t>
      </w:r>
      <w:r>
        <w:rPr>
          <w:rFonts w:ascii="Arial" w:eastAsia="Calibri" w:hAnsi="Arial" w:cs="Arial"/>
          <w:sz w:val="22"/>
          <w:szCs w:val="20"/>
          <w:lang w:eastAsia="en-US"/>
        </w:rPr>
        <w:t>podlag</w:t>
      </w:r>
      <w:r w:rsidR="00194B09">
        <w:rPr>
          <w:rFonts w:ascii="Arial" w:eastAsia="Calibri" w:hAnsi="Arial" w:cs="Arial"/>
          <w:sz w:val="22"/>
          <w:szCs w:val="20"/>
          <w:lang w:eastAsia="en-US"/>
        </w:rPr>
        <w:t>a</w:t>
      </w:r>
      <w:r>
        <w:rPr>
          <w:rFonts w:ascii="Arial" w:eastAsia="Calibri" w:hAnsi="Arial" w:cs="Arial"/>
          <w:sz w:val="22"/>
          <w:szCs w:val="20"/>
          <w:lang w:eastAsia="en-US"/>
        </w:rPr>
        <w:t xml:space="preserve"> za sprejem</w:t>
      </w:r>
      <w:r w:rsidR="00087E4B">
        <w:rPr>
          <w:rFonts w:ascii="Arial" w:eastAsia="Calibri" w:hAnsi="Arial" w:cs="Arial"/>
          <w:sz w:val="22"/>
          <w:szCs w:val="20"/>
          <w:lang w:eastAsia="en-US"/>
        </w:rPr>
        <w:t xml:space="preserve"> </w:t>
      </w:r>
      <w:r w:rsidRPr="00826F8D">
        <w:rPr>
          <w:rFonts w:ascii="Arial" w:eastAsia="Calibri" w:hAnsi="Arial" w:cs="Arial"/>
          <w:sz w:val="22"/>
          <w:szCs w:val="20"/>
          <w:lang w:eastAsia="en-US"/>
        </w:rPr>
        <w:t>uredb</w:t>
      </w:r>
      <w:r>
        <w:rPr>
          <w:rFonts w:ascii="Arial" w:eastAsia="Calibri" w:hAnsi="Arial" w:cs="Arial"/>
          <w:sz w:val="22"/>
          <w:szCs w:val="20"/>
          <w:lang w:eastAsia="en-US"/>
        </w:rPr>
        <w:t>e</w:t>
      </w:r>
      <w:r w:rsidRPr="00826F8D">
        <w:rPr>
          <w:rFonts w:ascii="Arial" w:eastAsia="Calibri" w:hAnsi="Arial" w:cs="Arial"/>
          <w:sz w:val="22"/>
          <w:szCs w:val="20"/>
          <w:lang w:eastAsia="en-US"/>
        </w:rPr>
        <w:t xml:space="preserve"> </w:t>
      </w:r>
      <w:r w:rsidR="00756A1F" w:rsidRPr="00826F8D">
        <w:rPr>
          <w:rFonts w:ascii="Arial" w:eastAsia="Calibri" w:hAnsi="Arial" w:cs="Arial"/>
          <w:sz w:val="22"/>
          <w:szCs w:val="20"/>
          <w:lang w:eastAsia="en-US"/>
        </w:rPr>
        <w:t xml:space="preserve">vlade, ki bo določila višino prihrankov za posamezne zavezance. Določeno je tudi, da se obveznost delno lahko izpolni z ukrepi, ki ne zmanjšajo končne porabe energije, ugodno pa vplivajo na primarno porabo energije, ker povečujejo izkoristek v sektorjih pretvorbe in transporta energije. </w:t>
      </w:r>
      <w:r w:rsidR="00C9672B" w:rsidRPr="00826F8D">
        <w:rPr>
          <w:rFonts w:ascii="Arial" w:eastAsia="Calibri" w:hAnsi="Arial" w:cs="Arial"/>
          <w:sz w:val="22"/>
          <w:szCs w:val="20"/>
          <w:lang w:eastAsia="en-US"/>
        </w:rPr>
        <w:t>Nadalje je do</w:t>
      </w:r>
      <w:r w:rsidR="00756A1F" w:rsidRPr="00826F8D">
        <w:rPr>
          <w:rFonts w:ascii="Arial" w:eastAsia="Calibri" w:hAnsi="Arial" w:cs="Arial"/>
          <w:sz w:val="22"/>
          <w:szCs w:val="20"/>
          <w:lang w:eastAsia="en-US"/>
        </w:rPr>
        <w:t>puščena izjema za način izpolnjevanja obveznosti doseganja prihrankov energije pri končnih odjemalcih in sicer z vplačilom v nacionalni sklad za energetsko učinkovitost, to je Eko sklad. Ta izjema je dopuščena v 20. členu Direktive 2012/27/EU. Določen je tudi način</w:t>
      </w:r>
      <w:r>
        <w:rPr>
          <w:rFonts w:ascii="Arial" w:eastAsia="Calibri" w:hAnsi="Arial" w:cs="Arial"/>
          <w:sz w:val="22"/>
          <w:szCs w:val="20"/>
          <w:lang w:eastAsia="en-US"/>
        </w:rPr>
        <w:t>,</w:t>
      </w:r>
      <w:r w:rsidR="00756A1F" w:rsidRPr="00826F8D">
        <w:rPr>
          <w:rFonts w:ascii="Arial" w:eastAsia="Calibri" w:hAnsi="Arial" w:cs="Arial"/>
          <w:sz w:val="22"/>
          <w:szCs w:val="20"/>
          <w:lang w:eastAsia="en-US"/>
        </w:rPr>
        <w:t xml:space="preserve"> po katerem se določi višina vplačila: to je zmnožek prihrankov, ki jih mora zavezanec doseči in specifičnih stroškov doseganja prihrankov, po katerih bo te prihranke namesto zavezanca dosegel Eko sklad</w:t>
      </w:r>
      <w:r w:rsidR="00FC3466">
        <w:rPr>
          <w:rFonts w:ascii="Arial" w:eastAsia="Calibri" w:hAnsi="Arial" w:cs="Arial"/>
          <w:sz w:val="22"/>
          <w:szCs w:val="20"/>
          <w:lang w:eastAsia="en-US"/>
        </w:rPr>
        <w:t>, tako da</w:t>
      </w:r>
      <w:r w:rsidR="00756A1F" w:rsidRPr="00826F8D">
        <w:rPr>
          <w:rFonts w:ascii="Arial" w:eastAsia="Calibri" w:hAnsi="Arial" w:cs="Arial"/>
          <w:sz w:val="22"/>
          <w:szCs w:val="20"/>
          <w:lang w:eastAsia="en-US"/>
        </w:rPr>
        <w:t xml:space="preserve"> bodo prihranki na nacionalnem nivoju doseženi.</w:t>
      </w:r>
      <w:r w:rsidR="00C9672B" w:rsidRPr="00826F8D">
        <w:rPr>
          <w:rFonts w:ascii="Arial" w:eastAsia="Calibri" w:hAnsi="Arial" w:cs="Arial"/>
          <w:sz w:val="22"/>
          <w:szCs w:val="20"/>
          <w:lang w:eastAsia="en-US"/>
        </w:rPr>
        <w:t xml:space="preserve"> Na ta način bo doseženega polovica prihranka, ki ga določa </w:t>
      </w:r>
      <w:r>
        <w:rPr>
          <w:rFonts w:ascii="Arial" w:eastAsia="Calibri" w:hAnsi="Arial" w:cs="Arial"/>
          <w:sz w:val="22"/>
          <w:szCs w:val="20"/>
          <w:lang w:eastAsia="en-US"/>
        </w:rPr>
        <w:t>D</w:t>
      </w:r>
      <w:r w:rsidRPr="00826F8D">
        <w:rPr>
          <w:rFonts w:ascii="Arial" w:eastAsia="Calibri" w:hAnsi="Arial" w:cs="Arial"/>
          <w:sz w:val="22"/>
          <w:szCs w:val="20"/>
          <w:lang w:eastAsia="en-US"/>
        </w:rPr>
        <w:t xml:space="preserve">irektiva </w:t>
      </w:r>
      <w:r w:rsidR="00C9672B" w:rsidRPr="00826F8D">
        <w:rPr>
          <w:rFonts w:ascii="Arial" w:eastAsia="Calibri" w:hAnsi="Arial" w:cs="Arial"/>
          <w:sz w:val="22"/>
          <w:szCs w:val="20"/>
          <w:lang w:eastAsia="en-US"/>
        </w:rPr>
        <w:t>2012/27/EU.</w:t>
      </w:r>
    </w:p>
    <w:p w:rsidR="00C9672B" w:rsidRPr="00826F8D" w:rsidRDefault="00C9672B"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Nova shema se od sedaj veljavne razlikuje v tem, da po novem način financiranja ukrepov ni določen. To pomeni, da se strošek izvajana sheme prenaša na sama podjetja, ki prodajajo energijo, po drugi strani pa imajo ta podjetja  več fleksibilnosti pri samem načinu izvedbe in financiranju ukrepov za povečanje energetske učinkovitosti.</w:t>
      </w:r>
    </w:p>
    <w:p w:rsidR="00FC3466" w:rsidRDefault="00C9672B"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 xml:space="preserve">Druga polovica prihranka bo dosežena z izvajanjem ukrepov Eko sklada, za kar je pravna podlaga dana v 314. in 317. členu EZ-1. V drugem odstavku 314. člena je določeno, da Eko sklad na nacionalni ravni pripravlja in izvaja program za izboljšanje energetske učinkovitosti. V 317. členu je določen način financiranja tega programa. </w:t>
      </w:r>
    </w:p>
    <w:p w:rsidR="00C9672B" w:rsidRPr="00826F8D" w:rsidRDefault="00C9672B"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 xml:space="preserve">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plačujejo operaterju, kjer ta obstaja, pri drugih energentih pa dobavitelju energije oziroma goriv, le ta pa jih nakazuje Eko skladu. </w:t>
      </w:r>
    </w:p>
    <w:p w:rsidR="00C9672B" w:rsidRPr="00826F8D" w:rsidRDefault="00C9672B"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Višina prispevka je določena tako, da je vsaka kilovatna ure energije, ne glede na to v kakšni obliki je, enakomerno obremenjena. Skupna zbrana sredstva na letnem nivoju morajo zadoščati za izvajanje programa Eko sklada. Ta sredstva vključujejo del sredstev, ki so prihodek Eko sklada in so namenjena pokritju stroškov izvajanja programa (plače, materialni stroški).</w:t>
      </w:r>
    </w:p>
    <w:p w:rsidR="00C9672B" w:rsidRPr="00826F8D" w:rsidRDefault="00C9672B"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Prispevek načelom plačujejo končni odjemalci energije. V primeru, ko je količina goriva ali energije, ki jo proda posamezni dobavitelj zelo majhna</w:t>
      </w:r>
      <w:r w:rsidR="001A3A10">
        <w:rPr>
          <w:rFonts w:ascii="Arial" w:eastAsia="Calibri" w:hAnsi="Arial" w:cs="Arial"/>
          <w:sz w:val="22"/>
          <w:szCs w:val="20"/>
          <w:lang w:eastAsia="en-US"/>
        </w:rPr>
        <w:t>,</w:t>
      </w:r>
      <w:r w:rsidRPr="00826F8D">
        <w:rPr>
          <w:rFonts w:ascii="Arial" w:eastAsia="Calibri" w:hAnsi="Arial" w:cs="Arial"/>
          <w:sz w:val="22"/>
          <w:szCs w:val="20"/>
          <w:lang w:eastAsia="en-US"/>
        </w:rPr>
        <w:t xml:space="preserve"> je smiselno, da se prispevek obračuna že prej. Določene vrste energije oziroma goriv se</w:t>
      </w:r>
      <w:r w:rsidR="001A3A10">
        <w:rPr>
          <w:rFonts w:ascii="Arial" w:eastAsia="Calibri" w:hAnsi="Arial" w:cs="Arial"/>
          <w:sz w:val="22"/>
          <w:szCs w:val="20"/>
          <w:lang w:eastAsia="en-US"/>
        </w:rPr>
        <w:t>,</w:t>
      </w:r>
      <w:r w:rsidRPr="00826F8D">
        <w:rPr>
          <w:rFonts w:ascii="Arial" w:eastAsia="Calibri" w:hAnsi="Arial" w:cs="Arial"/>
          <w:sz w:val="22"/>
          <w:szCs w:val="20"/>
          <w:lang w:eastAsia="en-US"/>
        </w:rPr>
        <w:t xml:space="preserve"> predno so dobavljene končnim odjemalcem</w:t>
      </w:r>
      <w:r w:rsidR="001A3A10">
        <w:rPr>
          <w:rFonts w:ascii="Arial" w:eastAsia="Calibri" w:hAnsi="Arial" w:cs="Arial"/>
          <w:sz w:val="22"/>
          <w:szCs w:val="20"/>
          <w:lang w:eastAsia="en-US"/>
        </w:rPr>
        <w:t>,</w:t>
      </w:r>
      <w:r w:rsidRPr="00826F8D">
        <w:rPr>
          <w:rFonts w:ascii="Arial" w:eastAsia="Calibri" w:hAnsi="Arial" w:cs="Arial"/>
          <w:sz w:val="22"/>
          <w:szCs w:val="20"/>
          <w:lang w:eastAsia="en-US"/>
        </w:rPr>
        <w:t xml:space="preserve"> večkrat prodajo. Tak primer predstavlja prodaja plina v jeklenkah na različnih prodajnih mestih. V tem primeru je smiselno, da se prispevek obračuna že v polnilnici jeklenk. </w:t>
      </w:r>
    </w:p>
    <w:p w:rsidR="00756A1F" w:rsidRPr="00826F8D" w:rsidRDefault="00C9672B" w:rsidP="00010154">
      <w:pPr>
        <w:suppressAutoHyphens w:val="0"/>
        <w:spacing w:after="200" w:line="288" w:lineRule="auto"/>
        <w:jc w:val="both"/>
        <w:rPr>
          <w:rFonts w:ascii="Arial" w:eastAsia="Calibri" w:hAnsi="Arial" w:cs="Arial"/>
          <w:sz w:val="22"/>
          <w:szCs w:val="20"/>
          <w:lang w:eastAsia="en-US"/>
        </w:rPr>
      </w:pPr>
      <w:r w:rsidRPr="00826F8D">
        <w:rPr>
          <w:rFonts w:ascii="Arial" w:eastAsia="Calibri" w:hAnsi="Arial" w:cs="Arial"/>
          <w:sz w:val="22"/>
          <w:szCs w:val="20"/>
          <w:lang w:eastAsia="en-US"/>
        </w:rPr>
        <w:t xml:space="preserve">V 317. členu je tudi </w:t>
      </w:r>
      <w:r w:rsidR="00FD70BA" w:rsidRPr="00826F8D">
        <w:rPr>
          <w:rFonts w:ascii="Arial" w:eastAsia="Calibri" w:hAnsi="Arial" w:cs="Arial"/>
          <w:sz w:val="22"/>
          <w:szCs w:val="20"/>
          <w:lang w:eastAsia="en-US"/>
        </w:rPr>
        <w:t>določ</w:t>
      </w:r>
      <w:r w:rsidR="00FD70BA">
        <w:rPr>
          <w:rFonts w:ascii="Arial" w:eastAsia="Calibri" w:hAnsi="Arial" w:cs="Arial"/>
          <w:sz w:val="22"/>
          <w:szCs w:val="20"/>
          <w:lang w:eastAsia="en-US"/>
        </w:rPr>
        <w:t>eno</w:t>
      </w:r>
      <w:r w:rsidRPr="00826F8D">
        <w:rPr>
          <w:rFonts w:ascii="Arial" w:eastAsia="Calibri" w:hAnsi="Arial" w:cs="Arial"/>
          <w:sz w:val="22"/>
          <w:szCs w:val="20"/>
          <w:lang w:eastAsia="en-US"/>
        </w:rPr>
        <w:t xml:space="preserve">, da Eko sklad v okviru poročila o izvedenem programu objavi tudi specifične stroške doseganja prihrankov. To so skupni stroški vseh ukrepov (spodbuda Eko sklada, brez stroškov izvajanja programa), ki jih je v okviru svojega programa za povečanje energetske učinkovitosti izvajal Eko sklad, deljeni s skupnimi prihranki doseženimi z izvedbo programa. Specifični stroški doseganja prihrankov pomenijo »ceno« doseganja ene kilovatne ure prihrankov. Pri tem se upošteva le sredstva Eko sklada, ne pa tudi lastnih sredstev </w:t>
      </w:r>
      <w:r w:rsidRPr="00194B09">
        <w:rPr>
          <w:rFonts w:ascii="Arial" w:eastAsia="Calibri" w:hAnsi="Arial" w:cs="Arial"/>
          <w:sz w:val="22"/>
          <w:szCs w:val="20"/>
          <w:lang w:eastAsia="en-US"/>
        </w:rPr>
        <w:t>investitorjev.</w:t>
      </w:r>
    </w:p>
    <w:p w:rsidR="00AD63E1" w:rsidRPr="00826F8D" w:rsidRDefault="00AD63E1" w:rsidP="00010154">
      <w:pPr>
        <w:tabs>
          <w:tab w:val="left" w:pos="708"/>
        </w:tabs>
        <w:suppressAutoHyphens w:val="0"/>
        <w:spacing w:line="288" w:lineRule="auto"/>
        <w:rPr>
          <w:rFonts w:ascii="Arial" w:eastAsia="Calibri" w:hAnsi="Arial" w:cs="Arial"/>
          <w:b/>
          <w:i/>
          <w:sz w:val="22"/>
          <w:szCs w:val="20"/>
          <w:u w:val="single"/>
          <w:lang w:eastAsia="en-US"/>
        </w:rPr>
      </w:pPr>
      <w:r w:rsidRPr="00826F8D">
        <w:rPr>
          <w:rFonts w:ascii="Arial" w:eastAsia="Calibri" w:hAnsi="Arial" w:cs="Arial"/>
          <w:b/>
          <w:i/>
          <w:sz w:val="22"/>
          <w:szCs w:val="20"/>
          <w:u w:val="single"/>
          <w:lang w:eastAsia="en-US"/>
        </w:rPr>
        <w:lastRenderedPageBreak/>
        <w:t>II. VSEBINSKA OBRAZLOŽITEV PREDLAGANIH REŠITEV</w:t>
      </w:r>
    </w:p>
    <w:p w:rsidR="00AD63E1" w:rsidRPr="00826F8D" w:rsidRDefault="00AD63E1" w:rsidP="00010154">
      <w:pPr>
        <w:tabs>
          <w:tab w:val="left" w:pos="708"/>
        </w:tabs>
        <w:suppressAutoHyphens w:val="0"/>
        <w:spacing w:line="288" w:lineRule="auto"/>
        <w:rPr>
          <w:rFonts w:ascii="Arial" w:eastAsia="Calibri" w:hAnsi="Arial" w:cs="Arial"/>
          <w:b/>
          <w:sz w:val="22"/>
          <w:szCs w:val="20"/>
          <w:lang w:eastAsia="en-US"/>
        </w:rPr>
      </w:pPr>
    </w:p>
    <w:p w:rsidR="00826F8D" w:rsidRPr="00826F8D" w:rsidRDefault="00826F8D" w:rsidP="00010154">
      <w:pPr>
        <w:autoSpaceDE w:val="0"/>
        <w:autoSpaceDN w:val="0"/>
        <w:adjustRightInd w:val="0"/>
        <w:spacing w:line="288" w:lineRule="auto"/>
        <w:rPr>
          <w:rFonts w:ascii="Arial" w:hAnsi="Arial" w:cs="Arial"/>
          <w:color w:val="000000"/>
          <w:sz w:val="22"/>
          <w:szCs w:val="20"/>
        </w:rPr>
      </w:pPr>
      <w:r w:rsidRPr="00826F8D">
        <w:rPr>
          <w:rFonts w:ascii="Arial" w:hAnsi="Arial" w:cs="Arial"/>
          <w:color w:val="000000"/>
          <w:sz w:val="22"/>
          <w:szCs w:val="20"/>
        </w:rPr>
        <w:t>V tretjem odstavku 318. člena EZ-1 je določeno, da vlada z uredbo določi:</w:t>
      </w:r>
    </w:p>
    <w:p w:rsidR="00826F8D" w:rsidRPr="00826F8D" w:rsidRDefault="00826F8D" w:rsidP="00010154">
      <w:pPr>
        <w:pStyle w:val="Odstavekseznama"/>
        <w:numPr>
          <w:ilvl w:val="0"/>
          <w:numId w:val="31"/>
        </w:numPr>
        <w:autoSpaceDE w:val="0"/>
        <w:autoSpaceDN w:val="0"/>
        <w:adjustRightInd w:val="0"/>
        <w:spacing w:line="288" w:lineRule="auto"/>
        <w:rPr>
          <w:rFonts w:ascii="Arial" w:hAnsi="Arial" w:cs="Arial"/>
          <w:color w:val="000000"/>
          <w:sz w:val="22"/>
          <w:szCs w:val="20"/>
        </w:rPr>
      </w:pPr>
      <w:r w:rsidRPr="00826F8D">
        <w:rPr>
          <w:rFonts w:ascii="Arial" w:hAnsi="Arial" w:cs="Arial"/>
          <w:color w:val="000000"/>
          <w:sz w:val="22"/>
          <w:szCs w:val="20"/>
        </w:rPr>
        <w:t>obdobje in višino prihrankov končne energije, ki jih zavezanci morajo doseči v tem obdobju;</w:t>
      </w:r>
    </w:p>
    <w:p w:rsidR="00826F8D" w:rsidRPr="00826F8D" w:rsidRDefault="00826F8D" w:rsidP="00010154">
      <w:pPr>
        <w:pStyle w:val="Odstavekseznama"/>
        <w:numPr>
          <w:ilvl w:val="0"/>
          <w:numId w:val="31"/>
        </w:numPr>
        <w:autoSpaceDE w:val="0"/>
        <w:autoSpaceDN w:val="0"/>
        <w:adjustRightInd w:val="0"/>
        <w:spacing w:line="288" w:lineRule="auto"/>
        <w:rPr>
          <w:rFonts w:ascii="Arial" w:hAnsi="Arial" w:cs="Arial"/>
          <w:color w:val="000000"/>
          <w:sz w:val="22"/>
          <w:szCs w:val="20"/>
        </w:rPr>
      </w:pPr>
      <w:r w:rsidRPr="00826F8D">
        <w:rPr>
          <w:rFonts w:ascii="Arial" w:hAnsi="Arial" w:cs="Arial"/>
          <w:color w:val="000000"/>
          <w:sz w:val="22"/>
          <w:szCs w:val="20"/>
        </w:rPr>
        <w:t>način izračuna višine prihrankov;</w:t>
      </w:r>
    </w:p>
    <w:p w:rsidR="00826F8D" w:rsidRPr="00826F8D" w:rsidRDefault="00826F8D" w:rsidP="00010154">
      <w:pPr>
        <w:pStyle w:val="Odstavekseznama"/>
        <w:numPr>
          <w:ilvl w:val="0"/>
          <w:numId w:val="31"/>
        </w:numPr>
        <w:autoSpaceDE w:val="0"/>
        <w:autoSpaceDN w:val="0"/>
        <w:adjustRightInd w:val="0"/>
        <w:spacing w:line="288" w:lineRule="auto"/>
        <w:rPr>
          <w:rFonts w:ascii="Arial" w:hAnsi="Arial" w:cs="Arial"/>
          <w:color w:val="000000"/>
          <w:sz w:val="22"/>
          <w:szCs w:val="20"/>
        </w:rPr>
      </w:pPr>
      <w:r w:rsidRPr="00826F8D">
        <w:rPr>
          <w:rFonts w:ascii="Arial" w:hAnsi="Arial" w:cs="Arial"/>
          <w:color w:val="000000"/>
          <w:sz w:val="22"/>
          <w:szCs w:val="20"/>
        </w:rPr>
        <w:t>porazdelitev prihrankov po posameznih letih določenega obdobja in;</w:t>
      </w:r>
    </w:p>
    <w:p w:rsidR="00826F8D" w:rsidRPr="00826F8D" w:rsidRDefault="00826F8D" w:rsidP="00010154">
      <w:pPr>
        <w:pStyle w:val="Odstavekseznama"/>
        <w:numPr>
          <w:ilvl w:val="0"/>
          <w:numId w:val="31"/>
        </w:numPr>
        <w:autoSpaceDE w:val="0"/>
        <w:autoSpaceDN w:val="0"/>
        <w:adjustRightInd w:val="0"/>
        <w:spacing w:line="288" w:lineRule="auto"/>
        <w:rPr>
          <w:rFonts w:ascii="Arial" w:hAnsi="Arial" w:cs="Arial"/>
          <w:color w:val="000000"/>
          <w:sz w:val="22"/>
          <w:szCs w:val="20"/>
        </w:rPr>
      </w:pPr>
      <w:r w:rsidRPr="00826F8D">
        <w:rPr>
          <w:rFonts w:ascii="Arial" w:hAnsi="Arial" w:cs="Arial"/>
          <w:color w:val="000000"/>
          <w:sz w:val="22"/>
          <w:szCs w:val="20"/>
        </w:rPr>
        <w:t>način in roke za izpolnjevanje obveznosti zavezancev v primeru uporabe izjeme z vplačilom sredstev Eko skladu.</w:t>
      </w:r>
    </w:p>
    <w:p w:rsidR="00C9672B" w:rsidRPr="007D56E9" w:rsidRDefault="00C9672B" w:rsidP="00010154">
      <w:pPr>
        <w:suppressAutoHyphens w:val="0"/>
        <w:spacing w:before="60" w:after="6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Izhodišče za izračun prihrankov</w:t>
      </w:r>
      <w:r w:rsidR="00826F8D">
        <w:rPr>
          <w:rFonts w:ascii="Arial" w:eastAsia="Calibri" w:hAnsi="Arial" w:cs="Arial"/>
          <w:sz w:val="22"/>
          <w:szCs w:val="22"/>
          <w:lang w:eastAsia="en-US"/>
        </w:rPr>
        <w:t xml:space="preserve">, ki jih morajo doseči zavezanci je </w:t>
      </w:r>
      <w:r w:rsidRPr="00C9672B">
        <w:rPr>
          <w:rFonts w:ascii="Arial" w:eastAsia="Calibri" w:hAnsi="Arial" w:cs="Arial"/>
          <w:sz w:val="22"/>
          <w:szCs w:val="22"/>
          <w:lang w:eastAsia="en-US"/>
        </w:rPr>
        <w:t xml:space="preserve">letno povprečje </w:t>
      </w:r>
      <w:r w:rsidRPr="00C9672B">
        <w:rPr>
          <w:rFonts w:ascii="Arial" w:hAnsi="Arial" w:cs="Arial"/>
          <w:color w:val="000000"/>
          <w:sz w:val="22"/>
          <w:szCs w:val="22"/>
          <w:lang w:eastAsia="sl-SI"/>
        </w:rPr>
        <w:t>končne porabe energije</w:t>
      </w:r>
      <w:r w:rsidR="00826F8D">
        <w:rPr>
          <w:rFonts w:ascii="Arial" w:hAnsi="Arial" w:cs="Arial"/>
          <w:color w:val="000000"/>
          <w:sz w:val="22"/>
          <w:szCs w:val="22"/>
          <w:lang w:eastAsia="sl-SI"/>
        </w:rPr>
        <w:t xml:space="preserve"> v RS</w:t>
      </w:r>
      <w:r w:rsidRPr="00C9672B">
        <w:rPr>
          <w:rFonts w:ascii="Arial" w:hAnsi="Arial" w:cs="Arial"/>
          <w:color w:val="000000"/>
          <w:sz w:val="22"/>
          <w:szCs w:val="22"/>
          <w:lang w:eastAsia="sl-SI"/>
        </w:rPr>
        <w:t xml:space="preserve">, </w:t>
      </w:r>
      <w:r w:rsidRPr="00C9672B">
        <w:rPr>
          <w:rFonts w:ascii="Arial" w:eastAsia="Calibri" w:hAnsi="Arial" w:cs="Arial"/>
          <w:sz w:val="22"/>
          <w:szCs w:val="22"/>
          <w:lang w:eastAsia="en-US"/>
        </w:rPr>
        <w:t>od katere  je odšteta neenergetska raba in poraba energije v prometu, v obdobju 2010 do 2012.</w:t>
      </w:r>
      <w:r w:rsidR="007D56E9">
        <w:rPr>
          <w:rFonts w:ascii="Arial" w:eastAsia="Calibri" w:hAnsi="Arial" w:cs="Arial"/>
          <w:sz w:val="22"/>
          <w:szCs w:val="22"/>
          <w:lang w:eastAsia="en-US"/>
        </w:rPr>
        <w:t xml:space="preserve"> </w:t>
      </w:r>
      <w:r w:rsidR="007D56E9" w:rsidRPr="007D56E9">
        <w:rPr>
          <w:rFonts w:ascii="Arial" w:eastAsia="Calibri" w:hAnsi="Arial" w:cs="Arial"/>
          <w:sz w:val="22"/>
          <w:szCs w:val="22"/>
          <w:lang w:eastAsia="en-US"/>
        </w:rPr>
        <w:t xml:space="preserve">Končna poraba energije v RS v letih 2010, 2011 in 2012 </w:t>
      </w:r>
      <w:r w:rsidR="007D56E9">
        <w:rPr>
          <w:rFonts w:ascii="Arial" w:eastAsia="Calibri" w:hAnsi="Arial" w:cs="Arial"/>
          <w:sz w:val="22"/>
          <w:szCs w:val="22"/>
          <w:lang w:eastAsia="en-US"/>
        </w:rPr>
        <w:t>je prikazana v t</w:t>
      </w:r>
      <w:r w:rsidR="007D56E9" w:rsidRPr="007D56E9">
        <w:rPr>
          <w:rFonts w:ascii="Arial" w:eastAsia="Calibri" w:hAnsi="Arial" w:cs="Arial"/>
          <w:sz w:val="22"/>
          <w:szCs w:val="22"/>
          <w:lang w:eastAsia="en-US"/>
        </w:rPr>
        <w:t>abeli 1.</w:t>
      </w:r>
    </w:p>
    <w:p w:rsidR="007D56E9" w:rsidRPr="007D56E9" w:rsidRDefault="007D56E9" w:rsidP="007D56E9">
      <w:pPr>
        <w:suppressAutoHyphens w:val="0"/>
        <w:spacing w:before="240" w:after="60" w:line="288" w:lineRule="auto"/>
        <w:jc w:val="both"/>
        <w:rPr>
          <w:rFonts w:ascii="Arial" w:eastAsia="Calibri" w:hAnsi="Arial" w:cs="Arial"/>
          <w:i/>
          <w:sz w:val="22"/>
          <w:szCs w:val="22"/>
          <w:lang w:eastAsia="en-US"/>
        </w:rPr>
      </w:pPr>
      <w:r w:rsidRPr="007D56E9">
        <w:rPr>
          <w:rFonts w:ascii="Arial" w:eastAsia="Calibri" w:hAnsi="Arial" w:cs="Arial"/>
          <w:i/>
          <w:sz w:val="22"/>
          <w:szCs w:val="22"/>
          <w:lang w:eastAsia="en-US"/>
        </w:rPr>
        <w:t>Tabela 1: Končna poraba energije v RS v letih 2010, 2011 in 2012</w:t>
      </w:r>
    </w:p>
    <w:tbl>
      <w:tblPr>
        <w:tblW w:w="7091" w:type="dxa"/>
        <w:jc w:val="center"/>
        <w:tblCellMar>
          <w:left w:w="70" w:type="dxa"/>
          <w:right w:w="70" w:type="dxa"/>
        </w:tblCellMar>
        <w:tblLook w:val="04A0" w:firstRow="1" w:lastRow="0" w:firstColumn="1" w:lastColumn="0" w:noHBand="0" w:noVBand="1"/>
      </w:tblPr>
      <w:tblGrid>
        <w:gridCol w:w="3689"/>
        <w:gridCol w:w="1134"/>
        <w:gridCol w:w="1134"/>
        <w:gridCol w:w="1134"/>
      </w:tblGrid>
      <w:tr w:rsidR="00C9672B" w:rsidRPr="00C9672B" w:rsidTr="00E9424F">
        <w:trPr>
          <w:trHeight w:val="288"/>
          <w:jc w:val="center"/>
        </w:trPr>
        <w:tc>
          <w:tcPr>
            <w:tcW w:w="3689" w:type="dxa"/>
            <w:tcBorders>
              <w:top w:val="nil"/>
              <w:left w:val="nil"/>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b/>
                <w:bCs/>
                <w:color w:val="000000"/>
                <w:sz w:val="22"/>
                <w:szCs w:val="22"/>
                <w:lang w:eastAsia="sl-SI"/>
              </w:rPr>
            </w:pPr>
          </w:p>
        </w:tc>
        <w:tc>
          <w:tcPr>
            <w:tcW w:w="1134" w:type="dxa"/>
            <w:tcBorders>
              <w:top w:val="single" w:sz="4" w:space="0" w:color="auto"/>
              <w:left w:val="single" w:sz="4" w:space="0" w:color="auto"/>
              <w:bottom w:val="single" w:sz="4" w:space="0" w:color="auto"/>
              <w:right w:val="single" w:sz="6"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b/>
                <w:bCs/>
                <w:color w:val="000000"/>
                <w:sz w:val="22"/>
                <w:szCs w:val="22"/>
                <w:lang w:eastAsia="sl-SI"/>
              </w:rPr>
            </w:pPr>
            <w:r w:rsidRPr="00C9672B">
              <w:rPr>
                <w:rFonts w:ascii="Arial" w:hAnsi="Arial" w:cs="Arial"/>
                <w:b/>
                <w:bCs/>
                <w:color w:val="000000"/>
                <w:sz w:val="22"/>
                <w:szCs w:val="22"/>
                <w:lang w:eastAsia="sl-SI"/>
              </w:rPr>
              <w:t xml:space="preserve">2010 </w:t>
            </w:r>
          </w:p>
        </w:tc>
        <w:tc>
          <w:tcPr>
            <w:tcW w:w="1134" w:type="dxa"/>
            <w:tcBorders>
              <w:top w:val="single" w:sz="4" w:space="0" w:color="auto"/>
              <w:left w:val="single" w:sz="6" w:space="0" w:color="auto"/>
              <w:bottom w:val="single" w:sz="4" w:space="0" w:color="auto"/>
              <w:right w:val="single" w:sz="6"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b/>
                <w:bCs/>
                <w:color w:val="000000"/>
                <w:sz w:val="22"/>
                <w:szCs w:val="22"/>
                <w:lang w:eastAsia="sl-SI"/>
              </w:rPr>
            </w:pPr>
            <w:r w:rsidRPr="00C9672B">
              <w:rPr>
                <w:rFonts w:ascii="Arial" w:hAnsi="Arial" w:cs="Arial"/>
                <w:b/>
                <w:bCs/>
                <w:color w:val="000000"/>
                <w:sz w:val="22"/>
                <w:szCs w:val="22"/>
                <w:lang w:eastAsia="sl-SI"/>
              </w:rPr>
              <w:t xml:space="preserve">2011 </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b/>
                <w:bCs/>
                <w:color w:val="000000"/>
                <w:sz w:val="22"/>
                <w:szCs w:val="22"/>
                <w:lang w:eastAsia="sl-SI"/>
              </w:rPr>
            </w:pPr>
            <w:r w:rsidRPr="00C9672B">
              <w:rPr>
                <w:rFonts w:ascii="Arial" w:hAnsi="Arial" w:cs="Arial"/>
                <w:b/>
                <w:bCs/>
                <w:color w:val="000000"/>
                <w:sz w:val="22"/>
                <w:szCs w:val="22"/>
                <w:lang w:eastAsia="sl-SI"/>
              </w:rPr>
              <w:t xml:space="preserve">2012 </w:t>
            </w:r>
          </w:p>
        </w:tc>
      </w:tr>
      <w:tr w:rsidR="00C9672B" w:rsidRPr="00C9672B" w:rsidTr="00E9424F">
        <w:trPr>
          <w:trHeight w:val="454"/>
          <w:jc w:val="center"/>
        </w:trPr>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končna poraba (GWh)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58.127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58.210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57.207</w:t>
            </w:r>
          </w:p>
        </w:tc>
      </w:tr>
      <w:tr w:rsidR="00C9672B" w:rsidRPr="00C9672B" w:rsidTr="00E9424F">
        <w:trPr>
          <w:trHeight w:val="454"/>
          <w:jc w:val="center"/>
        </w:trPr>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neenergetska raba (GWh)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1.213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510</w:t>
            </w:r>
          </w:p>
        </w:tc>
      </w:tr>
      <w:tr w:rsidR="00C9672B" w:rsidRPr="00C9672B" w:rsidTr="00E9424F">
        <w:trPr>
          <w:trHeight w:val="454"/>
          <w:jc w:val="center"/>
        </w:trPr>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poraba v prometu (GWh)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21.091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22.669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22.929</w:t>
            </w:r>
          </w:p>
        </w:tc>
      </w:tr>
      <w:tr w:rsidR="00C9672B" w:rsidRPr="00C9672B" w:rsidTr="00E9424F">
        <w:trPr>
          <w:trHeight w:val="454"/>
          <w:jc w:val="center"/>
        </w:trPr>
        <w:tc>
          <w:tcPr>
            <w:tcW w:w="3689"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 xml:space="preserve">končna poraba brez neenergetske </w:t>
            </w:r>
          </w:p>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rabe in prometa (GWh)</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35.823</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35.031</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color w:val="000000"/>
                <w:sz w:val="22"/>
                <w:szCs w:val="22"/>
                <w:lang w:eastAsia="sl-SI"/>
              </w:rPr>
              <w:t>33.768</w:t>
            </w:r>
          </w:p>
        </w:tc>
      </w:tr>
      <w:tr w:rsidR="00C9672B" w:rsidRPr="00C9672B" w:rsidTr="00E9424F">
        <w:trPr>
          <w:trHeight w:val="288"/>
          <w:jc w:val="center"/>
        </w:trPr>
        <w:tc>
          <w:tcPr>
            <w:tcW w:w="36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r w:rsidRPr="00C9672B">
              <w:rPr>
                <w:rFonts w:ascii="Arial" w:hAnsi="Arial" w:cs="Arial"/>
                <w:b/>
                <w:bCs/>
                <w:color w:val="000000"/>
                <w:sz w:val="22"/>
                <w:szCs w:val="22"/>
                <w:lang w:eastAsia="sl-SI"/>
              </w:rPr>
              <w:t>povprečje 2010 - 2012</w:t>
            </w:r>
            <w:r w:rsidRPr="00C9672B">
              <w:rPr>
                <w:rFonts w:ascii="Arial" w:hAnsi="Arial" w:cs="Arial"/>
                <w:color w:val="000000"/>
                <w:sz w:val="22"/>
                <w:szCs w:val="22"/>
                <w:lang w:eastAsia="sl-SI"/>
              </w:rPr>
              <w:t xml:space="preserve"> (GWh)</w:t>
            </w:r>
          </w:p>
        </w:tc>
        <w:tc>
          <w:tcPr>
            <w:tcW w:w="1134" w:type="dxa"/>
            <w:tcBorders>
              <w:top w:val="single" w:sz="12" w:space="0" w:color="auto"/>
              <w:left w:val="single" w:sz="12" w:space="0" w:color="auto"/>
              <w:bottom w:val="single" w:sz="12" w:space="0" w:color="auto"/>
              <w:right w:val="nil"/>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p>
        </w:tc>
        <w:tc>
          <w:tcPr>
            <w:tcW w:w="1134" w:type="dxa"/>
            <w:tcBorders>
              <w:top w:val="single" w:sz="12" w:space="0" w:color="auto"/>
              <w:left w:val="nil"/>
              <w:bottom w:val="single" w:sz="12" w:space="0" w:color="auto"/>
              <w:right w:val="nil"/>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b/>
                <w:bCs/>
                <w:color w:val="000000"/>
                <w:sz w:val="22"/>
                <w:szCs w:val="22"/>
                <w:lang w:eastAsia="sl-SI"/>
              </w:rPr>
            </w:pPr>
            <w:r w:rsidRPr="00C9672B">
              <w:rPr>
                <w:rFonts w:ascii="Arial" w:hAnsi="Arial" w:cs="Arial"/>
                <w:b/>
                <w:bCs/>
                <w:color w:val="000000"/>
                <w:sz w:val="22"/>
                <w:szCs w:val="22"/>
                <w:lang w:eastAsia="sl-SI"/>
              </w:rPr>
              <w:t>34.874</w:t>
            </w:r>
          </w:p>
        </w:tc>
        <w:tc>
          <w:tcPr>
            <w:tcW w:w="1134" w:type="dxa"/>
            <w:tcBorders>
              <w:top w:val="single" w:sz="12" w:space="0" w:color="auto"/>
              <w:left w:val="nil"/>
              <w:bottom w:val="single" w:sz="12" w:space="0" w:color="auto"/>
              <w:right w:val="single" w:sz="12" w:space="0" w:color="auto"/>
            </w:tcBorders>
            <w:shd w:val="clear" w:color="auto" w:fill="auto"/>
            <w:noWrap/>
            <w:vAlign w:val="bottom"/>
            <w:hideMark/>
          </w:tcPr>
          <w:p w:rsidR="00C9672B" w:rsidRPr="00C9672B" w:rsidRDefault="00C9672B" w:rsidP="00C9672B">
            <w:pPr>
              <w:suppressAutoHyphens w:val="0"/>
              <w:spacing w:before="60" w:after="60" w:line="288" w:lineRule="auto"/>
              <w:jc w:val="both"/>
              <w:rPr>
                <w:rFonts w:ascii="Arial" w:hAnsi="Arial" w:cs="Arial"/>
                <w:color w:val="000000"/>
                <w:sz w:val="22"/>
                <w:szCs w:val="22"/>
                <w:lang w:eastAsia="sl-SI"/>
              </w:rPr>
            </w:pPr>
          </w:p>
        </w:tc>
      </w:tr>
    </w:tbl>
    <w:p w:rsidR="00C9672B" w:rsidRPr="00C9672B" w:rsidRDefault="00C9672B" w:rsidP="00C9672B">
      <w:pPr>
        <w:suppressAutoHyphens w:val="0"/>
        <w:spacing w:before="240" w:after="200" w:line="288" w:lineRule="auto"/>
        <w:rPr>
          <w:rFonts w:ascii="Arial" w:eastAsia="Calibri" w:hAnsi="Arial" w:cs="Arial"/>
          <w:sz w:val="18"/>
          <w:szCs w:val="18"/>
          <w:lang w:eastAsia="en-US"/>
        </w:rPr>
      </w:pPr>
      <w:r w:rsidRPr="00C9672B">
        <w:rPr>
          <w:rFonts w:ascii="Arial" w:eastAsia="Calibri" w:hAnsi="Arial" w:cs="Arial"/>
          <w:sz w:val="18"/>
          <w:szCs w:val="18"/>
          <w:lang w:eastAsia="en-US"/>
        </w:rPr>
        <w:t>Vir: Statistični urad Republike Slovenije, http://pxweb.stat.si/pxweb/Database/Okolje/Okolje.asp</w:t>
      </w:r>
    </w:p>
    <w:p w:rsidR="00C9672B" w:rsidRPr="00C9672B" w:rsidRDefault="00C9672B"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Izhodišče za izračun obveznosti po 7</w:t>
      </w:r>
      <w:r w:rsidR="0065326B">
        <w:rPr>
          <w:rFonts w:ascii="Arial" w:eastAsia="Calibri" w:hAnsi="Arial" w:cs="Arial"/>
          <w:sz w:val="22"/>
          <w:szCs w:val="22"/>
          <w:lang w:eastAsia="en-US"/>
        </w:rPr>
        <w:t>. členu</w:t>
      </w:r>
      <w:r w:rsidRPr="00C9672B">
        <w:rPr>
          <w:rFonts w:ascii="Arial" w:eastAsia="Calibri" w:hAnsi="Arial" w:cs="Arial"/>
          <w:sz w:val="22"/>
          <w:szCs w:val="22"/>
          <w:lang w:eastAsia="en-US"/>
        </w:rPr>
        <w:t xml:space="preserve"> Direktive </w:t>
      </w:r>
      <w:r w:rsidR="00FD70BA">
        <w:rPr>
          <w:rFonts w:ascii="Arial" w:eastAsia="Calibri" w:hAnsi="Arial" w:cs="Arial"/>
          <w:sz w:val="22"/>
          <w:szCs w:val="22"/>
          <w:lang w:eastAsia="en-US"/>
        </w:rPr>
        <w:t>2012/27/EU</w:t>
      </w:r>
      <w:r w:rsidRPr="00C9672B">
        <w:rPr>
          <w:rFonts w:ascii="Arial" w:eastAsia="Calibri" w:hAnsi="Arial" w:cs="Arial"/>
          <w:sz w:val="22"/>
          <w:szCs w:val="22"/>
          <w:lang w:eastAsia="en-US"/>
        </w:rPr>
        <w:t xml:space="preserve"> tako znaša 34.874 GWh.</w:t>
      </w:r>
    </w:p>
    <w:p w:rsidR="00C9672B" w:rsidRPr="00C9672B" w:rsidRDefault="00C9672B"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Obveznost doseganja skupnega prihranka končne energije v višini 1,5 % novih letnih prihrankov vrednosti v obdobju 2010 do 2012 pomeni, da bi bilo v Sloveniji potrebno vsako leto  v obdobju od 1. januarja 2014 do 31. decembra 2020 doseči 523 GWh novih prihrankov. Vsi ukrepi, s katerimi bodo doseženi ti prihranki</w:t>
      </w:r>
      <w:r w:rsidR="00FD70BA">
        <w:rPr>
          <w:rFonts w:ascii="Arial" w:eastAsia="Calibri" w:hAnsi="Arial" w:cs="Arial"/>
          <w:sz w:val="22"/>
          <w:szCs w:val="22"/>
          <w:lang w:eastAsia="en-US"/>
        </w:rPr>
        <w:t>,</w:t>
      </w:r>
      <w:r w:rsidRPr="00C9672B">
        <w:rPr>
          <w:rFonts w:ascii="Arial" w:eastAsia="Calibri" w:hAnsi="Arial" w:cs="Arial"/>
          <w:sz w:val="22"/>
          <w:szCs w:val="22"/>
          <w:lang w:eastAsia="en-US"/>
        </w:rPr>
        <w:t xml:space="preserve"> morajo trajati vsaj do 2020, tako da bi kumulativni prihranki v obdobju 2014 do 2020 znašali 14.647 GWh. </w:t>
      </w:r>
    </w:p>
    <w:p w:rsidR="00C9672B" w:rsidRPr="00C9672B" w:rsidRDefault="00C9672B"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Ob upoštevanju izjem iz drugega odstavka 7</w:t>
      </w:r>
      <w:r w:rsidR="00FD70BA">
        <w:rPr>
          <w:rFonts w:ascii="Arial" w:eastAsia="Calibri" w:hAnsi="Arial" w:cs="Arial"/>
          <w:sz w:val="22"/>
          <w:szCs w:val="22"/>
          <w:lang w:eastAsia="en-US"/>
        </w:rPr>
        <w:t>. člena</w:t>
      </w:r>
      <w:r w:rsidRPr="00C9672B">
        <w:rPr>
          <w:rFonts w:ascii="Arial" w:eastAsia="Calibri" w:hAnsi="Arial" w:cs="Arial"/>
          <w:sz w:val="22"/>
          <w:szCs w:val="22"/>
          <w:lang w:eastAsia="en-US"/>
        </w:rPr>
        <w:t xml:space="preserve"> </w:t>
      </w:r>
      <w:r w:rsidR="00FD70BA">
        <w:rPr>
          <w:rFonts w:ascii="Arial" w:eastAsia="Calibri" w:hAnsi="Arial" w:cs="Arial"/>
          <w:sz w:val="22"/>
          <w:szCs w:val="22"/>
          <w:lang w:eastAsia="en-US"/>
        </w:rPr>
        <w:t xml:space="preserve">Direktive </w:t>
      </w:r>
      <w:r w:rsidR="00826F8D">
        <w:rPr>
          <w:rFonts w:ascii="Arial" w:eastAsia="Calibri" w:hAnsi="Arial" w:cs="Arial"/>
          <w:sz w:val="22"/>
          <w:szCs w:val="22"/>
          <w:lang w:eastAsia="en-US"/>
        </w:rPr>
        <w:t xml:space="preserve">2012/27/EU </w:t>
      </w:r>
      <w:r w:rsidRPr="00C9672B">
        <w:rPr>
          <w:rFonts w:ascii="Arial" w:eastAsia="Calibri" w:hAnsi="Arial" w:cs="Arial"/>
          <w:sz w:val="22"/>
          <w:szCs w:val="22"/>
          <w:lang w:eastAsia="en-US"/>
        </w:rPr>
        <w:t>in ob upoštevanj</w:t>
      </w:r>
      <w:r w:rsidR="00826F8D">
        <w:rPr>
          <w:rFonts w:ascii="Arial" w:eastAsia="Calibri" w:hAnsi="Arial" w:cs="Arial"/>
          <w:sz w:val="22"/>
          <w:szCs w:val="22"/>
          <w:lang w:eastAsia="en-US"/>
        </w:rPr>
        <w:t>u omejitve iz tretjega odstavka</w:t>
      </w:r>
      <w:r w:rsidR="00194B09">
        <w:rPr>
          <w:rFonts w:ascii="Arial" w:eastAsia="Calibri" w:hAnsi="Arial" w:cs="Arial"/>
          <w:sz w:val="22"/>
          <w:szCs w:val="22"/>
          <w:lang w:eastAsia="en-US"/>
        </w:rPr>
        <w:t xml:space="preserve"> </w:t>
      </w:r>
      <w:r w:rsidR="005F7350">
        <w:rPr>
          <w:rFonts w:ascii="Arial" w:eastAsia="Calibri" w:hAnsi="Arial" w:cs="Arial"/>
          <w:sz w:val="22"/>
          <w:szCs w:val="22"/>
          <w:lang w:eastAsia="en-US"/>
        </w:rPr>
        <w:t>citiranega člena</w:t>
      </w:r>
      <w:r w:rsidR="00826F8D">
        <w:rPr>
          <w:rFonts w:ascii="Arial" w:eastAsia="Calibri" w:hAnsi="Arial" w:cs="Arial"/>
          <w:sz w:val="22"/>
          <w:szCs w:val="22"/>
          <w:lang w:eastAsia="en-US"/>
        </w:rPr>
        <w:t xml:space="preserve">, uredba določa, da </w:t>
      </w:r>
      <w:r w:rsidRPr="00C9672B">
        <w:rPr>
          <w:rFonts w:ascii="Arial" w:eastAsia="Calibri" w:hAnsi="Arial" w:cs="Arial"/>
          <w:sz w:val="22"/>
          <w:szCs w:val="22"/>
          <w:lang w:eastAsia="en-US"/>
        </w:rPr>
        <w:t>bo v Sloveniji ta cilj zmanjšan za 25 %</w:t>
      </w:r>
      <w:r w:rsidR="00826F8D">
        <w:rPr>
          <w:rFonts w:ascii="Arial" w:eastAsia="Calibri" w:hAnsi="Arial" w:cs="Arial"/>
          <w:sz w:val="22"/>
          <w:szCs w:val="22"/>
          <w:lang w:eastAsia="en-US"/>
        </w:rPr>
        <w:t xml:space="preserve"> in sicer </w:t>
      </w:r>
      <w:r w:rsidRPr="00C9672B">
        <w:rPr>
          <w:rFonts w:ascii="Arial" w:eastAsia="Calibri" w:hAnsi="Arial" w:cs="Arial"/>
          <w:sz w:val="22"/>
          <w:szCs w:val="22"/>
          <w:lang w:eastAsia="en-US"/>
        </w:rPr>
        <w:t>z uporabo določb prve in tretje alineje</w:t>
      </w:r>
      <w:r w:rsidR="00194B09">
        <w:rPr>
          <w:rFonts w:ascii="Arial" w:eastAsia="Calibri" w:hAnsi="Arial" w:cs="Arial"/>
          <w:sz w:val="22"/>
          <w:szCs w:val="22"/>
          <w:lang w:eastAsia="en-US"/>
        </w:rPr>
        <w:t xml:space="preserve"> 2. odstavka 7. člena Direktive 2012/27/EU</w:t>
      </w:r>
      <w:r w:rsidRPr="00C9672B">
        <w:rPr>
          <w:rFonts w:ascii="Arial" w:eastAsia="Calibri" w:hAnsi="Arial" w:cs="Arial"/>
          <w:sz w:val="22"/>
          <w:szCs w:val="22"/>
          <w:lang w:eastAsia="en-US"/>
        </w:rPr>
        <w:t xml:space="preserve">, to je z uporabo nižjih vrednosti v prvih petih letih in z izvajanjem ukrepov v sektorjih pretvorbe, distribucije in prenosa energije, vključno z infrastrukturami za učinkovito daljinsko ogrevanje in hlajenje. </w:t>
      </w:r>
      <w:r w:rsidR="00826F8D">
        <w:rPr>
          <w:rFonts w:ascii="Arial" w:eastAsia="Calibri" w:hAnsi="Arial" w:cs="Arial"/>
          <w:sz w:val="22"/>
          <w:szCs w:val="22"/>
          <w:lang w:eastAsia="en-US"/>
        </w:rPr>
        <w:t>Uredba d</w:t>
      </w:r>
      <w:r w:rsidRPr="00C9672B">
        <w:rPr>
          <w:rFonts w:ascii="Arial" w:eastAsia="Calibri" w:hAnsi="Arial" w:cs="Arial"/>
          <w:sz w:val="22"/>
          <w:szCs w:val="22"/>
          <w:lang w:eastAsia="en-US"/>
        </w:rPr>
        <w:t>opušč</w:t>
      </w:r>
      <w:r w:rsidR="00826F8D">
        <w:rPr>
          <w:rFonts w:ascii="Arial" w:eastAsia="Calibri" w:hAnsi="Arial" w:cs="Arial"/>
          <w:sz w:val="22"/>
          <w:szCs w:val="22"/>
          <w:lang w:eastAsia="en-US"/>
        </w:rPr>
        <w:t>a</w:t>
      </w:r>
      <w:r w:rsidRPr="00C9672B">
        <w:rPr>
          <w:rFonts w:ascii="Arial" w:eastAsia="Calibri" w:hAnsi="Arial" w:cs="Arial"/>
          <w:sz w:val="22"/>
          <w:szCs w:val="22"/>
          <w:lang w:eastAsia="en-US"/>
        </w:rPr>
        <w:t xml:space="preserve"> ukrep</w:t>
      </w:r>
      <w:r w:rsidR="00194B09">
        <w:rPr>
          <w:rFonts w:ascii="Arial" w:eastAsia="Calibri" w:hAnsi="Arial" w:cs="Arial"/>
          <w:sz w:val="22"/>
          <w:szCs w:val="22"/>
          <w:lang w:eastAsia="en-US"/>
        </w:rPr>
        <w:t>e</w:t>
      </w:r>
      <w:r w:rsidRPr="00C9672B">
        <w:rPr>
          <w:rFonts w:ascii="Arial" w:eastAsia="Calibri" w:hAnsi="Arial" w:cs="Arial"/>
          <w:sz w:val="22"/>
          <w:szCs w:val="22"/>
          <w:lang w:eastAsia="en-US"/>
        </w:rPr>
        <w:t xml:space="preserve"> za izboljšave na sistemih za daljinsko ogrevanje, vključno z iz</w:t>
      </w:r>
      <w:r w:rsidR="00826F8D">
        <w:rPr>
          <w:rFonts w:ascii="Arial" w:eastAsia="Calibri" w:hAnsi="Arial" w:cs="Arial"/>
          <w:sz w:val="22"/>
          <w:szCs w:val="22"/>
          <w:lang w:eastAsia="en-US"/>
        </w:rPr>
        <w:t xml:space="preserve">boljšavami v toplotnih postajah, ne glede na lastništvo toplotnih postaj. </w:t>
      </w:r>
    </w:p>
    <w:p w:rsidR="00C9672B" w:rsidRPr="00C9672B" w:rsidRDefault="00C9672B" w:rsidP="00010154">
      <w:pPr>
        <w:suppressAutoHyphens w:val="0"/>
        <w:spacing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Ciljna obveznost prihrankov energije, doseženih v posameznih letih, bo tako postopno naraščala od 1 % v letu 2014 do 1,5 % v letu 2020:</w:t>
      </w:r>
    </w:p>
    <w:p w:rsidR="00C9672B" w:rsidRPr="00C9672B" w:rsidRDefault="00C9672B" w:rsidP="00010154">
      <w:pPr>
        <w:numPr>
          <w:ilvl w:val="0"/>
          <w:numId w:val="33"/>
        </w:numPr>
        <w:suppressAutoHyphens w:val="0"/>
        <w:spacing w:line="288" w:lineRule="auto"/>
        <w:ind w:left="357" w:hanging="357"/>
        <w:jc w:val="both"/>
        <w:rPr>
          <w:rFonts w:ascii="Arial" w:eastAsia="Calibri" w:hAnsi="Arial" w:cs="Arial"/>
          <w:sz w:val="22"/>
          <w:szCs w:val="22"/>
          <w:lang w:eastAsia="en-US"/>
        </w:rPr>
      </w:pPr>
      <w:r w:rsidRPr="00C9672B">
        <w:rPr>
          <w:rFonts w:ascii="Arial" w:eastAsia="Calibri" w:hAnsi="Arial" w:cs="Arial"/>
          <w:sz w:val="22"/>
          <w:szCs w:val="22"/>
          <w:lang w:eastAsia="en-US"/>
        </w:rPr>
        <w:t>1 % v letih 2014 in 2015,</w:t>
      </w:r>
    </w:p>
    <w:p w:rsidR="00C9672B" w:rsidRPr="00C9672B" w:rsidRDefault="00C9672B" w:rsidP="00010154">
      <w:pPr>
        <w:numPr>
          <w:ilvl w:val="0"/>
          <w:numId w:val="33"/>
        </w:numPr>
        <w:suppressAutoHyphens w:val="0"/>
        <w:spacing w:line="288" w:lineRule="auto"/>
        <w:ind w:left="357" w:hanging="357"/>
        <w:jc w:val="both"/>
        <w:rPr>
          <w:rFonts w:ascii="Arial" w:eastAsia="Calibri" w:hAnsi="Arial" w:cs="Arial"/>
          <w:sz w:val="22"/>
          <w:szCs w:val="22"/>
          <w:lang w:eastAsia="en-US"/>
        </w:rPr>
      </w:pPr>
      <w:r w:rsidRPr="00C9672B">
        <w:rPr>
          <w:rFonts w:ascii="Arial" w:eastAsia="Calibri" w:hAnsi="Arial" w:cs="Arial"/>
          <w:sz w:val="22"/>
          <w:szCs w:val="22"/>
          <w:lang w:eastAsia="en-US"/>
        </w:rPr>
        <w:t>1,25 % v letih 2016 in 2017 in</w:t>
      </w:r>
    </w:p>
    <w:p w:rsidR="00C9672B" w:rsidRDefault="00C9672B" w:rsidP="00010154">
      <w:pPr>
        <w:numPr>
          <w:ilvl w:val="0"/>
          <w:numId w:val="33"/>
        </w:numPr>
        <w:suppressAutoHyphens w:val="0"/>
        <w:spacing w:line="288" w:lineRule="auto"/>
        <w:ind w:left="357" w:hanging="357"/>
        <w:jc w:val="both"/>
        <w:rPr>
          <w:rFonts w:ascii="Arial" w:eastAsia="Calibri" w:hAnsi="Arial" w:cs="Arial"/>
          <w:sz w:val="22"/>
          <w:szCs w:val="22"/>
          <w:lang w:eastAsia="en-US"/>
        </w:rPr>
      </w:pPr>
      <w:r w:rsidRPr="00C9672B">
        <w:rPr>
          <w:rFonts w:ascii="Arial" w:eastAsia="Calibri" w:hAnsi="Arial" w:cs="Arial"/>
          <w:sz w:val="22"/>
          <w:szCs w:val="22"/>
          <w:lang w:eastAsia="en-US"/>
        </w:rPr>
        <w:t>1,5 % v letih 2018 do 2020.</w:t>
      </w:r>
    </w:p>
    <w:p w:rsidR="00087E4B" w:rsidRDefault="00087E4B" w:rsidP="00087E4B">
      <w:pPr>
        <w:suppressAutoHyphens w:val="0"/>
        <w:spacing w:line="288" w:lineRule="auto"/>
        <w:jc w:val="both"/>
        <w:rPr>
          <w:rFonts w:ascii="Arial" w:eastAsia="Calibri" w:hAnsi="Arial" w:cs="Arial"/>
          <w:sz w:val="22"/>
          <w:szCs w:val="22"/>
          <w:lang w:eastAsia="en-US"/>
        </w:rPr>
      </w:pPr>
    </w:p>
    <w:p w:rsidR="00087E4B" w:rsidRDefault="00087E4B" w:rsidP="00087E4B">
      <w:pPr>
        <w:suppressAutoHyphens w:val="0"/>
        <w:spacing w:line="288" w:lineRule="auto"/>
        <w:jc w:val="both"/>
        <w:rPr>
          <w:rFonts w:ascii="Arial" w:eastAsia="Calibri" w:hAnsi="Arial" w:cs="Arial"/>
          <w:sz w:val="22"/>
          <w:szCs w:val="22"/>
          <w:lang w:eastAsia="en-US"/>
        </w:rPr>
      </w:pPr>
    </w:p>
    <w:p w:rsidR="00087E4B" w:rsidRPr="00C9672B" w:rsidRDefault="00087E4B" w:rsidP="00087E4B">
      <w:pPr>
        <w:suppressAutoHyphens w:val="0"/>
        <w:spacing w:line="288" w:lineRule="auto"/>
        <w:jc w:val="both"/>
        <w:rPr>
          <w:rFonts w:ascii="Arial" w:eastAsia="Calibri" w:hAnsi="Arial" w:cs="Arial"/>
          <w:sz w:val="22"/>
          <w:szCs w:val="22"/>
          <w:lang w:eastAsia="en-US"/>
        </w:rPr>
      </w:pPr>
    </w:p>
    <w:p w:rsidR="00FC3466" w:rsidRPr="00C9672B" w:rsidRDefault="00FC3466" w:rsidP="00010154">
      <w:pPr>
        <w:suppressAutoHyphens w:val="0"/>
        <w:spacing w:line="288" w:lineRule="auto"/>
        <w:ind w:left="357"/>
        <w:jc w:val="both"/>
        <w:rPr>
          <w:rFonts w:ascii="Arial" w:eastAsia="Calibri" w:hAnsi="Arial" w:cs="Arial"/>
          <w:sz w:val="22"/>
          <w:szCs w:val="22"/>
          <w:lang w:eastAsia="en-US"/>
        </w:rPr>
      </w:pPr>
    </w:p>
    <w:p w:rsidR="00C9672B" w:rsidRDefault="007D56E9"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V tabeli 2 so prikazani </w:t>
      </w:r>
      <w:r w:rsidRPr="00C9672B">
        <w:rPr>
          <w:rFonts w:ascii="Arial" w:eastAsia="Calibri" w:hAnsi="Arial" w:cs="Arial"/>
          <w:sz w:val="22"/>
          <w:szCs w:val="22"/>
          <w:lang w:eastAsia="en-US"/>
        </w:rPr>
        <w:t xml:space="preserve">doseženi prihranki energije v posameznih letih </w:t>
      </w:r>
      <w:r>
        <w:rPr>
          <w:rFonts w:ascii="Arial" w:eastAsia="Calibri" w:hAnsi="Arial" w:cs="Arial"/>
          <w:sz w:val="22"/>
          <w:szCs w:val="22"/>
          <w:lang w:eastAsia="en-US"/>
        </w:rPr>
        <w:t>ob upoštevanju teh izjem.</w:t>
      </w:r>
    </w:p>
    <w:p w:rsidR="007D56E9" w:rsidRPr="00C9672B" w:rsidRDefault="007D56E9" w:rsidP="007D56E9">
      <w:pPr>
        <w:suppressAutoHyphens w:val="0"/>
        <w:spacing w:before="240" w:after="60" w:line="288" w:lineRule="auto"/>
        <w:jc w:val="both"/>
        <w:rPr>
          <w:rFonts w:ascii="Arial" w:eastAsia="Calibri" w:hAnsi="Arial" w:cs="Arial"/>
          <w:sz w:val="22"/>
          <w:szCs w:val="22"/>
          <w:lang w:eastAsia="en-US"/>
        </w:rPr>
      </w:pPr>
      <w:r>
        <w:rPr>
          <w:rFonts w:ascii="Arial" w:eastAsia="Calibri" w:hAnsi="Arial" w:cs="Arial"/>
          <w:i/>
          <w:sz w:val="22"/>
          <w:szCs w:val="22"/>
          <w:lang w:eastAsia="en-US"/>
        </w:rPr>
        <w:t>Tabela 2</w:t>
      </w:r>
      <w:r w:rsidRPr="007D56E9">
        <w:rPr>
          <w:rFonts w:ascii="Arial" w:eastAsia="Calibri" w:hAnsi="Arial" w:cs="Arial"/>
          <w:i/>
          <w:sz w:val="22"/>
          <w:szCs w:val="22"/>
          <w:lang w:eastAsia="en-US"/>
        </w:rPr>
        <w:t xml:space="preserve">: </w:t>
      </w:r>
      <w:r>
        <w:rPr>
          <w:rFonts w:ascii="Arial" w:eastAsia="Calibri" w:hAnsi="Arial" w:cs="Arial"/>
          <w:i/>
          <w:sz w:val="22"/>
          <w:szCs w:val="22"/>
          <w:lang w:eastAsia="en-US"/>
        </w:rPr>
        <w:t>Prihranki energije po letih od 2014 do 2020</w:t>
      </w:r>
    </w:p>
    <w:tbl>
      <w:tblPr>
        <w:tblW w:w="0" w:type="auto"/>
        <w:jc w:val="center"/>
        <w:tblInd w:w="55" w:type="dxa"/>
        <w:tblCellMar>
          <w:left w:w="70" w:type="dxa"/>
          <w:right w:w="70" w:type="dxa"/>
        </w:tblCellMar>
        <w:tblLook w:val="04A0" w:firstRow="1" w:lastRow="0" w:firstColumn="1" w:lastColumn="0" w:noHBand="0" w:noVBand="1"/>
      </w:tblPr>
      <w:tblGrid>
        <w:gridCol w:w="794"/>
        <w:gridCol w:w="794"/>
        <w:gridCol w:w="794"/>
        <w:gridCol w:w="794"/>
        <w:gridCol w:w="794"/>
        <w:gridCol w:w="794"/>
        <w:gridCol w:w="794"/>
        <w:gridCol w:w="794"/>
        <w:gridCol w:w="794"/>
      </w:tblGrid>
      <w:tr w:rsidR="00C9672B" w:rsidRPr="005F121A" w:rsidTr="00E9424F">
        <w:trPr>
          <w:trHeight w:val="288"/>
          <w:jc w:val="center"/>
        </w:trPr>
        <w:tc>
          <w:tcPr>
            <w:tcW w:w="7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GWh</w:t>
            </w:r>
          </w:p>
        </w:tc>
        <w:tc>
          <w:tcPr>
            <w:tcW w:w="794" w:type="dxa"/>
            <w:tcBorders>
              <w:top w:val="single" w:sz="8" w:space="0" w:color="auto"/>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2014</w:t>
            </w:r>
          </w:p>
        </w:tc>
        <w:tc>
          <w:tcPr>
            <w:tcW w:w="794" w:type="dxa"/>
            <w:tcBorders>
              <w:top w:val="single" w:sz="8" w:space="0" w:color="auto"/>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2015</w:t>
            </w:r>
          </w:p>
        </w:tc>
        <w:tc>
          <w:tcPr>
            <w:tcW w:w="794" w:type="dxa"/>
            <w:tcBorders>
              <w:top w:val="single" w:sz="8" w:space="0" w:color="auto"/>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2016</w:t>
            </w:r>
          </w:p>
        </w:tc>
        <w:tc>
          <w:tcPr>
            <w:tcW w:w="794" w:type="dxa"/>
            <w:tcBorders>
              <w:top w:val="single" w:sz="8" w:space="0" w:color="auto"/>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2017</w:t>
            </w:r>
          </w:p>
        </w:tc>
        <w:tc>
          <w:tcPr>
            <w:tcW w:w="794" w:type="dxa"/>
            <w:tcBorders>
              <w:top w:val="single" w:sz="8" w:space="0" w:color="auto"/>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2018</w:t>
            </w:r>
          </w:p>
        </w:tc>
        <w:tc>
          <w:tcPr>
            <w:tcW w:w="794" w:type="dxa"/>
            <w:tcBorders>
              <w:top w:val="single" w:sz="8" w:space="0" w:color="auto"/>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2019</w:t>
            </w:r>
          </w:p>
        </w:tc>
        <w:tc>
          <w:tcPr>
            <w:tcW w:w="794" w:type="dxa"/>
            <w:tcBorders>
              <w:top w:val="single" w:sz="8" w:space="0" w:color="auto"/>
              <w:left w:val="nil"/>
              <w:bottom w:val="single" w:sz="4" w:space="0" w:color="auto"/>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2020</w:t>
            </w:r>
          </w:p>
        </w:tc>
        <w:tc>
          <w:tcPr>
            <w:tcW w:w="794" w:type="dxa"/>
            <w:tcBorders>
              <w:top w:val="single" w:sz="8" w:space="0" w:color="auto"/>
              <w:left w:val="nil"/>
              <w:bottom w:val="single" w:sz="4" w:space="0" w:color="auto"/>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skupaj</w:t>
            </w:r>
          </w:p>
        </w:tc>
      </w:tr>
      <w:tr w:rsidR="00C9672B" w:rsidRPr="005F121A" w:rsidTr="00E9424F">
        <w:trPr>
          <w:trHeight w:val="288"/>
          <w:jc w:val="center"/>
        </w:trPr>
        <w:tc>
          <w:tcPr>
            <w:tcW w:w="794" w:type="dxa"/>
            <w:tcBorders>
              <w:top w:val="nil"/>
              <w:left w:val="single" w:sz="8" w:space="0" w:color="auto"/>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288"/>
          <w:jc w:val="center"/>
        </w:trPr>
        <w:tc>
          <w:tcPr>
            <w:tcW w:w="794" w:type="dxa"/>
            <w:tcBorders>
              <w:top w:val="nil"/>
              <w:left w:val="single" w:sz="8" w:space="0" w:color="auto"/>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349</w:t>
            </w:r>
          </w:p>
        </w:tc>
        <w:tc>
          <w:tcPr>
            <w:tcW w:w="794" w:type="dxa"/>
            <w:tcBorders>
              <w:top w:val="nil"/>
              <w:left w:val="nil"/>
              <w:bottom w:val="nil"/>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288"/>
          <w:jc w:val="center"/>
        </w:trPr>
        <w:tc>
          <w:tcPr>
            <w:tcW w:w="794" w:type="dxa"/>
            <w:tcBorders>
              <w:top w:val="nil"/>
              <w:left w:val="single" w:sz="8" w:space="0" w:color="auto"/>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288"/>
          <w:jc w:val="center"/>
        </w:trPr>
        <w:tc>
          <w:tcPr>
            <w:tcW w:w="794" w:type="dxa"/>
            <w:tcBorders>
              <w:top w:val="nil"/>
              <w:left w:val="single" w:sz="8" w:space="0" w:color="auto"/>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436</w:t>
            </w:r>
          </w:p>
        </w:tc>
        <w:tc>
          <w:tcPr>
            <w:tcW w:w="794" w:type="dxa"/>
            <w:tcBorders>
              <w:top w:val="nil"/>
              <w:left w:val="nil"/>
              <w:bottom w:val="nil"/>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288"/>
          <w:jc w:val="center"/>
        </w:trPr>
        <w:tc>
          <w:tcPr>
            <w:tcW w:w="794" w:type="dxa"/>
            <w:tcBorders>
              <w:top w:val="nil"/>
              <w:left w:val="single" w:sz="8" w:space="0" w:color="auto"/>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523</w:t>
            </w: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523</w:t>
            </w:r>
          </w:p>
        </w:tc>
        <w:tc>
          <w:tcPr>
            <w:tcW w:w="794" w:type="dxa"/>
            <w:tcBorders>
              <w:top w:val="nil"/>
              <w:left w:val="nil"/>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523</w:t>
            </w:r>
          </w:p>
        </w:tc>
        <w:tc>
          <w:tcPr>
            <w:tcW w:w="794" w:type="dxa"/>
            <w:tcBorders>
              <w:top w:val="nil"/>
              <w:left w:val="nil"/>
              <w:bottom w:val="nil"/>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288"/>
          <w:jc w:val="center"/>
        </w:trPr>
        <w:tc>
          <w:tcPr>
            <w:tcW w:w="794" w:type="dxa"/>
            <w:tcBorders>
              <w:top w:val="nil"/>
              <w:left w:val="single" w:sz="8" w:space="0" w:color="auto"/>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nil"/>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523</w:t>
            </w:r>
          </w:p>
        </w:tc>
        <w:tc>
          <w:tcPr>
            <w:tcW w:w="794" w:type="dxa"/>
            <w:tcBorders>
              <w:top w:val="nil"/>
              <w:left w:val="nil"/>
              <w:bottom w:val="nil"/>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523</w:t>
            </w:r>
          </w:p>
        </w:tc>
        <w:tc>
          <w:tcPr>
            <w:tcW w:w="794" w:type="dxa"/>
            <w:tcBorders>
              <w:top w:val="nil"/>
              <w:left w:val="nil"/>
              <w:bottom w:val="nil"/>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288"/>
          <w:jc w:val="center"/>
        </w:trPr>
        <w:tc>
          <w:tcPr>
            <w:tcW w:w="794" w:type="dxa"/>
            <w:tcBorders>
              <w:top w:val="nil"/>
              <w:left w:val="single" w:sz="8" w:space="0" w:color="auto"/>
              <w:bottom w:val="single" w:sz="4" w:space="0" w:color="auto"/>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p>
        </w:tc>
        <w:tc>
          <w:tcPr>
            <w:tcW w:w="794" w:type="dxa"/>
            <w:tcBorders>
              <w:top w:val="nil"/>
              <w:left w:val="nil"/>
              <w:bottom w:val="single" w:sz="4" w:space="0" w:color="auto"/>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523</w:t>
            </w:r>
          </w:p>
        </w:tc>
        <w:tc>
          <w:tcPr>
            <w:tcW w:w="794" w:type="dxa"/>
            <w:tcBorders>
              <w:top w:val="nil"/>
              <w:left w:val="nil"/>
              <w:bottom w:val="single" w:sz="4" w:space="0" w:color="auto"/>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color w:val="000000"/>
                <w:sz w:val="20"/>
                <w:szCs w:val="20"/>
                <w:lang w:eastAsia="sl-SI"/>
              </w:rPr>
            </w:pPr>
            <w:r w:rsidRPr="005F121A">
              <w:rPr>
                <w:rFonts w:ascii="Arial" w:hAnsi="Arial" w:cs="Arial"/>
                <w:color w:val="000000"/>
                <w:sz w:val="20"/>
                <w:szCs w:val="20"/>
                <w:lang w:eastAsia="sl-SI"/>
              </w:rPr>
              <w:t> </w:t>
            </w:r>
          </w:p>
        </w:tc>
      </w:tr>
      <w:tr w:rsidR="00C9672B" w:rsidRPr="005F121A" w:rsidTr="00E9424F">
        <w:trPr>
          <w:trHeight w:val="300"/>
          <w:jc w:val="center"/>
        </w:trPr>
        <w:tc>
          <w:tcPr>
            <w:tcW w:w="794" w:type="dxa"/>
            <w:tcBorders>
              <w:top w:val="nil"/>
              <w:left w:val="single" w:sz="8" w:space="0" w:color="auto"/>
              <w:bottom w:val="single" w:sz="8" w:space="0" w:color="auto"/>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skupaj</w:t>
            </w:r>
          </w:p>
        </w:tc>
        <w:tc>
          <w:tcPr>
            <w:tcW w:w="794" w:type="dxa"/>
            <w:tcBorders>
              <w:top w:val="nil"/>
              <w:left w:val="nil"/>
              <w:bottom w:val="single" w:sz="8"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349</w:t>
            </w:r>
          </w:p>
        </w:tc>
        <w:tc>
          <w:tcPr>
            <w:tcW w:w="794" w:type="dxa"/>
            <w:tcBorders>
              <w:top w:val="nil"/>
              <w:left w:val="nil"/>
              <w:bottom w:val="single" w:sz="8"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697</w:t>
            </w:r>
          </w:p>
        </w:tc>
        <w:tc>
          <w:tcPr>
            <w:tcW w:w="794" w:type="dxa"/>
            <w:tcBorders>
              <w:top w:val="nil"/>
              <w:left w:val="nil"/>
              <w:bottom w:val="single" w:sz="8"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1.133</w:t>
            </w:r>
          </w:p>
        </w:tc>
        <w:tc>
          <w:tcPr>
            <w:tcW w:w="794" w:type="dxa"/>
            <w:tcBorders>
              <w:top w:val="nil"/>
              <w:left w:val="nil"/>
              <w:bottom w:val="single" w:sz="8"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1.569</w:t>
            </w:r>
          </w:p>
        </w:tc>
        <w:tc>
          <w:tcPr>
            <w:tcW w:w="794" w:type="dxa"/>
            <w:tcBorders>
              <w:top w:val="nil"/>
              <w:left w:val="nil"/>
              <w:bottom w:val="single" w:sz="8"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2.092</w:t>
            </w:r>
          </w:p>
        </w:tc>
        <w:tc>
          <w:tcPr>
            <w:tcW w:w="794" w:type="dxa"/>
            <w:tcBorders>
              <w:top w:val="nil"/>
              <w:left w:val="nil"/>
              <w:bottom w:val="single" w:sz="8" w:space="0" w:color="auto"/>
              <w:right w:val="nil"/>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2.616</w:t>
            </w:r>
          </w:p>
        </w:tc>
        <w:tc>
          <w:tcPr>
            <w:tcW w:w="794" w:type="dxa"/>
            <w:tcBorders>
              <w:top w:val="nil"/>
              <w:left w:val="nil"/>
              <w:bottom w:val="single" w:sz="8" w:space="0" w:color="auto"/>
              <w:right w:val="single" w:sz="4"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3.139</w:t>
            </w:r>
          </w:p>
        </w:tc>
        <w:tc>
          <w:tcPr>
            <w:tcW w:w="794" w:type="dxa"/>
            <w:tcBorders>
              <w:top w:val="nil"/>
              <w:left w:val="nil"/>
              <w:bottom w:val="single" w:sz="8" w:space="0" w:color="auto"/>
              <w:right w:val="single" w:sz="8" w:space="0" w:color="auto"/>
            </w:tcBorders>
            <w:shd w:val="clear" w:color="auto" w:fill="auto"/>
            <w:noWrap/>
            <w:vAlign w:val="bottom"/>
            <w:hideMark/>
          </w:tcPr>
          <w:p w:rsidR="00C9672B" w:rsidRPr="005F121A" w:rsidRDefault="00C9672B" w:rsidP="00C9672B">
            <w:pPr>
              <w:suppressAutoHyphens w:val="0"/>
              <w:spacing w:before="40" w:after="40" w:line="288" w:lineRule="auto"/>
              <w:jc w:val="both"/>
              <w:rPr>
                <w:rFonts w:ascii="Arial" w:hAnsi="Arial" w:cs="Arial"/>
                <w:b/>
                <w:color w:val="000000"/>
                <w:sz w:val="20"/>
                <w:szCs w:val="20"/>
                <w:lang w:eastAsia="sl-SI"/>
              </w:rPr>
            </w:pPr>
            <w:r w:rsidRPr="005F121A">
              <w:rPr>
                <w:rFonts w:ascii="Arial" w:hAnsi="Arial" w:cs="Arial"/>
                <w:b/>
                <w:color w:val="000000"/>
                <w:sz w:val="20"/>
                <w:szCs w:val="20"/>
                <w:lang w:eastAsia="sl-SI"/>
              </w:rPr>
              <w:t>11.596</w:t>
            </w:r>
          </w:p>
        </w:tc>
      </w:tr>
    </w:tbl>
    <w:p w:rsidR="00C9672B" w:rsidRPr="00C9672B" w:rsidRDefault="00C9672B" w:rsidP="00C9672B">
      <w:pPr>
        <w:suppressAutoHyphens w:val="0"/>
        <w:spacing w:after="200" w:line="288" w:lineRule="auto"/>
        <w:jc w:val="both"/>
        <w:rPr>
          <w:rFonts w:ascii="Arial" w:eastAsia="Calibri" w:hAnsi="Arial" w:cs="Arial"/>
          <w:sz w:val="22"/>
          <w:szCs w:val="22"/>
          <w:lang w:eastAsia="en-US"/>
        </w:rPr>
      </w:pPr>
    </w:p>
    <w:p w:rsidR="00C9672B" w:rsidRDefault="00C9672B"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 xml:space="preserve">Skupni prihranki v letu 2020 </w:t>
      </w:r>
      <w:r w:rsidR="00A12B16">
        <w:rPr>
          <w:rFonts w:ascii="Arial" w:eastAsia="Calibri" w:hAnsi="Arial" w:cs="Arial"/>
          <w:sz w:val="22"/>
          <w:szCs w:val="22"/>
          <w:lang w:eastAsia="en-US"/>
        </w:rPr>
        <w:t xml:space="preserve">morajo biti najmanj </w:t>
      </w:r>
      <w:r w:rsidRPr="00C9672B">
        <w:rPr>
          <w:rFonts w:ascii="Arial" w:eastAsia="Calibri" w:hAnsi="Arial" w:cs="Arial"/>
          <w:sz w:val="22"/>
          <w:szCs w:val="22"/>
          <w:lang w:eastAsia="en-US"/>
        </w:rPr>
        <w:t>3.319 GWh, kumulativni prihranki v obdobju 2014 do 2020 pa 11.596 GWh.</w:t>
      </w:r>
    </w:p>
    <w:p w:rsidR="00826F8D" w:rsidRDefault="00826F8D"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 xml:space="preserve">Skupni cilj v višini 1,5 % letno oziroma 1 % v letih 2014 in 2015 ter 1,25 % v letih od 2016 do 2018, </w:t>
      </w:r>
      <w:r>
        <w:rPr>
          <w:rFonts w:ascii="Arial" w:eastAsia="Calibri" w:hAnsi="Arial" w:cs="Arial"/>
          <w:sz w:val="22"/>
          <w:szCs w:val="22"/>
          <w:lang w:eastAsia="en-US"/>
        </w:rPr>
        <w:t>je</w:t>
      </w:r>
      <w:r w:rsidRPr="00C9672B">
        <w:rPr>
          <w:rFonts w:ascii="Arial" w:eastAsia="Calibri" w:hAnsi="Arial" w:cs="Arial"/>
          <w:sz w:val="22"/>
          <w:szCs w:val="22"/>
          <w:lang w:eastAsia="en-US"/>
        </w:rPr>
        <w:t xml:space="preserve"> med dobavitelje energije in Eko sklad razdeljen </w:t>
      </w:r>
      <w:r>
        <w:rPr>
          <w:rFonts w:ascii="Arial" w:eastAsia="Calibri" w:hAnsi="Arial" w:cs="Arial"/>
          <w:sz w:val="22"/>
          <w:szCs w:val="22"/>
          <w:lang w:eastAsia="en-US"/>
        </w:rPr>
        <w:t>in sicer tako</w:t>
      </w:r>
      <w:r w:rsidRPr="00C9672B">
        <w:rPr>
          <w:rFonts w:ascii="Arial" w:eastAsia="Calibri" w:hAnsi="Arial" w:cs="Arial"/>
          <w:sz w:val="22"/>
          <w:szCs w:val="22"/>
          <w:lang w:eastAsia="en-US"/>
        </w:rPr>
        <w:t xml:space="preserve">, da </w:t>
      </w:r>
      <w:r>
        <w:rPr>
          <w:rFonts w:ascii="Arial" w:eastAsia="Calibri" w:hAnsi="Arial" w:cs="Arial"/>
          <w:sz w:val="22"/>
          <w:szCs w:val="22"/>
          <w:lang w:eastAsia="en-US"/>
        </w:rPr>
        <w:t>je</w:t>
      </w:r>
      <w:r w:rsidRPr="00C9672B">
        <w:rPr>
          <w:rFonts w:ascii="Arial" w:eastAsia="Calibri" w:hAnsi="Arial" w:cs="Arial"/>
          <w:sz w:val="22"/>
          <w:szCs w:val="22"/>
          <w:lang w:eastAsia="en-US"/>
        </w:rPr>
        <w:t xml:space="preserve"> polovica 1,5 % cilja dodeljena Eko skladu, pri čemer ciljna vrednost prihrankov, ki jih bo moral izvesti Eko sklad, </w:t>
      </w:r>
      <w:r w:rsidR="005B61C1" w:rsidRPr="00C9672B">
        <w:rPr>
          <w:rFonts w:ascii="Arial" w:eastAsia="Calibri" w:hAnsi="Arial" w:cs="Arial"/>
          <w:sz w:val="22"/>
          <w:szCs w:val="22"/>
          <w:lang w:eastAsia="en-US"/>
        </w:rPr>
        <w:t>Slovensk</w:t>
      </w:r>
      <w:r w:rsidR="005B61C1">
        <w:rPr>
          <w:rFonts w:ascii="Arial" w:eastAsia="Calibri" w:hAnsi="Arial" w:cs="Arial"/>
          <w:sz w:val="22"/>
          <w:szCs w:val="22"/>
          <w:lang w:eastAsia="en-US"/>
        </w:rPr>
        <w:t>i</w:t>
      </w:r>
      <w:r w:rsidR="005B61C1" w:rsidRPr="00C9672B">
        <w:rPr>
          <w:rFonts w:ascii="Arial" w:eastAsia="Calibri" w:hAnsi="Arial" w:cs="Arial"/>
          <w:sz w:val="22"/>
          <w:szCs w:val="22"/>
          <w:lang w:eastAsia="en-US"/>
        </w:rPr>
        <w:t xml:space="preserve"> okoljsk</w:t>
      </w:r>
      <w:r w:rsidR="005B61C1">
        <w:rPr>
          <w:rFonts w:ascii="Arial" w:eastAsia="Calibri" w:hAnsi="Arial" w:cs="Arial"/>
          <w:sz w:val="22"/>
          <w:szCs w:val="22"/>
          <w:lang w:eastAsia="en-US"/>
        </w:rPr>
        <w:t>i</w:t>
      </w:r>
      <w:r w:rsidR="005B61C1" w:rsidRPr="00C9672B">
        <w:rPr>
          <w:rFonts w:ascii="Arial" w:eastAsia="Calibri" w:hAnsi="Arial" w:cs="Arial"/>
          <w:sz w:val="22"/>
          <w:szCs w:val="22"/>
          <w:lang w:eastAsia="en-US"/>
        </w:rPr>
        <w:t xml:space="preserve"> javn</w:t>
      </w:r>
      <w:r w:rsidR="005B61C1">
        <w:rPr>
          <w:rFonts w:ascii="Arial" w:eastAsia="Calibri" w:hAnsi="Arial" w:cs="Arial"/>
          <w:sz w:val="22"/>
          <w:szCs w:val="22"/>
          <w:lang w:eastAsia="en-US"/>
        </w:rPr>
        <w:t>i</w:t>
      </w:r>
      <w:r w:rsidR="005B61C1" w:rsidRPr="00C9672B">
        <w:rPr>
          <w:rFonts w:ascii="Arial" w:eastAsia="Calibri" w:hAnsi="Arial" w:cs="Arial"/>
          <w:sz w:val="22"/>
          <w:szCs w:val="22"/>
          <w:lang w:eastAsia="en-US"/>
        </w:rPr>
        <w:t xml:space="preserve"> sklad</w:t>
      </w:r>
      <w:r w:rsidR="005B61C1">
        <w:rPr>
          <w:rFonts w:ascii="Arial" w:eastAsia="Calibri" w:hAnsi="Arial" w:cs="Arial"/>
          <w:sz w:val="22"/>
          <w:szCs w:val="22"/>
          <w:lang w:eastAsia="en-US"/>
        </w:rPr>
        <w:t xml:space="preserve"> (v nadaljevanju Eko sklad)</w:t>
      </w:r>
      <w:r w:rsidR="005B61C1" w:rsidRPr="00C9672B">
        <w:rPr>
          <w:rFonts w:ascii="Arial" w:eastAsia="Calibri" w:hAnsi="Arial" w:cs="Arial"/>
          <w:sz w:val="22"/>
          <w:szCs w:val="22"/>
          <w:lang w:eastAsia="en-US"/>
        </w:rPr>
        <w:t xml:space="preserve"> </w:t>
      </w:r>
      <w:r w:rsidRPr="00C9672B">
        <w:rPr>
          <w:rFonts w:ascii="Arial" w:eastAsia="Calibri" w:hAnsi="Arial" w:cs="Arial"/>
          <w:sz w:val="22"/>
          <w:szCs w:val="22"/>
          <w:lang w:eastAsia="en-US"/>
        </w:rPr>
        <w:t xml:space="preserve">v začetnih letih ne bo zmanjšana. </w:t>
      </w:r>
    </w:p>
    <w:p w:rsidR="00826F8D" w:rsidRPr="00826F8D" w:rsidRDefault="00826F8D" w:rsidP="00010154">
      <w:pPr>
        <w:suppressAutoHyphens w:val="0"/>
        <w:spacing w:after="200" w:line="288" w:lineRule="auto"/>
        <w:jc w:val="both"/>
        <w:rPr>
          <w:rFonts w:ascii="Arial" w:eastAsia="Calibri" w:hAnsi="Arial" w:cs="Arial"/>
          <w:b/>
          <w:i/>
          <w:sz w:val="22"/>
          <w:szCs w:val="22"/>
          <w:lang w:eastAsia="en-US"/>
        </w:rPr>
      </w:pPr>
      <w:r w:rsidRPr="00826F8D">
        <w:rPr>
          <w:rFonts w:ascii="Arial" w:eastAsia="Calibri" w:hAnsi="Arial" w:cs="Arial"/>
          <w:b/>
          <w:i/>
          <w:sz w:val="22"/>
          <w:szCs w:val="22"/>
          <w:lang w:eastAsia="en-US"/>
        </w:rPr>
        <w:t>Program Eko sklada</w:t>
      </w:r>
    </w:p>
    <w:p w:rsidR="006E4D51" w:rsidRDefault="006E4D51"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Za doseganje nacionalnega cilja na področju energetske učinkovitosti mora Eko sklad doseči polovico cilja iz 7. člena direktive 2012/27/EU.</w:t>
      </w:r>
    </w:p>
    <w:p w:rsidR="00C851B3" w:rsidRDefault="00826F8D"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Tako cilj Eko sklada v posameznih le</w:t>
      </w:r>
      <w:r>
        <w:rPr>
          <w:rFonts w:ascii="Arial" w:eastAsia="Calibri" w:hAnsi="Arial" w:cs="Arial"/>
          <w:sz w:val="22"/>
          <w:szCs w:val="22"/>
          <w:lang w:eastAsia="en-US"/>
        </w:rPr>
        <w:t>tih v obdobju 2014 – 2020 znaša</w:t>
      </w:r>
      <w:r w:rsidRPr="00C9672B">
        <w:rPr>
          <w:rFonts w:ascii="Arial" w:eastAsia="Calibri" w:hAnsi="Arial" w:cs="Arial"/>
          <w:sz w:val="22"/>
          <w:szCs w:val="22"/>
          <w:lang w:eastAsia="en-US"/>
        </w:rPr>
        <w:t xml:space="preserve"> 0,75 % letno, kar glede na povprečno porabo v obdobju 2010 do 2012 znaša 262 GWh letno. Tako bodo prihranki, ki jih bo z ukrepi</w:t>
      </w:r>
      <w:r w:rsidR="00FD70BA">
        <w:rPr>
          <w:rFonts w:ascii="Arial" w:eastAsia="Calibri" w:hAnsi="Arial" w:cs="Arial"/>
          <w:sz w:val="22"/>
          <w:szCs w:val="22"/>
          <w:lang w:eastAsia="en-US"/>
        </w:rPr>
        <w:t>,</w:t>
      </w:r>
      <w:r w:rsidRPr="00C9672B">
        <w:rPr>
          <w:rFonts w:ascii="Arial" w:eastAsia="Calibri" w:hAnsi="Arial" w:cs="Arial"/>
          <w:sz w:val="22"/>
          <w:szCs w:val="22"/>
          <w:lang w:eastAsia="en-US"/>
        </w:rPr>
        <w:t xml:space="preserve"> izvedenimi v celotnem obdobju 2014 do 2020, zagotovil Eko sklad, v letu 2020 znašali 1.831 GWh, kumulativni prihranki v celotnem obdobju pa 7.336 GWh.</w:t>
      </w:r>
      <w:r>
        <w:rPr>
          <w:rFonts w:ascii="Arial" w:eastAsia="Calibri" w:hAnsi="Arial" w:cs="Arial"/>
          <w:sz w:val="22"/>
          <w:szCs w:val="22"/>
          <w:lang w:eastAsia="en-US"/>
        </w:rPr>
        <w:t xml:space="preserve"> </w:t>
      </w:r>
    </w:p>
    <w:p w:rsidR="00826F8D" w:rsidRDefault="00826F8D"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Eko sklad ukrepe spodbuja z dodeljevanjem nepovratnih finančnih spodbud. Tak način zahteva stalno količino potrebnih sredstev, tako da so razpisi odprti celo leto in da ne prihaja do prekinitve razpisov sredi leta.</w:t>
      </w:r>
      <w:r w:rsidR="00C851B3">
        <w:rPr>
          <w:rFonts w:ascii="Arial" w:eastAsia="Calibri" w:hAnsi="Arial" w:cs="Arial"/>
          <w:sz w:val="22"/>
          <w:szCs w:val="22"/>
          <w:lang w:eastAsia="en-US"/>
        </w:rPr>
        <w:t xml:space="preserve"> Eko sklad je program spodbujanja z dodeljevanjem nepovratnih spodbud za eno, dvo in večstanovanjske stavbe izvajal že v letih 2010 do vključno 2014. Povprečna cena doseganja prihrankov</w:t>
      </w:r>
      <w:r w:rsidR="00040081">
        <w:rPr>
          <w:rFonts w:ascii="Arial" w:eastAsia="Calibri" w:hAnsi="Arial" w:cs="Arial"/>
          <w:sz w:val="22"/>
          <w:szCs w:val="22"/>
          <w:lang w:eastAsia="en-US"/>
        </w:rPr>
        <w:t>, izražena kot potrebna javna sredstva za subvencijo investicije glede na prihranek energije dosežen s to su</w:t>
      </w:r>
      <w:r w:rsidR="00FC11FB">
        <w:rPr>
          <w:rFonts w:ascii="Arial" w:eastAsia="Calibri" w:hAnsi="Arial" w:cs="Arial"/>
          <w:sz w:val="22"/>
          <w:szCs w:val="22"/>
          <w:lang w:eastAsia="en-US"/>
        </w:rPr>
        <w:t xml:space="preserve">bvencijo, je bila </w:t>
      </w:r>
      <w:r w:rsidR="00C851B3">
        <w:rPr>
          <w:rFonts w:ascii="Arial" w:eastAsia="Calibri" w:hAnsi="Arial" w:cs="Arial"/>
          <w:sz w:val="22"/>
          <w:szCs w:val="22"/>
          <w:lang w:eastAsia="en-US"/>
        </w:rPr>
        <w:t>v obdobju 2010 do 2013 155 €/</w:t>
      </w:r>
      <w:r w:rsidR="00FC11FB">
        <w:rPr>
          <w:rFonts w:ascii="Arial" w:eastAsia="Calibri" w:hAnsi="Arial" w:cs="Arial"/>
          <w:sz w:val="22"/>
          <w:szCs w:val="22"/>
          <w:lang w:eastAsia="en-US"/>
        </w:rPr>
        <w:t>M</w:t>
      </w:r>
      <w:r w:rsidR="003E6690">
        <w:rPr>
          <w:rFonts w:ascii="Arial" w:eastAsia="Calibri" w:hAnsi="Arial" w:cs="Arial"/>
          <w:sz w:val="22"/>
          <w:szCs w:val="22"/>
          <w:lang w:eastAsia="en-US"/>
        </w:rPr>
        <w:t>Wh</w:t>
      </w:r>
      <w:r w:rsidR="00C851B3">
        <w:rPr>
          <w:rFonts w:ascii="Arial" w:eastAsia="Calibri" w:hAnsi="Arial" w:cs="Arial"/>
          <w:sz w:val="22"/>
          <w:szCs w:val="22"/>
          <w:lang w:eastAsia="en-US"/>
        </w:rPr>
        <w:t xml:space="preserve">. </w:t>
      </w:r>
      <w:r w:rsidR="003E6690">
        <w:rPr>
          <w:rFonts w:ascii="Arial" w:eastAsia="Calibri" w:hAnsi="Arial" w:cs="Arial"/>
          <w:sz w:val="22"/>
          <w:szCs w:val="22"/>
          <w:lang w:eastAsia="en-US"/>
        </w:rPr>
        <w:t>Cena doseganja prihrankov se je z leti zniževala in v letu 2013 je znašala 125 €/</w:t>
      </w:r>
      <w:r w:rsidR="00FC11FB">
        <w:rPr>
          <w:rFonts w:ascii="Arial" w:eastAsia="Calibri" w:hAnsi="Arial" w:cs="Arial"/>
          <w:sz w:val="22"/>
          <w:szCs w:val="22"/>
          <w:lang w:eastAsia="en-US"/>
        </w:rPr>
        <w:t>M</w:t>
      </w:r>
      <w:r w:rsidR="003E6690">
        <w:rPr>
          <w:rFonts w:ascii="Arial" w:eastAsia="Calibri" w:hAnsi="Arial" w:cs="Arial"/>
          <w:sz w:val="22"/>
          <w:szCs w:val="22"/>
          <w:lang w:eastAsia="en-US"/>
        </w:rPr>
        <w:t xml:space="preserve">Wh. </w:t>
      </w:r>
      <w:r w:rsidR="00FC11FB">
        <w:rPr>
          <w:rFonts w:ascii="Arial" w:eastAsia="Calibri" w:hAnsi="Arial" w:cs="Arial"/>
          <w:sz w:val="22"/>
          <w:szCs w:val="22"/>
          <w:lang w:eastAsia="en-US"/>
        </w:rPr>
        <w:t>Stopnja subvencije je na ravni okrog 18% tako, da je c</w:t>
      </w:r>
      <w:r w:rsidR="00C851B3">
        <w:rPr>
          <w:rFonts w:ascii="Arial" w:eastAsia="Calibri" w:hAnsi="Arial" w:cs="Arial"/>
          <w:sz w:val="22"/>
          <w:szCs w:val="22"/>
          <w:lang w:eastAsia="en-US"/>
        </w:rPr>
        <w:t>elotna vrednost investicije približno pet krat višja</w:t>
      </w:r>
      <w:r w:rsidR="00FC11FB">
        <w:rPr>
          <w:rFonts w:ascii="Arial" w:eastAsia="Calibri" w:hAnsi="Arial" w:cs="Arial"/>
          <w:sz w:val="22"/>
          <w:szCs w:val="22"/>
          <w:lang w:eastAsia="en-US"/>
        </w:rPr>
        <w:t>.</w:t>
      </w:r>
    </w:p>
    <w:p w:rsidR="005B61C1" w:rsidRDefault="005B61C1"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 xml:space="preserve">Sredstva za izvajanje programa Eko sklada se zagotavljajo s prispevkom na rabo energije za povečanje energetske učinkovitosti, ki bremeni daljinsko toploto, električno energijo ter trda, tekoča in plinasta goriva. </w:t>
      </w:r>
      <w:r>
        <w:rPr>
          <w:rFonts w:ascii="Arial" w:eastAsia="Calibri" w:hAnsi="Arial" w:cs="Arial"/>
          <w:sz w:val="22"/>
          <w:szCs w:val="22"/>
          <w:lang w:eastAsia="en-US"/>
        </w:rPr>
        <w:t xml:space="preserve">Višina prispevka je določena v Prilogi uredbe. </w:t>
      </w:r>
      <w:r w:rsidR="00FD70BA">
        <w:rPr>
          <w:rFonts w:ascii="Arial" w:eastAsia="Calibri" w:hAnsi="Arial" w:cs="Arial"/>
          <w:sz w:val="22"/>
          <w:szCs w:val="22"/>
          <w:lang w:eastAsia="en-US"/>
        </w:rPr>
        <w:t xml:space="preserve">Energetski zakon </w:t>
      </w:r>
      <w:r>
        <w:rPr>
          <w:rFonts w:ascii="Arial" w:eastAsia="Calibri" w:hAnsi="Arial" w:cs="Arial"/>
          <w:sz w:val="22"/>
          <w:szCs w:val="22"/>
          <w:lang w:eastAsia="en-US"/>
        </w:rPr>
        <w:t xml:space="preserve">izrecno določa, </w:t>
      </w:r>
      <w:r w:rsidRPr="005B61C1">
        <w:rPr>
          <w:rFonts w:ascii="Arial" w:eastAsia="Calibri" w:hAnsi="Arial" w:cs="Arial"/>
          <w:sz w:val="22"/>
          <w:szCs w:val="22"/>
          <w:lang w:eastAsia="en-US"/>
        </w:rPr>
        <w:t>da je vsa energija, ne glede na vrsto, enakomerno obremenjena</w:t>
      </w:r>
      <w:r>
        <w:rPr>
          <w:rFonts w:ascii="Arial" w:eastAsia="Calibri" w:hAnsi="Arial" w:cs="Arial"/>
          <w:sz w:val="22"/>
          <w:szCs w:val="22"/>
          <w:lang w:eastAsia="en-US"/>
        </w:rPr>
        <w:t xml:space="preserve">. To pomeni, da je višina prispevka </w:t>
      </w:r>
      <w:r>
        <w:rPr>
          <w:rFonts w:ascii="Arial" w:eastAsia="Calibri" w:hAnsi="Arial" w:cs="Arial"/>
          <w:sz w:val="22"/>
          <w:szCs w:val="22"/>
          <w:lang w:eastAsia="en-US"/>
        </w:rPr>
        <w:lastRenderedPageBreak/>
        <w:t>enaka na energijsko enoto – kilovatno uro – vseh energentov. Višina prispevka je v prilogi izražena v enotah, ki so pri prodaji energentov v praksi v uporabi (npr. na liter pri tekočih gorivih).</w:t>
      </w:r>
    </w:p>
    <w:p w:rsidR="006E4D51" w:rsidRDefault="006E4D51"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Višina prispevka za energetsko učinkovitost znaša 0,08 €c/kWh. Zaradi lažjega izvajanj uredbe je prispevek v uredbi izražen v € centih na enoto, v kateri se energij</w:t>
      </w:r>
      <w:r w:rsidR="00337B19">
        <w:rPr>
          <w:rFonts w:ascii="Arial" w:eastAsia="Calibri" w:hAnsi="Arial" w:cs="Arial"/>
          <w:sz w:val="22"/>
          <w:szCs w:val="22"/>
          <w:lang w:eastAsia="en-US"/>
        </w:rPr>
        <w:t>a</w:t>
      </w:r>
      <w:r>
        <w:rPr>
          <w:rFonts w:ascii="Arial" w:eastAsia="Calibri" w:hAnsi="Arial" w:cs="Arial"/>
          <w:sz w:val="22"/>
          <w:szCs w:val="22"/>
          <w:lang w:eastAsia="en-US"/>
        </w:rPr>
        <w:t xml:space="preserve"> oziroma energent običajno prodaja. Pri preračunu so uporabljeni naslednji pretvorbeni faktorji</w:t>
      </w:r>
      <w:r w:rsidR="005E65A2">
        <w:rPr>
          <w:rFonts w:ascii="Arial" w:eastAsia="Calibri" w:hAnsi="Arial" w:cs="Arial"/>
          <w:sz w:val="22"/>
          <w:szCs w:val="22"/>
          <w:lang w:eastAsia="en-US"/>
        </w:rPr>
        <w:t>, ki so prikazani v tabeli 3.</w:t>
      </w:r>
    </w:p>
    <w:p w:rsidR="005E65A2" w:rsidRDefault="005E65A2"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i/>
          <w:sz w:val="22"/>
          <w:szCs w:val="22"/>
          <w:lang w:eastAsia="en-US"/>
        </w:rPr>
        <w:t>Tabela 3</w:t>
      </w:r>
      <w:r w:rsidRPr="007D56E9">
        <w:rPr>
          <w:rFonts w:ascii="Arial" w:eastAsia="Calibri" w:hAnsi="Arial" w:cs="Arial"/>
          <w:i/>
          <w:sz w:val="22"/>
          <w:szCs w:val="22"/>
          <w:lang w:eastAsia="en-US"/>
        </w:rPr>
        <w:t xml:space="preserve">: </w:t>
      </w:r>
      <w:r>
        <w:rPr>
          <w:rFonts w:ascii="Arial" w:eastAsia="Calibri" w:hAnsi="Arial" w:cs="Arial"/>
          <w:i/>
          <w:sz w:val="22"/>
          <w:szCs w:val="22"/>
          <w:lang w:eastAsia="en-US"/>
        </w:rPr>
        <w:t>Pretvorbeni faktorji za različne energente</w:t>
      </w:r>
    </w:p>
    <w:tbl>
      <w:tblPr>
        <w:tblW w:w="4928" w:type="dxa"/>
        <w:jc w:val="center"/>
        <w:tblInd w:w="70" w:type="dxa"/>
        <w:tblCellMar>
          <w:left w:w="70" w:type="dxa"/>
          <w:right w:w="70" w:type="dxa"/>
        </w:tblCellMar>
        <w:tblLook w:val="04A0" w:firstRow="1" w:lastRow="0" w:firstColumn="1" w:lastColumn="0" w:noHBand="0" w:noVBand="1"/>
      </w:tblPr>
      <w:tblGrid>
        <w:gridCol w:w="2336"/>
        <w:gridCol w:w="1576"/>
        <w:gridCol w:w="1016"/>
      </w:tblGrid>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Električna energija</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1</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kWh/kWh</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Zemeljski plin</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9,466</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kWh/Sm3</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Daljinska toplota</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1</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kWh/kWh</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UNP</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12,792</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kWh/kg</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 xml:space="preserve">Neosvinčen motorni bencin </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9,196</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kWh/l</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Dizelsko gorivo</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9,999</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kWh/l</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Ekstra lahko kurilno olje</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9,999</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kWh/l</w:t>
            </w:r>
          </w:p>
        </w:tc>
      </w:tr>
      <w:tr w:rsidR="006E4D51" w:rsidRPr="005F121A" w:rsidTr="006E4D51">
        <w:trPr>
          <w:trHeight w:val="276"/>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Kurilno olje</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11,028</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kWh/kg</w:t>
            </w:r>
          </w:p>
        </w:tc>
      </w:tr>
      <w:tr w:rsidR="006E4D51" w:rsidRPr="005F121A" w:rsidTr="006E4D51">
        <w:trPr>
          <w:trHeight w:val="312"/>
          <w:jc w:val="center"/>
        </w:trPr>
        <w:tc>
          <w:tcPr>
            <w:tcW w:w="233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premog in koks</w:t>
            </w:r>
          </w:p>
        </w:tc>
        <w:tc>
          <w:tcPr>
            <w:tcW w:w="1576" w:type="dxa"/>
            <w:tcBorders>
              <w:top w:val="nil"/>
              <w:left w:val="nil"/>
              <w:bottom w:val="nil"/>
              <w:right w:val="nil"/>
            </w:tcBorders>
            <w:shd w:val="clear" w:color="auto" w:fill="auto"/>
            <w:noWrap/>
            <w:vAlign w:val="bottom"/>
            <w:hideMark/>
          </w:tcPr>
          <w:p w:rsidR="006E4D51" w:rsidRPr="005F121A" w:rsidRDefault="006E4D51" w:rsidP="006E4D51">
            <w:pPr>
              <w:suppressAutoHyphens w:val="0"/>
              <w:jc w:val="right"/>
              <w:rPr>
                <w:rFonts w:ascii="Arial" w:hAnsi="Arial" w:cs="Arial"/>
                <w:color w:val="000000"/>
                <w:sz w:val="20"/>
                <w:szCs w:val="20"/>
                <w:lang w:eastAsia="sl-SI"/>
              </w:rPr>
            </w:pPr>
            <w:r w:rsidRPr="005F121A">
              <w:rPr>
                <w:rFonts w:ascii="Arial" w:hAnsi="Arial" w:cs="Arial"/>
                <w:color w:val="000000"/>
                <w:sz w:val="20"/>
                <w:szCs w:val="20"/>
                <w:lang w:eastAsia="sl-SI"/>
              </w:rPr>
              <w:t>1</w:t>
            </w:r>
          </w:p>
        </w:tc>
        <w:tc>
          <w:tcPr>
            <w:tcW w:w="1016" w:type="dxa"/>
            <w:tcBorders>
              <w:top w:val="nil"/>
              <w:left w:val="nil"/>
              <w:bottom w:val="nil"/>
              <w:right w:val="nil"/>
            </w:tcBorders>
            <w:shd w:val="clear" w:color="auto" w:fill="auto"/>
            <w:noWrap/>
            <w:vAlign w:val="bottom"/>
            <w:hideMark/>
          </w:tcPr>
          <w:p w:rsidR="006E4D51" w:rsidRPr="005F121A" w:rsidRDefault="006E4D51" w:rsidP="006E4D51">
            <w:pPr>
              <w:suppressAutoHyphens w:val="0"/>
              <w:rPr>
                <w:rFonts w:ascii="Arial" w:hAnsi="Arial" w:cs="Arial"/>
                <w:color w:val="000000"/>
                <w:sz w:val="20"/>
                <w:szCs w:val="20"/>
                <w:lang w:eastAsia="sl-SI"/>
              </w:rPr>
            </w:pPr>
            <w:r w:rsidRPr="005F121A">
              <w:rPr>
                <w:rFonts w:ascii="Arial" w:hAnsi="Arial" w:cs="Arial"/>
                <w:color w:val="000000"/>
                <w:sz w:val="20"/>
                <w:szCs w:val="20"/>
                <w:lang w:eastAsia="sl-SI"/>
              </w:rPr>
              <w:t>kWh/kWh</w:t>
            </w:r>
          </w:p>
        </w:tc>
      </w:tr>
    </w:tbl>
    <w:p w:rsidR="00295F6D" w:rsidRDefault="00295F6D" w:rsidP="006E4D51">
      <w:pPr>
        <w:suppressAutoHyphens w:val="0"/>
        <w:spacing w:after="200" w:line="288" w:lineRule="auto"/>
        <w:jc w:val="center"/>
        <w:rPr>
          <w:rFonts w:ascii="Arial" w:eastAsia="Calibri" w:hAnsi="Arial" w:cs="Arial"/>
          <w:sz w:val="22"/>
          <w:szCs w:val="22"/>
          <w:lang w:eastAsia="en-US"/>
        </w:rPr>
      </w:pPr>
    </w:p>
    <w:p w:rsidR="006E4D51" w:rsidRDefault="00295F6D" w:rsidP="00295F6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Enaki pretvorbeni faktorji so uporabljeni tudi v Uredbi o načinu določanja in obračunavanja prispevkov za zagotavljanje podpor proizvodnji električne energije v soproizvodnji z visokim izkoristkom in iz obnovljivih virov energije</w:t>
      </w:r>
      <w:r w:rsidR="00AB7102">
        <w:rPr>
          <w:rFonts w:ascii="Arial" w:eastAsia="Calibri" w:hAnsi="Arial" w:cs="Arial"/>
          <w:sz w:val="22"/>
          <w:szCs w:val="22"/>
          <w:lang w:eastAsia="en-US"/>
        </w:rPr>
        <w:t>. Za zemeljski plin je uporabljena spodnja kurilna vrednost. E</w:t>
      </w:r>
      <w:r>
        <w:rPr>
          <w:rFonts w:ascii="Arial" w:eastAsia="Calibri" w:hAnsi="Arial" w:cs="Arial"/>
          <w:sz w:val="22"/>
          <w:szCs w:val="22"/>
          <w:lang w:eastAsia="en-US"/>
        </w:rPr>
        <w:t xml:space="preserve">nake </w:t>
      </w:r>
      <w:r w:rsidR="00AB7102">
        <w:rPr>
          <w:rFonts w:ascii="Arial" w:eastAsia="Calibri" w:hAnsi="Arial" w:cs="Arial"/>
          <w:sz w:val="22"/>
          <w:szCs w:val="22"/>
          <w:lang w:eastAsia="en-US"/>
        </w:rPr>
        <w:t xml:space="preserve">pretvorben faktorja </w:t>
      </w:r>
      <w:r>
        <w:rPr>
          <w:rFonts w:ascii="Arial" w:eastAsia="Calibri" w:hAnsi="Arial" w:cs="Arial"/>
          <w:sz w:val="22"/>
          <w:szCs w:val="22"/>
          <w:lang w:eastAsia="en-US"/>
        </w:rPr>
        <w:t>pri svojih izračunih uporablja tudi SURS.</w:t>
      </w:r>
      <w:r w:rsidR="00AB7102">
        <w:rPr>
          <w:rFonts w:ascii="Arial" w:eastAsia="Calibri" w:hAnsi="Arial" w:cs="Arial"/>
          <w:sz w:val="22"/>
          <w:szCs w:val="22"/>
          <w:lang w:eastAsia="en-US"/>
        </w:rPr>
        <w:t xml:space="preserve"> </w:t>
      </w:r>
    </w:p>
    <w:p w:rsidR="0020000C" w:rsidRDefault="0020000C"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Direktiva 2012/27/EU ne daje osnove za različno obremenitev energije glede na vrsto energije oziroma energenta. Iz same zasnove 7. člena direktive, ki ureja sistem obvezne energetske učinkovitosti izhaja, da so vse obremenitve, razen izjem, ki so izrecno določene, enakomerne za vso energijo. Na podlagi tega EZ-1 izrecno določa (</w:t>
      </w:r>
      <w:r w:rsidR="006E4D51">
        <w:rPr>
          <w:rFonts w:ascii="Arial" w:eastAsia="Calibri" w:hAnsi="Arial" w:cs="Arial"/>
          <w:sz w:val="22"/>
          <w:szCs w:val="22"/>
          <w:lang w:eastAsia="en-US"/>
        </w:rPr>
        <w:t>tretji odstavek 317. člena), da je vsa energije, ne glede na vrsto, enakomerno obremenjena.</w:t>
      </w:r>
    </w:p>
    <w:p w:rsidR="00BC264B" w:rsidRDefault="00BC264B" w:rsidP="00BC264B">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Višina prispevka načelom</w:t>
      </w:r>
      <w:r w:rsidR="00E039EE">
        <w:rPr>
          <w:rFonts w:ascii="Arial" w:eastAsia="Calibri" w:hAnsi="Arial" w:cs="Arial"/>
          <w:sz w:val="22"/>
          <w:szCs w:val="22"/>
          <w:lang w:eastAsia="en-US"/>
        </w:rPr>
        <w:t>a</w:t>
      </w:r>
      <w:r>
        <w:rPr>
          <w:rFonts w:ascii="Arial" w:eastAsia="Calibri" w:hAnsi="Arial" w:cs="Arial"/>
          <w:sz w:val="22"/>
          <w:szCs w:val="22"/>
          <w:lang w:eastAsia="en-US"/>
        </w:rPr>
        <w:t xml:space="preserve"> znaša 0,08 €c/kWh; ta vrednost bo v celoti uveljavljena v letu 2017. Višina prispevka, ki je določen v veljavni uredbi za leto 2014 je nižja pri večini energentov, razen pri kurilnem olju, kjer je višja.</w:t>
      </w:r>
      <w:r w:rsidRPr="00BC264B">
        <w:rPr>
          <w:rFonts w:ascii="Arial" w:eastAsia="Calibri" w:hAnsi="Arial" w:cs="Arial"/>
          <w:sz w:val="22"/>
          <w:szCs w:val="22"/>
          <w:lang w:eastAsia="en-US"/>
        </w:rPr>
        <w:t xml:space="preserve"> </w:t>
      </w:r>
      <w:r>
        <w:rPr>
          <w:rFonts w:ascii="Arial" w:eastAsia="Calibri" w:hAnsi="Arial" w:cs="Arial"/>
          <w:sz w:val="22"/>
          <w:szCs w:val="22"/>
          <w:lang w:eastAsia="en-US"/>
        </w:rPr>
        <w:t xml:space="preserve">Dosedanja obremenitev je namreč temeljila še na drugih ciljih, in sicer smo s tem prispevkov vplivali še na zmanjševanje emisij toplogrednih plinov, obremenitve na pogonska goriva pa so bile kompenzirane s trošarinami. Z EZ-1 se je vpeljal dajatev za URE, ki enakomerno bremeni vsak enoto energije, s čimer se zasleduje samo cilj učinkovitejše rabe energije. </w:t>
      </w:r>
    </w:p>
    <w:p w:rsidR="00BC264B" w:rsidRDefault="00BC264B" w:rsidP="00BC264B">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Zaradi postopnega prehoda na novo vrednost prispevka je v letih 2015 in 2016 uporabljeno prehodno obdobje. Višina prispevka v prehodnem obdobju je določena tako, da se bo prispevek za posamezni energent z vrednosti določene v veljavni uredbi proti vrednosti za leto 2017 postopoma spreminjal. </w:t>
      </w:r>
    </w:p>
    <w:p w:rsidR="00BC264B" w:rsidRDefault="00BC264B" w:rsidP="00BC264B">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Zaradi tega, ker bodo prispevek na električno energijo in zemeljski plin po novi ureditvi plačevala tudi energetsko intenzivna podjetja oziroma zavezanci za trgovanje z emisijami toplogrednih plinov, ki prispevka po veljavni uredbi ne plačujejo, je prispevek na električno energijo in zemeljski</w:t>
      </w:r>
      <w:r w:rsidR="00695F92">
        <w:rPr>
          <w:rFonts w:ascii="Arial" w:eastAsia="Calibri" w:hAnsi="Arial" w:cs="Arial"/>
          <w:sz w:val="22"/>
          <w:szCs w:val="22"/>
          <w:lang w:eastAsia="en-US"/>
        </w:rPr>
        <w:t xml:space="preserve"> </w:t>
      </w:r>
      <w:r w:rsidR="00AB7102">
        <w:rPr>
          <w:rFonts w:ascii="Arial" w:eastAsia="Calibri" w:hAnsi="Arial" w:cs="Arial"/>
          <w:sz w:val="22"/>
          <w:szCs w:val="22"/>
          <w:lang w:eastAsia="en-US"/>
        </w:rPr>
        <w:t>plin v letu 2015 nižj</w:t>
      </w:r>
      <w:r>
        <w:rPr>
          <w:rFonts w:ascii="Arial" w:eastAsia="Calibri" w:hAnsi="Arial" w:cs="Arial"/>
          <w:sz w:val="22"/>
          <w:szCs w:val="22"/>
          <w:lang w:eastAsia="en-US"/>
        </w:rPr>
        <w:t>i kot v letu 2014.</w:t>
      </w:r>
      <w:r w:rsidR="00695F92">
        <w:rPr>
          <w:rFonts w:ascii="Arial" w:eastAsia="Calibri" w:hAnsi="Arial" w:cs="Arial"/>
          <w:sz w:val="22"/>
          <w:szCs w:val="22"/>
          <w:lang w:eastAsia="en-US"/>
        </w:rPr>
        <w:t xml:space="preserve"> Tako bo njihova obremenitev s sredstvi prispevka naraščala postopoma.</w:t>
      </w:r>
    </w:p>
    <w:p w:rsidR="00BC264B" w:rsidRDefault="00695F92" w:rsidP="00BC264B">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Poleg spremenjenih višin prispevka za posamezna leta se s</w:t>
      </w:r>
      <w:r w:rsidR="00BC264B">
        <w:rPr>
          <w:rFonts w:ascii="Arial" w:eastAsia="Calibri" w:hAnsi="Arial" w:cs="Arial"/>
          <w:sz w:val="22"/>
          <w:szCs w:val="22"/>
          <w:lang w:eastAsia="en-US"/>
        </w:rPr>
        <w:t>truktura prilivov po energentih</w:t>
      </w:r>
      <w:r>
        <w:rPr>
          <w:rFonts w:ascii="Arial" w:eastAsia="Calibri" w:hAnsi="Arial" w:cs="Arial"/>
          <w:sz w:val="22"/>
          <w:szCs w:val="22"/>
          <w:lang w:eastAsia="en-US"/>
        </w:rPr>
        <w:t xml:space="preserve"> z leti </w:t>
      </w:r>
      <w:r w:rsidR="00BC264B">
        <w:rPr>
          <w:rFonts w:ascii="Arial" w:eastAsia="Calibri" w:hAnsi="Arial" w:cs="Arial"/>
          <w:sz w:val="22"/>
          <w:szCs w:val="22"/>
          <w:lang w:eastAsia="en-US"/>
        </w:rPr>
        <w:t>sprem</w:t>
      </w:r>
      <w:r>
        <w:rPr>
          <w:rFonts w:ascii="Arial" w:eastAsia="Calibri" w:hAnsi="Arial" w:cs="Arial"/>
          <w:sz w:val="22"/>
          <w:szCs w:val="22"/>
          <w:lang w:eastAsia="en-US"/>
        </w:rPr>
        <w:t>inja tudi zato, k</w:t>
      </w:r>
      <w:r w:rsidR="00BC264B">
        <w:rPr>
          <w:rFonts w:ascii="Arial" w:eastAsia="Calibri" w:hAnsi="Arial" w:cs="Arial"/>
          <w:sz w:val="22"/>
          <w:szCs w:val="22"/>
          <w:lang w:eastAsia="en-US"/>
        </w:rPr>
        <w:t>er se bo tudi prodana količina posameznih energentov spremenila</w:t>
      </w:r>
      <w:r w:rsidR="00BC264B">
        <w:rPr>
          <w:rStyle w:val="Sprotnaopomba-sklic"/>
          <w:rFonts w:ascii="Arial" w:eastAsia="Calibri" w:hAnsi="Arial" w:cs="Arial"/>
          <w:sz w:val="22"/>
          <w:szCs w:val="22"/>
          <w:lang w:eastAsia="en-US"/>
        </w:rPr>
        <w:footnoteReference w:id="1"/>
      </w:r>
      <w:r w:rsidR="00BC264B">
        <w:rPr>
          <w:rFonts w:ascii="Arial" w:eastAsia="Calibri" w:hAnsi="Arial" w:cs="Arial"/>
          <w:sz w:val="22"/>
          <w:szCs w:val="22"/>
          <w:lang w:eastAsia="en-US"/>
        </w:rPr>
        <w:t xml:space="preserve">. Najbolj opazne razlike bodo pri tekočih gorivih: povečali se bodo prilivi iz naslova pogonskih goriv in zmanjšali pa se bodo prilivi iz naslova kurilnega olja, saj so poleg spremenjenih količin tekočih goriv tudi spremembe višine prispevka tu največje. </w:t>
      </w:r>
    </w:p>
    <w:p w:rsidR="00695F92" w:rsidRDefault="00695F92" w:rsidP="00695F92">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Če bi vso energijo, ki bo po napovedih porabe za leto 2014 iz Energetske bilance za leto 2014, porabljena v letu 2014, obremenili z veljavnim prispevkom kot ga določa </w:t>
      </w:r>
      <w:r w:rsidRPr="00010154">
        <w:rPr>
          <w:rFonts w:ascii="Arial" w:eastAsia="Calibri" w:hAnsi="Arial" w:cs="Arial"/>
          <w:sz w:val="22"/>
          <w:szCs w:val="22"/>
          <w:lang w:eastAsia="en-US"/>
        </w:rPr>
        <w:t xml:space="preserve">Uredba o zagotavljanju prihrankov energije pri končnih odjemalcih (Uradni list RS, št. 114/09 in 75/11) </w:t>
      </w:r>
      <w:r>
        <w:rPr>
          <w:rFonts w:ascii="Arial" w:eastAsia="Calibri" w:hAnsi="Arial" w:cs="Arial"/>
          <w:sz w:val="22"/>
          <w:szCs w:val="22"/>
          <w:lang w:eastAsia="en-US"/>
        </w:rPr>
        <w:t>bi bilo v letu 2014 zbranih 33,9 mio EUR. Količina dejansko zbranih sredstev bo manjša, ker zavezanci za trgovanje z emisijami toplogrednih plinov prispevka v letu 2014 ne plačujejo.</w:t>
      </w:r>
    </w:p>
    <w:p w:rsidR="00BC264B" w:rsidRDefault="00695F92"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Višina prispevka po posameznih letih, za prehodni leti 2015 in 2016 ter za leta od 2017 do vključno 2020 je prikazana v tabeli 4. V tabeli je zaradi preglednosti prikazana tudi višina prispevka za leto 2014, ki je določena v veljavni uredbi.</w:t>
      </w:r>
    </w:p>
    <w:p w:rsidR="00BC264B" w:rsidRPr="00695F92" w:rsidRDefault="00695F92" w:rsidP="00010154">
      <w:pPr>
        <w:suppressAutoHyphens w:val="0"/>
        <w:spacing w:after="200" w:line="288" w:lineRule="auto"/>
        <w:jc w:val="both"/>
        <w:rPr>
          <w:rFonts w:ascii="Arial" w:eastAsia="Calibri" w:hAnsi="Arial" w:cs="Arial"/>
          <w:i/>
          <w:sz w:val="22"/>
          <w:szCs w:val="22"/>
          <w:lang w:eastAsia="en-US"/>
        </w:rPr>
      </w:pPr>
      <w:r w:rsidRPr="00695F92">
        <w:rPr>
          <w:rFonts w:ascii="Arial" w:eastAsia="Calibri" w:hAnsi="Arial" w:cs="Arial"/>
          <w:i/>
          <w:sz w:val="22"/>
          <w:szCs w:val="22"/>
          <w:lang w:eastAsia="en-US"/>
        </w:rPr>
        <w:t>Tabela 4: Višina prispevka po letih</w:t>
      </w:r>
    </w:p>
    <w:tbl>
      <w:tblPr>
        <w:tblW w:w="8843" w:type="dxa"/>
        <w:jc w:val="center"/>
        <w:tblInd w:w="70" w:type="dxa"/>
        <w:tblCellMar>
          <w:left w:w="70" w:type="dxa"/>
          <w:right w:w="70" w:type="dxa"/>
        </w:tblCellMar>
        <w:tblLook w:val="04A0" w:firstRow="1" w:lastRow="0" w:firstColumn="1" w:lastColumn="0" w:noHBand="0" w:noVBand="1"/>
      </w:tblPr>
      <w:tblGrid>
        <w:gridCol w:w="2464"/>
        <w:gridCol w:w="1417"/>
        <w:gridCol w:w="1276"/>
        <w:gridCol w:w="1276"/>
        <w:gridCol w:w="1276"/>
        <w:gridCol w:w="1134"/>
      </w:tblGrid>
      <w:tr w:rsidR="007A19A7" w:rsidRPr="00695F92" w:rsidTr="0028501E">
        <w:trPr>
          <w:trHeight w:val="240"/>
          <w:jc w:val="center"/>
        </w:trPr>
        <w:tc>
          <w:tcPr>
            <w:tcW w:w="2464" w:type="dxa"/>
            <w:tcBorders>
              <w:top w:val="nil"/>
              <w:left w:val="nil"/>
              <w:bottom w:val="nil"/>
              <w:right w:val="nil"/>
            </w:tcBorders>
            <w:shd w:val="clear" w:color="auto" w:fill="auto"/>
            <w:noWrap/>
            <w:vAlign w:val="bottom"/>
            <w:hideMark/>
          </w:tcPr>
          <w:p w:rsidR="007A19A7" w:rsidRPr="00695F92" w:rsidRDefault="007A19A7" w:rsidP="00695F92">
            <w:pPr>
              <w:suppressAutoHyphens w:val="0"/>
              <w:rPr>
                <w:rFonts w:ascii="Arial" w:hAnsi="Arial" w:cs="Arial"/>
                <w:color w:val="000000"/>
                <w:sz w:val="18"/>
                <w:szCs w:val="18"/>
                <w:lang w:eastAsia="sl-SI"/>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19A7" w:rsidRPr="00695F92" w:rsidRDefault="007A19A7"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stari prispevek</w:t>
            </w:r>
          </w:p>
        </w:tc>
        <w:tc>
          <w:tcPr>
            <w:tcW w:w="3828" w:type="dxa"/>
            <w:gridSpan w:val="3"/>
            <w:tcBorders>
              <w:top w:val="single" w:sz="8" w:space="0" w:color="auto"/>
              <w:left w:val="nil"/>
              <w:bottom w:val="single" w:sz="8" w:space="0" w:color="auto"/>
              <w:right w:val="single" w:sz="8" w:space="0" w:color="auto"/>
            </w:tcBorders>
            <w:shd w:val="clear" w:color="000000" w:fill="F2F2F2"/>
            <w:noWrap/>
            <w:vAlign w:val="bottom"/>
            <w:hideMark/>
          </w:tcPr>
          <w:p w:rsidR="007A19A7" w:rsidRPr="00695F92" w:rsidRDefault="007A19A7" w:rsidP="007A19A7">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novi prispevek</w:t>
            </w:r>
          </w:p>
        </w:tc>
        <w:tc>
          <w:tcPr>
            <w:tcW w:w="1134" w:type="dxa"/>
            <w:tcBorders>
              <w:top w:val="nil"/>
              <w:left w:val="nil"/>
              <w:bottom w:val="nil"/>
              <w:right w:val="nil"/>
            </w:tcBorders>
            <w:shd w:val="clear" w:color="auto" w:fill="auto"/>
            <w:noWrap/>
            <w:vAlign w:val="bottom"/>
            <w:hideMark/>
          </w:tcPr>
          <w:p w:rsidR="007A19A7" w:rsidRPr="00695F92" w:rsidRDefault="007A19A7" w:rsidP="00695F92">
            <w:pPr>
              <w:suppressAutoHyphens w:val="0"/>
              <w:rPr>
                <w:rFonts w:ascii="Arial" w:hAnsi="Arial" w:cs="Arial"/>
                <w:color w:val="000000"/>
                <w:sz w:val="18"/>
                <w:szCs w:val="18"/>
                <w:lang w:eastAsia="sl-SI"/>
              </w:rPr>
            </w:pPr>
          </w:p>
        </w:tc>
      </w:tr>
      <w:tr w:rsidR="007A19A7" w:rsidRPr="00695F92" w:rsidTr="007A19A7">
        <w:trPr>
          <w:trHeight w:val="240"/>
          <w:jc w:val="center"/>
        </w:trPr>
        <w:tc>
          <w:tcPr>
            <w:tcW w:w="2464" w:type="dxa"/>
            <w:tcBorders>
              <w:top w:val="nil"/>
              <w:left w:val="nil"/>
              <w:bottom w:val="nil"/>
              <w:right w:val="nil"/>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p>
        </w:tc>
        <w:tc>
          <w:tcPr>
            <w:tcW w:w="1417" w:type="dxa"/>
            <w:tcBorders>
              <w:top w:val="nil"/>
              <w:left w:val="single" w:sz="8" w:space="0" w:color="auto"/>
              <w:bottom w:val="nil"/>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b/>
                <w:bCs/>
                <w:color w:val="000000"/>
                <w:sz w:val="18"/>
                <w:szCs w:val="18"/>
                <w:lang w:eastAsia="sl-SI"/>
              </w:rPr>
            </w:pPr>
            <w:r w:rsidRPr="00695F92">
              <w:rPr>
                <w:rFonts w:ascii="Arial" w:hAnsi="Arial" w:cs="Arial"/>
                <w:b/>
                <w:bCs/>
                <w:color w:val="000000"/>
                <w:sz w:val="18"/>
                <w:szCs w:val="18"/>
                <w:lang w:eastAsia="sl-SI"/>
              </w:rPr>
              <w:t>2014</w:t>
            </w:r>
          </w:p>
        </w:tc>
        <w:tc>
          <w:tcPr>
            <w:tcW w:w="1276" w:type="dxa"/>
            <w:tcBorders>
              <w:top w:val="nil"/>
              <w:left w:val="nil"/>
              <w:bottom w:val="nil"/>
              <w:right w:val="nil"/>
            </w:tcBorders>
            <w:shd w:val="clear" w:color="auto" w:fill="auto"/>
            <w:noWrap/>
            <w:vAlign w:val="bottom"/>
            <w:hideMark/>
          </w:tcPr>
          <w:p w:rsidR="00695F92" w:rsidRPr="00695F92" w:rsidRDefault="00695F92" w:rsidP="00695F92">
            <w:pPr>
              <w:suppressAutoHyphens w:val="0"/>
              <w:jc w:val="center"/>
              <w:rPr>
                <w:rFonts w:ascii="Arial" w:hAnsi="Arial" w:cs="Arial"/>
                <w:b/>
                <w:bCs/>
                <w:color w:val="000000"/>
                <w:sz w:val="18"/>
                <w:szCs w:val="18"/>
                <w:lang w:eastAsia="sl-SI"/>
              </w:rPr>
            </w:pPr>
            <w:r w:rsidRPr="00695F92">
              <w:rPr>
                <w:rFonts w:ascii="Arial" w:hAnsi="Arial" w:cs="Arial"/>
                <w:b/>
                <w:bCs/>
                <w:color w:val="000000"/>
                <w:sz w:val="18"/>
                <w:szCs w:val="18"/>
                <w:lang w:eastAsia="sl-SI"/>
              </w:rPr>
              <w:t>2015</w:t>
            </w:r>
          </w:p>
        </w:tc>
        <w:tc>
          <w:tcPr>
            <w:tcW w:w="1276" w:type="dxa"/>
            <w:tcBorders>
              <w:top w:val="nil"/>
              <w:left w:val="single" w:sz="8" w:space="0" w:color="auto"/>
              <w:bottom w:val="nil"/>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b/>
                <w:bCs/>
                <w:color w:val="000000"/>
                <w:sz w:val="18"/>
                <w:szCs w:val="18"/>
                <w:lang w:eastAsia="sl-SI"/>
              </w:rPr>
            </w:pPr>
            <w:r w:rsidRPr="00695F92">
              <w:rPr>
                <w:rFonts w:ascii="Arial" w:hAnsi="Arial" w:cs="Arial"/>
                <w:b/>
                <w:bCs/>
                <w:color w:val="000000"/>
                <w:sz w:val="18"/>
                <w:szCs w:val="18"/>
                <w:lang w:eastAsia="sl-SI"/>
              </w:rPr>
              <w:t>2016</w:t>
            </w:r>
          </w:p>
        </w:tc>
        <w:tc>
          <w:tcPr>
            <w:tcW w:w="1276" w:type="dxa"/>
            <w:tcBorders>
              <w:top w:val="nil"/>
              <w:left w:val="nil"/>
              <w:bottom w:val="nil"/>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b/>
                <w:bCs/>
                <w:color w:val="000000"/>
                <w:sz w:val="18"/>
                <w:szCs w:val="18"/>
                <w:lang w:eastAsia="sl-SI"/>
              </w:rPr>
            </w:pPr>
            <w:r w:rsidRPr="00695F92">
              <w:rPr>
                <w:rFonts w:ascii="Arial" w:hAnsi="Arial" w:cs="Arial"/>
                <w:b/>
                <w:bCs/>
                <w:color w:val="000000"/>
                <w:sz w:val="18"/>
                <w:szCs w:val="18"/>
                <w:lang w:eastAsia="sl-SI"/>
              </w:rPr>
              <w:t>2017 do 2020</w:t>
            </w:r>
          </w:p>
        </w:tc>
        <w:tc>
          <w:tcPr>
            <w:tcW w:w="1134" w:type="dxa"/>
            <w:tcBorders>
              <w:top w:val="nil"/>
              <w:left w:val="nil"/>
              <w:bottom w:val="nil"/>
              <w:right w:val="nil"/>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p>
        </w:tc>
      </w:tr>
      <w:tr w:rsidR="007A19A7" w:rsidRPr="00695F92" w:rsidTr="007A19A7">
        <w:trPr>
          <w:trHeight w:val="264"/>
          <w:jc w:val="center"/>
        </w:trPr>
        <w:tc>
          <w:tcPr>
            <w:tcW w:w="246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Električna energija</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0,050</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0,030</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0,060</w:t>
            </w:r>
          </w:p>
        </w:tc>
        <w:tc>
          <w:tcPr>
            <w:tcW w:w="1276" w:type="dxa"/>
            <w:tcBorders>
              <w:top w:val="single" w:sz="8" w:space="0" w:color="auto"/>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0,080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€c/kWh</w:t>
            </w:r>
          </w:p>
        </w:tc>
      </w:tr>
      <w:tr w:rsidR="007A19A7" w:rsidRPr="00695F92" w:rsidTr="007A19A7">
        <w:trPr>
          <w:trHeight w:val="264"/>
          <w:jc w:val="center"/>
        </w:trPr>
        <w:tc>
          <w:tcPr>
            <w:tcW w:w="2464" w:type="dxa"/>
            <w:tcBorders>
              <w:top w:val="nil"/>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Zemeljski plin</w:t>
            </w:r>
          </w:p>
        </w:tc>
        <w:tc>
          <w:tcPr>
            <w:tcW w:w="1417"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0,500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0,300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0,600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0,757</w:t>
            </w:r>
          </w:p>
        </w:tc>
        <w:tc>
          <w:tcPr>
            <w:tcW w:w="1134" w:type="dxa"/>
            <w:tcBorders>
              <w:top w:val="nil"/>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€c/Sm</w:t>
            </w:r>
            <w:r w:rsidRPr="00695F92">
              <w:rPr>
                <w:rFonts w:ascii="Arial" w:hAnsi="Arial" w:cs="Arial"/>
                <w:color w:val="000000"/>
                <w:sz w:val="18"/>
                <w:szCs w:val="18"/>
                <w:vertAlign w:val="superscript"/>
                <w:lang w:eastAsia="sl-SI"/>
              </w:rPr>
              <w:t>3</w:t>
            </w:r>
          </w:p>
        </w:tc>
      </w:tr>
      <w:tr w:rsidR="007A19A7" w:rsidRPr="00695F92" w:rsidTr="007A19A7">
        <w:trPr>
          <w:trHeight w:val="264"/>
          <w:jc w:val="center"/>
        </w:trPr>
        <w:tc>
          <w:tcPr>
            <w:tcW w:w="2464" w:type="dxa"/>
            <w:tcBorders>
              <w:top w:val="nil"/>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Daljinska toplota</w:t>
            </w:r>
          </w:p>
        </w:tc>
        <w:tc>
          <w:tcPr>
            <w:tcW w:w="1417"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0,050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0,050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0,065</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0,080</w:t>
            </w:r>
          </w:p>
        </w:tc>
        <w:tc>
          <w:tcPr>
            <w:tcW w:w="1134" w:type="dxa"/>
            <w:tcBorders>
              <w:top w:val="nil"/>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€c/kWh</w:t>
            </w:r>
          </w:p>
        </w:tc>
      </w:tr>
      <w:tr w:rsidR="007A19A7" w:rsidRPr="00695F92" w:rsidTr="007A19A7">
        <w:trPr>
          <w:trHeight w:val="264"/>
          <w:jc w:val="center"/>
        </w:trPr>
        <w:tc>
          <w:tcPr>
            <w:tcW w:w="2464" w:type="dxa"/>
            <w:tcBorders>
              <w:top w:val="nil"/>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UNP</w:t>
            </w:r>
          </w:p>
        </w:tc>
        <w:tc>
          <w:tcPr>
            <w:tcW w:w="1417"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2,100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1,600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1,023</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1,023</w:t>
            </w:r>
          </w:p>
        </w:tc>
        <w:tc>
          <w:tcPr>
            <w:tcW w:w="1134" w:type="dxa"/>
            <w:tcBorders>
              <w:top w:val="nil"/>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€c/kg</w:t>
            </w:r>
          </w:p>
        </w:tc>
      </w:tr>
      <w:tr w:rsidR="007A19A7" w:rsidRPr="00695F92" w:rsidTr="007A19A7">
        <w:trPr>
          <w:trHeight w:val="264"/>
          <w:jc w:val="center"/>
        </w:trPr>
        <w:tc>
          <w:tcPr>
            <w:tcW w:w="2464" w:type="dxa"/>
            <w:tcBorders>
              <w:top w:val="nil"/>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 xml:space="preserve">Neosvinčen motorni bencin </w:t>
            </w:r>
          </w:p>
        </w:tc>
        <w:tc>
          <w:tcPr>
            <w:tcW w:w="1417"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0,400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0,600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0,700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0,736</w:t>
            </w:r>
          </w:p>
        </w:tc>
        <w:tc>
          <w:tcPr>
            <w:tcW w:w="1134" w:type="dxa"/>
            <w:tcBorders>
              <w:top w:val="nil"/>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€c/l</w:t>
            </w:r>
          </w:p>
        </w:tc>
      </w:tr>
      <w:tr w:rsidR="007A19A7" w:rsidRPr="00695F92" w:rsidTr="007A19A7">
        <w:trPr>
          <w:trHeight w:val="264"/>
          <w:jc w:val="center"/>
        </w:trPr>
        <w:tc>
          <w:tcPr>
            <w:tcW w:w="2464" w:type="dxa"/>
            <w:tcBorders>
              <w:top w:val="nil"/>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Dizelsko gorivo</w:t>
            </w:r>
          </w:p>
        </w:tc>
        <w:tc>
          <w:tcPr>
            <w:tcW w:w="1417"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0,200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0,400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0,600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0,800</w:t>
            </w:r>
          </w:p>
        </w:tc>
        <w:tc>
          <w:tcPr>
            <w:tcW w:w="1134" w:type="dxa"/>
            <w:tcBorders>
              <w:top w:val="nil"/>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€c/l</w:t>
            </w:r>
          </w:p>
        </w:tc>
      </w:tr>
      <w:tr w:rsidR="007A19A7" w:rsidRPr="00695F92" w:rsidTr="007A19A7">
        <w:trPr>
          <w:trHeight w:val="264"/>
          <w:jc w:val="center"/>
        </w:trPr>
        <w:tc>
          <w:tcPr>
            <w:tcW w:w="2464" w:type="dxa"/>
            <w:tcBorders>
              <w:top w:val="nil"/>
              <w:left w:val="single" w:sz="8" w:space="0" w:color="auto"/>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Ekstra lahko kurilno olje</w:t>
            </w:r>
          </w:p>
        </w:tc>
        <w:tc>
          <w:tcPr>
            <w:tcW w:w="1417"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6,500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6,500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3,000</w:t>
            </w:r>
          </w:p>
        </w:tc>
        <w:tc>
          <w:tcPr>
            <w:tcW w:w="1276" w:type="dxa"/>
            <w:tcBorders>
              <w:top w:val="nil"/>
              <w:left w:val="nil"/>
              <w:bottom w:val="single" w:sz="4"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0,800</w:t>
            </w:r>
          </w:p>
        </w:tc>
        <w:tc>
          <w:tcPr>
            <w:tcW w:w="1134" w:type="dxa"/>
            <w:tcBorders>
              <w:top w:val="nil"/>
              <w:left w:val="nil"/>
              <w:bottom w:val="single" w:sz="4"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€c/l</w:t>
            </w:r>
          </w:p>
        </w:tc>
      </w:tr>
      <w:tr w:rsidR="007A19A7" w:rsidRPr="00695F92" w:rsidTr="007A19A7">
        <w:trPr>
          <w:trHeight w:val="276"/>
          <w:jc w:val="center"/>
        </w:trPr>
        <w:tc>
          <w:tcPr>
            <w:tcW w:w="2464" w:type="dxa"/>
            <w:tcBorders>
              <w:top w:val="nil"/>
              <w:left w:val="single" w:sz="8" w:space="0" w:color="auto"/>
              <w:bottom w:val="single" w:sz="8" w:space="0" w:color="auto"/>
              <w:right w:val="single" w:sz="8" w:space="0" w:color="auto"/>
            </w:tcBorders>
            <w:shd w:val="clear" w:color="auto" w:fill="auto"/>
            <w:noWrap/>
            <w:vAlign w:val="bottom"/>
            <w:hideMark/>
          </w:tcPr>
          <w:p w:rsidR="00695F92" w:rsidRPr="00695F92" w:rsidRDefault="00695F92" w:rsidP="00695F92">
            <w:pPr>
              <w:suppressAutoHyphens w:val="0"/>
              <w:rPr>
                <w:rFonts w:ascii="Arial" w:hAnsi="Arial" w:cs="Arial"/>
                <w:color w:val="000000"/>
                <w:sz w:val="18"/>
                <w:szCs w:val="18"/>
                <w:lang w:eastAsia="sl-SI"/>
              </w:rPr>
            </w:pPr>
            <w:r w:rsidRPr="00695F92">
              <w:rPr>
                <w:rFonts w:ascii="Arial" w:hAnsi="Arial" w:cs="Arial"/>
                <w:color w:val="000000"/>
                <w:sz w:val="18"/>
                <w:szCs w:val="18"/>
                <w:lang w:eastAsia="sl-SI"/>
              </w:rPr>
              <w:t>Kurilno olje</w:t>
            </w:r>
          </w:p>
        </w:tc>
        <w:tc>
          <w:tcPr>
            <w:tcW w:w="1417" w:type="dxa"/>
            <w:tcBorders>
              <w:top w:val="nil"/>
              <w:left w:val="nil"/>
              <w:bottom w:val="single" w:sz="8"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6,500</w:t>
            </w:r>
          </w:p>
        </w:tc>
        <w:tc>
          <w:tcPr>
            <w:tcW w:w="1276" w:type="dxa"/>
            <w:tcBorders>
              <w:top w:val="nil"/>
              <w:left w:val="nil"/>
              <w:bottom w:val="single" w:sz="8"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6,500</w:t>
            </w:r>
          </w:p>
        </w:tc>
        <w:tc>
          <w:tcPr>
            <w:tcW w:w="1276" w:type="dxa"/>
            <w:tcBorders>
              <w:top w:val="nil"/>
              <w:left w:val="nil"/>
              <w:bottom w:val="single" w:sz="8"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3,000</w:t>
            </w:r>
          </w:p>
        </w:tc>
        <w:tc>
          <w:tcPr>
            <w:tcW w:w="1276" w:type="dxa"/>
            <w:tcBorders>
              <w:top w:val="nil"/>
              <w:left w:val="nil"/>
              <w:bottom w:val="single" w:sz="8" w:space="0" w:color="auto"/>
              <w:right w:val="single" w:sz="8" w:space="0" w:color="auto"/>
            </w:tcBorders>
            <w:shd w:val="clear" w:color="000000" w:fill="FFFFFF"/>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0,882</w:t>
            </w:r>
          </w:p>
        </w:tc>
        <w:tc>
          <w:tcPr>
            <w:tcW w:w="1134" w:type="dxa"/>
            <w:tcBorders>
              <w:top w:val="nil"/>
              <w:left w:val="nil"/>
              <w:bottom w:val="single" w:sz="8" w:space="0" w:color="auto"/>
              <w:right w:val="single" w:sz="8" w:space="0" w:color="auto"/>
            </w:tcBorders>
            <w:shd w:val="clear" w:color="auto" w:fill="auto"/>
            <w:noWrap/>
            <w:vAlign w:val="bottom"/>
            <w:hideMark/>
          </w:tcPr>
          <w:p w:rsidR="00695F92" w:rsidRPr="00695F92" w:rsidRDefault="00695F92" w:rsidP="00695F92">
            <w:pPr>
              <w:suppressAutoHyphens w:val="0"/>
              <w:jc w:val="center"/>
              <w:rPr>
                <w:rFonts w:ascii="Arial" w:hAnsi="Arial" w:cs="Arial"/>
                <w:color w:val="000000"/>
                <w:sz w:val="18"/>
                <w:szCs w:val="18"/>
                <w:lang w:eastAsia="sl-SI"/>
              </w:rPr>
            </w:pPr>
            <w:r w:rsidRPr="00695F92">
              <w:rPr>
                <w:rFonts w:ascii="Arial" w:hAnsi="Arial" w:cs="Arial"/>
                <w:color w:val="000000"/>
                <w:sz w:val="18"/>
                <w:szCs w:val="18"/>
                <w:lang w:eastAsia="sl-SI"/>
              </w:rPr>
              <w:t>€c/kg</w:t>
            </w:r>
          </w:p>
        </w:tc>
      </w:tr>
    </w:tbl>
    <w:p w:rsidR="00695F92" w:rsidRDefault="00695F92" w:rsidP="00010154">
      <w:pPr>
        <w:suppressAutoHyphens w:val="0"/>
        <w:spacing w:after="200" w:line="288" w:lineRule="auto"/>
        <w:jc w:val="both"/>
        <w:rPr>
          <w:rFonts w:ascii="Arial" w:eastAsia="Calibri" w:hAnsi="Arial" w:cs="Arial"/>
          <w:sz w:val="22"/>
          <w:szCs w:val="22"/>
          <w:lang w:eastAsia="en-US"/>
        </w:rPr>
      </w:pPr>
    </w:p>
    <w:p w:rsidR="007A19A7" w:rsidRDefault="007A19A7"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Iz prispevka za posamezna leta od 2015 do 2020 in iz ocenjenih količin porabe energije za leta 2015, 2016 in 2017 bi na letnem nivoju zbrali od 33,</w:t>
      </w:r>
      <w:r w:rsidR="00D8554A">
        <w:rPr>
          <w:rFonts w:ascii="Arial" w:eastAsia="Calibri" w:hAnsi="Arial" w:cs="Arial"/>
          <w:sz w:val="22"/>
          <w:szCs w:val="22"/>
          <w:lang w:eastAsia="en-US"/>
        </w:rPr>
        <w:t>3</w:t>
      </w:r>
      <w:r>
        <w:rPr>
          <w:rFonts w:ascii="Arial" w:eastAsia="Calibri" w:hAnsi="Arial" w:cs="Arial"/>
          <w:sz w:val="22"/>
          <w:szCs w:val="22"/>
          <w:lang w:eastAsia="en-US"/>
        </w:rPr>
        <w:t xml:space="preserve"> mio EUR v letu 2015 do 3</w:t>
      </w:r>
      <w:r w:rsidR="00D8554A">
        <w:rPr>
          <w:rFonts w:ascii="Arial" w:eastAsia="Calibri" w:hAnsi="Arial" w:cs="Arial"/>
          <w:sz w:val="22"/>
          <w:szCs w:val="22"/>
          <w:lang w:eastAsia="en-US"/>
        </w:rPr>
        <w:t>7</w:t>
      </w:r>
      <w:r>
        <w:rPr>
          <w:rFonts w:ascii="Arial" w:eastAsia="Calibri" w:hAnsi="Arial" w:cs="Arial"/>
          <w:sz w:val="22"/>
          <w:szCs w:val="22"/>
          <w:lang w:eastAsia="en-US"/>
        </w:rPr>
        <w:t xml:space="preserve"> mio EUR v letu 2017 in naslednjih letih. </w:t>
      </w:r>
    </w:p>
    <w:p w:rsidR="00010154" w:rsidRDefault="00A12B16" w:rsidP="00010154">
      <w:pPr>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Ocenjenih 3</w:t>
      </w:r>
      <w:r w:rsidR="007A19A7">
        <w:rPr>
          <w:rFonts w:ascii="Arial" w:eastAsia="Calibri" w:hAnsi="Arial" w:cs="Arial"/>
          <w:sz w:val="22"/>
          <w:szCs w:val="22"/>
          <w:lang w:eastAsia="en-US"/>
        </w:rPr>
        <w:t>3</w:t>
      </w:r>
      <w:r>
        <w:rPr>
          <w:rFonts w:ascii="Arial" w:eastAsia="Calibri" w:hAnsi="Arial" w:cs="Arial"/>
          <w:sz w:val="22"/>
          <w:szCs w:val="22"/>
          <w:lang w:eastAsia="en-US"/>
        </w:rPr>
        <w:t>,</w:t>
      </w:r>
      <w:r w:rsidR="00D8554A">
        <w:rPr>
          <w:rFonts w:ascii="Arial" w:eastAsia="Calibri" w:hAnsi="Arial" w:cs="Arial"/>
          <w:sz w:val="22"/>
          <w:szCs w:val="22"/>
          <w:lang w:eastAsia="en-US"/>
        </w:rPr>
        <w:t>3</w:t>
      </w:r>
      <w:r>
        <w:rPr>
          <w:rFonts w:ascii="Arial" w:eastAsia="Calibri" w:hAnsi="Arial" w:cs="Arial"/>
          <w:sz w:val="22"/>
          <w:szCs w:val="22"/>
          <w:lang w:eastAsia="en-US"/>
        </w:rPr>
        <w:t xml:space="preserve"> mio EUR zbranih v letu 2015 bi namenili za:</w:t>
      </w:r>
    </w:p>
    <w:p w:rsidR="00010154" w:rsidRPr="00010154" w:rsidRDefault="00BC2F0B" w:rsidP="00010154">
      <w:pPr>
        <w:pStyle w:val="Odstavekseznama"/>
        <w:numPr>
          <w:ilvl w:val="0"/>
          <w:numId w:val="38"/>
        </w:numPr>
        <w:suppressAutoHyphens w:val="0"/>
        <w:spacing w:after="200" w:line="288" w:lineRule="auto"/>
        <w:jc w:val="both"/>
        <w:rPr>
          <w:rFonts w:ascii="Arial" w:eastAsia="Calibri" w:hAnsi="Arial" w:cs="Arial"/>
          <w:sz w:val="22"/>
          <w:szCs w:val="22"/>
          <w:lang w:eastAsia="en-US"/>
        </w:rPr>
      </w:pPr>
      <w:r w:rsidRPr="00010154">
        <w:rPr>
          <w:rFonts w:ascii="Arial" w:eastAsia="Calibri" w:hAnsi="Arial" w:cs="Arial"/>
          <w:sz w:val="22"/>
          <w:szCs w:val="22"/>
          <w:lang w:eastAsia="en-US"/>
        </w:rPr>
        <w:t xml:space="preserve">nepovratne spodbude </w:t>
      </w:r>
      <w:r w:rsidR="00010154" w:rsidRPr="00010154">
        <w:rPr>
          <w:rFonts w:ascii="Arial" w:eastAsia="Calibri" w:hAnsi="Arial" w:cs="Arial"/>
          <w:sz w:val="22"/>
          <w:szCs w:val="22"/>
          <w:lang w:eastAsia="en-US"/>
        </w:rPr>
        <w:t xml:space="preserve">za URE v stavbah </w:t>
      </w:r>
      <w:r w:rsidR="007A19A7">
        <w:rPr>
          <w:rFonts w:ascii="Arial" w:eastAsia="Calibri" w:hAnsi="Arial" w:cs="Arial"/>
          <w:sz w:val="22"/>
          <w:szCs w:val="22"/>
          <w:lang w:eastAsia="en-US"/>
        </w:rPr>
        <w:t>29</w:t>
      </w:r>
      <w:r w:rsidRPr="00010154">
        <w:rPr>
          <w:rFonts w:ascii="Arial" w:eastAsia="Calibri" w:hAnsi="Arial" w:cs="Arial"/>
          <w:sz w:val="22"/>
          <w:szCs w:val="22"/>
          <w:lang w:eastAsia="en-US"/>
        </w:rPr>
        <w:t>,</w:t>
      </w:r>
      <w:r w:rsidR="007A19A7">
        <w:rPr>
          <w:rFonts w:ascii="Arial" w:eastAsia="Calibri" w:hAnsi="Arial" w:cs="Arial"/>
          <w:sz w:val="22"/>
          <w:szCs w:val="22"/>
          <w:lang w:eastAsia="en-US"/>
        </w:rPr>
        <w:t>0</w:t>
      </w:r>
      <w:r w:rsidRPr="00010154">
        <w:rPr>
          <w:rFonts w:ascii="Arial" w:eastAsia="Calibri" w:hAnsi="Arial" w:cs="Arial"/>
          <w:sz w:val="22"/>
          <w:szCs w:val="22"/>
          <w:lang w:eastAsia="en-US"/>
        </w:rPr>
        <w:t xml:space="preserve"> mio EUR, </w:t>
      </w:r>
    </w:p>
    <w:p w:rsidR="00010154" w:rsidRPr="00010154" w:rsidRDefault="00010154" w:rsidP="00010154">
      <w:pPr>
        <w:pStyle w:val="Odstavekseznama"/>
        <w:numPr>
          <w:ilvl w:val="0"/>
          <w:numId w:val="38"/>
        </w:numPr>
        <w:suppressAutoHyphens w:val="0"/>
        <w:spacing w:after="200" w:line="288" w:lineRule="auto"/>
        <w:jc w:val="both"/>
        <w:rPr>
          <w:rFonts w:ascii="Arial" w:eastAsia="Calibri" w:hAnsi="Arial" w:cs="Arial"/>
          <w:sz w:val="22"/>
          <w:szCs w:val="22"/>
          <w:lang w:eastAsia="en-US"/>
        </w:rPr>
      </w:pPr>
      <w:r w:rsidRPr="00010154">
        <w:rPr>
          <w:rFonts w:ascii="Arial" w:eastAsia="Calibri" w:hAnsi="Arial" w:cs="Arial"/>
          <w:sz w:val="22"/>
          <w:szCs w:val="22"/>
          <w:lang w:eastAsia="en-US"/>
        </w:rPr>
        <w:t xml:space="preserve">nepovratne spodbude za nakup električnih vozil </w:t>
      </w:r>
      <w:r w:rsidR="00D8554A">
        <w:rPr>
          <w:rFonts w:ascii="Arial" w:eastAsia="Calibri" w:hAnsi="Arial" w:cs="Arial"/>
          <w:sz w:val="22"/>
          <w:szCs w:val="22"/>
          <w:lang w:eastAsia="en-US"/>
        </w:rPr>
        <w:t>0,8</w:t>
      </w:r>
      <w:r w:rsidRPr="00010154">
        <w:rPr>
          <w:rFonts w:ascii="Arial" w:eastAsia="Calibri" w:hAnsi="Arial" w:cs="Arial"/>
          <w:sz w:val="22"/>
          <w:szCs w:val="22"/>
          <w:lang w:eastAsia="en-US"/>
        </w:rPr>
        <w:t xml:space="preserve"> mio EUR, </w:t>
      </w:r>
    </w:p>
    <w:p w:rsidR="00010154" w:rsidRPr="00010154" w:rsidRDefault="00010154" w:rsidP="00010154">
      <w:pPr>
        <w:pStyle w:val="Odstavekseznama"/>
        <w:numPr>
          <w:ilvl w:val="0"/>
          <w:numId w:val="38"/>
        </w:numPr>
        <w:suppressAutoHyphens w:val="0"/>
        <w:spacing w:after="200" w:line="288" w:lineRule="auto"/>
        <w:jc w:val="both"/>
        <w:rPr>
          <w:rFonts w:ascii="Arial" w:eastAsia="Calibri" w:hAnsi="Arial" w:cs="Arial"/>
          <w:sz w:val="22"/>
          <w:szCs w:val="22"/>
          <w:lang w:eastAsia="en-US"/>
        </w:rPr>
      </w:pPr>
      <w:r w:rsidRPr="00010154">
        <w:rPr>
          <w:rFonts w:ascii="Arial" w:eastAsia="Calibri" w:hAnsi="Arial" w:cs="Arial"/>
          <w:sz w:val="22"/>
          <w:szCs w:val="22"/>
          <w:lang w:eastAsia="en-US"/>
        </w:rPr>
        <w:t>nepovratne spodbude za ukrepe URE v prometu 1,</w:t>
      </w:r>
      <w:r w:rsidR="006E4D51">
        <w:rPr>
          <w:rFonts w:ascii="Arial" w:eastAsia="Calibri" w:hAnsi="Arial" w:cs="Arial"/>
          <w:sz w:val="22"/>
          <w:szCs w:val="22"/>
          <w:lang w:eastAsia="en-US"/>
        </w:rPr>
        <w:t>0</w:t>
      </w:r>
      <w:r w:rsidRPr="00010154">
        <w:rPr>
          <w:rFonts w:ascii="Arial" w:eastAsia="Calibri" w:hAnsi="Arial" w:cs="Arial"/>
          <w:sz w:val="22"/>
          <w:szCs w:val="22"/>
          <w:lang w:eastAsia="en-US"/>
        </w:rPr>
        <w:t xml:space="preserve"> mio EUR, </w:t>
      </w:r>
    </w:p>
    <w:p w:rsidR="00010154" w:rsidRPr="00010154" w:rsidRDefault="00BC2F0B" w:rsidP="00010154">
      <w:pPr>
        <w:pStyle w:val="Odstavekseznama"/>
        <w:numPr>
          <w:ilvl w:val="0"/>
          <w:numId w:val="38"/>
        </w:numPr>
        <w:suppressAutoHyphens w:val="0"/>
        <w:spacing w:after="200" w:line="288" w:lineRule="auto"/>
        <w:jc w:val="both"/>
        <w:rPr>
          <w:rFonts w:ascii="Arial" w:eastAsia="Calibri" w:hAnsi="Arial" w:cs="Arial"/>
          <w:sz w:val="22"/>
          <w:szCs w:val="22"/>
          <w:lang w:eastAsia="en-US"/>
        </w:rPr>
      </w:pPr>
      <w:r w:rsidRPr="00010154">
        <w:rPr>
          <w:rFonts w:ascii="Arial" w:eastAsia="Calibri" w:hAnsi="Arial" w:cs="Arial"/>
          <w:sz w:val="22"/>
          <w:szCs w:val="22"/>
          <w:lang w:eastAsia="en-US"/>
        </w:rPr>
        <w:t xml:space="preserve">energetsko svetovanje 0,8 mio EUR, </w:t>
      </w:r>
    </w:p>
    <w:p w:rsidR="00010154" w:rsidRPr="00010154" w:rsidRDefault="00BC2F0B" w:rsidP="00010154">
      <w:pPr>
        <w:pStyle w:val="Odstavekseznama"/>
        <w:numPr>
          <w:ilvl w:val="0"/>
          <w:numId w:val="38"/>
        </w:numPr>
        <w:suppressAutoHyphens w:val="0"/>
        <w:spacing w:after="200" w:line="288" w:lineRule="auto"/>
        <w:jc w:val="both"/>
        <w:rPr>
          <w:rFonts w:ascii="Arial" w:eastAsia="Calibri" w:hAnsi="Arial" w:cs="Arial"/>
          <w:sz w:val="22"/>
          <w:szCs w:val="22"/>
          <w:lang w:eastAsia="en-US"/>
        </w:rPr>
      </w:pPr>
      <w:r w:rsidRPr="00010154">
        <w:rPr>
          <w:rFonts w:ascii="Arial" w:eastAsia="Calibri" w:hAnsi="Arial" w:cs="Arial"/>
          <w:sz w:val="22"/>
          <w:szCs w:val="22"/>
          <w:lang w:eastAsia="en-US"/>
        </w:rPr>
        <w:t xml:space="preserve">program informiranja, ozaveščanja in usposabljanja, ki ga izvaja Borzen 0,2 mio EUR ter </w:t>
      </w:r>
    </w:p>
    <w:p w:rsidR="00C851B3" w:rsidRPr="00010154" w:rsidRDefault="00BC2F0B" w:rsidP="00010154">
      <w:pPr>
        <w:pStyle w:val="Odstavekseznama"/>
        <w:numPr>
          <w:ilvl w:val="0"/>
          <w:numId w:val="38"/>
        </w:numPr>
        <w:suppressAutoHyphens w:val="0"/>
        <w:spacing w:after="200" w:line="288" w:lineRule="auto"/>
        <w:jc w:val="both"/>
        <w:rPr>
          <w:rFonts w:ascii="Arial" w:eastAsia="Calibri" w:hAnsi="Arial" w:cs="Arial"/>
          <w:sz w:val="22"/>
          <w:szCs w:val="22"/>
          <w:lang w:eastAsia="en-US"/>
        </w:rPr>
      </w:pPr>
      <w:r w:rsidRPr="00010154">
        <w:rPr>
          <w:rFonts w:ascii="Arial" w:eastAsia="Calibri" w:hAnsi="Arial" w:cs="Arial"/>
          <w:sz w:val="22"/>
          <w:szCs w:val="22"/>
          <w:lang w:eastAsia="en-US"/>
        </w:rPr>
        <w:t xml:space="preserve">stroške Eko sklada za izvajanje programa </w:t>
      </w:r>
      <w:r w:rsidR="00010154" w:rsidRPr="00010154">
        <w:rPr>
          <w:rFonts w:ascii="Arial" w:eastAsia="Calibri" w:hAnsi="Arial" w:cs="Arial"/>
          <w:sz w:val="22"/>
          <w:szCs w:val="22"/>
          <w:lang w:eastAsia="en-US"/>
        </w:rPr>
        <w:t>1,</w:t>
      </w:r>
      <w:r w:rsidR="00D8554A">
        <w:rPr>
          <w:rFonts w:ascii="Arial" w:eastAsia="Calibri" w:hAnsi="Arial" w:cs="Arial"/>
          <w:sz w:val="22"/>
          <w:szCs w:val="22"/>
          <w:lang w:eastAsia="en-US"/>
        </w:rPr>
        <w:t>5</w:t>
      </w:r>
      <w:r w:rsidR="00010154" w:rsidRPr="00010154">
        <w:rPr>
          <w:rFonts w:ascii="Arial" w:eastAsia="Calibri" w:hAnsi="Arial" w:cs="Arial"/>
          <w:sz w:val="22"/>
          <w:szCs w:val="22"/>
          <w:lang w:eastAsia="en-US"/>
        </w:rPr>
        <w:t xml:space="preserve"> mio EUR.</w:t>
      </w:r>
    </w:p>
    <w:p w:rsidR="006A42B1" w:rsidRDefault="006A42B1" w:rsidP="00010154">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V naslednjih letih bi postopoma, v odvisnosti od dejansko zbranih sredstev, postopoma povečevali spodbude za nakup električnih vozil.</w:t>
      </w:r>
    </w:p>
    <w:p w:rsidR="005B61C1" w:rsidRPr="00C9672B" w:rsidRDefault="005B61C1"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 xml:space="preserve">Prispevek za energetsko učinkovitost plačuje vsak končni odjemalec elektrike in zemeljskega plina iz omrežja operaterju, vsak končni odjemalec toplote iz omrežja, ter trdih, tekočih in drugih plinastih goriv pa dobavitelju energije. Operaterji in dobavitelji toplote iz omrežja ter trdih, tekočih in drugih plinastih goriv zbrana sredstva nakazujejo Eko skladu. </w:t>
      </w:r>
      <w:r>
        <w:rPr>
          <w:rFonts w:ascii="Arial" w:eastAsia="Calibri" w:hAnsi="Arial" w:cs="Arial"/>
          <w:sz w:val="22"/>
          <w:szCs w:val="22"/>
          <w:lang w:eastAsia="en-US"/>
        </w:rPr>
        <w:t>V uredbi je dan nastavek za sprejem sklepa Eko sklada o podrobnejšem postopku za nakazovanje sredstev.</w:t>
      </w:r>
    </w:p>
    <w:p w:rsidR="00C9672B" w:rsidRPr="00C9672B" w:rsidRDefault="00C9672B" w:rsidP="00010154">
      <w:pPr>
        <w:suppressAutoHyphens w:val="0"/>
        <w:spacing w:after="200" w:line="288" w:lineRule="auto"/>
        <w:jc w:val="both"/>
        <w:rPr>
          <w:rFonts w:ascii="Arial" w:eastAsia="Calibri" w:hAnsi="Arial" w:cs="Arial"/>
          <w:b/>
          <w:i/>
          <w:sz w:val="22"/>
          <w:szCs w:val="22"/>
          <w:lang w:eastAsia="en-US"/>
        </w:rPr>
      </w:pPr>
      <w:r w:rsidRPr="00C9672B">
        <w:rPr>
          <w:rFonts w:ascii="Arial" w:eastAsia="Calibri" w:hAnsi="Arial" w:cs="Arial"/>
          <w:b/>
          <w:i/>
          <w:sz w:val="22"/>
          <w:szCs w:val="22"/>
          <w:lang w:eastAsia="en-US"/>
        </w:rPr>
        <w:lastRenderedPageBreak/>
        <w:t>Obveznost dobaviteljev energije</w:t>
      </w:r>
    </w:p>
    <w:p w:rsidR="005B61C1" w:rsidRPr="00484C2F" w:rsidRDefault="005B61C1" w:rsidP="00010154">
      <w:pPr>
        <w:suppressAutoHyphens w:val="0"/>
        <w:spacing w:after="200" w:line="288" w:lineRule="auto"/>
        <w:jc w:val="both"/>
        <w:rPr>
          <w:rFonts w:ascii="Arial" w:eastAsia="Calibri" w:hAnsi="Arial" w:cs="Arial"/>
          <w:color w:val="FF0000"/>
          <w:sz w:val="22"/>
          <w:szCs w:val="22"/>
          <w:lang w:eastAsia="en-US"/>
        </w:rPr>
      </w:pPr>
      <w:r w:rsidRPr="002E06EC">
        <w:rPr>
          <w:rFonts w:ascii="Arial" w:eastAsia="Calibri" w:hAnsi="Arial" w:cs="Arial"/>
          <w:sz w:val="22"/>
          <w:szCs w:val="22"/>
          <w:lang w:eastAsia="en-US"/>
        </w:rPr>
        <w:t>Uredba določa, da drug del cilja izpolnijo z</w:t>
      </w:r>
      <w:r w:rsidR="00C9672B" w:rsidRPr="002E06EC">
        <w:rPr>
          <w:rFonts w:ascii="Arial" w:eastAsia="Calibri" w:hAnsi="Arial" w:cs="Arial"/>
          <w:sz w:val="22"/>
          <w:szCs w:val="22"/>
          <w:lang w:eastAsia="en-US"/>
        </w:rPr>
        <w:t>avezanci za doseganje prihrankov (v nadaljnjem besedilu: zavezanci), ki morajo zagotoviti prihranke energije pri končnih odjemalcih</w:t>
      </w:r>
      <w:r w:rsidR="002E06EC" w:rsidRPr="00484C2F">
        <w:rPr>
          <w:rFonts w:ascii="Arial" w:eastAsia="Calibri" w:hAnsi="Arial" w:cs="Arial"/>
          <w:sz w:val="22"/>
          <w:szCs w:val="22"/>
          <w:lang w:eastAsia="en-US"/>
        </w:rPr>
        <w:t xml:space="preserve">. To </w:t>
      </w:r>
      <w:r w:rsidR="00C9672B" w:rsidRPr="002E06EC">
        <w:rPr>
          <w:rFonts w:ascii="Arial" w:eastAsia="Calibri" w:hAnsi="Arial" w:cs="Arial"/>
          <w:sz w:val="22"/>
          <w:szCs w:val="22"/>
          <w:lang w:eastAsia="en-US"/>
        </w:rPr>
        <w:t xml:space="preserve">so vsi dobavitelji elektrike, toplote, plina ter tekočih in trdnih goriv končnim odjemalcem. </w:t>
      </w:r>
    </w:p>
    <w:p w:rsidR="00C9672B" w:rsidRDefault="00C9672B" w:rsidP="00010154">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 xml:space="preserve">Ker se tržni deleži dobaviteljev spreminjajo in ker se na trgu pojavljajo novi akterji, </w:t>
      </w:r>
      <w:r w:rsidR="005B61C1">
        <w:rPr>
          <w:rFonts w:ascii="Arial" w:eastAsia="Calibri" w:hAnsi="Arial" w:cs="Arial"/>
          <w:sz w:val="22"/>
          <w:szCs w:val="22"/>
          <w:lang w:eastAsia="en-US"/>
        </w:rPr>
        <w:t>so</w:t>
      </w:r>
      <w:r w:rsidRPr="00C9672B">
        <w:rPr>
          <w:rFonts w:ascii="Arial" w:eastAsia="Calibri" w:hAnsi="Arial" w:cs="Arial"/>
          <w:sz w:val="22"/>
          <w:szCs w:val="22"/>
          <w:lang w:eastAsia="en-US"/>
        </w:rPr>
        <w:t xml:space="preserve"> prihranki, ki jih bodo morali dosegati posamezni zavezanci izraženi kot delež energije, ki so jo prodali v preteklem letu.</w:t>
      </w:r>
      <w:r w:rsidR="005B61C1">
        <w:rPr>
          <w:rFonts w:ascii="Arial" w:eastAsia="Calibri" w:hAnsi="Arial" w:cs="Arial"/>
          <w:sz w:val="22"/>
          <w:szCs w:val="22"/>
          <w:lang w:eastAsia="en-US"/>
        </w:rPr>
        <w:t xml:space="preserve"> Pri cilju posameznih zavezancev je upoštevana izjema, ki jo dopušča </w:t>
      </w:r>
      <w:r w:rsidR="00EA7B4C">
        <w:rPr>
          <w:rFonts w:ascii="Arial" w:eastAsia="Calibri" w:hAnsi="Arial" w:cs="Arial"/>
          <w:sz w:val="22"/>
          <w:szCs w:val="22"/>
          <w:lang w:eastAsia="en-US"/>
        </w:rPr>
        <w:t xml:space="preserve">Direktiva </w:t>
      </w:r>
      <w:r w:rsidR="005B61C1">
        <w:rPr>
          <w:rFonts w:ascii="Arial" w:eastAsia="Calibri" w:hAnsi="Arial" w:cs="Arial"/>
          <w:sz w:val="22"/>
          <w:szCs w:val="22"/>
          <w:lang w:eastAsia="en-US"/>
        </w:rPr>
        <w:t xml:space="preserve">2012/27/EU, ki določa, da so prihranki v začetnih letih lahko manjši. </w:t>
      </w:r>
    </w:p>
    <w:p w:rsidR="005B61C1" w:rsidRDefault="005B61C1" w:rsidP="00010154">
      <w:pPr>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Prihranki, ki jih morajo dosegati posamezni zavezanci tako znašajo:</w:t>
      </w:r>
    </w:p>
    <w:p w:rsidR="005B61C1" w:rsidRPr="002B6BCF" w:rsidRDefault="005B61C1" w:rsidP="00010154">
      <w:pPr>
        <w:numPr>
          <w:ilvl w:val="0"/>
          <w:numId w:val="29"/>
        </w:numPr>
        <w:tabs>
          <w:tab w:val="left" w:pos="567"/>
          <w:tab w:val="left" w:pos="993"/>
        </w:tabs>
        <w:suppressAutoHyphens w:val="0"/>
        <w:spacing w:after="200" w:line="288" w:lineRule="auto"/>
        <w:contextualSpacing/>
        <w:jc w:val="both"/>
        <w:rPr>
          <w:rFonts w:ascii="Arial" w:eastAsia="Calibri" w:hAnsi="Arial" w:cs="Arial"/>
          <w:sz w:val="22"/>
          <w:szCs w:val="22"/>
          <w:lang w:eastAsia="en-US"/>
        </w:rPr>
      </w:pPr>
      <w:r w:rsidRPr="002B6BCF">
        <w:rPr>
          <w:rFonts w:ascii="Arial" w:hAnsi="Arial" w:cs="Arial"/>
          <w:color w:val="000000"/>
          <w:sz w:val="22"/>
          <w:szCs w:val="22"/>
          <w:lang w:eastAsia="sl-SI"/>
        </w:rPr>
        <w:t>0,25 % v letih 2014 in 2015,</w:t>
      </w:r>
    </w:p>
    <w:p w:rsidR="005B61C1" w:rsidRPr="002B6BCF" w:rsidRDefault="005B61C1" w:rsidP="00010154">
      <w:pPr>
        <w:numPr>
          <w:ilvl w:val="0"/>
          <w:numId w:val="29"/>
        </w:numPr>
        <w:tabs>
          <w:tab w:val="left" w:pos="567"/>
          <w:tab w:val="left" w:pos="993"/>
        </w:tabs>
        <w:suppressAutoHyphens w:val="0"/>
        <w:spacing w:after="200" w:line="288" w:lineRule="auto"/>
        <w:contextualSpacing/>
        <w:jc w:val="both"/>
        <w:rPr>
          <w:rFonts w:ascii="Arial" w:eastAsia="Calibri" w:hAnsi="Arial" w:cs="Arial"/>
          <w:sz w:val="22"/>
          <w:szCs w:val="22"/>
          <w:lang w:eastAsia="en-US"/>
        </w:rPr>
      </w:pPr>
      <w:r w:rsidRPr="002B6BCF">
        <w:rPr>
          <w:rFonts w:ascii="Arial" w:hAnsi="Arial" w:cs="Arial"/>
          <w:color w:val="000000"/>
          <w:sz w:val="22"/>
          <w:szCs w:val="22"/>
          <w:lang w:eastAsia="sl-SI"/>
        </w:rPr>
        <w:t>0,50 % v letih 2016 in 2017,</w:t>
      </w:r>
    </w:p>
    <w:p w:rsidR="00E70345" w:rsidRDefault="005B61C1" w:rsidP="00E70345">
      <w:pPr>
        <w:numPr>
          <w:ilvl w:val="0"/>
          <w:numId w:val="29"/>
        </w:numPr>
        <w:tabs>
          <w:tab w:val="left" w:pos="567"/>
          <w:tab w:val="left" w:pos="993"/>
        </w:tabs>
        <w:suppressAutoHyphens w:val="0"/>
        <w:spacing w:after="200" w:line="288" w:lineRule="auto"/>
        <w:ind w:left="714" w:hanging="357"/>
        <w:jc w:val="both"/>
        <w:rPr>
          <w:rFonts w:ascii="Arial" w:eastAsia="Calibri" w:hAnsi="Arial" w:cs="Arial"/>
          <w:sz w:val="22"/>
          <w:szCs w:val="22"/>
          <w:lang w:eastAsia="en-US"/>
        </w:rPr>
      </w:pPr>
      <w:r w:rsidRPr="002B6BCF">
        <w:rPr>
          <w:rFonts w:ascii="Arial" w:hAnsi="Arial" w:cs="Arial"/>
          <w:color w:val="000000"/>
          <w:sz w:val="22"/>
          <w:szCs w:val="22"/>
          <w:lang w:eastAsia="sl-SI"/>
        </w:rPr>
        <w:t>0,75 % v letih 2018, 2019 in 2020</w:t>
      </w:r>
      <w:r w:rsidR="002065C1">
        <w:rPr>
          <w:rFonts w:ascii="Arial" w:hAnsi="Arial" w:cs="Arial"/>
          <w:color w:val="000000"/>
          <w:sz w:val="22"/>
          <w:szCs w:val="22"/>
          <w:lang w:eastAsia="sl-SI"/>
        </w:rPr>
        <w:t>,</w:t>
      </w:r>
    </w:p>
    <w:p w:rsidR="00E70345" w:rsidRPr="00E70345" w:rsidRDefault="00E70345" w:rsidP="00010154">
      <w:pPr>
        <w:numPr>
          <w:ilvl w:val="0"/>
          <w:numId w:val="29"/>
        </w:numPr>
        <w:tabs>
          <w:tab w:val="left" w:pos="567"/>
          <w:tab w:val="left" w:pos="993"/>
        </w:tabs>
        <w:suppressAutoHyphens w:val="0"/>
        <w:spacing w:after="200" w:line="288" w:lineRule="auto"/>
        <w:ind w:left="714" w:hanging="357"/>
        <w:jc w:val="both"/>
        <w:rPr>
          <w:rFonts w:ascii="Arial" w:eastAsia="Calibri" w:hAnsi="Arial" w:cs="Arial"/>
          <w:sz w:val="22"/>
          <w:szCs w:val="22"/>
          <w:lang w:eastAsia="en-US"/>
        </w:rPr>
      </w:pPr>
      <w:r w:rsidRPr="00E70345">
        <w:rPr>
          <w:rFonts w:ascii="Arial" w:eastAsia="Calibri" w:hAnsi="Arial" w:cs="Arial"/>
          <w:sz w:val="22"/>
          <w:szCs w:val="22"/>
          <w:lang w:eastAsia="en-US"/>
        </w:rPr>
        <w:t>in pri prodaji motornega bencina in dizelskega goriva v prometu 0,25 % vsako leto.</w:t>
      </w:r>
    </w:p>
    <w:p w:rsidR="008F57B5" w:rsidRPr="00661087" w:rsidRDefault="008F57B5" w:rsidP="00661087">
      <w:pPr>
        <w:suppressAutoHyphens w:val="0"/>
        <w:spacing w:after="200" w:line="288" w:lineRule="auto"/>
        <w:jc w:val="both"/>
        <w:rPr>
          <w:rFonts w:ascii="Arial" w:eastAsia="Calibri" w:hAnsi="Arial" w:cs="Arial"/>
          <w:sz w:val="22"/>
          <w:szCs w:val="22"/>
          <w:lang w:eastAsia="en-US"/>
        </w:rPr>
      </w:pPr>
      <w:r w:rsidRPr="008F57B5">
        <w:rPr>
          <w:rFonts w:ascii="Arial" w:eastAsia="Calibri" w:hAnsi="Arial" w:cs="Arial"/>
          <w:sz w:val="22"/>
          <w:szCs w:val="22"/>
          <w:lang w:eastAsia="en-US"/>
        </w:rPr>
        <w:t>Z upoštevanjem zmanjšanja prihrankov, ki ga dopušča točka (a) 2. odstavka 7. člena direktive</w:t>
      </w:r>
      <w:r>
        <w:rPr>
          <w:rFonts w:ascii="Arial" w:eastAsia="Calibri" w:hAnsi="Arial" w:cs="Arial"/>
          <w:sz w:val="22"/>
          <w:szCs w:val="22"/>
          <w:lang w:eastAsia="en-US"/>
        </w:rPr>
        <w:t xml:space="preserve"> bodo skupni prihranki</w:t>
      </w:r>
      <w:r w:rsidRPr="008F57B5">
        <w:rPr>
          <w:rFonts w:ascii="Arial" w:eastAsia="Calibri" w:hAnsi="Arial" w:cs="Arial"/>
          <w:sz w:val="22"/>
          <w:szCs w:val="22"/>
          <w:lang w:eastAsia="en-US"/>
        </w:rPr>
        <w:t xml:space="preserve"> energije (zavezanci in Eko sklad) pri končnih odjemalcih postopno naraščal</w:t>
      </w:r>
      <w:r>
        <w:rPr>
          <w:rFonts w:ascii="Arial" w:eastAsia="Calibri" w:hAnsi="Arial" w:cs="Arial"/>
          <w:sz w:val="22"/>
          <w:szCs w:val="22"/>
          <w:lang w:eastAsia="en-US"/>
        </w:rPr>
        <w:t>i</w:t>
      </w:r>
      <w:r w:rsidRPr="008F57B5">
        <w:rPr>
          <w:rFonts w:ascii="Arial" w:eastAsia="Calibri" w:hAnsi="Arial" w:cs="Arial"/>
          <w:sz w:val="22"/>
          <w:szCs w:val="22"/>
          <w:lang w:eastAsia="en-US"/>
        </w:rPr>
        <w:t xml:space="preserve"> od 1 % v letu 2014 do 1,5 % v letu 2020: 1 % v letih 2014 in 2015, 1,25 % v letih 2016 in 2017 in 1,5 % v letih 2018 do 2020.</w:t>
      </w:r>
    </w:p>
    <w:p w:rsidR="00661087" w:rsidRPr="00661087" w:rsidRDefault="00661087" w:rsidP="00661087">
      <w:pPr>
        <w:suppressAutoHyphens w:val="0"/>
        <w:spacing w:after="200" w:line="288" w:lineRule="auto"/>
        <w:jc w:val="both"/>
        <w:rPr>
          <w:rFonts w:ascii="Arial" w:eastAsia="Calibri" w:hAnsi="Arial" w:cs="Arial"/>
          <w:sz w:val="22"/>
          <w:szCs w:val="22"/>
          <w:lang w:eastAsia="en-US"/>
        </w:rPr>
      </w:pPr>
      <w:r w:rsidRPr="00661087">
        <w:rPr>
          <w:rFonts w:ascii="Arial" w:eastAsia="Calibri" w:hAnsi="Arial" w:cs="Arial"/>
          <w:sz w:val="22"/>
          <w:szCs w:val="22"/>
          <w:lang w:eastAsia="en-US"/>
        </w:rPr>
        <w:t>Na ta način bodo kumulativni prihranki, kot so določeni v 1. odstavku 7. člena zmanjšani za 20,83</w:t>
      </w:r>
      <w:r w:rsidR="00E039EE">
        <w:rPr>
          <w:rFonts w:ascii="Arial" w:eastAsia="Calibri" w:hAnsi="Arial" w:cs="Arial"/>
          <w:sz w:val="22"/>
          <w:szCs w:val="22"/>
          <w:lang w:eastAsia="en-US"/>
        </w:rPr>
        <w:t> </w:t>
      </w:r>
      <w:r w:rsidRPr="00661087">
        <w:rPr>
          <w:rFonts w:ascii="Arial" w:eastAsia="Calibri" w:hAnsi="Arial" w:cs="Arial"/>
          <w:sz w:val="22"/>
          <w:szCs w:val="22"/>
          <w:lang w:eastAsia="en-US"/>
        </w:rPr>
        <w:t>%, kar znaša 3.051 GWh.</w:t>
      </w:r>
    </w:p>
    <w:p w:rsidR="00661087" w:rsidRPr="00661087" w:rsidRDefault="00661087" w:rsidP="00661087">
      <w:pPr>
        <w:suppressAutoHyphens w:val="0"/>
        <w:spacing w:after="200" w:line="288" w:lineRule="auto"/>
        <w:jc w:val="both"/>
        <w:rPr>
          <w:rFonts w:ascii="Arial" w:eastAsia="Calibri" w:hAnsi="Arial" w:cs="Arial"/>
          <w:sz w:val="22"/>
          <w:szCs w:val="22"/>
          <w:lang w:eastAsia="en-US"/>
        </w:rPr>
      </w:pPr>
      <w:r w:rsidRPr="00661087">
        <w:rPr>
          <w:rFonts w:ascii="Arial" w:eastAsia="Calibri" w:hAnsi="Arial" w:cs="Arial"/>
          <w:sz w:val="22"/>
          <w:szCs w:val="22"/>
          <w:lang w:eastAsia="en-US"/>
        </w:rPr>
        <w:t>Izjema, ki jo dopušča točka (c) 2. odstavka 7. člena direktive bo uporabljena na način, da bodo dobavitelji lahko dosegali prihranke energije v sektorju proizvodnje in distribucije toplote. Na ta način bodo prihranki, kot so določeni v 1. odstavku 7. člena zmanjšani za največ 4 % kar predstavlja 586 GWh, tako da skupno zmanjšanje prihrankov, kot ga dopušča 2. odstavek 7. člena skladno s 3. odstavkom 7. člena, ne bo presegalo 25 % prihrankov, kot so določeni v 1. odstavku 7. člena.</w:t>
      </w:r>
    </w:p>
    <w:p w:rsidR="00661087" w:rsidRDefault="00661087" w:rsidP="00661087">
      <w:pPr>
        <w:suppressAutoHyphens w:val="0"/>
        <w:spacing w:after="200" w:line="288" w:lineRule="auto"/>
        <w:jc w:val="both"/>
        <w:rPr>
          <w:rFonts w:ascii="Arial" w:eastAsia="Calibri" w:hAnsi="Arial" w:cs="Arial"/>
          <w:sz w:val="22"/>
          <w:szCs w:val="22"/>
          <w:lang w:eastAsia="en-US"/>
        </w:rPr>
      </w:pPr>
      <w:r w:rsidRPr="00661087">
        <w:rPr>
          <w:rFonts w:ascii="Arial" w:eastAsia="Calibri" w:hAnsi="Arial" w:cs="Arial"/>
          <w:sz w:val="22"/>
          <w:szCs w:val="22"/>
          <w:lang w:eastAsia="en-US"/>
        </w:rPr>
        <w:t>Vse države članice EU so uporabile določbe 2. odstavka 7. člena direktive 2012/27/EU za zmanjšanje svojih obveznosti. Pri tem so se za z direktivo dopuščena zmanjšanja odločile zelo različno. Tako je Nemčija uporabila možnosti iz točk b in d (oprostitev ETS sektorja in zgodnji prihranki), Avstrija je uporabila možnosti iz točke d (zgodnji prihranki), Italija pa možnosti iz odstavkov a in d (zmanjšanje cilja v letih od 2014 do 2017 in zgodnji ukrepi).</w:t>
      </w:r>
    </w:p>
    <w:p w:rsidR="00661087" w:rsidRDefault="00C9672B" w:rsidP="00661087">
      <w:pPr>
        <w:suppressAutoHyphens w:val="0"/>
        <w:spacing w:after="200" w:line="288" w:lineRule="auto"/>
        <w:jc w:val="both"/>
        <w:rPr>
          <w:rFonts w:ascii="Arial" w:eastAsia="Calibri" w:hAnsi="Arial" w:cs="Arial"/>
          <w:sz w:val="22"/>
          <w:szCs w:val="22"/>
          <w:lang w:eastAsia="en-US"/>
        </w:rPr>
      </w:pPr>
      <w:r w:rsidRPr="00C9672B">
        <w:rPr>
          <w:rFonts w:ascii="Arial" w:eastAsia="Calibri" w:hAnsi="Arial" w:cs="Arial"/>
          <w:sz w:val="22"/>
          <w:szCs w:val="22"/>
          <w:lang w:eastAsia="en-US"/>
        </w:rPr>
        <w:t>Za ukrepe, ki jih bodo izvajali zavezanci, n</w:t>
      </w:r>
      <w:r w:rsidR="00C851B3">
        <w:rPr>
          <w:rFonts w:ascii="Arial" w:eastAsia="Calibri" w:hAnsi="Arial" w:cs="Arial"/>
          <w:sz w:val="22"/>
          <w:szCs w:val="22"/>
          <w:lang w:eastAsia="en-US"/>
        </w:rPr>
        <w:t>i</w:t>
      </w:r>
      <w:r w:rsidRPr="00C9672B">
        <w:rPr>
          <w:rFonts w:ascii="Arial" w:eastAsia="Calibri" w:hAnsi="Arial" w:cs="Arial"/>
          <w:sz w:val="22"/>
          <w:szCs w:val="22"/>
          <w:lang w:eastAsia="en-US"/>
        </w:rPr>
        <w:t xml:space="preserve"> določen način izvajanja oziroma financiranja (s</w:t>
      </w:r>
      <w:r w:rsidR="00816DFB">
        <w:rPr>
          <w:rFonts w:ascii="Arial" w:eastAsia="Calibri" w:hAnsi="Arial" w:cs="Arial"/>
          <w:sz w:val="22"/>
          <w:szCs w:val="22"/>
          <w:lang w:eastAsia="en-US"/>
        </w:rPr>
        <w:t>podbuda</w:t>
      </w:r>
      <w:r w:rsidRPr="00C9672B">
        <w:rPr>
          <w:rFonts w:ascii="Arial" w:eastAsia="Calibri" w:hAnsi="Arial" w:cs="Arial"/>
          <w:sz w:val="22"/>
          <w:szCs w:val="22"/>
          <w:lang w:eastAsia="en-US"/>
        </w:rPr>
        <w:t>, kredit, financiranje s strani tretje stranke…).</w:t>
      </w:r>
      <w:r w:rsidR="00C851B3">
        <w:rPr>
          <w:rFonts w:ascii="Arial" w:eastAsia="Calibri" w:hAnsi="Arial" w:cs="Arial"/>
          <w:sz w:val="22"/>
          <w:szCs w:val="22"/>
          <w:lang w:eastAsia="en-US"/>
        </w:rPr>
        <w:t xml:space="preserve"> </w:t>
      </w:r>
      <w:r w:rsidRPr="00C9672B">
        <w:rPr>
          <w:rFonts w:ascii="Arial" w:eastAsia="Calibri" w:hAnsi="Arial" w:cs="Arial"/>
          <w:sz w:val="22"/>
          <w:szCs w:val="22"/>
          <w:lang w:eastAsia="en-US"/>
        </w:rPr>
        <w:t xml:space="preserve">Ukrepi, ki jih bodo izvajali zavezanci, bodo lahko izvedeni v vseh sektorjih, tudi v prometu in </w:t>
      </w:r>
      <w:r w:rsidR="002E06EC">
        <w:rPr>
          <w:rFonts w:ascii="Arial" w:eastAsia="Calibri" w:hAnsi="Arial" w:cs="Arial"/>
          <w:sz w:val="22"/>
          <w:szCs w:val="22"/>
          <w:lang w:eastAsia="en-US"/>
        </w:rPr>
        <w:t xml:space="preserve">industriji vključeni v sistem trgovanja z emisijskimi </w:t>
      </w:r>
      <w:r w:rsidR="002E06EC" w:rsidRPr="002E06EC">
        <w:rPr>
          <w:rFonts w:ascii="Arial" w:eastAsia="Calibri" w:hAnsi="Arial" w:cs="Arial"/>
          <w:sz w:val="22"/>
          <w:szCs w:val="22"/>
          <w:lang w:eastAsia="en-US"/>
        </w:rPr>
        <w:t xml:space="preserve">kuponi </w:t>
      </w:r>
      <w:r w:rsidR="00661087">
        <w:rPr>
          <w:rFonts w:ascii="Arial" w:eastAsia="Calibri" w:hAnsi="Arial" w:cs="Arial"/>
          <w:sz w:val="22"/>
          <w:szCs w:val="22"/>
          <w:lang w:eastAsia="en-US"/>
        </w:rPr>
        <w:t>(</w:t>
      </w:r>
      <w:r w:rsidRPr="002E06EC">
        <w:rPr>
          <w:rFonts w:ascii="Arial" w:eastAsia="Calibri" w:hAnsi="Arial" w:cs="Arial"/>
          <w:sz w:val="22"/>
          <w:szCs w:val="22"/>
          <w:lang w:eastAsia="en-US"/>
        </w:rPr>
        <w:t>ETS</w:t>
      </w:r>
      <w:r w:rsidR="00661087">
        <w:rPr>
          <w:rFonts w:ascii="Arial" w:eastAsia="Calibri" w:hAnsi="Arial" w:cs="Arial"/>
          <w:sz w:val="22"/>
          <w:szCs w:val="22"/>
          <w:lang w:eastAsia="en-US"/>
        </w:rPr>
        <w:t xml:space="preserve"> sektor)</w:t>
      </w:r>
      <w:r w:rsidRPr="00C9672B">
        <w:rPr>
          <w:rFonts w:ascii="Arial" w:eastAsia="Calibri" w:hAnsi="Arial" w:cs="Arial"/>
          <w:sz w:val="22"/>
          <w:szCs w:val="22"/>
          <w:lang w:eastAsia="en-US"/>
        </w:rPr>
        <w:t>.</w:t>
      </w:r>
      <w:r w:rsidR="00661087" w:rsidRPr="00661087">
        <w:rPr>
          <w:rFonts w:ascii="Arial" w:eastAsia="Calibri" w:hAnsi="Arial" w:cs="Arial"/>
          <w:sz w:val="22"/>
          <w:szCs w:val="22"/>
          <w:lang w:eastAsia="en-US"/>
        </w:rPr>
        <w:t xml:space="preserve"> </w:t>
      </w:r>
    </w:p>
    <w:p w:rsidR="00661087" w:rsidRDefault="00661087" w:rsidP="00661087">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Uredba tudi za te prihranke dovoljuje izjemo in sicer na način, da z</w:t>
      </w:r>
      <w:r w:rsidRPr="00C9672B">
        <w:rPr>
          <w:rFonts w:ascii="Arial" w:eastAsia="Calibri" w:hAnsi="Arial" w:cs="Arial"/>
          <w:sz w:val="22"/>
          <w:szCs w:val="22"/>
          <w:lang w:eastAsia="en-US"/>
        </w:rPr>
        <w:t xml:space="preserve">avezanci lahko svojo obveznost namesto, da dosežejo prihranke energije pri končnih odjemalcih, izpolnijo z nakazilom finančnih sredstev Eko skladu v znesku, ki je enak zmnožku prihrankov, ki bi jih morali doseči pri končnih odjemalcih in specifičnega stroška doseganja prihrankov energije Eko sklada. </w:t>
      </w:r>
    </w:p>
    <w:p w:rsidR="005F121A" w:rsidRPr="00C9672B" w:rsidRDefault="005F121A" w:rsidP="00661087">
      <w:pPr>
        <w:suppressAutoHyphens w:val="0"/>
        <w:spacing w:after="200" w:line="288" w:lineRule="auto"/>
        <w:jc w:val="both"/>
        <w:rPr>
          <w:rFonts w:ascii="Arial" w:eastAsia="Calibri" w:hAnsi="Arial" w:cs="Arial"/>
          <w:sz w:val="22"/>
          <w:szCs w:val="22"/>
          <w:lang w:eastAsia="en-US"/>
        </w:rPr>
      </w:pPr>
    </w:p>
    <w:p w:rsidR="000B258A" w:rsidRDefault="000B258A">
      <w:pPr>
        <w:suppressAutoHyphens w:val="0"/>
        <w:rPr>
          <w:rFonts w:ascii="Arial" w:eastAsia="Calibri" w:hAnsi="Arial" w:cs="Arial"/>
          <w:b/>
          <w:i/>
          <w:sz w:val="22"/>
          <w:szCs w:val="22"/>
          <w:lang w:eastAsia="en-US"/>
        </w:rPr>
      </w:pPr>
    </w:p>
    <w:p w:rsidR="009A100C" w:rsidRPr="00484C2F" w:rsidRDefault="009A100C" w:rsidP="00484C2F">
      <w:pPr>
        <w:suppressAutoHyphens w:val="0"/>
        <w:spacing w:after="200" w:line="288" w:lineRule="auto"/>
        <w:jc w:val="both"/>
        <w:rPr>
          <w:rFonts w:ascii="Arial" w:eastAsia="Calibri" w:hAnsi="Arial" w:cs="Arial"/>
          <w:b/>
          <w:i/>
          <w:sz w:val="22"/>
          <w:szCs w:val="22"/>
          <w:lang w:eastAsia="en-US"/>
        </w:rPr>
      </w:pPr>
      <w:r w:rsidRPr="00484C2F">
        <w:rPr>
          <w:rFonts w:ascii="Arial" w:eastAsia="Calibri" w:hAnsi="Arial" w:cs="Arial"/>
          <w:b/>
          <w:i/>
          <w:sz w:val="22"/>
          <w:szCs w:val="22"/>
          <w:lang w:eastAsia="en-US"/>
        </w:rPr>
        <w:lastRenderedPageBreak/>
        <w:t xml:space="preserve">Ocena učinkov </w:t>
      </w:r>
    </w:p>
    <w:p w:rsidR="00FC11FB" w:rsidRPr="006A42B1" w:rsidRDefault="00FC11FB" w:rsidP="00C442FB">
      <w:pPr>
        <w:suppressAutoHyphens w:val="0"/>
        <w:spacing w:after="200" w:line="288" w:lineRule="auto"/>
        <w:jc w:val="both"/>
        <w:rPr>
          <w:rFonts w:ascii="Arial" w:eastAsia="Calibri" w:hAnsi="Arial" w:cs="Arial"/>
          <w:sz w:val="22"/>
          <w:szCs w:val="22"/>
          <w:lang w:eastAsia="en-US"/>
        </w:rPr>
      </w:pPr>
      <w:r w:rsidRPr="006A42B1">
        <w:rPr>
          <w:rFonts w:ascii="Arial" w:eastAsia="Calibri" w:hAnsi="Arial" w:cs="Arial"/>
          <w:sz w:val="22"/>
          <w:szCs w:val="22"/>
          <w:lang w:eastAsia="en-US"/>
        </w:rPr>
        <w:t xml:space="preserve">Sprememba </w:t>
      </w:r>
      <w:r w:rsidR="00961879" w:rsidRPr="006A42B1">
        <w:rPr>
          <w:rFonts w:ascii="Arial" w:eastAsia="Calibri" w:hAnsi="Arial" w:cs="Arial"/>
          <w:sz w:val="22"/>
          <w:szCs w:val="22"/>
          <w:lang w:eastAsia="en-US"/>
        </w:rPr>
        <w:t xml:space="preserve">višine prispevka URE na posamezen energent bo </w:t>
      </w:r>
      <w:r w:rsidRPr="006A42B1">
        <w:rPr>
          <w:rFonts w:ascii="Arial" w:eastAsia="Calibri" w:hAnsi="Arial" w:cs="Arial"/>
          <w:sz w:val="22"/>
          <w:szCs w:val="22"/>
          <w:lang w:eastAsia="en-US"/>
        </w:rPr>
        <w:t>zvišala</w:t>
      </w:r>
      <w:r w:rsidR="006A42B1" w:rsidRPr="006A42B1">
        <w:rPr>
          <w:rFonts w:ascii="Arial" w:eastAsia="Calibri" w:hAnsi="Arial" w:cs="Arial"/>
          <w:sz w:val="22"/>
          <w:szCs w:val="22"/>
          <w:lang w:eastAsia="en-US"/>
        </w:rPr>
        <w:t xml:space="preserve"> skupne</w:t>
      </w:r>
      <w:r w:rsidRPr="006A42B1">
        <w:rPr>
          <w:rFonts w:ascii="Arial" w:eastAsia="Calibri" w:hAnsi="Arial" w:cs="Arial"/>
          <w:sz w:val="22"/>
          <w:szCs w:val="22"/>
          <w:lang w:eastAsia="en-US"/>
        </w:rPr>
        <w:t xml:space="preserve"> prihodke iz tega naslova za </w:t>
      </w:r>
      <w:r w:rsidR="00961879" w:rsidRPr="006A42B1">
        <w:rPr>
          <w:rFonts w:ascii="Arial" w:eastAsia="Calibri" w:hAnsi="Arial" w:cs="Arial"/>
          <w:sz w:val="22"/>
          <w:szCs w:val="22"/>
          <w:lang w:eastAsia="en-US"/>
        </w:rPr>
        <w:t>okrog</w:t>
      </w:r>
      <w:r w:rsidRPr="006A42B1">
        <w:rPr>
          <w:rFonts w:ascii="Arial" w:eastAsia="Calibri" w:hAnsi="Arial" w:cs="Arial"/>
          <w:sz w:val="22"/>
          <w:szCs w:val="22"/>
          <w:lang w:eastAsia="en-US"/>
        </w:rPr>
        <w:t xml:space="preserve"> </w:t>
      </w:r>
      <w:r w:rsidR="006A42B1" w:rsidRPr="006A42B1">
        <w:rPr>
          <w:rFonts w:ascii="Arial" w:eastAsia="Calibri" w:hAnsi="Arial" w:cs="Arial"/>
          <w:sz w:val="22"/>
          <w:szCs w:val="22"/>
          <w:lang w:eastAsia="en-US"/>
        </w:rPr>
        <w:t>5</w:t>
      </w:r>
      <w:r w:rsidRPr="006A42B1">
        <w:rPr>
          <w:rFonts w:ascii="Arial" w:eastAsia="Calibri" w:hAnsi="Arial" w:cs="Arial"/>
          <w:sz w:val="22"/>
          <w:szCs w:val="22"/>
          <w:lang w:eastAsia="en-US"/>
        </w:rPr>
        <w:t xml:space="preserve"> mio evrov</w:t>
      </w:r>
      <w:r w:rsidR="006A42B1" w:rsidRPr="006A42B1">
        <w:rPr>
          <w:rFonts w:ascii="Arial" w:eastAsia="Calibri" w:hAnsi="Arial" w:cs="Arial"/>
          <w:sz w:val="22"/>
          <w:szCs w:val="22"/>
          <w:lang w:eastAsia="en-US"/>
        </w:rPr>
        <w:t xml:space="preserve"> glede na leto 2014. Do tega povišanja bo prišlo postopoma v letih 2015 do 2017</w:t>
      </w:r>
      <w:r w:rsidRPr="006A42B1">
        <w:rPr>
          <w:rFonts w:ascii="Arial" w:eastAsia="Calibri" w:hAnsi="Arial" w:cs="Arial"/>
          <w:sz w:val="22"/>
          <w:szCs w:val="22"/>
          <w:lang w:eastAsia="en-US"/>
        </w:rPr>
        <w:t>. Te spremembe lahko vplivajo na prihodke iz naslova trošarin na energent v smislu, da se tam, kjer prispevek pomeni povečanje cene, ne more povečevati trošarinske dajatve in obratno</w:t>
      </w:r>
      <w:r w:rsidR="00961879" w:rsidRPr="006A42B1">
        <w:rPr>
          <w:rFonts w:ascii="Arial" w:eastAsia="Calibri" w:hAnsi="Arial" w:cs="Arial"/>
          <w:sz w:val="22"/>
          <w:szCs w:val="22"/>
          <w:lang w:eastAsia="en-US"/>
        </w:rPr>
        <w:t>;</w:t>
      </w:r>
      <w:r w:rsidRPr="006A42B1">
        <w:rPr>
          <w:rFonts w:ascii="Arial" w:eastAsia="Calibri" w:hAnsi="Arial" w:cs="Arial"/>
          <w:sz w:val="22"/>
          <w:szCs w:val="22"/>
          <w:lang w:eastAsia="en-US"/>
        </w:rPr>
        <w:t xml:space="preserve"> kjer se </w:t>
      </w:r>
      <w:r w:rsidR="00C442FB" w:rsidRPr="006A42B1">
        <w:rPr>
          <w:rFonts w:ascii="Arial" w:eastAsia="Calibri" w:hAnsi="Arial" w:cs="Arial"/>
          <w:sz w:val="22"/>
          <w:szCs w:val="22"/>
          <w:lang w:eastAsia="en-US"/>
        </w:rPr>
        <w:t xml:space="preserve">je </w:t>
      </w:r>
      <w:r w:rsidRPr="006A42B1">
        <w:rPr>
          <w:rFonts w:ascii="Arial" w:eastAsia="Calibri" w:hAnsi="Arial" w:cs="Arial"/>
          <w:sz w:val="22"/>
          <w:szCs w:val="22"/>
          <w:lang w:eastAsia="en-US"/>
        </w:rPr>
        <w:t xml:space="preserve">prispevek </w:t>
      </w:r>
      <w:r w:rsidR="00C442FB" w:rsidRPr="006A42B1">
        <w:rPr>
          <w:rFonts w:ascii="Arial" w:eastAsia="Calibri" w:hAnsi="Arial" w:cs="Arial"/>
          <w:sz w:val="22"/>
          <w:szCs w:val="22"/>
          <w:lang w:eastAsia="en-US"/>
        </w:rPr>
        <w:t xml:space="preserve">znižal, se lahko poviša trošarina (kot npr. pri ELKO). </w:t>
      </w:r>
      <w:r w:rsidR="00961879" w:rsidRPr="006A42B1">
        <w:rPr>
          <w:rFonts w:ascii="Arial" w:eastAsia="Calibri" w:hAnsi="Arial" w:cs="Arial"/>
          <w:sz w:val="22"/>
          <w:szCs w:val="22"/>
          <w:lang w:eastAsia="en-US"/>
        </w:rPr>
        <w:t>Z vidika posledic na proračun to lahko</w:t>
      </w:r>
      <w:r w:rsidR="00C442FB" w:rsidRPr="006A42B1">
        <w:rPr>
          <w:rFonts w:ascii="Arial" w:eastAsia="Calibri" w:hAnsi="Arial" w:cs="Arial"/>
          <w:sz w:val="22"/>
          <w:szCs w:val="22"/>
          <w:lang w:eastAsia="en-US"/>
        </w:rPr>
        <w:t xml:space="preserve"> pom</w:t>
      </w:r>
      <w:r w:rsidR="00961879" w:rsidRPr="006A42B1">
        <w:rPr>
          <w:rFonts w:ascii="Arial" w:eastAsia="Calibri" w:hAnsi="Arial" w:cs="Arial"/>
          <w:sz w:val="22"/>
          <w:szCs w:val="22"/>
          <w:lang w:eastAsia="en-US"/>
        </w:rPr>
        <w:t>e</w:t>
      </w:r>
      <w:r w:rsidR="00C442FB" w:rsidRPr="006A42B1">
        <w:rPr>
          <w:rFonts w:ascii="Arial" w:eastAsia="Calibri" w:hAnsi="Arial" w:cs="Arial"/>
          <w:sz w:val="22"/>
          <w:szCs w:val="22"/>
          <w:lang w:eastAsia="en-US"/>
        </w:rPr>
        <w:t>ni možnost povečanja trošarinskih prihodkov</w:t>
      </w:r>
      <w:r w:rsidR="00961879" w:rsidRPr="006A42B1">
        <w:rPr>
          <w:rFonts w:ascii="Arial" w:eastAsia="Calibri" w:hAnsi="Arial" w:cs="Arial"/>
          <w:sz w:val="22"/>
          <w:szCs w:val="22"/>
          <w:lang w:eastAsia="en-US"/>
        </w:rPr>
        <w:t>. Ker</w:t>
      </w:r>
      <w:r w:rsidR="00C442FB" w:rsidRPr="006A42B1">
        <w:rPr>
          <w:rFonts w:ascii="Arial" w:eastAsia="Calibri" w:hAnsi="Arial" w:cs="Arial"/>
          <w:sz w:val="22"/>
          <w:szCs w:val="22"/>
          <w:lang w:eastAsia="en-US"/>
        </w:rPr>
        <w:t xml:space="preserve"> projekcije </w:t>
      </w:r>
      <w:r w:rsidR="00961879" w:rsidRPr="006A42B1">
        <w:rPr>
          <w:rFonts w:ascii="Arial" w:eastAsia="Calibri" w:hAnsi="Arial" w:cs="Arial"/>
          <w:sz w:val="22"/>
          <w:szCs w:val="22"/>
          <w:lang w:eastAsia="en-US"/>
        </w:rPr>
        <w:t>rabe energije</w:t>
      </w:r>
      <w:r w:rsidR="00961879" w:rsidRPr="006A42B1">
        <w:rPr>
          <w:rStyle w:val="Sprotnaopomba-sklic"/>
          <w:rFonts w:ascii="Arial" w:eastAsia="Calibri" w:hAnsi="Arial" w:cs="Arial"/>
          <w:sz w:val="22"/>
          <w:szCs w:val="22"/>
          <w:lang w:eastAsia="en-US"/>
        </w:rPr>
        <w:footnoteReference w:id="2"/>
      </w:r>
      <w:r w:rsidR="00961879" w:rsidRPr="006A42B1">
        <w:rPr>
          <w:rFonts w:ascii="Arial" w:eastAsia="Calibri" w:hAnsi="Arial" w:cs="Arial"/>
          <w:sz w:val="22"/>
          <w:szCs w:val="22"/>
          <w:lang w:eastAsia="en-US"/>
        </w:rPr>
        <w:t xml:space="preserve"> </w:t>
      </w:r>
      <w:r w:rsidR="00C442FB" w:rsidRPr="006A42B1">
        <w:rPr>
          <w:rFonts w:ascii="Arial" w:eastAsia="Calibri" w:hAnsi="Arial" w:cs="Arial"/>
          <w:sz w:val="22"/>
          <w:szCs w:val="22"/>
          <w:lang w:eastAsia="en-US"/>
        </w:rPr>
        <w:t xml:space="preserve">kažejo na rahlo rast rabe energije, </w:t>
      </w:r>
      <w:r w:rsidR="00961879" w:rsidRPr="006A42B1">
        <w:rPr>
          <w:rFonts w:ascii="Arial" w:eastAsia="Calibri" w:hAnsi="Arial" w:cs="Arial"/>
          <w:sz w:val="22"/>
          <w:szCs w:val="22"/>
          <w:lang w:eastAsia="en-US"/>
        </w:rPr>
        <w:t xml:space="preserve">predvsem v </w:t>
      </w:r>
      <w:r w:rsidR="00B27005" w:rsidRPr="006A42B1">
        <w:rPr>
          <w:rFonts w:ascii="Arial" w:eastAsia="Calibri" w:hAnsi="Arial" w:cs="Arial"/>
          <w:sz w:val="22"/>
          <w:szCs w:val="22"/>
          <w:lang w:eastAsia="en-US"/>
        </w:rPr>
        <w:t>gospodarskem sektorju in prometu</w:t>
      </w:r>
      <w:r w:rsidR="00961879" w:rsidRPr="006A42B1">
        <w:rPr>
          <w:rFonts w:ascii="Arial" w:eastAsia="Calibri" w:hAnsi="Arial" w:cs="Arial"/>
          <w:sz w:val="22"/>
          <w:szCs w:val="22"/>
          <w:lang w:eastAsia="en-US"/>
        </w:rPr>
        <w:t>, to pomeni</w:t>
      </w:r>
      <w:r w:rsidR="00C442FB" w:rsidRPr="006A42B1">
        <w:rPr>
          <w:rFonts w:ascii="Arial" w:eastAsia="Calibri" w:hAnsi="Arial" w:cs="Arial"/>
          <w:sz w:val="22"/>
          <w:szCs w:val="22"/>
          <w:lang w:eastAsia="en-US"/>
        </w:rPr>
        <w:t>, da negativnih učinkov na proračunska sredstva iz naslova trošarin, kot</w:t>
      </w:r>
      <w:r w:rsidR="00B27005" w:rsidRPr="006A42B1">
        <w:rPr>
          <w:rFonts w:ascii="Arial" w:eastAsia="Calibri" w:hAnsi="Arial" w:cs="Arial"/>
          <w:sz w:val="22"/>
          <w:szCs w:val="22"/>
          <w:lang w:eastAsia="en-US"/>
        </w:rPr>
        <w:t xml:space="preserve"> posledica sprejetja te Uredbe,</w:t>
      </w:r>
      <w:r w:rsidR="00C442FB" w:rsidRPr="006A42B1">
        <w:rPr>
          <w:rFonts w:ascii="Arial" w:eastAsia="Calibri" w:hAnsi="Arial" w:cs="Arial"/>
          <w:sz w:val="22"/>
          <w:szCs w:val="22"/>
          <w:lang w:eastAsia="en-US"/>
        </w:rPr>
        <w:t xml:space="preserve"> ne bo.  </w:t>
      </w:r>
    </w:p>
    <w:p w:rsidR="00AB7102" w:rsidRPr="00AB7102" w:rsidRDefault="00F8330D" w:rsidP="00484C2F">
      <w:pPr>
        <w:suppressAutoHyphens w:val="0"/>
        <w:spacing w:after="200" w:line="288" w:lineRule="auto"/>
        <w:jc w:val="both"/>
        <w:rPr>
          <w:rFonts w:ascii="Arial" w:eastAsia="Calibri" w:hAnsi="Arial" w:cs="Arial"/>
          <w:szCs w:val="22"/>
          <w:lang w:eastAsia="en-US"/>
        </w:rPr>
      </w:pPr>
      <w:r w:rsidRPr="00484C2F">
        <w:rPr>
          <w:rFonts w:ascii="Arial" w:eastAsia="Calibri" w:hAnsi="Arial" w:cs="Arial"/>
          <w:sz w:val="22"/>
          <w:szCs w:val="22"/>
          <w:lang w:eastAsia="en-US"/>
        </w:rPr>
        <w:t>V letih 2010</w:t>
      </w:r>
      <w:r w:rsidR="00AB7102">
        <w:rPr>
          <w:rFonts w:ascii="Arial" w:eastAsia="Calibri" w:hAnsi="Arial" w:cs="Arial"/>
          <w:sz w:val="22"/>
          <w:szCs w:val="22"/>
          <w:lang w:eastAsia="en-US"/>
        </w:rPr>
        <w:t xml:space="preserve"> do 2013</w:t>
      </w:r>
      <w:r w:rsidRPr="00484C2F">
        <w:rPr>
          <w:rFonts w:ascii="Arial" w:eastAsia="Calibri" w:hAnsi="Arial" w:cs="Arial"/>
          <w:sz w:val="22"/>
          <w:szCs w:val="22"/>
          <w:lang w:eastAsia="en-US"/>
        </w:rPr>
        <w:t xml:space="preserve"> se je s sredstvi zbranimi z dodatkom in prispevkom za učinkovito rabo energije zbralo </w:t>
      </w:r>
      <w:r w:rsidR="00B6622C">
        <w:rPr>
          <w:rFonts w:ascii="Arial" w:eastAsia="Calibri" w:hAnsi="Arial" w:cs="Arial"/>
          <w:sz w:val="22"/>
          <w:szCs w:val="22"/>
          <w:lang w:eastAsia="en-US"/>
        </w:rPr>
        <w:t>med 20 in</w:t>
      </w:r>
      <w:r w:rsidRPr="00484C2F">
        <w:rPr>
          <w:rFonts w:ascii="Arial" w:eastAsia="Calibri" w:hAnsi="Arial" w:cs="Arial"/>
          <w:sz w:val="22"/>
          <w:szCs w:val="22"/>
          <w:lang w:eastAsia="en-US"/>
        </w:rPr>
        <w:t xml:space="preserve"> 30 mio </w:t>
      </w:r>
      <w:r w:rsidR="00B6622C">
        <w:rPr>
          <w:rFonts w:ascii="Arial" w:eastAsia="Calibri" w:hAnsi="Arial" w:cs="Arial"/>
          <w:sz w:val="22"/>
          <w:szCs w:val="22"/>
          <w:lang w:eastAsia="en-US"/>
        </w:rPr>
        <w:t>EUR</w:t>
      </w:r>
      <w:r w:rsidRPr="00484C2F">
        <w:rPr>
          <w:rFonts w:ascii="Arial" w:eastAsia="Calibri" w:hAnsi="Arial" w:cs="Arial"/>
          <w:sz w:val="22"/>
          <w:szCs w:val="22"/>
          <w:lang w:eastAsia="en-US"/>
        </w:rPr>
        <w:t xml:space="preserve"> letno. Preko Eko sklada in velikih distributerjev se je s temi sredstvi spodbudilo investicije v ukrepe za učinkovitejšo rabo energije na letni ravni 1</w:t>
      </w:r>
      <w:r w:rsidR="00E00C8C">
        <w:rPr>
          <w:rFonts w:ascii="Arial" w:eastAsia="Calibri" w:hAnsi="Arial" w:cs="Arial"/>
          <w:sz w:val="22"/>
          <w:szCs w:val="22"/>
          <w:lang w:eastAsia="en-US"/>
        </w:rPr>
        <w:t>00 do 1</w:t>
      </w:r>
      <w:r w:rsidRPr="00484C2F">
        <w:rPr>
          <w:rFonts w:ascii="Arial" w:eastAsia="Calibri" w:hAnsi="Arial" w:cs="Arial"/>
          <w:sz w:val="22"/>
          <w:szCs w:val="22"/>
          <w:lang w:eastAsia="en-US"/>
        </w:rPr>
        <w:t>50 mio EUR.</w:t>
      </w:r>
      <w:r w:rsidR="00AB7102">
        <w:rPr>
          <w:rFonts w:ascii="Arial" w:eastAsia="Calibri" w:hAnsi="Arial" w:cs="Arial"/>
          <w:sz w:val="22"/>
          <w:szCs w:val="22"/>
          <w:lang w:eastAsia="en-US"/>
        </w:rPr>
        <w:t xml:space="preserve"> </w:t>
      </w:r>
      <w:r w:rsidR="00AB7102" w:rsidRPr="00AB7102">
        <w:rPr>
          <w:rFonts w:ascii="Arial" w:hAnsi="Arial" w:cs="Arial"/>
          <w:color w:val="000000"/>
          <w:sz w:val="22"/>
          <w:szCs w:val="20"/>
          <w:lang w:eastAsia="sl-SI"/>
        </w:rPr>
        <w:t>Te investicije predstavljajo zaposlitev za okrog 2000 ljudi, še enkrat toliko pa je posrednih zaposlitev, povezanih s proizvodnjo opreme in materialov (stavbno pohištvo, izolacijski material, ipd..)</w:t>
      </w:r>
      <w:r w:rsidR="00AB7102">
        <w:rPr>
          <w:rFonts w:ascii="Arial" w:hAnsi="Arial" w:cs="Arial"/>
          <w:color w:val="000000"/>
          <w:sz w:val="22"/>
          <w:szCs w:val="20"/>
          <w:lang w:eastAsia="sl-SI"/>
        </w:rPr>
        <w:t>.</w:t>
      </w:r>
      <w:r w:rsidR="00C54AF2">
        <w:rPr>
          <w:rStyle w:val="Sprotnaopomba-sklic"/>
          <w:rFonts w:ascii="Arial" w:eastAsia="Calibri" w:hAnsi="Arial" w:cs="Arial"/>
          <w:sz w:val="22"/>
          <w:szCs w:val="22"/>
          <w:lang w:eastAsia="en-US"/>
        </w:rPr>
        <w:t xml:space="preserve"> </w:t>
      </w:r>
      <w:r w:rsidR="00AB7102" w:rsidRPr="00AB7102">
        <w:rPr>
          <w:rFonts w:ascii="Arial" w:hAnsi="Arial" w:cs="Arial"/>
          <w:color w:val="000000"/>
          <w:sz w:val="22"/>
          <w:szCs w:val="20"/>
          <w:lang w:eastAsia="sl-SI"/>
        </w:rPr>
        <w:t>(</w:t>
      </w:r>
      <w:r w:rsidR="00AB7102" w:rsidRPr="00C54AF2">
        <w:rPr>
          <w:rFonts w:ascii="Arial" w:hAnsi="Arial" w:cs="Arial"/>
          <w:i/>
          <w:color w:val="000000"/>
          <w:sz w:val="22"/>
          <w:szCs w:val="20"/>
          <w:lang w:eastAsia="sl-SI"/>
        </w:rPr>
        <w:t>Vendramin: Potenciali energetske učinkovitosti. Delovni zvezek 6/2008, UMAR, str. 13</w:t>
      </w:r>
      <w:r w:rsidR="00AB7102" w:rsidRPr="00AB7102">
        <w:rPr>
          <w:rFonts w:ascii="Arial" w:hAnsi="Arial" w:cs="Arial"/>
          <w:color w:val="000000"/>
          <w:sz w:val="22"/>
          <w:szCs w:val="20"/>
          <w:lang w:eastAsia="sl-SI"/>
        </w:rPr>
        <w:t>).</w:t>
      </w:r>
    </w:p>
    <w:p w:rsidR="004A167A" w:rsidRPr="005207DD" w:rsidRDefault="00A12B16" w:rsidP="004A167A">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Z</w:t>
      </w:r>
      <w:r w:rsidR="004A167A">
        <w:rPr>
          <w:rFonts w:ascii="Arial" w:eastAsia="Calibri" w:hAnsi="Arial" w:cs="Arial"/>
          <w:sz w:val="22"/>
          <w:szCs w:val="22"/>
          <w:lang w:eastAsia="en-US"/>
        </w:rPr>
        <w:t xml:space="preserve"> izvedenimi ukrepi v gospodinjstvih so se s</w:t>
      </w:r>
      <w:r w:rsidR="004A167A" w:rsidRPr="005207DD">
        <w:rPr>
          <w:rFonts w:ascii="Arial" w:eastAsia="Calibri" w:hAnsi="Arial" w:cs="Arial"/>
          <w:sz w:val="22"/>
          <w:szCs w:val="22"/>
          <w:lang w:eastAsia="en-US"/>
        </w:rPr>
        <w:t xml:space="preserve">troški gospodinjstev za energijo </w:t>
      </w:r>
      <w:r w:rsidR="004A167A">
        <w:rPr>
          <w:rFonts w:ascii="Arial" w:eastAsia="Calibri" w:hAnsi="Arial" w:cs="Arial"/>
          <w:sz w:val="22"/>
          <w:szCs w:val="22"/>
          <w:lang w:eastAsia="en-US"/>
        </w:rPr>
        <w:t xml:space="preserve">vsako leto </w:t>
      </w:r>
      <w:r w:rsidR="004A167A" w:rsidRPr="005207DD">
        <w:rPr>
          <w:rFonts w:ascii="Arial" w:eastAsia="Calibri" w:hAnsi="Arial" w:cs="Arial"/>
          <w:sz w:val="22"/>
          <w:szCs w:val="22"/>
          <w:lang w:eastAsia="en-US"/>
        </w:rPr>
        <w:t xml:space="preserve">zmanjšali za </w:t>
      </w:r>
      <w:r w:rsidR="004A167A">
        <w:rPr>
          <w:rFonts w:ascii="Arial" w:eastAsia="Calibri" w:hAnsi="Arial" w:cs="Arial"/>
          <w:sz w:val="22"/>
          <w:szCs w:val="22"/>
          <w:lang w:eastAsia="en-US"/>
        </w:rPr>
        <w:t>novih 10-</w:t>
      </w:r>
      <w:r w:rsidR="004A167A" w:rsidRPr="005207DD">
        <w:rPr>
          <w:rFonts w:ascii="Arial" w:eastAsia="Calibri" w:hAnsi="Arial" w:cs="Arial"/>
          <w:sz w:val="22"/>
          <w:szCs w:val="22"/>
          <w:lang w:eastAsia="en-US"/>
        </w:rPr>
        <w:t>20 mio EUR.</w:t>
      </w:r>
      <w:r w:rsidR="004A167A">
        <w:rPr>
          <w:rFonts w:ascii="Arial" w:eastAsia="Calibri" w:hAnsi="Arial" w:cs="Arial"/>
          <w:sz w:val="22"/>
          <w:szCs w:val="22"/>
          <w:lang w:eastAsia="en-US"/>
        </w:rPr>
        <w:t xml:space="preserve"> </w:t>
      </w:r>
      <w:r w:rsidR="009A0B23" w:rsidRPr="00250BEC">
        <w:rPr>
          <w:rFonts w:ascii="Arial" w:eastAsia="Calibri" w:hAnsi="Arial" w:cs="Arial"/>
          <w:sz w:val="22"/>
          <w:szCs w:val="22"/>
          <w:lang w:eastAsia="en-US"/>
        </w:rPr>
        <w:t xml:space="preserve">Podatki </w:t>
      </w:r>
      <w:r w:rsidR="004A167A">
        <w:rPr>
          <w:rFonts w:ascii="Arial" w:eastAsia="Calibri" w:hAnsi="Arial" w:cs="Arial"/>
          <w:sz w:val="22"/>
          <w:szCs w:val="22"/>
          <w:lang w:eastAsia="en-US"/>
        </w:rPr>
        <w:t xml:space="preserve">tudi pokažejo, </w:t>
      </w:r>
      <w:r w:rsidR="009A0B23" w:rsidRPr="00250BEC">
        <w:rPr>
          <w:rFonts w:ascii="Arial" w:eastAsia="Calibri" w:hAnsi="Arial" w:cs="Arial"/>
          <w:sz w:val="22"/>
          <w:szCs w:val="22"/>
          <w:lang w:eastAsia="en-US"/>
        </w:rPr>
        <w:t>da s</w:t>
      </w:r>
      <w:r w:rsidR="004A167A">
        <w:rPr>
          <w:rFonts w:ascii="Arial" w:eastAsia="Calibri" w:hAnsi="Arial" w:cs="Arial"/>
          <w:sz w:val="22"/>
          <w:szCs w:val="22"/>
          <w:lang w:eastAsia="en-US"/>
        </w:rPr>
        <w:t>o</w:t>
      </w:r>
      <w:r w:rsidR="009A0B23" w:rsidRPr="00250BEC">
        <w:rPr>
          <w:rFonts w:ascii="Arial" w:eastAsia="Calibri" w:hAnsi="Arial" w:cs="Arial"/>
          <w:sz w:val="22"/>
          <w:szCs w:val="22"/>
          <w:lang w:eastAsia="en-US"/>
        </w:rPr>
        <w:t xml:space="preserve"> vlaganja v učinkovito rabo energije </w:t>
      </w:r>
      <w:r w:rsidR="004A167A">
        <w:rPr>
          <w:rFonts w:ascii="Arial" w:eastAsia="Calibri" w:hAnsi="Arial" w:cs="Arial"/>
          <w:sz w:val="22"/>
          <w:szCs w:val="22"/>
          <w:lang w:eastAsia="en-US"/>
        </w:rPr>
        <w:t>smiselna tudi z nacionalnega vidika, saj je prihranjena energija večinoma cenejša od proizveden</w:t>
      </w:r>
      <w:r w:rsidR="005E65A2">
        <w:rPr>
          <w:rFonts w:ascii="Arial" w:eastAsia="Calibri" w:hAnsi="Arial" w:cs="Arial"/>
          <w:sz w:val="22"/>
          <w:szCs w:val="22"/>
          <w:lang w:eastAsia="en-US"/>
        </w:rPr>
        <w:t>e</w:t>
      </w:r>
      <w:r w:rsidR="004A167A">
        <w:rPr>
          <w:rFonts w:ascii="Arial" w:eastAsia="Calibri" w:hAnsi="Arial" w:cs="Arial"/>
          <w:sz w:val="22"/>
          <w:szCs w:val="22"/>
          <w:lang w:eastAsia="en-US"/>
        </w:rPr>
        <w:t xml:space="preserve"> energije: </w:t>
      </w:r>
      <w:r w:rsidR="009A0B23" w:rsidRPr="00250BEC">
        <w:rPr>
          <w:rFonts w:ascii="Arial" w:eastAsia="Calibri" w:hAnsi="Arial" w:cs="Arial"/>
          <w:sz w:val="22"/>
          <w:szCs w:val="22"/>
          <w:lang w:eastAsia="en-US"/>
        </w:rPr>
        <w:t>potrebna investicija</w:t>
      </w:r>
      <w:r w:rsidR="004A167A">
        <w:rPr>
          <w:rFonts w:ascii="Arial" w:eastAsia="Calibri" w:hAnsi="Arial" w:cs="Arial"/>
          <w:sz w:val="22"/>
          <w:szCs w:val="22"/>
          <w:lang w:eastAsia="en-US"/>
        </w:rPr>
        <w:t xml:space="preserve"> z upoštevanjem njene življenjske dobe je</w:t>
      </w:r>
      <w:r w:rsidR="009A0B23" w:rsidRPr="00250BEC">
        <w:rPr>
          <w:rFonts w:ascii="Arial" w:eastAsia="Calibri" w:hAnsi="Arial" w:cs="Arial"/>
          <w:sz w:val="22"/>
          <w:szCs w:val="22"/>
          <w:lang w:eastAsia="en-US"/>
        </w:rPr>
        <w:t xml:space="preserve"> za 1 MWh prihranka 40</w:t>
      </w:r>
      <w:r w:rsidR="007F182A">
        <w:rPr>
          <w:rFonts w:ascii="Arial" w:eastAsia="Calibri" w:hAnsi="Arial" w:cs="Arial"/>
          <w:sz w:val="22"/>
          <w:szCs w:val="22"/>
          <w:lang w:eastAsia="en-US"/>
        </w:rPr>
        <w:t>-55</w:t>
      </w:r>
      <w:r w:rsidR="009A0B23" w:rsidRPr="00250BEC">
        <w:rPr>
          <w:rFonts w:ascii="Arial" w:eastAsia="Calibri" w:hAnsi="Arial" w:cs="Arial"/>
          <w:sz w:val="22"/>
          <w:szCs w:val="22"/>
          <w:lang w:eastAsia="en-US"/>
        </w:rPr>
        <w:t xml:space="preserve"> EUR, med tem ko so cene energentov za 1 MWh energije med 25 EUR (biomasa-sekanci) do 160 EUR (elektrika). </w:t>
      </w:r>
    </w:p>
    <w:p w:rsidR="004A167A" w:rsidRPr="001A0CBD" w:rsidRDefault="004A167A" w:rsidP="004A167A">
      <w:pPr>
        <w:suppressAutoHyphens w:val="0"/>
        <w:spacing w:after="200" w:line="288" w:lineRule="auto"/>
        <w:jc w:val="both"/>
        <w:rPr>
          <w:rFonts w:ascii="Arial" w:eastAsia="Calibri" w:hAnsi="Arial" w:cs="Arial"/>
          <w:sz w:val="22"/>
          <w:szCs w:val="22"/>
          <w:lang w:eastAsia="en-US"/>
        </w:rPr>
      </w:pPr>
      <w:r w:rsidRPr="001A0CBD">
        <w:rPr>
          <w:rFonts w:ascii="Arial" w:eastAsia="Calibri" w:hAnsi="Arial" w:cs="Arial"/>
          <w:sz w:val="22"/>
          <w:szCs w:val="22"/>
          <w:lang w:eastAsia="en-US"/>
        </w:rPr>
        <w:t>Cena ukrepov</w:t>
      </w:r>
      <w:r>
        <w:rPr>
          <w:rFonts w:ascii="Arial" w:eastAsia="Calibri" w:hAnsi="Arial" w:cs="Arial"/>
          <w:sz w:val="22"/>
          <w:szCs w:val="22"/>
          <w:lang w:eastAsia="en-US"/>
        </w:rPr>
        <w:t xml:space="preserve">, ki se nanaša na celo življenjsko dobo ukrepa (v povprečju 15-20 let), je pri </w:t>
      </w:r>
      <w:r w:rsidRPr="009A0B23">
        <w:rPr>
          <w:rFonts w:ascii="Arial" w:eastAsia="Calibri" w:hAnsi="Arial" w:cs="Arial"/>
          <w:sz w:val="22"/>
          <w:szCs w:val="22"/>
          <w:lang w:eastAsia="en-US"/>
        </w:rPr>
        <w:t>Eko sklad</w:t>
      </w:r>
      <w:r>
        <w:rPr>
          <w:rFonts w:ascii="Arial" w:eastAsia="Calibri" w:hAnsi="Arial" w:cs="Arial"/>
          <w:sz w:val="22"/>
          <w:szCs w:val="22"/>
          <w:lang w:eastAsia="en-US"/>
        </w:rPr>
        <w:t xml:space="preserve">u </w:t>
      </w:r>
      <w:r w:rsidRPr="009A0B23">
        <w:rPr>
          <w:rFonts w:ascii="Arial" w:eastAsia="Calibri" w:hAnsi="Arial" w:cs="Arial"/>
          <w:sz w:val="22"/>
          <w:szCs w:val="22"/>
          <w:lang w:eastAsia="en-US"/>
        </w:rPr>
        <w:t>višja kot pri distributerjih</w:t>
      </w:r>
      <w:r>
        <w:rPr>
          <w:rFonts w:ascii="Arial" w:eastAsia="Calibri" w:hAnsi="Arial" w:cs="Arial"/>
          <w:sz w:val="22"/>
          <w:szCs w:val="22"/>
          <w:lang w:eastAsia="en-US"/>
        </w:rPr>
        <w:t>.</w:t>
      </w:r>
      <w:r w:rsidR="00087E4B">
        <w:rPr>
          <w:rFonts w:ascii="Arial" w:eastAsia="Calibri" w:hAnsi="Arial" w:cs="Arial"/>
          <w:sz w:val="22"/>
          <w:szCs w:val="22"/>
          <w:lang w:eastAsia="en-US"/>
        </w:rPr>
        <w:t xml:space="preserve"> </w:t>
      </w:r>
      <w:r>
        <w:rPr>
          <w:rFonts w:ascii="Arial" w:eastAsia="Calibri" w:hAnsi="Arial" w:cs="Arial"/>
          <w:sz w:val="22"/>
          <w:szCs w:val="22"/>
          <w:lang w:eastAsia="en-US"/>
        </w:rPr>
        <w:t>Ek</w:t>
      </w:r>
      <w:r w:rsidRPr="001A0CBD">
        <w:rPr>
          <w:rFonts w:ascii="Arial" w:eastAsia="Calibri" w:hAnsi="Arial" w:cs="Arial"/>
          <w:sz w:val="22"/>
          <w:szCs w:val="22"/>
          <w:lang w:eastAsia="en-US"/>
        </w:rPr>
        <w:t xml:space="preserve">o sklad </w:t>
      </w:r>
      <w:r>
        <w:rPr>
          <w:rFonts w:ascii="Arial" w:eastAsia="Calibri" w:hAnsi="Arial" w:cs="Arial"/>
          <w:sz w:val="22"/>
          <w:szCs w:val="22"/>
          <w:lang w:eastAsia="en-US"/>
        </w:rPr>
        <w:t xml:space="preserve">namreč </w:t>
      </w:r>
      <w:r w:rsidRPr="001A0CBD">
        <w:rPr>
          <w:rFonts w:ascii="Arial" w:eastAsia="Calibri" w:hAnsi="Arial" w:cs="Arial"/>
          <w:sz w:val="22"/>
          <w:szCs w:val="22"/>
          <w:lang w:eastAsia="en-US"/>
        </w:rPr>
        <w:t xml:space="preserve">spodbuja sanacijo stavb v gospodinjstvih, </w:t>
      </w:r>
      <w:r w:rsidR="00FA47C8">
        <w:rPr>
          <w:rFonts w:ascii="Arial" w:eastAsia="Calibri" w:hAnsi="Arial" w:cs="Arial"/>
          <w:sz w:val="22"/>
          <w:szCs w:val="22"/>
          <w:lang w:eastAsia="en-US"/>
        </w:rPr>
        <w:t>v tem</w:t>
      </w:r>
      <w:r w:rsidRPr="001A0CBD">
        <w:rPr>
          <w:rFonts w:ascii="Arial" w:eastAsia="Calibri" w:hAnsi="Arial" w:cs="Arial"/>
          <w:sz w:val="22"/>
          <w:szCs w:val="22"/>
          <w:lang w:eastAsia="en-US"/>
        </w:rPr>
        <w:t xml:space="preserve"> </w:t>
      </w:r>
      <w:r w:rsidR="00FA47C8">
        <w:rPr>
          <w:rFonts w:ascii="Arial" w:eastAsia="Calibri" w:hAnsi="Arial" w:cs="Arial"/>
          <w:sz w:val="22"/>
          <w:szCs w:val="22"/>
          <w:lang w:eastAsia="en-US"/>
        </w:rPr>
        <w:t>je večji del ukrepov</w:t>
      </w:r>
      <w:r w:rsidRPr="001A0CBD">
        <w:rPr>
          <w:rFonts w:ascii="Arial" w:eastAsia="Calibri" w:hAnsi="Arial" w:cs="Arial"/>
          <w:sz w:val="22"/>
          <w:szCs w:val="22"/>
          <w:lang w:eastAsia="en-US"/>
        </w:rPr>
        <w:t xml:space="preserve"> </w:t>
      </w:r>
      <w:r w:rsidR="00FA47C8">
        <w:rPr>
          <w:rFonts w:ascii="Arial" w:eastAsia="Calibri" w:hAnsi="Arial" w:cs="Arial"/>
          <w:sz w:val="22"/>
          <w:szCs w:val="22"/>
          <w:lang w:eastAsia="en-US"/>
        </w:rPr>
        <w:t xml:space="preserve">v </w:t>
      </w:r>
      <w:r w:rsidRPr="001A0CBD">
        <w:rPr>
          <w:rFonts w:ascii="Arial" w:eastAsia="Calibri" w:hAnsi="Arial" w:cs="Arial"/>
          <w:sz w:val="22"/>
          <w:szCs w:val="22"/>
          <w:lang w:eastAsia="en-US"/>
        </w:rPr>
        <w:t>enostanovanjsk</w:t>
      </w:r>
      <w:r w:rsidR="00FA47C8">
        <w:rPr>
          <w:rFonts w:ascii="Arial" w:eastAsia="Calibri" w:hAnsi="Arial" w:cs="Arial"/>
          <w:sz w:val="22"/>
          <w:szCs w:val="22"/>
          <w:lang w:eastAsia="en-US"/>
        </w:rPr>
        <w:t>ih</w:t>
      </w:r>
      <w:r w:rsidRPr="001A0CBD">
        <w:rPr>
          <w:rFonts w:ascii="Arial" w:eastAsia="Calibri" w:hAnsi="Arial" w:cs="Arial"/>
          <w:sz w:val="22"/>
          <w:szCs w:val="22"/>
          <w:lang w:eastAsia="en-US"/>
        </w:rPr>
        <w:t xml:space="preserve"> stavb</w:t>
      </w:r>
      <w:r w:rsidR="00FA47C8">
        <w:rPr>
          <w:rFonts w:ascii="Arial" w:eastAsia="Calibri" w:hAnsi="Arial" w:cs="Arial"/>
          <w:sz w:val="22"/>
          <w:szCs w:val="22"/>
          <w:lang w:eastAsia="en-US"/>
        </w:rPr>
        <w:t>ah</w:t>
      </w:r>
      <w:r w:rsidRPr="001A0CBD">
        <w:rPr>
          <w:rFonts w:ascii="Arial" w:eastAsia="Calibri" w:hAnsi="Arial" w:cs="Arial"/>
          <w:sz w:val="22"/>
          <w:szCs w:val="22"/>
          <w:lang w:eastAsia="en-US"/>
        </w:rPr>
        <w:t xml:space="preserve">, kjer so ukrepi dražji; distributerji pa izvajajo energetsko učinkovite ukrepe </w:t>
      </w:r>
      <w:r w:rsidR="00FA47C8">
        <w:rPr>
          <w:rFonts w:ascii="Arial" w:eastAsia="Calibri" w:hAnsi="Arial" w:cs="Arial"/>
          <w:sz w:val="22"/>
          <w:szCs w:val="22"/>
          <w:lang w:eastAsia="en-US"/>
        </w:rPr>
        <w:t xml:space="preserve">predvsem v </w:t>
      </w:r>
      <w:r w:rsidRPr="001A0CBD">
        <w:rPr>
          <w:rFonts w:ascii="Arial" w:eastAsia="Calibri" w:hAnsi="Arial" w:cs="Arial"/>
          <w:sz w:val="22"/>
          <w:szCs w:val="22"/>
          <w:lang w:eastAsia="en-US"/>
        </w:rPr>
        <w:t>industriji in pa tudi v javnem sektorju (</w:t>
      </w:r>
      <w:r w:rsidR="00FA47C8">
        <w:rPr>
          <w:rFonts w:ascii="Arial" w:eastAsia="Calibri" w:hAnsi="Arial" w:cs="Arial"/>
          <w:sz w:val="22"/>
          <w:szCs w:val="22"/>
          <w:lang w:eastAsia="en-US"/>
        </w:rPr>
        <w:t xml:space="preserve">v tem do sedaj </w:t>
      </w:r>
      <w:r>
        <w:rPr>
          <w:rFonts w:ascii="Arial" w:eastAsia="Calibri" w:hAnsi="Arial" w:cs="Arial"/>
          <w:sz w:val="22"/>
          <w:szCs w:val="22"/>
          <w:lang w:eastAsia="en-US"/>
        </w:rPr>
        <w:t xml:space="preserve">predvsem </w:t>
      </w:r>
      <w:r w:rsidRPr="001A0CBD">
        <w:rPr>
          <w:rFonts w:ascii="Arial" w:eastAsia="Calibri" w:hAnsi="Arial" w:cs="Arial"/>
          <w:sz w:val="22"/>
          <w:szCs w:val="22"/>
          <w:lang w:eastAsia="en-US"/>
        </w:rPr>
        <w:t xml:space="preserve">javna razsvetljava). </w:t>
      </w:r>
      <w:r w:rsidR="006A42B1">
        <w:rPr>
          <w:rFonts w:ascii="Arial" w:eastAsia="Calibri" w:hAnsi="Arial" w:cs="Arial"/>
          <w:sz w:val="22"/>
          <w:szCs w:val="22"/>
          <w:lang w:eastAsia="en-US"/>
        </w:rPr>
        <w:t>V tabeli 5</w:t>
      </w:r>
      <w:r w:rsidR="005E65A2">
        <w:rPr>
          <w:rFonts w:ascii="Arial" w:eastAsia="Calibri" w:hAnsi="Arial" w:cs="Arial"/>
          <w:sz w:val="22"/>
          <w:szCs w:val="22"/>
          <w:lang w:eastAsia="en-US"/>
        </w:rPr>
        <w:t xml:space="preserve"> so prikazana javna sredstva, ki so potrebna za doseganje</w:t>
      </w:r>
      <w:r w:rsidR="00F32827">
        <w:rPr>
          <w:rFonts w:ascii="Arial" w:eastAsia="Calibri" w:hAnsi="Arial" w:cs="Arial"/>
          <w:sz w:val="22"/>
          <w:szCs w:val="22"/>
          <w:lang w:eastAsia="en-US"/>
        </w:rPr>
        <w:t xml:space="preserve"> prihrankov.</w:t>
      </w:r>
    </w:p>
    <w:p w:rsidR="00F8330D" w:rsidRPr="005E65A2" w:rsidRDefault="006A42B1" w:rsidP="00484C2F">
      <w:pPr>
        <w:suppressAutoHyphens w:val="0"/>
        <w:spacing w:after="200" w:line="288" w:lineRule="auto"/>
        <w:jc w:val="both"/>
        <w:rPr>
          <w:rFonts w:ascii="Arial" w:eastAsia="Calibri" w:hAnsi="Arial" w:cs="Arial"/>
          <w:i/>
          <w:sz w:val="22"/>
          <w:szCs w:val="22"/>
          <w:lang w:eastAsia="en-US"/>
        </w:rPr>
      </w:pPr>
      <w:r>
        <w:rPr>
          <w:rFonts w:ascii="Arial" w:eastAsia="Calibri" w:hAnsi="Arial" w:cs="Arial"/>
          <w:i/>
          <w:sz w:val="22"/>
          <w:szCs w:val="22"/>
          <w:lang w:eastAsia="en-US"/>
        </w:rPr>
        <w:t>Tabela 5</w:t>
      </w:r>
      <w:r w:rsidR="005E65A2" w:rsidRPr="005E65A2">
        <w:rPr>
          <w:rFonts w:ascii="Arial" w:eastAsia="Calibri" w:hAnsi="Arial" w:cs="Arial"/>
          <w:i/>
          <w:sz w:val="22"/>
          <w:szCs w:val="22"/>
          <w:lang w:eastAsia="en-US"/>
        </w:rPr>
        <w:t xml:space="preserve">: </w:t>
      </w:r>
      <w:r w:rsidR="00F8330D" w:rsidRPr="005E65A2">
        <w:rPr>
          <w:rFonts w:ascii="Arial" w:eastAsia="Calibri" w:hAnsi="Arial" w:cs="Arial"/>
          <w:i/>
          <w:sz w:val="22"/>
          <w:szCs w:val="22"/>
          <w:lang w:eastAsia="en-US"/>
        </w:rPr>
        <w:t xml:space="preserve">Cena </w:t>
      </w:r>
      <w:r w:rsidR="005E65A2" w:rsidRPr="005E65A2">
        <w:rPr>
          <w:rFonts w:ascii="Arial" w:eastAsia="Calibri" w:hAnsi="Arial" w:cs="Arial"/>
          <w:i/>
          <w:sz w:val="22"/>
          <w:szCs w:val="22"/>
          <w:lang w:eastAsia="en-US"/>
        </w:rPr>
        <w:t xml:space="preserve">doseganja </w:t>
      </w:r>
      <w:r w:rsidR="00F8330D" w:rsidRPr="005E65A2">
        <w:rPr>
          <w:rFonts w:ascii="Arial" w:eastAsia="Calibri" w:hAnsi="Arial" w:cs="Arial"/>
          <w:i/>
          <w:sz w:val="22"/>
          <w:szCs w:val="22"/>
          <w:lang w:eastAsia="en-US"/>
        </w:rPr>
        <w:t>prihrankov energije (EUR/MWh) v 2013</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9"/>
      </w:tblGrid>
      <w:tr w:rsidR="004A167A" w:rsidRPr="005F121A" w:rsidTr="005F121A">
        <w:trPr>
          <w:trHeight w:val="32"/>
          <w:jc w:val="center"/>
        </w:trPr>
        <w:tc>
          <w:tcPr>
            <w:tcW w:w="2376" w:type="dxa"/>
            <w:shd w:val="clear" w:color="auto" w:fill="auto"/>
          </w:tcPr>
          <w:p w:rsidR="004A167A" w:rsidRPr="005F121A" w:rsidRDefault="004A167A" w:rsidP="00087E4B">
            <w:pPr>
              <w:suppressAutoHyphens w:val="0"/>
              <w:spacing w:line="288" w:lineRule="auto"/>
              <w:jc w:val="both"/>
              <w:rPr>
                <w:rFonts w:ascii="Arial" w:eastAsia="Calibri" w:hAnsi="Arial" w:cs="Arial"/>
                <w:sz w:val="20"/>
                <w:szCs w:val="20"/>
                <w:lang w:eastAsia="en-US"/>
              </w:rPr>
            </w:pPr>
          </w:p>
        </w:tc>
        <w:tc>
          <w:tcPr>
            <w:tcW w:w="5109" w:type="dxa"/>
            <w:shd w:val="clear" w:color="auto" w:fill="auto"/>
          </w:tcPr>
          <w:p w:rsidR="004A167A" w:rsidRPr="005F121A" w:rsidRDefault="004A167A" w:rsidP="00087E4B">
            <w:pPr>
              <w:suppressAutoHyphens w:val="0"/>
              <w:spacing w:line="288" w:lineRule="auto"/>
              <w:jc w:val="center"/>
              <w:rPr>
                <w:rFonts w:ascii="Arial" w:eastAsia="Calibri" w:hAnsi="Arial" w:cs="Arial"/>
                <w:sz w:val="20"/>
                <w:szCs w:val="20"/>
                <w:lang w:eastAsia="en-US"/>
              </w:rPr>
            </w:pPr>
            <w:r w:rsidRPr="005F121A">
              <w:rPr>
                <w:rFonts w:ascii="Arial" w:eastAsia="Calibri" w:hAnsi="Arial" w:cs="Arial"/>
                <w:sz w:val="20"/>
                <w:szCs w:val="20"/>
                <w:lang w:eastAsia="en-US"/>
              </w:rPr>
              <w:t>Javna sredstva</w:t>
            </w:r>
            <w:r w:rsidR="00087E4B" w:rsidRPr="005F121A">
              <w:rPr>
                <w:rFonts w:ascii="Arial" w:eastAsia="Calibri" w:hAnsi="Arial" w:cs="Arial"/>
                <w:sz w:val="20"/>
                <w:szCs w:val="20"/>
                <w:lang w:eastAsia="en-US"/>
              </w:rPr>
              <w:t xml:space="preserve"> </w:t>
            </w:r>
            <w:r w:rsidRPr="005F121A">
              <w:rPr>
                <w:rFonts w:ascii="Arial" w:eastAsia="Calibri" w:hAnsi="Arial" w:cs="Arial"/>
                <w:sz w:val="20"/>
                <w:szCs w:val="20"/>
                <w:lang w:eastAsia="en-US"/>
              </w:rPr>
              <w:t>(URE prispevek)</w:t>
            </w:r>
          </w:p>
        </w:tc>
      </w:tr>
      <w:tr w:rsidR="004A167A" w:rsidRPr="005F121A" w:rsidTr="005F121A">
        <w:trPr>
          <w:trHeight w:val="15"/>
          <w:jc w:val="center"/>
        </w:trPr>
        <w:tc>
          <w:tcPr>
            <w:tcW w:w="2376" w:type="dxa"/>
            <w:shd w:val="clear" w:color="auto" w:fill="auto"/>
          </w:tcPr>
          <w:p w:rsidR="004A167A" w:rsidRPr="005F121A" w:rsidRDefault="004A167A" w:rsidP="00087E4B">
            <w:pPr>
              <w:suppressAutoHyphens w:val="0"/>
              <w:spacing w:line="288" w:lineRule="auto"/>
              <w:jc w:val="both"/>
              <w:rPr>
                <w:rFonts w:ascii="Arial" w:eastAsia="Calibri" w:hAnsi="Arial" w:cs="Arial"/>
                <w:sz w:val="20"/>
                <w:szCs w:val="20"/>
                <w:lang w:eastAsia="en-US"/>
              </w:rPr>
            </w:pPr>
            <w:r w:rsidRPr="005F121A">
              <w:rPr>
                <w:rFonts w:ascii="Arial" w:eastAsia="Calibri" w:hAnsi="Arial" w:cs="Arial"/>
                <w:sz w:val="20"/>
                <w:szCs w:val="20"/>
                <w:lang w:eastAsia="en-US"/>
              </w:rPr>
              <w:t xml:space="preserve">Eko sklad </w:t>
            </w:r>
          </w:p>
        </w:tc>
        <w:tc>
          <w:tcPr>
            <w:tcW w:w="5109" w:type="dxa"/>
            <w:shd w:val="clear" w:color="auto" w:fill="auto"/>
          </w:tcPr>
          <w:p w:rsidR="004A167A" w:rsidRPr="005F121A" w:rsidRDefault="004A167A" w:rsidP="00087E4B">
            <w:pPr>
              <w:suppressAutoHyphens w:val="0"/>
              <w:spacing w:line="288" w:lineRule="auto"/>
              <w:jc w:val="center"/>
              <w:rPr>
                <w:rFonts w:ascii="Arial" w:eastAsia="Calibri" w:hAnsi="Arial" w:cs="Arial"/>
                <w:sz w:val="20"/>
                <w:szCs w:val="20"/>
                <w:lang w:eastAsia="en-US"/>
              </w:rPr>
            </w:pPr>
            <w:r w:rsidRPr="005F121A">
              <w:rPr>
                <w:rFonts w:ascii="Arial" w:eastAsia="Calibri" w:hAnsi="Arial" w:cs="Arial"/>
                <w:sz w:val="20"/>
                <w:szCs w:val="20"/>
                <w:lang w:eastAsia="en-US"/>
              </w:rPr>
              <w:t>125</w:t>
            </w:r>
          </w:p>
        </w:tc>
      </w:tr>
      <w:tr w:rsidR="004A167A" w:rsidRPr="005F121A" w:rsidTr="005F121A">
        <w:trPr>
          <w:trHeight w:val="16"/>
          <w:jc w:val="center"/>
        </w:trPr>
        <w:tc>
          <w:tcPr>
            <w:tcW w:w="2376" w:type="dxa"/>
            <w:shd w:val="clear" w:color="auto" w:fill="auto"/>
          </w:tcPr>
          <w:p w:rsidR="004A167A" w:rsidRPr="005F121A" w:rsidRDefault="004A167A" w:rsidP="00087E4B">
            <w:pPr>
              <w:suppressAutoHyphens w:val="0"/>
              <w:spacing w:line="288" w:lineRule="auto"/>
              <w:jc w:val="both"/>
              <w:rPr>
                <w:rFonts w:ascii="Arial" w:eastAsia="Calibri" w:hAnsi="Arial" w:cs="Arial"/>
                <w:sz w:val="20"/>
                <w:szCs w:val="20"/>
                <w:lang w:eastAsia="en-US"/>
              </w:rPr>
            </w:pPr>
            <w:r w:rsidRPr="005F121A">
              <w:rPr>
                <w:rFonts w:ascii="Arial" w:eastAsia="Calibri" w:hAnsi="Arial" w:cs="Arial"/>
                <w:sz w:val="20"/>
                <w:szCs w:val="20"/>
                <w:lang w:eastAsia="en-US"/>
              </w:rPr>
              <w:t>Distributerji energije</w:t>
            </w:r>
          </w:p>
        </w:tc>
        <w:tc>
          <w:tcPr>
            <w:tcW w:w="5109" w:type="dxa"/>
            <w:shd w:val="clear" w:color="auto" w:fill="auto"/>
          </w:tcPr>
          <w:p w:rsidR="004A167A" w:rsidRPr="005F121A" w:rsidRDefault="00FA47C8" w:rsidP="00FA47C8">
            <w:pPr>
              <w:suppressAutoHyphens w:val="0"/>
              <w:spacing w:line="288" w:lineRule="auto"/>
              <w:jc w:val="center"/>
              <w:rPr>
                <w:rFonts w:ascii="Arial" w:eastAsia="Calibri" w:hAnsi="Arial" w:cs="Arial"/>
                <w:sz w:val="20"/>
                <w:szCs w:val="20"/>
                <w:lang w:eastAsia="en-US"/>
              </w:rPr>
            </w:pPr>
            <w:r w:rsidRPr="005F121A">
              <w:rPr>
                <w:rFonts w:ascii="Arial" w:eastAsia="Calibri" w:hAnsi="Arial" w:cs="Arial"/>
                <w:sz w:val="20"/>
                <w:szCs w:val="20"/>
                <w:lang w:eastAsia="en-US"/>
              </w:rPr>
              <w:t>4</w:t>
            </w:r>
            <w:r w:rsidR="004A167A" w:rsidRPr="005F121A">
              <w:rPr>
                <w:rFonts w:ascii="Arial" w:eastAsia="Calibri" w:hAnsi="Arial" w:cs="Arial"/>
                <w:sz w:val="20"/>
                <w:szCs w:val="20"/>
                <w:lang w:eastAsia="en-US"/>
              </w:rPr>
              <w:t>5</w:t>
            </w:r>
          </w:p>
        </w:tc>
      </w:tr>
    </w:tbl>
    <w:p w:rsidR="00F8330D" w:rsidRDefault="00F8330D" w:rsidP="00F8330D">
      <w:pPr>
        <w:jc w:val="both"/>
      </w:pPr>
    </w:p>
    <w:p w:rsidR="00F32827" w:rsidRDefault="00F8330D" w:rsidP="00F32827">
      <w:pPr>
        <w:suppressAutoHyphens w:val="0"/>
        <w:spacing w:after="200" w:line="288" w:lineRule="auto"/>
        <w:jc w:val="both"/>
        <w:rPr>
          <w:rFonts w:ascii="Arial" w:eastAsia="Calibri" w:hAnsi="Arial" w:cs="Arial"/>
          <w:i/>
          <w:sz w:val="22"/>
          <w:szCs w:val="22"/>
          <w:lang w:eastAsia="en-US"/>
        </w:rPr>
      </w:pPr>
      <w:r w:rsidRPr="00484C2F">
        <w:rPr>
          <w:rFonts w:ascii="Arial" w:eastAsia="Calibri" w:hAnsi="Arial" w:cs="Arial"/>
          <w:sz w:val="22"/>
          <w:szCs w:val="22"/>
          <w:lang w:eastAsia="en-US"/>
        </w:rPr>
        <w:t xml:space="preserve">Od leta 2015 dalje distributerji </w:t>
      </w:r>
      <w:r w:rsidR="009A0B23">
        <w:rPr>
          <w:rFonts w:ascii="Arial" w:eastAsia="Calibri" w:hAnsi="Arial" w:cs="Arial"/>
          <w:sz w:val="22"/>
          <w:szCs w:val="22"/>
          <w:lang w:eastAsia="en-US"/>
        </w:rPr>
        <w:t xml:space="preserve">ne bodo več dosegali </w:t>
      </w:r>
      <w:r w:rsidRPr="00484C2F">
        <w:rPr>
          <w:rFonts w:ascii="Arial" w:eastAsia="Calibri" w:hAnsi="Arial" w:cs="Arial"/>
          <w:sz w:val="22"/>
          <w:szCs w:val="22"/>
          <w:lang w:eastAsia="en-US"/>
        </w:rPr>
        <w:t>prihrank</w:t>
      </w:r>
      <w:r w:rsidR="00295F6D">
        <w:rPr>
          <w:rFonts w:ascii="Arial" w:eastAsia="Calibri" w:hAnsi="Arial" w:cs="Arial"/>
          <w:sz w:val="22"/>
          <w:szCs w:val="22"/>
          <w:lang w:eastAsia="en-US"/>
        </w:rPr>
        <w:t>ov</w:t>
      </w:r>
      <w:r w:rsidRPr="00484C2F">
        <w:rPr>
          <w:rFonts w:ascii="Arial" w:eastAsia="Calibri" w:hAnsi="Arial" w:cs="Arial"/>
          <w:sz w:val="22"/>
          <w:szCs w:val="22"/>
          <w:lang w:eastAsia="en-US"/>
        </w:rPr>
        <w:t xml:space="preserve"> energije </w:t>
      </w:r>
      <w:r w:rsidR="009A0B23">
        <w:rPr>
          <w:rFonts w:ascii="Arial" w:eastAsia="Calibri" w:hAnsi="Arial" w:cs="Arial"/>
          <w:sz w:val="22"/>
          <w:szCs w:val="22"/>
          <w:lang w:eastAsia="en-US"/>
        </w:rPr>
        <w:t>s pomočjo sredstev zbranih s prispevkom URE, pač pa z njihovimi lastnimi sredstvi</w:t>
      </w:r>
      <w:r w:rsidRPr="00484C2F">
        <w:rPr>
          <w:rFonts w:ascii="Arial" w:eastAsia="Calibri" w:hAnsi="Arial" w:cs="Arial"/>
          <w:sz w:val="22"/>
          <w:szCs w:val="22"/>
          <w:lang w:eastAsia="en-US"/>
        </w:rPr>
        <w:t xml:space="preserve">, prispevek pa bo </w:t>
      </w:r>
      <w:r w:rsidR="009A0B23">
        <w:rPr>
          <w:rFonts w:ascii="Arial" w:eastAsia="Calibri" w:hAnsi="Arial" w:cs="Arial"/>
          <w:sz w:val="22"/>
          <w:szCs w:val="22"/>
          <w:lang w:eastAsia="en-US"/>
        </w:rPr>
        <w:t xml:space="preserve">namenjen za spodbude </w:t>
      </w:r>
      <w:r w:rsidRPr="00484C2F">
        <w:rPr>
          <w:rFonts w:ascii="Arial" w:eastAsia="Calibri" w:hAnsi="Arial" w:cs="Arial"/>
          <w:sz w:val="22"/>
          <w:szCs w:val="22"/>
          <w:lang w:eastAsia="en-US"/>
        </w:rPr>
        <w:t>Eko sklad</w:t>
      </w:r>
      <w:r w:rsidR="009A0B23">
        <w:rPr>
          <w:rFonts w:ascii="Arial" w:eastAsia="Calibri" w:hAnsi="Arial" w:cs="Arial"/>
          <w:sz w:val="22"/>
          <w:szCs w:val="22"/>
          <w:lang w:eastAsia="en-US"/>
        </w:rPr>
        <w:t>a</w:t>
      </w:r>
      <w:r w:rsidRPr="00484C2F">
        <w:rPr>
          <w:rFonts w:ascii="Arial" w:eastAsia="Calibri" w:hAnsi="Arial" w:cs="Arial"/>
          <w:sz w:val="22"/>
          <w:szCs w:val="22"/>
          <w:lang w:eastAsia="en-US"/>
        </w:rPr>
        <w:t xml:space="preserve">. S predlagano Uredbo se bo zagotovilo toliko sredstev, </w:t>
      </w:r>
      <w:r w:rsidR="004A167A">
        <w:rPr>
          <w:rFonts w:ascii="Arial" w:eastAsia="Calibri" w:hAnsi="Arial" w:cs="Arial"/>
          <w:sz w:val="22"/>
          <w:szCs w:val="22"/>
          <w:lang w:eastAsia="en-US"/>
        </w:rPr>
        <w:t xml:space="preserve">kolikor je potrebnih, </w:t>
      </w:r>
      <w:r w:rsidRPr="00484C2F">
        <w:rPr>
          <w:rFonts w:ascii="Arial" w:eastAsia="Calibri" w:hAnsi="Arial" w:cs="Arial"/>
          <w:sz w:val="22"/>
          <w:szCs w:val="22"/>
          <w:lang w:eastAsia="en-US"/>
        </w:rPr>
        <w:t>da bo Eko sklad spodbudil investicij</w:t>
      </w:r>
      <w:r w:rsidR="004A167A">
        <w:rPr>
          <w:rFonts w:ascii="Arial" w:eastAsia="Calibri" w:hAnsi="Arial" w:cs="Arial"/>
          <w:sz w:val="22"/>
          <w:szCs w:val="22"/>
          <w:lang w:eastAsia="en-US"/>
        </w:rPr>
        <w:t>e</w:t>
      </w:r>
      <w:r w:rsidRPr="00484C2F">
        <w:rPr>
          <w:rFonts w:ascii="Arial" w:eastAsia="Calibri" w:hAnsi="Arial" w:cs="Arial"/>
          <w:sz w:val="22"/>
          <w:szCs w:val="22"/>
          <w:lang w:eastAsia="en-US"/>
        </w:rPr>
        <w:t xml:space="preserve"> v ukrepe učinkovite rabe energije</w:t>
      </w:r>
      <w:r w:rsidR="004A167A">
        <w:rPr>
          <w:rFonts w:ascii="Arial" w:eastAsia="Calibri" w:hAnsi="Arial" w:cs="Arial"/>
          <w:sz w:val="22"/>
          <w:szCs w:val="22"/>
          <w:lang w:eastAsia="en-US"/>
        </w:rPr>
        <w:t xml:space="preserve"> v takšnem obsegu, </w:t>
      </w:r>
      <w:r w:rsidRPr="00484C2F">
        <w:rPr>
          <w:rFonts w:ascii="Arial" w:eastAsia="Calibri" w:hAnsi="Arial" w:cs="Arial"/>
          <w:sz w:val="22"/>
          <w:szCs w:val="22"/>
          <w:lang w:eastAsia="en-US"/>
        </w:rPr>
        <w:t xml:space="preserve">da bomo zagotovili izpolnitev zahtev 7. člena Direktive </w:t>
      </w:r>
      <w:r>
        <w:rPr>
          <w:rFonts w:ascii="Arial" w:eastAsia="Calibri" w:hAnsi="Arial" w:cs="Arial"/>
          <w:sz w:val="22"/>
          <w:szCs w:val="22"/>
          <w:lang w:eastAsia="en-US"/>
        </w:rPr>
        <w:t>2012/27/EU</w:t>
      </w:r>
      <w:r w:rsidR="004A167A">
        <w:rPr>
          <w:rFonts w:ascii="Arial" w:eastAsia="Calibri" w:hAnsi="Arial" w:cs="Arial"/>
          <w:sz w:val="22"/>
          <w:szCs w:val="22"/>
          <w:lang w:eastAsia="en-US"/>
        </w:rPr>
        <w:t xml:space="preserve">, kar pomeni </w:t>
      </w:r>
      <w:r w:rsidR="009A0B23">
        <w:rPr>
          <w:rFonts w:ascii="Arial" w:eastAsia="Calibri" w:hAnsi="Arial" w:cs="Arial"/>
          <w:sz w:val="22"/>
          <w:szCs w:val="22"/>
          <w:lang w:eastAsia="en-US"/>
        </w:rPr>
        <w:t xml:space="preserve">262 GWh </w:t>
      </w:r>
      <w:r w:rsidR="00295F6D">
        <w:rPr>
          <w:rFonts w:ascii="Arial" w:eastAsia="Calibri" w:hAnsi="Arial" w:cs="Arial"/>
          <w:sz w:val="22"/>
          <w:szCs w:val="22"/>
          <w:lang w:eastAsia="en-US"/>
        </w:rPr>
        <w:t xml:space="preserve">novih </w:t>
      </w:r>
      <w:r w:rsidR="009A0B23">
        <w:rPr>
          <w:rFonts w:ascii="Arial" w:eastAsia="Calibri" w:hAnsi="Arial" w:cs="Arial"/>
          <w:sz w:val="22"/>
          <w:szCs w:val="22"/>
          <w:lang w:eastAsia="en-US"/>
        </w:rPr>
        <w:t>prihrankov energije letno</w:t>
      </w:r>
      <w:r w:rsidR="004A167A">
        <w:rPr>
          <w:rFonts w:ascii="Arial" w:eastAsia="Calibri" w:hAnsi="Arial" w:cs="Arial"/>
          <w:sz w:val="22"/>
          <w:szCs w:val="22"/>
          <w:lang w:eastAsia="en-US"/>
        </w:rPr>
        <w:t xml:space="preserve"> (gl. zgoraj)</w:t>
      </w:r>
      <w:r w:rsidR="009A0B23">
        <w:rPr>
          <w:rFonts w:ascii="Arial" w:eastAsia="Calibri" w:hAnsi="Arial" w:cs="Arial"/>
          <w:sz w:val="22"/>
          <w:szCs w:val="22"/>
          <w:lang w:eastAsia="en-US"/>
        </w:rPr>
        <w:t xml:space="preserve">. </w:t>
      </w:r>
      <w:r w:rsidR="006B6607">
        <w:rPr>
          <w:rFonts w:ascii="Arial" w:eastAsia="Calibri" w:hAnsi="Arial" w:cs="Arial"/>
          <w:sz w:val="22"/>
          <w:szCs w:val="22"/>
          <w:lang w:eastAsia="en-US"/>
        </w:rPr>
        <w:t>Tako bo s</w:t>
      </w:r>
      <w:r>
        <w:rPr>
          <w:rFonts w:ascii="Arial" w:eastAsia="Calibri" w:hAnsi="Arial" w:cs="Arial"/>
          <w:sz w:val="22"/>
          <w:szCs w:val="22"/>
          <w:lang w:eastAsia="en-US"/>
        </w:rPr>
        <w:t xml:space="preserve"> predlaganim prispevkom na leto zbranih </w:t>
      </w:r>
      <w:r w:rsidR="006A42B1">
        <w:rPr>
          <w:rFonts w:ascii="Arial" w:eastAsia="Calibri" w:hAnsi="Arial" w:cs="Arial"/>
          <w:sz w:val="22"/>
          <w:szCs w:val="22"/>
          <w:lang w:eastAsia="en-US"/>
        </w:rPr>
        <w:t>do 38</w:t>
      </w:r>
      <w:r w:rsidR="00295F6D">
        <w:rPr>
          <w:rFonts w:ascii="Arial" w:eastAsia="Calibri" w:hAnsi="Arial" w:cs="Arial"/>
          <w:sz w:val="22"/>
          <w:szCs w:val="22"/>
          <w:lang w:eastAsia="en-US"/>
        </w:rPr>
        <w:t xml:space="preserve"> mio EUR</w:t>
      </w:r>
      <w:r>
        <w:rPr>
          <w:rFonts w:ascii="Arial" w:eastAsia="Calibri" w:hAnsi="Arial" w:cs="Arial"/>
          <w:sz w:val="22"/>
          <w:szCs w:val="22"/>
          <w:lang w:eastAsia="en-US"/>
        </w:rPr>
        <w:t xml:space="preserve">. </w:t>
      </w:r>
      <w:r w:rsidR="008007C4">
        <w:rPr>
          <w:rFonts w:ascii="Arial" w:eastAsia="Calibri" w:hAnsi="Arial" w:cs="Arial"/>
          <w:sz w:val="22"/>
          <w:szCs w:val="22"/>
          <w:lang w:eastAsia="en-US"/>
        </w:rPr>
        <w:t>S tem</w:t>
      </w:r>
      <w:r w:rsidR="009A0B23">
        <w:rPr>
          <w:rFonts w:ascii="Arial" w:eastAsia="Calibri" w:hAnsi="Arial" w:cs="Arial"/>
          <w:sz w:val="22"/>
          <w:szCs w:val="22"/>
          <w:lang w:eastAsia="en-US"/>
        </w:rPr>
        <w:t>i</w:t>
      </w:r>
      <w:r w:rsidR="008007C4">
        <w:rPr>
          <w:rFonts w:ascii="Arial" w:eastAsia="Calibri" w:hAnsi="Arial" w:cs="Arial"/>
          <w:sz w:val="22"/>
          <w:szCs w:val="22"/>
          <w:lang w:eastAsia="en-US"/>
        </w:rPr>
        <w:t xml:space="preserve"> sredstvi se bo letno spodbudilo </w:t>
      </w:r>
      <w:r w:rsidR="008F57B5">
        <w:rPr>
          <w:rFonts w:ascii="Arial" w:eastAsia="Calibri" w:hAnsi="Arial" w:cs="Arial"/>
          <w:sz w:val="22"/>
          <w:szCs w:val="22"/>
          <w:lang w:eastAsia="en-US"/>
        </w:rPr>
        <w:t>1</w:t>
      </w:r>
      <w:r w:rsidR="006A42B1">
        <w:rPr>
          <w:rFonts w:ascii="Arial" w:eastAsia="Calibri" w:hAnsi="Arial" w:cs="Arial"/>
          <w:sz w:val="22"/>
          <w:szCs w:val="22"/>
          <w:lang w:eastAsia="en-US"/>
        </w:rPr>
        <w:t>9</w:t>
      </w:r>
      <w:r w:rsidR="008007C4">
        <w:rPr>
          <w:rFonts w:ascii="Arial" w:eastAsia="Calibri" w:hAnsi="Arial" w:cs="Arial"/>
          <w:sz w:val="22"/>
          <w:szCs w:val="22"/>
          <w:lang w:eastAsia="en-US"/>
        </w:rPr>
        <w:t xml:space="preserve">0 mio investicij v energetsko sanacijo stanovanjskega sektorja, kar predstavlja 2.000 neposrednih delovnih mest. </w:t>
      </w:r>
      <w:r w:rsidR="008007C4" w:rsidRPr="00484C2F">
        <w:rPr>
          <w:rFonts w:ascii="Arial" w:eastAsia="Calibri" w:hAnsi="Arial" w:cs="Arial"/>
          <w:sz w:val="22"/>
          <w:szCs w:val="22"/>
          <w:lang w:eastAsia="en-US"/>
        </w:rPr>
        <w:t xml:space="preserve">Ker pa gre za </w:t>
      </w:r>
      <w:r w:rsidR="008007C4" w:rsidRPr="00484C2F">
        <w:rPr>
          <w:rFonts w:ascii="Arial" w:eastAsia="Calibri" w:hAnsi="Arial" w:cs="Arial"/>
          <w:sz w:val="22"/>
          <w:szCs w:val="22"/>
          <w:lang w:eastAsia="en-US"/>
        </w:rPr>
        <w:lastRenderedPageBreak/>
        <w:t>investicije z visokim delež domače dodane vrednosti, to po ocenah pomeni približno še enkrat toliko posrednih zaposlitev v proizvodnji opreme in naprav (gradbeni materiali, stavbno pohištvo, režija…). Povpraševanje oz. zmogljivost gospodinjstev za naložbe je veliko, saj je bilo so v zadnjih dveh</w:t>
      </w:r>
      <w:r w:rsidR="00A12B16">
        <w:rPr>
          <w:rFonts w:ascii="Arial" w:eastAsia="Calibri" w:hAnsi="Arial" w:cs="Arial"/>
          <w:sz w:val="22"/>
          <w:szCs w:val="22"/>
          <w:lang w:eastAsia="en-US"/>
        </w:rPr>
        <w:t xml:space="preserve"> letih</w:t>
      </w:r>
      <w:r w:rsidR="008007C4" w:rsidRPr="00484C2F">
        <w:rPr>
          <w:rFonts w:ascii="Arial" w:eastAsia="Calibri" w:hAnsi="Arial" w:cs="Arial"/>
          <w:sz w:val="22"/>
          <w:szCs w:val="22"/>
          <w:lang w:eastAsia="en-US"/>
        </w:rPr>
        <w:t xml:space="preserve"> preko Eko sklada po</w:t>
      </w:r>
      <w:r w:rsidR="009A0B23">
        <w:rPr>
          <w:rFonts w:ascii="Arial" w:eastAsia="Calibri" w:hAnsi="Arial" w:cs="Arial"/>
          <w:sz w:val="22"/>
          <w:szCs w:val="22"/>
          <w:lang w:eastAsia="en-US"/>
        </w:rPr>
        <w:t xml:space="preserve">rabljenih </w:t>
      </w:r>
      <w:r w:rsidR="008007C4" w:rsidRPr="00484C2F">
        <w:rPr>
          <w:rFonts w:ascii="Arial" w:eastAsia="Calibri" w:hAnsi="Arial" w:cs="Arial"/>
          <w:sz w:val="22"/>
          <w:szCs w:val="22"/>
          <w:lang w:eastAsia="en-US"/>
        </w:rPr>
        <w:t>2</w:t>
      </w:r>
      <w:r w:rsidR="00F873E9" w:rsidRPr="00484C2F">
        <w:rPr>
          <w:rFonts w:ascii="Arial" w:eastAsia="Calibri" w:hAnsi="Arial" w:cs="Arial"/>
          <w:sz w:val="22"/>
          <w:szCs w:val="22"/>
          <w:lang w:eastAsia="en-US"/>
        </w:rPr>
        <w:t>5</w:t>
      </w:r>
      <w:r w:rsidR="008007C4" w:rsidRPr="00484C2F">
        <w:rPr>
          <w:rFonts w:ascii="Arial" w:eastAsia="Calibri" w:hAnsi="Arial" w:cs="Arial"/>
          <w:sz w:val="22"/>
          <w:szCs w:val="22"/>
          <w:lang w:eastAsia="en-US"/>
        </w:rPr>
        <w:t xml:space="preserve"> mio EUR </w:t>
      </w:r>
      <w:r w:rsidR="00F873E9" w:rsidRPr="00484C2F">
        <w:rPr>
          <w:rFonts w:ascii="Arial" w:eastAsia="Calibri" w:hAnsi="Arial" w:cs="Arial"/>
          <w:sz w:val="22"/>
          <w:szCs w:val="22"/>
          <w:lang w:eastAsia="en-US"/>
        </w:rPr>
        <w:t xml:space="preserve">že </w:t>
      </w:r>
      <w:r w:rsidR="008007C4" w:rsidRPr="00484C2F">
        <w:rPr>
          <w:rFonts w:ascii="Arial" w:eastAsia="Calibri" w:hAnsi="Arial" w:cs="Arial"/>
          <w:sz w:val="22"/>
          <w:szCs w:val="22"/>
          <w:lang w:eastAsia="en-US"/>
        </w:rPr>
        <w:t xml:space="preserve">do </w:t>
      </w:r>
      <w:r w:rsidR="009A0B23" w:rsidRPr="009A0B23">
        <w:rPr>
          <w:rFonts w:ascii="Arial" w:eastAsia="Calibri" w:hAnsi="Arial" w:cs="Arial"/>
          <w:sz w:val="22"/>
          <w:szCs w:val="22"/>
          <w:lang w:eastAsia="en-US"/>
        </w:rPr>
        <w:t>sredine leta</w:t>
      </w:r>
      <w:r w:rsidR="009A0B23">
        <w:rPr>
          <w:rFonts w:ascii="Arial" w:eastAsia="Calibri" w:hAnsi="Arial" w:cs="Arial"/>
          <w:sz w:val="22"/>
          <w:szCs w:val="22"/>
          <w:lang w:eastAsia="en-US"/>
        </w:rPr>
        <w:t xml:space="preserve">. V prihodnje je treba tudi omogočiti, da so razpisi </w:t>
      </w:r>
      <w:r w:rsidR="004A167A">
        <w:rPr>
          <w:rFonts w:ascii="Arial" w:eastAsia="Calibri" w:hAnsi="Arial" w:cs="Arial"/>
          <w:sz w:val="22"/>
          <w:szCs w:val="22"/>
          <w:lang w:eastAsia="en-US"/>
        </w:rPr>
        <w:t xml:space="preserve">odprti </w:t>
      </w:r>
      <w:r w:rsidR="009A0B23">
        <w:rPr>
          <w:rFonts w:ascii="Arial" w:eastAsia="Calibri" w:hAnsi="Arial" w:cs="Arial"/>
          <w:sz w:val="22"/>
          <w:szCs w:val="22"/>
          <w:lang w:eastAsia="en-US"/>
        </w:rPr>
        <w:t>nepretrgoma, saj zapiranje razpisov predstavlja veliko motnjo na trgu in dodatne obremenitve pri poslovanju Eko skl</w:t>
      </w:r>
      <w:r w:rsidR="004A167A">
        <w:rPr>
          <w:rFonts w:ascii="Arial" w:eastAsia="Calibri" w:hAnsi="Arial" w:cs="Arial"/>
          <w:sz w:val="22"/>
          <w:szCs w:val="22"/>
          <w:lang w:eastAsia="en-US"/>
        </w:rPr>
        <w:t>a</w:t>
      </w:r>
      <w:r w:rsidR="009A0B23">
        <w:rPr>
          <w:rFonts w:ascii="Arial" w:eastAsia="Calibri" w:hAnsi="Arial" w:cs="Arial"/>
          <w:sz w:val="22"/>
          <w:szCs w:val="22"/>
          <w:lang w:eastAsia="en-US"/>
        </w:rPr>
        <w:t xml:space="preserve">da. </w:t>
      </w:r>
    </w:p>
    <w:p w:rsidR="006D799D" w:rsidRDefault="006D799D" w:rsidP="006D799D">
      <w:pPr>
        <w:suppressAutoHyphens w:val="0"/>
        <w:spacing w:after="200" w:line="288" w:lineRule="auto"/>
        <w:jc w:val="both"/>
        <w:rPr>
          <w:rFonts w:ascii="Arial" w:eastAsia="Calibri" w:hAnsi="Arial" w:cs="Arial"/>
          <w:sz w:val="22"/>
          <w:szCs w:val="22"/>
          <w:lang w:eastAsia="en-US"/>
        </w:rPr>
      </w:pPr>
      <w:r w:rsidRPr="006D799D">
        <w:rPr>
          <w:rFonts w:ascii="Arial" w:eastAsia="Calibri" w:hAnsi="Arial" w:cs="Arial"/>
          <w:sz w:val="22"/>
          <w:szCs w:val="22"/>
          <w:lang w:eastAsia="en-US"/>
        </w:rPr>
        <w:t xml:space="preserve">V tabeli 6 je predstavljen učinek novega prispevka URE za leto 2015 na maloprodajne cene energentov. </w:t>
      </w:r>
      <w:r>
        <w:rPr>
          <w:rFonts w:ascii="Arial" w:eastAsia="Calibri" w:hAnsi="Arial" w:cs="Arial"/>
          <w:sz w:val="22"/>
          <w:szCs w:val="22"/>
          <w:lang w:eastAsia="en-US"/>
        </w:rPr>
        <w:t>Sprememba drobnoprodajnih cen je prikazana le za tiste energente, za katere se v letu 2015 spreminja višina prispevka.</w:t>
      </w:r>
    </w:p>
    <w:p w:rsidR="006D799D" w:rsidRDefault="006D799D" w:rsidP="006D799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Sprememba cene tekočih goriv je prikazana na način, da je stara cena izračunana kot cena, ki je trenutno veljavna z upoštevanjem vseh dodatkov, prispevkov in davščin.  Nova cena je izračunana na enak način, le da je upoštevana višina prispevka za energetsko učinkovitost za leto 2015. Na ta način bi se zaradi uvedbe novega, višjega prispevka za energetsko učinkovitost, cena bencina povišala za 0,17 %, dizla pa za 0,18 %. </w:t>
      </w:r>
    </w:p>
    <w:p w:rsidR="006D799D" w:rsidRDefault="006D799D" w:rsidP="006D799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Cena utekočinjenega naftnega plina bi se z upoštevanjem novega prispevka znižala za 0,46 %.</w:t>
      </w:r>
    </w:p>
    <w:p w:rsidR="006D799D" w:rsidRDefault="006D799D" w:rsidP="006D799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Cena kurilnega olja se ne bi spremenila, ker višina prispevka v letu 2015 ostaja enaka.</w:t>
      </w:r>
    </w:p>
    <w:p w:rsidR="006D799D" w:rsidRDefault="006D799D" w:rsidP="006D799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Primerjava cen za električno energijo in zemeljski plin je prikazana za </w:t>
      </w:r>
      <w:r w:rsidR="00522E9D">
        <w:rPr>
          <w:rFonts w:ascii="Arial" w:eastAsia="Calibri" w:hAnsi="Arial" w:cs="Arial"/>
          <w:sz w:val="22"/>
          <w:szCs w:val="22"/>
          <w:lang w:eastAsia="en-US"/>
        </w:rPr>
        <w:t xml:space="preserve">značilne statistične </w:t>
      </w:r>
      <w:r>
        <w:rPr>
          <w:rFonts w:ascii="Arial" w:eastAsia="Calibri" w:hAnsi="Arial" w:cs="Arial"/>
          <w:sz w:val="22"/>
          <w:szCs w:val="22"/>
          <w:lang w:eastAsia="en-US"/>
        </w:rPr>
        <w:t xml:space="preserve">porabnike tipa </w:t>
      </w:r>
      <w:r w:rsidR="00522E9D">
        <w:rPr>
          <w:rFonts w:ascii="Arial" w:eastAsia="Calibri" w:hAnsi="Arial" w:cs="Arial"/>
          <w:sz w:val="22"/>
          <w:szCs w:val="22"/>
          <w:lang w:eastAsia="en-US"/>
        </w:rPr>
        <w:t>DC</w:t>
      </w:r>
      <w:r w:rsidR="00522E9D" w:rsidRPr="00522E9D">
        <w:t xml:space="preserve"> </w:t>
      </w:r>
      <w:r w:rsidR="00522E9D">
        <w:t>(</w:t>
      </w:r>
      <w:r w:rsidR="00522E9D" w:rsidRPr="00522E9D">
        <w:rPr>
          <w:rFonts w:ascii="Arial" w:eastAsia="Calibri" w:hAnsi="Arial" w:cs="Arial"/>
          <w:sz w:val="22"/>
          <w:szCs w:val="22"/>
          <w:lang w:eastAsia="en-US"/>
        </w:rPr>
        <w:t>letna poraba od 2.500 kWh do manj kot 5.000 kWh</w:t>
      </w:r>
      <w:r w:rsidR="00522E9D">
        <w:rPr>
          <w:rFonts w:ascii="Arial" w:eastAsia="Calibri" w:hAnsi="Arial" w:cs="Arial"/>
          <w:sz w:val="22"/>
          <w:szCs w:val="22"/>
          <w:lang w:eastAsia="en-US"/>
        </w:rPr>
        <w:t>) in IC (</w:t>
      </w:r>
      <w:r w:rsidR="00522E9D" w:rsidRPr="00522E9D">
        <w:rPr>
          <w:rFonts w:ascii="Arial" w:eastAsia="Calibri" w:hAnsi="Arial" w:cs="Arial"/>
          <w:sz w:val="22"/>
          <w:szCs w:val="22"/>
          <w:lang w:eastAsia="en-US"/>
        </w:rPr>
        <w:t>letna poraba od 500 MWh do manj kot 2.000 MWh</w:t>
      </w:r>
      <w:r w:rsidR="00522E9D">
        <w:rPr>
          <w:rFonts w:ascii="Arial" w:eastAsia="Calibri" w:hAnsi="Arial" w:cs="Arial"/>
          <w:sz w:val="22"/>
          <w:szCs w:val="22"/>
          <w:lang w:eastAsia="en-US"/>
        </w:rPr>
        <w:t>) za električno energijo ter D2 (</w:t>
      </w:r>
      <w:r w:rsidR="00522E9D" w:rsidRPr="00522E9D">
        <w:rPr>
          <w:rFonts w:ascii="Arial" w:eastAsia="Calibri" w:hAnsi="Arial" w:cs="Arial"/>
          <w:sz w:val="22"/>
          <w:szCs w:val="22"/>
          <w:lang w:eastAsia="en-US"/>
        </w:rPr>
        <w:t>letna poraba od 20 GJ do manj kot 200 GJ oz. 5287 Sm</w:t>
      </w:r>
      <w:r w:rsidR="00522E9D" w:rsidRPr="00522E9D">
        <w:rPr>
          <w:rFonts w:ascii="Arial" w:eastAsia="Calibri" w:hAnsi="Arial" w:cs="Arial"/>
          <w:sz w:val="22"/>
          <w:szCs w:val="22"/>
          <w:vertAlign w:val="superscript"/>
          <w:lang w:eastAsia="en-US"/>
        </w:rPr>
        <w:t>3</w:t>
      </w:r>
      <w:r w:rsidR="00522E9D">
        <w:rPr>
          <w:rFonts w:ascii="Arial" w:eastAsia="Calibri" w:hAnsi="Arial" w:cs="Arial"/>
          <w:sz w:val="22"/>
          <w:szCs w:val="22"/>
          <w:lang w:eastAsia="en-US"/>
        </w:rPr>
        <w:t>) in I3 (</w:t>
      </w:r>
      <w:r w:rsidR="00522E9D" w:rsidRPr="00522E9D">
        <w:rPr>
          <w:rFonts w:ascii="Arial" w:eastAsia="Calibri" w:hAnsi="Arial" w:cs="Arial"/>
          <w:sz w:val="22"/>
          <w:szCs w:val="22"/>
          <w:lang w:eastAsia="en-US"/>
        </w:rPr>
        <w:t>letna poraba od 10000 GJ do manj kot 100000 GJ oz. 2643489 Sm</w:t>
      </w:r>
      <w:r w:rsidR="00522E9D" w:rsidRPr="00522E9D">
        <w:rPr>
          <w:rFonts w:ascii="Arial" w:eastAsia="Calibri" w:hAnsi="Arial" w:cs="Arial"/>
          <w:sz w:val="22"/>
          <w:szCs w:val="22"/>
          <w:vertAlign w:val="superscript"/>
          <w:lang w:eastAsia="en-US"/>
        </w:rPr>
        <w:t>3</w:t>
      </w:r>
      <w:r w:rsidR="00522E9D">
        <w:rPr>
          <w:rFonts w:ascii="Arial" w:eastAsia="Calibri" w:hAnsi="Arial" w:cs="Arial"/>
          <w:sz w:val="22"/>
          <w:szCs w:val="22"/>
          <w:lang w:eastAsia="en-US"/>
        </w:rPr>
        <w:t>) za zemeljski plin.</w:t>
      </w:r>
    </w:p>
    <w:p w:rsidR="00522E9D" w:rsidRDefault="00522E9D" w:rsidP="006D799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Za navedene porabnike bi se ob upoštevanju novega prispevka za leto 2015 cena znižala, pri električni energijo za 0,15 do 0,24 %, pri zemeljskem plinu pa za 0,36 do 0,44 %.</w:t>
      </w:r>
    </w:p>
    <w:p w:rsidR="006D799D" w:rsidRPr="006D799D" w:rsidRDefault="00522E9D" w:rsidP="006D799D">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V okviru javne obravnave je bilo s strani gospodarstva več predlogov, da se podjetja vključena v emisijsko trgovanje izključi iz obveznosti plačevanja prispevka za URE, kot je bilo to do sedaj. To ni mogoče, ker energetski zakon EZ-1 določa, da je obremenjena vsaka enota porabljen energije, brez izjem. To določilo pa je v zakonu zato, ker se tudi obveznost po 7. členu direktive nanaša na vso porabljeno energijo. Direktiva sicer omogoča odpustke v višini 25</w:t>
      </w:r>
      <w:r w:rsidR="00E039EE">
        <w:rPr>
          <w:rFonts w:ascii="Arial" w:eastAsia="Calibri" w:hAnsi="Arial" w:cs="Arial"/>
          <w:sz w:val="22"/>
          <w:szCs w:val="22"/>
          <w:lang w:eastAsia="en-US"/>
        </w:rPr>
        <w:t xml:space="preserve"> </w:t>
      </w:r>
      <w:r>
        <w:rPr>
          <w:rFonts w:ascii="Arial" w:eastAsia="Calibri" w:hAnsi="Arial" w:cs="Arial"/>
          <w:sz w:val="22"/>
          <w:szCs w:val="22"/>
          <w:lang w:eastAsia="en-US"/>
        </w:rPr>
        <w:t>% cilja, vendar te odpustke uveljavljamo že iz naslova postopnega povečevanja obveznosti dobaviteljev energije ter za prihranke energije v sistemih daljinskega ogrevanja. Ta odločitev je bila sprejeta zato, ker je v Sloveniji trg energetskih storitev relativno slabo razvit, zato je obveznost doseganja obremenitve distributerjev postopna, in v sistemih daljinskega ogrevanja so veliki potenciali za doseganje prihrankov energije. Tudi v industriji so veliki potenciali, še posebej z vidika, da je v Sloveniji delež energetsko intenzivne industrije med največjimi v EU, zato je smiselno, da je industrija vključena v mehanizem, saj prav ti potenciali predstavljajo priložnost tako za distributerje energije z vidika doseganja njihovih obveznosti, kot za industrijo z vidika izboljšanja energetske učinkovitosti, zniževanja stroškov in s tem izboljševanja njihove konkurenčnosti.</w:t>
      </w:r>
    </w:p>
    <w:p w:rsidR="00F32827" w:rsidRDefault="00F32827" w:rsidP="00F32827">
      <w:pPr>
        <w:suppressAutoHyphens w:val="0"/>
        <w:spacing w:after="200" w:line="288" w:lineRule="auto"/>
        <w:jc w:val="both"/>
        <w:rPr>
          <w:rFonts w:ascii="Arial" w:eastAsia="Calibri" w:hAnsi="Arial" w:cs="Arial"/>
          <w:sz w:val="22"/>
          <w:szCs w:val="22"/>
          <w:lang w:eastAsia="en-US"/>
        </w:rPr>
      </w:pPr>
    </w:p>
    <w:p w:rsidR="006D799D" w:rsidRDefault="006D799D" w:rsidP="00F32827">
      <w:pPr>
        <w:suppressAutoHyphens w:val="0"/>
        <w:spacing w:after="200" w:line="288" w:lineRule="auto"/>
        <w:jc w:val="both"/>
        <w:rPr>
          <w:rFonts w:ascii="Arial" w:eastAsia="Calibri" w:hAnsi="Arial" w:cs="Arial"/>
          <w:sz w:val="22"/>
          <w:szCs w:val="22"/>
          <w:lang w:eastAsia="en-US"/>
        </w:rPr>
        <w:sectPr w:rsidR="006D799D" w:rsidSect="00B22239">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pPr>
    </w:p>
    <w:p w:rsidR="00F32827" w:rsidRDefault="00F32827" w:rsidP="00FD2958">
      <w:pPr>
        <w:suppressAutoHyphens w:val="0"/>
        <w:spacing w:after="200" w:line="288" w:lineRule="auto"/>
        <w:rPr>
          <w:rFonts w:ascii="Arial" w:eastAsia="Calibri" w:hAnsi="Arial" w:cs="Arial"/>
          <w:i/>
          <w:sz w:val="20"/>
          <w:szCs w:val="22"/>
          <w:lang w:eastAsia="en-US"/>
        </w:rPr>
      </w:pPr>
      <w:r w:rsidRPr="00F32827">
        <w:rPr>
          <w:rFonts w:ascii="Arial" w:eastAsia="Calibri" w:hAnsi="Arial" w:cs="Arial"/>
          <w:i/>
          <w:sz w:val="20"/>
          <w:szCs w:val="22"/>
          <w:lang w:eastAsia="en-US"/>
        </w:rPr>
        <w:lastRenderedPageBreak/>
        <w:t xml:space="preserve">Tabela </w:t>
      </w:r>
      <w:r w:rsidR="006A42B1">
        <w:rPr>
          <w:rFonts w:ascii="Arial" w:eastAsia="Calibri" w:hAnsi="Arial" w:cs="Arial"/>
          <w:i/>
          <w:sz w:val="20"/>
          <w:szCs w:val="22"/>
          <w:lang w:eastAsia="en-US"/>
        </w:rPr>
        <w:t>6</w:t>
      </w:r>
      <w:r w:rsidRPr="00F32827">
        <w:rPr>
          <w:rFonts w:ascii="Arial" w:eastAsia="Calibri" w:hAnsi="Arial" w:cs="Arial"/>
          <w:i/>
          <w:sz w:val="20"/>
          <w:szCs w:val="22"/>
          <w:lang w:eastAsia="en-US"/>
        </w:rPr>
        <w:t>: Učinek novega prispevka na maloprodajne cene energentov</w:t>
      </w:r>
      <w:r>
        <w:rPr>
          <w:rFonts w:ascii="Arial" w:eastAsia="Calibri" w:hAnsi="Arial" w:cs="Arial"/>
          <w:i/>
          <w:sz w:val="20"/>
          <w:szCs w:val="22"/>
          <w:lang w:eastAsia="en-US"/>
        </w:rPr>
        <w:t xml:space="preserve"> </w:t>
      </w:r>
    </w:p>
    <w:tbl>
      <w:tblPr>
        <w:tblW w:w="0" w:type="auto"/>
        <w:tblInd w:w="55" w:type="dxa"/>
        <w:tblCellMar>
          <w:left w:w="70" w:type="dxa"/>
          <w:right w:w="70" w:type="dxa"/>
        </w:tblCellMar>
        <w:tblLook w:val="04A0" w:firstRow="1" w:lastRow="0" w:firstColumn="1" w:lastColumn="0" w:noHBand="0" w:noVBand="1"/>
      </w:tblPr>
      <w:tblGrid>
        <w:gridCol w:w="2283"/>
        <w:gridCol w:w="1276"/>
        <w:gridCol w:w="992"/>
        <w:gridCol w:w="1134"/>
        <w:gridCol w:w="1276"/>
        <w:gridCol w:w="1082"/>
        <w:gridCol w:w="1100"/>
        <w:gridCol w:w="1504"/>
        <w:gridCol w:w="1417"/>
        <w:gridCol w:w="1418"/>
        <w:gridCol w:w="1172"/>
      </w:tblGrid>
      <w:tr w:rsidR="006D799D" w:rsidRPr="006D799D" w:rsidTr="00522E9D">
        <w:trPr>
          <w:trHeight w:val="792"/>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Vrsta  energenta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Enota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Prodajna cena brez dajatev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Taksa CO</w:t>
            </w:r>
            <w:r w:rsidRPr="006D799D">
              <w:rPr>
                <w:rFonts w:ascii="Arial" w:hAnsi="Arial" w:cs="Arial"/>
                <w:b/>
                <w:bCs/>
                <w:sz w:val="18"/>
                <w:szCs w:val="18"/>
                <w:vertAlign w:val="subscript"/>
                <w:lang w:eastAsia="sl-SI"/>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trošarina</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stari prispevek</w:t>
            </w:r>
            <w:r>
              <w:rPr>
                <w:rFonts w:ascii="Arial" w:hAnsi="Arial" w:cs="Arial"/>
                <w:b/>
                <w:bCs/>
                <w:sz w:val="18"/>
                <w:szCs w:val="18"/>
                <w:lang w:eastAsia="sl-SI"/>
              </w:rPr>
              <w:t xml:space="preserve"> URE</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color w:val="FF0000"/>
                <w:sz w:val="18"/>
                <w:szCs w:val="18"/>
                <w:lang w:eastAsia="sl-SI"/>
              </w:rPr>
            </w:pPr>
            <w:r w:rsidRPr="006D799D">
              <w:rPr>
                <w:rFonts w:ascii="Arial" w:hAnsi="Arial" w:cs="Arial"/>
                <w:b/>
                <w:bCs/>
                <w:color w:val="FF0000"/>
                <w:sz w:val="18"/>
                <w:szCs w:val="18"/>
                <w:lang w:eastAsia="sl-SI"/>
              </w:rPr>
              <w:t xml:space="preserve">novi prispevek </w:t>
            </w:r>
            <w:r>
              <w:rPr>
                <w:rFonts w:ascii="Arial" w:hAnsi="Arial" w:cs="Arial"/>
                <w:b/>
                <w:bCs/>
                <w:color w:val="FF0000"/>
                <w:sz w:val="18"/>
                <w:szCs w:val="18"/>
                <w:lang w:eastAsia="sl-SI"/>
              </w:rPr>
              <w:t>URE</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prispevek za OVE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stara maloprodajna cena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nova maloprodajna cena</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color w:val="FF0000"/>
                <w:sz w:val="18"/>
                <w:szCs w:val="18"/>
                <w:lang w:eastAsia="sl-SI"/>
              </w:rPr>
            </w:pPr>
            <w:r w:rsidRPr="006D799D">
              <w:rPr>
                <w:rFonts w:ascii="Arial" w:hAnsi="Arial" w:cs="Arial"/>
                <w:b/>
                <w:bCs/>
                <w:color w:val="FF0000"/>
                <w:sz w:val="18"/>
                <w:szCs w:val="18"/>
                <w:lang w:eastAsia="sl-SI"/>
              </w:rPr>
              <w:t>sprememba cene</w:t>
            </w:r>
          </w:p>
        </w:tc>
      </w:tr>
      <w:tr w:rsidR="00522E9D" w:rsidRPr="006D799D" w:rsidTr="00522E9D">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Motorni bencin 95</w:t>
            </w:r>
            <w:r w:rsidRPr="006D799D">
              <w:rPr>
                <w:rFonts w:ascii="Arial" w:hAnsi="Arial" w:cs="Arial"/>
                <w:b/>
                <w:bCs/>
                <w:sz w:val="18"/>
                <w:szCs w:val="18"/>
                <w:vertAlign w:val="superscript"/>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EUR/l</w:t>
            </w:r>
          </w:p>
        </w:tc>
        <w:tc>
          <w:tcPr>
            <w:tcW w:w="992" w:type="dxa"/>
            <w:tcBorders>
              <w:top w:val="nil"/>
              <w:left w:val="nil"/>
              <w:bottom w:val="single" w:sz="4" w:space="0" w:color="auto"/>
              <w:right w:val="single" w:sz="4" w:space="0" w:color="auto"/>
            </w:tcBorders>
            <w:shd w:val="clear" w:color="000000" w:fill="FFFFFF"/>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0,55072</w:t>
            </w:r>
          </w:p>
        </w:tc>
        <w:tc>
          <w:tcPr>
            <w:tcW w:w="1134"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0,03456</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0,55339</w:t>
            </w:r>
          </w:p>
        </w:tc>
        <w:tc>
          <w:tcPr>
            <w:tcW w:w="1082"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0,00400</w:t>
            </w:r>
          </w:p>
        </w:tc>
        <w:tc>
          <w:tcPr>
            <w:tcW w:w="0" w:type="auto"/>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0,00600</w:t>
            </w:r>
          </w:p>
        </w:tc>
        <w:tc>
          <w:tcPr>
            <w:tcW w:w="1504"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0,00733</w:t>
            </w:r>
          </w:p>
        </w:tc>
        <w:tc>
          <w:tcPr>
            <w:tcW w:w="1417"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1,405</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100,17</w:t>
            </w:r>
          </w:p>
        </w:tc>
      </w:tr>
      <w:tr w:rsidR="00522E9D" w:rsidRPr="006D799D" w:rsidTr="00522E9D">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Motorni bencin 98</w:t>
            </w:r>
            <w:r w:rsidRPr="006D799D">
              <w:rPr>
                <w:rFonts w:ascii="Arial" w:hAnsi="Arial" w:cs="Arial"/>
                <w:b/>
                <w:bCs/>
                <w:sz w:val="18"/>
                <w:szCs w:val="18"/>
                <w:vertAlign w:val="superscript"/>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EUR/l</w:t>
            </w:r>
          </w:p>
        </w:tc>
        <w:tc>
          <w:tcPr>
            <w:tcW w:w="992" w:type="dxa"/>
            <w:tcBorders>
              <w:top w:val="nil"/>
              <w:left w:val="nil"/>
              <w:bottom w:val="single" w:sz="4" w:space="0" w:color="auto"/>
              <w:right w:val="single" w:sz="4" w:space="0" w:color="auto"/>
            </w:tcBorders>
            <w:shd w:val="clear" w:color="000000" w:fill="FFFFFF"/>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0,57613</w:t>
            </w:r>
          </w:p>
        </w:tc>
        <w:tc>
          <w:tcPr>
            <w:tcW w:w="1134"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0,03456</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0,55339</w:t>
            </w:r>
          </w:p>
        </w:tc>
        <w:tc>
          <w:tcPr>
            <w:tcW w:w="1082"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0,00400</w:t>
            </w:r>
          </w:p>
        </w:tc>
        <w:tc>
          <w:tcPr>
            <w:tcW w:w="0" w:type="auto"/>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0,00600</w:t>
            </w:r>
          </w:p>
        </w:tc>
        <w:tc>
          <w:tcPr>
            <w:tcW w:w="1504"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0,00733</w:t>
            </w:r>
          </w:p>
        </w:tc>
        <w:tc>
          <w:tcPr>
            <w:tcW w:w="1417"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1,434</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1,436</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100,17</w:t>
            </w:r>
          </w:p>
        </w:tc>
      </w:tr>
      <w:tr w:rsidR="00522E9D" w:rsidRPr="006D799D" w:rsidTr="00522E9D">
        <w:trPr>
          <w:trHeight w:val="34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Dizelsko gorivo</w:t>
            </w:r>
            <w:r w:rsidRPr="006D799D">
              <w:rPr>
                <w:rFonts w:ascii="Arial" w:hAnsi="Arial" w:cs="Arial"/>
                <w:b/>
                <w:bCs/>
                <w:sz w:val="18"/>
                <w:szCs w:val="18"/>
                <w:vertAlign w:val="superscript"/>
                <w:lang w:eastAsia="sl-SI"/>
              </w:rPr>
              <w:t>1</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EUR/l</w:t>
            </w:r>
          </w:p>
        </w:tc>
        <w:tc>
          <w:tcPr>
            <w:tcW w:w="992" w:type="dxa"/>
            <w:tcBorders>
              <w:top w:val="nil"/>
              <w:left w:val="nil"/>
              <w:bottom w:val="single" w:sz="4" w:space="0" w:color="auto"/>
              <w:right w:val="single" w:sz="4" w:space="0" w:color="auto"/>
            </w:tcBorders>
            <w:shd w:val="clear" w:color="000000" w:fill="FFFFFF"/>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0,59402</w:t>
            </w:r>
          </w:p>
        </w:tc>
        <w:tc>
          <w:tcPr>
            <w:tcW w:w="1134"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0,03744</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0,45037</w:t>
            </w:r>
          </w:p>
        </w:tc>
        <w:tc>
          <w:tcPr>
            <w:tcW w:w="1082"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0,00200</w:t>
            </w:r>
          </w:p>
        </w:tc>
        <w:tc>
          <w:tcPr>
            <w:tcW w:w="0" w:type="auto"/>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0,00400</w:t>
            </w:r>
          </w:p>
        </w:tc>
        <w:tc>
          <w:tcPr>
            <w:tcW w:w="1504"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0,00797</w:t>
            </w:r>
          </w:p>
        </w:tc>
        <w:tc>
          <w:tcPr>
            <w:tcW w:w="1417"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1,332</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1,334</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100,18</w:t>
            </w:r>
          </w:p>
        </w:tc>
      </w:tr>
      <w:tr w:rsidR="00522E9D" w:rsidRPr="006D799D" w:rsidTr="00522E9D">
        <w:trPr>
          <w:trHeight w:val="31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UNP - Avtoplin</w:t>
            </w:r>
            <w:r w:rsidRPr="006D799D">
              <w:rPr>
                <w:rFonts w:ascii="Arial" w:hAnsi="Arial" w:cs="Arial"/>
                <w:b/>
                <w:bCs/>
                <w:sz w:val="18"/>
                <w:szCs w:val="18"/>
                <w:vertAlign w:val="superscript"/>
                <w:lang w:eastAsia="sl-SI"/>
              </w:rPr>
              <w:t>2</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EUR/l</w:t>
            </w:r>
          </w:p>
        </w:tc>
        <w:tc>
          <w:tcPr>
            <w:tcW w:w="99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0,51545</w:t>
            </w:r>
          </w:p>
        </w:tc>
        <w:tc>
          <w:tcPr>
            <w:tcW w:w="113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0,00000</w:t>
            </w:r>
          </w:p>
        </w:tc>
        <w:tc>
          <w:tcPr>
            <w:tcW w:w="1276"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0,07277</w:t>
            </w:r>
          </w:p>
        </w:tc>
        <w:tc>
          <w:tcPr>
            <w:tcW w:w="108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0,01199</w:t>
            </w:r>
          </w:p>
        </w:tc>
        <w:tc>
          <w:tcPr>
            <w:tcW w:w="0" w:type="auto"/>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b/>
                <w:bCs/>
                <w:color w:val="000000"/>
                <w:sz w:val="18"/>
                <w:szCs w:val="18"/>
                <w:lang w:eastAsia="sl-SI"/>
              </w:rPr>
            </w:pPr>
            <w:r w:rsidRPr="006D799D">
              <w:rPr>
                <w:rFonts w:ascii="Arial" w:hAnsi="Arial" w:cs="Arial"/>
                <w:b/>
                <w:bCs/>
                <w:color w:val="000000"/>
                <w:sz w:val="18"/>
                <w:szCs w:val="18"/>
                <w:lang w:eastAsia="sl-SI"/>
              </w:rPr>
              <w:t>0,0091</w:t>
            </w:r>
          </w:p>
        </w:tc>
        <w:tc>
          <w:tcPr>
            <w:tcW w:w="150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0,01454</w:t>
            </w:r>
          </w:p>
        </w:tc>
        <w:tc>
          <w:tcPr>
            <w:tcW w:w="1417"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0,750</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0,7465</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99,54</w:t>
            </w:r>
          </w:p>
        </w:tc>
      </w:tr>
      <w:tr w:rsidR="006D799D" w:rsidRPr="006D799D" w:rsidTr="00522E9D">
        <w:trPr>
          <w:trHeight w:val="10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Električna energija</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992"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energija</w:t>
            </w:r>
          </w:p>
        </w:tc>
        <w:tc>
          <w:tcPr>
            <w:tcW w:w="1134"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uporaba omrežja</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xml:space="preserve"> dajatve brez dodatka za URE</w:t>
            </w:r>
            <w:r w:rsidRPr="006D799D">
              <w:rPr>
                <w:rFonts w:ascii="Arial" w:hAnsi="Arial" w:cs="Arial"/>
                <w:b/>
                <w:bCs/>
                <w:sz w:val="18"/>
                <w:szCs w:val="18"/>
                <w:vertAlign w:val="superscript"/>
                <w:lang w:eastAsia="sl-SI"/>
              </w:rPr>
              <w:t>5</w:t>
            </w:r>
          </w:p>
        </w:tc>
        <w:tc>
          <w:tcPr>
            <w:tcW w:w="1082"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color w:val="FF0000"/>
                <w:sz w:val="18"/>
                <w:szCs w:val="18"/>
                <w:lang w:eastAsia="sl-SI"/>
              </w:rPr>
            </w:pPr>
            <w:r w:rsidRPr="006D799D">
              <w:rPr>
                <w:rFonts w:ascii="Arial" w:hAnsi="Arial" w:cs="Arial"/>
                <w:b/>
                <w:bCs/>
                <w:color w:val="FF0000"/>
                <w:sz w:val="18"/>
                <w:szCs w:val="18"/>
                <w:lang w:eastAsia="sl-SI"/>
              </w:rPr>
              <w:t> </w:t>
            </w:r>
          </w:p>
        </w:tc>
        <w:tc>
          <w:tcPr>
            <w:tcW w:w="1504"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trošarina</w:t>
            </w:r>
          </w:p>
        </w:tc>
        <w:tc>
          <w:tcPr>
            <w:tcW w:w="1417"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1172"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color w:val="FF0000"/>
                <w:sz w:val="18"/>
                <w:szCs w:val="18"/>
                <w:lang w:eastAsia="sl-SI"/>
              </w:rPr>
            </w:pPr>
            <w:r w:rsidRPr="006D799D">
              <w:rPr>
                <w:rFonts w:ascii="Arial" w:hAnsi="Arial" w:cs="Arial"/>
                <w:b/>
                <w:bCs/>
                <w:color w:val="FF0000"/>
                <w:sz w:val="18"/>
                <w:szCs w:val="18"/>
                <w:lang w:eastAsia="sl-SI"/>
              </w:rPr>
              <w:t> </w:t>
            </w:r>
          </w:p>
        </w:tc>
      </w:tr>
      <w:tr w:rsidR="00522E9D" w:rsidRPr="006D799D" w:rsidTr="00522E9D">
        <w:trPr>
          <w:trHeight w:val="31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0"/>
              <w:rPr>
                <w:rFonts w:ascii="Arial" w:hAnsi="Arial" w:cs="Arial"/>
                <w:sz w:val="18"/>
                <w:szCs w:val="18"/>
                <w:lang w:eastAsia="sl-SI"/>
              </w:rPr>
            </w:pPr>
            <w:r w:rsidRPr="006D799D">
              <w:rPr>
                <w:rFonts w:ascii="Arial" w:hAnsi="Arial" w:cs="Arial"/>
                <w:sz w:val="18"/>
                <w:szCs w:val="18"/>
                <w:lang w:eastAsia="sl-SI"/>
              </w:rPr>
              <w:t>Gospodinjski odjem DC</w:t>
            </w:r>
            <w:r w:rsidRPr="006D799D">
              <w:rPr>
                <w:rFonts w:ascii="Arial" w:hAnsi="Arial" w:cs="Arial"/>
                <w:sz w:val="18"/>
                <w:szCs w:val="18"/>
                <w:vertAlign w:val="superscript"/>
                <w:lang w:eastAsia="sl-SI"/>
              </w:rPr>
              <w:t>3</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EUR/MWh</w:t>
            </w:r>
          </w:p>
        </w:tc>
        <w:tc>
          <w:tcPr>
            <w:tcW w:w="99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58,43</w:t>
            </w:r>
          </w:p>
        </w:tc>
        <w:tc>
          <w:tcPr>
            <w:tcW w:w="113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56,77</w:t>
            </w:r>
          </w:p>
        </w:tc>
        <w:tc>
          <w:tcPr>
            <w:tcW w:w="1276"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15,290</w:t>
            </w:r>
          </w:p>
        </w:tc>
        <w:tc>
          <w:tcPr>
            <w:tcW w:w="108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0,500</w:t>
            </w:r>
          </w:p>
        </w:tc>
        <w:tc>
          <w:tcPr>
            <w:tcW w:w="0" w:type="auto"/>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0,300</w:t>
            </w:r>
          </w:p>
        </w:tc>
        <w:tc>
          <w:tcPr>
            <w:tcW w:w="150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3,05</w:t>
            </w:r>
          </w:p>
        </w:tc>
        <w:tc>
          <w:tcPr>
            <w:tcW w:w="1417"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163,53</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163,28</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99,85</w:t>
            </w:r>
          </w:p>
        </w:tc>
      </w:tr>
      <w:tr w:rsidR="00522E9D" w:rsidRPr="006D799D" w:rsidTr="00522E9D">
        <w:trPr>
          <w:trHeight w:val="31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0"/>
              <w:rPr>
                <w:rFonts w:ascii="Arial" w:hAnsi="Arial" w:cs="Arial"/>
                <w:sz w:val="18"/>
                <w:szCs w:val="18"/>
                <w:lang w:eastAsia="sl-SI"/>
              </w:rPr>
            </w:pPr>
            <w:r w:rsidRPr="006D799D">
              <w:rPr>
                <w:rFonts w:ascii="Arial" w:hAnsi="Arial" w:cs="Arial"/>
                <w:sz w:val="18"/>
                <w:szCs w:val="18"/>
                <w:lang w:eastAsia="sl-SI"/>
              </w:rPr>
              <w:t>Industrijski odjem IC</w:t>
            </w:r>
            <w:r w:rsidRPr="006D799D">
              <w:rPr>
                <w:rFonts w:ascii="Arial" w:hAnsi="Arial" w:cs="Arial"/>
                <w:sz w:val="18"/>
                <w:szCs w:val="18"/>
                <w:vertAlign w:val="superscript"/>
                <w:lang w:eastAsia="sl-SI"/>
              </w:rPr>
              <w:t>4</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EUR/MWh</w:t>
            </w:r>
          </w:p>
        </w:tc>
        <w:tc>
          <w:tcPr>
            <w:tcW w:w="99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52,97</w:t>
            </w:r>
          </w:p>
        </w:tc>
        <w:tc>
          <w:tcPr>
            <w:tcW w:w="113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19,03</w:t>
            </w:r>
          </w:p>
        </w:tc>
        <w:tc>
          <w:tcPr>
            <w:tcW w:w="1276"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7,71</w:t>
            </w:r>
          </w:p>
        </w:tc>
        <w:tc>
          <w:tcPr>
            <w:tcW w:w="108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0,500</w:t>
            </w:r>
          </w:p>
        </w:tc>
        <w:tc>
          <w:tcPr>
            <w:tcW w:w="0" w:type="auto"/>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0,300</w:t>
            </w:r>
          </w:p>
        </w:tc>
        <w:tc>
          <w:tcPr>
            <w:tcW w:w="150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3,05</w:t>
            </w:r>
          </w:p>
        </w:tc>
        <w:tc>
          <w:tcPr>
            <w:tcW w:w="1417"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101,58</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101,33</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99,76</w:t>
            </w:r>
          </w:p>
        </w:tc>
      </w:tr>
      <w:tr w:rsidR="006D799D" w:rsidRPr="006D799D" w:rsidTr="00522E9D">
        <w:trPr>
          <w:trHeight w:val="8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Zemeljski plin</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992"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plin</w:t>
            </w:r>
          </w:p>
        </w:tc>
        <w:tc>
          <w:tcPr>
            <w:tcW w:w="1134"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uporaba omrežja</w:t>
            </w:r>
          </w:p>
        </w:tc>
        <w:tc>
          <w:tcPr>
            <w:tcW w:w="1276"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dajatve brez dodatka za URE</w:t>
            </w:r>
            <w:r w:rsidRPr="006D799D">
              <w:rPr>
                <w:rFonts w:ascii="Arial" w:hAnsi="Arial" w:cs="Arial"/>
                <w:b/>
                <w:bCs/>
                <w:sz w:val="18"/>
                <w:szCs w:val="18"/>
                <w:vertAlign w:val="superscript"/>
                <w:lang w:eastAsia="sl-SI"/>
              </w:rPr>
              <w:t>8</w:t>
            </w:r>
          </w:p>
        </w:tc>
        <w:tc>
          <w:tcPr>
            <w:tcW w:w="1082"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color w:val="FF0000"/>
                <w:sz w:val="18"/>
                <w:szCs w:val="18"/>
                <w:lang w:eastAsia="sl-SI"/>
              </w:rPr>
            </w:pPr>
            <w:r w:rsidRPr="006D799D">
              <w:rPr>
                <w:rFonts w:ascii="Arial" w:hAnsi="Arial" w:cs="Arial"/>
                <w:b/>
                <w:bCs/>
                <w:color w:val="FF0000"/>
                <w:sz w:val="18"/>
                <w:szCs w:val="18"/>
                <w:lang w:eastAsia="sl-SI"/>
              </w:rPr>
              <w:t> </w:t>
            </w:r>
          </w:p>
        </w:tc>
        <w:tc>
          <w:tcPr>
            <w:tcW w:w="1504"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trošarina</w:t>
            </w:r>
          </w:p>
        </w:tc>
        <w:tc>
          <w:tcPr>
            <w:tcW w:w="1417"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sz w:val="18"/>
                <w:szCs w:val="18"/>
                <w:lang w:eastAsia="sl-SI"/>
              </w:rPr>
            </w:pPr>
            <w:r w:rsidRPr="006D799D">
              <w:rPr>
                <w:rFonts w:ascii="Arial" w:hAnsi="Arial" w:cs="Arial"/>
                <w:b/>
                <w:bCs/>
                <w:sz w:val="18"/>
                <w:szCs w:val="18"/>
                <w:lang w:eastAsia="sl-SI"/>
              </w:rPr>
              <w:t> </w:t>
            </w:r>
          </w:p>
        </w:tc>
        <w:tc>
          <w:tcPr>
            <w:tcW w:w="1172" w:type="dxa"/>
            <w:tcBorders>
              <w:top w:val="nil"/>
              <w:left w:val="nil"/>
              <w:bottom w:val="single" w:sz="4" w:space="0" w:color="auto"/>
              <w:right w:val="single" w:sz="4" w:space="0" w:color="auto"/>
            </w:tcBorders>
            <w:shd w:val="clear" w:color="auto" w:fill="auto"/>
            <w:vAlign w:val="center"/>
            <w:hideMark/>
          </w:tcPr>
          <w:p w:rsidR="006D799D" w:rsidRPr="006D799D" w:rsidRDefault="006D799D" w:rsidP="006D799D">
            <w:pPr>
              <w:suppressAutoHyphens w:val="0"/>
              <w:jc w:val="center"/>
              <w:rPr>
                <w:rFonts w:ascii="Arial" w:hAnsi="Arial" w:cs="Arial"/>
                <w:b/>
                <w:bCs/>
                <w:color w:val="FF0000"/>
                <w:sz w:val="18"/>
                <w:szCs w:val="18"/>
                <w:lang w:eastAsia="sl-SI"/>
              </w:rPr>
            </w:pPr>
            <w:r w:rsidRPr="006D799D">
              <w:rPr>
                <w:rFonts w:ascii="Arial" w:hAnsi="Arial" w:cs="Arial"/>
                <w:b/>
                <w:bCs/>
                <w:color w:val="FF0000"/>
                <w:sz w:val="18"/>
                <w:szCs w:val="18"/>
                <w:lang w:eastAsia="sl-SI"/>
              </w:rPr>
              <w:t> </w:t>
            </w:r>
          </w:p>
        </w:tc>
      </w:tr>
      <w:tr w:rsidR="00522E9D" w:rsidRPr="006D799D" w:rsidTr="00522E9D">
        <w:trPr>
          <w:trHeight w:val="31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0"/>
              <w:rPr>
                <w:rFonts w:ascii="Arial" w:hAnsi="Arial" w:cs="Arial"/>
                <w:sz w:val="18"/>
                <w:szCs w:val="18"/>
                <w:lang w:eastAsia="sl-SI"/>
              </w:rPr>
            </w:pPr>
            <w:r w:rsidRPr="006D799D">
              <w:rPr>
                <w:rFonts w:ascii="Arial" w:hAnsi="Arial" w:cs="Arial"/>
                <w:sz w:val="18"/>
                <w:szCs w:val="18"/>
                <w:lang w:eastAsia="sl-SI"/>
              </w:rPr>
              <w:t>Gospodinjski odjem D2</w:t>
            </w:r>
            <w:r w:rsidRPr="006D799D">
              <w:rPr>
                <w:rFonts w:ascii="Arial" w:hAnsi="Arial" w:cs="Arial"/>
                <w:sz w:val="18"/>
                <w:szCs w:val="18"/>
                <w:vertAlign w:val="superscript"/>
                <w:lang w:eastAsia="sl-SI"/>
              </w:rPr>
              <w:t>6</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EUR/Sm</w:t>
            </w:r>
            <w:r w:rsidRPr="006D799D">
              <w:rPr>
                <w:rFonts w:ascii="Arial" w:hAnsi="Arial" w:cs="Arial"/>
                <w:b/>
                <w:bCs/>
                <w:sz w:val="18"/>
                <w:szCs w:val="18"/>
                <w:vertAlign w:val="superscript"/>
                <w:lang w:eastAsia="sl-SI"/>
              </w:rPr>
              <w:t>3</w:t>
            </w:r>
          </w:p>
        </w:tc>
        <w:tc>
          <w:tcPr>
            <w:tcW w:w="99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0,3523</w:t>
            </w:r>
          </w:p>
        </w:tc>
        <w:tc>
          <w:tcPr>
            <w:tcW w:w="113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0,1572</w:t>
            </w:r>
          </w:p>
        </w:tc>
        <w:tc>
          <w:tcPr>
            <w:tcW w:w="1276"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0,0285</w:t>
            </w:r>
          </w:p>
        </w:tc>
        <w:tc>
          <w:tcPr>
            <w:tcW w:w="108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0,0050</w:t>
            </w:r>
          </w:p>
        </w:tc>
        <w:tc>
          <w:tcPr>
            <w:tcW w:w="0" w:type="auto"/>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0,0030</w:t>
            </w:r>
          </w:p>
        </w:tc>
        <w:tc>
          <w:tcPr>
            <w:tcW w:w="150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0,0184</w:t>
            </w:r>
          </w:p>
        </w:tc>
        <w:tc>
          <w:tcPr>
            <w:tcW w:w="1417"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0,6849</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0,6825</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99,64</w:t>
            </w:r>
          </w:p>
        </w:tc>
      </w:tr>
      <w:tr w:rsidR="00522E9D" w:rsidRPr="006D799D" w:rsidTr="00522E9D">
        <w:trPr>
          <w:trHeight w:val="31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0"/>
              <w:rPr>
                <w:rFonts w:ascii="Arial" w:hAnsi="Arial" w:cs="Arial"/>
                <w:sz w:val="18"/>
                <w:szCs w:val="18"/>
                <w:lang w:eastAsia="sl-SI"/>
              </w:rPr>
            </w:pPr>
            <w:r w:rsidRPr="006D799D">
              <w:rPr>
                <w:rFonts w:ascii="Arial" w:hAnsi="Arial" w:cs="Arial"/>
                <w:sz w:val="18"/>
                <w:szCs w:val="18"/>
                <w:lang w:eastAsia="sl-SI"/>
              </w:rPr>
              <w:t>Industrijski odjem I3</w:t>
            </w:r>
            <w:r w:rsidRPr="006D799D">
              <w:rPr>
                <w:rFonts w:ascii="Arial" w:hAnsi="Arial" w:cs="Arial"/>
                <w:sz w:val="18"/>
                <w:szCs w:val="18"/>
                <w:vertAlign w:val="superscript"/>
                <w:lang w:eastAsia="sl-SI"/>
              </w:rPr>
              <w:t>7</w:t>
            </w:r>
          </w:p>
        </w:tc>
        <w:tc>
          <w:tcPr>
            <w:tcW w:w="1276"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ind w:firstLineChars="100" w:firstLine="181"/>
              <w:rPr>
                <w:rFonts w:ascii="Arial" w:hAnsi="Arial" w:cs="Arial"/>
                <w:b/>
                <w:bCs/>
                <w:sz w:val="18"/>
                <w:szCs w:val="18"/>
                <w:lang w:eastAsia="sl-SI"/>
              </w:rPr>
            </w:pPr>
            <w:r w:rsidRPr="006D799D">
              <w:rPr>
                <w:rFonts w:ascii="Arial" w:hAnsi="Arial" w:cs="Arial"/>
                <w:b/>
                <w:bCs/>
                <w:sz w:val="18"/>
                <w:szCs w:val="18"/>
                <w:lang w:eastAsia="sl-SI"/>
              </w:rPr>
              <w:t>EUR/Sm</w:t>
            </w:r>
            <w:r w:rsidR="00E039EE">
              <w:rPr>
                <w:rFonts w:ascii="Arial" w:hAnsi="Arial" w:cs="Arial"/>
                <w:b/>
                <w:bCs/>
                <w:sz w:val="18"/>
                <w:szCs w:val="18"/>
                <w:vertAlign w:val="superscript"/>
                <w:lang w:eastAsia="sl-SI"/>
              </w:rPr>
              <w:t>3</w:t>
            </w:r>
          </w:p>
        </w:tc>
        <w:tc>
          <w:tcPr>
            <w:tcW w:w="99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0,3155</w:t>
            </w:r>
          </w:p>
        </w:tc>
        <w:tc>
          <w:tcPr>
            <w:tcW w:w="113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0,0861</w:t>
            </w:r>
          </w:p>
        </w:tc>
        <w:tc>
          <w:tcPr>
            <w:tcW w:w="1276"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0,0285</w:t>
            </w:r>
          </w:p>
        </w:tc>
        <w:tc>
          <w:tcPr>
            <w:tcW w:w="1082"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0,0050</w:t>
            </w:r>
          </w:p>
        </w:tc>
        <w:tc>
          <w:tcPr>
            <w:tcW w:w="0" w:type="auto"/>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b/>
                <w:bCs/>
                <w:sz w:val="18"/>
                <w:szCs w:val="18"/>
                <w:lang w:eastAsia="sl-SI"/>
              </w:rPr>
            </w:pPr>
            <w:r w:rsidRPr="006D799D">
              <w:rPr>
                <w:rFonts w:ascii="Arial" w:hAnsi="Arial" w:cs="Arial"/>
                <w:b/>
                <w:bCs/>
                <w:sz w:val="18"/>
                <w:szCs w:val="18"/>
                <w:lang w:eastAsia="sl-SI"/>
              </w:rPr>
              <w:t>0,0030</w:t>
            </w:r>
          </w:p>
        </w:tc>
        <w:tc>
          <w:tcPr>
            <w:tcW w:w="1504"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0,0184</w:t>
            </w:r>
          </w:p>
        </w:tc>
        <w:tc>
          <w:tcPr>
            <w:tcW w:w="1417" w:type="dxa"/>
            <w:tcBorders>
              <w:top w:val="nil"/>
              <w:left w:val="nil"/>
              <w:bottom w:val="single" w:sz="4" w:space="0" w:color="auto"/>
              <w:right w:val="single" w:sz="4" w:space="0" w:color="auto"/>
            </w:tcBorders>
            <w:shd w:val="clear" w:color="auto" w:fill="auto"/>
            <w:noWrap/>
            <w:vAlign w:val="bottom"/>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0,5533</w:t>
            </w:r>
          </w:p>
        </w:tc>
        <w:tc>
          <w:tcPr>
            <w:tcW w:w="1418" w:type="dxa"/>
            <w:tcBorders>
              <w:top w:val="nil"/>
              <w:left w:val="nil"/>
              <w:bottom w:val="single" w:sz="4" w:space="0" w:color="auto"/>
              <w:right w:val="single" w:sz="4" w:space="0" w:color="auto"/>
            </w:tcBorders>
            <w:shd w:val="clear" w:color="auto" w:fill="auto"/>
            <w:noWrap/>
            <w:vAlign w:val="center"/>
            <w:hideMark/>
          </w:tcPr>
          <w:p w:rsidR="006D799D" w:rsidRPr="006D799D" w:rsidRDefault="006D799D" w:rsidP="006D799D">
            <w:pPr>
              <w:suppressAutoHyphens w:val="0"/>
              <w:jc w:val="right"/>
              <w:rPr>
                <w:rFonts w:ascii="Arial" w:hAnsi="Arial" w:cs="Arial"/>
                <w:sz w:val="18"/>
                <w:szCs w:val="18"/>
                <w:lang w:eastAsia="sl-SI"/>
              </w:rPr>
            </w:pPr>
            <w:r w:rsidRPr="006D799D">
              <w:rPr>
                <w:rFonts w:ascii="Arial" w:hAnsi="Arial" w:cs="Arial"/>
                <w:sz w:val="18"/>
                <w:szCs w:val="18"/>
                <w:lang w:eastAsia="sl-SI"/>
              </w:rPr>
              <w:t>0,5508</w:t>
            </w:r>
          </w:p>
        </w:tc>
        <w:tc>
          <w:tcPr>
            <w:tcW w:w="1172" w:type="dxa"/>
            <w:tcBorders>
              <w:top w:val="nil"/>
              <w:left w:val="nil"/>
              <w:bottom w:val="single" w:sz="4" w:space="0" w:color="auto"/>
              <w:right w:val="single" w:sz="4" w:space="0" w:color="auto"/>
            </w:tcBorders>
            <w:shd w:val="clear" w:color="000000" w:fill="FFFF00"/>
            <w:noWrap/>
            <w:vAlign w:val="bottom"/>
            <w:hideMark/>
          </w:tcPr>
          <w:p w:rsidR="006D799D" w:rsidRPr="006D799D" w:rsidRDefault="006D799D" w:rsidP="006D799D">
            <w:pPr>
              <w:suppressAutoHyphens w:val="0"/>
              <w:jc w:val="right"/>
              <w:rPr>
                <w:rFonts w:ascii="Arial" w:hAnsi="Arial" w:cs="Arial"/>
                <w:color w:val="000000"/>
                <w:sz w:val="18"/>
                <w:szCs w:val="18"/>
                <w:lang w:eastAsia="sl-SI"/>
              </w:rPr>
            </w:pPr>
            <w:r w:rsidRPr="006D799D">
              <w:rPr>
                <w:rFonts w:ascii="Arial" w:hAnsi="Arial" w:cs="Arial"/>
                <w:color w:val="000000"/>
                <w:sz w:val="18"/>
                <w:szCs w:val="18"/>
                <w:lang w:eastAsia="sl-SI"/>
              </w:rPr>
              <w:t>99,56</w:t>
            </w:r>
          </w:p>
        </w:tc>
      </w:tr>
    </w:tbl>
    <w:p w:rsidR="00B22239" w:rsidRDefault="00B22239">
      <w:pPr>
        <w:suppressAutoHyphens w:val="0"/>
        <w:rPr>
          <w:rFonts w:ascii="Arial" w:eastAsia="Calibri" w:hAnsi="Arial" w:cs="Arial"/>
          <w:sz w:val="22"/>
          <w:szCs w:val="22"/>
          <w:lang w:eastAsia="en-US"/>
        </w:rPr>
      </w:pPr>
    </w:p>
    <w:tbl>
      <w:tblPr>
        <w:tblW w:w="6816" w:type="dxa"/>
        <w:tblInd w:w="438" w:type="dxa"/>
        <w:tblCellMar>
          <w:left w:w="70" w:type="dxa"/>
          <w:right w:w="70" w:type="dxa"/>
        </w:tblCellMar>
        <w:tblLook w:val="04A0" w:firstRow="1" w:lastRow="0" w:firstColumn="1" w:lastColumn="0" w:noHBand="0" w:noVBand="1"/>
      </w:tblPr>
      <w:tblGrid>
        <w:gridCol w:w="6816"/>
      </w:tblGrid>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1 cene za obdobje 25.11.2014 do 8.12.2014</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2 veljavnost od 22.09.2014</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3</w:t>
            </w:r>
            <w:r w:rsidRPr="00237317">
              <w:rPr>
                <w:rFonts w:ascii="Arial" w:hAnsi="Arial" w:cs="Arial"/>
                <w:color w:val="000000"/>
                <w:sz w:val="12"/>
                <w:szCs w:val="12"/>
                <w:lang w:eastAsia="sl-SI"/>
              </w:rPr>
              <w:t xml:space="preserve"> DC - letna poraba od 2.500 kWh do manj kot 5.000 kWh, cene za 2. kvartal 2014</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4</w:t>
            </w:r>
            <w:r w:rsidRPr="00237317">
              <w:rPr>
                <w:rFonts w:ascii="Arial" w:hAnsi="Arial" w:cs="Arial"/>
                <w:color w:val="000000"/>
                <w:sz w:val="12"/>
                <w:szCs w:val="12"/>
                <w:lang w:eastAsia="sl-SI"/>
              </w:rPr>
              <w:t xml:space="preserve"> IC - letna poraba od 500 MWh do manj kot 2.000 MWh, cene za 2. kvartal 2014</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5</w:t>
            </w:r>
            <w:r w:rsidRPr="00237317">
              <w:rPr>
                <w:rFonts w:ascii="Arial" w:hAnsi="Arial" w:cs="Arial"/>
                <w:color w:val="000000"/>
                <w:sz w:val="12"/>
                <w:szCs w:val="12"/>
                <w:vertAlign w:val="superscript"/>
                <w:lang w:eastAsia="sl-SI"/>
              </w:rPr>
              <w:t xml:space="preserve"> </w:t>
            </w:r>
            <w:r w:rsidRPr="00237317">
              <w:rPr>
                <w:rFonts w:ascii="Arial" w:hAnsi="Arial" w:cs="Arial"/>
                <w:color w:val="000000"/>
                <w:sz w:val="12"/>
                <w:szCs w:val="12"/>
                <w:lang w:eastAsia="sl-SI"/>
              </w:rPr>
              <w:t>dajatve vključujejo: dodatka k omrežnini (Agencija in Borzen), prispevek OVE+SPTE</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6 D2 - letna poraba od 20 GJ do manj kot 200 GJ oz. 5287 Sm3 (GVC), cene za 2. kvartal 2014</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7 I3 - letna poraba od 10000 GJ do manj kot 100000 GJ oz. 2643489 Sm3 (GVC), cene za 2. kvartal 2014</w:t>
            </w:r>
          </w:p>
        </w:tc>
      </w:tr>
      <w:tr w:rsidR="00237317" w:rsidRPr="00237317" w:rsidTr="00237317">
        <w:trPr>
          <w:trHeight w:val="265"/>
        </w:trPr>
        <w:tc>
          <w:tcPr>
            <w:tcW w:w="6816" w:type="dxa"/>
            <w:tcBorders>
              <w:top w:val="nil"/>
              <w:left w:val="nil"/>
              <w:bottom w:val="nil"/>
              <w:right w:val="nil"/>
            </w:tcBorders>
            <w:shd w:val="clear" w:color="auto" w:fill="auto"/>
            <w:noWrap/>
            <w:vAlign w:val="center"/>
            <w:hideMark/>
          </w:tcPr>
          <w:p w:rsidR="00237317" w:rsidRPr="00237317" w:rsidRDefault="00237317" w:rsidP="00237317">
            <w:pPr>
              <w:suppressAutoHyphens w:val="0"/>
              <w:ind w:firstLineChars="100" w:firstLine="120"/>
              <w:rPr>
                <w:rFonts w:ascii="Arial CE" w:hAnsi="Arial CE"/>
                <w:sz w:val="12"/>
                <w:szCs w:val="12"/>
                <w:lang w:eastAsia="sl-SI"/>
              </w:rPr>
            </w:pPr>
            <w:r w:rsidRPr="00237317">
              <w:rPr>
                <w:rFonts w:ascii="Arial CE" w:hAnsi="Arial CE"/>
                <w:sz w:val="12"/>
                <w:szCs w:val="12"/>
                <w:lang w:eastAsia="sl-SI"/>
              </w:rPr>
              <w:t>8</w:t>
            </w:r>
            <w:r w:rsidRPr="00237317">
              <w:rPr>
                <w:rFonts w:ascii="Arial" w:hAnsi="Arial" w:cs="Arial"/>
                <w:color w:val="000000"/>
                <w:sz w:val="12"/>
                <w:szCs w:val="12"/>
                <w:lang w:eastAsia="sl-SI"/>
              </w:rPr>
              <w:t xml:space="preserve"> dajatve vključujejo:  prispevek OVE+SPTE in takso CO2</w:t>
            </w:r>
          </w:p>
        </w:tc>
      </w:tr>
    </w:tbl>
    <w:p w:rsidR="00237317" w:rsidRDefault="00237317">
      <w:pPr>
        <w:suppressAutoHyphens w:val="0"/>
        <w:rPr>
          <w:rFonts w:ascii="Arial" w:eastAsia="Calibri" w:hAnsi="Arial" w:cs="Arial"/>
          <w:sz w:val="22"/>
          <w:szCs w:val="22"/>
          <w:lang w:eastAsia="en-US"/>
        </w:rPr>
        <w:sectPr w:rsidR="00237317" w:rsidSect="00B22239">
          <w:headerReference w:type="default" r:id="rId15"/>
          <w:footerReference w:type="default" r:id="rId16"/>
          <w:headerReference w:type="first" r:id="rId17"/>
          <w:footerReference w:type="first" r:id="rId18"/>
          <w:footnotePr>
            <w:pos w:val="beneathText"/>
          </w:footnotePr>
          <w:pgSz w:w="16837" w:h="11905" w:orient="landscape" w:code="9"/>
          <w:pgMar w:top="1134" w:right="1134" w:bottom="1134" w:left="1134" w:header="482" w:footer="567" w:gutter="0"/>
          <w:cols w:space="708"/>
          <w:titlePg/>
          <w:docGrid w:linePitch="360"/>
        </w:sectPr>
      </w:pPr>
    </w:p>
    <w:p w:rsidR="00B22239" w:rsidRDefault="00B22239">
      <w:pPr>
        <w:suppressAutoHyphens w:val="0"/>
        <w:rPr>
          <w:rFonts w:ascii="Arial" w:eastAsia="Calibri" w:hAnsi="Arial" w:cs="Arial"/>
          <w:sz w:val="22"/>
          <w:szCs w:val="22"/>
          <w:lang w:eastAsia="en-US"/>
        </w:rPr>
      </w:pPr>
    </w:p>
    <w:p w:rsidR="00485E07" w:rsidRDefault="00485E07" w:rsidP="00484C2F">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Predlagani mehanizmi </w:t>
      </w:r>
      <w:r w:rsidR="005B6A64">
        <w:rPr>
          <w:rFonts w:ascii="Arial" w:eastAsia="Calibri" w:hAnsi="Arial" w:cs="Arial"/>
          <w:sz w:val="22"/>
          <w:szCs w:val="22"/>
          <w:lang w:eastAsia="en-US"/>
        </w:rPr>
        <w:t xml:space="preserve">tako za industrijo </w:t>
      </w:r>
      <w:r>
        <w:rPr>
          <w:rFonts w:ascii="Arial" w:eastAsia="Calibri" w:hAnsi="Arial" w:cs="Arial"/>
          <w:sz w:val="22"/>
          <w:szCs w:val="22"/>
          <w:lang w:eastAsia="en-US"/>
        </w:rPr>
        <w:t xml:space="preserve">niso pristranski, saj dobavitelji energije ukrepe učinkovite rabe energije izvajajo </w:t>
      </w:r>
      <w:r w:rsidR="005B6A64">
        <w:rPr>
          <w:rFonts w:ascii="Arial" w:eastAsia="Calibri" w:hAnsi="Arial" w:cs="Arial"/>
          <w:sz w:val="22"/>
          <w:szCs w:val="22"/>
          <w:lang w:eastAsia="en-US"/>
        </w:rPr>
        <w:t xml:space="preserve">predvsem </w:t>
      </w:r>
      <w:r w:rsidR="00FA47C8">
        <w:rPr>
          <w:rFonts w:ascii="Arial" w:eastAsia="Calibri" w:hAnsi="Arial" w:cs="Arial"/>
          <w:sz w:val="22"/>
          <w:szCs w:val="22"/>
          <w:lang w:eastAsia="en-US"/>
        </w:rPr>
        <w:t>v gospodarskem sektorju (</w:t>
      </w:r>
      <w:r>
        <w:rPr>
          <w:rFonts w:ascii="Arial" w:eastAsia="Calibri" w:hAnsi="Arial" w:cs="Arial"/>
          <w:sz w:val="22"/>
          <w:szCs w:val="22"/>
          <w:lang w:eastAsia="en-US"/>
        </w:rPr>
        <w:t>v letu 2013 v višini 78</w:t>
      </w:r>
      <w:r w:rsidR="00E039EE">
        <w:rPr>
          <w:rFonts w:ascii="Arial" w:eastAsia="Calibri" w:hAnsi="Arial" w:cs="Arial"/>
          <w:sz w:val="22"/>
          <w:szCs w:val="22"/>
          <w:lang w:eastAsia="en-US"/>
        </w:rPr>
        <w:t xml:space="preserve"> </w:t>
      </w:r>
      <w:r>
        <w:rPr>
          <w:rFonts w:ascii="Arial" w:eastAsia="Calibri" w:hAnsi="Arial" w:cs="Arial"/>
          <w:sz w:val="22"/>
          <w:szCs w:val="22"/>
          <w:lang w:eastAsia="en-US"/>
        </w:rPr>
        <w:t xml:space="preserve">%; v gospodarstvo je bilo vloženih 2,7 mio EUR za spodbude v učinkovito rabo energije). </w:t>
      </w:r>
      <w:r w:rsidR="003E2246">
        <w:rPr>
          <w:rFonts w:ascii="Arial" w:eastAsia="Calibri" w:hAnsi="Arial" w:cs="Arial"/>
          <w:sz w:val="22"/>
          <w:szCs w:val="22"/>
          <w:lang w:eastAsia="en-US"/>
        </w:rPr>
        <w:t xml:space="preserve">Namreč podatki kažejo, da so v gospodarstvu specifični stroški teh ukrepov (EUR/MWh) med najnižjimi (med temi še posebej energetski pregledi in monitoring ter upravljanje z energijo). </w:t>
      </w:r>
    </w:p>
    <w:p w:rsidR="006A0DCE" w:rsidRDefault="00A26854" w:rsidP="00484C2F">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Glede industrije vključene v emisijsko trgovanje ETS, ki porabi približno 15</w:t>
      </w:r>
      <w:r w:rsidR="00E039EE">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164B97">
        <w:rPr>
          <w:rFonts w:ascii="Arial" w:eastAsia="Calibri" w:hAnsi="Arial" w:cs="Arial"/>
          <w:sz w:val="22"/>
          <w:szCs w:val="22"/>
          <w:lang w:eastAsia="en-US"/>
        </w:rPr>
        <w:t xml:space="preserve">vse </w:t>
      </w:r>
      <w:r>
        <w:rPr>
          <w:rFonts w:ascii="Arial" w:eastAsia="Calibri" w:hAnsi="Arial" w:cs="Arial"/>
          <w:sz w:val="22"/>
          <w:szCs w:val="22"/>
          <w:lang w:eastAsia="en-US"/>
        </w:rPr>
        <w:t>energije</w:t>
      </w:r>
      <w:r w:rsidR="006A0DCE">
        <w:rPr>
          <w:rFonts w:ascii="Arial" w:eastAsia="Calibri" w:hAnsi="Arial" w:cs="Arial"/>
          <w:sz w:val="22"/>
          <w:szCs w:val="22"/>
          <w:lang w:eastAsia="en-US"/>
        </w:rPr>
        <w:t xml:space="preserve"> </w:t>
      </w:r>
      <w:r w:rsidR="00164B97">
        <w:rPr>
          <w:rFonts w:ascii="Arial" w:eastAsia="Calibri" w:hAnsi="Arial" w:cs="Arial"/>
          <w:sz w:val="22"/>
          <w:szCs w:val="22"/>
          <w:lang w:eastAsia="en-US"/>
        </w:rPr>
        <w:t>porabljene v državi</w:t>
      </w:r>
      <w:r>
        <w:rPr>
          <w:rFonts w:ascii="Arial" w:eastAsia="Calibri" w:hAnsi="Arial" w:cs="Arial"/>
          <w:sz w:val="22"/>
          <w:szCs w:val="22"/>
          <w:lang w:eastAsia="en-US"/>
        </w:rPr>
        <w:t xml:space="preserve">, bo po grobih ocenah obremenitev na letni ravni za vsa ta podjetja v višini </w:t>
      </w:r>
      <w:r w:rsidR="00164B97">
        <w:rPr>
          <w:rFonts w:ascii="Arial" w:eastAsia="Calibri" w:hAnsi="Arial" w:cs="Arial"/>
          <w:sz w:val="22"/>
          <w:szCs w:val="22"/>
          <w:lang w:eastAsia="en-US"/>
        </w:rPr>
        <w:t xml:space="preserve">okrog </w:t>
      </w:r>
      <w:r w:rsidR="00E039EE">
        <w:rPr>
          <w:rFonts w:ascii="Arial" w:eastAsia="Calibri" w:hAnsi="Arial" w:cs="Arial"/>
          <w:sz w:val="22"/>
          <w:szCs w:val="22"/>
          <w:lang w:eastAsia="en-US"/>
        </w:rPr>
        <w:t>3</w:t>
      </w:r>
      <w:r>
        <w:rPr>
          <w:rFonts w:ascii="Arial" w:eastAsia="Calibri" w:hAnsi="Arial" w:cs="Arial"/>
          <w:sz w:val="22"/>
          <w:szCs w:val="22"/>
          <w:lang w:eastAsia="en-US"/>
        </w:rPr>
        <w:t xml:space="preserve"> mio EUR. </w:t>
      </w:r>
      <w:r w:rsidR="00C442FB">
        <w:rPr>
          <w:rFonts w:ascii="Arial" w:eastAsia="Calibri" w:hAnsi="Arial" w:cs="Arial"/>
          <w:sz w:val="22"/>
          <w:szCs w:val="22"/>
          <w:lang w:eastAsia="en-US"/>
        </w:rPr>
        <w:t xml:space="preserve">Izjeme oz. izvzetje ETS sektorja iz plačevanja prispevka ni možno, ker so obveznosti po direktivi določene na vso rabo energije in zato tudi Energetski zakon tega ne dopušča. Da </w:t>
      </w:r>
      <w:r w:rsidR="0011374B">
        <w:rPr>
          <w:rFonts w:ascii="Arial" w:eastAsia="Calibri" w:hAnsi="Arial" w:cs="Arial"/>
          <w:sz w:val="22"/>
          <w:szCs w:val="22"/>
          <w:lang w:eastAsia="en-US"/>
        </w:rPr>
        <w:t xml:space="preserve">pa </w:t>
      </w:r>
      <w:r w:rsidR="00C442FB">
        <w:rPr>
          <w:rFonts w:ascii="Arial" w:eastAsia="Calibri" w:hAnsi="Arial" w:cs="Arial"/>
          <w:sz w:val="22"/>
          <w:szCs w:val="22"/>
          <w:lang w:eastAsia="en-US"/>
        </w:rPr>
        <w:t xml:space="preserve">bi olajšali to obremenitev, </w:t>
      </w:r>
      <w:r w:rsidR="006A0DCE">
        <w:rPr>
          <w:rFonts w:ascii="Arial" w:eastAsia="Calibri" w:hAnsi="Arial" w:cs="Arial"/>
          <w:sz w:val="22"/>
          <w:szCs w:val="22"/>
          <w:lang w:eastAsia="en-US"/>
        </w:rPr>
        <w:t xml:space="preserve">je </w:t>
      </w:r>
      <w:r w:rsidR="006A0DCE" w:rsidRPr="006A0DCE">
        <w:rPr>
          <w:rFonts w:ascii="Arial" w:eastAsia="Calibri" w:hAnsi="Arial" w:cs="Arial"/>
          <w:sz w:val="22"/>
          <w:szCs w:val="22"/>
          <w:lang w:eastAsia="en-US"/>
        </w:rPr>
        <w:t xml:space="preserve">v prehodni določbi </w:t>
      </w:r>
      <w:r w:rsidR="006A0DCE">
        <w:rPr>
          <w:rFonts w:ascii="Arial" w:eastAsia="Calibri" w:hAnsi="Arial" w:cs="Arial"/>
          <w:sz w:val="22"/>
          <w:szCs w:val="22"/>
          <w:lang w:eastAsia="en-US"/>
        </w:rPr>
        <w:t>določeno</w:t>
      </w:r>
      <w:r w:rsidR="006A0DCE" w:rsidRPr="006A0DCE">
        <w:rPr>
          <w:rFonts w:ascii="Arial" w:eastAsia="Calibri" w:hAnsi="Arial" w:cs="Arial"/>
          <w:sz w:val="22"/>
          <w:szCs w:val="22"/>
          <w:lang w:eastAsia="en-US"/>
        </w:rPr>
        <w:t xml:space="preserve">, da se bo prispevek na električno energijo in zemeljski plin v letu 2015 glede na leto 2014 zmanjšal. </w:t>
      </w:r>
    </w:p>
    <w:p w:rsidR="00C442FB" w:rsidRDefault="00C442FB" w:rsidP="00484C2F">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Uredba predvideva postopno povečevanje prispevka na električno energijo in </w:t>
      </w:r>
      <w:r w:rsidR="006A0DCE">
        <w:rPr>
          <w:rFonts w:ascii="Arial" w:eastAsia="Calibri" w:hAnsi="Arial" w:cs="Arial"/>
          <w:sz w:val="22"/>
          <w:szCs w:val="22"/>
          <w:lang w:eastAsia="en-US"/>
        </w:rPr>
        <w:t xml:space="preserve">zemeljski </w:t>
      </w:r>
      <w:r>
        <w:rPr>
          <w:rFonts w:ascii="Arial" w:eastAsia="Calibri" w:hAnsi="Arial" w:cs="Arial"/>
          <w:sz w:val="22"/>
          <w:szCs w:val="22"/>
          <w:lang w:eastAsia="en-US"/>
        </w:rPr>
        <w:t>plin</w:t>
      </w:r>
      <w:r w:rsidR="006A0DCE" w:rsidRPr="006A0DCE">
        <w:rPr>
          <w:rFonts w:ascii="Arial" w:eastAsia="Calibri" w:hAnsi="Arial" w:cs="Arial"/>
          <w:sz w:val="22"/>
          <w:szCs w:val="22"/>
          <w:lang w:eastAsia="en-US"/>
        </w:rPr>
        <w:t xml:space="preserve"> </w:t>
      </w:r>
      <w:r>
        <w:rPr>
          <w:rFonts w:ascii="Arial" w:eastAsia="Calibri" w:hAnsi="Arial" w:cs="Arial"/>
          <w:sz w:val="22"/>
          <w:szCs w:val="22"/>
          <w:lang w:eastAsia="en-US"/>
        </w:rPr>
        <w:t>kot ene</w:t>
      </w:r>
      <w:r w:rsidR="0011374B">
        <w:rPr>
          <w:rFonts w:ascii="Arial" w:eastAsia="Calibri" w:hAnsi="Arial" w:cs="Arial"/>
          <w:sz w:val="22"/>
          <w:szCs w:val="22"/>
          <w:lang w:eastAsia="en-US"/>
        </w:rPr>
        <w:t xml:space="preserve">rgenta, ki se največ uporabljata v energetsko intenzivnih panogah. Tako bo obremenitev industrije v 2015 </w:t>
      </w:r>
      <w:r w:rsidR="006A0DCE">
        <w:rPr>
          <w:rFonts w:ascii="Arial" w:eastAsia="Calibri" w:hAnsi="Arial" w:cs="Arial"/>
          <w:sz w:val="22"/>
          <w:szCs w:val="22"/>
          <w:lang w:eastAsia="en-US"/>
        </w:rPr>
        <w:t xml:space="preserve">glede na leto </w:t>
      </w:r>
      <w:r w:rsidR="0011374B">
        <w:rPr>
          <w:rFonts w:ascii="Arial" w:eastAsia="Calibri" w:hAnsi="Arial" w:cs="Arial"/>
          <w:sz w:val="22"/>
          <w:szCs w:val="22"/>
          <w:lang w:eastAsia="en-US"/>
        </w:rPr>
        <w:t xml:space="preserve">2017 manjša </w:t>
      </w:r>
      <w:r w:rsidR="006A0DCE">
        <w:rPr>
          <w:rFonts w:ascii="Arial" w:eastAsia="Calibri" w:hAnsi="Arial" w:cs="Arial"/>
          <w:sz w:val="22"/>
          <w:szCs w:val="22"/>
          <w:lang w:eastAsia="en-US"/>
        </w:rPr>
        <w:t>za 62,5 %, v letu 2016 pa za 25 % glede na leto 2017</w:t>
      </w:r>
      <w:r w:rsidR="0011374B">
        <w:rPr>
          <w:rFonts w:ascii="Arial" w:eastAsia="Calibri" w:hAnsi="Arial" w:cs="Arial"/>
          <w:sz w:val="22"/>
          <w:szCs w:val="22"/>
          <w:lang w:eastAsia="en-US"/>
        </w:rPr>
        <w:t xml:space="preserve">. </w:t>
      </w:r>
    </w:p>
    <w:p w:rsidR="00F873E9" w:rsidRPr="00484C2F" w:rsidRDefault="00C442FB" w:rsidP="00484C2F">
      <w:pPr>
        <w:suppressAutoHyphens w:val="0"/>
        <w:spacing w:after="20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Poleg tega </w:t>
      </w:r>
      <w:r w:rsidR="00040081">
        <w:rPr>
          <w:rFonts w:ascii="Arial" w:eastAsia="Calibri" w:hAnsi="Arial" w:cs="Arial"/>
          <w:sz w:val="22"/>
          <w:szCs w:val="22"/>
          <w:lang w:eastAsia="en-US"/>
        </w:rPr>
        <w:t xml:space="preserve">bo </w:t>
      </w:r>
      <w:r>
        <w:rPr>
          <w:rFonts w:ascii="Arial" w:eastAsia="Calibri" w:hAnsi="Arial" w:cs="Arial"/>
          <w:sz w:val="22"/>
          <w:szCs w:val="22"/>
          <w:lang w:eastAsia="en-US"/>
        </w:rPr>
        <w:t>s</w:t>
      </w:r>
      <w:r w:rsidR="00040081">
        <w:rPr>
          <w:rFonts w:ascii="Arial" w:eastAsia="Calibri" w:hAnsi="Arial" w:cs="Arial"/>
          <w:sz w:val="22"/>
          <w:szCs w:val="22"/>
          <w:lang w:eastAsia="en-US"/>
        </w:rPr>
        <w:t xml:space="preserve">trošek </w:t>
      </w:r>
      <w:r>
        <w:rPr>
          <w:rFonts w:ascii="Arial" w:eastAsia="Calibri" w:hAnsi="Arial" w:cs="Arial"/>
          <w:sz w:val="22"/>
          <w:szCs w:val="22"/>
          <w:lang w:eastAsia="en-US"/>
        </w:rPr>
        <w:t xml:space="preserve">zaradi prispevka URE </w:t>
      </w:r>
      <w:r w:rsidR="00040081">
        <w:rPr>
          <w:rFonts w:ascii="Arial" w:eastAsia="Calibri" w:hAnsi="Arial" w:cs="Arial"/>
          <w:sz w:val="22"/>
          <w:szCs w:val="22"/>
          <w:lang w:eastAsia="en-US"/>
        </w:rPr>
        <w:t xml:space="preserve">podjetjem lahko v celoti povrnjen, saj bodo </w:t>
      </w:r>
      <w:r w:rsidR="00A12B16">
        <w:rPr>
          <w:rFonts w:ascii="Arial" w:eastAsia="Calibri" w:hAnsi="Arial" w:cs="Arial"/>
          <w:sz w:val="22"/>
          <w:szCs w:val="22"/>
          <w:lang w:eastAsia="en-US"/>
        </w:rPr>
        <w:t>dobavitelji</w:t>
      </w:r>
      <w:r w:rsidR="00A26854">
        <w:rPr>
          <w:rFonts w:ascii="Arial" w:eastAsia="Calibri" w:hAnsi="Arial" w:cs="Arial"/>
          <w:sz w:val="22"/>
          <w:szCs w:val="22"/>
          <w:lang w:eastAsia="en-US"/>
        </w:rPr>
        <w:t xml:space="preserve"> energije </w:t>
      </w:r>
      <w:r w:rsidR="00040081">
        <w:rPr>
          <w:rFonts w:ascii="Arial" w:eastAsia="Calibri" w:hAnsi="Arial" w:cs="Arial"/>
          <w:sz w:val="22"/>
          <w:szCs w:val="22"/>
          <w:lang w:eastAsia="en-US"/>
        </w:rPr>
        <w:t xml:space="preserve">ob upoštevanju njihovega </w:t>
      </w:r>
      <w:r w:rsidR="00A26854">
        <w:rPr>
          <w:rFonts w:ascii="Arial" w:eastAsia="Calibri" w:hAnsi="Arial" w:cs="Arial"/>
          <w:sz w:val="22"/>
          <w:szCs w:val="22"/>
          <w:lang w:eastAsia="en-US"/>
        </w:rPr>
        <w:t>sp</w:t>
      </w:r>
      <w:r w:rsidR="000A5074">
        <w:rPr>
          <w:rFonts w:ascii="Arial" w:eastAsia="Calibri" w:hAnsi="Arial" w:cs="Arial"/>
          <w:sz w:val="22"/>
          <w:szCs w:val="22"/>
          <w:lang w:eastAsia="en-US"/>
        </w:rPr>
        <w:t>e</w:t>
      </w:r>
      <w:r w:rsidR="00A26854">
        <w:rPr>
          <w:rFonts w:ascii="Arial" w:eastAsia="Calibri" w:hAnsi="Arial" w:cs="Arial"/>
          <w:sz w:val="22"/>
          <w:szCs w:val="22"/>
          <w:lang w:eastAsia="en-US"/>
        </w:rPr>
        <w:t>c</w:t>
      </w:r>
      <w:r w:rsidR="000A5074">
        <w:rPr>
          <w:rFonts w:ascii="Arial" w:eastAsia="Calibri" w:hAnsi="Arial" w:cs="Arial"/>
          <w:sz w:val="22"/>
          <w:szCs w:val="22"/>
          <w:lang w:eastAsia="en-US"/>
        </w:rPr>
        <w:t>i</w:t>
      </w:r>
      <w:r w:rsidR="00A26854">
        <w:rPr>
          <w:rFonts w:ascii="Arial" w:eastAsia="Calibri" w:hAnsi="Arial" w:cs="Arial"/>
          <w:sz w:val="22"/>
          <w:szCs w:val="22"/>
          <w:lang w:eastAsia="en-US"/>
        </w:rPr>
        <w:t>fičn</w:t>
      </w:r>
      <w:r w:rsidR="00040081">
        <w:rPr>
          <w:rFonts w:ascii="Arial" w:eastAsia="Calibri" w:hAnsi="Arial" w:cs="Arial"/>
          <w:sz w:val="22"/>
          <w:szCs w:val="22"/>
          <w:lang w:eastAsia="en-US"/>
        </w:rPr>
        <w:t>ega</w:t>
      </w:r>
      <w:r w:rsidR="00A26854">
        <w:rPr>
          <w:rFonts w:ascii="Arial" w:eastAsia="Calibri" w:hAnsi="Arial" w:cs="Arial"/>
          <w:sz w:val="22"/>
          <w:szCs w:val="22"/>
          <w:lang w:eastAsia="en-US"/>
        </w:rPr>
        <w:t xml:space="preserve"> strošk</w:t>
      </w:r>
      <w:r w:rsidR="00040081">
        <w:rPr>
          <w:rFonts w:ascii="Arial" w:eastAsia="Calibri" w:hAnsi="Arial" w:cs="Arial"/>
          <w:sz w:val="22"/>
          <w:szCs w:val="22"/>
          <w:lang w:eastAsia="en-US"/>
        </w:rPr>
        <w:t>a</w:t>
      </w:r>
      <w:r w:rsidR="00A26854">
        <w:rPr>
          <w:rFonts w:ascii="Arial" w:eastAsia="Calibri" w:hAnsi="Arial" w:cs="Arial"/>
          <w:sz w:val="22"/>
          <w:szCs w:val="22"/>
          <w:lang w:eastAsia="en-US"/>
        </w:rPr>
        <w:t xml:space="preserve"> doseganja prihrankov energije in glede na njihove obveznosti v let</w:t>
      </w:r>
      <w:r w:rsidR="000A5074">
        <w:rPr>
          <w:rFonts w:ascii="Arial" w:eastAsia="Calibri" w:hAnsi="Arial" w:cs="Arial"/>
          <w:sz w:val="22"/>
          <w:szCs w:val="22"/>
          <w:lang w:eastAsia="en-US"/>
        </w:rPr>
        <w:t xml:space="preserve">u 2015 izvedli spodbude v investicije za učinkovito rabo energije v višini </w:t>
      </w:r>
      <w:r w:rsidR="00040081">
        <w:rPr>
          <w:rFonts w:ascii="Arial" w:eastAsia="Calibri" w:hAnsi="Arial" w:cs="Arial"/>
          <w:sz w:val="22"/>
          <w:szCs w:val="22"/>
          <w:lang w:eastAsia="en-US"/>
        </w:rPr>
        <w:t>6</w:t>
      </w:r>
      <w:r w:rsidR="000A5074">
        <w:rPr>
          <w:rFonts w:ascii="Arial" w:eastAsia="Calibri" w:hAnsi="Arial" w:cs="Arial"/>
          <w:sz w:val="22"/>
          <w:szCs w:val="22"/>
          <w:lang w:eastAsia="en-US"/>
        </w:rPr>
        <w:t xml:space="preserve"> mio EUR, v letih 2016 in 2017 v višini </w:t>
      </w:r>
      <w:r w:rsidR="00040081">
        <w:rPr>
          <w:rFonts w:ascii="Arial" w:eastAsia="Calibri" w:hAnsi="Arial" w:cs="Arial"/>
          <w:sz w:val="22"/>
          <w:szCs w:val="22"/>
          <w:lang w:eastAsia="en-US"/>
        </w:rPr>
        <w:t>9</w:t>
      </w:r>
      <w:r w:rsidR="000A5074">
        <w:rPr>
          <w:rFonts w:ascii="Arial" w:eastAsia="Calibri" w:hAnsi="Arial" w:cs="Arial"/>
          <w:sz w:val="22"/>
          <w:szCs w:val="22"/>
          <w:lang w:eastAsia="en-US"/>
        </w:rPr>
        <w:t xml:space="preserve"> mio EUR in potem preko </w:t>
      </w:r>
      <w:r w:rsidR="00FA47C8">
        <w:rPr>
          <w:rFonts w:ascii="Arial" w:eastAsia="Calibri" w:hAnsi="Arial" w:cs="Arial"/>
          <w:sz w:val="22"/>
          <w:szCs w:val="22"/>
          <w:lang w:eastAsia="en-US"/>
        </w:rPr>
        <w:t>1</w:t>
      </w:r>
      <w:r w:rsidR="00040081">
        <w:rPr>
          <w:rFonts w:ascii="Arial" w:eastAsia="Calibri" w:hAnsi="Arial" w:cs="Arial"/>
          <w:sz w:val="22"/>
          <w:szCs w:val="22"/>
          <w:lang w:eastAsia="en-US"/>
        </w:rPr>
        <w:t>3</w:t>
      </w:r>
      <w:r w:rsidR="000A5074">
        <w:rPr>
          <w:rFonts w:ascii="Arial" w:eastAsia="Calibri" w:hAnsi="Arial" w:cs="Arial"/>
          <w:sz w:val="22"/>
          <w:szCs w:val="22"/>
          <w:lang w:eastAsia="en-US"/>
        </w:rPr>
        <w:t xml:space="preserve"> mio EUR</w:t>
      </w:r>
      <w:r w:rsidR="00040081">
        <w:rPr>
          <w:rFonts w:ascii="Arial" w:eastAsia="Calibri" w:hAnsi="Arial" w:cs="Arial"/>
          <w:sz w:val="22"/>
          <w:szCs w:val="22"/>
          <w:lang w:eastAsia="en-US"/>
        </w:rPr>
        <w:t xml:space="preserve">. Industrija pa </w:t>
      </w:r>
      <w:r w:rsidR="000A5074">
        <w:rPr>
          <w:rFonts w:ascii="Arial" w:eastAsia="Calibri" w:hAnsi="Arial" w:cs="Arial"/>
          <w:sz w:val="22"/>
          <w:szCs w:val="22"/>
          <w:lang w:eastAsia="en-US"/>
        </w:rPr>
        <w:t>bo nedvomno eden ključnih prejemnikov teh spodbud</w:t>
      </w:r>
      <w:r w:rsidR="00040081">
        <w:rPr>
          <w:rFonts w:ascii="Arial" w:eastAsia="Calibri" w:hAnsi="Arial" w:cs="Arial"/>
          <w:sz w:val="22"/>
          <w:szCs w:val="22"/>
          <w:lang w:eastAsia="en-US"/>
        </w:rPr>
        <w:t xml:space="preserve">. S temi ukrepi bo dosežena učinkovitejša raba energije v podjetjih, kar bo na dolgi rok prineslo prihranke energije in pomembno prispevalo k konkurenčnosti industrije. </w:t>
      </w:r>
      <w:r w:rsidR="000A5074">
        <w:rPr>
          <w:rFonts w:ascii="Arial" w:eastAsia="Calibri" w:hAnsi="Arial" w:cs="Arial"/>
          <w:sz w:val="22"/>
          <w:szCs w:val="22"/>
          <w:lang w:eastAsia="en-US"/>
        </w:rPr>
        <w:t>Spodbude preko distributerjev tudi ne bodo predstavljale državne pomoči, tako da je to za industrijo dodatna olajšava oz. je ne omejuje pri koriščenju drugih mehanizmov spodbud. Za razbremenitev energetsko intenzivne industrije pa v prihodnje dodatno načrtujemo uvedbo prostovoljnih sporazumov, kar je zap</w:t>
      </w:r>
      <w:r w:rsidR="00D70AD8">
        <w:rPr>
          <w:rFonts w:ascii="Arial" w:eastAsia="Calibri" w:hAnsi="Arial" w:cs="Arial"/>
          <w:sz w:val="22"/>
          <w:szCs w:val="22"/>
          <w:lang w:eastAsia="en-US"/>
        </w:rPr>
        <w:t xml:space="preserve">isano tudi med ukrepi v okviru Akcijskega načrta za energetsko učinkovitost 2020, ki je trenutno </w:t>
      </w:r>
      <w:r w:rsidR="00A12B16">
        <w:rPr>
          <w:rFonts w:ascii="Arial" w:eastAsia="Calibri" w:hAnsi="Arial" w:cs="Arial"/>
          <w:sz w:val="22"/>
          <w:szCs w:val="22"/>
          <w:lang w:eastAsia="en-US"/>
        </w:rPr>
        <w:t>v medresorskem usklajevanju</w:t>
      </w:r>
      <w:r w:rsidR="00D70AD8">
        <w:rPr>
          <w:rFonts w:ascii="Arial" w:eastAsia="Calibri" w:hAnsi="Arial" w:cs="Arial"/>
          <w:sz w:val="22"/>
          <w:szCs w:val="22"/>
          <w:lang w:eastAsia="en-US"/>
        </w:rPr>
        <w:t xml:space="preserve">. </w:t>
      </w:r>
    </w:p>
    <w:p w:rsidR="003C68A7" w:rsidRDefault="00C01561" w:rsidP="003C68A7">
      <w:pPr>
        <w:suppressAutoHyphens w:val="0"/>
        <w:spacing w:before="60" w:after="6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Slovenija je za izpolnitev obveznosti </w:t>
      </w:r>
      <w:r w:rsidRPr="00C9672B">
        <w:rPr>
          <w:rFonts w:ascii="Arial" w:eastAsia="Calibri" w:hAnsi="Arial" w:cs="Arial"/>
          <w:sz w:val="22"/>
          <w:szCs w:val="22"/>
          <w:lang w:eastAsia="en-US"/>
        </w:rPr>
        <w:t>po 7</w:t>
      </w:r>
      <w:r>
        <w:rPr>
          <w:rFonts w:ascii="Arial" w:eastAsia="Calibri" w:hAnsi="Arial" w:cs="Arial"/>
          <w:sz w:val="22"/>
          <w:szCs w:val="22"/>
          <w:lang w:eastAsia="en-US"/>
        </w:rPr>
        <w:t>. členu</w:t>
      </w:r>
      <w:r w:rsidRPr="00C9672B">
        <w:rPr>
          <w:rFonts w:ascii="Arial" w:eastAsia="Calibri" w:hAnsi="Arial" w:cs="Arial"/>
          <w:sz w:val="22"/>
          <w:szCs w:val="22"/>
          <w:lang w:eastAsia="en-US"/>
        </w:rPr>
        <w:t xml:space="preserve"> Direktive </w:t>
      </w:r>
      <w:r>
        <w:rPr>
          <w:rFonts w:ascii="Arial" w:eastAsia="Calibri" w:hAnsi="Arial" w:cs="Arial"/>
          <w:sz w:val="22"/>
          <w:szCs w:val="22"/>
          <w:lang w:eastAsia="en-US"/>
        </w:rPr>
        <w:t>2012/27/EU izhajala tako, da smo upoštevali vse možne olajšave, ki so dopustne. Tako je iz cilja</w:t>
      </w:r>
      <w:r w:rsidR="00BA151E">
        <w:rPr>
          <w:rFonts w:ascii="Arial" w:eastAsia="Calibri" w:hAnsi="Arial" w:cs="Arial"/>
          <w:sz w:val="22"/>
          <w:szCs w:val="22"/>
          <w:lang w:eastAsia="en-US"/>
        </w:rPr>
        <w:t xml:space="preserve"> za izpolnitev te obveznosti izvezeta poraba energije v prometu.</w:t>
      </w:r>
      <w:r w:rsidR="004E0C32">
        <w:rPr>
          <w:rFonts w:ascii="Arial" w:eastAsia="Calibri" w:hAnsi="Arial" w:cs="Arial"/>
          <w:sz w:val="22"/>
          <w:szCs w:val="22"/>
          <w:lang w:eastAsia="en-US"/>
        </w:rPr>
        <w:t xml:space="preserve"> Na ta način je skladno z določbo drugega odstavka 7</w:t>
      </w:r>
      <w:r w:rsidR="003C68A7">
        <w:rPr>
          <w:rFonts w:ascii="Arial" w:eastAsia="Calibri" w:hAnsi="Arial" w:cs="Arial"/>
          <w:sz w:val="22"/>
          <w:szCs w:val="22"/>
          <w:lang w:eastAsia="en-US"/>
        </w:rPr>
        <w:t>. člena</w:t>
      </w:r>
      <w:r w:rsidR="004E0C32">
        <w:rPr>
          <w:rFonts w:ascii="Arial" w:eastAsia="Calibri" w:hAnsi="Arial" w:cs="Arial"/>
          <w:sz w:val="22"/>
          <w:szCs w:val="22"/>
          <w:lang w:eastAsia="en-US"/>
        </w:rPr>
        <w:t xml:space="preserve"> direktive</w:t>
      </w:r>
      <w:r w:rsidR="003C68A7">
        <w:rPr>
          <w:rFonts w:ascii="Arial" w:eastAsia="Calibri" w:hAnsi="Arial" w:cs="Arial"/>
          <w:sz w:val="22"/>
          <w:szCs w:val="22"/>
          <w:lang w:eastAsia="en-US"/>
        </w:rPr>
        <w:t xml:space="preserve"> 2012/27/EU</w:t>
      </w:r>
      <w:r w:rsidR="004E0C32">
        <w:rPr>
          <w:rFonts w:ascii="Arial" w:eastAsia="Calibri" w:hAnsi="Arial" w:cs="Arial"/>
          <w:sz w:val="22"/>
          <w:szCs w:val="22"/>
          <w:lang w:eastAsia="en-US"/>
        </w:rPr>
        <w:t xml:space="preserve"> zmanjšana obveznost na državnem nivoju. Zmanjšanje cilja </w:t>
      </w:r>
      <w:r w:rsidR="00A12B16">
        <w:rPr>
          <w:rFonts w:ascii="Arial" w:eastAsia="Calibri" w:hAnsi="Arial" w:cs="Arial"/>
          <w:sz w:val="22"/>
          <w:szCs w:val="22"/>
          <w:lang w:eastAsia="en-US"/>
        </w:rPr>
        <w:t xml:space="preserve">pa </w:t>
      </w:r>
      <w:r w:rsidR="004E0C32">
        <w:rPr>
          <w:rFonts w:ascii="Arial" w:eastAsia="Calibri" w:hAnsi="Arial" w:cs="Arial"/>
          <w:sz w:val="22"/>
          <w:szCs w:val="22"/>
          <w:lang w:eastAsia="en-US"/>
        </w:rPr>
        <w:t xml:space="preserve">ne pomeni, da so tekoča goriva oziroma dobavitelji tekočih goriv izvzeti iz obveznosti doseganja prihranka </w:t>
      </w:r>
      <w:r w:rsidR="003C68A7">
        <w:rPr>
          <w:rFonts w:ascii="Arial" w:eastAsia="Calibri" w:hAnsi="Arial" w:cs="Arial"/>
          <w:sz w:val="22"/>
          <w:szCs w:val="22"/>
          <w:lang w:eastAsia="en-US"/>
        </w:rPr>
        <w:t>energije pri končnih odjemalcih, ampak daje cilj za vse zavezance manjši.</w:t>
      </w:r>
    </w:p>
    <w:p w:rsidR="003C68A7" w:rsidRDefault="008F57B5" w:rsidP="003C68A7">
      <w:pPr>
        <w:suppressAutoHyphens w:val="0"/>
        <w:spacing w:before="60" w:after="60" w:line="288" w:lineRule="auto"/>
        <w:jc w:val="both"/>
        <w:rPr>
          <w:rFonts w:ascii="Arial" w:eastAsia="Calibri" w:hAnsi="Arial" w:cs="Arial"/>
          <w:sz w:val="22"/>
          <w:szCs w:val="22"/>
          <w:lang w:eastAsia="en-US"/>
        </w:rPr>
      </w:pPr>
      <w:r w:rsidRPr="008F57B5">
        <w:rPr>
          <w:rFonts w:ascii="Arial" w:eastAsia="Calibri" w:hAnsi="Arial" w:cs="Arial"/>
          <w:sz w:val="22"/>
          <w:szCs w:val="22"/>
          <w:lang w:eastAsia="en-US"/>
        </w:rPr>
        <w:t xml:space="preserve">Ker pa bo raba energije v prometu še </w:t>
      </w:r>
      <w:r w:rsidR="003C68A7" w:rsidRPr="003C68A7">
        <w:rPr>
          <w:rFonts w:ascii="Arial" w:eastAsia="Calibri" w:hAnsi="Arial" w:cs="Arial"/>
          <w:sz w:val="22"/>
          <w:szCs w:val="22"/>
          <w:lang w:eastAsia="en-US"/>
        </w:rPr>
        <w:t>nadalje naraščala, po projekcijah za 13</w:t>
      </w:r>
      <w:r w:rsidR="000E31FC">
        <w:rPr>
          <w:rFonts w:ascii="Arial" w:eastAsia="Calibri" w:hAnsi="Arial" w:cs="Arial"/>
          <w:sz w:val="22"/>
          <w:szCs w:val="22"/>
          <w:lang w:eastAsia="en-US"/>
        </w:rPr>
        <w:t xml:space="preserve"> </w:t>
      </w:r>
      <w:r w:rsidR="003C68A7" w:rsidRPr="003C68A7">
        <w:rPr>
          <w:rFonts w:ascii="Arial" w:eastAsia="Calibri" w:hAnsi="Arial" w:cs="Arial"/>
          <w:sz w:val="22"/>
          <w:szCs w:val="22"/>
          <w:lang w:eastAsia="en-US"/>
        </w:rPr>
        <w:t>% do leta 2020 (glede na 2012), to pomeni, da bo v tem sektorju izboljšanje energetske učinkovitosti manjše (okrog 11</w:t>
      </w:r>
      <w:r w:rsidR="000E31FC">
        <w:rPr>
          <w:rFonts w:ascii="Arial" w:eastAsia="Calibri" w:hAnsi="Arial" w:cs="Arial"/>
          <w:sz w:val="22"/>
          <w:szCs w:val="22"/>
          <w:lang w:eastAsia="en-US"/>
        </w:rPr>
        <w:t xml:space="preserve"> </w:t>
      </w:r>
      <w:r w:rsidR="003C68A7" w:rsidRPr="003C68A7">
        <w:rPr>
          <w:rFonts w:ascii="Arial" w:eastAsia="Calibri" w:hAnsi="Arial" w:cs="Arial"/>
          <w:sz w:val="22"/>
          <w:szCs w:val="22"/>
          <w:lang w:eastAsia="en-US"/>
        </w:rPr>
        <w:t>%), kar pomeni, da bo za doseganje cilja 20-odstotnega izboljšanja energetske učinkovitosti potrebno v drugih sektorjih doseči še več prihrankov energije. Da bi zmanjšali ta učine</w:t>
      </w:r>
      <w:r w:rsidR="00A12B16">
        <w:rPr>
          <w:rFonts w:ascii="Arial" w:eastAsia="Calibri" w:hAnsi="Arial" w:cs="Arial"/>
          <w:sz w:val="22"/>
          <w:szCs w:val="22"/>
          <w:lang w:eastAsia="en-US"/>
        </w:rPr>
        <w:t>k</w:t>
      </w:r>
      <w:r w:rsidR="003C68A7" w:rsidRPr="003C68A7">
        <w:rPr>
          <w:rFonts w:ascii="Arial" w:eastAsia="Calibri" w:hAnsi="Arial" w:cs="Arial"/>
          <w:sz w:val="22"/>
          <w:szCs w:val="22"/>
          <w:lang w:eastAsia="en-US"/>
        </w:rPr>
        <w:t xml:space="preserve"> nesorazmernega bremena drugih sektorjev na račun prometa, je uvedena obveznost doseganja prihrankov energije </w:t>
      </w:r>
      <w:r w:rsidR="00A12B16">
        <w:rPr>
          <w:rFonts w:ascii="Arial" w:eastAsia="Calibri" w:hAnsi="Arial" w:cs="Arial"/>
          <w:sz w:val="22"/>
          <w:szCs w:val="22"/>
          <w:lang w:eastAsia="en-US"/>
        </w:rPr>
        <w:t xml:space="preserve">tudi </w:t>
      </w:r>
      <w:r w:rsidR="003C68A7" w:rsidRPr="003C68A7">
        <w:rPr>
          <w:rFonts w:ascii="Arial" w:eastAsia="Calibri" w:hAnsi="Arial" w:cs="Arial"/>
          <w:sz w:val="22"/>
          <w:szCs w:val="22"/>
          <w:lang w:eastAsia="en-US"/>
        </w:rPr>
        <w:t>dobaviteljem motornih goriv, ki pa je za vse obdobje na ravni 0,25</w:t>
      </w:r>
      <w:r w:rsidR="000E31FC">
        <w:rPr>
          <w:rFonts w:ascii="Arial" w:eastAsia="Calibri" w:hAnsi="Arial" w:cs="Arial"/>
          <w:sz w:val="22"/>
          <w:szCs w:val="22"/>
          <w:lang w:eastAsia="en-US"/>
        </w:rPr>
        <w:t xml:space="preserve"> </w:t>
      </w:r>
      <w:r w:rsidR="003C68A7" w:rsidRPr="003C68A7">
        <w:rPr>
          <w:rFonts w:ascii="Arial" w:eastAsia="Calibri" w:hAnsi="Arial" w:cs="Arial"/>
          <w:sz w:val="22"/>
          <w:szCs w:val="22"/>
          <w:lang w:eastAsia="en-US"/>
        </w:rPr>
        <w:t xml:space="preserve">% prodane energije. To pomeni, da bodo distributerji motornih goriv morali vsako leto doseči 55 GWh prihrankov energije, kar bi ob predpostavki relativno dragih ukrepov (spodbuda 100 EUR/MWh) za njih pomenilo največ 5,5 mio EUR stroškov letno. Ti ukrepi se bodo lahko izvajali kot </w:t>
      </w:r>
      <w:r w:rsidR="00A12B16">
        <w:rPr>
          <w:rFonts w:ascii="Arial" w:eastAsia="Calibri" w:hAnsi="Arial" w:cs="Arial"/>
          <w:sz w:val="22"/>
          <w:szCs w:val="22"/>
          <w:lang w:eastAsia="en-US"/>
        </w:rPr>
        <w:t>pri drugih</w:t>
      </w:r>
      <w:r w:rsidR="003C68A7" w:rsidRPr="003C68A7">
        <w:rPr>
          <w:rFonts w:ascii="Arial" w:eastAsia="Calibri" w:hAnsi="Arial" w:cs="Arial"/>
          <w:sz w:val="22"/>
          <w:szCs w:val="22"/>
          <w:lang w:eastAsia="en-US"/>
        </w:rPr>
        <w:t xml:space="preserve"> zavezanc</w:t>
      </w:r>
      <w:r w:rsidR="00A12B16">
        <w:rPr>
          <w:rFonts w:ascii="Arial" w:eastAsia="Calibri" w:hAnsi="Arial" w:cs="Arial"/>
          <w:sz w:val="22"/>
          <w:szCs w:val="22"/>
          <w:lang w:eastAsia="en-US"/>
        </w:rPr>
        <w:t>ih</w:t>
      </w:r>
      <w:r w:rsidR="003C68A7" w:rsidRPr="003C68A7">
        <w:rPr>
          <w:rFonts w:ascii="Arial" w:eastAsia="Calibri" w:hAnsi="Arial" w:cs="Arial"/>
          <w:sz w:val="22"/>
          <w:szCs w:val="22"/>
          <w:lang w:eastAsia="en-US"/>
        </w:rPr>
        <w:t xml:space="preserve"> tudi </w:t>
      </w:r>
      <w:r w:rsidR="00A12B16">
        <w:rPr>
          <w:rFonts w:ascii="Arial" w:eastAsia="Calibri" w:hAnsi="Arial" w:cs="Arial"/>
          <w:sz w:val="22"/>
          <w:szCs w:val="22"/>
          <w:lang w:eastAsia="en-US"/>
        </w:rPr>
        <w:t xml:space="preserve">v </w:t>
      </w:r>
      <w:r w:rsidR="003C68A7" w:rsidRPr="003C68A7">
        <w:rPr>
          <w:rFonts w:ascii="Arial" w:eastAsia="Calibri" w:hAnsi="Arial" w:cs="Arial"/>
          <w:sz w:val="22"/>
          <w:szCs w:val="22"/>
          <w:lang w:eastAsia="en-US"/>
        </w:rPr>
        <w:t xml:space="preserve">industriji in gospodarstvu, v tem tudi v samem prometnem sektorju, tako da so to priložnosti za ukrep učinkovite rabe energije v transportnih podjetjih (učinkovitejše pnevmatike, energetski pregledi, električni avtomobili ipd..), kot v industriji. </w:t>
      </w:r>
    </w:p>
    <w:p w:rsidR="003C68A7" w:rsidRDefault="003C68A7" w:rsidP="003C68A7">
      <w:pPr>
        <w:suppressAutoHyphens w:val="0"/>
        <w:spacing w:before="60" w:after="60" w:line="288" w:lineRule="auto"/>
        <w:jc w:val="both"/>
        <w:rPr>
          <w:rFonts w:ascii="Arial" w:eastAsia="Calibri" w:hAnsi="Arial" w:cs="Arial"/>
          <w:sz w:val="22"/>
          <w:szCs w:val="22"/>
          <w:lang w:eastAsia="en-US"/>
        </w:rPr>
      </w:pPr>
      <w:r w:rsidRPr="003C68A7">
        <w:rPr>
          <w:rFonts w:ascii="Arial" w:eastAsia="Calibri" w:hAnsi="Arial" w:cs="Arial"/>
          <w:sz w:val="22"/>
          <w:szCs w:val="22"/>
          <w:lang w:eastAsia="en-US"/>
        </w:rPr>
        <w:lastRenderedPageBreak/>
        <w:t>Za vzpostavitev obveznosti tudi na prodajo motornih goriv sta poleg zgoraj omenjenega razloga zaradi naraščanja energije v prometu in posledično delitve bremen, še dva razloga, in sicer:</w:t>
      </w:r>
    </w:p>
    <w:p w:rsidR="003C68A7" w:rsidRPr="003C68A7" w:rsidRDefault="003C68A7" w:rsidP="003C68A7">
      <w:pPr>
        <w:pStyle w:val="Odstavekseznama"/>
        <w:numPr>
          <w:ilvl w:val="0"/>
          <w:numId w:val="49"/>
        </w:numPr>
        <w:suppressAutoHyphens w:val="0"/>
        <w:spacing w:before="60" w:after="60" w:line="288" w:lineRule="auto"/>
        <w:jc w:val="both"/>
        <w:rPr>
          <w:rFonts w:ascii="Arial" w:eastAsia="Calibri" w:hAnsi="Arial" w:cs="Arial"/>
          <w:sz w:val="22"/>
          <w:szCs w:val="22"/>
          <w:lang w:eastAsia="en-US"/>
        </w:rPr>
      </w:pPr>
      <w:r w:rsidRPr="003C68A7">
        <w:rPr>
          <w:rFonts w:ascii="Arial" w:eastAsia="Calibri" w:hAnsi="Arial" w:cs="Arial"/>
          <w:sz w:val="22"/>
          <w:szCs w:val="22"/>
          <w:lang w:eastAsia="en-US"/>
        </w:rPr>
        <w:t>projekcije dolgoročnih energetskih bilanc kažejo, da je do leta 2020 potrebno doseči večje izboljšanje energetske učinkovitosti kot je zastavljeni cilj za leto 2020, in sicer 23</w:t>
      </w:r>
      <w:r w:rsidR="00E039EE">
        <w:rPr>
          <w:rFonts w:ascii="Arial" w:eastAsia="Calibri" w:hAnsi="Arial" w:cs="Arial"/>
          <w:sz w:val="22"/>
          <w:szCs w:val="22"/>
          <w:lang w:eastAsia="en-US"/>
        </w:rPr>
        <w:t xml:space="preserve"> </w:t>
      </w:r>
      <w:r w:rsidRPr="003C68A7">
        <w:rPr>
          <w:rFonts w:ascii="Arial" w:eastAsia="Calibri" w:hAnsi="Arial" w:cs="Arial"/>
          <w:sz w:val="22"/>
          <w:szCs w:val="22"/>
          <w:lang w:eastAsia="en-US"/>
        </w:rPr>
        <w:t>% namesto obveznih 20</w:t>
      </w:r>
      <w:r w:rsidR="00E039EE">
        <w:rPr>
          <w:rFonts w:ascii="Arial" w:eastAsia="Calibri" w:hAnsi="Arial" w:cs="Arial"/>
          <w:sz w:val="22"/>
          <w:szCs w:val="22"/>
          <w:lang w:eastAsia="en-US"/>
        </w:rPr>
        <w:t xml:space="preserve"> </w:t>
      </w:r>
      <w:r w:rsidRPr="003C68A7">
        <w:rPr>
          <w:rFonts w:ascii="Arial" w:eastAsia="Calibri" w:hAnsi="Arial" w:cs="Arial"/>
          <w:sz w:val="22"/>
          <w:szCs w:val="22"/>
          <w:lang w:eastAsia="en-US"/>
        </w:rPr>
        <w:t>%. Razlog za to pa je zahteve</w:t>
      </w:r>
      <w:r w:rsidR="00A12B16">
        <w:rPr>
          <w:rFonts w:ascii="Arial" w:eastAsia="Calibri" w:hAnsi="Arial" w:cs="Arial"/>
          <w:sz w:val="22"/>
          <w:szCs w:val="22"/>
          <w:lang w:eastAsia="en-US"/>
        </w:rPr>
        <w:t>n</w:t>
      </w:r>
      <w:r w:rsidRPr="003C68A7">
        <w:rPr>
          <w:rFonts w:ascii="Arial" w:eastAsia="Calibri" w:hAnsi="Arial" w:cs="Arial"/>
          <w:sz w:val="22"/>
          <w:szCs w:val="22"/>
          <w:lang w:eastAsia="en-US"/>
        </w:rPr>
        <w:t xml:space="preserve"> cilj na področju obnovljivih virov energije, in sicer bomo brez</w:t>
      </w:r>
      <w:r w:rsidR="00A12B16">
        <w:rPr>
          <w:rFonts w:ascii="Arial" w:eastAsia="Calibri" w:hAnsi="Arial" w:cs="Arial"/>
          <w:sz w:val="22"/>
          <w:szCs w:val="22"/>
          <w:lang w:eastAsia="en-US"/>
        </w:rPr>
        <w:t xml:space="preserve"> tega</w:t>
      </w:r>
      <w:r w:rsidRPr="003C68A7">
        <w:rPr>
          <w:rFonts w:ascii="Arial" w:eastAsia="Calibri" w:hAnsi="Arial" w:cs="Arial"/>
          <w:sz w:val="22"/>
          <w:szCs w:val="22"/>
          <w:lang w:eastAsia="en-US"/>
        </w:rPr>
        <w:t xml:space="preserve"> zmanjšanja porabe energije težko dosegli delež 25</w:t>
      </w:r>
      <w:r w:rsidR="00E039EE">
        <w:rPr>
          <w:rFonts w:ascii="Arial" w:eastAsia="Calibri" w:hAnsi="Arial" w:cs="Arial"/>
          <w:sz w:val="22"/>
          <w:szCs w:val="22"/>
          <w:lang w:eastAsia="en-US"/>
        </w:rPr>
        <w:t xml:space="preserve"> </w:t>
      </w:r>
      <w:r w:rsidRPr="003C68A7">
        <w:rPr>
          <w:rFonts w:ascii="Arial" w:eastAsia="Calibri" w:hAnsi="Arial" w:cs="Arial"/>
          <w:sz w:val="22"/>
          <w:szCs w:val="22"/>
          <w:lang w:eastAsia="en-US"/>
        </w:rPr>
        <w:t>% OVE v rabi energije.</w:t>
      </w:r>
    </w:p>
    <w:p w:rsidR="008F57B5" w:rsidRPr="003C68A7" w:rsidRDefault="003C68A7" w:rsidP="008F57B5">
      <w:pPr>
        <w:pStyle w:val="Odstavekseznama"/>
        <w:numPr>
          <w:ilvl w:val="0"/>
          <w:numId w:val="49"/>
        </w:numPr>
        <w:suppressAutoHyphens w:val="0"/>
        <w:spacing w:before="60" w:after="60" w:line="288" w:lineRule="auto"/>
        <w:jc w:val="both"/>
        <w:rPr>
          <w:rFonts w:ascii="Arial" w:eastAsia="Calibri" w:hAnsi="Arial" w:cs="Arial"/>
          <w:sz w:val="22"/>
          <w:szCs w:val="22"/>
          <w:lang w:eastAsia="en-US"/>
        </w:rPr>
      </w:pPr>
      <w:r w:rsidRPr="003C68A7">
        <w:rPr>
          <w:rFonts w:ascii="Arial" w:eastAsia="Calibri" w:hAnsi="Arial" w:cs="Arial"/>
          <w:sz w:val="22"/>
          <w:szCs w:val="22"/>
          <w:lang w:eastAsia="en-US"/>
        </w:rPr>
        <w:t xml:space="preserve">Drugi razlog pa je, da so same napovedi oz. projekcije rabe energije izpostavljene velikim tveganjem predvsem na strani prometa. Ob tem, da ta sektor predstavlja kar 40 % delež rabe energije, na rabo energije v prometu veliki meri vpliva tovorni in tranzitni promet, ki pa sta odvisna od gospodarske aktivnosti doma in v tujini ter trošarinske politike. Učinek gospodarske aktivnosti je upoštevan tako, da projekcije energetskih bilanc vključujejo učinke gospodarske krize in </w:t>
      </w:r>
      <w:r w:rsidR="003777BB">
        <w:rPr>
          <w:rFonts w:ascii="Arial" w:eastAsia="Calibri" w:hAnsi="Arial" w:cs="Arial"/>
          <w:sz w:val="22"/>
          <w:szCs w:val="22"/>
          <w:lang w:eastAsia="en-US"/>
        </w:rPr>
        <w:t>predvidevajo postopno okrevanje</w:t>
      </w:r>
      <w:r w:rsidR="008F57B5">
        <w:rPr>
          <w:rFonts w:ascii="Arial" w:eastAsia="Calibri" w:hAnsi="Arial" w:cs="Arial"/>
          <w:sz w:val="22"/>
          <w:szCs w:val="22"/>
          <w:lang w:eastAsia="en-US"/>
        </w:rPr>
        <w:t xml:space="preserve">, </w:t>
      </w:r>
      <w:r w:rsidR="008F57B5" w:rsidRPr="003C68A7">
        <w:rPr>
          <w:rFonts w:ascii="Arial" w:eastAsia="Calibri" w:hAnsi="Arial" w:cs="Arial"/>
          <w:sz w:val="22"/>
          <w:szCs w:val="22"/>
          <w:lang w:eastAsia="en-US"/>
        </w:rPr>
        <w:t>učinek trošarinske politike pa je težko oceniti, saj ni niti analize ocene tranzitnega prometa niti sprejetih usmeritev ali strategije trošarinske politike na tem področju.</w:t>
      </w:r>
    </w:p>
    <w:p w:rsidR="00237317" w:rsidRDefault="003C68A7" w:rsidP="00237317">
      <w:pPr>
        <w:suppressAutoHyphens w:val="0"/>
        <w:spacing w:before="60" w:after="60" w:line="288" w:lineRule="auto"/>
        <w:jc w:val="both"/>
        <w:rPr>
          <w:rFonts w:ascii="Arial" w:eastAsia="Calibri" w:hAnsi="Arial" w:cs="Arial"/>
          <w:sz w:val="22"/>
          <w:szCs w:val="22"/>
          <w:lang w:eastAsia="en-US"/>
        </w:rPr>
      </w:pPr>
      <w:r w:rsidRPr="003C68A7">
        <w:rPr>
          <w:rFonts w:ascii="Arial" w:eastAsia="Calibri" w:hAnsi="Arial" w:cs="Arial"/>
          <w:sz w:val="22"/>
          <w:szCs w:val="22"/>
          <w:lang w:eastAsia="en-US"/>
        </w:rPr>
        <w:t xml:space="preserve">Tako (zaradi velikega deleža prometa, naraščanja energije v tem sektorju, specifike Slovenije v tem segmentu zaradi tranzita, ter same trošarinske politike, ki ima velik vpliv na </w:t>
      </w:r>
      <w:r w:rsidR="003E6690">
        <w:rPr>
          <w:rFonts w:ascii="Arial" w:eastAsia="Calibri" w:hAnsi="Arial" w:cs="Arial"/>
          <w:sz w:val="22"/>
          <w:szCs w:val="22"/>
          <w:lang w:eastAsia="en-US"/>
        </w:rPr>
        <w:t>prodajo</w:t>
      </w:r>
      <w:r w:rsidR="00522E9D">
        <w:rPr>
          <w:rFonts w:ascii="Arial" w:eastAsia="Calibri" w:hAnsi="Arial" w:cs="Arial"/>
          <w:sz w:val="22"/>
          <w:szCs w:val="22"/>
          <w:lang w:eastAsia="en-US"/>
        </w:rPr>
        <w:t xml:space="preserve"> tekočih goriv za promet v Sloveniji</w:t>
      </w:r>
      <w:r w:rsidRPr="003C68A7">
        <w:rPr>
          <w:rFonts w:ascii="Arial" w:eastAsia="Calibri" w:hAnsi="Arial" w:cs="Arial"/>
          <w:sz w:val="22"/>
          <w:szCs w:val="22"/>
          <w:lang w:eastAsia="en-US"/>
        </w:rPr>
        <w:t xml:space="preserve">) </w:t>
      </w:r>
      <w:r w:rsidR="00A12B16" w:rsidRPr="003C68A7">
        <w:rPr>
          <w:rFonts w:ascii="Arial" w:eastAsia="Calibri" w:hAnsi="Arial" w:cs="Arial"/>
          <w:sz w:val="22"/>
          <w:szCs w:val="22"/>
          <w:lang w:eastAsia="en-US"/>
        </w:rPr>
        <w:t xml:space="preserve">obstaja tveganje, da </w:t>
      </w:r>
      <w:r w:rsidRPr="003C68A7">
        <w:rPr>
          <w:rFonts w:ascii="Arial" w:eastAsia="Calibri" w:hAnsi="Arial" w:cs="Arial"/>
          <w:sz w:val="22"/>
          <w:szCs w:val="22"/>
          <w:lang w:eastAsia="en-US"/>
        </w:rPr>
        <w:t xml:space="preserve">brez vzpostavitve obveznosti doseganja prihrankov energije na prodajo motornih goriv ne bomo dosegli cilja izboljšanja energetske učinkovitosti. </w:t>
      </w:r>
      <w:r w:rsidR="00237317">
        <w:rPr>
          <w:rFonts w:ascii="Arial" w:eastAsia="Calibri" w:hAnsi="Arial" w:cs="Arial"/>
          <w:sz w:val="22"/>
          <w:szCs w:val="22"/>
          <w:lang w:eastAsia="en-US"/>
        </w:rPr>
        <w:t>Ob tem velja izpostaviti, da se količina »porabljenega« goriva v prometu ne računa glede na dejansko porabo, ampak glede na količine goriva, ki so prodane na bencinskih servisih v Republiki Sloveniji.</w:t>
      </w:r>
    </w:p>
    <w:p w:rsidR="009C67B7" w:rsidRDefault="009C67B7" w:rsidP="003C68A7">
      <w:pPr>
        <w:suppressAutoHyphens w:val="0"/>
        <w:spacing w:before="60" w:after="6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Primerjava </w:t>
      </w:r>
      <w:r w:rsidR="002D4903">
        <w:rPr>
          <w:rFonts w:ascii="Arial" w:eastAsia="Calibri" w:hAnsi="Arial" w:cs="Arial"/>
          <w:sz w:val="22"/>
          <w:szCs w:val="22"/>
          <w:lang w:eastAsia="en-US"/>
        </w:rPr>
        <w:t xml:space="preserve">ocenjenih </w:t>
      </w:r>
      <w:r>
        <w:rPr>
          <w:rFonts w:ascii="Arial" w:eastAsia="Calibri" w:hAnsi="Arial" w:cs="Arial"/>
          <w:sz w:val="22"/>
          <w:szCs w:val="22"/>
          <w:lang w:eastAsia="en-US"/>
        </w:rPr>
        <w:t>zbranih sredstev po stari in novi uredbi je prikazana v tabeli</w:t>
      </w:r>
      <w:r w:rsidR="002D4903">
        <w:rPr>
          <w:rFonts w:ascii="Arial" w:eastAsia="Calibri" w:hAnsi="Arial" w:cs="Arial"/>
          <w:sz w:val="22"/>
          <w:szCs w:val="22"/>
          <w:lang w:eastAsia="en-US"/>
        </w:rPr>
        <w:t xml:space="preserve"> </w:t>
      </w:r>
      <w:r w:rsidR="006A42B1">
        <w:rPr>
          <w:rFonts w:ascii="Arial" w:eastAsia="Calibri" w:hAnsi="Arial" w:cs="Arial"/>
          <w:sz w:val="22"/>
          <w:szCs w:val="22"/>
          <w:lang w:eastAsia="en-US"/>
        </w:rPr>
        <w:t>7</w:t>
      </w:r>
      <w:r>
        <w:rPr>
          <w:rFonts w:ascii="Arial" w:eastAsia="Calibri" w:hAnsi="Arial" w:cs="Arial"/>
          <w:sz w:val="22"/>
          <w:szCs w:val="22"/>
          <w:lang w:eastAsia="en-US"/>
        </w:rPr>
        <w:t>.</w:t>
      </w:r>
    </w:p>
    <w:p w:rsidR="009C67B7" w:rsidRDefault="009C67B7" w:rsidP="003C68A7">
      <w:pPr>
        <w:suppressAutoHyphens w:val="0"/>
        <w:spacing w:before="60" w:after="60"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Primerjava temelji na količini porabljene energije, ki je </w:t>
      </w:r>
      <w:r w:rsidR="0028501E">
        <w:rPr>
          <w:rFonts w:ascii="Arial" w:eastAsia="Calibri" w:hAnsi="Arial" w:cs="Arial"/>
          <w:sz w:val="22"/>
          <w:szCs w:val="22"/>
          <w:lang w:eastAsia="en-US"/>
        </w:rPr>
        <w:t xml:space="preserve">za leto 2014 </w:t>
      </w:r>
      <w:r w:rsidR="003E6690">
        <w:rPr>
          <w:rFonts w:ascii="Arial" w:eastAsia="Calibri" w:hAnsi="Arial" w:cs="Arial"/>
          <w:sz w:val="22"/>
          <w:szCs w:val="22"/>
          <w:lang w:eastAsia="en-US"/>
        </w:rPr>
        <w:t>ocenjena</w:t>
      </w:r>
      <w:r>
        <w:rPr>
          <w:rFonts w:ascii="Arial" w:eastAsia="Calibri" w:hAnsi="Arial" w:cs="Arial"/>
          <w:sz w:val="22"/>
          <w:szCs w:val="22"/>
          <w:lang w:eastAsia="en-US"/>
        </w:rPr>
        <w:t xml:space="preserve"> v Energetski bilanci za leto 2014 (sprejela Vlada RS septembra 2014).</w:t>
      </w:r>
    </w:p>
    <w:p w:rsidR="00522E9D" w:rsidRDefault="00522E9D">
      <w:pPr>
        <w:suppressAutoHyphens w:val="0"/>
        <w:rPr>
          <w:rFonts w:ascii="Arial" w:eastAsia="Calibri" w:hAnsi="Arial" w:cs="Arial"/>
          <w:i/>
          <w:sz w:val="22"/>
          <w:szCs w:val="22"/>
          <w:lang w:eastAsia="en-US"/>
        </w:rPr>
      </w:pPr>
      <w:r>
        <w:rPr>
          <w:rFonts w:ascii="Arial" w:eastAsia="Calibri" w:hAnsi="Arial" w:cs="Arial"/>
          <w:i/>
          <w:sz w:val="22"/>
          <w:szCs w:val="22"/>
          <w:lang w:eastAsia="en-US"/>
        </w:rPr>
        <w:br w:type="page"/>
      </w:r>
    </w:p>
    <w:p w:rsidR="00F32827" w:rsidRPr="002D4903" w:rsidRDefault="002D4903" w:rsidP="002D4903">
      <w:pPr>
        <w:suppressAutoHyphens w:val="0"/>
        <w:spacing w:before="240" w:after="60" w:line="288" w:lineRule="auto"/>
        <w:jc w:val="both"/>
        <w:rPr>
          <w:rFonts w:ascii="Arial" w:eastAsia="Calibri" w:hAnsi="Arial" w:cs="Arial"/>
          <w:i/>
          <w:sz w:val="22"/>
          <w:szCs w:val="22"/>
          <w:lang w:eastAsia="en-US"/>
        </w:rPr>
      </w:pPr>
      <w:r w:rsidRPr="002D4903">
        <w:rPr>
          <w:rFonts w:ascii="Arial" w:eastAsia="Calibri" w:hAnsi="Arial" w:cs="Arial"/>
          <w:i/>
          <w:sz w:val="22"/>
          <w:szCs w:val="22"/>
          <w:lang w:eastAsia="en-US"/>
        </w:rPr>
        <w:lastRenderedPageBreak/>
        <w:t xml:space="preserve">Tabela </w:t>
      </w:r>
      <w:r w:rsidR="006A42B1">
        <w:rPr>
          <w:rFonts w:ascii="Arial" w:eastAsia="Calibri" w:hAnsi="Arial" w:cs="Arial"/>
          <w:i/>
          <w:sz w:val="22"/>
          <w:szCs w:val="22"/>
          <w:lang w:eastAsia="en-US"/>
        </w:rPr>
        <w:t>7</w:t>
      </w:r>
      <w:r w:rsidR="00F32827" w:rsidRPr="002D4903">
        <w:rPr>
          <w:rFonts w:ascii="Arial" w:eastAsia="Calibri" w:hAnsi="Arial" w:cs="Arial"/>
          <w:i/>
          <w:sz w:val="22"/>
          <w:szCs w:val="22"/>
          <w:lang w:eastAsia="en-US"/>
        </w:rPr>
        <w:t xml:space="preserve">: </w:t>
      </w:r>
      <w:r w:rsidRPr="002D4903">
        <w:rPr>
          <w:rFonts w:ascii="Arial" w:eastAsia="Calibri" w:hAnsi="Arial" w:cs="Arial"/>
          <w:i/>
          <w:sz w:val="22"/>
          <w:szCs w:val="22"/>
          <w:lang w:eastAsia="en-US"/>
        </w:rPr>
        <w:t xml:space="preserve">Primerjava ocenjenih zbranih sredstev </w:t>
      </w:r>
      <w:r w:rsidR="007D220E">
        <w:rPr>
          <w:rFonts w:ascii="Arial" w:eastAsia="Calibri" w:hAnsi="Arial" w:cs="Arial"/>
          <w:i/>
          <w:sz w:val="22"/>
          <w:szCs w:val="22"/>
          <w:lang w:eastAsia="en-US"/>
        </w:rPr>
        <w:t>za let</w:t>
      </w:r>
      <w:r w:rsidR="0028501E">
        <w:rPr>
          <w:rFonts w:ascii="Arial" w:eastAsia="Calibri" w:hAnsi="Arial" w:cs="Arial"/>
          <w:i/>
          <w:sz w:val="22"/>
          <w:szCs w:val="22"/>
          <w:lang w:eastAsia="en-US"/>
        </w:rPr>
        <w:t>a</w:t>
      </w:r>
      <w:r w:rsidR="007D220E">
        <w:rPr>
          <w:rFonts w:ascii="Arial" w:eastAsia="Calibri" w:hAnsi="Arial" w:cs="Arial"/>
          <w:i/>
          <w:sz w:val="22"/>
          <w:szCs w:val="22"/>
          <w:lang w:eastAsia="en-US"/>
        </w:rPr>
        <w:t xml:space="preserve"> 2014</w:t>
      </w:r>
      <w:r w:rsidR="0028501E">
        <w:rPr>
          <w:rFonts w:ascii="Arial" w:eastAsia="Calibri" w:hAnsi="Arial" w:cs="Arial"/>
          <w:i/>
          <w:sz w:val="22"/>
          <w:szCs w:val="22"/>
          <w:lang w:eastAsia="en-US"/>
        </w:rPr>
        <w:t xml:space="preserve"> do 2017</w:t>
      </w:r>
    </w:p>
    <w:tbl>
      <w:tblPr>
        <w:tblW w:w="9931" w:type="dxa"/>
        <w:tblInd w:w="60" w:type="dxa"/>
        <w:tblCellMar>
          <w:left w:w="70" w:type="dxa"/>
          <w:right w:w="70" w:type="dxa"/>
        </w:tblCellMar>
        <w:tblLook w:val="04A0" w:firstRow="1" w:lastRow="0" w:firstColumn="1" w:lastColumn="0" w:noHBand="0" w:noVBand="1"/>
      </w:tblPr>
      <w:tblGrid>
        <w:gridCol w:w="2360"/>
        <w:gridCol w:w="980"/>
        <w:gridCol w:w="1480"/>
        <w:gridCol w:w="880"/>
        <w:gridCol w:w="1331"/>
        <w:gridCol w:w="880"/>
        <w:gridCol w:w="2020"/>
      </w:tblGrid>
      <w:tr w:rsidR="0028501E" w:rsidRPr="0028501E" w:rsidTr="0028501E">
        <w:trPr>
          <w:trHeight w:val="228"/>
        </w:trPr>
        <w:tc>
          <w:tcPr>
            <w:tcW w:w="2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 xml:space="preserve">Končna poraba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2014</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2014</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prodajna</w:t>
            </w:r>
          </w:p>
        </w:tc>
        <w:tc>
          <w:tcPr>
            <w:tcW w:w="133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stari prispevek</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xml:space="preserve">zbrano </w:t>
            </w:r>
            <w:r w:rsidRPr="0028501E">
              <w:rPr>
                <w:rFonts w:ascii="Tahoma" w:hAnsi="Tahoma" w:cs="Tahoma"/>
                <w:b/>
                <w:bCs/>
                <w:color w:val="000000"/>
                <w:sz w:val="18"/>
                <w:szCs w:val="18"/>
                <w:lang w:eastAsia="sl-SI"/>
              </w:rPr>
              <w:t>2014</w:t>
            </w:r>
            <w:r w:rsidRPr="0028501E">
              <w:rPr>
                <w:rFonts w:ascii="Tahoma" w:hAnsi="Tahoma" w:cs="Tahoma"/>
                <w:color w:val="000000"/>
                <w:sz w:val="18"/>
                <w:szCs w:val="18"/>
                <w:lang w:eastAsia="sl-SI"/>
              </w:rPr>
              <w:t xml:space="preserve"> (ocena)</w:t>
            </w:r>
          </w:p>
        </w:tc>
      </w:tr>
      <w:tr w:rsidR="0028501E" w:rsidRPr="0028501E" w:rsidTr="0028501E">
        <w:trPr>
          <w:trHeight w:val="240"/>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i/>
                <w:iCs/>
                <w:color w:val="000000"/>
                <w:sz w:val="18"/>
                <w:szCs w:val="18"/>
                <w:lang w:eastAsia="sl-SI"/>
              </w:rPr>
            </w:pPr>
            <w:r w:rsidRPr="0028501E">
              <w:rPr>
                <w:rFonts w:ascii="Tahoma" w:hAnsi="Tahoma" w:cs="Tahoma"/>
                <w:i/>
                <w:iCs/>
                <w:color w:val="000000"/>
                <w:sz w:val="18"/>
                <w:szCs w:val="18"/>
                <w:lang w:eastAsia="sl-SI"/>
              </w:rPr>
              <w:t>GWh</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1331"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višina</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202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EUR</w:t>
            </w:r>
          </w:p>
        </w:tc>
      </w:tr>
      <w:tr w:rsidR="0028501E" w:rsidRPr="0028501E" w:rsidTr="0028501E">
        <w:trPr>
          <w:trHeight w:val="228"/>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Električna energija</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12.579</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12.579.444.455</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0,050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6.289.722</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Zemeljski plin</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6.084</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642.709.581</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Sm3</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0,500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€c/Sm</w:t>
            </w:r>
            <w:r w:rsidRPr="0028501E">
              <w:rPr>
                <w:rFonts w:ascii="Tahoma" w:hAnsi="Tahoma" w:cs="Tahoma"/>
                <w:color w:val="000000"/>
                <w:sz w:val="18"/>
                <w:szCs w:val="18"/>
                <w:vertAlign w:val="superscript"/>
                <w:lang w:eastAsia="sl-SI"/>
              </w:rPr>
              <w:t>3</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3.213.548</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Daljinska toplota</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2.000</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1.999.722.224</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0,050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999.861</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UNP</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963</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75.242.339</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2,100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1.580.089</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xml:space="preserve">Neosvinčen motorni bencin </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5.926</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644.362.284</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0,400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2.577.449</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Dizelsko gorivo</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16.101</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1.610.216.579</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0,200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3.220.433</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Ekstra lahko kurilno olje</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2.392</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239.246.147</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6,500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15.551.000</w:t>
            </w:r>
          </w:p>
        </w:tc>
      </w:tr>
      <w:tr w:rsidR="0028501E" w:rsidRPr="0028501E" w:rsidTr="0028501E">
        <w:trPr>
          <w:trHeight w:val="276"/>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Kurilno olje</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78</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7.027.566</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8"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6,500</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8"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456.792</w:t>
            </w:r>
          </w:p>
        </w:tc>
      </w:tr>
      <w:tr w:rsidR="0028501E" w:rsidRPr="0028501E" w:rsidTr="0028501E">
        <w:trPr>
          <w:trHeight w:val="276"/>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skupaj</w:t>
            </w: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46.121</w:t>
            </w: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2020" w:type="dxa"/>
            <w:tcBorders>
              <w:top w:val="nil"/>
              <w:left w:val="nil"/>
              <w:bottom w:val="nil"/>
              <w:right w:val="nil"/>
            </w:tcBorders>
            <w:shd w:val="clear" w:color="000000" w:fill="FFFFFF"/>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33.888.894</w:t>
            </w:r>
          </w:p>
        </w:tc>
      </w:tr>
      <w:tr w:rsidR="0028501E" w:rsidRPr="0028501E" w:rsidTr="0028501E">
        <w:trPr>
          <w:trHeight w:val="240"/>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202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r>
      <w:tr w:rsidR="0028501E" w:rsidRPr="0028501E" w:rsidTr="0028501E">
        <w:trPr>
          <w:trHeight w:val="240"/>
        </w:trPr>
        <w:tc>
          <w:tcPr>
            <w:tcW w:w="2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 xml:space="preserve">Končna poraba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2015</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2015</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prodajna</w:t>
            </w:r>
          </w:p>
        </w:tc>
        <w:tc>
          <w:tcPr>
            <w:tcW w:w="133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novi prispevek</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xml:space="preserve">zbrano </w:t>
            </w:r>
            <w:r w:rsidRPr="0028501E">
              <w:rPr>
                <w:rFonts w:ascii="Tahoma" w:hAnsi="Tahoma" w:cs="Tahoma"/>
                <w:b/>
                <w:bCs/>
                <w:color w:val="000000"/>
                <w:sz w:val="18"/>
                <w:szCs w:val="18"/>
                <w:lang w:eastAsia="sl-SI"/>
              </w:rPr>
              <w:t>2015</w:t>
            </w:r>
            <w:r w:rsidRPr="0028501E">
              <w:rPr>
                <w:rFonts w:ascii="Tahoma" w:hAnsi="Tahoma" w:cs="Tahoma"/>
                <w:color w:val="000000"/>
                <w:sz w:val="18"/>
                <w:szCs w:val="18"/>
                <w:lang w:eastAsia="sl-SI"/>
              </w:rPr>
              <w:t xml:space="preserve"> (ocena)</w:t>
            </w:r>
          </w:p>
        </w:tc>
      </w:tr>
      <w:tr w:rsidR="0028501E" w:rsidRPr="0028501E" w:rsidTr="0028501E">
        <w:trPr>
          <w:trHeight w:val="240"/>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i/>
                <w:iCs/>
                <w:color w:val="000000"/>
                <w:sz w:val="18"/>
                <w:szCs w:val="18"/>
                <w:lang w:eastAsia="sl-SI"/>
              </w:rPr>
            </w:pPr>
            <w:r w:rsidRPr="0028501E">
              <w:rPr>
                <w:rFonts w:ascii="Tahoma" w:hAnsi="Tahoma" w:cs="Tahoma"/>
                <w:i/>
                <w:iCs/>
                <w:color w:val="000000"/>
                <w:sz w:val="18"/>
                <w:szCs w:val="18"/>
                <w:lang w:eastAsia="sl-SI"/>
              </w:rPr>
              <w:t>GWh</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1331"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višina</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202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EUR</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Električna energija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12.682</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12.682.222.232</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0,030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3.804.667</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Zemeljski plin</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6.389</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674.930.160</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Sm3</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0,300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€c/Sm</w:t>
            </w:r>
            <w:r w:rsidRPr="0028501E">
              <w:rPr>
                <w:rFonts w:ascii="Tahoma" w:hAnsi="Tahoma" w:cs="Tahoma"/>
                <w:color w:val="000000"/>
                <w:sz w:val="18"/>
                <w:szCs w:val="18"/>
                <w:vertAlign w:val="superscript"/>
                <w:lang w:eastAsia="sl-SI"/>
              </w:rPr>
              <w:t>3</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2.024.790</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Daljinska toplota</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2.014</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2.013.888.891</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0,050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1.006.944</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UNP</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963</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75.242.339</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1,600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1.203.877</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xml:space="preserve">Neosvinčen motorni bencin </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5.926</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644.362.284</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0,600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3.866.174</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Dizelsko gorivo</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17.318</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1.731.923.194</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0,400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6.927.693</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Ekstra lahko kurilno olje</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2.222</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222.244.447</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6,500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14.445.889</w:t>
            </w:r>
          </w:p>
        </w:tc>
      </w:tr>
      <w:tr w:rsidR="0028501E" w:rsidRPr="0028501E" w:rsidTr="0028501E">
        <w:trPr>
          <w:trHeight w:val="276"/>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Kurilno olje</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78</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7.027.566</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8"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6,500</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8"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456.792</w:t>
            </w:r>
          </w:p>
        </w:tc>
      </w:tr>
      <w:tr w:rsidR="0028501E" w:rsidRPr="0028501E" w:rsidTr="0028501E">
        <w:trPr>
          <w:trHeight w:val="276"/>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skupaj</w:t>
            </w: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47.590</w:t>
            </w: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2020" w:type="dxa"/>
            <w:tcBorders>
              <w:top w:val="nil"/>
              <w:left w:val="nil"/>
              <w:bottom w:val="nil"/>
              <w:right w:val="nil"/>
            </w:tcBorders>
            <w:shd w:val="clear" w:color="000000" w:fill="FFFFFF"/>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33.736.826</w:t>
            </w:r>
          </w:p>
        </w:tc>
      </w:tr>
      <w:tr w:rsidR="0028501E" w:rsidRPr="0028501E" w:rsidTr="0028501E">
        <w:trPr>
          <w:trHeight w:val="240"/>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202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r>
      <w:tr w:rsidR="0028501E" w:rsidRPr="0028501E" w:rsidTr="0028501E">
        <w:trPr>
          <w:trHeight w:val="228"/>
        </w:trPr>
        <w:tc>
          <w:tcPr>
            <w:tcW w:w="2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 xml:space="preserve">Končna poraba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2016</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2016</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prodajna</w:t>
            </w:r>
          </w:p>
        </w:tc>
        <w:tc>
          <w:tcPr>
            <w:tcW w:w="133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novi prispevek</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xml:space="preserve">zbrano </w:t>
            </w:r>
            <w:r w:rsidRPr="0028501E">
              <w:rPr>
                <w:rFonts w:ascii="Tahoma" w:hAnsi="Tahoma" w:cs="Tahoma"/>
                <w:b/>
                <w:bCs/>
                <w:color w:val="000000"/>
                <w:sz w:val="18"/>
                <w:szCs w:val="18"/>
                <w:lang w:eastAsia="sl-SI"/>
              </w:rPr>
              <w:t>2016</w:t>
            </w:r>
            <w:r w:rsidRPr="0028501E">
              <w:rPr>
                <w:rFonts w:ascii="Tahoma" w:hAnsi="Tahoma" w:cs="Tahoma"/>
                <w:color w:val="000000"/>
                <w:sz w:val="18"/>
                <w:szCs w:val="18"/>
                <w:lang w:eastAsia="sl-SI"/>
              </w:rPr>
              <w:t xml:space="preserve"> (ocena)</w:t>
            </w:r>
          </w:p>
        </w:tc>
      </w:tr>
      <w:tr w:rsidR="0028501E" w:rsidRPr="0028501E" w:rsidTr="0028501E">
        <w:trPr>
          <w:trHeight w:val="240"/>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i/>
                <w:iCs/>
                <w:color w:val="000000"/>
                <w:sz w:val="18"/>
                <w:szCs w:val="18"/>
                <w:lang w:eastAsia="sl-SI"/>
              </w:rPr>
            </w:pPr>
            <w:r w:rsidRPr="0028501E">
              <w:rPr>
                <w:rFonts w:ascii="Tahoma" w:hAnsi="Tahoma" w:cs="Tahoma"/>
                <w:i/>
                <w:iCs/>
                <w:color w:val="000000"/>
                <w:sz w:val="18"/>
                <w:szCs w:val="18"/>
                <w:lang w:eastAsia="sl-SI"/>
              </w:rPr>
              <w:t>GWh</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1331"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višina</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202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EUR</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Električna energija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12.733</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12.733.444.455</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0,060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7.640.067</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Zemeljski plin</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6.655</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703.024.861</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Sm3</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0,600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€c/Sm</w:t>
            </w:r>
            <w:r w:rsidRPr="0028501E">
              <w:rPr>
                <w:rFonts w:ascii="Tahoma" w:hAnsi="Tahoma" w:cs="Tahoma"/>
                <w:color w:val="000000"/>
                <w:sz w:val="18"/>
                <w:szCs w:val="18"/>
                <w:vertAlign w:val="superscript"/>
                <w:lang w:eastAsia="sl-SI"/>
              </w:rPr>
              <w:t>3</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4.218.149</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Daljinska toplota</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1.983</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1.982.833.335</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0,065</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1.288.842</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UNP</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1.007</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78.721.076</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1,023</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805.317</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xml:space="preserve">Neosvinčen motorni bencin </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5.772</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627.658.161</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0,700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4.393.607</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Dizelsko gorivo</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17.970</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1.797.207.500</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0,600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10.783.245</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Ekstra lahko kurilno olje</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1.956</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195.575.113</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3,000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5.867.253</w:t>
            </w:r>
          </w:p>
        </w:tc>
      </w:tr>
      <w:tr w:rsidR="0028501E" w:rsidRPr="0028501E" w:rsidTr="0028501E">
        <w:trPr>
          <w:trHeight w:val="276"/>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Kurilno olje</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78</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7.027.566</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8"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3,000</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8"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210.827</w:t>
            </w:r>
          </w:p>
        </w:tc>
      </w:tr>
      <w:tr w:rsidR="0028501E" w:rsidRPr="0028501E" w:rsidTr="0028501E">
        <w:trPr>
          <w:trHeight w:val="276"/>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skupaj</w:t>
            </w: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48.153</w:t>
            </w: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2020" w:type="dxa"/>
            <w:tcBorders>
              <w:top w:val="nil"/>
              <w:left w:val="nil"/>
              <w:bottom w:val="nil"/>
              <w:right w:val="nil"/>
            </w:tcBorders>
            <w:shd w:val="clear" w:color="000000" w:fill="FFFFFF"/>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35.207.307</w:t>
            </w:r>
          </w:p>
        </w:tc>
      </w:tr>
      <w:tr w:rsidR="0028501E" w:rsidRPr="0028501E" w:rsidTr="0028501E">
        <w:trPr>
          <w:trHeight w:val="240"/>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202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r>
      <w:tr w:rsidR="0028501E" w:rsidRPr="0028501E" w:rsidTr="0028501E">
        <w:trPr>
          <w:trHeight w:val="228"/>
        </w:trPr>
        <w:tc>
          <w:tcPr>
            <w:tcW w:w="2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 xml:space="preserve">Končna poraba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2017</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2017</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prodajna</w:t>
            </w:r>
          </w:p>
        </w:tc>
        <w:tc>
          <w:tcPr>
            <w:tcW w:w="133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b/>
                <w:bCs/>
                <w:color w:val="000000"/>
                <w:sz w:val="18"/>
                <w:szCs w:val="18"/>
                <w:lang w:eastAsia="sl-SI"/>
              </w:rPr>
            </w:pPr>
            <w:r w:rsidRPr="0028501E">
              <w:rPr>
                <w:rFonts w:ascii="Tahoma" w:hAnsi="Tahoma" w:cs="Tahoma"/>
                <w:b/>
                <w:bCs/>
                <w:color w:val="000000"/>
                <w:sz w:val="18"/>
                <w:szCs w:val="18"/>
                <w:lang w:eastAsia="sl-SI"/>
              </w:rPr>
              <w:t>novi prispevek</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 xml:space="preserve">zbrano </w:t>
            </w:r>
            <w:r w:rsidRPr="0028501E">
              <w:rPr>
                <w:rFonts w:ascii="Tahoma" w:hAnsi="Tahoma" w:cs="Tahoma"/>
                <w:b/>
                <w:bCs/>
                <w:color w:val="000000"/>
                <w:sz w:val="18"/>
                <w:szCs w:val="18"/>
                <w:lang w:eastAsia="sl-SI"/>
              </w:rPr>
              <w:t xml:space="preserve">2017 </w:t>
            </w:r>
            <w:r w:rsidRPr="0028501E">
              <w:rPr>
                <w:rFonts w:ascii="Tahoma" w:hAnsi="Tahoma" w:cs="Tahoma"/>
                <w:color w:val="000000"/>
                <w:sz w:val="18"/>
                <w:szCs w:val="18"/>
                <w:lang w:eastAsia="sl-SI"/>
              </w:rPr>
              <w:t>(ocena)</w:t>
            </w:r>
          </w:p>
        </w:tc>
      </w:tr>
      <w:tr w:rsidR="0028501E" w:rsidRPr="0028501E" w:rsidTr="0028501E">
        <w:trPr>
          <w:trHeight w:val="240"/>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i/>
                <w:iCs/>
                <w:color w:val="000000"/>
                <w:sz w:val="18"/>
                <w:szCs w:val="18"/>
                <w:lang w:eastAsia="sl-SI"/>
              </w:rPr>
            </w:pPr>
            <w:r w:rsidRPr="0028501E">
              <w:rPr>
                <w:rFonts w:ascii="Tahoma" w:hAnsi="Tahoma" w:cs="Tahoma"/>
                <w:i/>
                <w:iCs/>
                <w:color w:val="000000"/>
                <w:sz w:val="18"/>
                <w:szCs w:val="18"/>
                <w:lang w:eastAsia="sl-SI"/>
              </w:rPr>
              <w:t>GWh</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1331"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višina</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enota</w:t>
            </w:r>
          </w:p>
        </w:tc>
        <w:tc>
          <w:tcPr>
            <w:tcW w:w="202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EUR</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Električna energija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12.785</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12.784.666.677</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0,080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10.227.733</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Zemeljski plin</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6.921</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731.119.563</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Sm3</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0,757</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€c/Sm</w:t>
            </w:r>
            <w:r w:rsidRPr="0028501E">
              <w:rPr>
                <w:rFonts w:ascii="Tahoma" w:hAnsi="Tahoma" w:cs="Tahoma"/>
                <w:color w:val="000000"/>
                <w:sz w:val="18"/>
                <w:szCs w:val="18"/>
                <w:vertAlign w:val="superscript"/>
                <w:lang w:eastAsia="sl-SI"/>
              </w:rPr>
              <w:t>3</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5.534.575</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Daljinska toplota</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1.952</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1.951.777.779</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kWh</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0,080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€c/kWh</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1.561.422</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UNP</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1.052</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82.199.812</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1,023</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840.904</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 xml:space="preserve">Neosvinčen motorni bencin </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5.618</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610.954.038</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0,736</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4.496.622</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Dizelsko gorivo</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18.623</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1.862.491.806</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0,800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14.899.934</w:t>
            </w:r>
          </w:p>
        </w:tc>
      </w:tr>
      <w:tr w:rsidR="0028501E" w:rsidRPr="0028501E" w:rsidTr="0028501E">
        <w:trPr>
          <w:trHeight w:val="264"/>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Ekstra lahko kurilno olje</w:t>
            </w:r>
          </w:p>
        </w:tc>
        <w:tc>
          <w:tcPr>
            <w:tcW w:w="9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1.689</w:t>
            </w:r>
          </w:p>
        </w:tc>
        <w:tc>
          <w:tcPr>
            <w:tcW w:w="14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168.905.780</w:t>
            </w:r>
          </w:p>
        </w:tc>
        <w:tc>
          <w:tcPr>
            <w:tcW w:w="880" w:type="dxa"/>
            <w:tcBorders>
              <w:top w:val="nil"/>
              <w:left w:val="nil"/>
              <w:bottom w:val="single" w:sz="4"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l</w:t>
            </w:r>
          </w:p>
        </w:tc>
        <w:tc>
          <w:tcPr>
            <w:tcW w:w="1331" w:type="dxa"/>
            <w:tcBorders>
              <w:top w:val="nil"/>
              <w:left w:val="single" w:sz="8" w:space="0" w:color="auto"/>
              <w:bottom w:val="single" w:sz="4"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0,800</w:t>
            </w:r>
          </w:p>
        </w:tc>
        <w:tc>
          <w:tcPr>
            <w:tcW w:w="880" w:type="dxa"/>
            <w:tcBorders>
              <w:top w:val="nil"/>
              <w:left w:val="nil"/>
              <w:bottom w:val="single" w:sz="4"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€c/l</w:t>
            </w:r>
          </w:p>
        </w:tc>
        <w:tc>
          <w:tcPr>
            <w:tcW w:w="2020" w:type="dxa"/>
            <w:tcBorders>
              <w:top w:val="nil"/>
              <w:left w:val="nil"/>
              <w:bottom w:val="single" w:sz="4"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1.351.246</w:t>
            </w:r>
          </w:p>
        </w:tc>
      </w:tr>
      <w:tr w:rsidR="0028501E" w:rsidRPr="0028501E" w:rsidTr="0028501E">
        <w:trPr>
          <w:trHeight w:val="276"/>
        </w:trPr>
        <w:tc>
          <w:tcPr>
            <w:tcW w:w="2360" w:type="dxa"/>
            <w:tcBorders>
              <w:top w:val="nil"/>
              <w:left w:val="single" w:sz="8" w:space="0" w:color="auto"/>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Kurilno olje</w:t>
            </w:r>
          </w:p>
        </w:tc>
        <w:tc>
          <w:tcPr>
            <w:tcW w:w="9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78</w:t>
            </w:r>
          </w:p>
        </w:tc>
        <w:tc>
          <w:tcPr>
            <w:tcW w:w="14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7.027.566</w:t>
            </w:r>
          </w:p>
        </w:tc>
        <w:tc>
          <w:tcPr>
            <w:tcW w:w="880" w:type="dxa"/>
            <w:tcBorders>
              <w:top w:val="nil"/>
              <w:left w:val="nil"/>
              <w:bottom w:val="single" w:sz="8" w:space="0" w:color="auto"/>
              <w:right w:val="single" w:sz="8" w:space="0" w:color="auto"/>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kg</w:t>
            </w:r>
          </w:p>
        </w:tc>
        <w:tc>
          <w:tcPr>
            <w:tcW w:w="1331" w:type="dxa"/>
            <w:tcBorders>
              <w:top w:val="nil"/>
              <w:left w:val="single" w:sz="8" w:space="0" w:color="auto"/>
              <w:bottom w:val="single" w:sz="8" w:space="0" w:color="auto"/>
              <w:right w:val="single" w:sz="4" w:space="0" w:color="auto"/>
            </w:tcBorders>
            <w:shd w:val="clear" w:color="000000" w:fill="FFFF00"/>
            <w:noWrap/>
            <w:vAlign w:val="bottom"/>
            <w:hideMark/>
          </w:tcPr>
          <w:p w:rsidR="0028501E" w:rsidRPr="0028501E" w:rsidRDefault="0028501E" w:rsidP="0028501E">
            <w:pPr>
              <w:suppressAutoHyphens w:val="0"/>
              <w:jc w:val="center"/>
              <w:rPr>
                <w:rFonts w:ascii="Tahoma" w:hAnsi="Tahoma" w:cs="Tahoma"/>
                <w:b/>
                <w:bCs/>
                <w:color w:val="000000"/>
                <w:sz w:val="18"/>
                <w:szCs w:val="18"/>
                <w:lang w:eastAsia="sl-SI"/>
              </w:rPr>
            </w:pPr>
            <w:r w:rsidRPr="0028501E">
              <w:rPr>
                <w:rFonts w:ascii="Tahoma" w:hAnsi="Tahoma" w:cs="Tahoma"/>
                <w:b/>
                <w:bCs/>
                <w:color w:val="000000"/>
                <w:sz w:val="18"/>
                <w:szCs w:val="18"/>
                <w:lang w:eastAsia="sl-SI"/>
              </w:rPr>
              <w:t>0,882</w:t>
            </w:r>
          </w:p>
        </w:tc>
        <w:tc>
          <w:tcPr>
            <w:tcW w:w="880" w:type="dxa"/>
            <w:tcBorders>
              <w:top w:val="nil"/>
              <w:left w:val="nil"/>
              <w:bottom w:val="single" w:sz="8" w:space="0" w:color="auto"/>
              <w:right w:val="single" w:sz="4" w:space="0" w:color="auto"/>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r w:rsidRPr="0028501E">
              <w:rPr>
                <w:rFonts w:ascii="Tahoma" w:hAnsi="Tahoma" w:cs="Tahoma"/>
                <w:color w:val="000000"/>
                <w:sz w:val="18"/>
                <w:szCs w:val="18"/>
                <w:lang w:eastAsia="sl-SI"/>
              </w:rPr>
              <w:t>€c/kg</w:t>
            </w:r>
          </w:p>
        </w:tc>
        <w:tc>
          <w:tcPr>
            <w:tcW w:w="2020" w:type="dxa"/>
            <w:tcBorders>
              <w:top w:val="nil"/>
              <w:left w:val="nil"/>
              <w:bottom w:val="single" w:sz="8" w:space="0" w:color="auto"/>
              <w:right w:val="single" w:sz="8" w:space="0" w:color="auto"/>
            </w:tcBorders>
            <w:shd w:val="clear" w:color="000000" w:fill="FFFFFF"/>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61.983</w:t>
            </w:r>
          </w:p>
        </w:tc>
      </w:tr>
      <w:tr w:rsidR="0028501E" w:rsidRPr="0028501E" w:rsidTr="0028501E">
        <w:trPr>
          <w:trHeight w:val="276"/>
        </w:trPr>
        <w:tc>
          <w:tcPr>
            <w:tcW w:w="236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r w:rsidRPr="0028501E">
              <w:rPr>
                <w:rFonts w:ascii="Tahoma" w:hAnsi="Tahoma" w:cs="Tahoma"/>
                <w:color w:val="000000"/>
                <w:sz w:val="18"/>
                <w:szCs w:val="18"/>
                <w:lang w:eastAsia="sl-SI"/>
              </w:rPr>
              <w:t>skupaj</w:t>
            </w:r>
          </w:p>
        </w:tc>
        <w:tc>
          <w:tcPr>
            <w:tcW w:w="9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right"/>
              <w:rPr>
                <w:rFonts w:ascii="Tahoma" w:hAnsi="Tahoma" w:cs="Tahoma"/>
                <w:color w:val="000000"/>
                <w:sz w:val="18"/>
                <w:szCs w:val="18"/>
                <w:lang w:eastAsia="sl-SI"/>
              </w:rPr>
            </w:pPr>
            <w:r w:rsidRPr="0028501E">
              <w:rPr>
                <w:rFonts w:ascii="Tahoma" w:hAnsi="Tahoma" w:cs="Tahoma"/>
                <w:color w:val="000000"/>
                <w:sz w:val="18"/>
                <w:szCs w:val="18"/>
                <w:lang w:eastAsia="sl-SI"/>
              </w:rPr>
              <w:t>48.717</w:t>
            </w:r>
          </w:p>
        </w:tc>
        <w:tc>
          <w:tcPr>
            <w:tcW w:w="14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rPr>
                <w:rFonts w:ascii="Tahoma" w:hAnsi="Tahoma" w:cs="Tahoma"/>
                <w:color w:val="000000"/>
                <w:sz w:val="18"/>
                <w:szCs w:val="18"/>
                <w:lang w:eastAsia="sl-SI"/>
              </w:rPr>
            </w:pPr>
          </w:p>
        </w:tc>
        <w:tc>
          <w:tcPr>
            <w:tcW w:w="1331"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880" w:type="dxa"/>
            <w:tcBorders>
              <w:top w:val="nil"/>
              <w:left w:val="nil"/>
              <w:bottom w:val="nil"/>
              <w:right w:val="nil"/>
            </w:tcBorders>
            <w:shd w:val="clear" w:color="auto" w:fill="auto"/>
            <w:noWrap/>
            <w:vAlign w:val="bottom"/>
            <w:hideMark/>
          </w:tcPr>
          <w:p w:rsidR="0028501E" w:rsidRPr="0028501E" w:rsidRDefault="0028501E" w:rsidP="0028501E">
            <w:pPr>
              <w:suppressAutoHyphens w:val="0"/>
              <w:jc w:val="center"/>
              <w:rPr>
                <w:rFonts w:ascii="Tahoma" w:hAnsi="Tahoma" w:cs="Tahoma"/>
                <w:color w:val="000000"/>
                <w:sz w:val="18"/>
                <w:szCs w:val="18"/>
                <w:lang w:eastAsia="sl-SI"/>
              </w:rPr>
            </w:pPr>
          </w:p>
        </w:tc>
        <w:tc>
          <w:tcPr>
            <w:tcW w:w="2020" w:type="dxa"/>
            <w:tcBorders>
              <w:top w:val="nil"/>
              <w:left w:val="nil"/>
              <w:bottom w:val="nil"/>
              <w:right w:val="nil"/>
            </w:tcBorders>
            <w:shd w:val="clear" w:color="000000" w:fill="FFFFFF"/>
            <w:noWrap/>
            <w:vAlign w:val="bottom"/>
            <w:hideMark/>
          </w:tcPr>
          <w:p w:rsidR="0028501E" w:rsidRPr="0028501E" w:rsidRDefault="0028501E" w:rsidP="0028501E">
            <w:pPr>
              <w:suppressAutoHyphens w:val="0"/>
              <w:jc w:val="right"/>
              <w:rPr>
                <w:rFonts w:ascii="Tahoma" w:hAnsi="Tahoma" w:cs="Tahoma"/>
                <w:b/>
                <w:bCs/>
                <w:color w:val="000000"/>
                <w:sz w:val="18"/>
                <w:szCs w:val="18"/>
                <w:lang w:eastAsia="sl-SI"/>
              </w:rPr>
            </w:pPr>
            <w:r w:rsidRPr="0028501E">
              <w:rPr>
                <w:rFonts w:ascii="Tahoma" w:hAnsi="Tahoma" w:cs="Tahoma"/>
                <w:b/>
                <w:bCs/>
                <w:color w:val="000000"/>
                <w:sz w:val="18"/>
                <w:szCs w:val="18"/>
                <w:lang w:eastAsia="sl-SI"/>
              </w:rPr>
              <w:t>38.974.420</w:t>
            </w:r>
          </w:p>
        </w:tc>
      </w:tr>
    </w:tbl>
    <w:p w:rsidR="009C67B7" w:rsidRDefault="009C67B7" w:rsidP="008007C4">
      <w:pPr>
        <w:spacing w:before="20" w:after="20"/>
        <w:jc w:val="both"/>
      </w:pPr>
    </w:p>
    <w:p w:rsidR="00522E9D" w:rsidRDefault="00522E9D">
      <w:pPr>
        <w:suppressAutoHyphens w:val="0"/>
        <w:rPr>
          <w:rFonts w:ascii="Arial" w:eastAsia="Calibri" w:hAnsi="Arial" w:cs="Arial"/>
          <w:sz w:val="22"/>
          <w:szCs w:val="22"/>
          <w:lang w:eastAsia="en-US"/>
        </w:rPr>
      </w:pPr>
      <w:r>
        <w:rPr>
          <w:rFonts w:ascii="Arial" w:eastAsia="Calibri" w:hAnsi="Arial" w:cs="Arial"/>
          <w:sz w:val="22"/>
          <w:szCs w:val="22"/>
          <w:lang w:eastAsia="en-US"/>
        </w:rPr>
        <w:br w:type="page"/>
      </w:r>
    </w:p>
    <w:p w:rsidR="00522E9D" w:rsidRDefault="00522E9D" w:rsidP="00522E9D">
      <w:pPr>
        <w:suppressAutoHyphens w:val="0"/>
        <w:spacing w:before="60" w:after="60" w:line="288"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Ocenjena zbrana sredstva za leta 2015 do 2017 temeljijo na predlagani višini prispevka za posamezna leta in na porabi energije, ki izhaja iz dolgoročnih energetskih bilanc za leto 2030.</w:t>
      </w:r>
      <w:r w:rsidRPr="0028501E">
        <w:rPr>
          <w:rFonts w:ascii="Arial" w:eastAsia="Calibri" w:hAnsi="Arial" w:cs="Arial"/>
          <w:sz w:val="22"/>
          <w:szCs w:val="22"/>
          <w:lang w:eastAsia="en-US"/>
        </w:rPr>
        <w:t xml:space="preserve"> </w:t>
      </w:r>
      <w:r>
        <w:rPr>
          <w:rFonts w:ascii="Arial" w:eastAsia="Calibri" w:hAnsi="Arial" w:cs="Arial"/>
          <w:sz w:val="22"/>
          <w:szCs w:val="22"/>
          <w:lang w:eastAsia="en-US"/>
        </w:rPr>
        <w:t>Glede na trende zadnjih nekaj let in tudi na napovedi za naslednja leta naj bi se količina prodanega oziroma porabljenega ekstra lahkega kurilnega olja v RS v naslednjih letih zmanjševala in s tem tudi predvidena ocena prihodkov iz tega naslova. Po drugi strani se naj bi količina prodanega dizla povečevala. Ob tem velja izpostaviti veliko negotovost pri oceni prodanega dizla za tranzitni promet, saj le ta ni odvisna zgolj od cene dizla v Sloveniji ampak predvsem od razmerja cen med Slovenijo in sosednjimi državami, na kar pa lahko le delno vplivamo.</w:t>
      </w:r>
    </w:p>
    <w:p w:rsidR="00522E9D" w:rsidRDefault="00522E9D" w:rsidP="00522E9D">
      <w:pPr>
        <w:suppressAutoHyphens w:val="0"/>
        <w:spacing w:before="60" w:after="60" w:line="288" w:lineRule="auto"/>
        <w:jc w:val="both"/>
        <w:rPr>
          <w:rFonts w:ascii="Arial" w:eastAsia="Calibri" w:hAnsi="Arial" w:cs="Arial"/>
          <w:sz w:val="22"/>
          <w:szCs w:val="22"/>
          <w:lang w:eastAsia="en-US"/>
        </w:rPr>
      </w:pPr>
      <w:r>
        <w:rPr>
          <w:rFonts w:ascii="Arial" w:eastAsia="Calibri" w:hAnsi="Arial" w:cs="Arial"/>
          <w:sz w:val="22"/>
          <w:szCs w:val="22"/>
          <w:lang w:eastAsia="en-US"/>
        </w:rPr>
        <w:t>Ob predpostavki, da se bo količina prodanega dizla povečevala, tako kot napovedujejo energetske bilance, bo v letu 2017 iz naslova prispevka za energetsko učinkovitost zbranih okrog 37 mio EUR, kar je 3,</w:t>
      </w:r>
      <w:r w:rsidRPr="00D8554A">
        <w:rPr>
          <w:rFonts w:ascii="Arial" w:eastAsia="Calibri" w:hAnsi="Arial" w:cs="Arial"/>
          <w:sz w:val="22"/>
          <w:szCs w:val="22"/>
          <w:lang w:eastAsia="en-US"/>
        </w:rPr>
        <w:t>5</w:t>
      </w:r>
      <w:r>
        <w:rPr>
          <w:rFonts w:ascii="Arial" w:eastAsia="Calibri" w:hAnsi="Arial" w:cs="Arial"/>
          <w:sz w:val="22"/>
          <w:szCs w:val="22"/>
          <w:lang w:eastAsia="en-US"/>
        </w:rPr>
        <w:t xml:space="preserve"> mio EUR oziroma 10 % več kot količina sredstev, ki bi bila zbrana na podlagi starega prispevka ob upoštevanju ocenjenih količin prodanih energentov za leto 2014. </w:t>
      </w:r>
    </w:p>
    <w:p w:rsidR="0057700B" w:rsidRDefault="0057700B" w:rsidP="008007C4">
      <w:pPr>
        <w:spacing w:before="20" w:after="20"/>
        <w:jc w:val="both"/>
      </w:pPr>
    </w:p>
    <w:p w:rsidR="007F309E" w:rsidRDefault="007F309E" w:rsidP="00010154">
      <w:pPr>
        <w:autoSpaceDE w:val="0"/>
        <w:autoSpaceDN w:val="0"/>
        <w:adjustRightInd w:val="0"/>
        <w:spacing w:line="288" w:lineRule="auto"/>
        <w:rPr>
          <w:rFonts w:ascii="Arial" w:hAnsi="Arial" w:cs="Arial"/>
          <w:color w:val="000000"/>
          <w:sz w:val="20"/>
          <w:szCs w:val="20"/>
        </w:rPr>
      </w:pPr>
    </w:p>
    <w:p w:rsidR="007D220E" w:rsidRDefault="007D220E" w:rsidP="00010154">
      <w:pPr>
        <w:autoSpaceDE w:val="0"/>
        <w:autoSpaceDN w:val="0"/>
        <w:adjustRightInd w:val="0"/>
        <w:spacing w:line="288" w:lineRule="auto"/>
        <w:rPr>
          <w:rFonts w:ascii="Arial" w:hAnsi="Arial" w:cs="Arial"/>
          <w:color w:val="000000"/>
          <w:sz w:val="20"/>
          <w:szCs w:val="20"/>
        </w:rPr>
      </w:pPr>
    </w:p>
    <w:p w:rsidR="002D4903" w:rsidRDefault="002D4903" w:rsidP="00010154">
      <w:pPr>
        <w:autoSpaceDE w:val="0"/>
        <w:autoSpaceDN w:val="0"/>
        <w:adjustRightInd w:val="0"/>
        <w:spacing w:line="288" w:lineRule="auto"/>
        <w:rPr>
          <w:rFonts w:ascii="Arial" w:hAnsi="Arial" w:cs="Arial"/>
          <w:color w:val="000000"/>
          <w:sz w:val="20"/>
          <w:szCs w:val="20"/>
        </w:rPr>
      </w:pPr>
    </w:p>
    <w:p w:rsidR="002D4903" w:rsidRPr="008401C9" w:rsidRDefault="002D4903" w:rsidP="00010154">
      <w:pPr>
        <w:autoSpaceDE w:val="0"/>
        <w:autoSpaceDN w:val="0"/>
        <w:adjustRightInd w:val="0"/>
        <w:spacing w:line="288" w:lineRule="auto"/>
        <w:rPr>
          <w:rFonts w:ascii="Arial" w:hAnsi="Arial" w:cs="Arial"/>
          <w:color w:val="000000"/>
          <w:sz w:val="20"/>
          <w:szCs w:val="20"/>
        </w:rPr>
      </w:pPr>
    </w:p>
    <w:sectPr w:rsidR="002D4903" w:rsidRPr="008401C9" w:rsidSect="00B22239">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C2" w:rsidRDefault="00BA1AC2">
      <w:r>
        <w:separator/>
      </w:r>
    </w:p>
  </w:endnote>
  <w:endnote w:type="continuationSeparator" w:id="0">
    <w:p w:rsidR="00BA1AC2" w:rsidRDefault="00BA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D" w:rsidRPr="008A57C5" w:rsidRDefault="0034225D">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D7E85">
      <w:rPr>
        <w:rFonts w:ascii="Arial" w:hAnsi="Arial" w:cs="Arial"/>
        <w:bCs/>
        <w:noProof/>
        <w:sz w:val="20"/>
        <w:szCs w:val="20"/>
      </w:rPr>
      <w:t>12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9D7E85">
      <w:rPr>
        <w:rFonts w:ascii="Arial" w:hAnsi="Arial" w:cs="Arial"/>
        <w:bCs/>
        <w:noProof/>
        <w:sz w:val="20"/>
        <w:szCs w:val="20"/>
      </w:rPr>
      <w:t>26</w:t>
    </w:r>
    <w:r w:rsidRPr="008A57C5">
      <w:rPr>
        <w:rFonts w:ascii="Arial" w:hAnsi="Arial" w:cs="Arial"/>
        <w:bCs/>
        <w:sz w:val="20"/>
        <w:szCs w:val="20"/>
      </w:rPr>
      <w:fldChar w:fldCharType="end"/>
    </w:r>
  </w:p>
  <w:p w:rsidR="0034225D" w:rsidRDefault="0034225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54033"/>
      <w:docPartObj>
        <w:docPartGallery w:val="Page Numbers (Bottom of Page)"/>
        <w:docPartUnique/>
      </w:docPartObj>
    </w:sdtPr>
    <w:sdtContent>
      <w:sdt>
        <w:sdtPr>
          <w:id w:val="1660429633"/>
          <w:docPartObj>
            <w:docPartGallery w:val="Page Numbers (Top of Page)"/>
            <w:docPartUnique/>
          </w:docPartObj>
        </w:sdtPr>
        <w:sdtContent>
          <w:p w:rsidR="0034225D" w:rsidRDefault="0034225D">
            <w:pPr>
              <w:pStyle w:val="Noga"/>
              <w:jc w:val="center"/>
            </w:pPr>
            <w:r>
              <w:t xml:space="preserve">Stran </w:t>
            </w:r>
            <w:r>
              <w:rPr>
                <w:b/>
                <w:bCs/>
              </w:rPr>
              <w:fldChar w:fldCharType="begin"/>
            </w:r>
            <w:r>
              <w:rPr>
                <w:b/>
                <w:bCs/>
              </w:rPr>
              <w:instrText>PAGE</w:instrText>
            </w:r>
            <w:r>
              <w:rPr>
                <w:b/>
                <w:bCs/>
              </w:rPr>
              <w:fldChar w:fldCharType="separate"/>
            </w:r>
            <w:r w:rsidR="009D7E85">
              <w:rPr>
                <w:b/>
                <w:bCs/>
                <w:noProof/>
              </w:rPr>
              <w:t>1</w:t>
            </w:r>
            <w:r>
              <w:rPr>
                <w:b/>
                <w:bCs/>
              </w:rPr>
              <w:fldChar w:fldCharType="end"/>
            </w:r>
            <w:r>
              <w:t xml:space="preserve"> od </w:t>
            </w:r>
            <w:r>
              <w:rPr>
                <w:b/>
                <w:bCs/>
              </w:rPr>
              <w:fldChar w:fldCharType="begin"/>
            </w:r>
            <w:r>
              <w:rPr>
                <w:b/>
                <w:bCs/>
              </w:rPr>
              <w:instrText>NUMPAGES</w:instrText>
            </w:r>
            <w:r>
              <w:rPr>
                <w:b/>
                <w:bCs/>
              </w:rPr>
              <w:fldChar w:fldCharType="separate"/>
            </w:r>
            <w:r w:rsidR="009D7E85">
              <w:rPr>
                <w:b/>
                <w:bCs/>
                <w:noProof/>
              </w:rPr>
              <w:t>26</w:t>
            </w:r>
            <w:r>
              <w:rPr>
                <w:b/>
                <w:bCs/>
              </w:rPr>
              <w:fldChar w:fldCharType="end"/>
            </w:r>
          </w:p>
        </w:sdtContent>
      </w:sdt>
    </w:sdtContent>
  </w:sdt>
  <w:p w:rsidR="0034225D" w:rsidRDefault="0034225D" w:rsidP="004E0EBF">
    <w:pPr>
      <w:pStyle w:val="Noga"/>
      <w:tabs>
        <w:tab w:val="clear" w:pos="4536"/>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D" w:rsidRPr="008A57C5" w:rsidRDefault="0034225D">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D7E85">
      <w:rPr>
        <w:rFonts w:ascii="Arial" w:hAnsi="Arial" w:cs="Arial"/>
        <w:bCs/>
        <w:noProof/>
        <w:sz w:val="20"/>
        <w:szCs w:val="20"/>
      </w:rPr>
      <w:t>26</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9D7E85">
      <w:rPr>
        <w:rFonts w:ascii="Arial" w:hAnsi="Arial" w:cs="Arial"/>
        <w:bCs/>
        <w:noProof/>
        <w:sz w:val="20"/>
        <w:szCs w:val="20"/>
      </w:rPr>
      <w:t>26</w:t>
    </w:r>
    <w:r w:rsidRPr="008A57C5">
      <w:rPr>
        <w:rFonts w:ascii="Arial" w:hAnsi="Arial" w:cs="Arial"/>
        <w:bCs/>
        <w:sz w:val="20"/>
        <w:szCs w:val="20"/>
      </w:rPr>
      <w:fldChar w:fldCharType="end"/>
    </w:r>
  </w:p>
  <w:p w:rsidR="0034225D" w:rsidRDefault="0034225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06856326"/>
      <w:docPartObj>
        <w:docPartGallery w:val="Page Numbers (Bottom of Page)"/>
        <w:docPartUnique/>
      </w:docPartObj>
    </w:sdtPr>
    <w:sdtContent>
      <w:sdt>
        <w:sdtPr>
          <w:rPr>
            <w:rFonts w:ascii="Arial" w:hAnsi="Arial" w:cs="Arial"/>
            <w:sz w:val="20"/>
            <w:szCs w:val="20"/>
          </w:rPr>
          <w:id w:val="1161514371"/>
          <w:docPartObj>
            <w:docPartGallery w:val="Page Numbers (Top of Page)"/>
            <w:docPartUnique/>
          </w:docPartObj>
        </w:sdtPr>
        <w:sdtContent>
          <w:p w:rsidR="0034225D" w:rsidRPr="008273BD" w:rsidRDefault="0034225D">
            <w:pPr>
              <w:pStyle w:val="Noga"/>
              <w:jc w:val="center"/>
              <w:rPr>
                <w:rFonts w:ascii="Arial" w:hAnsi="Arial" w:cs="Arial"/>
                <w:sz w:val="20"/>
                <w:szCs w:val="20"/>
              </w:rPr>
            </w:pPr>
            <w:r w:rsidRPr="008273BD">
              <w:rPr>
                <w:rFonts w:ascii="Arial" w:hAnsi="Arial" w:cs="Arial"/>
                <w:sz w:val="20"/>
                <w:szCs w:val="20"/>
              </w:rPr>
              <w:t xml:space="preserve">Stran </w:t>
            </w:r>
            <w:r w:rsidRPr="008273BD">
              <w:rPr>
                <w:rFonts w:ascii="Arial" w:hAnsi="Arial" w:cs="Arial"/>
                <w:bCs/>
                <w:sz w:val="20"/>
                <w:szCs w:val="20"/>
              </w:rPr>
              <w:fldChar w:fldCharType="begin"/>
            </w:r>
            <w:r w:rsidRPr="008273BD">
              <w:rPr>
                <w:rFonts w:ascii="Arial" w:hAnsi="Arial" w:cs="Arial"/>
                <w:bCs/>
                <w:sz w:val="20"/>
                <w:szCs w:val="20"/>
              </w:rPr>
              <w:instrText>PAGE</w:instrText>
            </w:r>
            <w:r w:rsidRPr="008273BD">
              <w:rPr>
                <w:rFonts w:ascii="Arial" w:hAnsi="Arial" w:cs="Arial"/>
                <w:bCs/>
                <w:sz w:val="20"/>
                <w:szCs w:val="20"/>
              </w:rPr>
              <w:fldChar w:fldCharType="separate"/>
            </w:r>
            <w:r w:rsidR="009D7E85">
              <w:rPr>
                <w:rFonts w:ascii="Arial" w:hAnsi="Arial" w:cs="Arial"/>
                <w:bCs/>
                <w:noProof/>
                <w:sz w:val="20"/>
                <w:szCs w:val="20"/>
              </w:rPr>
              <w:t>23</w:t>
            </w:r>
            <w:r w:rsidRPr="008273BD">
              <w:rPr>
                <w:rFonts w:ascii="Arial" w:hAnsi="Arial" w:cs="Arial"/>
                <w:bCs/>
                <w:sz w:val="20"/>
                <w:szCs w:val="20"/>
              </w:rPr>
              <w:fldChar w:fldCharType="end"/>
            </w:r>
            <w:r w:rsidRPr="008273BD">
              <w:rPr>
                <w:rFonts w:ascii="Arial" w:hAnsi="Arial" w:cs="Arial"/>
                <w:sz w:val="20"/>
                <w:szCs w:val="20"/>
              </w:rPr>
              <w:t xml:space="preserve"> od </w:t>
            </w:r>
            <w:r w:rsidRPr="008273BD">
              <w:rPr>
                <w:rFonts w:ascii="Arial" w:hAnsi="Arial" w:cs="Arial"/>
                <w:bCs/>
                <w:sz w:val="20"/>
                <w:szCs w:val="20"/>
              </w:rPr>
              <w:fldChar w:fldCharType="begin"/>
            </w:r>
            <w:r w:rsidRPr="008273BD">
              <w:rPr>
                <w:rFonts w:ascii="Arial" w:hAnsi="Arial" w:cs="Arial"/>
                <w:bCs/>
                <w:sz w:val="20"/>
                <w:szCs w:val="20"/>
              </w:rPr>
              <w:instrText>NUMPAGES</w:instrText>
            </w:r>
            <w:r w:rsidRPr="008273BD">
              <w:rPr>
                <w:rFonts w:ascii="Arial" w:hAnsi="Arial" w:cs="Arial"/>
                <w:bCs/>
                <w:sz w:val="20"/>
                <w:szCs w:val="20"/>
              </w:rPr>
              <w:fldChar w:fldCharType="separate"/>
            </w:r>
            <w:r w:rsidR="009D7E85">
              <w:rPr>
                <w:rFonts w:ascii="Arial" w:hAnsi="Arial" w:cs="Arial"/>
                <w:bCs/>
                <w:noProof/>
                <w:sz w:val="20"/>
                <w:szCs w:val="20"/>
              </w:rPr>
              <w:t>26</w:t>
            </w:r>
            <w:r w:rsidRPr="008273BD">
              <w:rPr>
                <w:rFonts w:ascii="Arial" w:hAnsi="Arial" w:cs="Arial"/>
                <w:bCs/>
                <w:sz w:val="20"/>
                <w:szCs w:val="20"/>
              </w:rPr>
              <w:fldChar w:fldCharType="end"/>
            </w:r>
          </w:p>
        </w:sdtContent>
      </w:sdt>
    </w:sdtContent>
  </w:sdt>
  <w:p w:rsidR="0034225D" w:rsidRDefault="0034225D"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C2" w:rsidRDefault="00BA1AC2">
      <w:r>
        <w:separator/>
      </w:r>
    </w:p>
  </w:footnote>
  <w:footnote w:type="continuationSeparator" w:id="0">
    <w:p w:rsidR="00BA1AC2" w:rsidRDefault="00BA1AC2">
      <w:r>
        <w:continuationSeparator/>
      </w:r>
    </w:p>
  </w:footnote>
  <w:footnote w:id="1">
    <w:p w:rsidR="0034225D" w:rsidRDefault="0034225D" w:rsidP="00BC264B">
      <w:pPr>
        <w:pStyle w:val="Sprotnaopomba-besedilo"/>
      </w:pPr>
      <w:r>
        <w:rPr>
          <w:rStyle w:val="Sprotnaopomba-sklic"/>
        </w:rPr>
        <w:footnoteRef/>
      </w:r>
      <w:r>
        <w:t xml:space="preserve"> </w:t>
      </w:r>
      <w:r w:rsidRPr="00961879">
        <w:t>http://www.energetika-portal.si/dokumenti/strateski-razvojni-dokumenti/dolgorocno-nacrtovanje-energetske-politike/</w:t>
      </w:r>
    </w:p>
  </w:footnote>
  <w:footnote w:id="2">
    <w:p w:rsidR="0034225D" w:rsidRDefault="0034225D">
      <w:pPr>
        <w:pStyle w:val="Sprotnaopomba-besedilo"/>
      </w:pPr>
      <w:r>
        <w:rPr>
          <w:rStyle w:val="Sprotnaopomba-sklic"/>
        </w:rPr>
        <w:footnoteRef/>
      </w:r>
      <w:r>
        <w:t xml:space="preserve"> </w:t>
      </w:r>
      <w:r w:rsidRPr="00961879">
        <w:t>http://www.energetika-portal.si/dokumenti/strateski-razvojni-dokumenti/dolgorocno-nacrtovanje-energetske-politike/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D" w:rsidRPr="001B1D79" w:rsidRDefault="0034225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D" w:rsidRPr="00125A68" w:rsidRDefault="0034225D" w:rsidP="004E0EBF">
    <w:pPr>
      <w:spacing w:before="40"/>
      <w:ind w:right="-3"/>
      <w:rPr>
        <w:sz w:val="22"/>
        <w:szCs w:val="22"/>
      </w:rPr>
    </w:pPr>
    <w:r>
      <w:rPr>
        <w:noProof/>
        <w:sz w:val="22"/>
        <w:szCs w:val="22"/>
        <w:lang w:eastAsia="sl-SI"/>
      </w:rPr>
      <mc:AlternateContent>
        <mc:Choice Requires="wps">
          <w:drawing>
            <wp:anchor distT="0" distB="0" distL="0" distR="0" simplePos="0" relativeHeight="251659776" behindDoc="0" locked="0" layoutInCell="1" allowOverlap="1" wp14:anchorId="597D0877" wp14:editId="2CBAA203">
              <wp:simplePos x="0" y="0"/>
              <wp:positionH relativeFrom="column">
                <wp:posOffset>1493520</wp:posOffset>
              </wp:positionH>
              <wp:positionV relativeFrom="paragraph">
                <wp:posOffset>54610</wp:posOffset>
              </wp:positionV>
              <wp:extent cx="4702175" cy="394335"/>
              <wp:effectExtent l="0" t="0" r="3175"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5U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" filled="f" stroked="f">
              <v:textbox inset="0,0,0,0">
                <w:txbxContent>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D" w:rsidRPr="001B1D79" w:rsidRDefault="0034225D">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D" w:rsidRPr="00125A68" w:rsidRDefault="0034225D"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55EABA15" wp14:editId="28F196A4">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fxrgIAALA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" filled="f" stroked="f">
              <v:textbox inset="0,0,0,0">
                <w:txbxContent>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34225D" w:rsidRPr="00106C6A" w:rsidRDefault="0034225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5B6"/>
    <w:multiLevelType w:val="hybridMultilevel"/>
    <w:tmpl w:val="1B98DEE4"/>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1363C8"/>
    <w:multiLevelType w:val="hybridMultilevel"/>
    <w:tmpl w:val="159C52B2"/>
    <w:lvl w:ilvl="0" w:tplc="A5A4207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911132"/>
    <w:multiLevelType w:val="hybridMultilevel"/>
    <w:tmpl w:val="C2DE7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28C4A54"/>
    <w:multiLevelType w:val="hybridMultilevel"/>
    <w:tmpl w:val="91503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5290D53"/>
    <w:multiLevelType w:val="hybridMultilevel"/>
    <w:tmpl w:val="CEF0591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5407167"/>
    <w:multiLevelType w:val="hybridMultilevel"/>
    <w:tmpl w:val="988819BC"/>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ADC3166"/>
    <w:multiLevelType w:val="hybridMultilevel"/>
    <w:tmpl w:val="A9AE04DE"/>
    <w:lvl w:ilvl="0" w:tplc="DFE0500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D122F1"/>
    <w:multiLevelType w:val="hybridMultilevel"/>
    <w:tmpl w:val="74068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2F661AD"/>
    <w:multiLevelType w:val="hybridMultilevel"/>
    <w:tmpl w:val="A8BA86F8"/>
    <w:lvl w:ilvl="0" w:tplc="9DE8573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0E152B3"/>
    <w:multiLevelType w:val="hybridMultilevel"/>
    <w:tmpl w:val="E5AC9FE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72B1CC5"/>
    <w:multiLevelType w:val="hybridMultilevel"/>
    <w:tmpl w:val="D78CAAB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7625D11"/>
    <w:multiLevelType w:val="hybridMultilevel"/>
    <w:tmpl w:val="24D098E2"/>
    <w:lvl w:ilvl="0" w:tplc="04240001">
      <w:start w:val="1"/>
      <w:numFmt w:val="bullet"/>
      <w:lvlText w:val=""/>
      <w:lvlJc w:val="left"/>
      <w:pPr>
        <w:ind w:left="826" w:hanging="360"/>
      </w:pPr>
      <w:rPr>
        <w:rFonts w:ascii="Symbol" w:hAnsi="Symbol" w:hint="default"/>
      </w:rPr>
    </w:lvl>
    <w:lvl w:ilvl="1" w:tplc="04240003" w:tentative="1">
      <w:start w:val="1"/>
      <w:numFmt w:val="bullet"/>
      <w:lvlText w:val="o"/>
      <w:lvlJc w:val="left"/>
      <w:pPr>
        <w:ind w:left="1546" w:hanging="360"/>
      </w:pPr>
      <w:rPr>
        <w:rFonts w:ascii="Courier New" w:hAnsi="Courier New" w:cs="Courier New" w:hint="default"/>
      </w:rPr>
    </w:lvl>
    <w:lvl w:ilvl="2" w:tplc="04240005" w:tentative="1">
      <w:start w:val="1"/>
      <w:numFmt w:val="bullet"/>
      <w:lvlText w:val=""/>
      <w:lvlJc w:val="left"/>
      <w:pPr>
        <w:ind w:left="2266" w:hanging="360"/>
      </w:pPr>
      <w:rPr>
        <w:rFonts w:ascii="Wingdings" w:hAnsi="Wingdings" w:hint="default"/>
      </w:rPr>
    </w:lvl>
    <w:lvl w:ilvl="3" w:tplc="04240001" w:tentative="1">
      <w:start w:val="1"/>
      <w:numFmt w:val="bullet"/>
      <w:lvlText w:val=""/>
      <w:lvlJc w:val="left"/>
      <w:pPr>
        <w:ind w:left="2986" w:hanging="360"/>
      </w:pPr>
      <w:rPr>
        <w:rFonts w:ascii="Symbol" w:hAnsi="Symbol" w:hint="default"/>
      </w:rPr>
    </w:lvl>
    <w:lvl w:ilvl="4" w:tplc="04240003" w:tentative="1">
      <w:start w:val="1"/>
      <w:numFmt w:val="bullet"/>
      <w:lvlText w:val="o"/>
      <w:lvlJc w:val="left"/>
      <w:pPr>
        <w:ind w:left="3706" w:hanging="360"/>
      </w:pPr>
      <w:rPr>
        <w:rFonts w:ascii="Courier New" w:hAnsi="Courier New" w:cs="Courier New" w:hint="default"/>
      </w:rPr>
    </w:lvl>
    <w:lvl w:ilvl="5" w:tplc="04240005" w:tentative="1">
      <w:start w:val="1"/>
      <w:numFmt w:val="bullet"/>
      <w:lvlText w:val=""/>
      <w:lvlJc w:val="left"/>
      <w:pPr>
        <w:ind w:left="4426" w:hanging="360"/>
      </w:pPr>
      <w:rPr>
        <w:rFonts w:ascii="Wingdings" w:hAnsi="Wingdings" w:hint="default"/>
      </w:rPr>
    </w:lvl>
    <w:lvl w:ilvl="6" w:tplc="04240001" w:tentative="1">
      <w:start w:val="1"/>
      <w:numFmt w:val="bullet"/>
      <w:lvlText w:val=""/>
      <w:lvlJc w:val="left"/>
      <w:pPr>
        <w:ind w:left="5146" w:hanging="360"/>
      </w:pPr>
      <w:rPr>
        <w:rFonts w:ascii="Symbol" w:hAnsi="Symbol" w:hint="default"/>
      </w:rPr>
    </w:lvl>
    <w:lvl w:ilvl="7" w:tplc="04240003" w:tentative="1">
      <w:start w:val="1"/>
      <w:numFmt w:val="bullet"/>
      <w:lvlText w:val="o"/>
      <w:lvlJc w:val="left"/>
      <w:pPr>
        <w:ind w:left="5866" w:hanging="360"/>
      </w:pPr>
      <w:rPr>
        <w:rFonts w:ascii="Courier New" w:hAnsi="Courier New" w:cs="Courier New" w:hint="default"/>
      </w:rPr>
    </w:lvl>
    <w:lvl w:ilvl="8" w:tplc="04240005" w:tentative="1">
      <w:start w:val="1"/>
      <w:numFmt w:val="bullet"/>
      <w:lvlText w:val=""/>
      <w:lvlJc w:val="left"/>
      <w:pPr>
        <w:ind w:left="6586"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720"/>
        </w:tabs>
        <w:ind w:left="720" w:hanging="720"/>
      </w:pPr>
      <w:rPr>
        <w:rFonts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nsid w:val="3F7A7031"/>
    <w:multiLevelType w:val="hybridMultilevel"/>
    <w:tmpl w:val="CF2ECB9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47E6AF6"/>
    <w:multiLevelType w:val="hybridMultilevel"/>
    <w:tmpl w:val="53926D94"/>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93D7041"/>
    <w:multiLevelType w:val="hybridMultilevel"/>
    <w:tmpl w:val="92F6550C"/>
    <w:lvl w:ilvl="0" w:tplc="D0E8F596">
      <w:start w:val="3"/>
      <w:numFmt w:val="bullet"/>
      <w:lvlText w:val="–"/>
      <w:lvlJc w:val="left"/>
      <w:pPr>
        <w:ind w:left="360" w:hanging="360"/>
      </w:pPr>
      <w:rPr>
        <w:rFonts w:ascii="Palatino Linotype" w:eastAsia="Times New Roman" w:hAnsi="Palatino Linotype"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A0F69C0"/>
    <w:multiLevelType w:val="hybridMultilevel"/>
    <w:tmpl w:val="6FC8B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B606941"/>
    <w:multiLevelType w:val="hybridMultilevel"/>
    <w:tmpl w:val="B32E717E"/>
    <w:lvl w:ilvl="0" w:tplc="8A62402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005E84"/>
    <w:multiLevelType w:val="hybridMultilevel"/>
    <w:tmpl w:val="624EB50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F333CA"/>
    <w:multiLevelType w:val="hybridMultilevel"/>
    <w:tmpl w:val="36B88B3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527C57"/>
    <w:multiLevelType w:val="hybridMultilevel"/>
    <w:tmpl w:val="DA9077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5037E5B"/>
    <w:multiLevelType w:val="hybridMultilevel"/>
    <w:tmpl w:val="EB2EE4A2"/>
    <w:lvl w:ilvl="0" w:tplc="5A04CF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7296581"/>
    <w:multiLevelType w:val="hybridMultilevel"/>
    <w:tmpl w:val="B8FE943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83505B1"/>
    <w:multiLevelType w:val="hybridMultilevel"/>
    <w:tmpl w:val="F8E4EDE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C7F0758"/>
    <w:multiLevelType w:val="hybridMultilevel"/>
    <w:tmpl w:val="C5FE314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EE10A1A"/>
    <w:multiLevelType w:val="hybridMultilevel"/>
    <w:tmpl w:val="6E9842C4"/>
    <w:lvl w:ilvl="0" w:tplc="427CF90E">
      <w:start w:val="31"/>
      <w:numFmt w:val="bullet"/>
      <w:lvlText w:val="-"/>
      <w:lvlJc w:val="left"/>
      <w:pPr>
        <w:tabs>
          <w:tab w:val="num" w:pos="720"/>
        </w:tabs>
        <w:ind w:left="720" w:hanging="360"/>
      </w:pPr>
      <w:rPr>
        <w:rFonts w:ascii="Verdana" w:eastAsia="Trebuchet MS"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2A97D5F"/>
    <w:multiLevelType w:val="hybridMultilevel"/>
    <w:tmpl w:val="F8C69096"/>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64D4B88"/>
    <w:multiLevelType w:val="hybridMultilevel"/>
    <w:tmpl w:val="BA640B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77776064"/>
    <w:multiLevelType w:val="hybridMultilevel"/>
    <w:tmpl w:val="29B68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33"/>
  </w:num>
  <w:num w:numId="5">
    <w:abstractNumId w:val="21"/>
    <w:lvlOverride w:ilvl="0">
      <w:startOverride w:val="1"/>
    </w:lvlOverride>
  </w:num>
  <w:num w:numId="6">
    <w:abstractNumId w:val="22"/>
  </w:num>
  <w:num w:numId="7">
    <w:abstractNumId w:val="13"/>
  </w:num>
  <w:num w:numId="8">
    <w:abstractNumId w:val="4"/>
  </w:num>
  <w:num w:numId="9">
    <w:abstractNumId w:val="31"/>
  </w:num>
  <w:num w:numId="10">
    <w:abstractNumId w:val="36"/>
  </w:num>
  <w:num w:numId="11">
    <w:abstractNumId w:val="7"/>
  </w:num>
  <w:num w:numId="12">
    <w:abstractNumId w:val="12"/>
  </w:num>
  <w:num w:numId="13">
    <w:abstractNumId w:val="3"/>
  </w:num>
  <w:num w:numId="14">
    <w:abstractNumId w:val="20"/>
  </w:num>
  <w:num w:numId="15">
    <w:abstractNumId w:val="8"/>
  </w:num>
  <w:num w:numId="16">
    <w:abstractNumId w:val="37"/>
  </w:num>
  <w:num w:numId="17">
    <w:abstractNumId w:val="34"/>
  </w:num>
  <w:num w:numId="18">
    <w:abstractNumId w:val="41"/>
  </w:num>
  <w:num w:numId="19">
    <w:abstractNumId w:val="48"/>
  </w:num>
  <w:num w:numId="20">
    <w:abstractNumId w:val="24"/>
  </w:num>
  <w:num w:numId="21">
    <w:abstractNumId w:val="16"/>
  </w:num>
  <w:num w:numId="22">
    <w:abstractNumId w:val="26"/>
  </w:num>
  <w:num w:numId="23">
    <w:abstractNumId w:val="44"/>
  </w:num>
  <w:num w:numId="24">
    <w:abstractNumId w:val="27"/>
  </w:num>
  <w:num w:numId="25">
    <w:abstractNumId w:val="39"/>
  </w:num>
  <w:num w:numId="26">
    <w:abstractNumId w:val="19"/>
  </w:num>
  <w:num w:numId="27">
    <w:abstractNumId w:val="15"/>
  </w:num>
  <w:num w:numId="28">
    <w:abstractNumId w:val="32"/>
  </w:num>
  <w:num w:numId="29">
    <w:abstractNumId w:val="30"/>
  </w:num>
  <w:num w:numId="30">
    <w:abstractNumId w:val="46"/>
  </w:num>
  <w:num w:numId="31">
    <w:abstractNumId w:val="45"/>
  </w:num>
  <w:num w:numId="32">
    <w:abstractNumId w:val="29"/>
  </w:num>
  <w:num w:numId="33">
    <w:abstractNumId w:val="11"/>
  </w:num>
  <w:num w:numId="34">
    <w:abstractNumId w:val="0"/>
  </w:num>
  <w:num w:numId="35">
    <w:abstractNumId w:val="14"/>
  </w:num>
  <w:num w:numId="36">
    <w:abstractNumId w:val="47"/>
  </w:num>
  <w:num w:numId="37">
    <w:abstractNumId w:val="6"/>
  </w:num>
  <w:num w:numId="38">
    <w:abstractNumId w:val="10"/>
  </w:num>
  <w:num w:numId="39">
    <w:abstractNumId w:val="38"/>
  </w:num>
  <w:num w:numId="40">
    <w:abstractNumId w:val="1"/>
  </w:num>
  <w:num w:numId="41">
    <w:abstractNumId w:val="17"/>
  </w:num>
  <w:num w:numId="42">
    <w:abstractNumId w:val="42"/>
  </w:num>
  <w:num w:numId="43">
    <w:abstractNumId w:val="28"/>
  </w:num>
  <w:num w:numId="44">
    <w:abstractNumId w:val="40"/>
  </w:num>
  <w:num w:numId="45">
    <w:abstractNumId w:val="9"/>
  </w:num>
  <w:num w:numId="46">
    <w:abstractNumId w:val="18"/>
  </w:num>
  <w:num w:numId="47">
    <w:abstractNumId w:val="2"/>
  </w:num>
  <w:num w:numId="48">
    <w:abstractNumId w:val="23"/>
  </w:num>
  <w:num w:numId="49">
    <w:abstractNumId w:val="4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BB"/>
    <w:rsid w:val="000025D6"/>
    <w:rsid w:val="00007AAD"/>
    <w:rsid w:val="00010154"/>
    <w:rsid w:val="00010E9A"/>
    <w:rsid w:val="00011337"/>
    <w:rsid w:val="00016BFA"/>
    <w:rsid w:val="00024150"/>
    <w:rsid w:val="00024718"/>
    <w:rsid w:val="000342AC"/>
    <w:rsid w:val="000355C4"/>
    <w:rsid w:val="00040081"/>
    <w:rsid w:val="00044099"/>
    <w:rsid w:val="0005295E"/>
    <w:rsid w:val="00057264"/>
    <w:rsid w:val="000610D0"/>
    <w:rsid w:val="0006204A"/>
    <w:rsid w:val="00067DF9"/>
    <w:rsid w:val="000765B3"/>
    <w:rsid w:val="00076900"/>
    <w:rsid w:val="00082E63"/>
    <w:rsid w:val="00085A42"/>
    <w:rsid w:val="00087E4B"/>
    <w:rsid w:val="00091102"/>
    <w:rsid w:val="000A5074"/>
    <w:rsid w:val="000B1427"/>
    <w:rsid w:val="000B258A"/>
    <w:rsid w:val="000B436C"/>
    <w:rsid w:val="000B7246"/>
    <w:rsid w:val="000C1D53"/>
    <w:rsid w:val="000C4CAB"/>
    <w:rsid w:val="000C6A05"/>
    <w:rsid w:val="000C6D02"/>
    <w:rsid w:val="000D3FF1"/>
    <w:rsid w:val="000E138A"/>
    <w:rsid w:val="000E2C8A"/>
    <w:rsid w:val="000E31FC"/>
    <w:rsid w:val="000E4DC1"/>
    <w:rsid w:val="000F5A91"/>
    <w:rsid w:val="0010031F"/>
    <w:rsid w:val="00106100"/>
    <w:rsid w:val="00106926"/>
    <w:rsid w:val="00106F61"/>
    <w:rsid w:val="0011215B"/>
    <w:rsid w:val="0011374B"/>
    <w:rsid w:val="0011603A"/>
    <w:rsid w:val="0011781E"/>
    <w:rsid w:val="0013095A"/>
    <w:rsid w:val="00136598"/>
    <w:rsid w:val="00143C26"/>
    <w:rsid w:val="001463A6"/>
    <w:rsid w:val="00164B97"/>
    <w:rsid w:val="001703C8"/>
    <w:rsid w:val="00170450"/>
    <w:rsid w:val="00172D6F"/>
    <w:rsid w:val="00176C53"/>
    <w:rsid w:val="00194B09"/>
    <w:rsid w:val="001A280C"/>
    <w:rsid w:val="001A3A10"/>
    <w:rsid w:val="001A43B2"/>
    <w:rsid w:val="001B36DE"/>
    <w:rsid w:val="001B716B"/>
    <w:rsid w:val="001C0A2D"/>
    <w:rsid w:val="001C1A2F"/>
    <w:rsid w:val="001C59FC"/>
    <w:rsid w:val="001D0459"/>
    <w:rsid w:val="001D16C0"/>
    <w:rsid w:val="001D46BD"/>
    <w:rsid w:val="001D62F2"/>
    <w:rsid w:val="001D708A"/>
    <w:rsid w:val="001F3974"/>
    <w:rsid w:val="001F606E"/>
    <w:rsid w:val="001F75BE"/>
    <w:rsid w:val="0020000C"/>
    <w:rsid w:val="002065C1"/>
    <w:rsid w:val="00210D54"/>
    <w:rsid w:val="00212517"/>
    <w:rsid w:val="00213EFE"/>
    <w:rsid w:val="002259B5"/>
    <w:rsid w:val="00227E2F"/>
    <w:rsid w:val="00234B1A"/>
    <w:rsid w:val="00237317"/>
    <w:rsid w:val="002475D6"/>
    <w:rsid w:val="00250B85"/>
    <w:rsid w:val="00254957"/>
    <w:rsid w:val="00255CC0"/>
    <w:rsid w:val="00261F72"/>
    <w:rsid w:val="002709AE"/>
    <w:rsid w:val="0028501E"/>
    <w:rsid w:val="00295F6D"/>
    <w:rsid w:val="0029709A"/>
    <w:rsid w:val="002A4EE8"/>
    <w:rsid w:val="002B6BCF"/>
    <w:rsid w:val="002B70B1"/>
    <w:rsid w:val="002C5D82"/>
    <w:rsid w:val="002D4903"/>
    <w:rsid w:val="002D4D98"/>
    <w:rsid w:val="002D5BE3"/>
    <w:rsid w:val="002E06EC"/>
    <w:rsid w:val="002E1769"/>
    <w:rsid w:val="002E38E8"/>
    <w:rsid w:val="002E3983"/>
    <w:rsid w:val="002E4B67"/>
    <w:rsid w:val="002E58C1"/>
    <w:rsid w:val="002F154D"/>
    <w:rsid w:val="003153E6"/>
    <w:rsid w:val="00333C95"/>
    <w:rsid w:val="0033735B"/>
    <w:rsid w:val="00337B19"/>
    <w:rsid w:val="0034225D"/>
    <w:rsid w:val="0035489C"/>
    <w:rsid w:val="00367A35"/>
    <w:rsid w:val="00376230"/>
    <w:rsid w:val="003777BB"/>
    <w:rsid w:val="00396F50"/>
    <w:rsid w:val="003A02B7"/>
    <w:rsid w:val="003A178A"/>
    <w:rsid w:val="003B04D5"/>
    <w:rsid w:val="003C02C0"/>
    <w:rsid w:val="003C080A"/>
    <w:rsid w:val="003C092D"/>
    <w:rsid w:val="003C278F"/>
    <w:rsid w:val="003C2A79"/>
    <w:rsid w:val="003C68A7"/>
    <w:rsid w:val="003E2246"/>
    <w:rsid w:val="003E4145"/>
    <w:rsid w:val="003E63CE"/>
    <w:rsid w:val="003E6690"/>
    <w:rsid w:val="003E7630"/>
    <w:rsid w:val="003E7FEE"/>
    <w:rsid w:val="003F105C"/>
    <w:rsid w:val="003F36CA"/>
    <w:rsid w:val="003F7101"/>
    <w:rsid w:val="003F712A"/>
    <w:rsid w:val="004059CC"/>
    <w:rsid w:val="00421D13"/>
    <w:rsid w:val="00425109"/>
    <w:rsid w:val="00426900"/>
    <w:rsid w:val="00427339"/>
    <w:rsid w:val="004320FD"/>
    <w:rsid w:val="004336C5"/>
    <w:rsid w:val="0044279C"/>
    <w:rsid w:val="00443134"/>
    <w:rsid w:val="00450F7B"/>
    <w:rsid w:val="0046118D"/>
    <w:rsid w:val="004634FC"/>
    <w:rsid w:val="00480178"/>
    <w:rsid w:val="00480ECA"/>
    <w:rsid w:val="00484C2F"/>
    <w:rsid w:val="00485E07"/>
    <w:rsid w:val="004905F8"/>
    <w:rsid w:val="00495CC4"/>
    <w:rsid w:val="004977FA"/>
    <w:rsid w:val="004A10C2"/>
    <w:rsid w:val="004A167A"/>
    <w:rsid w:val="004A5B99"/>
    <w:rsid w:val="004A7613"/>
    <w:rsid w:val="004B72A8"/>
    <w:rsid w:val="004C708A"/>
    <w:rsid w:val="004E0C32"/>
    <w:rsid w:val="004E0EBF"/>
    <w:rsid w:val="004F165B"/>
    <w:rsid w:val="00522E9D"/>
    <w:rsid w:val="0052779B"/>
    <w:rsid w:val="0053002D"/>
    <w:rsid w:val="0053060F"/>
    <w:rsid w:val="00534971"/>
    <w:rsid w:val="00535FB2"/>
    <w:rsid w:val="005415FB"/>
    <w:rsid w:val="00546E3B"/>
    <w:rsid w:val="0055219B"/>
    <w:rsid w:val="005536BB"/>
    <w:rsid w:val="00563FAF"/>
    <w:rsid w:val="00565010"/>
    <w:rsid w:val="005659A4"/>
    <w:rsid w:val="0056745F"/>
    <w:rsid w:val="00567F81"/>
    <w:rsid w:val="00573B9F"/>
    <w:rsid w:val="005742E5"/>
    <w:rsid w:val="005766A4"/>
    <w:rsid w:val="0057700B"/>
    <w:rsid w:val="00585135"/>
    <w:rsid w:val="00585C93"/>
    <w:rsid w:val="0058728C"/>
    <w:rsid w:val="00590E1B"/>
    <w:rsid w:val="00592853"/>
    <w:rsid w:val="00594AB0"/>
    <w:rsid w:val="00595D76"/>
    <w:rsid w:val="005B1C05"/>
    <w:rsid w:val="005B61C1"/>
    <w:rsid w:val="005B6A64"/>
    <w:rsid w:val="005B7499"/>
    <w:rsid w:val="005C139E"/>
    <w:rsid w:val="005C68BD"/>
    <w:rsid w:val="005D1DE8"/>
    <w:rsid w:val="005D47F9"/>
    <w:rsid w:val="005D5506"/>
    <w:rsid w:val="005E65A2"/>
    <w:rsid w:val="005F121A"/>
    <w:rsid w:val="005F4305"/>
    <w:rsid w:val="005F7105"/>
    <w:rsid w:val="005F7350"/>
    <w:rsid w:val="0060532D"/>
    <w:rsid w:val="0060621C"/>
    <w:rsid w:val="00610D50"/>
    <w:rsid w:val="006163F3"/>
    <w:rsid w:val="00617207"/>
    <w:rsid w:val="006172F1"/>
    <w:rsid w:val="006177BC"/>
    <w:rsid w:val="0062029B"/>
    <w:rsid w:val="00622F9C"/>
    <w:rsid w:val="00626AE4"/>
    <w:rsid w:val="0063157F"/>
    <w:rsid w:val="00634BB3"/>
    <w:rsid w:val="00635C49"/>
    <w:rsid w:val="006363A8"/>
    <w:rsid w:val="00637E86"/>
    <w:rsid w:val="00640DBB"/>
    <w:rsid w:val="00641313"/>
    <w:rsid w:val="00646B8D"/>
    <w:rsid w:val="0065000A"/>
    <w:rsid w:val="00652368"/>
    <w:rsid w:val="006530FF"/>
    <w:rsid w:val="0065326B"/>
    <w:rsid w:val="00661087"/>
    <w:rsid w:val="006669F9"/>
    <w:rsid w:val="00667828"/>
    <w:rsid w:val="00685CBA"/>
    <w:rsid w:val="00695F92"/>
    <w:rsid w:val="006A0C72"/>
    <w:rsid w:val="006A0DCE"/>
    <w:rsid w:val="006A42B1"/>
    <w:rsid w:val="006A6B37"/>
    <w:rsid w:val="006B1864"/>
    <w:rsid w:val="006B54B0"/>
    <w:rsid w:val="006B6607"/>
    <w:rsid w:val="006C3B0A"/>
    <w:rsid w:val="006C6635"/>
    <w:rsid w:val="006D799D"/>
    <w:rsid w:val="006D7A36"/>
    <w:rsid w:val="006E0770"/>
    <w:rsid w:val="006E4D51"/>
    <w:rsid w:val="006E6115"/>
    <w:rsid w:val="006F549D"/>
    <w:rsid w:val="0070024D"/>
    <w:rsid w:val="0071346C"/>
    <w:rsid w:val="007234B4"/>
    <w:rsid w:val="00723DF9"/>
    <w:rsid w:val="007316E5"/>
    <w:rsid w:val="007517C9"/>
    <w:rsid w:val="007542CB"/>
    <w:rsid w:val="0075653D"/>
    <w:rsid w:val="00756A1F"/>
    <w:rsid w:val="00761F15"/>
    <w:rsid w:val="00762031"/>
    <w:rsid w:val="00762D85"/>
    <w:rsid w:val="007649C8"/>
    <w:rsid w:val="007654C2"/>
    <w:rsid w:val="00770127"/>
    <w:rsid w:val="007702A3"/>
    <w:rsid w:val="00771DC9"/>
    <w:rsid w:val="007740AD"/>
    <w:rsid w:val="00775198"/>
    <w:rsid w:val="00787072"/>
    <w:rsid w:val="00795B5B"/>
    <w:rsid w:val="007A19A7"/>
    <w:rsid w:val="007A39C7"/>
    <w:rsid w:val="007B0CF2"/>
    <w:rsid w:val="007B1445"/>
    <w:rsid w:val="007B67FF"/>
    <w:rsid w:val="007D220E"/>
    <w:rsid w:val="007D40F2"/>
    <w:rsid w:val="007D56E9"/>
    <w:rsid w:val="007D5D30"/>
    <w:rsid w:val="007E331C"/>
    <w:rsid w:val="007E4180"/>
    <w:rsid w:val="007E44E8"/>
    <w:rsid w:val="007F182A"/>
    <w:rsid w:val="007F309E"/>
    <w:rsid w:val="008007C4"/>
    <w:rsid w:val="008117E2"/>
    <w:rsid w:val="00816DFB"/>
    <w:rsid w:val="00820E25"/>
    <w:rsid w:val="008214A7"/>
    <w:rsid w:val="0082284D"/>
    <w:rsid w:val="00826516"/>
    <w:rsid w:val="008268CC"/>
    <w:rsid w:val="00826F8D"/>
    <w:rsid w:val="008273BD"/>
    <w:rsid w:val="00831528"/>
    <w:rsid w:val="008329CF"/>
    <w:rsid w:val="008401C9"/>
    <w:rsid w:val="00840A11"/>
    <w:rsid w:val="008440D0"/>
    <w:rsid w:val="008444D2"/>
    <w:rsid w:val="00847E72"/>
    <w:rsid w:val="00851D43"/>
    <w:rsid w:val="00865517"/>
    <w:rsid w:val="0088172E"/>
    <w:rsid w:val="008865A5"/>
    <w:rsid w:val="00894FC3"/>
    <w:rsid w:val="0089528E"/>
    <w:rsid w:val="00895785"/>
    <w:rsid w:val="008A4458"/>
    <w:rsid w:val="008A57C5"/>
    <w:rsid w:val="008E584A"/>
    <w:rsid w:val="008E74F1"/>
    <w:rsid w:val="008F00D8"/>
    <w:rsid w:val="008F57B5"/>
    <w:rsid w:val="0091252E"/>
    <w:rsid w:val="00913AA4"/>
    <w:rsid w:val="009250F4"/>
    <w:rsid w:val="0092569A"/>
    <w:rsid w:val="00926E68"/>
    <w:rsid w:val="00926FDB"/>
    <w:rsid w:val="00931933"/>
    <w:rsid w:val="0093313C"/>
    <w:rsid w:val="00937690"/>
    <w:rsid w:val="00943B51"/>
    <w:rsid w:val="0094760F"/>
    <w:rsid w:val="009553DB"/>
    <w:rsid w:val="00961879"/>
    <w:rsid w:val="0096376E"/>
    <w:rsid w:val="00970214"/>
    <w:rsid w:val="00981297"/>
    <w:rsid w:val="00984DC7"/>
    <w:rsid w:val="00997CB7"/>
    <w:rsid w:val="009A0B23"/>
    <w:rsid w:val="009A100C"/>
    <w:rsid w:val="009A15C9"/>
    <w:rsid w:val="009B01C8"/>
    <w:rsid w:val="009B61B9"/>
    <w:rsid w:val="009B7F4D"/>
    <w:rsid w:val="009C5914"/>
    <w:rsid w:val="009C67B7"/>
    <w:rsid w:val="009C799C"/>
    <w:rsid w:val="009C7E42"/>
    <w:rsid w:val="009D335C"/>
    <w:rsid w:val="009D7319"/>
    <w:rsid w:val="009D7E85"/>
    <w:rsid w:val="009E004A"/>
    <w:rsid w:val="009E7431"/>
    <w:rsid w:val="00A06FFF"/>
    <w:rsid w:val="00A10C58"/>
    <w:rsid w:val="00A10FB5"/>
    <w:rsid w:val="00A1233F"/>
    <w:rsid w:val="00A12B16"/>
    <w:rsid w:val="00A1302A"/>
    <w:rsid w:val="00A21AF2"/>
    <w:rsid w:val="00A26854"/>
    <w:rsid w:val="00A26AB9"/>
    <w:rsid w:val="00A30636"/>
    <w:rsid w:val="00A37BB5"/>
    <w:rsid w:val="00A41EF1"/>
    <w:rsid w:val="00A4461D"/>
    <w:rsid w:val="00A50A39"/>
    <w:rsid w:val="00A56EE3"/>
    <w:rsid w:val="00A574E7"/>
    <w:rsid w:val="00A6738B"/>
    <w:rsid w:val="00A6742A"/>
    <w:rsid w:val="00A73CA2"/>
    <w:rsid w:val="00A82700"/>
    <w:rsid w:val="00A8334C"/>
    <w:rsid w:val="00A921AC"/>
    <w:rsid w:val="00A92602"/>
    <w:rsid w:val="00A949B7"/>
    <w:rsid w:val="00AA11A4"/>
    <w:rsid w:val="00AA216E"/>
    <w:rsid w:val="00AA5EBF"/>
    <w:rsid w:val="00AA650B"/>
    <w:rsid w:val="00AB7102"/>
    <w:rsid w:val="00AC43DA"/>
    <w:rsid w:val="00AD1F82"/>
    <w:rsid w:val="00AD63E1"/>
    <w:rsid w:val="00AE1744"/>
    <w:rsid w:val="00AE6D2A"/>
    <w:rsid w:val="00AF4901"/>
    <w:rsid w:val="00B02565"/>
    <w:rsid w:val="00B16412"/>
    <w:rsid w:val="00B1698A"/>
    <w:rsid w:val="00B22239"/>
    <w:rsid w:val="00B27005"/>
    <w:rsid w:val="00B3466A"/>
    <w:rsid w:val="00B35934"/>
    <w:rsid w:val="00B35974"/>
    <w:rsid w:val="00B3679F"/>
    <w:rsid w:val="00B532EE"/>
    <w:rsid w:val="00B534FD"/>
    <w:rsid w:val="00B61097"/>
    <w:rsid w:val="00B62DC6"/>
    <w:rsid w:val="00B6622C"/>
    <w:rsid w:val="00B71572"/>
    <w:rsid w:val="00B76846"/>
    <w:rsid w:val="00B778D5"/>
    <w:rsid w:val="00B82942"/>
    <w:rsid w:val="00BA151E"/>
    <w:rsid w:val="00BA1AC2"/>
    <w:rsid w:val="00BA1F67"/>
    <w:rsid w:val="00BA2D7E"/>
    <w:rsid w:val="00BA6CD3"/>
    <w:rsid w:val="00BB6818"/>
    <w:rsid w:val="00BC264B"/>
    <w:rsid w:val="00BC2F0B"/>
    <w:rsid w:val="00BD4DFB"/>
    <w:rsid w:val="00BD576D"/>
    <w:rsid w:val="00BD796F"/>
    <w:rsid w:val="00BE05BD"/>
    <w:rsid w:val="00BE55B3"/>
    <w:rsid w:val="00BF77A5"/>
    <w:rsid w:val="00C01561"/>
    <w:rsid w:val="00C01928"/>
    <w:rsid w:val="00C040ED"/>
    <w:rsid w:val="00C124F0"/>
    <w:rsid w:val="00C138A2"/>
    <w:rsid w:val="00C22788"/>
    <w:rsid w:val="00C22EF1"/>
    <w:rsid w:val="00C2477F"/>
    <w:rsid w:val="00C36274"/>
    <w:rsid w:val="00C36588"/>
    <w:rsid w:val="00C40A5E"/>
    <w:rsid w:val="00C442FB"/>
    <w:rsid w:val="00C54AF2"/>
    <w:rsid w:val="00C61699"/>
    <w:rsid w:val="00C66113"/>
    <w:rsid w:val="00C70095"/>
    <w:rsid w:val="00C80F5C"/>
    <w:rsid w:val="00C8484D"/>
    <w:rsid w:val="00C851B3"/>
    <w:rsid w:val="00C85BC7"/>
    <w:rsid w:val="00C90706"/>
    <w:rsid w:val="00C956D4"/>
    <w:rsid w:val="00C9672B"/>
    <w:rsid w:val="00C9755B"/>
    <w:rsid w:val="00CB104D"/>
    <w:rsid w:val="00CB1854"/>
    <w:rsid w:val="00CB1EDA"/>
    <w:rsid w:val="00CC5F06"/>
    <w:rsid w:val="00CC6DBF"/>
    <w:rsid w:val="00CD1BFC"/>
    <w:rsid w:val="00CD504D"/>
    <w:rsid w:val="00CE1EFF"/>
    <w:rsid w:val="00CE55EE"/>
    <w:rsid w:val="00D11434"/>
    <w:rsid w:val="00D231D9"/>
    <w:rsid w:val="00D34F7E"/>
    <w:rsid w:val="00D35E11"/>
    <w:rsid w:val="00D50956"/>
    <w:rsid w:val="00D565BC"/>
    <w:rsid w:val="00D652BC"/>
    <w:rsid w:val="00D65680"/>
    <w:rsid w:val="00D6653B"/>
    <w:rsid w:val="00D70AD8"/>
    <w:rsid w:val="00D74E79"/>
    <w:rsid w:val="00D77E07"/>
    <w:rsid w:val="00D81A81"/>
    <w:rsid w:val="00D82BDF"/>
    <w:rsid w:val="00D83EAB"/>
    <w:rsid w:val="00D8554A"/>
    <w:rsid w:val="00D86D9A"/>
    <w:rsid w:val="00D86E03"/>
    <w:rsid w:val="00D91EA6"/>
    <w:rsid w:val="00D95876"/>
    <w:rsid w:val="00D96895"/>
    <w:rsid w:val="00DA53F9"/>
    <w:rsid w:val="00DC3F9B"/>
    <w:rsid w:val="00DD2B18"/>
    <w:rsid w:val="00DE377C"/>
    <w:rsid w:val="00DE39FD"/>
    <w:rsid w:val="00DE63D9"/>
    <w:rsid w:val="00DF23F0"/>
    <w:rsid w:val="00DF262B"/>
    <w:rsid w:val="00DF70BE"/>
    <w:rsid w:val="00E0086A"/>
    <w:rsid w:val="00E00C8C"/>
    <w:rsid w:val="00E039EE"/>
    <w:rsid w:val="00E1223F"/>
    <w:rsid w:val="00E24608"/>
    <w:rsid w:val="00E50485"/>
    <w:rsid w:val="00E55FFD"/>
    <w:rsid w:val="00E666F3"/>
    <w:rsid w:val="00E70345"/>
    <w:rsid w:val="00E76957"/>
    <w:rsid w:val="00E9424F"/>
    <w:rsid w:val="00E96DB5"/>
    <w:rsid w:val="00EA69C8"/>
    <w:rsid w:val="00EA6B31"/>
    <w:rsid w:val="00EA7B4C"/>
    <w:rsid w:val="00EB748D"/>
    <w:rsid w:val="00EC0257"/>
    <w:rsid w:val="00ED5E3E"/>
    <w:rsid w:val="00EE2103"/>
    <w:rsid w:val="00EE6583"/>
    <w:rsid w:val="00EE6F80"/>
    <w:rsid w:val="00EF4E70"/>
    <w:rsid w:val="00F008B0"/>
    <w:rsid w:val="00F02B4B"/>
    <w:rsid w:val="00F06A49"/>
    <w:rsid w:val="00F10898"/>
    <w:rsid w:val="00F11A4D"/>
    <w:rsid w:val="00F15571"/>
    <w:rsid w:val="00F22361"/>
    <w:rsid w:val="00F32827"/>
    <w:rsid w:val="00F353BB"/>
    <w:rsid w:val="00F360A1"/>
    <w:rsid w:val="00F4060E"/>
    <w:rsid w:val="00F44710"/>
    <w:rsid w:val="00F5111D"/>
    <w:rsid w:val="00F5230F"/>
    <w:rsid w:val="00F570F3"/>
    <w:rsid w:val="00F644B2"/>
    <w:rsid w:val="00F655E9"/>
    <w:rsid w:val="00F67C93"/>
    <w:rsid w:val="00F7117B"/>
    <w:rsid w:val="00F80C9F"/>
    <w:rsid w:val="00F8330D"/>
    <w:rsid w:val="00F873E9"/>
    <w:rsid w:val="00F87EDC"/>
    <w:rsid w:val="00F91084"/>
    <w:rsid w:val="00F93A63"/>
    <w:rsid w:val="00F974F0"/>
    <w:rsid w:val="00FA42D4"/>
    <w:rsid w:val="00FA47C8"/>
    <w:rsid w:val="00FA6B76"/>
    <w:rsid w:val="00FB5D49"/>
    <w:rsid w:val="00FC065D"/>
    <w:rsid w:val="00FC11FB"/>
    <w:rsid w:val="00FC1EC0"/>
    <w:rsid w:val="00FC3466"/>
    <w:rsid w:val="00FC445B"/>
    <w:rsid w:val="00FD2958"/>
    <w:rsid w:val="00FD70BA"/>
    <w:rsid w:val="00FE2404"/>
    <w:rsid w:val="00FF7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316E5"/>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Telobesedila">
    <w:name w:val="Body Text"/>
    <w:basedOn w:val="Navaden"/>
    <w:link w:val="TelobesedilaZnak"/>
    <w:rsid w:val="00480178"/>
    <w:pPr>
      <w:suppressAutoHyphens w:val="0"/>
      <w:spacing w:after="120" w:line="260" w:lineRule="exact"/>
    </w:pPr>
    <w:rPr>
      <w:rFonts w:ascii="Arial" w:hAnsi="Arial"/>
      <w:sz w:val="20"/>
      <w:lang w:val="en-US" w:eastAsia="en-US"/>
    </w:rPr>
  </w:style>
  <w:style w:type="character" w:customStyle="1" w:styleId="TelobesedilaZnak">
    <w:name w:val="Telo besedila Znak"/>
    <w:link w:val="Telobesedila"/>
    <w:rsid w:val="00480178"/>
    <w:rPr>
      <w:rFonts w:ascii="Arial" w:hAnsi="Arial"/>
      <w:szCs w:val="24"/>
      <w:lang w:val="en-US" w:eastAsia="en-US"/>
    </w:rPr>
  </w:style>
  <w:style w:type="character" w:styleId="Pripombasklic">
    <w:name w:val="annotation reference"/>
    <w:rsid w:val="0082284D"/>
    <w:rPr>
      <w:sz w:val="16"/>
      <w:szCs w:val="16"/>
    </w:rPr>
  </w:style>
  <w:style w:type="paragraph" w:styleId="Pripombabesedilo">
    <w:name w:val="annotation text"/>
    <w:basedOn w:val="Navaden"/>
    <w:link w:val="PripombabesediloZnak"/>
    <w:rsid w:val="0082284D"/>
    <w:rPr>
      <w:sz w:val="20"/>
      <w:szCs w:val="20"/>
    </w:rPr>
  </w:style>
  <w:style w:type="character" w:customStyle="1" w:styleId="PripombabesediloZnak">
    <w:name w:val="Pripomba – besedilo Znak"/>
    <w:link w:val="Pripombabesedilo"/>
    <w:rsid w:val="0082284D"/>
    <w:rPr>
      <w:lang w:eastAsia="ar-SA"/>
    </w:rPr>
  </w:style>
  <w:style w:type="paragraph" w:styleId="Zadevapripombe">
    <w:name w:val="annotation subject"/>
    <w:basedOn w:val="Pripombabesedilo"/>
    <w:next w:val="Pripombabesedilo"/>
    <w:link w:val="ZadevapripombeZnak"/>
    <w:rsid w:val="0082284D"/>
    <w:rPr>
      <w:b/>
      <w:bCs/>
    </w:rPr>
  </w:style>
  <w:style w:type="character" w:customStyle="1" w:styleId="ZadevapripombeZnak">
    <w:name w:val="Zadeva pripombe Znak"/>
    <w:link w:val="Zadevapripombe"/>
    <w:rsid w:val="0082284D"/>
    <w:rPr>
      <w:b/>
      <w:bCs/>
      <w:lang w:eastAsia="ar-SA"/>
    </w:rPr>
  </w:style>
  <w:style w:type="paragraph" w:styleId="Sprotnaopomba-besedilo">
    <w:name w:val="footnote text"/>
    <w:basedOn w:val="Navaden"/>
    <w:link w:val="Sprotnaopomba-besediloZnak"/>
    <w:rsid w:val="004B72A8"/>
    <w:rPr>
      <w:sz w:val="20"/>
      <w:szCs w:val="20"/>
    </w:rPr>
  </w:style>
  <w:style w:type="character" w:customStyle="1" w:styleId="Sprotnaopomba-besediloZnak">
    <w:name w:val="Sprotna opomba - besedilo Znak"/>
    <w:basedOn w:val="Privzetapisavaodstavka"/>
    <w:link w:val="Sprotnaopomba-besedilo"/>
    <w:rsid w:val="004B72A8"/>
    <w:rPr>
      <w:lang w:eastAsia="ar-SA"/>
    </w:rPr>
  </w:style>
  <w:style w:type="character" w:styleId="Sprotnaopomba-sklic">
    <w:name w:val="footnote reference"/>
    <w:basedOn w:val="Privzetapisavaodstavka"/>
    <w:rsid w:val="004B72A8"/>
    <w:rPr>
      <w:vertAlign w:val="superscript"/>
    </w:rPr>
  </w:style>
  <w:style w:type="paragraph" w:styleId="Odstavekseznama">
    <w:name w:val="List Paragraph"/>
    <w:basedOn w:val="Navaden"/>
    <w:uiPriority w:val="34"/>
    <w:qFormat/>
    <w:rsid w:val="00530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316E5"/>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Telobesedila">
    <w:name w:val="Body Text"/>
    <w:basedOn w:val="Navaden"/>
    <w:link w:val="TelobesedilaZnak"/>
    <w:rsid w:val="00480178"/>
    <w:pPr>
      <w:suppressAutoHyphens w:val="0"/>
      <w:spacing w:after="120" w:line="260" w:lineRule="exact"/>
    </w:pPr>
    <w:rPr>
      <w:rFonts w:ascii="Arial" w:hAnsi="Arial"/>
      <w:sz w:val="20"/>
      <w:lang w:val="en-US" w:eastAsia="en-US"/>
    </w:rPr>
  </w:style>
  <w:style w:type="character" w:customStyle="1" w:styleId="TelobesedilaZnak">
    <w:name w:val="Telo besedila Znak"/>
    <w:link w:val="Telobesedila"/>
    <w:rsid w:val="00480178"/>
    <w:rPr>
      <w:rFonts w:ascii="Arial" w:hAnsi="Arial"/>
      <w:szCs w:val="24"/>
      <w:lang w:val="en-US" w:eastAsia="en-US"/>
    </w:rPr>
  </w:style>
  <w:style w:type="character" w:styleId="Pripombasklic">
    <w:name w:val="annotation reference"/>
    <w:rsid w:val="0082284D"/>
    <w:rPr>
      <w:sz w:val="16"/>
      <w:szCs w:val="16"/>
    </w:rPr>
  </w:style>
  <w:style w:type="paragraph" w:styleId="Pripombabesedilo">
    <w:name w:val="annotation text"/>
    <w:basedOn w:val="Navaden"/>
    <w:link w:val="PripombabesediloZnak"/>
    <w:rsid w:val="0082284D"/>
    <w:rPr>
      <w:sz w:val="20"/>
      <w:szCs w:val="20"/>
    </w:rPr>
  </w:style>
  <w:style w:type="character" w:customStyle="1" w:styleId="PripombabesediloZnak">
    <w:name w:val="Pripomba – besedilo Znak"/>
    <w:link w:val="Pripombabesedilo"/>
    <w:rsid w:val="0082284D"/>
    <w:rPr>
      <w:lang w:eastAsia="ar-SA"/>
    </w:rPr>
  </w:style>
  <w:style w:type="paragraph" w:styleId="Zadevapripombe">
    <w:name w:val="annotation subject"/>
    <w:basedOn w:val="Pripombabesedilo"/>
    <w:next w:val="Pripombabesedilo"/>
    <w:link w:val="ZadevapripombeZnak"/>
    <w:rsid w:val="0082284D"/>
    <w:rPr>
      <w:b/>
      <w:bCs/>
    </w:rPr>
  </w:style>
  <w:style w:type="character" w:customStyle="1" w:styleId="ZadevapripombeZnak">
    <w:name w:val="Zadeva pripombe Znak"/>
    <w:link w:val="Zadevapripombe"/>
    <w:rsid w:val="0082284D"/>
    <w:rPr>
      <w:b/>
      <w:bCs/>
      <w:lang w:eastAsia="ar-SA"/>
    </w:rPr>
  </w:style>
  <w:style w:type="paragraph" w:styleId="Sprotnaopomba-besedilo">
    <w:name w:val="footnote text"/>
    <w:basedOn w:val="Navaden"/>
    <w:link w:val="Sprotnaopomba-besediloZnak"/>
    <w:rsid w:val="004B72A8"/>
    <w:rPr>
      <w:sz w:val="20"/>
      <w:szCs w:val="20"/>
    </w:rPr>
  </w:style>
  <w:style w:type="character" w:customStyle="1" w:styleId="Sprotnaopomba-besediloZnak">
    <w:name w:val="Sprotna opomba - besedilo Znak"/>
    <w:basedOn w:val="Privzetapisavaodstavka"/>
    <w:link w:val="Sprotnaopomba-besedilo"/>
    <w:rsid w:val="004B72A8"/>
    <w:rPr>
      <w:lang w:eastAsia="ar-SA"/>
    </w:rPr>
  </w:style>
  <w:style w:type="character" w:styleId="Sprotnaopomba-sklic">
    <w:name w:val="footnote reference"/>
    <w:basedOn w:val="Privzetapisavaodstavka"/>
    <w:rsid w:val="004B72A8"/>
    <w:rPr>
      <w:vertAlign w:val="superscript"/>
    </w:rPr>
  </w:style>
  <w:style w:type="paragraph" w:styleId="Odstavekseznama">
    <w:name w:val="List Paragraph"/>
    <w:basedOn w:val="Navaden"/>
    <w:uiPriority w:val="34"/>
    <w:qFormat/>
    <w:rsid w:val="00530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5379">
      <w:bodyDiv w:val="1"/>
      <w:marLeft w:val="0"/>
      <w:marRight w:val="0"/>
      <w:marTop w:val="0"/>
      <w:marBottom w:val="0"/>
      <w:divBdr>
        <w:top w:val="none" w:sz="0" w:space="0" w:color="auto"/>
        <w:left w:val="none" w:sz="0" w:space="0" w:color="auto"/>
        <w:bottom w:val="none" w:sz="0" w:space="0" w:color="auto"/>
        <w:right w:val="none" w:sz="0" w:space="0" w:color="auto"/>
      </w:divBdr>
    </w:div>
    <w:div w:id="447939113">
      <w:bodyDiv w:val="1"/>
      <w:marLeft w:val="0"/>
      <w:marRight w:val="0"/>
      <w:marTop w:val="0"/>
      <w:marBottom w:val="0"/>
      <w:divBdr>
        <w:top w:val="none" w:sz="0" w:space="0" w:color="auto"/>
        <w:left w:val="none" w:sz="0" w:space="0" w:color="auto"/>
        <w:bottom w:val="none" w:sz="0" w:space="0" w:color="auto"/>
        <w:right w:val="none" w:sz="0" w:space="0" w:color="auto"/>
      </w:divBdr>
      <w:divsChild>
        <w:div w:id="476343291">
          <w:marLeft w:val="0"/>
          <w:marRight w:val="0"/>
          <w:marTop w:val="0"/>
          <w:marBottom w:val="0"/>
          <w:divBdr>
            <w:top w:val="none" w:sz="0" w:space="0" w:color="auto"/>
            <w:left w:val="none" w:sz="0" w:space="0" w:color="auto"/>
            <w:bottom w:val="none" w:sz="0" w:space="0" w:color="auto"/>
            <w:right w:val="none" w:sz="0" w:space="0" w:color="auto"/>
          </w:divBdr>
          <w:divsChild>
            <w:div w:id="1618756667">
              <w:marLeft w:val="0"/>
              <w:marRight w:val="0"/>
              <w:marTop w:val="0"/>
              <w:marBottom w:val="0"/>
              <w:divBdr>
                <w:top w:val="none" w:sz="0" w:space="0" w:color="auto"/>
                <w:left w:val="none" w:sz="0" w:space="0" w:color="auto"/>
                <w:bottom w:val="none" w:sz="0" w:space="0" w:color="auto"/>
                <w:right w:val="none" w:sz="0" w:space="0" w:color="auto"/>
              </w:divBdr>
            </w:div>
          </w:divsChild>
        </w:div>
        <w:div w:id="1542786709">
          <w:marLeft w:val="0"/>
          <w:marRight w:val="0"/>
          <w:marTop w:val="0"/>
          <w:marBottom w:val="0"/>
          <w:divBdr>
            <w:top w:val="none" w:sz="0" w:space="0" w:color="auto"/>
            <w:left w:val="none" w:sz="0" w:space="0" w:color="auto"/>
            <w:bottom w:val="none" w:sz="0" w:space="0" w:color="auto"/>
            <w:right w:val="none" w:sz="0" w:space="0" w:color="auto"/>
          </w:divBdr>
          <w:divsChild>
            <w:div w:id="3950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2186">
      <w:bodyDiv w:val="1"/>
      <w:marLeft w:val="0"/>
      <w:marRight w:val="0"/>
      <w:marTop w:val="0"/>
      <w:marBottom w:val="0"/>
      <w:divBdr>
        <w:top w:val="none" w:sz="0" w:space="0" w:color="auto"/>
        <w:left w:val="none" w:sz="0" w:space="0" w:color="auto"/>
        <w:bottom w:val="none" w:sz="0" w:space="0" w:color="auto"/>
        <w:right w:val="none" w:sz="0" w:space="0" w:color="auto"/>
      </w:divBdr>
    </w:div>
    <w:div w:id="794367335">
      <w:bodyDiv w:val="1"/>
      <w:marLeft w:val="0"/>
      <w:marRight w:val="0"/>
      <w:marTop w:val="0"/>
      <w:marBottom w:val="0"/>
      <w:divBdr>
        <w:top w:val="none" w:sz="0" w:space="0" w:color="auto"/>
        <w:left w:val="none" w:sz="0" w:space="0" w:color="auto"/>
        <w:bottom w:val="none" w:sz="0" w:space="0" w:color="auto"/>
        <w:right w:val="none" w:sz="0" w:space="0" w:color="auto"/>
      </w:divBdr>
    </w:div>
    <w:div w:id="798188219">
      <w:bodyDiv w:val="1"/>
      <w:marLeft w:val="0"/>
      <w:marRight w:val="0"/>
      <w:marTop w:val="0"/>
      <w:marBottom w:val="0"/>
      <w:divBdr>
        <w:top w:val="none" w:sz="0" w:space="0" w:color="auto"/>
        <w:left w:val="none" w:sz="0" w:space="0" w:color="auto"/>
        <w:bottom w:val="none" w:sz="0" w:space="0" w:color="auto"/>
        <w:right w:val="none" w:sz="0" w:space="0" w:color="auto"/>
      </w:divBdr>
      <w:divsChild>
        <w:div w:id="665085920">
          <w:marLeft w:val="0"/>
          <w:marRight w:val="0"/>
          <w:marTop w:val="0"/>
          <w:marBottom w:val="0"/>
          <w:divBdr>
            <w:top w:val="none" w:sz="0" w:space="0" w:color="auto"/>
            <w:left w:val="none" w:sz="0" w:space="0" w:color="auto"/>
            <w:bottom w:val="none" w:sz="0" w:space="0" w:color="auto"/>
            <w:right w:val="none" w:sz="0" w:space="0" w:color="auto"/>
          </w:divBdr>
          <w:divsChild>
            <w:div w:id="5446359">
              <w:marLeft w:val="0"/>
              <w:marRight w:val="0"/>
              <w:marTop w:val="0"/>
              <w:marBottom w:val="0"/>
              <w:divBdr>
                <w:top w:val="none" w:sz="0" w:space="0" w:color="auto"/>
                <w:left w:val="none" w:sz="0" w:space="0" w:color="auto"/>
                <w:bottom w:val="none" w:sz="0" w:space="0" w:color="auto"/>
                <w:right w:val="none" w:sz="0" w:space="0" w:color="auto"/>
              </w:divBdr>
            </w:div>
          </w:divsChild>
        </w:div>
        <w:div w:id="752706903">
          <w:marLeft w:val="0"/>
          <w:marRight w:val="0"/>
          <w:marTop w:val="0"/>
          <w:marBottom w:val="0"/>
          <w:divBdr>
            <w:top w:val="none" w:sz="0" w:space="0" w:color="auto"/>
            <w:left w:val="none" w:sz="0" w:space="0" w:color="auto"/>
            <w:bottom w:val="none" w:sz="0" w:space="0" w:color="auto"/>
            <w:right w:val="none" w:sz="0" w:space="0" w:color="auto"/>
          </w:divBdr>
          <w:divsChild>
            <w:div w:id="476075876">
              <w:marLeft w:val="0"/>
              <w:marRight w:val="0"/>
              <w:marTop w:val="0"/>
              <w:marBottom w:val="0"/>
              <w:divBdr>
                <w:top w:val="none" w:sz="0" w:space="0" w:color="auto"/>
                <w:left w:val="none" w:sz="0" w:space="0" w:color="auto"/>
                <w:bottom w:val="none" w:sz="0" w:space="0" w:color="auto"/>
                <w:right w:val="none" w:sz="0" w:space="0" w:color="auto"/>
              </w:divBdr>
            </w:div>
          </w:divsChild>
        </w:div>
        <w:div w:id="1879202891">
          <w:marLeft w:val="0"/>
          <w:marRight w:val="0"/>
          <w:marTop w:val="0"/>
          <w:marBottom w:val="0"/>
          <w:divBdr>
            <w:top w:val="none" w:sz="0" w:space="0" w:color="auto"/>
            <w:left w:val="none" w:sz="0" w:space="0" w:color="auto"/>
            <w:bottom w:val="none" w:sz="0" w:space="0" w:color="auto"/>
            <w:right w:val="none" w:sz="0" w:space="0" w:color="auto"/>
          </w:divBdr>
          <w:divsChild>
            <w:div w:id="1716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00873">
      <w:bodyDiv w:val="1"/>
      <w:marLeft w:val="0"/>
      <w:marRight w:val="0"/>
      <w:marTop w:val="0"/>
      <w:marBottom w:val="0"/>
      <w:divBdr>
        <w:top w:val="none" w:sz="0" w:space="0" w:color="auto"/>
        <w:left w:val="none" w:sz="0" w:space="0" w:color="auto"/>
        <w:bottom w:val="none" w:sz="0" w:space="0" w:color="auto"/>
        <w:right w:val="none" w:sz="0" w:space="0" w:color="auto"/>
      </w:divBdr>
    </w:div>
    <w:div w:id="1143352787">
      <w:bodyDiv w:val="1"/>
      <w:marLeft w:val="0"/>
      <w:marRight w:val="0"/>
      <w:marTop w:val="0"/>
      <w:marBottom w:val="0"/>
      <w:divBdr>
        <w:top w:val="none" w:sz="0" w:space="0" w:color="auto"/>
        <w:left w:val="none" w:sz="0" w:space="0" w:color="auto"/>
        <w:bottom w:val="none" w:sz="0" w:space="0" w:color="auto"/>
        <w:right w:val="none" w:sz="0" w:space="0" w:color="auto"/>
      </w:divBdr>
    </w:div>
    <w:div w:id="1462571524">
      <w:bodyDiv w:val="1"/>
      <w:marLeft w:val="0"/>
      <w:marRight w:val="0"/>
      <w:marTop w:val="0"/>
      <w:marBottom w:val="0"/>
      <w:divBdr>
        <w:top w:val="none" w:sz="0" w:space="0" w:color="auto"/>
        <w:left w:val="none" w:sz="0" w:space="0" w:color="auto"/>
        <w:bottom w:val="none" w:sz="0" w:space="0" w:color="auto"/>
        <w:right w:val="none" w:sz="0" w:space="0" w:color="auto"/>
      </w:divBdr>
    </w:div>
    <w:div w:id="1557625677">
      <w:bodyDiv w:val="1"/>
      <w:marLeft w:val="0"/>
      <w:marRight w:val="0"/>
      <w:marTop w:val="0"/>
      <w:marBottom w:val="0"/>
      <w:divBdr>
        <w:top w:val="none" w:sz="0" w:space="0" w:color="auto"/>
        <w:left w:val="none" w:sz="0" w:space="0" w:color="auto"/>
        <w:bottom w:val="none" w:sz="0" w:space="0" w:color="auto"/>
        <w:right w:val="none" w:sz="0" w:space="0" w:color="auto"/>
      </w:divBdr>
      <w:divsChild>
        <w:div w:id="1538815504">
          <w:marLeft w:val="0"/>
          <w:marRight w:val="0"/>
          <w:marTop w:val="0"/>
          <w:marBottom w:val="0"/>
          <w:divBdr>
            <w:top w:val="none" w:sz="0" w:space="0" w:color="auto"/>
            <w:left w:val="none" w:sz="0" w:space="0" w:color="auto"/>
            <w:bottom w:val="none" w:sz="0" w:space="0" w:color="auto"/>
            <w:right w:val="none" w:sz="0" w:space="0" w:color="auto"/>
          </w:divBdr>
          <w:divsChild>
            <w:div w:id="877282404">
              <w:marLeft w:val="0"/>
              <w:marRight w:val="0"/>
              <w:marTop w:val="0"/>
              <w:marBottom w:val="0"/>
              <w:divBdr>
                <w:top w:val="none" w:sz="0" w:space="0" w:color="auto"/>
                <w:left w:val="none" w:sz="0" w:space="0" w:color="auto"/>
                <w:bottom w:val="none" w:sz="0" w:space="0" w:color="auto"/>
                <w:right w:val="none" w:sz="0" w:space="0" w:color="auto"/>
              </w:divBdr>
            </w:div>
          </w:divsChild>
        </w:div>
        <w:div w:id="1745177646">
          <w:marLeft w:val="0"/>
          <w:marRight w:val="0"/>
          <w:marTop w:val="0"/>
          <w:marBottom w:val="0"/>
          <w:divBdr>
            <w:top w:val="none" w:sz="0" w:space="0" w:color="auto"/>
            <w:left w:val="none" w:sz="0" w:space="0" w:color="auto"/>
            <w:bottom w:val="none" w:sz="0" w:space="0" w:color="auto"/>
            <w:right w:val="none" w:sz="0" w:space="0" w:color="auto"/>
          </w:divBdr>
          <w:divsChild>
            <w:div w:id="1721780098">
              <w:marLeft w:val="0"/>
              <w:marRight w:val="0"/>
              <w:marTop w:val="0"/>
              <w:marBottom w:val="0"/>
              <w:divBdr>
                <w:top w:val="none" w:sz="0" w:space="0" w:color="auto"/>
                <w:left w:val="none" w:sz="0" w:space="0" w:color="auto"/>
                <w:bottom w:val="none" w:sz="0" w:space="0" w:color="auto"/>
                <w:right w:val="none" w:sz="0" w:space="0" w:color="auto"/>
              </w:divBdr>
            </w:div>
          </w:divsChild>
        </w:div>
        <w:div w:id="1172526954">
          <w:marLeft w:val="0"/>
          <w:marRight w:val="0"/>
          <w:marTop w:val="0"/>
          <w:marBottom w:val="0"/>
          <w:divBdr>
            <w:top w:val="none" w:sz="0" w:space="0" w:color="auto"/>
            <w:left w:val="none" w:sz="0" w:space="0" w:color="auto"/>
            <w:bottom w:val="none" w:sz="0" w:space="0" w:color="auto"/>
            <w:right w:val="none" w:sz="0" w:space="0" w:color="auto"/>
          </w:divBdr>
          <w:divsChild>
            <w:div w:id="826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9066">
      <w:bodyDiv w:val="1"/>
      <w:marLeft w:val="0"/>
      <w:marRight w:val="0"/>
      <w:marTop w:val="0"/>
      <w:marBottom w:val="0"/>
      <w:divBdr>
        <w:top w:val="none" w:sz="0" w:space="0" w:color="auto"/>
        <w:left w:val="none" w:sz="0" w:space="0" w:color="auto"/>
        <w:bottom w:val="none" w:sz="0" w:space="0" w:color="auto"/>
        <w:right w:val="none" w:sz="0" w:space="0" w:color="auto"/>
      </w:divBdr>
    </w:div>
    <w:div w:id="1733695321">
      <w:bodyDiv w:val="1"/>
      <w:marLeft w:val="0"/>
      <w:marRight w:val="0"/>
      <w:marTop w:val="0"/>
      <w:marBottom w:val="0"/>
      <w:divBdr>
        <w:top w:val="none" w:sz="0" w:space="0" w:color="auto"/>
        <w:left w:val="none" w:sz="0" w:space="0" w:color="auto"/>
        <w:bottom w:val="none" w:sz="0" w:space="0" w:color="auto"/>
        <w:right w:val="none" w:sz="0" w:space="0" w:color="auto"/>
      </w:divBdr>
    </w:div>
    <w:div w:id="1770390999">
      <w:bodyDiv w:val="1"/>
      <w:marLeft w:val="0"/>
      <w:marRight w:val="0"/>
      <w:marTop w:val="0"/>
      <w:marBottom w:val="0"/>
      <w:divBdr>
        <w:top w:val="none" w:sz="0" w:space="0" w:color="auto"/>
        <w:left w:val="none" w:sz="0" w:space="0" w:color="auto"/>
        <w:bottom w:val="none" w:sz="0" w:space="0" w:color="auto"/>
        <w:right w:val="none" w:sz="0" w:space="0" w:color="auto"/>
      </w:divBdr>
    </w:div>
    <w:div w:id="1773477933">
      <w:bodyDiv w:val="1"/>
      <w:marLeft w:val="0"/>
      <w:marRight w:val="0"/>
      <w:marTop w:val="0"/>
      <w:marBottom w:val="0"/>
      <w:divBdr>
        <w:top w:val="none" w:sz="0" w:space="0" w:color="auto"/>
        <w:left w:val="none" w:sz="0" w:space="0" w:color="auto"/>
        <w:bottom w:val="none" w:sz="0" w:space="0" w:color="auto"/>
        <w:right w:val="none" w:sz="0" w:space="0" w:color="auto"/>
      </w:divBdr>
    </w:div>
    <w:div w:id="1879124772">
      <w:bodyDiv w:val="1"/>
      <w:marLeft w:val="0"/>
      <w:marRight w:val="0"/>
      <w:marTop w:val="0"/>
      <w:marBottom w:val="0"/>
      <w:divBdr>
        <w:top w:val="none" w:sz="0" w:space="0" w:color="auto"/>
        <w:left w:val="none" w:sz="0" w:space="0" w:color="auto"/>
        <w:bottom w:val="none" w:sz="0" w:space="0" w:color="auto"/>
        <w:right w:val="none" w:sz="0" w:space="0" w:color="auto"/>
      </w:divBdr>
    </w:div>
    <w:div w:id="1972785305">
      <w:bodyDiv w:val="1"/>
      <w:marLeft w:val="0"/>
      <w:marRight w:val="0"/>
      <w:marTop w:val="0"/>
      <w:marBottom w:val="0"/>
      <w:divBdr>
        <w:top w:val="none" w:sz="0" w:space="0" w:color="auto"/>
        <w:left w:val="none" w:sz="0" w:space="0" w:color="auto"/>
        <w:bottom w:val="none" w:sz="0" w:space="0" w:color="auto"/>
        <w:right w:val="none" w:sz="0" w:space="0" w:color="auto"/>
      </w:divBdr>
    </w:div>
    <w:div w:id="20926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p.gs@gov.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A806-F9EC-4884-A87A-281F9C30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9139</Words>
  <Characters>52096</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61113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Bojanovič</dc:creator>
  <cp:lastModifiedBy>Hinko Šolinc</cp:lastModifiedBy>
  <cp:revision>10</cp:revision>
  <cp:lastPrinted>2014-12-09T08:46:00Z</cp:lastPrinted>
  <dcterms:created xsi:type="dcterms:W3CDTF">2014-12-08T08:44:00Z</dcterms:created>
  <dcterms:modified xsi:type="dcterms:W3CDTF">2014-12-09T08:50:00Z</dcterms:modified>
</cp:coreProperties>
</file>