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8"/>
        <w:gridCol w:w="4648"/>
        <w:gridCol w:w="796"/>
        <w:gridCol w:w="2271"/>
      </w:tblGrid>
      <w:tr w:rsidR="002D3DF6" w:rsidRPr="00F9071B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Številka: IPP 007-29/</w:t>
            </w:r>
            <w:r w:rsidRPr="00D51DB9">
              <w:rPr>
                <w:rFonts w:cs="Arial"/>
                <w:sz w:val="20"/>
              </w:rPr>
              <w:t>2015/</w:t>
            </w:r>
            <w:r w:rsidR="00086C1B">
              <w:rPr>
                <w:rFonts w:cs="Arial"/>
                <w:sz w:val="20"/>
              </w:rPr>
              <w:t>11</w:t>
            </w:r>
          </w:p>
        </w:tc>
        <w:bookmarkStart w:id="0" w:name="_GoBack"/>
        <w:bookmarkEnd w:id="0"/>
      </w:tr>
      <w:tr w:rsidR="002D3DF6" w:rsidRPr="00F9071B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D3DF6" w:rsidRPr="00D51DB9" w:rsidRDefault="002D3DF6" w:rsidP="006E5F89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Ljubljana, 27. 1. 2015</w:t>
            </w:r>
          </w:p>
        </w:tc>
      </w:tr>
      <w:tr w:rsidR="002D3DF6" w:rsidRPr="00F9071B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 xml:space="preserve">EVA: </w:t>
            </w:r>
            <w:r w:rsidRPr="00D51DB9">
              <w:rPr>
                <w:rFonts w:cs="Arial"/>
                <w:sz w:val="20"/>
              </w:rPr>
              <w:t>2015-1611-0038</w:t>
            </w:r>
          </w:p>
        </w:tc>
      </w:tr>
      <w:tr w:rsidR="002D3DF6" w:rsidRPr="00F9071B" w:rsidTr="00E455F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D3DF6" w:rsidRPr="00F9071B" w:rsidRDefault="002D3DF6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2D3DF6" w:rsidRPr="00F9071B" w:rsidRDefault="002D3DF6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2D3DF6" w:rsidRPr="00F9071B" w:rsidRDefault="004650A9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D3DF6" w:rsidRPr="00F9071B">
                <w:rPr>
                  <w:rStyle w:val="Hyperlink"/>
                  <w:rFonts w:ascii="Arial" w:hAnsi="Arial" w:cs="Arial"/>
                  <w:sz w:val="20"/>
                  <w:szCs w:val="20"/>
                </w:rPr>
                <w:t>Gp.gs@gov.si</w:t>
              </w:r>
            </w:hyperlink>
            <w:r w:rsidR="002D3DF6" w:rsidRPr="00F907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3DF6" w:rsidRPr="00F9071B" w:rsidRDefault="002D3DF6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A162C0">
            <w:pPr>
              <w:pStyle w:val="Naslovpredpisa"/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ZADEVA: Uredba o spremembah Uredbe o sejninah in povračilih stroškov v javnih skladih, javnih agencijah, javnih zavodih in javnih gospodarskih zavodih – predlog za obravnavo 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F9071B" w:rsidRDefault="002D3DF6" w:rsidP="00E455F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9071B">
              <w:rPr>
                <w:sz w:val="20"/>
                <w:szCs w:val="20"/>
              </w:rPr>
              <w:t>1. Predlog sklepov vlade: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6E5F89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Na podlagi četrtega odstavka 17. člena Zakona o javnih skladih (Uradni list RS, št. 77/08 in 8/10 – ZSKZ-B), drugega odstavka 16. člena Zakona o javnih agencijah (Uradni list RS, št. 52/02, 51/04 – EZ-A in 33/11 – ZEKom-C) in 6. člena ter prvega in drugega odstavka 7. člena Zakona o Vladi Republike Slovenije (Uradni list RS, št. 24/05 – uradno prečiščeno besedilo, 109/08, 38/10 – ZUKN, 8/12, 21/13, 47/13 – ZDU-1G in 65/14) je Vlada Republike Slovenije na ... seji dne ... pod točko ... sprejela sklep:</w:t>
            </w:r>
          </w:p>
          <w:p w:rsidR="002D3DF6" w:rsidRPr="00D51DB9" w:rsidRDefault="002D3DF6" w:rsidP="006E5F89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</w:rPr>
            </w:pPr>
          </w:p>
          <w:p w:rsidR="002D3DF6" w:rsidRPr="00D51DB9" w:rsidRDefault="002D3DF6" w:rsidP="006E5F89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Vlada Republike Slovenije izda Uredbo o spremembah Uredbe o sejninah in povračilih stroškov v javnih skladih, javnih agencijah, javnih zavodih in javnih gospodarskih zavodih ter jo objavi v Uradnem listu Republike Slovenije.</w:t>
            </w:r>
          </w:p>
          <w:p w:rsidR="002D3DF6" w:rsidRPr="00D51DB9" w:rsidRDefault="002D3DF6" w:rsidP="006E5F89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</w:rPr>
            </w:pPr>
          </w:p>
          <w:p w:rsidR="002D3DF6" w:rsidRPr="00D51DB9" w:rsidRDefault="002D3DF6" w:rsidP="006E5F89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PREJMETA:</w:t>
            </w:r>
          </w:p>
          <w:p w:rsidR="002D3DF6" w:rsidRPr="00D51DB9" w:rsidRDefault="002D3DF6" w:rsidP="006E5F89">
            <w:pPr>
              <w:pStyle w:val="Neotevilenodstavek"/>
              <w:numPr>
                <w:ilvl w:val="0"/>
                <w:numId w:val="46"/>
              </w:numPr>
              <w:spacing w:before="0" w:after="0" w:line="260" w:lineRule="exact"/>
              <w:ind w:left="714" w:hanging="357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Ministrstvo za finance,</w:t>
            </w:r>
          </w:p>
          <w:p w:rsidR="002D3DF6" w:rsidRPr="00D51DB9" w:rsidRDefault="002D3DF6" w:rsidP="006E5F89">
            <w:pPr>
              <w:pStyle w:val="Neotevilenodstavek"/>
              <w:numPr>
                <w:ilvl w:val="0"/>
                <w:numId w:val="46"/>
              </w:numPr>
              <w:spacing w:before="0" w:after="0" w:line="260" w:lineRule="exact"/>
              <w:ind w:left="714" w:hanging="357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Služba Vlade Republike Slovenije za zakonodajo.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1B223E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</w:rPr>
            </w:pPr>
            <w:r w:rsidRPr="00D51DB9">
              <w:rPr>
                <w:rFonts w:cs="Arial"/>
                <w:b/>
                <w:sz w:val="20"/>
              </w:rPr>
              <w:t>2. Predlog za obravnavo predloga zakona po nujnem ali skrajšanem postopku v državnem zboru z obrazložitvijo razlogov: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F9071B" w:rsidRDefault="002D3DF6" w:rsidP="006E5F89">
            <w:pPr>
              <w:pStyle w:val="Slog"/>
              <w:spacing w:before="28" w:line="259" w:lineRule="exact"/>
              <w:jc w:val="both"/>
              <w:rPr>
                <w:sz w:val="20"/>
                <w:szCs w:val="20"/>
              </w:rPr>
            </w:pPr>
            <w:r w:rsidRPr="00F9071B">
              <w:rPr>
                <w:sz w:val="20"/>
                <w:szCs w:val="20"/>
              </w:rPr>
              <w:t xml:space="preserve">Predlagamo, da </w:t>
            </w:r>
            <w:r>
              <w:rPr>
                <w:sz w:val="20"/>
                <w:szCs w:val="20"/>
              </w:rPr>
              <w:t>v</w:t>
            </w:r>
            <w:r w:rsidRPr="00F9071B">
              <w:rPr>
                <w:sz w:val="20"/>
                <w:szCs w:val="20"/>
              </w:rPr>
              <w:t>lada uvrsti predmetno gradivo na redno sejo naj</w:t>
            </w:r>
            <w:r>
              <w:rPr>
                <w:sz w:val="20"/>
                <w:szCs w:val="20"/>
              </w:rPr>
              <w:t>poz</w:t>
            </w:r>
            <w:r w:rsidRPr="00F9071B">
              <w:rPr>
                <w:sz w:val="20"/>
                <w:szCs w:val="20"/>
              </w:rPr>
              <w:t xml:space="preserve">neje </w:t>
            </w:r>
            <w:r w:rsidRPr="00F9071B">
              <w:rPr>
                <w:b/>
                <w:sz w:val="20"/>
                <w:szCs w:val="20"/>
              </w:rPr>
              <w:t>v četrtek, 29. 1. 2014</w:t>
            </w:r>
            <w:r w:rsidRPr="00F9071B">
              <w:rPr>
                <w:sz w:val="20"/>
                <w:szCs w:val="20"/>
              </w:rPr>
              <w:t>.</w:t>
            </w:r>
          </w:p>
          <w:p w:rsidR="002D3DF6" w:rsidRPr="00D51DB9" w:rsidRDefault="002D3DF6" w:rsidP="006E5F8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Režim znižanih zneskov sejnin se je kot začasni dvoletni ukrep iztekel 31. 12. 2014, zato je treba zanj čim prej ponovno vzpostaviti pravno podlago.  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5F3DC6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</w:rPr>
            </w:pPr>
            <w:proofErr w:type="spellStart"/>
            <w:r w:rsidRPr="00D51DB9">
              <w:rPr>
                <w:rFonts w:cs="Arial"/>
                <w:b/>
                <w:sz w:val="20"/>
              </w:rPr>
              <w:t>3.a</w:t>
            </w:r>
            <w:proofErr w:type="spellEnd"/>
            <w:r w:rsidRPr="00D51DB9">
              <w:rPr>
                <w:rFonts w:cs="Arial"/>
                <w:b/>
                <w:sz w:val="20"/>
              </w:rPr>
              <w:t xml:space="preserve"> Osebe, odgovorne za strokovno pripravo in usklajenost gradiva: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6E5F89">
            <w:pPr>
              <w:pStyle w:val="Neotevilenodstavek"/>
              <w:numPr>
                <w:ilvl w:val="0"/>
                <w:numId w:val="46"/>
              </w:numPr>
              <w:spacing w:before="0" w:after="0" w:line="260" w:lineRule="exact"/>
              <w:ind w:left="714" w:hanging="357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 xml:space="preserve">dr. Dušan Mramor, minister, </w:t>
            </w:r>
          </w:p>
          <w:p w:rsidR="002D3DF6" w:rsidRPr="00D51DB9" w:rsidRDefault="002D3DF6" w:rsidP="006E5F89">
            <w:pPr>
              <w:pStyle w:val="Neotevilenodstavek"/>
              <w:numPr>
                <w:ilvl w:val="0"/>
                <w:numId w:val="46"/>
              </w:numPr>
              <w:spacing w:before="0" w:after="0" w:line="260" w:lineRule="exact"/>
              <w:ind w:left="714" w:hanging="357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Metod Dragonja, državni sekretar,</w:t>
            </w:r>
          </w:p>
          <w:p w:rsidR="002D3DF6" w:rsidRPr="00D51DB9" w:rsidRDefault="002D3DF6" w:rsidP="006E5F89">
            <w:pPr>
              <w:pStyle w:val="Neotevilenodstavek"/>
              <w:numPr>
                <w:ilvl w:val="0"/>
                <w:numId w:val="46"/>
              </w:numPr>
              <w:spacing w:before="0" w:after="0" w:line="260" w:lineRule="exact"/>
              <w:ind w:left="714" w:hanging="357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Monika Pintar Mesarič, v. d. generalne direktorice,</w:t>
            </w:r>
          </w:p>
          <w:p w:rsidR="002D3DF6" w:rsidRPr="00D51DB9" w:rsidRDefault="002D3DF6" w:rsidP="006E5F89">
            <w:pPr>
              <w:pStyle w:val="Neotevilenodstavek"/>
              <w:numPr>
                <w:ilvl w:val="0"/>
                <w:numId w:val="46"/>
              </w:numPr>
              <w:spacing w:before="0" w:after="0" w:line="260" w:lineRule="exact"/>
              <w:ind w:left="714" w:hanging="357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mag. Aleksander Nagode, vodja sektorja,</w:t>
            </w:r>
          </w:p>
          <w:p w:rsidR="002D3DF6" w:rsidRPr="00D51DB9" w:rsidRDefault="002D3DF6" w:rsidP="006E5F89">
            <w:pPr>
              <w:pStyle w:val="Neotevilenodstavek"/>
              <w:numPr>
                <w:ilvl w:val="0"/>
                <w:numId w:val="46"/>
              </w:numPr>
              <w:spacing w:before="0" w:after="0" w:line="260" w:lineRule="exact"/>
              <w:ind w:left="714" w:hanging="357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Goran Kitić, podsekretar.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5F3DC6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</w:rPr>
            </w:pPr>
            <w:proofErr w:type="spellStart"/>
            <w:r w:rsidRPr="00D51DB9">
              <w:rPr>
                <w:rFonts w:cs="Arial"/>
                <w:b/>
                <w:iCs/>
                <w:sz w:val="20"/>
              </w:rPr>
              <w:t>3.b</w:t>
            </w:r>
            <w:proofErr w:type="spellEnd"/>
            <w:r w:rsidRPr="00D51DB9">
              <w:rPr>
                <w:rFonts w:cs="Arial"/>
                <w:b/>
                <w:iCs/>
                <w:sz w:val="20"/>
              </w:rPr>
              <w:t xml:space="preserve"> Zunanji strokovnjaki, ki so </w:t>
            </w:r>
            <w:r w:rsidRPr="00D51DB9">
              <w:rPr>
                <w:rFonts w:cs="Arial"/>
                <w:b/>
                <w:sz w:val="20"/>
              </w:rPr>
              <w:t>sodelovali pri pripravi dela ali celotnega gradiva: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F4001E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/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</w:rPr>
            </w:pPr>
            <w:r w:rsidRPr="00D51DB9">
              <w:rPr>
                <w:rFonts w:cs="Arial"/>
                <w:b/>
                <w:sz w:val="20"/>
              </w:rPr>
              <w:t>4. Predstavniki vlade, ki bodo sodelovali pri delu državnega zbora: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372466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/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5. Kratek povzetek gradiva: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6E5F89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 xml:space="preserve">S predlagano uredbo o spremembah Uredbe o sejninah in povračilih stroškov v javnih skladih, javnih agencijah, javnih zavodih in javnih gospodarskih zavodih se zaradi omejitev učinkov finančne krize znižujejo sejnine članom organov nadzora oziroma upravljanja v javnih skladih, javnih agencijah in tistih javnih zavodih, katerih ustanoviteljske pravice izvršuje Vlada RS. </w:t>
            </w:r>
          </w:p>
          <w:p w:rsidR="002D3DF6" w:rsidRPr="00D51DB9" w:rsidRDefault="002D3DF6" w:rsidP="006E5F89">
            <w:pPr>
              <w:pStyle w:val="Neotevilenodstavek"/>
              <w:spacing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lastRenderedPageBreak/>
              <w:t>Znižuje se:</w:t>
            </w:r>
          </w:p>
          <w:p w:rsidR="002D3DF6" w:rsidRPr="00D51DB9" w:rsidRDefault="002D3DF6" w:rsidP="006E5F89">
            <w:pPr>
              <w:pStyle w:val="Neotevilenodstavek"/>
              <w:numPr>
                <w:ilvl w:val="0"/>
                <w:numId w:val="46"/>
              </w:numPr>
              <w:spacing w:before="0" w:after="0" w:line="260" w:lineRule="exact"/>
              <w:ind w:left="714" w:hanging="357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 xml:space="preserve">stalni del sejnin s 100 EUR bruto na 50 EUR bruto, v javnih agencijah, ustanovljenih za opravljanje </w:t>
            </w:r>
            <w:proofErr w:type="spellStart"/>
            <w:r w:rsidRPr="00D51DB9">
              <w:rPr>
                <w:rFonts w:cs="Arial"/>
                <w:iCs/>
                <w:sz w:val="20"/>
              </w:rPr>
              <w:t>regulatornih</w:t>
            </w:r>
            <w:proofErr w:type="spellEnd"/>
            <w:r w:rsidRPr="00D51DB9">
              <w:rPr>
                <w:rFonts w:cs="Arial"/>
                <w:iCs/>
                <w:sz w:val="20"/>
              </w:rPr>
              <w:t xml:space="preserve"> nalog, s 150 EUR bruto na 75 EUR bruto in v javnih skladih s 50 EUR bruto na 25 EUR bruto ter</w:t>
            </w:r>
          </w:p>
          <w:p w:rsidR="002D3DF6" w:rsidRPr="00D51DB9" w:rsidRDefault="002D3DF6" w:rsidP="006E5F89">
            <w:pPr>
              <w:pStyle w:val="Neotevilenodstavek"/>
              <w:numPr>
                <w:ilvl w:val="0"/>
                <w:numId w:val="46"/>
              </w:numPr>
              <w:spacing w:before="0" w:after="0" w:line="260" w:lineRule="exact"/>
              <w:ind w:left="714" w:hanging="357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spremenljivi del sejnin za 50 %.</w:t>
            </w:r>
          </w:p>
        </w:tc>
      </w:tr>
      <w:tr w:rsidR="002D3DF6" w:rsidRPr="00F9071B" w:rsidTr="00E455F9">
        <w:tc>
          <w:tcPr>
            <w:tcW w:w="9163" w:type="dxa"/>
            <w:gridSpan w:val="4"/>
          </w:tcPr>
          <w:p w:rsidR="002D3DF6" w:rsidRPr="00D51DB9" w:rsidRDefault="002D3DF6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lastRenderedPageBreak/>
              <w:t>6. Presoja posledic za:</w:t>
            </w:r>
          </w:p>
        </w:tc>
      </w:tr>
      <w:tr w:rsidR="002D3DF6" w:rsidRPr="00F9071B" w:rsidTr="0068465E">
        <w:tc>
          <w:tcPr>
            <w:tcW w:w="1448" w:type="dxa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a)</w:t>
            </w:r>
          </w:p>
        </w:tc>
        <w:tc>
          <w:tcPr>
            <w:tcW w:w="5444" w:type="dxa"/>
            <w:gridSpan w:val="2"/>
          </w:tcPr>
          <w:p w:rsidR="002D3DF6" w:rsidRPr="00D51DB9" w:rsidRDefault="002D3DF6" w:rsidP="00372466">
            <w:pPr>
              <w:pStyle w:val="Neotevilenodstavek"/>
              <w:spacing w:before="0" w:after="0" w:line="260" w:lineRule="exact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2D3DF6" w:rsidRPr="00D51DB9" w:rsidRDefault="002D3DF6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sz w:val="20"/>
              </w:rPr>
              <w:t>NE</w:t>
            </w:r>
          </w:p>
        </w:tc>
      </w:tr>
      <w:tr w:rsidR="002D3DF6" w:rsidRPr="00F9071B" w:rsidTr="0068465E">
        <w:tc>
          <w:tcPr>
            <w:tcW w:w="1448" w:type="dxa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b)</w:t>
            </w:r>
          </w:p>
        </w:tc>
        <w:tc>
          <w:tcPr>
            <w:tcW w:w="5444" w:type="dxa"/>
            <w:gridSpan w:val="2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bCs/>
                <w:sz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2D3DF6" w:rsidRPr="00D51DB9" w:rsidRDefault="002D3DF6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sz w:val="20"/>
              </w:rPr>
              <w:t>NE</w:t>
            </w:r>
          </w:p>
        </w:tc>
      </w:tr>
      <w:tr w:rsidR="002D3DF6" w:rsidRPr="00F9071B" w:rsidTr="0068465E">
        <w:tc>
          <w:tcPr>
            <w:tcW w:w="1448" w:type="dxa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c)</w:t>
            </w:r>
          </w:p>
        </w:tc>
        <w:tc>
          <w:tcPr>
            <w:tcW w:w="5444" w:type="dxa"/>
            <w:gridSpan w:val="2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sz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2D3DF6" w:rsidRPr="00D51DB9" w:rsidRDefault="002D3DF6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NE</w:t>
            </w:r>
          </w:p>
        </w:tc>
      </w:tr>
      <w:tr w:rsidR="002D3DF6" w:rsidRPr="00F9071B" w:rsidTr="0068465E">
        <w:tc>
          <w:tcPr>
            <w:tcW w:w="1448" w:type="dxa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č)</w:t>
            </w:r>
          </w:p>
        </w:tc>
        <w:tc>
          <w:tcPr>
            <w:tcW w:w="5444" w:type="dxa"/>
            <w:gridSpan w:val="2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D51DB9">
              <w:rPr>
                <w:rFonts w:cs="Arial"/>
                <w:sz w:val="20"/>
              </w:rPr>
              <w:t>gospodarstvo, zlasti</w:t>
            </w:r>
            <w:r w:rsidRPr="00D51DB9">
              <w:rPr>
                <w:rFonts w:cs="Arial"/>
                <w:bCs/>
                <w:sz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2D3DF6" w:rsidRPr="00D51DB9" w:rsidRDefault="002D3DF6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sz w:val="20"/>
              </w:rPr>
              <w:t>NE</w:t>
            </w:r>
          </w:p>
        </w:tc>
      </w:tr>
      <w:tr w:rsidR="002D3DF6" w:rsidRPr="00F9071B" w:rsidTr="0068465E">
        <w:tc>
          <w:tcPr>
            <w:tcW w:w="1448" w:type="dxa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d)</w:t>
            </w:r>
          </w:p>
        </w:tc>
        <w:tc>
          <w:tcPr>
            <w:tcW w:w="5444" w:type="dxa"/>
            <w:gridSpan w:val="2"/>
          </w:tcPr>
          <w:p w:rsidR="002D3DF6" w:rsidRPr="00D51DB9" w:rsidRDefault="002D3DF6" w:rsidP="00A24E98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D51DB9">
              <w:rPr>
                <w:rFonts w:cs="Arial"/>
                <w:bCs/>
                <w:sz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2D3DF6" w:rsidRPr="00D51DB9" w:rsidRDefault="002D3DF6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sz w:val="20"/>
              </w:rPr>
              <w:t>NE</w:t>
            </w:r>
          </w:p>
        </w:tc>
      </w:tr>
      <w:tr w:rsidR="002D3DF6" w:rsidRPr="00F9071B" w:rsidTr="0068465E">
        <w:tc>
          <w:tcPr>
            <w:tcW w:w="1448" w:type="dxa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e)</w:t>
            </w:r>
          </w:p>
        </w:tc>
        <w:tc>
          <w:tcPr>
            <w:tcW w:w="5444" w:type="dxa"/>
            <w:gridSpan w:val="2"/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D51DB9">
              <w:rPr>
                <w:rFonts w:cs="Arial"/>
                <w:bCs/>
                <w:sz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2D3DF6" w:rsidRPr="00D51DB9" w:rsidRDefault="002D3DF6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sz w:val="20"/>
              </w:rPr>
              <w:t>NE</w:t>
            </w:r>
          </w:p>
        </w:tc>
      </w:tr>
      <w:tr w:rsidR="002D3DF6" w:rsidRPr="00F9071B" w:rsidTr="0068465E">
        <w:tc>
          <w:tcPr>
            <w:tcW w:w="1448" w:type="dxa"/>
            <w:tcBorders>
              <w:bottom w:val="single" w:sz="4" w:space="0" w:color="auto"/>
            </w:tcBorders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2D3DF6" w:rsidRPr="00D51DB9" w:rsidRDefault="002D3DF6" w:rsidP="00E455F9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D51DB9">
              <w:rPr>
                <w:rFonts w:cs="Arial"/>
                <w:bCs/>
                <w:sz w:val="20"/>
              </w:rPr>
              <w:t>dokumente razvojnega načrtovanja:</w:t>
            </w:r>
          </w:p>
          <w:p w:rsidR="002D3DF6" w:rsidRPr="00D51DB9" w:rsidRDefault="002D3DF6" w:rsidP="00372466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D51DB9">
              <w:rPr>
                <w:rFonts w:cs="Arial"/>
                <w:bCs/>
                <w:sz w:val="20"/>
              </w:rPr>
              <w:t>nacionalne dokumente razvojnega načrtovanja</w:t>
            </w:r>
          </w:p>
          <w:p w:rsidR="002D3DF6" w:rsidRPr="00D51DB9" w:rsidRDefault="002D3DF6" w:rsidP="00372466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D51DB9">
              <w:rPr>
                <w:rFonts w:cs="Arial"/>
                <w:bCs/>
                <w:sz w:val="20"/>
              </w:rPr>
              <w:t>razvojne politike na ravni programov po strukturi razvojne klasifikacije programskega proračuna</w:t>
            </w:r>
          </w:p>
          <w:p w:rsidR="002D3DF6" w:rsidRPr="00D51DB9" w:rsidRDefault="002D3DF6" w:rsidP="00372466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rFonts w:cs="Arial"/>
                <w:bCs/>
                <w:sz w:val="20"/>
              </w:rPr>
            </w:pPr>
            <w:r w:rsidRPr="00D51DB9">
              <w:rPr>
                <w:rFonts w:cs="Arial"/>
                <w:bCs/>
                <w:sz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2D3DF6" w:rsidRPr="00D51DB9" w:rsidRDefault="002D3DF6" w:rsidP="0068465E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sz w:val="20"/>
              </w:rPr>
              <w:t>NE</w:t>
            </w:r>
          </w:p>
        </w:tc>
      </w:tr>
      <w:tr w:rsidR="002D3DF6" w:rsidRPr="00F9071B" w:rsidTr="00E455F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F6" w:rsidRPr="00D51DB9" w:rsidRDefault="002D3DF6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</w:rPr>
            </w:pPr>
            <w:proofErr w:type="spellStart"/>
            <w:r w:rsidRPr="00D51DB9">
              <w:rPr>
                <w:rFonts w:cs="Arial"/>
                <w:sz w:val="20"/>
              </w:rPr>
              <w:t>7.a</w:t>
            </w:r>
            <w:proofErr w:type="spellEnd"/>
            <w:r w:rsidRPr="00D51DB9">
              <w:rPr>
                <w:rFonts w:cs="Arial"/>
                <w:sz w:val="20"/>
              </w:rPr>
              <w:t xml:space="preserve"> Predstavitev ocene finančnih posledic nad 40.000 EUR:</w:t>
            </w:r>
          </w:p>
          <w:p w:rsidR="002D3DF6" w:rsidRPr="00D51DB9" w:rsidRDefault="002D3DF6" w:rsidP="00A24E9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D51DB9">
              <w:rPr>
                <w:rFonts w:cs="Arial"/>
                <w:b w:val="0"/>
                <w:sz w:val="20"/>
              </w:rPr>
              <w:t>(Samo če izberete DA pod točko 6.a.)</w:t>
            </w:r>
          </w:p>
        </w:tc>
      </w:tr>
    </w:tbl>
    <w:p w:rsidR="002D3DF6" w:rsidRPr="00F9071B" w:rsidRDefault="002D3DF6" w:rsidP="00107ED0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2D3DF6" w:rsidRPr="00F9071B" w:rsidTr="00E455F9">
        <w:trPr>
          <w:cantSplit/>
          <w:trHeight w:val="35"/>
        </w:trPr>
        <w:tc>
          <w:tcPr>
            <w:tcW w:w="9200" w:type="dxa"/>
            <w:gridSpan w:val="9"/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F9071B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2D3DF6" w:rsidRPr="00F9071B" w:rsidTr="0068465E">
        <w:trPr>
          <w:cantSplit/>
          <w:trHeight w:val="276"/>
        </w:trPr>
        <w:tc>
          <w:tcPr>
            <w:tcW w:w="2957" w:type="dxa"/>
            <w:gridSpan w:val="2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2D3DF6" w:rsidRPr="00F9071B" w:rsidTr="0068465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9071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F9071B">
              <w:rPr>
                <w:b/>
                <w:sz w:val="20"/>
                <w:szCs w:val="20"/>
              </w:rPr>
              <w:t>–</w:t>
            </w:r>
            <w:r w:rsidRPr="00F9071B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9071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F9071B">
              <w:rPr>
                <w:b/>
                <w:sz w:val="20"/>
                <w:szCs w:val="20"/>
              </w:rPr>
              <w:t>–</w:t>
            </w:r>
            <w:r w:rsidRPr="00F9071B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9071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F9071B">
              <w:rPr>
                <w:b/>
                <w:sz w:val="20"/>
                <w:szCs w:val="20"/>
              </w:rPr>
              <w:t>–</w:t>
            </w:r>
            <w:r w:rsidRPr="00F9071B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vAlign w:val="center"/>
          </w:tcPr>
          <w:p w:rsidR="002D3DF6" w:rsidRPr="00F9071B" w:rsidRDefault="002D3DF6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2D3DF6" w:rsidRPr="00F9071B" w:rsidRDefault="002D3DF6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623"/>
        </w:trPr>
        <w:tc>
          <w:tcPr>
            <w:tcW w:w="2957" w:type="dxa"/>
            <w:gridSpan w:val="2"/>
            <w:vAlign w:val="center"/>
          </w:tcPr>
          <w:p w:rsidR="002D3DF6" w:rsidRPr="00F9071B" w:rsidRDefault="002D3DF6" w:rsidP="00755DB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9071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F9071B">
              <w:rPr>
                <w:b/>
                <w:sz w:val="20"/>
                <w:szCs w:val="20"/>
              </w:rPr>
              <w:t>–</w:t>
            </w:r>
            <w:r w:rsidRPr="00F9071B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vAlign w:val="center"/>
          </w:tcPr>
          <w:p w:rsidR="002D3DF6" w:rsidRPr="00F9071B" w:rsidRDefault="002D3DF6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2D3DF6" w:rsidRPr="00F9071B" w:rsidRDefault="002D3DF6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423"/>
        </w:trPr>
        <w:tc>
          <w:tcPr>
            <w:tcW w:w="2957" w:type="dxa"/>
            <w:gridSpan w:val="2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F9071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F9071B">
              <w:rPr>
                <w:b/>
                <w:sz w:val="20"/>
                <w:szCs w:val="20"/>
              </w:rPr>
              <w:t>–</w:t>
            </w:r>
            <w:r w:rsidRPr="00F9071B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68465E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D3DF6" w:rsidRPr="00F9071B" w:rsidTr="00E455F9">
        <w:trPr>
          <w:cantSplit/>
          <w:trHeight w:val="257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F9071B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2D3DF6" w:rsidRPr="00F9071B" w:rsidTr="00E455F9">
        <w:trPr>
          <w:cantSplit/>
          <w:trHeight w:val="257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F9071B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F9071B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2D3DF6" w:rsidRPr="00F9071B" w:rsidTr="0068465E">
        <w:trPr>
          <w:cantSplit/>
          <w:trHeight w:val="100"/>
        </w:trPr>
        <w:tc>
          <w:tcPr>
            <w:tcW w:w="2065" w:type="dxa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2D3DF6" w:rsidRPr="00F9071B" w:rsidTr="0068465E">
        <w:trPr>
          <w:cantSplit/>
          <w:trHeight w:val="328"/>
        </w:trPr>
        <w:tc>
          <w:tcPr>
            <w:tcW w:w="2065" w:type="dxa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95"/>
        </w:trPr>
        <w:tc>
          <w:tcPr>
            <w:tcW w:w="2065" w:type="dxa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95"/>
        </w:trPr>
        <w:tc>
          <w:tcPr>
            <w:tcW w:w="5701" w:type="dxa"/>
            <w:gridSpan w:val="5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F9071B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2D3DF6" w:rsidRPr="00F9071B" w:rsidTr="00E455F9">
        <w:trPr>
          <w:cantSplit/>
          <w:trHeight w:val="294"/>
        </w:trPr>
        <w:tc>
          <w:tcPr>
            <w:tcW w:w="9200" w:type="dxa"/>
            <w:gridSpan w:val="9"/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F9071B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F9071B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2D3DF6" w:rsidRPr="00F9071B" w:rsidTr="0068465E">
        <w:trPr>
          <w:cantSplit/>
          <w:trHeight w:val="100"/>
        </w:trPr>
        <w:tc>
          <w:tcPr>
            <w:tcW w:w="2065" w:type="dxa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2D3DF6" w:rsidRPr="00F9071B" w:rsidTr="0068465E">
        <w:trPr>
          <w:cantSplit/>
          <w:trHeight w:val="95"/>
        </w:trPr>
        <w:tc>
          <w:tcPr>
            <w:tcW w:w="2065" w:type="dxa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95"/>
        </w:trPr>
        <w:tc>
          <w:tcPr>
            <w:tcW w:w="2065" w:type="dxa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95"/>
        </w:trPr>
        <w:tc>
          <w:tcPr>
            <w:tcW w:w="5701" w:type="dxa"/>
            <w:gridSpan w:val="5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F9071B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2D3DF6" w:rsidRPr="00F9071B" w:rsidTr="00E455F9">
        <w:trPr>
          <w:cantSplit/>
          <w:trHeight w:val="207"/>
        </w:trPr>
        <w:tc>
          <w:tcPr>
            <w:tcW w:w="9200" w:type="dxa"/>
            <w:gridSpan w:val="9"/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F9071B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F9071B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2D3DF6" w:rsidRPr="00F9071B" w:rsidTr="0068465E">
        <w:trPr>
          <w:cantSplit/>
          <w:trHeight w:val="100"/>
        </w:trPr>
        <w:tc>
          <w:tcPr>
            <w:tcW w:w="4371" w:type="dxa"/>
            <w:gridSpan w:val="3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vAlign w:val="center"/>
          </w:tcPr>
          <w:p w:rsidR="002D3DF6" w:rsidRPr="00F9071B" w:rsidRDefault="002D3DF6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2D3DF6" w:rsidRPr="00F9071B" w:rsidTr="0068465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2D3DF6" w:rsidRPr="00F9071B" w:rsidTr="0068465E">
        <w:trPr>
          <w:cantSplit/>
          <w:trHeight w:val="95"/>
        </w:trPr>
        <w:tc>
          <w:tcPr>
            <w:tcW w:w="4371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F9071B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2D3DF6" w:rsidRPr="00F9071B" w:rsidRDefault="002D3DF6" w:rsidP="00E455F9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2D3DF6" w:rsidRPr="00F9071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9200" w:type="dxa"/>
            <w:gridSpan w:val="9"/>
          </w:tcPr>
          <w:p w:rsidR="002D3DF6" w:rsidRPr="00F9071B" w:rsidRDefault="002D3DF6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3DF6" w:rsidRPr="00F9071B" w:rsidRDefault="002D3DF6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9071B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2D3DF6" w:rsidRPr="00F9071B" w:rsidRDefault="002D3DF6" w:rsidP="00E455F9">
            <w:pPr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2D3DF6" w:rsidRPr="00F9071B" w:rsidRDefault="002D3DF6" w:rsidP="004E4A50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2D3DF6" w:rsidRPr="00F9071B" w:rsidRDefault="002D3DF6" w:rsidP="004E4A50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2D3DF6" w:rsidRPr="00F9071B" w:rsidRDefault="002D3DF6" w:rsidP="004E4A50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2D3DF6" w:rsidRPr="00F9071B" w:rsidRDefault="002D3DF6" w:rsidP="004E4A50">
            <w:pPr>
              <w:widowControl w:val="0"/>
              <w:numPr>
                <w:ilvl w:val="0"/>
                <w:numId w:val="3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</w:t>
            </w: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oziroma projektih sprejetih proračunov.</w:t>
            </w:r>
          </w:p>
          <w:p w:rsidR="002D3DF6" w:rsidRPr="00F9071B" w:rsidRDefault="002D3DF6" w:rsidP="00E455F9">
            <w:pPr>
              <w:widowControl w:val="0"/>
              <w:spacing w:after="0"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2D3DF6" w:rsidRPr="00F9071B" w:rsidRDefault="002D3DF6" w:rsidP="00E455F9">
            <w:pPr>
              <w:widowControl w:val="0"/>
              <w:numPr>
                <w:ilvl w:val="0"/>
                <w:numId w:val="29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2D3DF6" w:rsidRPr="00F9071B" w:rsidRDefault="002D3DF6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D3DF6" w:rsidRPr="00F9071B" w:rsidRDefault="002D3DF6" w:rsidP="00562C7C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9071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F9071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2D3DF6" w:rsidRPr="00F9071B" w:rsidRDefault="002D3DF6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2D3DF6" w:rsidRPr="00F9071B" w:rsidRDefault="002D3DF6" w:rsidP="00562C7C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2D3DF6" w:rsidRPr="00F9071B" w:rsidRDefault="002D3DF6" w:rsidP="00562C7C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2D3DF6" w:rsidRPr="00F9071B" w:rsidRDefault="002D3DF6" w:rsidP="00562C7C">
            <w:pPr>
              <w:widowControl w:val="0"/>
              <w:numPr>
                <w:ilvl w:val="0"/>
                <w:numId w:val="36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2D3DF6" w:rsidRPr="00F9071B" w:rsidRDefault="002D3DF6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D3DF6" w:rsidRPr="00F9071B" w:rsidRDefault="002D3DF6" w:rsidP="00562C7C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9071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F9071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2D3DF6" w:rsidRPr="00F9071B" w:rsidRDefault="002D3DF6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2D3DF6" w:rsidRPr="00F9071B" w:rsidRDefault="002D3DF6" w:rsidP="00562C7C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9071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F9071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2D3DF6" w:rsidRPr="00F9071B" w:rsidRDefault="002D3DF6" w:rsidP="00562C7C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2D3DF6" w:rsidRPr="00D51DB9" w:rsidRDefault="002D3DF6" w:rsidP="00E455F9">
            <w:pPr>
              <w:pStyle w:val="Vrstapredpisa"/>
              <w:widowControl w:val="0"/>
              <w:spacing w:before="0" w:line="260" w:lineRule="exact"/>
              <w:jc w:val="both"/>
              <w:rPr>
                <w:rFonts w:cs="Arial"/>
                <w:bCs/>
                <w:color w:val="auto"/>
                <w:sz w:val="20"/>
              </w:rPr>
            </w:pPr>
          </w:p>
        </w:tc>
      </w:tr>
      <w:tr w:rsidR="002D3DF6" w:rsidRPr="00F9071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200" w:type="dxa"/>
            <w:gridSpan w:val="9"/>
          </w:tcPr>
          <w:p w:rsidR="002D3DF6" w:rsidRPr="00D51DB9" w:rsidRDefault="002D3DF6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</w:rPr>
            </w:pPr>
            <w:proofErr w:type="spellStart"/>
            <w:r w:rsidRPr="00D51DB9">
              <w:rPr>
                <w:rFonts w:cs="Arial"/>
                <w:sz w:val="20"/>
              </w:rPr>
              <w:lastRenderedPageBreak/>
              <w:t>7.b</w:t>
            </w:r>
            <w:proofErr w:type="spellEnd"/>
            <w:r w:rsidRPr="00D51DB9">
              <w:rPr>
                <w:rFonts w:cs="Arial"/>
                <w:sz w:val="20"/>
              </w:rPr>
              <w:t xml:space="preserve"> Predstavitev ocene finančnih posledic pod 40.000 EUR:</w:t>
            </w:r>
          </w:p>
          <w:p w:rsidR="002D3DF6" w:rsidRPr="00D51DB9" w:rsidRDefault="002D3DF6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D51DB9">
              <w:rPr>
                <w:rFonts w:cs="Arial"/>
                <w:b w:val="0"/>
                <w:sz w:val="20"/>
              </w:rPr>
              <w:t>(Samo če izberete NE pod točko 6.a.)</w:t>
            </w:r>
          </w:p>
          <w:p w:rsidR="002D3DF6" w:rsidRPr="00D51DB9" w:rsidRDefault="002D3DF6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</w:rPr>
            </w:pPr>
            <w:r w:rsidRPr="00D51DB9">
              <w:rPr>
                <w:rFonts w:cs="Arial"/>
                <w:b w:val="0"/>
                <w:sz w:val="20"/>
              </w:rPr>
              <w:t>Kratka obrazložitev</w:t>
            </w:r>
          </w:p>
        </w:tc>
      </w:tr>
      <w:tr w:rsidR="002D3DF6" w:rsidRPr="00F9071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200" w:type="dxa"/>
            <w:gridSpan w:val="9"/>
          </w:tcPr>
          <w:p w:rsidR="002D3DF6" w:rsidRPr="00D51DB9" w:rsidRDefault="002D3DF6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8. Predstavitev sodelovanja javnosti:</w:t>
            </w:r>
          </w:p>
        </w:tc>
      </w:tr>
      <w:tr w:rsidR="002D3DF6" w:rsidRPr="00F9071B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69" w:type="dxa"/>
            <w:gridSpan w:val="7"/>
          </w:tcPr>
          <w:p w:rsidR="002D3DF6" w:rsidRPr="00D51DB9" w:rsidRDefault="002D3DF6" w:rsidP="00E455F9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2D3DF6" w:rsidRPr="00D51DB9" w:rsidRDefault="002D3DF6" w:rsidP="00F74A4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sz w:val="20"/>
              </w:rPr>
              <w:t>NE</w:t>
            </w:r>
          </w:p>
        </w:tc>
      </w:tr>
      <w:tr w:rsidR="002D3DF6" w:rsidRPr="00F9071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9200" w:type="dxa"/>
            <w:gridSpan w:val="9"/>
          </w:tcPr>
          <w:p w:rsidR="002D3DF6" w:rsidRPr="00D51DB9" w:rsidRDefault="002D3DF6" w:rsidP="00F74A47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Gradivo je takšne narave, da je potrebno zgolj medresorsko usklajevanje in ne sodelovanje širše javnosti.</w:t>
            </w:r>
          </w:p>
        </w:tc>
      </w:tr>
      <w:tr w:rsidR="002D3DF6" w:rsidRPr="00F9071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9200" w:type="dxa"/>
            <w:gridSpan w:val="9"/>
          </w:tcPr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(Če je odgovor DA, navedite:</w:t>
            </w: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Datum objave: ………</w:t>
            </w: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 xml:space="preserve">V razpravo so bili vključeni: </w:t>
            </w:r>
          </w:p>
          <w:p w:rsidR="002D3DF6" w:rsidRPr="00D51DB9" w:rsidRDefault="002D3DF6" w:rsidP="0068465E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 xml:space="preserve">nevladne organizacije, </w:t>
            </w:r>
          </w:p>
          <w:p w:rsidR="002D3DF6" w:rsidRPr="00D51DB9" w:rsidRDefault="002D3DF6" w:rsidP="0068465E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predstavniki zainteresirane javnosti,</w:t>
            </w:r>
          </w:p>
          <w:p w:rsidR="002D3DF6" w:rsidRPr="00D51DB9" w:rsidRDefault="002D3DF6" w:rsidP="0068465E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 xml:space="preserve">predstavniki strokovne javnosti, </w:t>
            </w:r>
          </w:p>
          <w:p w:rsidR="002D3DF6" w:rsidRPr="00D51DB9" w:rsidRDefault="002D3DF6" w:rsidP="0068465E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občine in združenja občin ali pa navedite, da se gradivo ne nanaša nanje.</w:t>
            </w: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 xml:space="preserve">Mnenja, predlogi in pripombe z navedbo predlagateljev </w:t>
            </w:r>
            <w:r w:rsidRPr="00D51DB9">
              <w:rPr>
                <w:rFonts w:cs="Arial"/>
                <w:color w:val="000000"/>
                <w:sz w:val="20"/>
              </w:rPr>
              <w:t>(imen in priimkov fizičnih oseb, ki niso poslovni subjekti, ne navajajte</w:t>
            </w:r>
            <w:r w:rsidRPr="00D51DB9">
              <w:rPr>
                <w:rFonts w:cs="Arial"/>
                <w:iCs/>
                <w:sz w:val="20"/>
              </w:rPr>
              <w:t>):</w:t>
            </w: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Upoštevani so bili:</w:t>
            </w:r>
          </w:p>
          <w:p w:rsidR="002D3DF6" w:rsidRPr="00D51DB9" w:rsidRDefault="002D3DF6" w:rsidP="0068465E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v celoti,</w:t>
            </w:r>
          </w:p>
          <w:p w:rsidR="002D3DF6" w:rsidRPr="00D51DB9" w:rsidRDefault="002D3DF6" w:rsidP="0068465E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večinoma,</w:t>
            </w:r>
          </w:p>
          <w:p w:rsidR="002D3DF6" w:rsidRPr="00D51DB9" w:rsidRDefault="002D3DF6" w:rsidP="0068465E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lastRenderedPageBreak/>
              <w:t>delno,</w:t>
            </w:r>
          </w:p>
          <w:p w:rsidR="002D3DF6" w:rsidRPr="00D51DB9" w:rsidRDefault="002D3DF6" w:rsidP="0068465E">
            <w:pPr>
              <w:pStyle w:val="Neotevilenodstavek"/>
              <w:widowControl w:val="0"/>
              <w:numPr>
                <w:ilvl w:val="0"/>
                <w:numId w:val="44"/>
              </w:numPr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niso bili upoštevani.</w:t>
            </w: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Bistvena mnenja, predlogi in pripombe, ki niso bili upoštevani, ter razlogi za neupoštevanje:</w:t>
            </w: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Poročilo je bilo dano ……………..</w:t>
            </w: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iCs/>
                <w:sz w:val="20"/>
              </w:rPr>
              <w:t>Javnost je bila vključena v pripravo gradiva v skladu z Zakonom o …, kar je navedeno v predlogu predpisa.)</w:t>
            </w:r>
          </w:p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</w:rPr>
            </w:pPr>
          </w:p>
        </w:tc>
      </w:tr>
      <w:tr w:rsidR="002D3DF6" w:rsidRPr="00F9071B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69" w:type="dxa"/>
            <w:gridSpan w:val="7"/>
            <w:vAlign w:val="center"/>
          </w:tcPr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</w:rPr>
            </w:pPr>
            <w:r w:rsidRPr="00D51DB9">
              <w:rPr>
                <w:rFonts w:cs="Arial"/>
                <w:b/>
                <w:sz w:val="20"/>
              </w:rPr>
              <w:lastRenderedPageBreak/>
              <w:t>9.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</w:rPr>
            </w:pPr>
            <w:r w:rsidRPr="00D51DB9">
              <w:rPr>
                <w:rFonts w:cs="Arial"/>
                <w:sz w:val="20"/>
              </w:rPr>
              <w:t>NE</w:t>
            </w:r>
          </w:p>
        </w:tc>
      </w:tr>
      <w:tr w:rsidR="002D3DF6" w:rsidRPr="00F9071B" w:rsidTr="006846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69" w:type="dxa"/>
            <w:gridSpan w:val="7"/>
            <w:vAlign w:val="center"/>
          </w:tcPr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</w:rPr>
            </w:pPr>
            <w:r w:rsidRPr="00D51DB9">
              <w:rPr>
                <w:rFonts w:cs="Arial"/>
                <w:b/>
                <w:sz w:val="20"/>
              </w:rPr>
              <w:t>10.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2D3DF6" w:rsidRPr="00D51DB9" w:rsidRDefault="002D3DF6" w:rsidP="0068465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NE</w:t>
            </w:r>
          </w:p>
        </w:tc>
      </w:tr>
      <w:tr w:rsidR="002D3DF6" w:rsidRPr="00F9071B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200" w:type="dxa"/>
            <w:gridSpan w:val="9"/>
          </w:tcPr>
          <w:p w:rsidR="002D3DF6" w:rsidRPr="00F9071B" w:rsidRDefault="002D3DF6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2D3DF6" w:rsidRPr="00F9071B" w:rsidRDefault="002D3DF6" w:rsidP="006E5F89">
            <w:pPr>
              <w:pStyle w:val="Poglavje"/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F9071B">
              <w:rPr>
                <w:b w:val="0"/>
                <w:sz w:val="20"/>
                <w:szCs w:val="20"/>
              </w:rPr>
              <w:t>Metod Dragonja</w:t>
            </w:r>
          </w:p>
          <w:p w:rsidR="002D3DF6" w:rsidRPr="00F9071B" w:rsidRDefault="002D3DF6" w:rsidP="006E5F89">
            <w:pPr>
              <w:pStyle w:val="Poglavje"/>
              <w:spacing w:before="0" w:after="0" w:line="260" w:lineRule="exact"/>
              <w:rPr>
                <w:b w:val="0"/>
                <w:sz w:val="20"/>
                <w:szCs w:val="20"/>
              </w:rPr>
            </w:pPr>
            <w:r w:rsidRPr="00F9071B">
              <w:rPr>
                <w:b w:val="0"/>
                <w:sz w:val="20"/>
                <w:szCs w:val="20"/>
              </w:rPr>
              <w:t>državni sekretar</w:t>
            </w:r>
          </w:p>
          <w:p w:rsidR="002D3DF6" w:rsidRPr="00F9071B" w:rsidRDefault="002D3DF6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2D3DF6" w:rsidRPr="00F9071B" w:rsidRDefault="002D3DF6" w:rsidP="00107ED0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2D3DF6" w:rsidRPr="00F9071B" w:rsidRDefault="002D3DF6" w:rsidP="00AC5730">
      <w:pPr>
        <w:pStyle w:val="Naslovpredpisa"/>
        <w:spacing w:before="0" w:after="0" w:line="260" w:lineRule="exact"/>
        <w:jc w:val="both"/>
        <w:outlineLvl w:val="0"/>
        <w:rPr>
          <w:sz w:val="20"/>
        </w:rPr>
      </w:pPr>
      <w:r w:rsidRPr="00F9071B">
        <w:rPr>
          <w:sz w:val="20"/>
        </w:rPr>
        <w:t>PRILOGE:</w:t>
      </w:r>
    </w:p>
    <w:p w:rsidR="002D3DF6" w:rsidRPr="00F9071B" w:rsidRDefault="002D3DF6" w:rsidP="00AC5730">
      <w:pPr>
        <w:numPr>
          <w:ilvl w:val="0"/>
          <w:numId w:val="47"/>
        </w:num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>predlog uredbe o spremembah Uredbe o sejninah in povračilih stroškov v javnih skladih, javnih agencijah, javnih zavodih in javnih gospodarskih zavodih</w:t>
      </w:r>
    </w:p>
    <w:p w:rsidR="002D3DF6" w:rsidRPr="00F9071B" w:rsidRDefault="002D3DF6" w:rsidP="00AC5730">
      <w:pPr>
        <w:numPr>
          <w:ilvl w:val="0"/>
          <w:numId w:val="47"/>
        </w:num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>obrazložitev</w:t>
      </w:r>
    </w:p>
    <w:p w:rsidR="002D3DF6" w:rsidRPr="00F9071B" w:rsidRDefault="002D3DF6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2D3DF6" w:rsidRPr="00F9071B" w:rsidSect="006E5F89">
          <w:headerReference w:type="firs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2D3DF6" w:rsidRPr="00F9071B" w:rsidRDefault="002D3DF6" w:rsidP="00AC5730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9071B">
        <w:rPr>
          <w:rFonts w:ascii="Arial" w:hAnsi="Arial" w:cs="Arial"/>
          <w:b/>
          <w:sz w:val="20"/>
          <w:szCs w:val="20"/>
        </w:rPr>
        <w:lastRenderedPageBreak/>
        <w:t>PREDLOG (EVA: 2015-1611-0038)</w:t>
      </w:r>
    </w:p>
    <w:p w:rsidR="002D3DF6" w:rsidRPr="00F9071B" w:rsidRDefault="002D3DF6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F9071B">
        <w:rPr>
          <w:rFonts w:ascii="Arial" w:hAnsi="Arial" w:cs="Arial"/>
          <w:sz w:val="20"/>
          <w:szCs w:val="20"/>
          <w:lang w:eastAsia="sl-SI"/>
        </w:rPr>
        <w:t xml:space="preserve">Na podlagi četrtega odstavka 17. člena Zakona o javnih skladih (Uradni list RS, št. 77/08 in 8/10 – ZSKZ-B), drugega odstavka 16. člena Zakona o javnih agencijah (Uradni list RS, št. 52/02, 51/04 – EZ-A in 33/11 – ZEKom-C) in 6. člena ter prvega in drugega odstavka 7. člena Zakona o Vladi Republike Slovenije (Uradni list RS, št. 24/05 </w:t>
      </w:r>
      <w:r>
        <w:rPr>
          <w:rFonts w:ascii="Arial" w:hAnsi="Arial" w:cs="Arial"/>
          <w:sz w:val="20"/>
          <w:szCs w:val="20"/>
          <w:lang w:eastAsia="sl-SI"/>
        </w:rPr>
        <w:t>–</w:t>
      </w:r>
      <w:r w:rsidRPr="00F9071B">
        <w:rPr>
          <w:rFonts w:ascii="Arial" w:hAnsi="Arial" w:cs="Arial"/>
          <w:sz w:val="20"/>
          <w:szCs w:val="20"/>
          <w:lang w:eastAsia="sl-SI"/>
        </w:rPr>
        <w:t xml:space="preserve"> uradno prečiščeno besedilo, 109/08, 38/10 </w:t>
      </w:r>
      <w:r>
        <w:rPr>
          <w:rFonts w:ascii="Arial" w:hAnsi="Arial" w:cs="Arial"/>
          <w:sz w:val="20"/>
          <w:szCs w:val="20"/>
          <w:lang w:eastAsia="sl-SI"/>
        </w:rPr>
        <w:t>–</w:t>
      </w:r>
      <w:r w:rsidRPr="00F9071B">
        <w:rPr>
          <w:rFonts w:ascii="Arial" w:hAnsi="Arial" w:cs="Arial"/>
          <w:sz w:val="20"/>
          <w:szCs w:val="20"/>
          <w:lang w:eastAsia="sl-SI"/>
        </w:rPr>
        <w:t xml:space="preserve"> ZUKN, 8/12, 21/13, 47/13 </w:t>
      </w:r>
      <w:r>
        <w:rPr>
          <w:rFonts w:ascii="Arial" w:hAnsi="Arial" w:cs="Arial"/>
          <w:sz w:val="20"/>
          <w:szCs w:val="20"/>
          <w:lang w:eastAsia="sl-SI"/>
        </w:rPr>
        <w:t>–</w:t>
      </w:r>
      <w:r w:rsidRPr="00F9071B">
        <w:rPr>
          <w:rFonts w:ascii="Arial" w:hAnsi="Arial" w:cs="Arial"/>
          <w:sz w:val="20"/>
          <w:szCs w:val="20"/>
          <w:lang w:eastAsia="sl-SI"/>
        </w:rPr>
        <w:t xml:space="preserve"> ZDU-1G in 65/14) izdaja Vlada Republike Slovenije</w:t>
      </w:r>
    </w:p>
    <w:p w:rsidR="002D3DF6" w:rsidRPr="00F9071B" w:rsidRDefault="002D3DF6" w:rsidP="00AC5730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2D3DF6" w:rsidRPr="00F9071B" w:rsidRDefault="002D3DF6" w:rsidP="00AC5730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  <w:r w:rsidRPr="00F9071B">
        <w:rPr>
          <w:rFonts w:ascii="Arial" w:hAnsi="Arial" w:cs="Arial"/>
          <w:b/>
          <w:bCs/>
          <w:sz w:val="20"/>
          <w:szCs w:val="20"/>
          <w:lang w:eastAsia="sl-SI"/>
        </w:rPr>
        <w:t xml:space="preserve">U R E D B O </w:t>
      </w:r>
      <w:r w:rsidRPr="00F9071B">
        <w:rPr>
          <w:rFonts w:ascii="Arial" w:hAnsi="Arial" w:cs="Arial"/>
          <w:b/>
          <w:bCs/>
          <w:sz w:val="20"/>
          <w:szCs w:val="20"/>
          <w:lang w:eastAsia="sl-SI"/>
        </w:rPr>
        <w:br/>
        <w:t>o spremembah Uredbe o sejninah in povračilih stroškov v javnih skladih, javnih agencijah, javnih zavodih in javnih gospodarskih zavodih</w:t>
      </w:r>
    </w:p>
    <w:p w:rsidR="002D3DF6" w:rsidRPr="00F9071B" w:rsidRDefault="002D3DF6" w:rsidP="00AC5730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2D3DF6" w:rsidRPr="00F9071B" w:rsidRDefault="002D3DF6" w:rsidP="00AC5730">
      <w:pPr>
        <w:numPr>
          <w:ilvl w:val="0"/>
          <w:numId w:val="48"/>
        </w:numPr>
        <w:spacing w:after="0" w:line="260" w:lineRule="exact"/>
        <w:jc w:val="center"/>
        <w:rPr>
          <w:rFonts w:ascii="Arial" w:hAnsi="Arial" w:cs="Arial"/>
          <w:bCs/>
          <w:sz w:val="20"/>
          <w:szCs w:val="20"/>
          <w:lang w:eastAsia="sl-SI"/>
        </w:rPr>
      </w:pPr>
      <w:r w:rsidRPr="00F9071B">
        <w:rPr>
          <w:rFonts w:ascii="Arial" w:hAnsi="Arial" w:cs="Arial"/>
          <w:bCs/>
          <w:sz w:val="20"/>
          <w:szCs w:val="20"/>
          <w:lang w:eastAsia="sl-SI"/>
        </w:rPr>
        <w:t>člen</w:t>
      </w:r>
    </w:p>
    <w:p w:rsidR="002D3DF6" w:rsidRPr="00F9071B" w:rsidRDefault="002D3DF6" w:rsidP="00AC5730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bCs/>
          <w:sz w:val="20"/>
          <w:szCs w:val="20"/>
          <w:lang w:eastAsia="sl-SI"/>
        </w:rPr>
      </w:pPr>
      <w:r w:rsidRPr="00F9071B">
        <w:rPr>
          <w:rFonts w:ascii="Arial" w:hAnsi="Arial" w:cs="Arial"/>
          <w:bCs/>
          <w:sz w:val="20"/>
          <w:szCs w:val="20"/>
          <w:lang w:eastAsia="sl-SI"/>
        </w:rPr>
        <w:t xml:space="preserve">V Uredbi o sejninah in povračilih stroškov v javnih skladih, javnih agencijah, javnih zavodih in javnih gospodarskih zavodih (Uradni list RS, št. 16/09, 107/10, 66/12 in 51/13) se besedilo 4. člena spremeni tako, da se glasi: </w:t>
      </w:r>
    </w:p>
    <w:p w:rsidR="002D3DF6" w:rsidRPr="00F9071B" w:rsidRDefault="002D3DF6" w:rsidP="00AC5730">
      <w:pPr>
        <w:pStyle w:val="Odstavek"/>
        <w:spacing w:line="260" w:lineRule="exact"/>
        <w:rPr>
          <w:sz w:val="20"/>
        </w:rPr>
      </w:pPr>
      <w:r w:rsidRPr="00F9071B">
        <w:rPr>
          <w:sz w:val="20"/>
        </w:rPr>
        <w:t xml:space="preserve">»Stalni del sejnine znaša 50 </w:t>
      </w:r>
      <w:proofErr w:type="spellStart"/>
      <w:r w:rsidRPr="00F9071B">
        <w:rPr>
          <w:sz w:val="20"/>
        </w:rPr>
        <w:t>eurov</w:t>
      </w:r>
      <w:proofErr w:type="spellEnd"/>
      <w:r w:rsidRPr="00F9071B">
        <w:rPr>
          <w:sz w:val="20"/>
        </w:rPr>
        <w:t xml:space="preserve">, razen v javnih agencijah, ustanovljenih za opravljanje </w:t>
      </w:r>
      <w:proofErr w:type="spellStart"/>
      <w:r w:rsidRPr="00F9071B">
        <w:rPr>
          <w:sz w:val="20"/>
        </w:rPr>
        <w:t>regulatornih</w:t>
      </w:r>
      <w:proofErr w:type="spellEnd"/>
      <w:r w:rsidRPr="00F9071B">
        <w:rPr>
          <w:sz w:val="20"/>
        </w:rPr>
        <w:t xml:space="preserve"> nalog, v katerih znaša 75 </w:t>
      </w:r>
      <w:proofErr w:type="spellStart"/>
      <w:r w:rsidRPr="00F9071B">
        <w:rPr>
          <w:sz w:val="20"/>
        </w:rPr>
        <w:t>eurov</w:t>
      </w:r>
      <w:proofErr w:type="spellEnd"/>
      <w:r w:rsidRPr="00F9071B">
        <w:rPr>
          <w:sz w:val="20"/>
        </w:rPr>
        <w:t xml:space="preserve">, in v javnih skladih, v katerih znaša 25 </w:t>
      </w:r>
      <w:proofErr w:type="spellStart"/>
      <w:r w:rsidRPr="00F9071B">
        <w:rPr>
          <w:sz w:val="20"/>
        </w:rPr>
        <w:t>eurov</w:t>
      </w:r>
      <w:proofErr w:type="spellEnd"/>
      <w:r w:rsidRPr="00F9071B">
        <w:rPr>
          <w:sz w:val="20"/>
        </w:rPr>
        <w:t>.«</w:t>
      </w:r>
    </w:p>
    <w:p w:rsidR="002D3DF6" w:rsidRPr="00F9071B" w:rsidRDefault="002D3DF6" w:rsidP="00AC5730">
      <w:pPr>
        <w:pStyle w:val="Odstavek"/>
        <w:spacing w:line="260" w:lineRule="exact"/>
        <w:rPr>
          <w:sz w:val="20"/>
        </w:rPr>
      </w:pPr>
    </w:p>
    <w:p w:rsidR="002D3DF6" w:rsidRPr="00F9071B" w:rsidRDefault="002D3DF6" w:rsidP="00AC5730">
      <w:pPr>
        <w:numPr>
          <w:ilvl w:val="0"/>
          <w:numId w:val="48"/>
        </w:numPr>
        <w:spacing w:after="0" w:line="260" w:lineRule="exact"/>
        <w:jc w:val="center"/>
        <w:rPr>
          <w:rFonts w:ascii="Arial" w:hAnsi="Arial" w:cs="Arial"/>
          <w:bCs/>
          <w:sz w:val="20"/>
          <w:szCs w:val="20"/>
          <w:lang w:eastAsia="sl-SI"/>
        </w:rPr>
      </w:pPr>
      <w:r w:rsidRPr="00F9071B">
        <w:rPr>
          <w:rFonts w:ascii="Arial" w:hAnsi="Arial" w:cs="Arial"/>
          <w:bCs/>
          <w:sz w:val="20"/>
          <w:szCs w:val="20"/>
          <w:lang w:eastAsia="sl-SI"/>
        </w:rPr>
        <w:t>člen</w:t>
      </w:r>
    </w:p>
    <w:p w:rsidR="002D3DF6" w:rsidRPr="00F9071B" w:rsidRDefault="002D3DF6" w:rsidP="00AC5730">
      <w:pPr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bCs/>
          <w:sz w:val="20"/>
          <w:szCs w:val="20"/>
          <w:lang w:eastAsia="sl-SI"/>
        </w:rPr>
      </w:pPr>
      <w:r w:rsidRPr="00F9071B">
        <w:rPr>
          <w:rFonts w:ascii="Arial" w:hAnsi="Arial" w:cs="Arial"/>
          <w:bCs/>
          <w:sz w:val="20"/>
          <w:szCs w:val="20"/>
          <w:lang w:eastAsia="sl-SI"/>
        </w:rPr>
        <w:t xml:space="preserve">Drugi odstavek 5. člena se spremeni tako, da se glasi: </w:t>
      </w:r>
    </w:p>
    <w:p w:rsidR="002D3DF6" w:rsidRPr="00F9071B" w:rsidRDefault="002D3DF6" w:rsidP="00AC5730">
      <w:pPr>
        <w:pStyle w:val="Odstavek"/>
        <w:spacing w:after="240" w:line="260" w:lineRule="exact"/>
        <w:rPr>
          <w:sz w:val="20"/>
        </w:rPr>
      </w:pPr>
      <w:r w:rsidRPr="00F9071B">
        <w:rPr>
          <w:sz w:val="20"/>
        </w:rPr>
        <w:t>»(2) Dela A in B se izračunata na naslednji način:</w:t>
      </w:r>
    </w:p>
    <w:p w:rsidR="002D3DF6" w:rsidRPr="00F9071B" w:rsidRDefault="002D3DF6" w:rsidP="00AC5730">
      <w:pPr>
        <w:pStyle w:val="Odstavek"/>
        <w:spacing w:after="240" w:line="260" w:lineRule="exact"/>
        <w:rPr>
          <w:sz w:val="20"/>
        </w:rPr>
      </w:pPr>
    </w:p>
    <w:tbl>
      <w:tblPr>
        <w:tblW w:w="9072" w:type="dxa"/>
        <w:jc w:val="center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431"/>
        <w:gridCol w:w="2102"/>
      </w:tblGrid>
      <w:tr w:rsidR="002D3DF6" w:rsidRPr="00F9071B" w:rsidTr="00152699">
        <w:trPr>
          <w:trHeight w:val="60"/>
          <w:jc w:val="center"/>
        </w:trPr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F9071B" w:rsidRDefault="002D3DF6" w:rsidP="00152699">
            <w:pPr>
              <w:pStyle w:val="NoParagraphStyle"/>
              <w:spacing w:line="260" w:lineRule="exac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 A =</w:t>
            </w:r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Če znesek bilančne vsote osebe javnega sektorja ob koncu preteklega poslovnega leta znaša: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F9071B" w:rsidRDefault="002D3DF6" w:rsidP="00152699">
            <w:pPr>
              <w:pStyle w:val="NoParagraphStyle"/>
              <w:spacing w:line="260" w:lineRule="exac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</w:p>
        </w:tc>
      </w:tr>
      <w:tr w:rsidR="002D3DF6" w:rsidRPr="00F9071B" w:rsidTr="00152699">
        <w:trPr>
          <w:trHeight w:val="283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F9071B" w:rsidRDefault="002D3DF6" w:rsidP="00152699">
            <w:pPr>
              <w:pStyle w:val="NoParagraphStyle"/>
              <w:spacing w:line="260" w:lineRule="exac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do 4 milijone </w:t>
            </w:r>
            <w:proofErr w:type="spellStart"/>
            <w:r w:rsidRPr="00D51DB9">
              <w:rPr>
                <w:rFonts w:cs="Arial"/>
                <w:sz w:val="20"/>
              </w:rPr>
              <w:t>eurov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5,00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nad 4 milijone EUR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do 40 milijonov EUR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7,50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nad 40 milijonov EUR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do 200 milijonov EUR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10,00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nad 200 milijonov EUR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do 400 milijonov EUR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12,50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nad 400 milijonov </w:t>
            </w:r>
            <w:proofErr w:type="spellStart"/>
            <w:r w:rsidRPr="00D51DB9">
              <w:rPr>
                <w:rFonts w:cs="Arial"/>
                <w:sz w:val="20"/>
              </w:rPr>
              <w:t>eurov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F9071B" w:rsidRDefault="002D3DF6" w:rsidP="00152699">
            <w:pPr>
              <w:pStyle w:val="NoParagraphStyle"/>
              <w:spacing w:line="260" w:lineRule="exac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15,00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</w:tbl>
    <w:p w:rsidR="002D3DF6" w:rsidRPr="00F9071B" w:rsidRDefault="002D3DF6" w:rsidP="00AC5730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431"/>
        <w:gridCol w:w="2102"/>
      </w:tblGrid>
      <w:tr w:rsidR="002D3DF6" w:rsidRPr="00F9071B" w:rsidTr="00152699">
        <w:trPr>
          <w:trHeight w:val="60"/>
          <w:jc w:val="center"/>
        </w:trPr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F9071B" w:rsidRDefault="002D3DF6" w:rsidP="00152699">
            <w:pPr>
              <w:pStyle w:val="NoParagraphStyle"/>
              <w:spacing w:line="260" w:lineRule="exac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B =</w:t>
            </w:r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Če število zaposlenih v osebi javnega sektorja ob koncu preteklega poslovnega leta znaša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F9071B" w:rsidRDefault="002D3DF6" w:rsidP="00152699">
            <w:pPr>
              <w:pStyle w:val="NoParagraphStyle"/>
              <w:spacing w:line="260" w:lineRule="exac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F9071B" w:rsidRDefault="002D3DF6" w:rsidP="00152699">
            <w:pPr>
              <w:pStyle w:val="NoParagraphStyle"/>
              <w:spacing w:line="260" w:lineRule="exac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do 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2,50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nad 30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do 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5,00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nad 100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do 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7,50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nad 500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do 1.000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10,00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nad 1.000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do 3.000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12,50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  <w:tr w:rsidR="002D3DF6" w:rsidRPr="00F9071B" w:rsidTr="00152699">
        <w:trPr>
          <w:trHeight w:val="6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>nad 3.000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F9071B" w:rsidRDefault="002D3DF6" w:rsidP="00152699">
            <w:pPr>
              <w:pStyle w:val="NoParagraphStyle"/>
              <w:spacing w:line="260" w:lineRule="exac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2D3DF6" w:rsidRPr="00D51DB9" w:rsidRDefault="002D3DF6" w:rsidP="00152699">
            <w:pPr>
              <w:pStyle w:val="Odstavek"/>
              <w:spacing w:line="260" w:lineRule="exact"/>
              <w:ind w:firstLine="0"/>
              <w:rPr>
                <w:rFonts w:cs="Arial"/>
                <w:sz w:val="20"/>
              </w:rPr>
            </w:pPr>
            <w:r w:rsidRPr="00D51DB9">
              <w:rPr>
                <w:rFonts w:cs="Arial"/>
                <w:sz w:val="20"/>
              </w:rPr>
              <w:t xml:space="preserve">15,00 </w:t>
            </w:r>
            <w:proofErr w:type="spellStart"/>
            <w:r w:rsidRPr="00D51DB9">
              <w:rPr>
                <w:rFonts w:cs="Arial"/>
                <w:sz w:val="20"/>
              </w:rPr>
              <w:t>eura</w:t>
            </w:r>
            <w:proofErr w:type="spellEnd"/>
          </w:p>
        </w:tc>
      </w:tr>
    </w:tbl>
    <w:p w:rsidR="002D3DF6" w:rsidRPr="00F9071B" w:rsidRDefault="002D3DF6" w:rsidP="00AC5730">
      <w:pPr>
        <w:pStyle w:val="Odstavek"/>
        <w:spacing w:line="260" w:lineRule="exact"/>
        <w:ind w:firstLine="0"/>
        <w:rPr>
          <w:sz w:val="20"/>
        </w:rPr>
      </w:pPr>
      <w:r w:rsidRPr="00F9071B">
        <w:rPr>
          <w:sz w:val="20"/>
        </w:rPr>
        <w:t>«</w:t>
      </w: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bCs/>
          <w:sz w:val="20"/>
          <w:szCs w:val="20"/>
          <w:lang w:eastAsia="sl-SI"/>
        </w:rPr>
      </w:pP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2D3DF6" w:rsidRPr="00F9071B" w:rsidRDefault="002D3DF6" w:rsidP="00AC5730">
      <w:pPr>
        <w:numPr>
          <w:ilvl w:val="0"/>
          <w:numId w:val="48"/>
        </w:numPr>
        <w:spacing w:after="0" w:line="260" w:lineRule="exact"/>
        <w:jc w:val="center"/>
        <w:rPr>
          <w:rFonts w:ascii="Arial" w:hAnsi="Arial" w:cs="Arial"/>
          <w:bCs/>
          <w:sz w:val="20"/>
          <w:szCs w:val="20"/>
          <w:lang w:eastAsia="sl-SI"/>
        </w:rPr>
      </w:pPr>
      <w:r w:rsidRPr="00F9071B">
        <w:rPr>
          <w:rFonts w:ascii="Arial" w:hAnsi="Arial" w:cs="Arial"/>
          <w:bCs/>
          <w:sz w:val="20"/>
          <w:szCs w:val="20"/>
          <w:lang w:eastAsia="sl-SI"/>
        </w:rPr>
        <w:t>člen</w:t>
      </w:r>
    </w:p>
    <w:p w:rsidR="002D3DF6" w:rsidRPr="00F9071B" w:rsidRDefault="002D3DF6" w:rsidP="00AC5730">
      <w:pPr>
        <w:spacing w:line="260" w:lineRule="exact"/>
        <w:rPr>
          <w:rFonts w:ascii="Arial" w:hAnsi="Arial" w:cs="Arial"/>
          <w:bCs/>
          <w:sz w:val="20"/>
          <w:szCs w:val="20"/>
          <w:lang w:eastAsia="sl-SI"/>
        </w:rPr>
      </w:pPr>
    </w:p>
    <w:p w:rsidR="002D3DF6" w:rsidRPr="00F9071B" w:rsidRDefault="002D3DF6" w:rsidP="00AC5730">
      <w:pPr>
        <w:spacing w:after="212"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F9071B">
        <w:rPr>
          <w:rFonts w:ascii="Arial" w:hAnsi="Arial" w:cs="Arial"/>
          <w:sz w:val="20"/>
          <w:szCs w:val="20"/>
          <w:lang w:eastAsia="sl-SI"/>
        </w:rPr>
        <w:t>Ta uredba začne veljati naslednji dan po objavi v Uradnem listu Republike Slovenije.</w:t>
      </w: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F9071B">
        <w:rPr>
          <w:rFonts w:ascii="Arial" w:hAnsi="Arial" w:cs="Arial"/>
          <w:sz w:val="20"/>
          <w:szCs w:val="20"/>
          <w:lang w:eastAsia="sl-SI"/>
        </w:rPr>
        <w:t xml:space="preserve">Št. </w:t>
      </w: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F9071B">
        <w:rPr>
          <w:rFonts w:ascii="Arial" w:hAnsi="Arial" w:cs="Arial"/>
          <w:sz w:val="20"/>
          <w:szCs w:val="20"/>
          <w:lang w:eastAsia="sl-SI"/>
        </w:rPr>
        <w:t>Ljubljana, dne ... … 2015</w:t>
      </w:r>
    </w:p>
    <w:p w:rsidR="002D3DF6" w:rsidRPr="00F9071B" w:rsidRDefault="002D3DF6" w:rsidP="00AC5730">
      <w:pPr>
        <w:spacing w:line="260" w:lineRule="exact"/>
        <w:jc w:val="both"/>
        <w:rPr>
          <w:rFonts w:ascii="Arial" w:hAnsi="Arial" w:cs="Arial"/>
          <w:sz w:val="20"/>
          <w:szCs w:val="20"/>
          <w:lang w:eastAsia="sl-SI"/>
        </w:rPr>
      </w:pPr>
      <w:r w:rsidRPr="00F9071B">
        <w:rPr>
          <w:rFonts w:ascii="Arial" w:hAnsi="Arial" w:cs="Arial"/>
          <w:sz w:val="20"/>
          <w:szCs w:val="20"/>
          <w:lang w:eastAsia="sl-SI"/>
        </w:rPr>
        <w:t xml:space="preserve">EVA: </w:t>
      </w:r>
      <w:r w:rsidRPr="00F9071B">
        <w:rPr>
          <w:rFonts w:ascii="Arial" w:hAnsi="Arial" w:cs="Arial"/>
          <w:sz w:val="20"/>
          <w:szCs w:val="20"/>
        </w:rPr>
        <w:t>2015-1611-0038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4"/>
        <w:gridCol w:w="4605"/>
      </w:tblGrid>
      <w:tr w:rsidR="002D3DF6" w:rsidRPr="00F9071B" w:rsidTr="00152699">
        <w:trPr>
          <w:trHeight w:val="256"/>
        </w:trPr>
        <w:tc>
          <w:tcPr>
            <w:tcW w:w="4604" w:type="dxa"/>
          </w:tcPr>
          <w:p w:rsidR="002D3DF6" w:rsidRPr="00F9071B" w:rsidRDefault="002D3DF6" w:rsidP="00152699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05" w:type="dxa"/>
          </w:tcPr>
          <w:p w:rsidR="002D3DF6" w:rsidRPr="00F9071B" w:rsidRDefault="002D3DF6" w:rsidP="0015269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Vlada Republike Slovenije</w:t>
            </w:r>
          </w:p>
          <w:p w:rsidR="002D3DF6" w:rsidRPr="00F9071B" w:rsidRDefault="002D3DF6" w:rsidP="0015269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2D3DF6" w:rsidRPr="00F9071B" w:rsidTr="00152699">
        <w:tc>
          <w:tcPr>
            <w:tcW w:w="4604" w:type="dxa"/>
          </w:tcPr>
          <w:p w:rsidR="002D3DF6" w:rsidRPr="00F9071B" w:rsidRDefault="002D3DF6" w:rsidP="00152699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05" w:type="dxa"/>
          </w:tcPr>
          <w:p w:rsidR="002D3DF6" w:rsidRPr="00F9071B" w:rsidRDefault="002D3DF6" w:rsidP="0015269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dr. Miro Cerar</w:t>
            </w:r>
          </w:p>
        </w:tc>
      </w:tr>
      <w:tr w:rsidR="002D3DF6" w:rsidRPr="00F9071B" w:rsidTr="00152699">
        <w:tc>
          <w:tcPr>
            <w:tcW w:w="4604" w:type="dxa"/>
          </w:tcPr>
          <w:p w:rsidR="002D3DF6" w:rsidRPr="00F9071B" w:rsidRDefault="002D3DF6" w:rsidP="00152699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05" w:type="dxa"/>
          </w:tcPr>
          <w:p w:rsidR="002D3DF6" w:rsidRPr="00F9071B" w:rsidRDefault="002D3DF6" w:rsidP="00152699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9071B">
              <w:rPr>
                <w:rFonts w:ascii="Arial" w:hAnsi="Arial" w:cs="Arial"/>
                <w:sz w:val="20"/>
                <w:szCs w:val="20"/>
                <w:lang w:eastAsia="sl-SI"/>
              </w:rPr>
              <w:t>predsednik</w:t>
            </w:r>
          </w:p>
        </w:tc>
      </w:tr>
    </w:tbl>
    <w:p w:rsidR="002D3DF6" w:rsidRPr="00F9071B" w:rsidRDefault="002D3DF6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9071B">
        <w:rPr>
          <w:rFonts w:ascii="Arial" w:hAnsi="Arial" w:cs="Arial"/>
          <w:b/>
          <w:sz w:val="20"/>
          <w:szCs w:val="20"/>
        </w:rPr>
        <w:br w:type="page"/>
      </w:r>
      <w:r w:rsidRPr="00F9071B">
        <w:rPr>
          <w:rFonts w:ascii="Arial" w:hAnsi="Arial" w:cs="Arial"/>
          <w:b/>
          <w:sz w:val="20"/>
          <w:szCs w:val="20"/>
        </w:rPr>
        <w:lastRenderedPageBreak/>
        <w:t>OBRAZLOŽITEV</w:t>
      </w:r>
    </w:p>
    <w:p w:rsidR="002D3DF6" w:rsidRPr="00F9071B" w:rsidRDefault="002D3DF6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2D3DF6" w:rsidRPr="00F9071B" w:rsidRDefault="002D3DF6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9071B">
        <w:rPr>
          <w:rFonts w:ascii="Arial" w:hAnsi="Arial" w:cs="Arial"/>
          <w:b/>
          <w:sz w:val="20"/>
          <w:szCs w:val="20"/>
        </w:rPr>
        <w:t>I. UVOD</w:t>
      </w:r>
    </w:p>
    <w:p w:rsidR="002D3DF6" w:rsidRPr="00F9071B" w:rsidRDefault="002D3DF6" w:rsidP="0068465E">
      <w:pPr>
        <w:tabs>
          <w:tab w:val="left" w:pos="708"/>
        </w:tabs>
        <w:spacing w:after="0" w:line="260" w:lineRule="exact"/>
        <w:ind w:left="720"/>
        <w:rPr>
          <w:rFonts w:ascii="Arial" w:hAnsi="Arial" w:cs="Arial"/>
          <w:sz w:val="20"/>
          <w:szCs w:val="20"/>
        </w:rPr>
      </w:pPr>
    </w:p>
    <w:p w:rsidR="002D3DF6" w:rsidRPr="00F9071B" w:rsidRDefault="002D3DF6" w:rsidP="0068465E">
      <w:pPr>
        <w:numPr>
          <w:ilvl w:val="0"/>
          <w:numId w:val="23"/>
        </w:numPr>
        <w:tabs>
          <w:tab w:val="clear" w:pos="720"/>
          <w:tab w:val="num" w:pos="-360"/>
        </w:tabs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9071B">
        <w:rPr>
          <w:rFonts w:ascii="Arial" w:hAnsi="Arial" w:cs="Arial"/>
          <w:b/>
          <w:sz w:val="20"/>
          <w:szCs w:val="20"/>
        </w:rPr>
        <w:t>Pravna podlaga (besedilo, vsebina zakonske določbe, ki je podlaga za izdajo uredbe)</w:t>
      </w:r>
    </w:p>
    <w:p w:rsidR="002D3DF6" w:rsidRPr="00F9071B" w:rsidRDefault="002D3DF6" w:rsidP="00AC5730">
      <w:pPr>
        <w:numPr>
          <w:ilvl w:val="0"/>
          <w:numId w:val="47"/>
        </w:num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 xml:space="preserve">četrti odstavek 17. člena Zakona o javnih skladih (Uradni list RS, št. 77/08 in 8/10 – ZSKZ-B), </w:t>
      </w:r>
    </w:p>
    <w:p w:rsidR="002D3DF6" w:rsidRPr="00F9071B" w:rsidRDefault="002D3DF6" w:rsidP="00AC5730">
      <w:pPr>
        <w:numPr>
          <w:ilvl w:val="0"/>
          <w:numId w:val="47"/>
        </w:num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 xml:space="preserve">drugi odstavek 16. člena Zakona o javnih agencijah (Uradni list RS, št. 52/02, 51/04 – EZ-A in 33/11 – ZEKom-C) in </w:t>
      </w:r>
    </w:p>
    <w:p w:rsidR="002D3DF6" w:rsidRPr="00F9071B" w:rsidRDefault="002D3DF6" w:rsidP="00AC5730">
      <w:pPr>
        <w:numPr>
          <w:ilvl w:val="0"/>
          <w:numId w:val="47"/>
        </w:num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 xml:space="preserve">6. člen ter prvi in drugi odstavek 7. člena Zakona o Vladi Republike Slovenije (Uradni list RS, št. 24/05 </w:t>
      </w:r>
      <w:r>
        <w:rPr>
          <w:rFonts w:ascii="Arial" w:hAnsi="Arial" w:cs="Arial"/>
          <w:sz w:val="20"/>
          <w:szCs w:val="20"/>
        </w:rPr>
        <w:t>–</w:t>
      </w:r>
      <w:r w:rsidRPr="00F9071B">
        <w:rPr>
          <w:rFonts w:ascii="Arial" w:hAnsi="Arial" w:cs="Arial"/>
          <w:sz w:val="20"/>
          <w:szCs w:val="20"/>
        </w:rPr>
        <w:t xml:space="preserve"> uradno prečiščeno besedilo, 109/08, 38/10 </w:t>
      </w:r>
      <w:r>
        <w:rPr>
          <w:rFonts w:ascii="Arial" w:hAnsi="Arial" w:cs="Arial"/>
          <w:sz w:val="20"/>
          <w:szCs w:val="20"/>
        </w:rPr>
        <w:t>–</w:t>
      </w:r>
      <w:r w:rsidRPr="00F9071B">
        <w:rPr>
          <w:rFonts w:ascii="Arial" w:hAnsi="Arial" w:cs="Arial"/>
          <w:sz w:val="20"/>
          <w:szCs w:val="20"/>
        </w:rPr>
        <w:t xml:space="preserve"> ZUKN, 8/12, 21/13, 47/13 </w:t>
      </w:r>
      <w:r>
        <w:rPr>
          <w:rFonts w:ascii="Arial" w:hAnsi="Arial" w:cs="Arial"/>
          <w:sz w:val="20"/>
          <w:szCs w:val="20"/>
        </w:rPr>
        <w:t>–</w:t>
      </w:r>
      <w:r w:rsidRPr="00F9071B">
        <w:rPr>
          <w:rFonts w:ascii="Arial" w:hAnsi="Arial" w:cs="Arial"/>
          <w:sz w:val="20"/>
          <w:szCs w:val="20"/>
        </w:rPr>
        <w:t xml:space="preserve"> ZDU-1G in 65/14).</w:t>
      </w:r>
    </w:p>
    <w:p w:rsidR="002D3DF6" w:rsidRPr="00F9071B" w:rsidRDefault="002D3DF6" w:rsidP="00AC5730">
      <w:p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D3DF6" w:rsidRPr="00F9071B" w:rsidRDefault="002D3DF6" w:rsidP="00AC5730">
      <w:p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>Člani nadzornih organov so upravičeni do sejnin ter povračila drugih stroškov skladno s predpisom, ki ga izda vlada na predlog ministra, pristojnega za finance.</w:t>
      </w:r>
    </w:p>
    <w:p w:rsidR="002D3DF6" w:rsidRPr="00F9071B" w:rsidRDefault="002D3DF6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68465E">
      <w:pPr>
        <w:numPr>
          <w:ilvl w:val="0"/>
          <w:numId w:val="23"/>
        </w:numPr>
        <w:tabs>
          <w:tab w:val="clear" w:pos="720"/>
          <w:tab w:val="num" w:pos="-360"/>
        </w:tabs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9071B">
        <w:rPr>
          <w:rFonts w:ascii="Arial" w:hAnsi="Arial" w:cs="Arial"/>
          <w:b/>
          <w:sz w:val="20"/>
          <w:szCs w:val="20"/>
        </w:rPr>
        <w:t>Rok za izdajo uredbe, določen z zakonom: /</w:t>
      </w:r>
    </w:p>
    <w:p w:rsidR="002D3DF6" w:rsidRPr="00F9071B" w:rsidRDefault="002D3DF6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68465E">
      <w:pPr>
        <w:numPr>
          <w:ilvl w:val="0"/>
          <w:numId w:val="23"/>
        </w:numPr>
        <w:tabs>
          <w:tab w:val="clear" w:pos="720"/>
          <w:tab w:val="num" w:pos="0"/>
        </w:tabs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9071B">
        <w:rPr>
          <w:rFonts w:ascii="Arial" w:hAnsi="Arial" w:cs="Arial"/>
          <w:b/>
          <w:sz w:val="20"/>
          <w:szCs w:val="20"/>
        </w:rPr>
        <w:t>Splošna obrazložitev predloga uredbe, če je potrebna:/</w:t>
      </w:r>
    </w:p>
    <w:p w:rsidR="002D3DF6" w:rsidRPr="00F9071B" w:rsidRDefault="002D3DF6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68465E">
      <w:pPr>
        <w:numPr>
          <w:ilvl w:val="0"/>
          <w:numId w:val="23"/>
        </w:numPr>
        <w:tabs>
          <w:tab w:val="clear" w:pos="720"/>
          <w:tab w:val="num" w:pos="0"/>
        </w:tabs>
        <w:spacing w:after="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9071B">
        <w:rPr>
          <w:rFonts w:ascii="Arial" w:hAnsi="Arial" w:cs="Arial"/>
          <w:b/>
          <w:sz w:val="20"/>
          <w:szCs w:val="20"/>
        </w:rPr>
        <w:t>Predstavitev presoje posledic za posamezna področja, če te niso mogle biti celovito predstavljene v predlogu zakona: /</w:t>
      </w:r>
    </w:p>
    <w:p w:rsidR="002D3DF6" w:rsidRPr="00F9071B" w:rsidRDefault="002D3DF6" w:rsidP="00107ED0">
      <w:pPr>
        <w:spacing w:after="0" w:line="260" w:lineRule="exact"/>
        <w:rPr>
          <w:rFonts w:ascii="Arial" w:hAnsi="Arial" w:cs="Arial"/>
          <w:sz w:val="20"/>
          <w:szCs w:val="20"/>
          <w:lang w:eastAsia="sl-SI"/>
        </w:rPr>
      </w:pPr>
    </w:p>
    <w:p w:rsidR="002D3DF6" w:rsidRPr="00F9071B" w:rsidRDefault="002D3DF6" w:rsidP="00107ED0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D3DF6" w:rsidRPr="00F9071B" w:rsidRDefault="002D3DF6" w:rsidP="00107ED0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D3DF6" w:rsidRPr="00F9071B" w:rsidRDefault="002D3DF6" w:rsidP="00107ED0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9071B">
        <w:rPr>
          <w:rFonts w:ascii="Arial" w:hAnsi="Arial" w:cs="Arial"/>
          <w:b/>
          <w:sz w:val="20"/>
          <w:szCs w:val="20"/>
        </w:rPr>
        <w:t>II. VSEBINSKA OBRAZLOŽITEV PREDLAGANIH REŠITEV</w:t>
      </w:r>
    </w:p>
    <w:p w:rsidR="002D3DF6" w:rsidRPr="00F9071B" w:rsidRDefault="002D3DF6" w:rsidP="00107ED0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2D3DF6" w:rsidRPr="00F9071B" w:rsidRDefault="002D3DF6" w:rsidP="00AC573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 xml:space="preserve">S predlagano Uredbo o spremembah Uredbe o sejninah in povračilih stroškov v javnih skladih, javnih agencijah, javnih zavodih in javnih gospodarskih zavodih se zaradi omejitev učinkov finančne krize podaljšuje obdobje ukrepa znižanja sejnin članom organov nadzora oziroma upravljanja v javnih skladih, javnih agencijah in tistih javnih zavodih, katerih ustanoviteljske pravice izvršuje Vlada RS. </w:t>
      </w:r>
    </w:p>
    <w:p w:rsidR="002D3DF6" w:rsidRPr="00F9071B" w:rsidRDefault="002D3DF6" w:rsidP="00AC5730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2D3DF6" w:rsidRPr="00F9071B" w:rsidRDefault="002D3DF6" w:rsidP="00AC573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>Znižuje se:</w:t>
      </w:r>
    </w:p>
    <w:p w:rsidR="002D3DF6" w:rsidRPr="00F9071B" w:rsidRDefault="002D3DF6" w:rsidP="00AC5730">
      <w:pPr>
        <w:numPr>
          <w:ilvl w:val="0"/>
          <w:numId w:val="47"/>
        </w:num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 xml:space="preserve">stalni del sejnin </w:t>
      </w:r>
      <w:r>
        <w:rPr>
          <w:rFonts w:ascii="Arial" w:hAnsi="Arial" w:cs="Arial"/>
          <w:sz w:val="20"/>
          <w:szCs w:val="20"/>
        </w:rPr>
        <w:t>s</w:t>
      </w:r>
      <w:r w:rsidRPr="00F9071B">
        <w:rPr>
          <w:rFonts w:ascii="Arial" w:hAnsi="Arial" w:cs="Arial"/>
          <w:sz w:val="20"/>
          <w:szCs w:val="20"/>
        </w:rPr>
        <w:t xml:space="preserve"> 100 EUR bruto na 50 EUR bruto, v javnih agencijah, ustanovljenih za opravljanje </w:t>
      </w:r>
      <w:proofErr w:type="spellStart"/>
      <w:r w:rsidRPr="00F9071B">
        <w:rPr>
          <w:rFonts w:ascii="Arial" w:hAnsi="Arial" w:cs="Arial"/>
          <w:sz w:val="20"/>
          <w:szCs w:val="20"/>
        </w:rPr>
        <w:t>regulatornih</w:t>
      </w:r>
      <w:proofErr w:type="spellEnd"/>
      <w:r w:rsidRPr="00F9071B">
        <w:rPr>
          <w:rFonts w:ascii="Arial" w:hAnsi="Arial" w:cs="Arial"/>
          <w:sz w:val="20"/>
          <w:szCs w:val="20"/>
        </w:rPr>
        <w:t xml:space="preserve"> nalog</w:t>
      </w:r>
      <w:r>
        <w:rPr>
          <w:rFonts w:ascii="Arial" w:hAnsi="Arial" w:cs="Arial"/>
          <w:sz w:val="20"/>
          <w:szCs w:val="20"/>
        </w:rPr>
        <w:t>,</w:t>
      </w:r>
      <w:r w:rsidRPr="00F907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F9071B">
        <w:rPr>
          <w:rFonts w:ascii="Arial" w:hAnsi="Arial" w:cs="Arial"/>
          <w:sz w:val="20"/>
          <w:szCs w:val="20"/>
        </w:rPr>
        <w:t xml:space="preserve"> 150 EUR bruto na 75 EUR bruto in v javnih skladih </w:t>
      </w:r>
      <w:r>
        <w:rPr>
          <w:rFonts w:ascii="Arial" w:hAnsi="Arial" w:cs="Arial"/>
          <w:sz w:val="20"/>
          <w:szCs w:val="20"/>
        </w:rPr>
        <w:t>s</w:t>
      </w:r>
      <w:r w:rsidRPr="00F9071B">
        <w:rPr>
          <w:rFonts w:ascii="Arial" w:hAnsi="Arial" w:cs="Arial"/>
          <w:sz w:val="20"/>
          <w:szCs w:val="20"/>
        </w:rPr>
        <w:t xml:space="preserve"> 50 EUR bruto na 25 EUR bruto ter</w:t>
      </w:r>
    </w:p>
    <w:p w:rsidR="002D3DF6" w:rsidRPr="00F9071B" w:rsidRDefault="002D3DF6" w:rsidP="00AC5730">
      <w:pPr>
        <w:numPr>
          <w:ilvl w:val="0"/>
          <w:numId w:val="47"/>
        </w:num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>spremenljivi del sejnin za 50</w:t>
      </w:r>
      <w:r>
        <w:rPr>
          <w:rFonts w:ascii="Arial" w:hAnsi="Arial" w:cs="Arial"/>
          <w:sz w:val="20"/>
          <w:szCs w:val="20"/>
        </w:rPr>
        <w:t xml:space="preserve"> </w:t>
      </w:r>
      <w:r w:rsidRPr="00F9071B">
        <w:rPr>
          <w:rFonts w:ascii="Arial" w:hAnsi="Arial" w:cs="Arial"/>
          <w:sz w:val="20"/>
          <w:szCs w:val="20"/>
        </w:rPr>
        <w:t>%.</w:t>
      </w:r>
    </w:p>
    <w:p w:rsidR="002D3DF6" w:rsidRPr="00F9071B" w:rsidRDefault="002D3DF6" w:rsidP="00AC5730">
      <w:p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D3DF6" w:rsidRPr="00F9071B" w:rsidRDefault="002D3DF6" w:rsidP="00AC5730">
      <w:pPr>
        <w:suppressAutoHyphens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9071B">
        <w:rPr>
          <w:rFonts w:ascii="Arial" w:hAnsi="Arial" w:cs="Arial"/>
          <w:sz w:val="20"/>
          <w:szCs w:val="20"/>
        </w:rPr>
        <w:t xml:space="preserve">Zaradi nujnosti sprememb uredbe se predlaga njihova veljavnost naslednji dan po objavi v Uradnem listu Republike Slovenije. </w:t>
      </w:r>
    </w:p>
    <w:p w:rsidR="002D3DF6" w:rsidRPr="00F9071B" w:rsidRDefault="002D3DF6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 w:rsidP="00107ED0">
      <w:pPr>
        <w:pStyle w:val="Header"/>
        <w:tabs>
          <w:tab w:val="left" w:pos="5112"/>
        </w:tabs>
        <w:rPr>
          <w:rFonts w:cs="Arial"/>
          <w:szCs w:val="20"/>
        </w:rPr>
      </w:pPr>
    </w:p>
    <w:p w:rsidR="002D3DF6" w:rsidRPr="00F9071B" w:rsidRDefault="002D3DF6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D3DF6" w:rsidRPr="00F9071B" w:rsidRDefault="002D3DF6"/>
    <w:sectPr w:rsidR="002D3DF6" w:rsidRPr="00F9071B" w:rsidSect="00E455F9">
      <w:headerReference w:type="firs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A9" w:rsidRDefault="004650A9">
      <w:pPr>
        <w:spacing w:after="0" w:line="240" w:lineRule="auto"/>
      </w:pPr>
      <w:r>
        <w:separator/>
      </w:r>
    </w:p>
  </w:endnote>
  <w:endnote w:type="continuationSeparator" w:id="0">
    <w:p w:rsidR="004650A9" w:rsidRDefault="0046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A9" w:rsidRDefault="004650A9">
      <w:pPr>
        <w:spacing w:after="0" w:line="240" w:lineRule="auto"/>
      </w:pPr>
      <w:r>
        <w:separator/>
      </w:r>
    </w:p>
  </w:footnote>
  <w:footnote w:type="continuationSeparator" w:id="0">
    <w:p w:rsidR="004650A9" w:rsidRDefault="0046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F6" w:rsidRDefault="000A3715" w:rsidP="00AC5730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4321810" cy="1193800"/>
          <wp:effectExtent l="0" t="0" r="2540" b="6350"/>
          <wp:wrapSquare wrapText="bothSides"/>
          <wp:docPr id="1" name="Picture 18" descr="0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0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F6">
      <w:rPr>
        <w:rFonts w:cs="Arial"/>
        <w:sz w:val="16"/>
      </w:rPr>
      <w:t xml:space="preserve">Župančičeva 3, p. p. </w:t>
    </w:r>
    <w:smartTag w:uri="urn:schemas-microsoft-com:office:smarttags" w:element="metricconverter">
      <w:smartTagPr>
        <w:attr w:name="ProductID" w:val="644 a"/>
      </w:smartTagPr>
      <w:r w:rsidR="002D3DF6">
        <w:rPr>
          <w:rFonts w:cs="Arial"/>
          <w:sz w:val="16"/>
        </w:rPr>
        <w:t>644 a</w:t>
      </w:r>
    </w:smartTag>
    <w:r w:rsidR="002D3DF6" w:rsidRPr="008F3500">
      <w:rPr>
        <w:rFonts w:cs="Arial"/>
        <w:sz w:val="16"/>
      </w:rPr>
      <w:t xml:space="preserve">, </w:t>
    </w:r>
    <w:r w:rsidR="002D3DF6">
      <w:rPr>
        <w:rFonts w:cs="Arial"/>
        <w:sz w:val="16"/>
      </w:rPr>
      <w:t>1001 Ljubljana</w:t>
    </w:r>
  </w:p>
  <w:p w:rsidR="002D3DF6" w:rsidRDefault="002D3DF6" w:rsidP="00AC5730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2D3DF6" w:rsidRDefault="002D3DF6" w:rsidP="00AC5730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2D3DF6" w:rsidRPr="008F3500" w:rsidRDefault="002D3DF6" w:rsidP="00AC5730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01 369 66 00</w:t>
    </w:r>
  </w:p>
  <w:p w:rsidR="002D3DF6" w:rsidRPr="008F3500" w:rsidRDefault="002D3DF6" w:rsidP="00AC5730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01 369 66 09</w:t>
    </w:r>
    <w:r w:rsidRPr="008F3500">
      <w:rPr>
        <w:rFonts w:cs="Arial"/>
        <w:sz w:val="16"/>
      </w:rPr>
      <w:t xml:space="preserve"> </w:t>
    </w:r>
  </w:p>
  <w:p w:rsidR="002D3DF6" w:rsidRPr="008F3500" w:rsidRDefault="002D3DF6" w:rsidP="00AC5730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:rsidR="002D3DF6" w:rsidRPr="008F3500" w:rsidRDefault="002D3DF6" w:rsidP="00AC5730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www.mf.gov.si</w:t>
    </w:r>
    <w:proofErr w:type="spellEnd"/>
  </w:p>
  <w:p w:rsidR="002D3DF6" w:rsidRPr="008F3500" w:rsidRDefault="002D3DF6" w:rsidP="00E455F9">
    <w:pPr>
      <w:pStyle w:val="Header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F6" w:rsidRPr="008F3500" w:rsidRDefault="002D3DF6" w:rsidP="00E455F9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2D3DF6" w:rsidRPr="008F3500" w:rsidRDefault="002D3DF6" w:rsidP="00E455F9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9C11EB"/>
    <w:multiLevelType w:val="hybridMultilevel"/>
    <w:tmpl w:val="4A0C40DC"/>
    <w:lvl w:ilvl="0" w:tplc="63EE3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127D15"/>
    <w:multiLevelType w:val="hybridMultilevel"/>
    <w:tmpl w:val="3D74EAB2"/>
    <w:lvl w:ilvl="0" w:tplc="879E1D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C5140"/>
    <w:multiLevelType w:val="hybridMultilevel"/>
    <w:tmpl w:val="32E87F72"/>
    <w:lvl w:ilvl="0" w:tplc="A84AA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9B56FCE"/>
    <w:multiLevelType w:val="hybridMultilevel"/>
    <w:tmpl w:val="3E406B8E"/>
    <w:lvl w:ilvl="0" w:tplc="CC06A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52F27E86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Arial" w:eastAsia="Times New Roman" w:hAnsi="Aria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5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27"/>
  </w:num>
  <w:num w:numId="4">
    <w:abstractNumId w:val="4"/>
  </w:num>
  <w:num w:numId="5">
    <w:abstractNumId w:val="8"/>
  </w:num>
  <w:num w:numId="6">
    <w:abstractNumId w:val="6"/>
  </w:num>
  <w:num w:numId="7">
    <w:abstractNumId w:val="28"/>
  </w:num>
  <w:num w:numId="8">
    <w:abstractNumId w:val="20"/>
  </w:num>
  <w:num w:numId="9">
    <w:abstractNumId w:val="32"/>
  </w:num>
  <w:num w:numId="10">
    <w:abstractNumId w:val="37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9"/>
  </w:num>
  <w:num w:numId="17">
    <w:abstractNumId w:val="0"/>
  </w:num>
  <w:num w:numId="18">
    <w:abstractNumId w:val="23"/>
  </w:num>
  <w:num w:numId="19">
    <w:abstractNumId w:val="35"/>
  </w:num>
  <w:num w:numId="20">
    <w:abstractNumId w:val="3"/>
  </w:num>
  <w:num w:numId="21">
    <w:abstractNumId w:val="45"/>
  </w:num>
  <w:num w:numId="22">
    <w:abstractNumId w:val="22"/>
    <w:lvlOverride w:ilvl="0">
      <w:startOverride w:val="1"/>
    </w:lvlOverride>
  </w:num>
  <w:num w:numId="23">
    <w:abstractNumId w:val="24"/>
  </w:num>
  <w:num w:numId="24">
    <w:abstractNumId w:val="12"/>
  </w:num>
  <w:num w:numId="25">
    <w:abstractNumId w:val="5"/>
  </w:num>
  <w:num w:numId="26">
    <w:abstractNumId w:val="31"/>
  </w:num>
  <w:num w:numId="27">
    <w:abstractNumId w:val="7"/>
  </w:num>
  <w:num w:numId="28">
    <w:abstractNumId w:val="13"/>
  </w:num>
  <w:num w:numId="29">
    <w:abstractNumId w:val="11"/>
  </w:num>
  <w:num w:numId="30">
    <w:abstractNumId w:val="2"/>
  </w:num>
  <w:num w:numId="31">
    <w:abstractNumId w:val="30"/>
  </w:num>
  <w:num w:numId="32">
    <w:abstractNumId w:val="25"/>
  </w:num>
  <w:num w:numId="33">
    <w:abstractNumId w:val="36"/>
  </w:num>
  <w:num w:numId="34">
    <w:abstractNumId w:val="34"/>
  </w:num>
  <w:num w:numId="35">
    <w:abstractNumId w:val="40"/>
  </w:num>
  <w:num w:numId="36">
    <w:abstractNumId w:val="46"/>
  </w:num>
  <w:num w:numId="37">
    <w:abstractNumId w:val="6"/>
  </w:num>
  <w:num w:numId="38">
    <w:abstractNumId w:val="21"/>
  </w:num>
  <w:num w:numId="39">
    <w:abstractNumId w:val="43"/>
  </w:num>
  <w:num w:numId="40">
    <w:abstractNumId w:val="14"/>
  </w:num>
  <w:num w:numId="41">
    <w:abstractNumId w:val="29"/>
  </w:num>
  <w:num w:numId="42">
    <w:abstractNumId w:val="33"/>
  </w:num>
  <w:num w:numId="43">
    <w:abstractNumId w:val="26"/>
  </w:num>
  <w:num w:numId="44">
    <w:abstractNumId w:val="15"/>
  </w:num>
  <w:num w:numId="45">
    <w:abstractNumId w:val="41"/>
  </w:num>
  <w:num w:numId="46">
    <w:abstractNumId w:val="39"/>
  </w:num>
  <w:num w:numId="47">
    <w:abstractNumId w:val="4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205D3"/>
    <w:rsid w:val="00046811"/>
    <w:rsid w:val="00086C1B"/>
    <w:rsid w:val="000A3715"/>
    <w:rsid w:val="000B173F"/>
    <w:rsid w:val="000D1C23"/>
    <w:rsid w:val="000F334C"/>
    <w:rsid w:val="00105FDB"/>
    <w:rsid w:val="00107ED0"/>
    <w:rsid w:val="001427DA"/>
    <w:rsid w:val="00152699"/>
    <w:rsid w:val="001611AF"/>
    <w:rsid w:val="00186022"/>
    <w:rsid w:val="00187279"/>
    <w:rsid w:val="00196FAF"/>
    <w:rsid w:val="001B0C4B"/>
    <w:rsid w:val="001B223E"/>
    <w:rsid w:val="001C1FE9"/>
    <w:rsid w:val="001D275B"/>
    <w:rsid w:val="001D69E0"/>
    <w:rsid w:val="001E6744"/>
    <w:rsid w:val="002456A4"/>
    <w:rsid w:val="0029010E"/>
    <w:rsid w:val="002914D9"/>
    <w:rsid w:val="002A7713"/>
    <w:rsid w:val="002B3051"/>
    <w:rsid w:val="002D3DF6"/>
    <w:rsid w:val="002F13F7"/>
    <w:rsid w:val="003049A8"/>
    <w:rsid w:val="003068B9"/>
    <w:rsid w:val="00310B0B"/>
    <w:rsid w:val="00345B58"/>
    <w:rsid w:val="00345F62"/>
    <w:rsid w:val="00372466"/>
    <w:rsid w:val="003D0F3B"/>
    <w:rsid w:val="00424799"/>
    <w:rsid w:val="00457498"/>
    <w:rsid w:val="004650A9"/>
    <w:rsid w:val="00472136"/>
    <w:rsid w:val="00473940"/>
    <w:rsid w:val="004B0801"/>
    <w:rsid w:val="004D569C"/>
    <w:rsid w:val="004E4A50"/>
    <w:rsid w:val="004F27D6"/>
    <w:rsid w:val="004F6CC3"/>
    <w:rsid w:val="00510C89"/>
    <w:rsid w:val="005346AE"/>
    <w:rsid w:val="00540D5A"/>
    <w:rsid w:val="005522F0"/>
    <w:rsid w:val="00562C7C"/>
    <w:rsid w:val="005654ED"/>
    <w:rsid w:val="00580808"/>
    <w:rsid w:val="00594B90"/>
    <w:rsid w:val="0059610E"/>
    <w:rsid w:val="005B4049"/>
    <w:rsid w:val="005C5F18"/>
    <w:rsid w:val="005D002C"/>
    <w:rsid w:val="005E0062"/>
    <w:rsid w:val="005F267F"/>
    <w:rsid w:val="005F3DC6"/>
    <w:rsid w:val="005F5526"/>
    <w:rsid w:val="00642B87"/>
    <w:rsid w:val="00684108"/>
    <w:rsid w:val="0068465E"/>
    <w:rsid w:val="006939DB"/>
    <w:rsid w:val="00697AD9"/>
    <w:rsid w:val="006A5437"/>
    <w:rsid w:val="006E0D93"/>
    <w:rsid w:val="006E5F89"/>
    <w:rsid w:val="00717D84"/>
    <w:rsid w:val="00755DBB"/>
    <w:rsid w:val="0077561B"/>
    <w:rsid w:val="007D142A"/>
    <w:rsid w:val="00854C9E"/>
    <w:rsid w:val="00880DEE"/>
    <w:rsid w:val="008D1759"/>
    <w:rsid w:val="008D1B3E"/>
    <w:rsid w:val="008E4146"/>
    <w:rsid w:val="008F3500"/>
    <w:rsid w:val="00910641"/>
    <w:rsid w:val="0091603C"/>
    <w:rsid w:val="009237F5"/>
    <w:rsid w:val="00936674"/>
    <w:rsid w:val="00955443"/>
    <w:rsid w:val="009A4A5C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6022E"/>
    <w:rsid w:val="00AA3C9A"/>
    <w:rsid w:val="00AA65A3"/>
    <w:rsid w:val="00AC5730"/>
    <w:rsid w:val="00AE36D8"/>
    <w:rsid w:val="00B079FD"/>
    <w:rsid w:val="00B103A4"/>
    <w:rsid w:val="00B14B8C"/>
    <w:rsid w:val="00B33655"/>
    <w:rsid w:val="00B61E75"/>
    <w:rsid w:val="00BA6BD7"/>
    <w:rsid w:val="00BC76BF"/>
    <w:rsid w:val="00BD69B3"/>
    <w:rsid w:val="00BF5451"/>
    <w:rsid w:val="00C01882"/>
    <w:rsid w:val="00C31E0B"/>
    <w:rsid w:val="00C431DA"/>
    <w:rsid w:val="00C81C0D"/>
    <w:rsid w:val="00CA5013"/>
    <w:rsid w:val="00CA5430"/>
    <w:rsid w:val="00CA59B8"/>
    <w:rsid w:val="00CA5AA9"/>
    <w:rsid w:val="00CD31BF"/>
    <w:rsid w:val="00D202CF"/>
    <w:rsid w:val="00D41914"/>
    <w:rsid w:val="00D51DB9"/>
    <w:rsid w:val="00D732F0"/>
    <w:rsid w:val="00D7363A"/>
    <w:rsid w:val="00D73C39"/>
    <w:rsid w:val="00D73D26"/>
    <w:rsid w:val="00D92410"/>
    <w:rsid w:val="00D97DAE"/>
    <w:rsid w:val="00DA4DC1"/>
    <w:rsid w:val="00DC1DD8"/>
    <w:rsid w:val="00DC4F3E"/>
    <w:rsid w:val="00DE238C"/>
    <w:rsid w:val="00DE7754"/>
    <w:rsid w:val="00DF3371"/>
    <w:rsid w:val="00E04B0D"/>
    <w:rsid w:val="00E125BE"/>
    <w:rsid w:val="00E455F9"/>
    <w:rsid w:val="00E457F8"/>
    <w:rsid w:val="00E47D8E"/>
    <w:rsid w:val="00E54E5A"/>
    <w:rsid w:val="00E62C29"/>
    <w:rsid w:val="00E753E6"/>
    <w:rsid w:val="00E822CC"/>
    <w:rsid w:val="00E930A7"/>
    <w:rsid w:val="00EA721B"/>
    <w:rsid w:val="00EA7688"/>
    <w:rsid w:val="00EC28EF"/>
    <w:rsid w:val="00EC5C10"/>
    <w:rsid w:val="00ED649C"/>
    <w:rsid w:val="00EE392C"/>
    <w:rsid w:val="00F365ED"/>
    <w:rsid w:val="00F4001E"/>
    <w:rsid w:val="00F66639"/>
    <w:rsid w:val="00F72F1A"/>
    <w:rsid w:val="00F74A47"/>
    <w:rsid w:val="00F80081"/>
    <w:rsid w:val="00F826AE"/>
    <w:rsid w:val="00F84256"/>
    <w:rsid w:val="00F875CF"/>
    <w:rsid w:val="00F9071B"/>
    <w:rsid w:val="00F926C7"/>
    <w:rsid w:val="00FA0B4A"/>
    <w:rsid w:val="00FC31F5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4B0D"/>
    <w:pPr>
      <w:spacing w:after="200" w:line="276" w:lineRule="auto"/>
    </w:pPr>
    <w:rPr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uiPriority w:val="9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9"/>
    <w:locked/>
    <w:rsid w:val="00107ED0"/>
    <w:rPr>
      <w:rFonts w:ascii="Arial" w:hAnsi="Arial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7ED0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ED0"/>
    <w:rPr>
      <w:rFonts w:ascii="Arial" w:hAnsi="Arial"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07ED0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rsid w:val="00107ED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uiPriority w:val="99"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ormal"/>
    <w:uiPriority w:val="99"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yperlink">
    <w:name w:val="Hyperlink"/>
    <w:basedOn w:val="DefaultParagraphFont"/>
    <w:uiPriority w:val="99"/>
    <w:rsid w:val="00107ED0"/>
    <w:rPr>
      <w:rFonts w:cs="Times New Roman"/>
      <w:color w:val="0000FF"/>
      <w:u w:val="single"/>
    </w:rPr>
  </w:style>
  <w:style w:type="paragraph" w:customStyle="1" w:styleId="podpisi">
    <w:name w:val="podpisi"/>
    <w:basedOn w:val="Normal"/>
    <w:uiPriority w:val="99"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hAnsi="Arial"/>
      <w:b/>
      <w:color w:val="000000"/>
      <w:spacing w:val="40"/>
      <w:szCs w:val="2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107ED0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ormal"/>
    <w:link w:val="Naslov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Cs w:val="20"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107ED0"/>
    <w:rPr>
      <w:rFonts w:ascii="Arial" w:hAnsi="Arial"/>
      <w:b/>
      <w:sz w:val="22"/>
    </w:rPr>
  </w:style>
  <w:style w:type="paragraph" w:customStyle="1" w:styleId="Poglavje">
    <w:name w:val="Poglavje"/>
    <w:basedOn w:val="Normal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ormal"/>
    <w:link w:val="NeotevilenodstavekZnak"/>
    <w:uiPriority w:val="99"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/>
      <w:szCs w:val="20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107ED0"/>
    <w:rPr>
      <w:rFonts w:ascii="Arial" w:hAnsi="Arial"/>
      <w:sz w:val="22"/>
    </w:rPr>
  </w:style>
  <w:style w:type="paragraph" w:customStyle="1" w:styleId="Oddelek">
    <w:name w:val="Oddelek"/>
    <w:basedOn w:val="Normal"/>
    <w:link w:val="OddelekZnak1"/>
    <w:uiPriority w:val="99"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hAnsi="Arial"/>
      <w:b/>
      <w:szCs w:val="20"/>
      <w:lang w:eastAsia="sl-SI"/>
    </w:rPr>
  </w:style>
  <w:style w:type="character" w:customStyle="1" w:styleId="OddelekZnak1">
    <w:name w:val="Oddelek Znak1"/>
    <w:link w:val="Oddelek"/>
    <w:uiPriority w:val="99"/>
    <w:locked/>
    <w:rsid w:val="00107ED0"/>
    <w:rPr>
      <w:rFonts w:ascii="Arial" w:hAnsi="Arial"/>
      <w:b/>
      <w:sz w:val="22"/>
    </w:rPr>
  </w:style>
  <w:style w:type="paragraph" w:customStyle="1" w:styleId="Alineazaodstavkom">
    <w:name w:val="Alinea za odstavkom"/>
    <w:basedOn w:val="Normal"/>
    <w:link w:val="AlineazaodstavkomZnak"/>
    <w:uiPriority w:val="99"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hAnsi="Arial"/>
      <w:szCs w:val="20"/>
      <w:lang w:eastAsia="sl-SI"/>
    </w:rPr>
  </w:style>
  <w:style w:type="character" w:customStyle="1" w:styleId="AlineazaodstavkomZnak">
    <w:name w:val="Alinea za odstavkom Znak"/>
    <w:link w:val="Alineazaodstavkom"/>
    <w:uiPriority w:val="99"/>
    <w:locked/>
    <w:rsid w:val="00107ED0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107ED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7ED0"/>
    <w:rPr>
      <w:rFonts w:ascii="Arial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07ED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07ED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7ED0"/>
    <w:rPr>
      <w:rFonts w:ascii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ED0"/>
    <w:rPr>
      <w:rFonts w:ascii="Tahoma" w:hAnsi="Tahoma" w:cs="Times New Roman"/>
      <w:sz w:val="16"/>
      <w:lang w:eastAsia="en-US"/>
    </w:rPr>
  </w:style>
  <w:style w:type="paragraph" w:customStyle="1" w:styleId="Par-number1">
    <w:name w:val="Par-number 1."/>
    <w:basedOn w:val="Normal"/>
    <w:next w:val="Normal"/>
    <w:uiPriority w:val="99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ListParagraph">
    <w:name w:val="List Paragraph"/>
    <w:basedOn w:val="Normal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ormal"/>
    <w:next w:val="Normal"/>
    <w:uiPriority w:val="99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7ED0"/>
    <w:rPr>
      <w:rFonts w:ascii="Arial" w:hAnsi="Arial" w:cs="Times New Roman"/>
      <w:b/>
      <w:lang w:eastAsia="en-US"/>
    </w:rPr>
  </w:style>
  <w:style w:type="paragraph" w:customStyle="1" w:styleId="Odstavek">
    <w:name w:val="Odstavek"/>
    <w:basedOn w:val="Normal"/>
    <w:link w:val="OdstavekZnak"/>
    <w:uiPriority w:val="99"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hAnsi="Arial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107ED0"/>
    <w:rPr>
      <w:rFonts w:ascii="Arial" w:hAnsi="Arial"/>
      <w:sz w:val="22"/>
    </w:rPr>
  </w:style>
  <w:style w:type="paragraph" w:customStyle="1" w:styleId="Odstavekseznama1">
    <w:name w:val="Odstavek seznama1"/>
    <w:basedOn w:val="Normal"/>
    <w:uiPriority w:val="99"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ormal"/>
    <w:link w:val="AlineazatokoZnak"/>
    <w:uiPriority w:val="99"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hAnsi="Arial"/>
      <w:szCs w:val="20"/>
      <w:lang w:eastAsia="sl-SI"/>
    </w:rPr>
  </w:style>
  <w:style w:type="character" w:customStyle="1" w:styleId="AlineazatokoZnak">
    <w:name w:val="Alinea za točko Znak"/>
    <w:link w:val="Alineazatoko"/>
    <w:uiPriority w:val="99"/>
    <w:locked/>
    <w:rsid w:val="00107ED0"/>
    <w:rPr>
      <w:rFonts w:ascii="Arial" w:hAnsi="Arial"/>
      <w:szCs w:val="20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107ED0"/>
    <w:rPr>
      <w:rFonts w:ascii="Arial" w:hAnsi="Arial"/>
    </w:rPr>
  </w:style>
  <w:style w:type="paragraph" w:customStyle="1" w:styleId="rkovnatokazaodstavkom">
    <w:name w:val="Črkovna točka_za odstavkom"/>
    <w:basedOn w:val="Normal"/>
    <w:link w:val="rkovnatokazaodstavkomZnak"/>
    <w:uiPriority w:val="99"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uiPriority w:val="99"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uiPriority w:val="99"/>
    <w:locked/>
    <w:rsid w:val="00107ED0"/>
    <w:rPr>
      <w:rFonts w:ascii="Arial" w:hAnsi="Arial"/>
      <w:b/>
      <w:sz w:val="22"/>
    </w:rPr>
  </w:style>
  <w:style w:type="paragraph" w:customStyle="1" w:styleId="len">
    <w:name w:val="Člen"/>
    <w:basedOn w:val="Normal"/>
    <w:link w:val="lenZnak"/>
    <w:uiPriority w:val="99"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hAnsi="Arial"/>
      <w:b/>
      <w:szCs w:val="20"/>
      <w:lang w:eastAsia="sl-SI"/>
    </w:rPr>
  </w:style>
  <w:style w:type="character" w:customStyle="1" w:styleId="lenZnak">
    <w:name w:val="Člen Znak"/>
    <w:link w:val="len"/>
    <w:uiPriority w:val="99"/>
    <w:locked/>
    <w:rsid w:val="00107ED0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107ED0"/>
    <w:pPr>
      <w:spacing w:before="0"/>
    </w:pPr>
  </w:style>
  <w:style w:type="paragraph" w:styleId="BodyTextIndent">
    <w:name w:val="Body Text Indent"/>
    <w:basedOn w:val="Normal"/>
    <w:link w:val="BodyTextIndentChar"/>
    <w:uiPriority w:val="99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3C9A"/>
    <w:rPr>
      <w:rFonts w:ascii="Arial" w:hAnsi="Arial"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6E5F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5F89"/>
    <w:rPr>
      <w:rFonts w:cs="Times New Roman"/>
      <w:sz w:val="22"/>
      <w:szCs w:val="22"/>
      <w:lang w:eastAsia="en-US"/>
    </w:rPr>
  </w:style>
  <w:style w:type="paragraph" w:customStyle="1" w:styleId="Slog">
    <w:name w:val="Slog"/>
    <w:uiPriority w:val="99"/>
    <w:rsid w:val="006E5F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ParagraphStyle">
    <w:name w:val="[No Paragraph Style]"/>
    <w:uiPriority w:val="99"/>
    <w:rsid w:val="00AC57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4B0D"/>
    <w:pPr>
      <w:spacing w:after="200" w:line="276" w:lineRule="auto"/>
    </w:pPr>
    <w:rPr>
      <w:lang w:eastAsia="en-US"/>
    </w:rPr>
  </w:style>
  <w:style w:type="paragraph" w:styleId="Heading1">
    <w:name w:val="heading 1"/>
    <w:aliases w:val="NASLOV"/>
    <w:basedOn w:val="Normal"/>
    <w:next w:val="Normal"/>
    <w:link w:val="Heading1Char"/>
    <w:autoRedefine/>
    <w:uiPriority w:val="99"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9"/>
    <w:locked/>
    <w:rsid w:val="00107ED0"/>
    <w:rPr>
      <w:rFonts w:ascii="Arial" w:hAnsi="Arial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07ED0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ED0"/>
    <w:rPr>
      <w:rFonts w:ascii="Arial" w:hAnsi="Arial"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07ED0"/>
    <w:rPr>
      <w:rFonts w:ascii="Tahoma" w:hAnsi="Tahoma" w:cs="Times New Roman"/>
      <w:sz w:val="16"/>
      <w:lang w:eastAsia="en-US"/>
    </w:rPr>
  </w:style>
  <w:style w:type="table" w:styleId="TableGrid">
    <w:name w:val="Table Grid"/>
    <w:basedOn w:val="TableNormal"/>
    <w:uiPriority w:val="99"/>
    <w:rsid w:val="00107ED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uiPriority w:val="99"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ormal"/>
    <w:uiPriority w:val="99"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yperlink">
    <w:name w:val="Hyperlink"/>
    <w:basedOn w:val="DefaultParagraphFont"/>
    <w:uiPriority w:val="99"/>
    <w:rsid w:val="00107ED0"/>
    <w:rPr>
      <w:rFonts w:cs="Times New Roman"/>
      <w:color w:val="0000FF"/>
      <w:u w:val="single"/>
    </w:rPr>
  </w:style>
  <w:style w:type="paragraph" w:customStyle="1" w:styleId="podpisi">
    <w:name w:val="podpisi"/>
    <w:basedOn w:val="Normal"/>
    <w:uiPriority w:val="99"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hAnsi="Arial"/>
      <w:b/>
      <w:color w:val="000000"/>
      <w:spacing w:val="40"/>
      <w:szCs w:val="20"/>
      <w:lang w:eastAsia="sl-SI"/>
    </w:rPr>
  </w:style>
  <w:style w:type="character" w:customStyle="1" w:styleId="VrstapredpisaZnak">
    <w:name w:val="Vrsta predpisa Znak"/>
    <w:link w:val="Vrstapredpisa"/>
    <w:uiPriority w:val="99"/>
    <w:locked/>
    <w:rsid w:val="00107ED0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ormal"/>
    <w:link w:val="NaslovpredpisaZnak"/>
    <w:uiPriority w:val="99"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Cs w:val="20"/>
      <w:lang w:eastAsia="sl-SI"/>
    </w:rPr>
  </w:style>
  <w:style w:type="character" w:customStyle="1" w:styleId="NaslovpredpisaZnak">
    <w:name w:val="Naslov_predpisa Znak"/>
    <w:link w:val="Naslovpredpisa"/>
    <w:uiPriority w:val="99"/>
    <w:locked/>
    <w:rsid w:val="00107ED0"/>
    <w:rPr>
      <w:rFonts w:ascii="Arial" w:hAnsi="Arial"/>
      <w:b/>
      <w:sz w:val="22"/>
    </w:rPr>
  </w:style>
  <w:style w:type="paragraph" w:customStyle="1" w:styleId="Poglavje">
    <w:name w:val="Poglavje"/>
    <w:basedOn w:val="Normal"/>
    <w:uiPriority w:val="99"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ormal"/>
    <w:link w:val="NeotevilenodstavekZnak"/>
    <w:uiPriority w:val="99"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/>
      <w:szCs w:val="20"/>
      <w:lang w:eastAsia="sl-SI"/>
    </w:rPr>
  </w:style>
  <w:style w:type="character" w:customStyle="1" w:styleId="NeotevilenodstavekZnak">
    <w:name w:val="Neoštevilčen odstavek Znak"/>
    <w:link w:val="Neotevilenodstavek"/>
    <w:uiPriority w:val="99"/>
    <w:locked/>
    <w:rsid w:val="00107ED0"/>
    <w:rPr>
      <w:rFonts w:ascii="Arial" w:hAnsi="Arial"/>
      <w:sz w:val="22"/>
    </w:rPr>
  </w:style>
  <w:style w:type="paragraph" w:customStyle="1" w:styleId="Oddelek">
    <w:name w:val="Oddelek"/>
    <w:basedOn w:val="Normal"/>
    <w:link w:val="OddelekZnak1"/>
    <w:uiPriority w:val="99"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hAnsi="Arial"/>
      <w:b/>
      <w:szCs w:val="20"/>
      <w:lang w:eastAsia="sl-SI"/>
    </w:rPr>
  </w:style>
  <w:style w:type="character" w:customStyle="1" w:styleId="OddelekZnak1">
    <w:name w:val="Oddelek Znak1"/>
    <w:link w:val="Oddelek"/>
    <w:uiPriority w:val="99"/>
    <w:locked/>
    <w:rsid w:val="00107ED0"/>
    <w:rPr>
      <w:rFonts w:ascii="Arial" w:hAnsi="Arial"/>
      <w:b/>
      <w:sz w:val="22"/>
    </w:rPr>
  </w:style>
  <w:style w:type="paragraph" w:customStyle="1" w:styleId="Alineazaodstavkom">
    <w:name w:val="Alinea za odstavkom"/>
    <w:basedOn w:val="Normal"/>
    <w:link w:val="AlineazaodstavkomZnak"/>
    <w:uiPriority w:val="99"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hAnsi="Arial"/>
      <w:szCs w:val="20"/>
      <w:lang w:eastAsia="sl-SI"/>
    </w:rPr>
  </w:style>
  <w:style w:type="character" w:customStyle="1" w:styleId="AlineazaodstavkomZnak">
    <w:name w:val="Alinea za odstavkom Znak"/>
    <w:link w:val="Alineazaodstavkom"/>
    <w:uiPriority w:val="99"/>
    <w:locked/>
    <w:rsid w:val="00107ED0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107ED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7ED0"/>
    <w:rPr>
      <w:rFonts w:ascii="Arial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07ED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107ED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7ED0"/>
    <w:rPr>
      <w:rFonts w:ascii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07ED0"/>
    <w:pPr>
      <w:spacing w:after="0" w:line="260" w:lineRule="exact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ED0"/>
    <w:rPr>
      <w:rFonts w:ascii="Tahoma" w:hAnsi="Tahoma" w:cs="Times New Roman"/>
      <w:sz w:val="16"/>
      <w:lang w:eastAsia="en-US"/>
    </w:rPr>
  </w:style>
  <w:style w:type="paragraph" w:customStyle="1" w:styleId="Par-number1">
    <w:name w:val="Par-number 1."/>
    <w:basedOn w:val="Normal"/>
    <w:next w:val="Normal"/>
    <w:uiPriority w:val="99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ListParagraph">
    <w:name w:val="List Paragraph"/>
    <w:basedOn w:val="Normal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ormal"/>
    <w:next w:val="Normal"/>
    <w:uiPriority w:val="99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7ED0"/>
    <w:rPr>
      <w:rFonts w:ascii="Arial" w:hAnsi="Arial" w:cs="Times New Roman"/>
      <w:b/>
      <w:lang w:eastAsia="en-US"/>
    </w:rPr>
  </w:style>
  <w:style w:type="paragraph" w:customStyle="1" w:styleId="Odstavek">
    <w:name w:val="Odstavek"/>
    <w:basedOn w:val="Normal"/>
    <w:link w:val="OdstavekZnak"/>
    <w:uiPriority w:val="99"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hAnsi="Arial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107ED0"/>
    <w:rPr>
      <w:rFonts w:ascii="Arial" w:hAnsi="Arial"/>
      <w:sz w:val="22"/>
    </w:rPr>
  </w:style>
  <w:style w:type="paragraph" w:customStyle="1" w:styleId="Odstavekseznama1">
    <w:name w:val="Odstavek seznama1"/>
    <w:basedOn w:val="Normal"/>
    <w:uiPriority w:val="99"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ormal"/>
    <w:link w:val="AlineazatokoZnak"/>
    <w:uiPriority w:val="99"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hAnsi="Arial"/>
      <w:szCs w:val="20"/>
      <w:lang w:eastAsia="sl-SI"/>
    </w:rPr>
  </w:style>
  <w:style w:type="character" w:customStyle="1" w:styleId="AlineazatokoZnak">
    <w:name w:val="Alinea za točko Znak"/>
    <w:link w:val="Alineazatoko"/>
    <w:uiPriority w:val="99"/>
    <w:locked/>
    <w:rsid w:val="00107ED0"/>
    <w:rPr>
      <w:rFonts w:ascii="Arial" w:hAnsi="Arial"/>
      <w:szCs w:val="20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107ED0"/>
    <w:rPr>
      <w:rFonts w:ascii="Arial" w:hAnsi="Arial"/>
    </w:rPr>
  </w:style>
  <w:style w:type="paragraph" w:customStyle="1" w:styleId="rkovnatokazaodstavkom">
    <w:name w:val="Črkovna točka_za odstavkom"/>
    <w:basedOn w:val="Normal"/>
    <w:link w:val="rkovnatokazaodstavkomZnak"/>
    <w:uiPriority w:val="99"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uiPriority w:val="99"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uiPriority w:val="99"/>
    <w:locked/>
    <w:rsid w:val="00107ED0"/>
    <w:rPr>
      <w:rFonts w:ascii="Arial" w:hAnsi="Arial"/>
      <w:b/>
      <w:sz w:val="22"/>
    </w:rPr>
  </w:style>
  <w:style w:type="paragraph" w:customStyle="1" w:styleId="len">
    <w:name w:val="Člen"/>
    <w:basedOn w:val="Normal"/>
    <w:link w:val="lenZnak"/>
    <w:uiPriority w:val="99"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hAnsi="Arial"/>
      <w:b/>
      <w:szCs w:val="20"/>
      <w:lang w:eastAsia="sl-SI"/>
    </w:rPr>
  </w:style>
  <w:style w:type="character" w:customStyle="1" w:styleId="lenZnak">
    <w:name w:val="Člen Znak"/>
    <w:link w:val="len"/>
    <w:uiPriority w:val="99"/>
    <w:locked/>
    <w:rsid w:val="00107ED0"/>
    <w:rPr>
      <w:rFonts w:ascii="Arial" w:hAnsi="Arial"/>
      <w:b/>
      <w:sz w:val="22"/>
    </w:rPr>
  </w:style>
  <w:style w:type="paragraph" w:customStyle="1" w:styleId="lennaslov">
    <w:name w:val="Člen_naslov"/>
    <w:basedOn w:val="len"/>
    <w:uiPriority w:val="99"/>
    <w:rsid w:val="00107ED0"/>
    <w:pPr>
      <w:spacing w:before="0"/>
    </w:pPr>
  </w:style>
  <w:style w:type="paragraph" w:styleId="BodyTextIndent">
    <w:name w:val="Body Text Indent"/>
    <w:basedOn w:val="Normal"/>
    <w:link w:val="BodyTextIndentChar"/>
    <w:uiPriority w:val="99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3C9A"/>
    <w:rPr>
      <w:rFonts w:ascii="Arial" w:hAnsi="Arial" w:cs="Times New Roman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6E5F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5F89"/>
    <w:rPr>
      <w:rFonts w:cs="Times New Roman"/>
      <w:sz w:val="22"/>
      <w:szCs w:val="22"/>
      <w:lang w:eastAsia="en-US"/>
    </w:rPr>
  </w:style>
  <w:style w:type="paragraph" w:customStyle="1" w:styleId="Slog">
    <w:name w:val="Slog"/>
    <w:uiPriority w:val="99"/>
    <w:rsid w:val="006E5F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ParagraphStyle">
    <w:name w:val="[No Paragraph Style]"/>
    <w:uiPriority w:val="99"/>
    <w:rsid w:val="00AC57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MFRS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NPirnat</dc:creator>
  <cp:lastModifiedBy>IT</cp:lastModifiedBy>
  <cp:revision>2</cp:revision>
  <cp:lastPrinted>2014-02-05T08:34:00Z</cp:lastPrinted>
  <dcterms:created xsi:type="dcterms:W3CDTF">2015-01-27T09:21:00Z</dcterms:created>
  <dcterms:modified xsi:type="dcterms:W3CDTF">2015-01-27T09:21:00Z</dcterms:modified>
</cp:coreProperties>
</file>