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08ABB" w14:textId="77777777" w:rsidR="001865E1" w:rsidRDefault="001865E1" w:rsidP="00143F50">
      <w:pPr>
        <w:pStyle w:val="Glava"/>
        <w:tabs>
          <w:tab w:val="clear" w:pos="4320"/>
          <w:tab w:val="clear" w:pos="8640"/>
          <w:tab w:val="left" w:pos="5112"/>
        </w:tabs>
        <w:spacing w:before="120" w:line="240" w:lineRule="exact"/>
        <w:rPr>
          <w:rFonts w:cs="Arial"/>
          <w:sz w:val="16"/>
        </w:rPr>
      </w:pPr>
    </w:p>
    <w:p w14:paraId="36F72F1B" w14:textId="58D0ED74" w:rsidR="00143F50" w:rsidRPr="008F3500" w:rsidRDefault="00877A99" w:rsidP="00143F5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563FCB18" wp14:editId="685F2E1C">
            <wp:simplePos x="0" y="0"/>
            <wp:positionH relativeFrom="page">
              <wp:posOffset>612140</wp:posOffset>
            </wp:positionH>
            <wp:positionV relativeFrom="page">
              <wp:posOffset>648335</wp:posOffset>
            </wp:positionV>
            <wp:extent cx="2814955" cy="312420"/>
            <wp:effectExtent l="0" t="0" r="0" b="0"/>
            <wp:wrapNone/>
            <wp:docPr id="4"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anchor>
        </w:drawing>
      </w:r>
      <w:r w:rsidR="003A526A">
        <w:rPr>
          <w:rFonts w:cs="Arial"/>
          <w:noProof/>
          <w:sz w:val="16"/>
          <w:lang w:eastAsia="sl-SI"/>
        </w:rPr>
        <mc:AlternateContent>
          <mc:Choice Requires="wps">
            <w:drawing>
              <wp:anchor distT="4294967295" distB="4294967295" distL="114300" distR="114300" simplePos="0" relativeHeight="251657216" behindDoc="0" locked="0" layoutInCell="0" allowOverlap="1" wp14:anchorId="2678D292" wp14:editId="14C15B1C">
                <wp:simplePos x="0" y="0"/>
                <wp:positionH relativeFrom="column">
                  <wp:posOffset>-463550</wp:posOffset>
                </wp:positionH>
                <wp:positionV relativeFrom="page">
                  <wp:posOffset>3600449</wp:posOffset>
                </wp:positionV>
                <wp:extent cx="215900" cy="0"/>
                <wp:effectExtent l="0" t="0" r="1270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w15="http://schemas.microsoft.com/office/word/2012/wordml">
            <w:pict>
              <v:shapetype w14:anchorId="7D187917" id="_x0000_t32" coordsize="21600,21600" o:spt="32" o:oned="t" path="m,l21600,21600e" filled="f">
                <v:path arrowok="t" fillok="f" o:connecttype="none"/>
                <o:lock v:ext="edit" shapetype="t"/>
              </v:shapetype>
              <v:shape id="AutoShape 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" o:allowincell="f" strokecolor="#529dba" strokeweight=".5pt">
                <w10:wrap anchory="page"/>
              </v:shape>
            </w:pict>
          </mc:Fallback>
        </mc:AlternateContent>
      </w:r>
      <w:r w:rsidR="00143F50">
        <w:rPr>
          <w:rFonts w:cs="Arial"/>
          <w:sz w:val="16"/>
        </w:rPr>
        <w:t xml:space="preserve">       Štefanova ulica 2</w:t>
      </w:r>
      <w:r w:rsidR="00143F50" w:rsidRPr="008F3500">
        <w:rPr>
          <w:rFonts w:cs="Arial"/>
          <w:sz w:val="16"/>
        </w:rPr>
        <w:t xml:space="preserve">, </w:t>
      </w:r>
      <w:r w:rsidR="00143F50">
        <w:rPr>
          <w:rFonts w:cs="Arial"/>
          <w:sz w:val="16"/>
        </w:rPr>
        <w:t>1501 Ljubljana</w:t>
      </w:r>
      <w:r w:rsidR="00143F50" w:rsidRPr="008F3500">
        <w:rPr>
          <w:rFonts w:cs="Arial"/>
          <w:sz w:val="16"/>
        </w:rPr>
        <w:tab/>
        <w:t xml:space="preserve">T: </w:t>
      </w:r>
      <w:r w:rsidR="00143F50">
        <w:rPr>
          <w:rFonts w:cs="Arial"/>
          <w:sz w:val="16"/>
        </w:rPr>
        <w:t>01 428 40 00</w:t>
      </w:r>
    </w:p>
    <w:p w14:paraId="43D6EC5C" w14:textId="77777777"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01 428 47 33</w:t>
      </w:r>
      <w:r w:rsidRPr="008F3500">
        <w:rPr>
          <w:rFonts w:cs="Arial"/>
          <w:sz w:val="16"/>
        </w:rPr>
        <w:t xml:space="preserve"> </w:t>
      </w:r>
    </w:p>
    <w:p w14:paraId="27365F30" w14:textId="77777777"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14:paraId="6BEE7F23" w14:textId="77777777" w:rsidR="00143F5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r>
      <w:hyperlink r:id="rId10" w:history="1">
        <w:r w:rsidR="001865E1" w:rsidRPr="00D67C8A">
          <w:rPr>
            <w:rStyle w:val="Hiperpovezava"/>
            <w:rFonts w:cs="Arial"/>
            <w:sz w:val="16"/>
          </w:rPr>
          <w:t>www.mnz.gov.si</w:t>
        </w:r>
      </w:hyperlink>
    </w:p>
    <w:p w14:paraId="37906597" w14:textId="77777777" w:rsidR="001865E1" w:rsidRDefault="001865E1" w:rsidP="00143F50">
      <w:pPr>
        <w:pStyle w:val="Glava"/>
        <w:tabs>
          <w:tab w:val="clear" w:pos="4320"/>
          <w:tab w:val="clear" w:pos="8640"/>
          <w:tab w:val="left" w:pos="5112"/>
        </w:tabs>
        <w:spacing w:line="240" w:lineRule="exact"/>
        <w:rPr>
          <w:rFonts w:cs="Arial"/>
          <w:sz w:val="16"/>
        </w:rPr>
      </w:pPr>
    </w:p>
    <w:p w14:paraId="7287296A" w14:textId="77777777" w:rsidR="00C71C1D" w:rsidRDefault="00C71C1D" w:rsidP="00143F50">
      <w:pPr>
        <w:pStyle w:val="Glava"/>
        <w:tabs>
          <w:tab w:val="clear" w:pos="4320"/>
          <w:tab w:val="clear" w:pos="8640"/>
          <w:tab w:val="left" w:pos="5112"/>
        </w:tabs>
        <w:spacing w:line="240" w:lineRule="exact"/>
        <w:rPr>
          <w:rFonts w:cs="Arial"/>
          <w:sz w:val="16"/>
        </w:rPr>
      </w:pPr>
    </w:p>
    <w:p w14:paraId="0068C194" w14:textId="77777777" w:rsidR="00C71C1D" w:rsidRPr="004377AC" w:rsidRDefault="00C71C1D" w:rsidP="004377AC">
      <w:pPr>
        <w:pStyle w:val="Neotevilenodstavek"/>
        <w:spacing w:before="0" w:after="0" w:line="260" w:lineRule="exact"/>
        <w:jc w:val="left"/>
        <w:rPr>
          <w:sz w:val="20"/>
          <w:szCs w:val="20"/>
        </w:rPr>
      </w:pPr>
      <w:r w:rsidRPr="004377AC">
        <w:rPr>
          <w:sz w:val="20"/>
          <w:szCs w:val="20"/>
        </w:rPr>
        <w:t>Številka: 900-197/2018/192</w:t>
      </w:r>
    </w:p>
    <w:p w14:paraId="4DD6ED88" w14:textId="77777777" w:rsidR="00C71C1D" w:rsidRPr="004377AC" w:rsidRDefault="00C71C1D" w:rsidP="004377AC">
      <w:pPr>
        <w:pStyle w:val="Neotevilenodstavek"/>
        <w:spacing w:before="0" w:after="0" w:line="260" w:lineRule="exact"/>
        <w:jc w:val="left"/>
        <w:rPr>
          <w:sz w:val="20"/>
          <w:szCs w:val="20"/>
        </w:rPr>
      </w:pPr>
      <w:r w:rsidRPr="004377AC">
        <w:rPr>
          <w:sz w:val="20"/>
          <w:szCs w:val="20"/>
        </w:rPr>
        <w:t>Ljubljana, 19. 12. 2019</w:t>
      </w:r>
    </w:p>
    <w:p w14:paraId="16F5F3B1" w14:textId="77777777" w:rsidR="00102A90" w:rsidRDefault="00102A90" w:rsidP="004377AC">
      <w:pPr>
        <w:jc w:val="both"/>
        <w:rPr>
          <w:rFonts w:eastAsia="Calibri" w:cs="Arial"/>
          <w:b/>
          <w:szCs w:val="20"/>
          <w:lang w:eastAsia="sl-SI"/>
        </w:rPr>
      </w:pPr>
      <w:bookmarkStart w:id="0" w:name="_Toc865775"/>
    </w:p>
    <w:p w14:paraId="7492911C" w14:textId="77777777" w:rsidR="00102A90" w:rsidRDefault="00102A90" w:rsidP="004377AC">
      <w:pPr>
        <w:jc w:val="both"/>
        <w:rPr>
          <w:rFonts w:eastAsia="Calibri" w:cs="Arial"/>
          <w:b/>
          <w:szCs w:val="20"/>
          <w:lang w:eastAsia="sl-SI"/>
        </w:rPr>
      </w:pPr>
    </w:p>
    <w:p w14:paraId="3427BE4A" w14:textId="77777777" w:rsidR="00241F76" w:rsidRPr="004377AC" w:rsidRDefault="00241F76" w:rsidP="004377AC">
      <w:pPr>
        <w:jc w:val="both"/>
        <w:rPr>
          <w:rFonts w:eastAsia="Calibri" w:cs="Arial"/>
          <w:b/>
          <w:szCs w:val="20"/>
          <w:lang w:eastAsia="sl-SI"/>
        </w:rPr>
      </w:pPr>
      <w:r w:rsidRPr="004377AC">
        <w:rPr>
          <w:rFonts w:eastAsia="Calibri" w:cs="Arial"/>
          <w:b/>
          <w:szCs w:val="20"/>
          <w:lang w:eastAsia="sl-SI"/>
        </w:rPr>
        <w:t>POROČILO MEDRESORSKE DELOVNE SKUPINE ZA PRIPRAVO IN SPREMLJANJE IZVAJANJA STRATEGIJE VLADE RS NA PODROČJU MIGRACIJ TER KOORDINACIJO AKTIVNOSTI S PODROČJA MIGRACIJ</w:t>
      </w:r>
    </w:p>
    <w:p w14:paraId="0DF79D3E" w14:textId="77777777" w:rsidR="00172B38" w:rsidRPr="004377AC" w:rsidRDefault="00172B38" w:rsidP="004377AC">
      <w:pPr>
        <w:overflowPunct w:val="0"/>
        <w:autoSpaceDE w:val="0"/>
        <w:autoSpaceDN w:val="0"/>
        <w:adjustRightInd w:val="0"/>
        <w:jc w:val="both"/>
        <w:textAlignment w:val="baseline"/>
        <w:rPr>
          <w:rFonts w:cs="Arial"/>
          <w:szCs w:val="20"/>
          <w:lang w:eastAsia="sl-SI"/>
        </w:rPr>
      </w:pPr>
    </w:p>
    <w:p w14:paraId="11AC8AE4" w14:textId="0213B564" w:rsidR="00EB1668" w:rsidRPr="004377AC" w:rsidRDefault="00EB1668" w:rsidP="004377AC">
      <w:pPr>
        <w:jc w:val="both"/>
        <w:rPr>
          <w:rFonts w:cs="Arial"/>
          <w:szCs w:val="20"/>
          <w:lang w:eastAsia="sl-SI"/>
        </w:rPr>
      </w:pPr>
      <w:r w:rsidRPr="004377AC">
        <w:rPr>
          <w:rFonts w:cs="Arial"/>
          <w:szCs w:val="20"/>
          <w:lang w:eastAsia="sl-SI"/>
        </w:rPr>
        <w:t>Vlada Republi</w:t>
      </w:r>
      <w:r w:rsidR="00C71C1D" w:rsidRPr="004377AC">
        <w:rPr>
          <w:rFonts w:cs="Arial"/>
          <w:szCs w:val="20"/>
          <w:lang w:eastAsia="sl-SI"/>
        </w:rPr>
        <w:t>ke Slovenije je na seji dne 15.</w:t>
      </w:r>
      <w:r w:rsidR="004377AC">
        <w:rPr>
          <w:rFonts w:cs="Arial"/>
          <w:szCs w:val="20"/>
          <w:lang w:eastAsia="sl-SI"/>
        </w:rPr>
        <w:t> </w:t>
      </w:r>
      <w:r w:rsidRPr="004377AC">
        <w:rPr>
          <w:rFonts w:cs="Arial"/>
          <w:szCs w:val="20"/>
          <w:lang w:eastAsia="sl-SI"/>
        </w:rPr>
        <w:t>11.</w:t>
      </w:r>
      <w:r w:rsidR="004377AC">
        <w:rPr>
          <w:rFonts w:cs="Arial"/>
          <w:szCs w:val="20"/>
          <w:lang w:eastAsia="sl-SI"/>
        </w:rPr>
        <w:t> </w:t>
      </w:r>
      <w:r w:rsidRPr="004377AC">
        <w:rPr>
          <w:rFonts w:cs="Arial"/>
          <w:szCs w:val="20"/>
          <w:lang w:eastAsia="sl-SI"/>
        </w:rPr>
        <w:t>2018, sprejela sklep o imenovanju Medresorske delovne skupine za pripravo in spremljanje izvajanja Strategije Vlade Republike Slovenije na področju migracij ter koordinacijo aktivnosti s področja migracij, s katerim je medresorski delovni skupini tudi naložila, da vsake tri mesece poroča Vladi Republike Slovenije o svojem delu.</w:t>
      </w:r>
    </w:p>
    <w:p w14:paraId="2358FDC2" w14:textId="77777777" w:rsidR="00EB1668" w:rsidRPr="004377AC" w:rsidRDefault="00EB1668" w:rsidP="004377AC">
      <w:pPr>
        <w:jc w:val="both"/>
        <w:rPr>
          <w:rFonts w:cs="Arial"/>
          <w:szCs w:val="20"/>
          <w:lang w:eastAsia="sl-SI"/>
        </w:rPr>
      </w:pPr>
    </w:p>
    <w:p w14:paraId="280BC668" w14:textId="1DB2447F" w:rsidR="00EB1668" w:rsidRPr="004377AC" w:rsidRDefault="00EB1668" w:rsidP="004377AC">
      <w:pPr>
        <w:jc w:val="both"/>
        <w:rPr>
          <w:rFonts w:cs="Arial"/>
          <w:szCs w:val="20"/>
          <w:lang w:eastAsia="sl-SI"/>
        </w:rPr>
      </w:pPr>
      <w:r w:rsidRPr="004377AC">
        <w:rPr>
          <w:rFonts w:cs="Arial"/>
          <w:szCs w:val="20"/>
          <w:lang w:eastAsia="sl-SI"/>
        </w:rPr>
        <w:t>Vlada Republike Slovenije se je na 44. redni seji dne 19.</w:t>
      </w:r>
      <w:r w:rsidR="004377AC">
        <w:rPr>
          <w:rFonts w:cs="Arial"/>
          <w:szCs w:val="20"/>
          <w:lang w:eastAsia="sl-SI"/>
        </w:rPr>
        <w:t> </w:t>
      </w:r>
      <w:r w:rsidRPr="004377AC">
        <w:rPr>
          <w:rFonts w:cs="Arial"/>
          <w:szCs w:val="20"/>
          <w:lang w:eastAsia="sl-SI"/>
        </w:rPr>
        <w:t>9.</w:t>
      </w:r>
      <w:r w:rsidR="004377AC">
        <w:rPr>
          <w:rFonts w:cs="Arial"/>
          <w:szCs w:val="20"/>
          <w:lang w:eastAsia="sl-SI"/>
        </w:rPr>
        <w:t> </w:t>
      </w:r>
      <w:r w:rsidRPr="004377AC">
        <w:rPr>
          <w:rFonts w:cs="Arial"/>
          <w:szCs w:val="20"/>
          <w:lang w:eastAsia="sl-SI"/>
        </w:rPr>
        <w:t>2019 seznanila s Tretjim Poročilom Medresorske delovne skupine za pripravo in spremljanje izvajanja Strategije Vlade Republike Slovenije na področju migracij ter koordinacijo aktivnosti s področja migracij.</w:t>
      </w:r>
    </w:p>
    <w:p w14:paraId="66C74FD5" w14:textId="77777777" w:rsidR="00EB1668" w:rsidRPr="004377AC" w:rsidRDefault="00EB1668" w:rsidP="004377AC">
      <w:pPr>
        <w:jc w:val="both"/>
        <w:rPr>
          <w:rFonts w:cs="Arial"/>
          <w:szCs w:val="20"/>
          <w:lang w:eastAsia="sl-SI"/>
        </w:rPr>
      </w:pPr>
    </w:p>
    <w:p w14:paraId="1AA87F51" w14:textId="7A42F2BE" w:rsidR="0017713F" w:rsidRPr="004377AC" w:rsidRDefault="00EB1668" w:rsidP="004377AC">
      <w:pPr>
        <w:jc w:val="both"/>
        <w:rPr>
          <w:rFonts w:cs="Arial"/>
          <w:szCs w:val="20"/>
          <w:lang w:eastAsia="sl-SI"/>
        </w:rPr>
      </w:pPr>
      <w:r w:rsidRPr="004377AC">
        <w:rPr>
          <w:rFonts w:cs="Arial"/>
          <w:szCs w:val="20"/>
          <w:lang w:eastAsia="sl-SI"/>
        </w:rPr>
        <w:t>Četrto obdobje trimesečnega poročanja obsega obdobje od 15.</w:t>
      </w:r>
      <w:r w:rsidR="004377AC">
        <w:rPr>
          <w:rFonts w:cs="Arial"/>
          <w:szCs w:val="20"/>
          <w:lang w:eastAsia="sl-SI"/>
        </w:rPr>
        <w:t> </w:t>
      </w:r>
      <w:r w:rsidRPr="004377AC">
        <w:rPr>
          <w:rFonts w:cs="Arial"/>
          <w:szCs w:val="20"/>
          <w:lang w:eastAsia="sl-SI"/>
        </w:rPr>
        <w:t>8.</w:t>
      </w:r>
      <w:r w:rsidR="004377AC">
        <w:rPr>
          <w:rFonts w:cs="Arial"/>
          <w:szCs w:val="20"/>
          <w:lang w:eastAsia="sl-SI"/>
        </w:rPr>
        <w:t> </w:t>
      </w:r>
      <w:r w:rsidRPr="004377AC">
        <w:rPr>
          <w:rFonts w:cs="Arial"/>
          <w:szCs w:val="20"/>
          <w:lang w:eastAsia="sl-SI"/>
        </w:rPr>
        <w:t>2019 do 15.</w:t>
      </w:r>
      <w:r w:rsidR="004377AC">
        <w:rPr>
          <w:rFonts w:cs="Arial"/>
          <w:szCs w:val="20"/>
          <w:lang w:eastAsia="sl-SI"/>
        </w:rPr>
        <w:t> </w:t>
      </w:r>
      <w:r w:rsidRPr="004377AC">
        <w:rPr>
          <w:rFonts w:cs="Arial"/>
          <w:szCs w:val="20"/>
          <w:lang w:eastAsia="sl-SI"/>
        </w:rPr>
        <w:t>11.</w:t>
      </w:r>
      <w:r w:rsidR="004377AC">
        <w:rPr>
          <w:rFonts w:cs="Arial"/>
          <w:szCs w:val="20"/>
          <w:lang w:eastAsia="sl-SI"/>
        </w:rPr>
        <w:t> </w:t>
      </w:r>
      <w:r w:rsidRPr="004377AC">
        <w:rPr>
          <w:rFonts w:cs="Arial"/>
          <w:szCs w:val="20"/>
          <w:lang w:eastAsia="sl-SI"/>
        </w:rPr>
        <w:t>2019. Resorji niso poročali o večjih posebnostih, na katere bi bilo treba Vlado Republike Slovenije posebej opozoriti.</w:t>
      </w:r>
    </w:p>
    <w:p w14:paraId="313BB084" w14:textId="77777777" w:rsidR="00B35825" w:rsidRPr="004377AC" w:rsidRDefault="00B35825" w:rsidP="004377AC">
      <w:pPr>
        <w:jc w:val="both"/>
        <w:rPr>
          <w:rFonts w:cs="Arial"/>
          <w:szCs w:val="20"/>
        </w:rPr>
      </w:pPr>
    </w:p>
    <w:p w14:paraId="229253F0" w14:textId="77777777" w:rsidR="007E0167" w:rsidRPr="004377AC" w:rsidRDefault="007E0167" w:rsidP="004377AC">
      <w:pPr>
        <w:jc w:val="both"/>
        <w:rPr>
          <w:rFonts w:cs="Arial"/>
          <w:szCs w:val="20"/>
        </w:rPr>
      </w:pPr>
    </w:p>
    <w:p w14:paraId="4D290D9B" w14:textId="77777777" w:rsidR="0017713F" w:rsidRPr="004377AC" w:rsidRDefault="0017713F" w:rsidP="004377AC">
      <w:pPr>
        <w:ind w:left="720" w:hanging="720"/>
        <w:jc w:val="both"/>
        <w:rPr>
          <w:rFonts w:cs="Arial"/>
          <w:b/>
          <w:szCs w:val="20"/>
          <w:u w:val="single"/>
        </w:rPr>
      </w:pPr>
      <w:r w:rsidRPr="004377AC">
        <w:rPr>
          <w:rFonts w:cs="Arial"/>
          <w:b/>
          <w:szCs w:val="20"/>
        </w:rPr>
        <w:t xml:space="preserve">I. </w:t>
      </w:r>
      <w:r w:rsidR="00E10EED" w:rsidRPr="004377AC">
        <w:rPr>
          <w:rFonts w:cs="Arial"/>
          <w:b/>
          <w:szCs w:val="20"/>
        </w:rPr>
        <w:tab/>
      </w:r>
      <w:r w:rsidRPr="004377AC">
        <w:rPr>
          <w:rFonts w:cs="Arial"/>
          <w:b/>
          <w:szCs w:val="20"/>
          <w:u w:val="single"/>
        </w:rPr>
        <w:t>P</w:t>
      </w:r>
      <w:r w:rsidR="00653531" w:rsidRPr="004377AC">
        <w:rPr>
          <w:rFonts w:cs="Arial"/>
          <w:b/>
          <w:szCs w:val="20"/>
          <w:u w:val="single"/>
        </w:rPr>
        <w:t>OROČANJE O DELU MEDRESORSKE DELOVNE SKUPINE ZA PRIPRAVO IN SPREMLJANJE IZVAJANJA STRATEGIJE VLADE REPUBLIKE SLOVENIJE NA PODROČJU MIGRACIJ TER KOORDINACIJO AKTIVNOSTI S PODROČJA MIGRACIJ</w:t>
      </w:r>
    </w:p>
    <w:bookmarkEnd w:id="0"/>
    <w:p w14:paraId="3AFBE294" w14:textId="53FAC047" w:rsidR="00AD41AC" w:rsidRPr="004377AC" w:rsidRDefault="00AD41AC" w:rsidP="004377AC">
      <w:pPr>
        <w:jc w:val="both"/>
        <w:rPr>
          <w:rFonts w:cs="Arial"/>
          <w:szCs w:val="20"/>
        </w:rPr>
      </w:pPr>
    </w:p>
    <w:p w14:paraId="1B277BD7" w14:textId="6C7F2E1C" w:rsidR="000D216A" w:rsidRPr="004377AC" w:rsidRDefault="00991B82" w:rsidP="004377AC">
      <w:pPr>
        <w:jc w:val="both"/>
        <w:rPr>
          <w:rFonts w:cs="Arial"/>
          <w:szCs w:val="20"/>
        </w:rPr>
      </w:pPr>
      <w:r w:rsidRPr="004377AC">
        <w:rPr>
          <w:rFonts w:cs="Arial"/>
          <w:szCs w:val="20"/>
        </w:rPr>
        <w:t xml:space="preserve">Ministrstvo za notranje zadeve je v </w:t>
      </w:r>
      <w:r w:rsidR="003B46B2" w:rsidRPr="004377AC">
        <w:rPr>
          <w:rFonts w:cs="Arial"/>
          <w:szCs w:val="20"/>
        </w:rPr>
        <w:t xml:space="preserve">poročevalskem obdobju </w:t>
      </w:r>
      <w:r w:rsidRPr="004377AC">
        <w:rPr>
          <w:rFonts w:cs="Arial"/>
          <w:szCs w:val="20"/>
        </w:rPr>
        <w:t xml:space="preserve">organiziralo </w:t>
      </w:r>
      <w:r w:rsidR="00695D12" w:rsidRPr="004377AC">
        <w:rPr>
          <w:rFonts w:cs="Arial"/>
          <w:szCs w:val="20"/>
        </w:rPr>
        <w:t>dva sestanka</w:t>
      </w:r>
      <w:r w:rsidR="000D216A" w:rsidRPr="004377AC">
        <w:rPr>
          <w:rFonts w:cs="Arial"/>
          <w:szCs w:val="20"/>
        </w:rPr>
        <w:t xml:space="preserve"> podskupine za spremljanje stanja na področju nezakonitih migracij</w:t>
      </w:r>
      <w:r w:rsidR="003B27C8" w:rsidRPr="004377AC">
        <w:rPr>
          <w:rFonts w:cs="Arial"/>
          <w:szCs w:val="20"/>
        </w:rPr>
        <w:t>, pri čemer je bil eden izmed sestankov kasneje odpovedan.</w:t>
      </w:r>
    </w:p>
    <w:p w14:paraId="0C01FA71" w14:textId="77777777" w:rsidR="00991B82" w:rsidRPr="004377AC" w:rsidRDefault="00991B82" w:rsidP="004377AC">
      <w:pPr>
        <w:jc w:val="both"/>
        <w:rPr>
          <w:rFonts w:cs="Arial"/>
          <w:szCs w:val="20"/>
          <w:highlight w:val="yellow"/>
        </w:rPr>
      </w:pPr>
    </w:p>
    <w:p w14:paraId="771A209A" w14:textId="77777777" w:rsidR="000D216A" w:rsidRPr="004377AC" w:rsidRDefault="000D216A" w:rsidP="004377AC">
      <w:pPr>
        <w:pStyle w:val="ZADEVA"/>
        <w:tabs>
          <w:tab w:val="clear" w:pos="1701"/>
          <w:tab w:val="left" w:pos="0"/>
        </w:tabs>
        <w:ind w:left="0" w:firstLine="0"/>
        <w:jc w:val="both"/>
        <w:rPr>
          <w:rFonts w:cs="Arial"/>
          <w:szCs w:val="20"/>
          <w:u w:val="single"/>
          <w:lang w:val="sl-SI"/>
        </w:rPr>
      </w:pPr>
      <w:r w:rsidRPr="004377AC">
        <w:rPr>
          <w:rFonts w:cs="Arial"/>
          <w:szCs w:val="20"/>
          <w:u w:val="single"/>
          <w:lang w:val="sl-SI"/>
        </w:rPr>
        <w:t xml:space="preserve">4. sestanek podskupine za spremljanje stanja na področju nezakonitih migracij </w:t>
      </w:r>
    </w:p>
    <w:p w14:paraId="3F21AFB0" w14:textId="77777777" w:rsidR="00726E5D" w:rsidRPr="004377AC" w:rsidRDefault="00726E5D" w:rsidP="004377AC">
      <w:pPr>
        <w:pStyle w:val="ZADEVA"/>
        <w:tabs>
          <w:tab w:val="clear" w:pos="1701"/>
          <w:tab w:val="left" w:pos="0"/>
        </w:tabs>
        <w:ind w:left="0" w:firstLine="0"/>
        <w:jc w:val="both"/>
        <w:rPr>
          <w:rFonts w:cs="Arial"/>
          <w:b w:val="0"/>
          <w:szCs w:val="20"/>
          <w:lang w:val="sl-SI"/>
        </w:rPr>
      </w:pPr>
    </w:p>
    <w:p w14:paraId="2BC791FB" w14:textId="515748C4" w:rsidR="000239EB" w:rsidRPr="004377AC" w:rsidRDefault="008F323E" w:rsidP="004377AC">
      <w:pPr>
        <w:pStyle w:val="ZADEVA"/>
        <w:tabs>
          <w:tab w:val="clear" w:pos="1701"/>
          <w:tab w:val="left" w:pos="0"/>
        </w:tabs>
        <w:ind w:left="0" w:firstLine="0"/>
        <w:jc w:val="both"/>
        <w:rPr>
          <w:rFonts w:cs="Arial"/>
          <w:color w:val="222222"/>
          <w:szCs w:val="20"/>
          <w:shd w:val="clear" w:color="auto" w:fill="FFFFFF"/>
          <w:lang w:val="sl-SI"/>
        </w:rPr>
      </w:pPr>
      <w:r w:rsidRPr="004377AC">
        <w:rPr>
          <w:rFonts w:cs="Arial"/>
          <w:b w:val="0"/>
          <w:szCs w:val="20"/>
          <w:lang w:val="sl-SI"/>
        </w:rPr>
        <w:t xml:space="preserve">Dne </w:t>
      </w:r>
      <w:r w:rsidR="000D216A" w:rsidRPr="004377AC">
        <w:rPr>
          <w:rFonts w:cs="Arial"/>
          <w:b w:val="0"/>
          <w:szCs w:val="20"/>
          <w:lang w:val="sl-SI"/>
        </w:rPr>
        <w:t>3</w:t>
      </w:r>
      <w:r w:rsidRPr="004377AC">
        <w:rPr>
          <w:rFonts w:cs="Arial"/>
          <w:b w:val="0"/>
          <w:szCs w:val="20"/>
          <w:lang w:val="sl-SI"/>
        </w:rPr>
        <w:t>.</w:t>
      </w:r>
      <w:r w:rsidR="0017639A">
        <w:rPr>
          <w:rFonts w:cs="Arial"/>
          <w:b w:val="0"/>
          <w:szCs w:val="20"/>
          <w:lang w:val="sl-SI"/>
        </w:rPr>
        <w:t> </w:t>
      </w:r>
      <w:r w:rsidR="000D216A" w:rsidRPr="004377AC">
        <w:rPr>
          <w:rFonts w:cs="Arial"/>
          <w:b w:val="0"/>
          <w:szCs w:val="20"/>
          <w:lang w:val="sl-SI"/>
        </w:rPr>
        <w:t>9</w:t>
      </w:r>
      <w:r w:rsidRPr="004377AC">
        <w:rPr>
          <w:rFonts w:cs="Arial"/>
          <w:b w:val="0"/>
          <w:szCs w:val="20"/>
          <w:lang w:val="sl-SI"/>
        </w:rPr>
        <w:t>.</w:t>
      </w:r>
      <w:r w:rsidR="0017639A">
        <w:rPr>
          <w:rFonts w:cs="Arial"/>
          <w:b w:val="0"/>
          <w:szCs w:val="20"/>
          <w:lang w:val="sl-SI"/>
        </w:rPr>
        <w:t> </w:t>
      </w:r>
      <w:r w:rsidRPr="004377AC">
        <w:rPr>
          <w:rFonts w:cs="Arial"/>
          <w:b w:val="0"/>
          <w:szCs w:val="20"/>
          <w:lang w:val="sl-SI"/>
        </w:rPr>
        <w:t xml:space="preserve">2019 je potekal </w:t>
      </w:r>
      <w:r w:rsidR="000D216A" w:rsidRPr="004377AC">
        <w:rPr>
          <w:rFonts w:cs="Arial"/>
          <w:b w:val="0"/>
          <w:szCs w:val="20"/>
          <w:lang w:val="sl-SI"/>
        </w:rPr>
        <w:t xml:space="preserve">4. sestanek podskupine za spremljanje stanja na področju nezakonitih migracij. </w:t>
      </w:r>
      <w:r w:rsidR="000239EB" w:rsidRPr="004377AC">
        <w:rPr>
          <w:rFonts w:cs="Arial"/>
          <w:b w:val="0"/>
          <w:color w:val="222222"/>
          <w:szCs w:val="20"/>
          <w:shd w:val="clear" w:color="auto" w:fill="FFFFFF"/>
          <w:lang w:val="sl-SI"/>
        </w:rPr>
        <w:t>Glavna tema so bile začasne tehnične ovire</w:t>
      </w:r>
      <w:r w:rsidR="004E0782" w:rsidRPr="004377AC">
        <w:rPr>
          <w:rFonts w:cs="Arial"/>
          <w:b w:val="0"/>
          <w:color w:val="222222"/>
          <w:szCs w:val="20"/>
          <w:shd w:val="clear" w:color="auto" w:fill="FFFFFF"/>
          <w:lang w:val="sl-SI"/>
        </w:rPr>
        <w:t xml:space="preserve"> (v nadaljevanju: ZTO)</w:t>
      </w:r>
      <w:r w:rsidR="000239EB" w:rsidRPr="004377AC">
        <w:rPr>
          <w:rFonts w:cs="Arial"/>
          <w:b w:val="0"/>
          <w:color w:val="222222"/>
          <w:szCs w:val="20"/>
          <w:shd w:val="clear" w:color="auto" w:fill="FFFFFF"/>
          <w:lang w:val="sl-SI"/>
        </w:rPr>
        <w:t xml:space="preserve">, </w:t>
      </w:r>
      <w:r w:rsidR="00F6437F" w:rsidRPr="004377AC">
        <w:rPr>
          <w:rFonts w:cs="Arial"/>
          <w:b w:val="0"/>
          <w:color w:val="222222"/>
          <w:szCs w:val="20"/>
          <w:shd w:val="clear" w:color="auto" w:fill="FFFFFF"/>
          <w:lang w:val="sl-SI"/>
        </w:rPr>
        <w:t>njihovo postavljanje, popravila</w:t>
      </w:r>
      <w:r w:rsidR="000239EB" w:rsidRPr="004377AC">
        <w:rPr>
          <w:rFonts w:cs="Arial"/>
          <w:b w:val="0"/>
          <w:color w:val="222222"/>
          <w:szCs w:val="20"/>
          <w:shd w:val="clear" w:color="auto" w:fill="FFFFFF"/>
          <w:lang w:val="sl-SI"/>
        </w:rPr>
        <w:t xml:space="preserve"> ter evidentiranje. </w:t>
      </w:r>
    </w:p>
    <w:p w14:paraId="00A6581B" w14:textId="77777777" w:rsidR="000239EB" w:rsidRPr="004377AC" w:rsidRDefault="000239EB" w:rsidP="004377AC">
      <w:pPr>
        <w:jc w:val="both"/>
        <w:rPr>
          <w:rFonts w:cs="Arial"/>
          <w:color w:val="222222"/>
          <w:szCs w:val="20"/>
          <w:shd w:val="clear" w:color="auto" w:fill="FFFFFF"/>
        </w:rPr>
      </w:pPr>
    </w:p>
    <w:p w14:paraId="5F494629" w14:textId="5DA8E2F2" w:rsidR="000239EB" w:rsidRPr="004377AC" w:rsidRDefault="000239EB" w:rsidP="004377AC">
      <w:pPr>
        <w:jc w:val="both"/>
        <w:rPr>
          <w:rFonts w:cs="Arial"/>
          <w:color w:val="222222"/>
          <w:szCs w:val="20"/>
          <w:shd w:val="clear" w:color="auto" w:fill="FFFFFF"/>
        </w:rPr>
      </w:pPr>
      <w:r w:rsidRPr="004377AC">
        <w:rPr>
          <w:rFonts w:cs="Arial"/>
          <w:color w:val="222222"/>
          <w:szCs w:val="20"/>
          <w:shd w:val="clear" w:color="auto" w:fill="FFFFFF"/>
        </w:rPr>
        <w:t>Predstavnik policije je poročal, da je bilo na novo postavljenih 1.045 m panelne ograje</w:t>
      </w:r>
      <w:r w:rsidR="00B263E7" w:rsidRPr="004377AC">
        <w:rPr>
          <w:rFonts w:cs="Arial"/>
          <w:color w:val="222222"/>
          <w:szCs w:val="20"/>
          <w:shd w:val="clear" w:color="auto" w:fill="FFFFFF"/>
        </w:rPr>
        <w:t xml:space="preserve">, čemur </w:t>
      </w:r>
      <w:r w:rsidRPr="004377AC">
        <w:rPr>
          <w:rFonts w:cs="Arial"/>
          <w:color w:val="222222"/>
          <w:szCs w:val="20"/>
          <w:shd w:val="clear" w:color="auto" w:fill="FFFFFF"/>
        </w:rPr>
        <w:t>sledi potreba po vpisu v</w:t>
      </w:r>
      <w:r w:rsidR="003E102B" w:rsidRPr="004377AC">
        <w:rPr>
          <w:rFonts w:cs="Arial"/>
          <w:color w:val="222222"/>
          <w:szCs w:val="20"/>
          <w:shd w:val="clear" w:color="auto" w:fill="FFFFFF"/>
        </w:rPr>
        <w:t xml:space="preserve"> geodetski informacijski sistem,</w:t>
      </w:r>
      <w:r w:rsidRPr="004377AC">
        <w:rPr>
          <w:rFonts w:cs="Arial"/>
          <w:color w:val="222222"/>
          <w:szCs w:val="20"/>
          <w:shd w:val="clear" w:color="auto" w:fill="FFFFFF"/>
        </w:rPr>
        <w:t xml:space="preserve"> </w:t>
      </w:r>
      <w:r w:rsidR="003E102B" w:rsidRPr="004377AC">
        <w:rPr>
          <w:rFonts w:cs="Arial"/>
          <w:color w:val="222222"/>
          <w:szCs w:val="20"/>
          <w:shd w:val="clear" w:color="auto" w:fill="FFFFFF"/>
        </w:rPr>
        <w:t>n</w:t>
      </w:r>
      <w:r w:rsidRPr="004377AC">
        <w:rPr>
          <w:rFonts w:cs="Arial"/>
          <w:color w:val="222222"/>
          <w:szCs w:val="20"/>
          <w:shd w:val="clear" w:color="auto" w:fill="FFFFFF"/>
        </w:rPr>
        <w:t>ačrtovanih pa je tudi že nekaj več kot 2.500 m postavitve za n</w:t>
      </w:r>
      <w:r w:rsidR="00F6437F" w:rsidRPr="004377AC">
        <w:rPr>
          <w:rFonts w:cs="Arial"/>
          <w:color w:val="222222"/>
          <w:szCs w:val="20"/>
          <w:shd w:val="clear" w:color="auto" w:fill="FFFFFF"/>
        </w:rPr>
        <w:t>aprej. Pri tem je predstavnik Ministrstva za zunanje zadeve</w:t>
      </w:r>
      <w:r w:rsidRPr="004377AC">
        <w:rPr>
          <w:rFonts w:cs="Arial"/>
          <w:color w:val="222222"/>
          <w:szCs w:val="20"/>
          <w:shd w:val="clear" w:color="auto" w:fill="FFFFFF"/>
        </w:rPr>
        <w:t xml:space="preserve"> opozoril, da ograja sicer ne prejudicira meje, vendar je treba biti pri postavljanju previden, saj mora biti funkcionalna, obenem ne sme dajati vtisa, da </w:t>
      </w:r>
      <w:r w:rsidR="003E102B" w:rsidRPr="004377AC">
        <w:rPr>
          <w:rFonts w:cs="Arial"/>
          <w:color w:val="222222"/>
          <w:szCs w:val="20"/>
          <w:shd w:val="clear" w:color="auto" w:fill="FFFFFF"/>
        </w:rPr>
        <w:t xml:space="preserve">Republika </w:t>
      </w:r>
      <w:r w:rsidRPr="004377AC">
        <w:rPr>
          <w:rFonts w:cs="Arial"/>
          <w:color w:val="222222"/>
          <w:szCs w:val="20"/>
          <w:shd w:val="clear" w:color="auto" w:fill="FFFFFF"/>
        </w:rPr>
        <w:t xml:space="preserve">Slovenija premika mejo v notranjost. </w:t>
      </w:r>
    </w:p>
    <w:p w14:paraId="1917BBAD" w14:textId="77777777" w:rsidR="003E102B" w:rsidRPr="004377AC" w:rsidRDefault="003E102B" w:rsidP="004377AC">
      <w:pPr>
        <w:jc w:val="both"/>
        <w:rPr>
          <w:rFonts w:cs="Arial"/>
          <w:color w:val="222222"/>
          <w:szCs w:val="20"/>
          <w:shd w:val="clear" w:color="auto" w:fill="FFFFFF"/>
        </w:rPr>
      </w:pPr>
    </w:p>
    <w:p w14:paraId="191576C7" w14:textId="7054A718" w:rsidR="000239EB" w:rsidRPr="004377AC" w:rsidRDefault="000239EB" w:rsidP="004377AC">
      <w:pPr>
        <w:jc w:val="both"/>
        <w:rPr>
          <w:rFonts w:cs="Arial"/>
          <w:color w:val="222222"/>
          <w:szCs w:val="20"/>
          <w:shd w:val="clear" w:color="auto" w:fill="FFFFFF"/>
        </w:rPr>
      </w:pPr>
      <w:r w:rsidRPr="004377AC">
        <w:rPr>
          <w:rFonts w:cs="Arial"/>
          <w:color w:val="222222"/>
          <w:szCs w:val="20"/>
          <w:shd w:val="clear" w:color="auto" w:fill="FFFFFF"/>
        </w:rPr>
        <w:t>Ograjo je</w:t>
      </w:r>
      <w:r w:rsidR="00431339" w:rsidRPr="004377AC">
        <w:rPr>
          <w:rFonts w:cs="Arial"/>
          <w:color w:val="222222"/>
          <w:szCs w:val="20"/>
          <w:shd w:val="clear" w:color="auto" w:fill="FFFFFF"/>
        </w:rPr>
        <w:t xml:space="preserve"> do sedaj za lastne </w:t>
      </w:r>
      <w:r w:rsidR="005D4CB0" w:rsidRPr="004377AC">
        <w:rPr>
          <w:rFonts w:cs="Arial"/>
          <w:color w:val="222222"/>
          <w:szCs w:val="20"/>
          <w:shd w:val="clear" w:color="auto" w:fill="FFFFFF"/>
        </w:rPr>
        <w:t xml:space="preserve">potrebe </w:t>
      </w:r>
      <w:r w:rsidRPr="004377AC">
        <w:rPr>
          <w:rFonts w:cs="Arial"/>
          <w:color w:val="222222"/>
          <w:szCs w:val="20"/>
          <w:shd w:val="clear" w:color="auto" w:fill="FFFFFF"/>
        </w:rPr>
        <w:t xml:space="preserve">evidentirala vojska, vendar se je izkazalo, </w:t>
      </w:r>
      <w:r w:rsidR="00961C37" w:rsidRPr="004377AC">
        <w:rPr>
          <w:rFonts w:cs="Arial"/>
          <w:color w:val="222222"/>
          <w:szCs w:val="20"/>
          <w:shd w:val="clear" w:color="auto" w:fill="FFFFFF"/>
        </w:rPr>
        <w:t xml:space="preserve">da prihaja do večjih odstopanj, </w:t>
      </w:r>
      <w:r w:rsidRPr="004377AC">
        <w:rPr>
          <w:rFonts w:cs="Arial"/>
          <w:color w:val="222222"/>
          <w:szCs w:val="20"/>
          <w:shd w:val="clear" w:color="auto" w:fill="FFFFFF"/>
        </w:rPr>
        <w:t xml:space="preserve">ko je </w:t>
      </w:r>
      <w:r w:rsidR="003E102B" w:rsidRPr="004377AC">
        <w:rPr>
          <w:rFonts w:cs="Arial"/>
          <w:color w:val="222222"/>
          <w:szCs w:val="20"/>
          <w:shd w:val="clear" w:color="auto" w:fill="FFFFFF"/>
        </w:rPr>
        <w:t>Geodetska uprava Republike Slovenije (</w:t>
      </w:r>
      <w:r w:rsidR="004E0782" w:rsidRPr="004377AC">
        <w:rPr>
          <w:rFonts w:cs="Arial"/>
          <w:color w:val="222222"/>
          <w:szCs w:val="20"/>
          <w:shd w:val="clear" w:color="auto" w:fill="FFFFFF"/>
        </w:rPr>
        <w:t xml:space="preserve">v nadaljevanju: </w:t>
      </w:r>
      <w:r w:rsidRPr="004377AC">
        <w:rPr>
          <w:rFonts w:cs="Arial"/>
          <w:color w:val="222222"/>
          <w:szCs w:val="20"/>
          <w:shd w:val="clear" w:color="auto" w:fill="FFFFFF"/>
        </w:rPr>
        <w:t>GURS</w:t>
      </w:r>
      <w:r w:rsidR="003E102B" w:rsidRPr="004377AC">
        <w:rPr>
          <w:rFonts w:cs="Arial"/>
          <w:color w:val="222222"/>
          <w:szCs w:val="20"/>
          <w:shd w:val="clear" w:color="auto" w:fill="FFFFFF"/>
        </w:rPr>
        <w:t>)</w:t>
      </w:r>
      <w:r w:rsidRPr="004377AC">
        <w:rPr>
          <w:rFonts w:cs="Arial"/>
          <w:color w:val="222222"/>
          <w:szCs w:val="20"/>
          <w:shd w:val="clear" w:color="auto" w:fill="FFFFFF"/>
        </w:rPr>
        <w:t xml:space="preserve"> začel</w:t>
      </w:r>
      <w:r w:rsidR="003E102B" w:rsidRPr="004377AC">
        <w:rPr>
          <w:rFonts w:cs="Arial"/>
          <w:color w:val="222222"/>
          <w:szCs w:val="20"/>
          <w:shd w:val="clear" w:color="auto" w:fill="FFFFFF"/>
        </w:rPr>
        <w:t>a</w:t>
      </w:r>
      <w:r w:rsidR="00961C37" w:rsidRPr="004377AC">
        <w:rPr>
          <w:rFonts w:cs="Arial"/>
          <w:color w:val="222222"/>
          <w:szCs w:val="20"/>
          <w:shd w:val="clear" w:color="auto" w:fill="FFFFFF"/>
        </w:rPr>
        <w:t xml:space="preserve"> z uradnimi meritvami</w:t>
      </w:r>
      <w:r w:rsidRPr="004377AC">
        <w:rPr>
          <w:rFonts w:cs="Arial"/>
          <w:color w:val="222222"/>
          <w:szCs w:val="20"/>
          <w:shd w:val="clear" w:color="auto" w:fill="FFFFFF"/>
        </w:rPr>
        <w:t xml:space="preserve">. Na podlagi </w:t>
      </w:r>
      <w:r w:rsidR="001814AB" w:rsidRPr="004377AC">
        <w:rPr>
          <w:rFonts w:cs="Arial"/>
          <w:color w:val="222222"/>
          <w:szCs w:val="20"/>
          <w:shd w:val="clear" w:color="auto" w:fill="FFFFFF"/>
        </w:rPr>
        <w:t>pridobljenih</w:t>
      </w:r>
      <w:r w:rsidRPr="004377AC">
        <w:rPr>
          <w:rFonts w:cs="Arial"/>
          <w:color w:val="222222"/>
          <w:szCs w:val="20"/>
          <w:shd w:val="clear" w:color="auto" w:fill="FFFFFF"/>
        </w:rPr>
        <w:t xml:space="preserve"> podatkov se bodo lahko izplačale odškodnine in vzpostavljale služnosti. </w:t>
      </w:r>
    </w:p>
    <w:p w14:paraId="677A68A3" w14:textId="77777777" w:rsidR="000239EB" w:rsidRPr="004377AC" w:rsidRDefault="000239EB" w:rsidP="004377AC">
      <w:pPr>
        <w:jc w:val="both"/>
        <w:rPr>
          <w:rFonts w:cs="Arial"/>
          <w:color w:val="222222"/>
          <w:szCs w:val="20"/>
          <w:shd w:val="clear" w:color="auto" w:fill="FFFFFF"/>
        </w:rPr>
      </w:pPr>
    </w:p>
    <w:p w14:paraId="474273A1" w14:textId="293D0B7C" w:rsidR="000239EB" w:rsidRPr="004377AC" w:rsidRDefault="000239EB" w:rsidP="004377AC">
      <w:pPr>
        <w:jc w:val="both"/>
        <w:rPr>
          <w:rFonts w:cs="Arial"/>
          <w:color w:val="222222"/>
          <w:szCs w:val="20"/>
          <w:shd w:val="clear" w:color="auto" w:fill="FFFFFF"/>
        </w:rPr>
      </w:pPr>
      <w:r w:rsidRPr="004377AC">
        <w:rPr>
          <w:rFonts w:cs="Arial"/>
          <w:color w:val="222222"/>
          <w:szCs w:val="20"/>
          <w:shd w:val="clear" w:color="auto" w:fill="FFFFFF"/>
        </w:rPr>
        <w:lastRenderedPageBreak/>
        <w:t>Policisti s policijskih uprav so predstavili težave z vzdrževanjem ZTO in okolice</w:t>
      </w:r>
      <w:r w:rsidR="00655895" w:rsidRPr="004377AC">
        <w:rPr>
          <w:rFonts w:cs="Arial"/>
          <w:color w:val="222222"/>
          <w:szCs w:val="20"/>
          <w:shd w:val="clear" w:color="auto" w:fill="FFFFFF"/>
        </w:rPr>
        <w:t xml:space="preserve">. </w:t>
      </w:r>
      <w:r w:rsidRPr="004377AC">
        <w:rPr>
          <w:rFonts w:cs="Arial"/>
          <w:color w:val="222222"/>
          <w:szCs w:val="20"/>
          <w:shd w:val="clear" w:color="auto" w:fill="FFFFFF"/>
        </w:rPr>
        <w:t>Pr</w:t>
      </w:r>
      <w:r w:rsidR="00F6437F" w:rsidRPr="004377AC">
        <w:rPr>
          <w:rFonts w:cs="Arial"/>
          <w:color w:val="222222"/>
          <w:szCs w:val="20"/>
          <w:shd w:val="clear" w:color="auto" w:fill="FFFFFF"/>
        </w:rPr>
        <w:t>edstavnik Urada za logistiko Ministrstva za notranje zadeve</w:t>
      </w:r>
      <w:r w:rsidRPr="004377AC">
        <w:rPr>
          <w:rFonts w:cs="Arial"/>
          <w:color w:val="222222"/>
          <w:szCs w:val="20"/>
          <w:shd w:val="clear" w:color="auto" w:fill="FFFFFF"/>
        </w:rPr>
        <w:t xml:space="preserve"> je povedal, da je bil razpis za krovno pogodbo v 6 sklopih objavljen. </w:t>
      </w:r>
    </w:p>
    <w:p w14:paraId="2D142CB6" w14:textId="77777777" w:rsidR="001814AB" w:rsidRPr="004377AC" w:rsidRDefault="001814AB" w:rsidP="004377AC">
      <w:pPr>
        <w:jc w:val="both"/>
        <w:rPr>
          <w:rFonts w:cs="Arial"/>
          <w:szCs w:val="20"/>
        </w:rPr>
      </w:pPr>
    </w:p>
    <w:p w14:paraId="20EE5753" w14:textId="668ACBA3" w:rsidR="005D4CB0" w:rsidRPr="004377AC" w:rsidRDefault="005D4CB0" w:rsidP="004377AC">
      <w:pPr>
        <w:jc w:val="both"/>
        <w:rPr>
          <w:rFonts w:cs="Arial"/>
          <w:szCs w:val="20"/>
        </w:rPr>
      </w:pPr>
      <w:r w:rsidRPr="004377AC">
        <w:rPr>
          <w:rFonts w:cs="Arial"/>
          <w:szCs w:val="20"/>
        </w:rPr>
        <w:t xml:space="preserve">Na sestanku je bil sprejet en sklep in sicer, da se </w:t>
      </w:r>
      <w:r w:rsidR="004E0782" w:rsidRPr="004377AC">
        <w:rPr>
          <w:rFonts w:cs="Arial"/>
          <w:szCs w:val="20"/>
        </w:rPr>
        <w:t>p</w:t>
      </w:r>
      <w:r w:rsidRPr="004377AC">
        <w:rPr>
          <w:rFonts w:cs="Arial"/>
          <w:szCs w:val="20"/>
        </w:rPr>
        <w:t>ripravi</w:t>
      </w:r>
      <w:r w:rsidR="004E0782" w:rsidRPr="004377AC">
        <w:rPr>
          <w:rFonts w:cs="Arial"/>
          <w:szCs w:val="20"/>
        </w:rPr>
        <w:t xml:space="preserve"> gradivo za Vlado Republike Slovenije</w:t>
      </w:r>
      <w:r w:rsidRPr="004377AC">
        <w:rPr>
          <w:rFonts w:cs="Arial"/>
          <w:szCs w:val="20"/>
        </w:rPr>
        <w:t xml:space="preserve"> in sklep, ki bo formaliziral sodelovanje GURS pri evidentiranju ZTO</w:t>
      </w:r>
      <w:r w:rsidR="001814AB" w:rsidRPr="004377AC">
        <w:rPr>
          <w:rFonts w:cs="Arial"/>
          <w:szCs w:val="20"/>
        </w:rPr>
        <w:t>.</w:t>
      </w:r>
    </w:p>
    <w:p w14:paraId="6FFD324C" w14:textId="77777777" w:rsidR="002017D6" w:rsidRDefault="002017D6" w:rsidP="004377AC">
      <w:pPr>
        <w:jc w:val="both"/>
        <w:rPr>
          <w:rFonts w:cs="Arial"/>
          <w:b/>
          <w:szCs w:val="20"/>
          <w:u w:val="single"/>
        </w:rPr>
      </w:pPr>
    </w:p>
    <w:p w14:paraId="603468FA" w14:textId="77777777" w:rsidR="0017639A" w:rsidRPr="004377AC" w:rsidRDefault="0017639A" w:rsidP="004377AC">
      <w:pPr>
        <w:jc w:val="both"/>
        <w:rPr>
          <w:rFonts w:cs="Arial"/>
          <w:b/>
          <w:szCs w:val="20"/>
          <w:u w:val="single"/>
        </w:rPr>
      </w:pPr>
    </w:p>
    <w:p w14:paraId="218DA33B" w14:textId="77777777" w:rsidR="00BA25E1" w:rsidRPr="004377AC" w:rsidRDefault="00653531" w:rsidP="004377AC">
      <w:pPr>
        <w:pStyle w:val="Naslov1"/>
        <w:numPr>
          <w:ilvl w:val="0"/>
          <w:numId w:val="34"/>
        </w:numPr>
      </w:pPr>
      <w:bookmarkStart w:id="1" w:name="_Toc865779"/>
      <w:r w:rsidRPr="004377AC">
        <w:t>P</w:t>
      </w:r>
      <w:bookmarkEnd w:id="1"/>
      <w:r w:rsidRPr="004377AC">
        <w:t>OROČANJE RESORJEV</w:t>
      </w:r>
    </w:p>
    <w:p w14:paraId="2EC52E62" w14:textId="77777777" w:rsidR="00B84C36" w:rsidRPr="004377AC" w:rsidRDefault="00B84C36" w:rsidP="004377AC">
      <w:pPr>
        <w:jc w:val="both"/>
        <w:rPr>
          <w:rFonts w:cs="Arial"/>
          <w:szCs w:val="20"/>
        </w:rPr>
      </w:pPr>
    </w:p>
    <w:p w14:paraId="5D912584" w14:textId="77777777" w:rsidR="005C4915" w:rsidRPr="004377AC" w:rsidRDefault="00C911C9" w:rsidP="004377AC">
      <w:pPr>
        <w:pStyle w:val="Odstavekseznama"/>
        <w:numPr>
          <w:ilvl w:val="0"/>
          <w:numId w:val="14"/>
        </w:numPr>
        <w:spacing w:after="0" w:line="260" w:lineRule="exact"/>
        <w:ind w:hanging="720"/>
        <w:jc w:val="both"/>
        <w:rPr>
          <w:rFonts w:ascii="Arial" w:hAnsi="Arial" w:cs="Arial"/>
          <w:b/>
          <w:sz w:val="20"/>
          <w:szCs w:val="20"/>
          <w:u w:val="single"/>
        </w:rPr>
      </w:pPr>
      <w:r w:rsidRPr="004377AC">
        <w:rPr>
          <w:rFonts w:ascii="Arial" w:hAnsi="Arial" w:cs="Arial"/>
          <w:b/>
          <w:sz w:val="20"/>
          <w:szCs w:val="20"/>
          <w:u w:val="single"/>
        </w:rPr>
        <w:t>Izvajane aktivnosti v poročevalskem obdobju, ki so povezane s področjem migracij</w:t>
      </w:r>
    </w:p>
    <w:p w14:paraId="24591079" w14:textId="77777777" w:rsidR="00EA5705" w:rsidRPr="004377AC" w:rsidRDefault="00EA5705" w:rsidP="004377AC">
      <w:pPr>
        <w:jc w:val="both"/>
        <w:rPr>
          <w:rFonts w:cs="Arial"/>
          <w:b/>
          <w:szCs w:val="20"/>
        </w:rPr>
      </w:pPr>
    </w:p>
    <w:p w14:paraId="07D9AB6E" w14:textId="064C6CB4" w:rsidR="00EA5705" w:rsidRPr="004377AC" w:rsidRDefault="004377AC" w:rsidP="004377AC">
      <w:pPr>
        <w:ind w:left="709" w:hanging="709"/>
        <w:jc w:val="both"/>
        <w:rPr>
          <w:rFonts w:cs="Arial"/>
          <w:b/>
          <w:szCs w:val="20"/>
        </w:rPr>
      </w:pPr>
      <w:r>
        <w:rPr>
          <w:rFonts w:cs="Arial"/>
          <w:b/>
          <w:szCs w:val="20"/>
        </w:rPr>
        <w:t>–</w:t>
      </w:r>
      <w:r>
        <w:rPr>
          <w:rFonts w:cs="Arial"/>
          <w:b/>
          <w:szCs w:val="20"/>
        </w:rPr>
        <w:tab/>
      </w:r>
      <w:r w:rsidR="00EA5705" w:rsidRPr="004377AC">
        <w:rPr>
          <w:rFonts w:cs="Arial"/>
          <w:b/>
          <w:szCs w:val="20"/>
        </w:rPr>
        <w:t>Ministrstvo za notranje zadeve</w:t>
      </w:r>
    </w:p>
    <w:p w14:paraId="3CF2DB74" w14:textId="77777777" w:rsidR="004377AC" w:rsidRDefault="004377AC" w:rsidP="004377AC">
      <w:pPr>
        <w:jc w:val="both"/>
        <w:rPr>
          <w:rFonts w:cs="Arial"/>
          <w:szCs w:val="20"/>
        </w:rPr>
      </w:pPr>
    </w:p>
    <w:p w14:paraId="44925AA6" w14:textId="04354B4F" w:rsidR="00A21E82" w:rsidRPr="004377AC" w:rsidRDefault="00EA5705" w:rsidP="004377AC">
      <w:pPr>
        <w:jc w:val="both"/>
        <w:rPr>
          <w:rFonts w:cs="Arial"/>
          <w:szCs w:val="20"/>
        </w:rPr>
      </w:pPr>
      <w:r w:rsidRPr="004377AC">
        <w:rPr>
          <w:rFonts w:cs="Arial"/>
          <w:szCs w:val="20"/>
        </w:rPr>
        <w:t xml:space="preserve">V poročevalskem obdobju je Ministrstvo za notranje zadeve sklicalo </w:t>
      </w:r>
      <w:r w:rsidR="00EB7687" w:rsidRPr="004377AC">
        <w:rPr>
          <w:rFonts w:cs="Arial"/>
          <w:szCs w:val="20"/>
        </w:rPr>
        <w:t>dva sestanka</w:t>
      </w:r>
      <w:r w:rsidR="003E7235" w:rsidRPr="004377AC">
        <w:rPr>
          <w:rFonts w:cs="Arial"/>
          <w:szCs w:val="20"/>
        </w:rPr>
        <w:t xml:space="preserve"> podskupin za spremljanje stanja na področju nezakonitih migracij</w:t>
      </w:r>
      <w:r w:rsidR="00F40FF9" w:rsidRPr="004377AC">
        <w:rPr>
          <w:rFonts w:cs="Arial"/>
          <w:szCs w:val="20"/>
        </w:rPr>
        <w:t>, pri čemer je bil eden izmed sestankov kasneje odpovedan.</w:t>
      </w:r>
    </w:p>
    <w:p w14:paraId="73D43C81" w14:textId="3022203E" w:rsidR="00C04D7F" w:rsidRPr="004377AC" w:rsidRDefault="00C04D7F" w:rsidP="004377AC">
      <w:pPr>
        <w:jc w:val="both"/>
        <w:rPr>
          <w:rFonts w:cs="Arial"/>
          <w:szCs w:val="20"/>
        </w:rPr>
      </w:pPr>
    </w:p>
    <w:p w14:paraId="49803879" w14:textId="77777777" w:rsidR="00DC3221" w:rsidRPr="004377AC" w:rsidRDefault="00C04D7F" w:rsidP="004377AC">
      <w:pPr>
        <w:jc w:val="both"/>
        <w:rPr>
          <w:rFonts w:cs="Arial"/>
          <w:szCs w:val="20"/>
        </w:rPr>
      </w:pPr>
      <w:r w:rsidRPr="004377AC">
        <w:rPr>
          <w:rFonts w:cs="Arial"/>
          <w:szCs w:val="20"/>
        </w:rPr>
        <w:t xml:space="preserve">Nadalje je Ministrstvo za notranje zadeve v sklopu izvajanja Kontingentnega načrta Republike Slovenije za zagotovitev nastanitve in oskrbe v primeru povečanja števila prosilcev za mednarodno zaščito ter izvajanja postopkov mednarodne zaščite (v nadaljevanju: Kontingentni načrt), zaključilo prvo fazo Kontingentnega načrta, druga faza pa je </w:t>
      </w:r>
      <w:r w:rsidR="00DC3221" w:rsidRPr="004377AC">
        <w:rPr>
          <w:rFonts w:cs="Arial"/>
          <w:szCs w:val="20"/>
        </w:rPr>
        <w:t xml:space="preserve">bila v poročevalskem obdobju </w:t>
      </w:r>
      <w:r w:rsidRPr="004377AC">
        <w:rPr>
          <w:rFonts w:cs="Arial"/>
          <w:szCs w:val="20"/>
        </w:rPr>
        <w:t xml:space="preserve">delno zaključena. </w:t>
      </w:r>
    </w:p>
    <w:p w14:paraId="35D2295C" w14:textId="77777777" w:rsidR="00DC3221" w:rsidRPr="004377AC" w:rsidRDefault="00DC3221" w:rsidP="004377AC">
      <w:pPr>
        <w:jc w:val="both"/>
        <w:rPr>
          <w:rFonts w:cs="Arial"/>
          <w:szCs w:val="20"/>
        </w:rPr>
      </w:pPr>
    </w:p>
    <w:p w14:paraId="283BBC46" w14:textId="7054DC00" w:rsidR="00C04D7F" w:rsidRPr="004377AC" w:rsidRDefault="00C04D7F" w:rsidP="004377AC">
      <w:pPr>
        <w:jc w:val="both"/>
        <w:rPr>
          <w:rFonts w:cs="Arial"/>
          <w:szCs w:val="20"/>
        </w:rPr>
      </w:pPr>
      <w:r w:rsidRPr="004377AC">
        <w:rPr>
          <w:rFonts w:cs="Arial"/>
          <w:szCs w:val="20"/>
        </w:rPr>
        <w:t>V sklopu prve faze</w:t>
      </w:r>
      <w:r w:rsidR="00F40FF9" w:rsidRPr="004377AC">
        <w:rPr>
          <w:rFonts w:cs="Arial"/>
          <w:szCs w:val="20"/>
        </w:rPr>
        <w:t xml:space="preserve"> Kontingentnega načrta</w:t>
      </w:r>
      <w:r w:rsidRPr="004377AC">
        <w:rPr>
          <w:rFonts w:cs="Arial"/>
          <w:szCs w:val="20"/>
        </w:rPr>
        <w:t>, ki je predvidel</w:t>
      </w:r>
      <w:r w:rsidR="00DC3221" w:rsidRPr="004377AC">
        <w:rPr>
          <w:rFonts w:cs="Arial"/>
          <w:szCs w:val="20"/>
        </w:rPr>
        <w:t xml:space="preserve">a zagotovitev dodatnih kadrov, je bilo zaposlenih 7 javnih uslužbencev (2 administratorja in 5 svetovalcev), v sklopu druge faze pa 8 javnih uslužbencev (2 administratorja, 5 svetovalcev, 1 koordinator). Za nemoteno izvajanje dela Urada za migracije, so bili dodatno najeti prostori, in sicer na Cesti dveh cesarjev 403, Ljubljana. </w:t>
      </w:r>
    </w:p>
    <w:p w14:paraId="46EBCF6A" w14:textId="5F80E4DB" w:rsidR="00DC3221" w:rsidRPr="004377AC" w:rsidRDefault="00DC3221" w:rsidP="004377AC">
      <w:pPr>
        <w:jc w:val="both"/>
        <w:rPr>
          <w:rFonts w:cs="Arial"/>
          <w:szCs w:val="20"/>
        </w:rPr>
      </w:pPr>
    </w:p>
    <w:p w14:paraId="1DE510ED" w14:textId="039A92F5" w:rsidR="00DB28B1" w:rsidRPr="004377AC" w:rsidRDefault="00DB28B1" w:rsidP="004377AC">
      <w:pPr>
        <w:jc w:val="both"/>
        <w:rPr>
          <w:rFonts w:cs="Arial"/>
          <w:szCs w:val="20"/>
        </w:rPr>
      </w:pPr>
      <w:r w:rsidRPr="004377AC">
        <w:rPr>
          <w:rFonts w:cs="Arial"/>
          <w:szCs w:val="20"/>
        </w:rPr>
        <w:t>Zaradi povečanja problem</w:t>
      </w:r>
      <w:r w:rsidR="005B6D7F" w:rsidRPr="004377AC">
        <w:rPr>
          <w:rFonts w:cs="Arial"/>
          <w:szCs w:val="20"/>
        </w:rPr>
        <w:t>atike nedovoljenih migracij je P</w:t>
      </w:r>
      <w:r w:rsidRPr="004377AC">
        <w:rPr>
          <w:rFonts w:cs="Arial"/>
          <w:szCs w:val="20"/>
        </w:rPr>
        <w:t xml:space="preserve">olicija na treh Policijskih upravah (Koper, Maribor in Murska Sobota) ustanovila delovne skupine, ki se ukvarjajo izključno z obravnavo kaznivih dejanj Prepovedanega prehajanja meje ali ozemlja države po 308. členu Kazenskega zakonika (Uradni list RS, št. 50/12 – uradno prečiščeno besedilo, 6/16 – popr., 54/15, 38/16 in 27/17). </w:t>
      </w:r>
    </w:p>
    <w:p w14:paraId="77C723BE" w14:textId="77777777" w:rsidR="00DB28B1" w:rsidRPr="004377AC" w:rsidRDefault="00DB28B1" w:rsidP="004377AC">
      <w:pPr>
        <w:jc w:val="both"/>
        <w:rPr>
          <w:rFonts w:cs="Arial"/>
          <w:szCs w:val="20"/>
        </w:rPr>
      </w:pPr>
    </w:p>
    <w:p w14:paraId="2DB33373" w14:textId="1C8F7B45" w:rsidR="00DB28B1" w:rsidRPr="004377AC" w:rsidRDefault="00DB28B1" w:rsidP="004377AC">
      <w:pPr>
        <w:jc w:val="both"/>
        <w:rPr>
          <w:rFonts w:cs="Arial"/>
          <w:szCs w:val="20"/>
        </w:rPr>
      </w:pPr>
      <w:r w:rsidRPr="004377AC">
        <w:rPr>
          <w:rFonts w:cs="Arial"/>
          <w:szCs w:val="20"/>
        </w:rPr>
        <w:t>Kriminalistična policija je v poročevalskem obdobju zaključila štiri preiskave organiziranih kriminalnih združb s podro</w:t>
      </w:r>
      <w:r w:rsidR="00D00CED" w:rsidRPr="004377AC">
        <w:rPr>
          <w:rFonts w:cs="Arial"/>
          <w:szCs w:val="20"/>
        </w:rPr>
        <w:t>čja nedovoljenih migracij. Na Policijski upravi Celje</w:t>
      </w:r>
      <w:r w:rsidRPr="004377AC">
        <w:rPr>
          <w:rFonts w:cs="Arial"/>
          <w:szCs w:val="20"/>
        </w:rPr>
        <w:t xml:space="preserve"> je bila podana kazenska ovadba zoper 10 oseb za 16 kaznivih dejanj na pr</w:t>
      </w:r>
      <w:r w:rsidR="00D00CED" w:rsidRPr="004377AC">
        <w:rPr>
          <w:rFonts w:cs="Arial"/>
          <w:szCs w:val="20"/>
        </w:rPr>
        <w:t>istojno državno tožilstvo, na Policijski upravi</w:t>
      </w:r>
      <w:r w:rsidRPr="004377AC">
        <w:rPr>
          <w:rFonts w:cs="Arial"/>
          <w:szCs w:val="20"/>
        </w:rPr>
        <w:t xml:space="preserve"> N</w:t>
      </w:r>
      <w:r w:rsidR="00D00CED" w:rsidRPr="004377AC">
        <w:rPr>
          <w:rFonts w:cs="Arial"/>
          <w:szCs w:val="20"/>
        </w:rPr>
        <w:t>ovo mesto</w:t>
      </w:r>
      <w:r w:rsidRPr="004377AC">
        <w:rPr>
          <w:rFonts w:cs="Arial"/>
          <w:szCs w:val="20"/>
        </w:rPr>
        <w:t xml:space="preserve"> je bila podana kazenska ovadba na zoper 11 oseb za 30 kaznivih dejanj na pristojno državno toži</w:t>
      </w:r>
      <w:r w:rsidR="00D00CED" w:rsidRPr="004377AC">
        <w:rPr>
          <w:rFonts w:cs="Arial"/>
          <w:szCs w:val="20"/>
        </w:rPr>
        <w:t>lstvo, na Policijski upravi</w:t>
      </w:r>
      <w:r w:rsidRPr="004377AC">
        <w:rPr>
          <w:rFonts w:cs="Arial"/>
          <w:szCs w:val="20"/>
        </w:rPr>
        <w:t xml:space="preserve"> K</w:t>
      </w:r>
      <w:r w:rsidR="00D00CED" w:rsidRPr="004377AC">
        <w:rPr>
          <w:rFonts w:cs="Arial"/>
          <w:szCs w:val="20"/>
        </w:rPr>
        <w:t>oper</w:t>
      </w:r>
      <w:r w:rsidRPr="004377AC">
        <w:rPr>
          <w:rFonts w:cs="Arial"/>
          <w:szCs w:val="20"/>
        </w:rPr>
        <w:t xml:space="preserve"> je bila podana kazenska ovadba zoper 11 oseb za 24 kaznivih dejanj na pris</w:t>
      </w:r>
      <w:r w:rsidR="00D00CED" w:rsidRPr="004377AC">
        <w:rPr>
          <w:rFonts w:cs="Arial"/>
          <w:szCs w:val="20"/>
        </w:rPr>
        <w:t>tojno državno tožilstvo, na Policijski upravi</w:t>
      </w:r>
      <w:r w:rsidRPr="004377AC">
        <w:rPr>
          <w:rFonts w:cs="Arial"/>
          <w:szCs w:val="20"/>
        </w:rPr>
        <w:t xml:space="preserve"> M</w:t>
      </w:r>
      <w:r w:rsidR="00D00CED" w:rsidRPr="004377AC">
        <w:rPr>
          <w:rFonts w:cs="Arial"/>
          <w:szCs w:val="20"/>
        </w:rPr>
        <w:t>aribor</w:t>
      </w:r>
      <w:r w:rsidRPr="004377AC">
        <w:rPr>
          <w:rFonts w:cs="Arial"/>
          <w:szCs w:val="20"/>
        </w:rPr>
        <w:t xml:space="preserve"> </w:t>
      </w:r>
      <w:r w:rsidR="00D00CED" w:rsidRPr="004377AC">
        <w:rPr>
          <w:rFonts w:cs="Arial"/>
          <w:szCs w:val="20"/>
        </w:rPr>
        <w:t xml:space="preserve">pa </w:t>
      </w:r>
      <w:r w:rsidRPr="004377AC">
        <w:rPr>
          <w:rFonts w:cs="Arial"/>
          <w:szCs w:val="20"/>
        </w:rPr>
        <w:t xml:space="preserve">je bila podana kazenska ovadba zoper </w:t>
      </w:r>
      <w:r w:rsidR="0017639A">
        <w:rPr>
          <w:rFonts w:cs="Arial"/>
          <w:szCs w:val="20"/>
        </w:rPr>
        <w:br/>
      </w:r>
      <w:r w:rsidRPr="004377AC">
        <w:rPr>
          <w:rFonts w:cs="Arial"/>
          <w:szCs w:val="20"/>
        </w:rPr>
        <w:t xml:space="preserve">12 oseb za 22 kaznivih dejanj na pristojno državno tožilstvo. </w:t>
      </w:r>
    </w:p>
    <w:p w14:paraId="4EC98D55" w14:textId="77777777" w:rsidR="00DB28B1" w:rsidRPr="004377AC" w:rsidRDefault="00DB28B1" w:rsidP="004377AC">
      <w:pPr>
        <w:jc w:val="both"/>
        <w:rPr>
          <w:rFonts w:cs="Arial"/>
          <w:szCs w:val="20"/>
        </w:rPr>
      </w:pPr>
    </w:p>
    <w:p w14:paraId="253FC574" w14:textId="5BF24E9D" w:rsidR="00DB28B1" w:rsidRPr="004377AC" w:rsidRDefault="00DB28B1" w:rsidP="004377AC">
      <w:pPr>
        <w:jc w:val="both"/>
        <w:rPr>
          <w:rFonts w:cs="Arial"/>
          <w:szCs w:val="20"/>
        </w:rPr>
      </w:pPr>
      <w:r w:rsidRPr="004377AC">
        <w:rPr>
          <w:rFonts w:cs="Arial"/>
          <w:szCs w:val="20"/>
        </w:rPr>
        <w:t>Policija je nadaljevala in sproti prilagajala aktivnosti namenjene omejevanju nedovoljenih prestopov meje z Republiko Hrvaško. S pomočjo nadgradnje video nadzora meje in postavitve t.</w:t>
      </w:r>
      <w:r w:rsidR="00D00CED" w:rsidRPr="004377AC">
        <w:rPr>
          <w:rFonts w:cs="Arial"/>
          <w:szCs w:val="20"/>
        </w:rPr>
        <w:t xml:space="preserve"> </w:t>
      </w:r>
      <w:r w:rsidRPr="004377AC">
        <w:rPr>
          <w:rFonts w:cs="Arial"/>
          <w:szCs w:val="20"/>
        </w:rPr>
        <w:t xml:space="preserve">i. lovskih kamer je izboljšala zmogljivosti zaznavanja nedovoljenih prehodov. Z dobavo novih terenskih vozil so policijske enote izboljšale svojo mobilnost pri nadzoru meje. </w:t>
      </w:r>
    </w:p>
    <w:p w14:paraId="1A86C93C" w14:textId="77777777" w:rsidR="00DB28B1" w:rsidRPr="004377AC" w:rsidRDefault="00DB28B1" w:rsidP="004377AC">
      <w:pPr>
        <w:jc w:val="both"/>
        <w:rPr>
          <w:rFonts w:cs="Arial"/>
          <w:szCs w:val="20"/>
        </w:rPr>
      </w:pPr>
    </w:p>
    <w:p w14:paraId="41738709" w14:textId="4FA76D86" w:rsidR="00DB28B1" w:rsidRPr="004377AC" w:rsidRDefault="00DB28B1" w:rsidP="004377AC">
      <w:pPr>
        <w:jc w:val="both"/>
        <w:rPr>
          <w:rFonts w:cs="Arial"/>
          <w:szCs w:val="20"/>
          <w:highlight w:val="yellow"/>
        </w:rPr>
      </w:pPr>
      <w:r w:rsidRPr="004377AC">
        <w:rPr>
          <w:rFonts w:cs="Arial"/>
          <w:szCs w:val="20"/>
        </w:rPr>
        <w:t>Policija je sodelovala pri oblikovanju spreme</w:t>
      </w:r>
      <w:r w:rsidR="0066686A" w:rsidRPr="004377AC">
        <w:rPr>
          <w:rFonts w:cs="Arial"/>
          <w:szCs w:val="20"/>
        </w:rPr>
        <w:t>mb in dopolnitev</w:t>
      </w:r>
      <w:r w:rsidR="005B6D7F" w:rsidRPr="004377AC">
        <w:rPr>
          <w:rFonts w:cs="Arial"/>
          <w:szCs w:val="20"/>
        </w:rPr>
        <w:t xml:space="preserve"> Zakona o tujcih, poleg tega pa je </w:t>
      </w:r>
      <w:r w:rsidRPr="004377AC">
        <w:rPr>
          <w:rFonts w:cs="Arial"/>
          <w:szCs w:val="20"/>
        </w:rPr>
        <w:t>Evropski komisiji posredovala osnutek nacionalne strategije upravljanja meja (IBM), ki bo deležna tematske evalvacije v naslednjih dveh mesecih. Po pregledu Evropske komisije bo Policija strategijo posredovala v presojo in dopolnitev vsem ostalim deležnikom.</w:t>
      </w:r>
    </w:p>
    <w:p w14:paraId="029BFB89" w14:textId="5E52E8D4" w:rsidR="00C86B02" w:rsidRDefault="00C86B02" w:rsidP="004377AC">
      <w:pPr>
        <w:pStyle w:val="Odstavekseznama"/>
        <w:spacing w:after="0" w:line="260" w:lineRule="exact"/>
        <w:jc w:val="both"/>
        <w:rPr>
          <w:rFonts w:ascii="Arial" w:hAnsi="Arial" w:cs="Arial"/>
          <w:b/>
          <w:sz w:val="20"/>
          <w:szCs w:val="20"/>
        </w:rPr>
      </w:pPr>
    </w:p>
    <w:p w14:paraId="0C24B19A" w14:textId="77777777" w:rsidR="004377AC" w:rsidRDefault="004377AC" w:rsidP="004377AC">
      <w:pPr>
        <w:pStyle w:val="Odstavekseznama"/>
        <w:spacing w:after="0" w:line="260" w:lineRule="exact"/>
        <w:jc w:val="both"/>
        <w:rPr>
          <w:rFonts w:ascii="Arial" w:hAnsi="Arial" w:cs="Arial"/>
          <w:b/>
          <w:sz w:val="20"/>
          <w:szCs w:val="20"/>
        </w:rPr>
      </w:pPr>
    </w:p>
    <w:p w14:paraId="76BE22E1" w14:textId="77777777" w:rsidR="004377AC" w:rsidRDefault="004377AC" w:rsidP="004377AC">
      <w:pPr>
        <w:pStyle w:val="Odstavekseznama"/>
        <w:spacing w:after="0" w:line="260" w:lineRule="exact"/>
        <w:jc w:val="both"/>
        <w:rPr>
          <w:rFonts w:ascii="Arial" w:hAnsi="Arial" w:cs="Arial"/>
          <w:b/>
          <w:sz w:val="20"/>
          <w:szCs w:val="20"/>
        </w:rPr>
      </w:pPr>
    </w:p>
    <w:p w14:paraId="774D0BF1" w14:textId="77777777" w:rsidR="004377AC" w:rsidRPr="004377AC" w:rsidRDefault="004377AC" w:rsidP="004377AC">
      <w:pPr>
        <w:pStyle w:val="Odstavekseznama"/>
        <w:spacing w:after="0" w:line="260" w:lineRule="exact"/>
        <w:jc w:val="both"/>
        <w:rPr>
          <w:rFonts w:ascii="Arial" w:hAnsi="Arial" w:cs="Arial"/>
          <w:b/>
          <w:sz w:val="20"/>
          <w:szCs w:val="20"/>
        </w:rPr>
      </w:pPr>
    </w:p>
    <w:p w14:paraId="78C797C0" w14:textId="54103095" w:rsidR="00C86B02" w:rsidRPr="004377AC" w:rsidRDefault="004377AC" w:rsidP="004377AC">
      <w:pPr>
        <w:ind w:left="709" w:hanging="709"/>
        <w:jc w:val="both"/>
        <w:rPr>
          <w:rFonts w:cs="Arial"/>
          <w:b/>
          <w:szCs w:val="20"/>
        </w:rPr>
      </w:pPr>
      <w:r>
        <w:rPr>
          <w:rFonts w:cs="Arial"/>
          <w:b/>
          <w:szCs w:val="20"/>
        </w:rPr>
        <w:t>–</w:t>
      </w:r>
      <w:r>
        <w:rPr>
          <w:rFonts w:cs="Arial"/>
          <w:b/>
          <w:szCs w:val="20"/>
        </w:rPr>
        <w:tab/>
      </w:r>
      <w:r w:rsidR="00C86B02" w:rsidRPr="004377AC">
        <w:rPr>
          <w:rFonts w:cs="Arial"/>
          <w:b/>
          <w:szCs w:val="20"/>
        </w:rPr>
        <w:t>Ministrstvo za javno upravo</w:t>
      </w:r>
    </w:p>
    <w:p w14:paraId="61D026A4" w14:textId="77777777" w:rsidR="004377AC" w:rsidRDefault="004377AC" w:rsidP="004377AC">
      <w:pPr>
        <w:jc w:val="both"/>
        <w:rPr>
          <w:rFonts w:cs="Arial"/>
          <w:szCs w:val="20"/>
        </w:rPr>
      </w:pPr>
    </w:p>
    <w:p w14:paraId="68719248" w14:textId="6D313911" w:rsidR="00F60FFE" w:rsidRDefault="0056488E" w:rsidP="004377AC">
      <w:pPr>
        <w:jc w:val="both"/>
        <w:rPr>
          <w:rFonts w:cs="Arial"/>
          <w:szCs w:val="20"/>
        </w:rPr>
      </w:pPr>
      <w:r w:rsidRPr="004377AC">
        <w:rPr>
          <w:rFonts w:cs="Arial"/>
          <w:szCs w:val="20"/>
        </w:rPr>
        <w:t>V poročevalskem obdob</w:t>
      </w:r>
      <w:r w:rsidRPr="00D21072">
        <w:rPr>
          <w:rFonts w:cs="Arial"/>
          <w:szCs w:val="20"/>
        </w:rPr>
        <w:t xml:space="preserve">ju </w:t>
      </w:r>
      <w:r w:rsidR="003B0760" w:rsidRPr="00D21072">
        <w:rPr>
          <w:rFonts w:cs="Arial"/>
          <w:szCs w:val="20"/>
        </w:rPr>
        <w:t>je</w:t>
      </w:r>
      <w:r w:rsidRPr="00D21072">
        <w:rPr>
          <w:rFonts w:cs="Arial"/>
          <w:szCs w:val="20"/>
        </w:rPr>
        <w:t xml:space="preserve"> </w:t>
      </w:r>
      <w:r w:rsidR="006F6824" w:rsidRPr="00D21072">
        <w:rPr>
          <w:rFonts w:cs="Arial"/>
          <w:szCs w:val="20"/>
        </w:rPr>
        <w:t>M</w:t>
      </w:r>
      <w:r w:rsidRPr="00D21072">
        <w:rPr>
          <w:rFonts w:cs="Arial"/>
          <w:szCs w:val="20"/>
        </w:rPr>
        <w:t xml:space="preserve">inistrstvo za javno upravo </w:t>
      </w:r>
      <w:r w:rsidR="00D21072" w:rsidRPr="00D21072">
        <w:rPr>
          <w:rFonts w:cs="Arial"/>
          <w:szCs w:val="20"/>
        </w:rPr>
        <w:t>sklenilo</w:t>
      </w:r>
      <w:r w:rsidR="00F60FFE" w:rsidRPr="00D21072">
        <w:rPr>
          <w:rFonts w:cs="Arial"/>
          <w:szCs w:val="20"/>
        </w:rPr>
        <w:t xml:space="preserve"> dve</w:t>
      </w:r>
      <w:r w:rsidR="00D21072" w:rsidRPr="00D21072">
        <w:rPr>
          <w:rFonts w:cs="Arial"/>
          <w:szCs w:val="20"/>
        </w:rPr>
        <w:t xml:space="preserve"> pogodbi za realizacijo postavitve ZTO, </w:t>
      </w:r>
      <w:r w:rsidR="006F6824" w:rsidRPr="00D21072">
        <w:rPr>
          <w:rFonts w:cs="Arial"/>
          <w:szCs w:val="20"/>
        </w:rPr>
        <w:t>in sicer</w:t>
      </w:r>
      <w:r w:rsidRPr="00D21072">
        <w:rPr>
          <w:rFonts w:cs="Arial"/>
          <w:szCs w:val="20"/>
        </w:rPr>
        <w:t>:</w:t>
      </w:r>
    </w:p>
    <w:p w14:paraId="096758CB" w14:textId="77777777" w:rsidR="004377AC" w:rsidRPr="00D21072" w:rsidRDefault="004377AC" w:rsidP="004377AC">
      <w:pPr>
        <w:jc w:val="both"/>
        <w:rPr>
          <w:rFonts w:cs="Arial"/>
          <w:szCs w:val="20"/>
        </w:rPr>
      </w:pPr>
    </w:p>
    <w:tbl>
      <w:tblPr>
        <w:tblW w:w="8781" w:type="dxa"/>
        <w:tblCellMar>
          <w:left w:w="0" w:type="dxa"/>
          <w:right w:w="0" w:type="dxa"/>
        </w:tblCellMar>
        <w:tblLook w:val="04A0" w:firstRow="1" w:lastRow="0" w:firstColumn="1" w:lastColumn="0" w:noHBand="0" w:noVBand="1"/>
      </w:tblPr>
      <w:tblGrid>
        <w:gridCol w:w="2075"/>
        <w:gridCol w:w="1335"/>
        <w:gridCol w:w="1685"/>
        <w:gridCol w:w="1418"/>
        <w:gridCol w:w="2268"/>
      </w:tblGrid>
      <w:tr w:rsidR="00D21072" w14:paraId="43D0D0FD" w14:textId="77777777" w:rsidTr="00B35825">
        <w:trPr>
          <w:trHeight w:val="300"/>
        </w:trPr>
        <w:tc>
          <w:tcPr>
            <w:tcW w:w="2075" w:type="dxa"/>
            <w:tcBorders>
              <w:top w:val="single" w:sz="8" w:space="0" w:color="auto"/>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1597BE5F" w14:textId="77777777" w:rsidR="00D21072" w:rsidRDefault="00D21072" w:rsidP="00B35825">
            <w:pPr>
              <w:rPr>
                <w:rFonts w:cs="Arial"/>
                <w:b/>
                <w:bCs/>
                <w:color w:val="000000"/>
                <w:sz w:val="22"/>
                <w:szCs w:val="22"/>
                <w:lang w:eastAsia="sl-SI"/>
              </w:rPr>
            </w:pPr>
            <w:r w:rsidRPr="006B3011">
              <w:rPr>
                <w:rFonts w:cs="Arial"/>
                <w:b/>
                <w:bCs/>
                <w:color w:val="000000"/>
              </w:rPr>
              <w:t> </w:t>
            </w:r>
            <w:r>
              <w:rPr>
                <w:rFonts w:cs="Arial"/>
                <w:b/>
                <w:bCs/>
                <w:color w:val="000000"/>
              </w:rPr>
              <w:t>Pogodba</w:t>
            </w:r>
          </w:p>
        </w:tc>
        <w:tc>
          <w:tcPr>
            <w:tcW w:w="1335" w:type="dxa"/>
            <w:tcBorders>
              <w:top w:val="single" w:sz="8" w:space="0" w:color="auto"/>
              <w:left w:val="single" w:sz="8" w:space="0" w:color="auto"/>
              <w:bottom w:val="single" w:sz="8" w:space="0" w:color="auto"/>
              <w:right w:val="single" w:sz="8" w:space="0" w:color="auto"/>
            </w:tcBorders>
            <w:shd w:val="clear" w:color="auto" w:fill="9BBB59"/>
            <w:noWrap/>
            <w:tcMar>
              <w:top w:w="0" w:type="dxa"/>
              <w:left w:w="70" w:type="dxa"/>
              <w:bottom w:w="0" w:type="dxa"/>
              <w:right w:w="70" w:type="dxa"/>
            </w:tcMar>
            <w:vAlign w:val="center"/>
            <w:hideMark/>
          </w:tcPr>
          <w:p w14:paraId="796EF04A" w14:textId="77777777" w:rsidR="00D21072" w:rsidRDefault="00D21072" w:rsidP="00B35825">
            <w:pPr>
              <w:rPr>
                <w:rFonts w:cs="Arial"/>
                <w:b/>
                <w:bCs/>
                <w:color w:val="000000"/>
              </w:rPr>
            </w:pPr>
            <w:r>
              <w:rPr>
                <w:rFonts w:cs="Arial"/>
                <w:b/>
                <w:bCs/>
                <w:color w:val="000000"/>
              </w:rPr>
              <w:t>Pogodbena dolžina</w:t>
            </w:r>
          </w:p>
        </w:tc>
        <w:tc>
          <w:tcPr>
            <w:tcW w:w="1685" w:type="dxa"/>
            <w:tcBorders>
              <w:top w:val="single" w:sz="8" w:space="0" w:color="auto"/>
              <w:left w:val="nil"/>
              <w:bottom w:val="single" w:sz="8" w:space="0" w:color="auto"/>
              <w:right w:val="single" w:sz="8" w:space="0" w:color="auto"/>
            </w:tcBorders>
            <w:shd w:val="clear" w:color="auto" w:fill="9BBB59"/>
            <w:noWrap/>
            <w:tcMar>
              <w:top w:w="0" w:type="dxa"/>
              <w:left w:w="70" w:type="dxa"/>
              <w:bottom w:w="0" w:type="dxa"/>
              <w:right w:w="70" w:type="dxa"/>
            </w:tcMar>
            <w:vAlign w:val="center"/>
            <w:hideMark/>
          </w:tcPr>
          <w:p w14:paraId="30054669" w14:textId="77777777" w:rsidR="00D21072" w:rsidRDefault="00D21072" w:rsidP="00B35825">
            <w:pPr>
              <w:rPr>
                <w:rFonts w:cs="Arial"/>
                <w:b/>
                <w:bCs/>
                <w:color w:val="000000"/>
              </w:rPr>
            </w:pPr>
            <w:r>
              <w:rPr>
                <w:rFonts w:cs="Arial"/>
                <w:b/>
                <w:bCs/>
                <w:color w:val="000000"/>
              </w:rPr>
              <w:t>Realizirano do 15.11.2019</w:t>
            </w:r>
          </w:p>
        </w:tc>
        <w:tc>
          <w:tcPr>
            <w:tcW w:w="1418" w:type="dxa"/>
            <w:tcBorders>
              <w:top w:val="single" w:sz="8" w:space="0" w:color="auto"/>
              <w:left w:val="nil"/>
              <w:bottom w:val="single" w:sz="8" w:space="0" w:color="auto"/>
              <w:right w:val="single" w:sz="8" w:space="0" w:color="auto"/>
            </w:tcBorders>
            <w:shd w:val="clear" w:color="auto" w:fill="9BBB59"/>
            <w:noWrap/>
            <w:tcMar>
              <w:top w:w="0" w:type="dxa"/>
              <w:left w:w="70" w:type="dxa"/>
              <w:bottom w:w="0" w:type="dxa"/>
              <w:right w:w="70" w:type="dxa"/>
            </w:tcMar>
            <w:vAlign w:val="center"/>
            <w:hideMark/>
          </w:tcPr>
          <w:p w14:paraId="556B09FA" w14:textId="77777777" w:rsidR="00D21072" w:rsidRDefault="00D21072" w:rsidP="00B35825">
            <w:pPr>
              <w:rPr>
                <w:rFonts w:cs="Arial"/>
                <w:b/>
                <w:bCs/>
                <w:color w:val="000000"/>
              </w:rPr>
            </w:pPr>
            <w:r>
              <w:rPr>
                <w:rFonts w:cs="Arial"/>
                <w:b/>
                <w:bCs/>
                <w:color w:val="000000"/>
              </w:rPr>
              <w:t>Porabljenih sredstev</w:t>
            </w:r>
          </w:p>
        </w:tc>
        <w:tc>
          <w:tcPr>
            <w:tcW w:w="2268" w:type="dxa"/>
            <w:tcBorders>
              <w:top w:val="single" w:sz="8" w:space="0" w:color="auto"/>
              <w:left w:val="nil"/>
              <w:bottom w:val="single" w:sz="8" w:space="0" w:color="auto"/>
              <w:right w:val="single" w:sz="8" w:space="0" w:color="auto"/>
            </w:tcBorders>
            <w:shd w:val="clear" w:color="auto" w:fill="9BBB59"/>
            <w:tcMar>
              <w:top w:w="0" w:type="dxa"/>
              <w:left w:w="70" w:type="dxa"/>
              <w:bottom w:w="0" w:type="dxa"/>
              <w:right w:w="70" w:type="dxa"/>
            </w:tcMar>
            <w:vAlign w:val="center"/>
            <w:hideMark/>
          </w:tcPr>
          <w:p w14:paraId="066AA1E0" w14:textId="77777777" w:rsidR="00D21072" w:rsidRDefault="00D21072" w:rsidP="00B35825">
            <w:pPr>
              <w:rPr>
                <w:rFonts w:cs="Arial"/>
                <w:b/>
                <w:bCs/>
                <w:color w:val="000000"/>
              </w:rPr>
            </w:pPr>
            <w:r>
              <w:rPr>
                <w:rFonts w:cs="Arial"/>
                <w:b/>
                <w:bCs/>
                <w:color w:val="000000"/>
              </w:rPr>
              <w:t>Opomba</w:t>
            </w:r>
          </w:p>
        </w:tc>
      </w:tr>
      <w:tr w:rsidR="00D21072" w:rsidRPr="00DA30DB" w14:paraId="7558B5BB" w14:textId="77777777" w:rsidTr="00B35825">
        <w:trPr>
          <w:trHeight w:val="300"/>
        </w:trPr>
        <w:tc>
          <w:tcPr>
            <w:tcW w:w="207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CEE3FBE" w14:textId="77777777" w:rsidR="00D21072" w:rsidRDefault="00D21072" w:rsidP="00B35825">
            <w:pPr>
              <w:rPr>
                <w:rFonts w:cs="Arial"/>
                <w:b/>
                <w:bCs/>
                <w:color w:val="000000"/>
              </w:rPr>
            </w:pPr>
            <w:r>
              <w:rPr>
                <w:rFonts w:cs="Arial"/>
                <w:b/>
                <w:bCs/>
                <w:color w:val="000000"/>
              </w:rPr>
              <w:t>C3130-19-801410</w:t>
            </w:r>
          </w:p>
        </w:tc>
        <w:tc>
          <w:tcPr>
            <w:tcW w:w="1335" w:type="dxa"/>
            <w:tcBorders>
              <w:top w:val="nil"/>
              <w:left w:val="nil"/>
              <w:bottom w:val="single" w:sz="8" w:space="0" w:color="auto"/>
              <w:right w:val="single" w:sz="8" w:space="0" w:color="auto"/>
            </w:tcBorders>
            <w:shd w:val="clear" w:color="auto" w:fill="9BBB59"/>
            <w:noWrap/>
            <w:tcMar>
              <w:top w:w="0" w:type="dxa"/>
              <w:left w:w="70" w:type="dxa"/>
              <w:bottom w:w="0" w:type="dxa"/>
              <w:right w:w="70" w:type="dxa"/>
            </w:tcMar>
            <w:vAlign w:val="center"/>
            <w:hideMark/>
          </w:tcPr>
          <w:p w14:paraId="1B1040F4" w14:textId="77777777" w:rsidR="00D21072" w:rsidRDefault="00D21072" w:rsidP="00B35825">
            <w:pPr>
              <w:rPr>
                <w:rFonts w:ascii="Calibri" w:hAnsi="Calibri" w:cs="Calibri"/>
                <w:color w:val="000000"/>
              </w:rPr>
            </w:pPr>
            <w:r>
              <w:rPr>
                <w:color w:val="000000"/>
              </w:rPr>
              <w:t>3.800 m</w:t>
            </w:r>
          </w:p>
        </w:tc>
        <w:tc>
          <w:tcPr>
            <w:tcW w:w="1685" w:type="dxa"/>
            <w:tcBorders>
              <w:top w:val="nil"/>
              <w:left w:val="nil"/>
              <w:bottom w:val="single" w:sz="8" w:space="0" w:color="auto"/>
              <w:right w:val="single" w:sz="8" w:space="0" w:color="auto"/>
            </w:tcBorders>
            <w:shd w:val="clear" w:color="auto" w:fill="9BBB59"/>
            <w:noWrap/>
            <w:tcMar>
              <w:top w:w="0" w:type="dxa"/>
              <w:left w:w="70" w:type="dxa"/>
              <w:bottom w:w="0" w:type="dxa"/>
              <w:right w:w="70" w:type="dxa"/>
            </w:tcMar>
            <w:vAlign w:val="center"/>
            <w:hideMark/>
          </w:tcPr>
          <w:p w14:paraId="59989DD1" w14:textId="77777777" w:rsidR="00D21072" w:rsidRDefault="00D21072" w:rsidP="00B35825">
            <w:pPr>
              <w:rPr>
                <w:color w:val="000000"/>
              </w:rPr>
            </w:pPr>
            <w:r>
              <w:rPr>
                <w:color w:val="000000"/>
              </w:rPr>
              <w:t>3.800 m</w:t>
            </w:r>
          </w:p>
        </w:tc>
        <w:tc>
          <w:tcPr>
            <w:tcW w:w="1418" w:type="dxa"/>
            <w:tcBorders>
              <w:top w:val="nil"/>
              <w:left w:val="nil"/>
              <w:bottom w:val="single" w:sz="8" w:space="0" w:color="auto"/>
              <w:right w:val="single" w:sz="8" w:space="0" w:color="auto"/>
            </w:tcBorders>
            <w:shd w:val="clear" w:color="auto" w:fill="9BBB59"/>
            <w:noWrap/>
            <w:tcMar>
              <w:top w:w="0" w:type="dxa"/>
              <w:left w:w="70" w:type="dxa"/>
              <w:bottom w:w="0" w:type="dxa"/>
              <w:right w:w="70" w:type="dxa"/>
            </w:tcMar>
            <w:vAlign w:val="center"/>
            <w:hideMark/>
          </w:tcPr>
          <w:p w14:paraId="4EEB3836" w14:textId="77777777" w:rsidR="00D21072" w:rsidRDefault="00D21072" w:rsidP="00B35825">
            <w:pPr>
              <w:rPr>
                <w:color w:val="000000"/>
              </w:rPr>
            </w:pPr>
            <w:r>
              <w:rPr>
                <w:color w:val="000000"/>
              </w:rPr>
              <w:t>264.499,14 €</w:t>
            </w:r>
          </w:p>
        </w:tc>
        <w:tc>
          <w:tcPr>
            <w:tcW w:w="2268" w:type="dxa"/>
            <w:tcBorders>
              <w:top w:val="nil"/>
              <w:left w:val="nil"/>
              <w:bottom w:val="single" w:sz="8" w:space="0" w:color="auto"/>
              <w:right w:val="single" w:sz="8" w:space="0" w:color="auto"/>
            </w:tcBorders>
            <w:shd w:val="clear" w:color="auto" w:fill="9BBB59"/>
            <w:tcMar>
              <w:top w:w="0" w:type="dxa"/>
              <w:left w:w="70" w:type="dxa"/>
              <w:bottom w:w="0" w:type="dxa"/>
              <w:right w:w="70" w:type="dxa"/>
            </w:tcMar>
            <w:vAlign w:val="center"/>
            <w:hideMark/>
          </w:tcPr>
          <w:p w14:paraId="19D3495F" w14:textId="77777777" w:rsidR="00D21072" w:rsidRDefault="00D21072" w:rsidP="00B35825">
            <w:pPr>
              <w:rPr>
                <w:color w:val="000000"/>
              </w:rPr>
            </w:pPr>
            <w:r w:rsidRPr="00D21072">
              <w:rPr>
                <w:color w:val="000000"/>
              </w:rPr>
              <w:t>Dobava samo določenih elementov in postavitev</w:t>
            </w:r>
            <w:r>
              <w:rPr>
                <w:color w:val="000000"/>
              </w:rPr>
              <w:t>.</w:t>
            </w:r>
          </w:p>
          <w:p w14:paraId="2D4A8A93" w14:textId="77777777" w:rsidR="00D21072" w:rsidRDefault="00D21072" w:rsidP="00B35825">
            <w:pPr>
              <w:rPr>
                <w:color w:val="000000"/>
              </w:rPr>
            </w:pPr>
          </w:p>
          <w:p w14:paraId="30D84EED" w14:textId="323F8B4F" w:rsidR="00D21072" w:rsidRPr="00D21072" w:rsidRDefault="00D21072" w:rsidP="00B35825">
            <w:pPr>
              <w:rPr>
                <w:color w:val="000000"/>
              </w:rPr>
            </w:pPr>
            <w:r w:rsidRPr="00D21072">
              <w:rPr>
                <w:color w:val="000000"/>
              </w:rPr>
              <w:t>ZAKLJUČENO</w:t>
            </w:r>
          </w:p>
        </w:tc>
      </w:tr>
      <w:tr w:rsidR="00D21072" w:rsidRPr="00DA30DB" w14:paraId="06934D22" w14:textId="77777777" w:rsidTr="00B35825">
        <w:trPr>
          <w:trHeight w:val="300"/>
        </w:trPr>
        <w:tc>
          <w:tcPr>
            <w:tcW w:w="207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740CCC1" w14:textId="77777777" w:rsidR="00D21072" w:rsidRDefault="00D21072" w:rsidP="00B35825">
            <w:pPr>
              <w:rPr>
                <w:rFonts w:cs="Arial"/>
                <w:b/>
                <w:bCs/>
                <w:color w:val="000000"/>
              </w:rPr>
            </w:pPr>
            <w:r>
              <w:rPr>
                <w:rFonts w:cs="Arial"/>
                <w:b/>
                <w:bCs/>
                <w:color w:val="000000"/>
              </w:rPr>
              <w:t>C3130-19-801412</w:t>
            </w:r>
          </w:p>
        </w:tc>
        <w:tc>
          <w:tcPr>
            <w:tcW w:w="1335" w:type="dxa"/>
            <w:tcBorders>
              <w:top w:val="nil"/>
              <w:left w:val="nil"/>
              <w:bottom w:val="single" w:sz="8" w:space="0" w:color="auto"/>
              <w:right w:val="single" w:sz="8" w:space="0" w:color="auto"/>
            </w:tcBorders>
            <w:shd w:val="clear" w:color="auto" w:fill="9BBB59"/>
            <w:noWrap/>
            <w:tcMar>
              <w:top w:w="0" w:type="dxa"/>
              <w:left w:w="70" w:type="dxa"/>
              <w:bottom w:w="0" w:type="dxa"/>
              <w:right w:w="70" w:type="dxa"/>
            </w:tcMar>
            <w:vAlign w:val="center"/>
            <w:hideMark/>
          </w:tcPr>
          <w:p w14:paraId="3BFBF1D6" w14:textId="77777777" w:rsidR="00D21072" w:rsidRDefault="00D21072" w:rsidP="00B35825">
            <w:pPr>
              <w:rPr>
                <w:rFonts w:ascii="Calibri" w:hAnsi="Calibri" w:cs="Calibri"/>
                <w:color w:val="000000"/>
              </w:rPr>
            </w:pPr>
            <w:r>
              <w:rPr>
                <w:color w:val="000000"/>
              </w:rPr>
              <w:t>40.000 m</w:t>
            </w:r>
          </w:p>
        </w:tc>
        <w:tc>
          <w:tcPr>
            <w:tcW w:w="1685" w:type="dxa"/>
            <w:tcBorders>
              <w:top w:val="nil"/>
              <w:left w:val="nil"/>
              <w:bottom w:val="single" w:sz="8" w:space="0" w:color="auto"/>
              <w:right w:val="single" w:sz="8" w:space="0" w:color="auto"/>
            </w:tcBorders>
            <w:shd w:val="clear" w:color="auto" w:fill="9BBB59"/>
            <w:noWrap/>
            <w:tcMar>
              <w:top w:w="0" w:type="dxa"/>
              <w:left w:w="70" w:type="dxa"/>
              <w:bottom w:w="0" w:type="dxa"/>
              <w:right w:w="70" w:type="dxa"/>
            </w:tcMar>
            <w:vAlign w:val="center"/>
            <w:hideMark/>
          </w:tcPr>
          <w:p w14:paraId="4B7983E5" w14:textId="77777777" w:rsidR="00D21072" w:rsidRDefault="00D21072" w:rsidP="00B35825">
            <w:pPr>
              <w:rPr>
                <w:color w:val="000000"/>
              </w:rPr>
            </w:pPr>
            <w:r>
              <w:rPr>
                <w:color w:val="000000"/>
              </w:rPr>
              <w:t>2.415 m</w:t>
            </w:r>
          </w:p>
        </w:tc>
        <w:tc>
          <w:tcPr>
            <w:tcW w:w="1418" w:type="dxa"/>
            <w:tcBorders>
              <w:top w:val="nil"/>
              <w:left w:val="nil"/>
              <w:bottom w:val="single" w:sz="8" w:space="0" w:color="auto"/>
              <w:right w:val="single" w:sz="8" w:space="0" w:color="auto"/>
            </w:tcBorders>
            <w:shd w:val="clear" w:color="auto" w:fill="9BBB59"/>
            <w:noWrap/>
            <w:tcMar>
              <w:top w:w="0" w:type="dxa"/>
              <w:left w:w="70" w:type="dxa"/>
              <w:bottom w:w="0" w:type="dxa"/>
              <w:right w:w="70" w:type="dxa"/>
            </w:tcMar>
            <w:vAlign w:val="center"/>
            <w:hideMark/>
          </w:tcPr>
          <w:p w14:paraId="0FC5CA47" w14:textId="5CD15EE0" w:rsidR="00D21072" w:rsidRDefault="00D21072" w:rsidP="00B35825">
            <w:pPr>
              <w:rPr>
                <w:color w:val="000000"/>
              </w:rPr>
            </w:pPr>
            <w:r>
              <w:rPr>
                <w:color w:val="000000"/>
              </w:rPr>
              <w:t>250.775,59</w:t>
            </w:r>
            <w:r w:rsidR="00D9321D">
              <w:rPr>
                <w:color w:val="000000"/>
              </w:rPr>
              <w:t xml:space="preserve"> €</w:t>
            </w:r>
          </w:p>
        </w:tc>
        <w:tc>
          <w:tcPr>
            <w:tcW w:w="2268" w:type="dxa"/>
            <w:tcBorders>
              <w:top w:val="nil"/>
              <w:left w:val="nil"/>
              <w:bottom w:val="single" w:sz="8" w:space="0" w:color="auto"/>
              <w:right w:val="single" w:sz="8" w:space="0" w:color="auto"/>
            </w:tcBorders>
            <w:shd w:val="clear" w:color="auto" w:fill="9BBB59"/>
            <w:tcMar>
              <w:top w:w="0" w:type="dxa"/>
              <w:left w:w="70" w:type="dxa"/>
              <w:bottom w:w="0" w:type="dxa"/>
              <w:right w:w="70" w:type="dxa"/>
            </w:tcMar>
            <w:vAlign w:val="center"/>
            <w:hideMark/>
          </w:tcPr>
          <w:p w14:paraId="31EDB05A" w14:textId="374F361F" w:rsidR="00D21072" w:rsidRPr="00D21072" w:rsidRDefault="00D21072" w:rsidP="00B35825">
            <w:pPr>
              <w:rPr>
                <w:color w:val="000000"/>
              </w:rPr>
            </w:pPr>
            <w:r w:rsidRPr="00D21072">
              <w:rPr>
                <w:color w:val="000000"/>
              </w:rPr>
              <w:t>Dobava in postavitev ZTO v celoti.</w:t>
            </w:r>
          </w:p>
        </w:tc>
      </w:tr>
    </w:tbl>
    <w:p w14:paraId="5C02BC0F" w14:textId="77777777" w:rsidR="00D21072" w:rsidRPr="00DA30DB" w:rsidRDefault="00D21072" w:rsidP="00D21072">
      <w:pPr>
        <w:rPr>
          <w:rFonts w:ascii="Calibri" w:eastAsiaTheme="minorHAnsi" w:hAnsi="Calibri" w:cs="Calibri"/>
          <w:sz w:val="24"/>
          <w:lang w:val="it-IT"/>
        </w:rPr>
      </w:pPr>
    </w:p>
    <w:p w14:paraId="782E18B8" w14:textId="433EDC0A" w:rsidR="00C92613" w:rsidRPr="004377AC" w:rsidRDefault="004377AC" w:rsidP="004377AC">
      <w:pPr>
        <w:jc w:val="both"/>
        <w:rPr>
          <w:rFonts w:cs="Arial"/>
          <w:b/>
          <w:szCs w:val="20"/>
          <w:shd w:val="clear" w:color="auto" w:fill="FFFFFF"/>
        </w:rPr>
      </w:pPr>
      <w:r>
        <w:rPr>
          <w:rFonts w:cs="Arial"/>
          <w:b/>
          <w:szCs w:val="20"/>
          <w:shd w:val="clear" w:color="auto" w:fill="FFFFFF"/>
        </w:rPr>
        <w:t>–</w:t>
      </w:r>
      <w:r>
        <w:rPr>
          <w:rFonts w:cs="Arial"/>
          <w:b/>
          <w:szCs w:val="20"/>
          <w:shd w:val="clear" w:color="auto" w:fill="FFFFFF"/>
        </w:rPr>
        <w:tab/>
      </w:r>
      <w:r w:rsidR="00AA14B0" w:rsidRPr="004377AC">
        <w:rPr>
          <w:rFonts w:cs="Arial"/>
          <w:b/>
          <w:szCs w:val="20"/>
          <w:shd w:val="clear" w:color="auto" w:fill="FFFFFF"/>
        </w:rPr>
        <w:t>Slovenska obveščevalno-varnostna agencija (</w:t>
      </w:r>
      <w:r w:rsidR="00082D54" w:rsidRPr="004377AC">
        <w:rPr>
          <w:rFonts w:cs="Arial"/>
          <w:b/>
          <w:szCs w:val="20"/>
          <w:shd w:val="clear" w:color="auto" w:fill="FFFFFF"/>
        </w:rPr>
        <w:t xml:space="preserve">v nadaljevanju </w:t>
      </w:r>
      <w:r w:rsidR="00C92613" w:rsidRPr="004377AC">
        <w:rPr>
          <w:rFonts w:cs="Arial"/>
          <w:b/>
          <w:szCs w:val="20"/>
          <w:shd w:val="clear" w:color="auto" w:fill="FFFFFF"/>
        </w:rPr>
        <w:t>SOVA</w:t>
      </w:r>
      <w:r w:rsidR="00AA14B0" w:rsidRPr="004377AC">
        <w:rPr>
          <w:rFonts w:cs="Arial"/>
          <w:b/>
          <w:szCs w:val="20"/>
          <w:shd w:val="clear" w:color="auto" w:fill="FFFFFF"/>
        </w:rPr>
        <w:t>)</w:t>
      </w:r>
    </w:p>
    <w:p w14:paraId="5D8C4B77" w14:textId="77777777" w:rsidR="004377AC" w:rsidRDefault="004377AC" w:rsidP="004377AC">
      <w:pPr>
        <w:jc w:val="both"/>
        <w:rPr>
          <w:rFonts w:cs="Arial"/>
          <w:szCs w:val="20"/>
        </w:rPr>
      </w:pPr>
    </w:p>
    <w:p w14:paraId="068AAC62" w14:textId="60BD2493" w:rsidR="00720523" w:rsidRPr="004377AC" w:rsidRDefault="00720523" w:rsidP="004377AC">
      <w:pPr>
        <w:jc w:val="both"/>
        <w:rPr>
          <w:rFonts w:cs="Arial"/>
          <w:szCs w:val="20"/>
          <w:highlight w:val="yellow"/>
        </w:rPr>
      </w:pPr>
      <w:r w:rsidRPr="004377AC">
        <w:rPr>
          <w:rFonts w:cs="Arial"/>
          <w:szCs w:val="20"/>
        </w:rPr>
        <w:t>SOVA je v povezavi z nezakonitimi migracijami proti Evropi spremljala razmere v izvornih, tranzitnih in ciljnih državah migrantov ter na migrantskih poteh, pri čemer je posebno pozornost namenjala balkanskim in sosednjim državam. Zbirala je tudi podatke o delovanju kriminalnih skupin, ki se ukvarjajo s tihotapljenjem migrantov preko balkanske poti in Slovenije.</w:t>
      </w:r>
    </w:p>
    <w:p w14:paraId="30E89710" w14:textId="77777777" w:rsidR="00BD2994" w:rsidRPr="004377AC" w:rsidRDefault="00BD2994" w:rsidP="004377AC">
      <w:pPr>
        <w:jc w:val="both"/>
        <w:rPr>
          <w:rFonts w:cs="Arial"/>
          <w:szCs w:val="20"/>
        </w:rPr>
      </w:pPr>
    </w:p>
    <w:p w14:paraId="3337AC9E" w14:textId="4A5D8A73" w:rsidR="00B64A16" w:rsidRPr="004377AC" w:rsidRDefault="004377AC" w:rsidP="004377AC">
      <w:pPr>
        <w:jc w:val="both"/>
        <w:rPr>
          <w:rFonts w:cs="Arial"/>
          <w:b/>
          <w:szCs w:val="20"/>
        </w:rPr>
      </w:pPr>
      <w:r>
        <w:rPr>
          <w:rFonts w:cs="Arial"/>
          <w:b/>
          <w:szCs w:val="20"/>
        </w:rPr>
        <w:t>–</w:t>
      </w:r>
      <w:r>
        <w:rPr>
          <w:rFonts w:cs="Arial"/>
          <w:b/>
          <w:szCs w:val="20"/>
        </w:rPr>
        <w:tab/>
      </w:r>
      <w:r w:rsidR="00B64A16" w:rsidRPr="004377AC">
        <w:rPr>
          <w:rFonts w:cs="Arial"/>
          <w:b/>
          <w:szCs w:val="20"/>
        </w:rPr>
        <w:t>Ministrstvo za zunanje zadeve</w:t>
      </w:r>
    </w:p>
    <w:p w14:paraId="01954C60" w14:textId="77777777" w:rsidR="004377AC" w:rsidRDefault="004377AC" w:rsidP="004377AC">
      <w:pPr>
        <w:jc w:val="both"/>
        <w:rPr>
          <w:rFonts w:cs="Arial"/>
          <w:szCs w:val="20"/>
        </w:rPr>
      </w:pPr>
    </w:p>
    <w:p w14:paraId="79E5FB4B" w14:textId="777F29FF" w:rsidR="00A21E82" w:rsidRPr="004377AC" w:rsidRDefault="00700BD7" w:rsidP="004377AC">
      <w:pPr>
        <w:jc w:val="both"/>
        <w:rPr>
          <w:rFonts w:cs="Arial"/>
          <w:szCs w:val="20"/>
        </w:rPr>
      </w:pPr>
      <w:r w:rsidRPr="004377AC">
        <w:rPr>
          <w:rFonts w:cs="Arial"/>
          <w:szCs w:val="20"/>
        </w:rPr>
        <w:t>Ministrstvo za zunanje zadeve je v poročevalske</w:t>
      </w:r>
      <w:r w:rsidR="00D0541A" w:rsidRPr="004377AC">
        <w:rPr>
          <w:rFonts w:cs="Arial"/>
          <w:szCs w:val="20"/>
        </w:rPr>
        <w:t>m obdobju izvajalo</w:t>
      </w:r>
      <w:r w:rsidR="00AC4044" w:rsidRPr="004377AC">
        <w:rPr>
          <w:rFonts w:cs="Arial"/>
          <w:szCs w:val="20"/>
        </w:rPr>
        <w:t xml:space="preserve"> naslednje aktivnosti</w:t>
      </w:r>
      <w:r w:rsidRPr="004377AC">
        <w:rPr>
          <w:rFonts w:cs="Arial"/>
          <w:szCs w:val="20"/>
        </w:rPr>
        <w:t xml:space="preserve"> povezane s področjem migracij: </w:t>
      </w:r>
    </w:p>
    <w:p w14:paraId="429E88B1" w14:textId="42579551" w:rsidR="00A07C6B" w:rsidRPr="004377AC" w:rsidRDefault="004377AC" w:rsidP="004377AC">
      <w:pPr>
        <w:ind w:left="709" w:hanging="709"/>
        <w:jc w:val="both"/>
        <w:rPr>
          <w:rFonts w:cs="Arial"/>
          <w:szCs w:val="20"/>
        </w:rPr>
      </w:pPr>
      <w:r>
        <w:rPr>
          <w:rFonts w:cs="Arial"/>
          <w:szCs w:val="20"/>
        </w:rPr>
        <w:t>–</w:t>
      </w:r>
      <w:r>
        <w:rPr>
          <w:rFonts w:cs="Arial"/>
          <w:szCs w:val="20"/>
        </w:rPr>
        <w:tab/>
      </w:r>
      <w:r w:rsidR="00A07C6B" w:rsidRPr="004377AC">
        <w:rPr>
          <w:rFonts w:cs="Arial"/>
          <w:szCs w:val="20"/>
        </w:rPr>
        <w:t>sodelovanje v okviru rednih zasedanj Delovne skupine visokih predstavnikov za migracije in azil HLWG (zunanja dimenzija), kjer so obravnavane razmere na področju migracij v Afganistanu, Turčiji in Libiji ter stanje na področju dialoga o migracijah med EU in Indijo; migracijske razmere na Zahodnem Balkanu in rogu Afrike ter možnosti predvidevanja prihodnjih</w:t>
      </w:r>
      <w:r w:rsidR="008C6150" w:rsidRPr="004377AC">
        <w:rPr>
          <w:rFonts w:cs="Arial"/>
          <w:szCs w:val="20"/>
        </w:rPr>
        <w:t xml:space="preserve"> globalnih migracijskih trendov</w:t>
      </w:r>
      <w:r w:rsidR="00A07C6B" w:rsidRPr="004377AC">
        <w:rPr>
          <w:rFonts w:cs="Arial"/>
          <w:szCs w:val="20"/>
        </w:rPr>
        <w:t>; razmere na osrednje sredozemski migrantski poti ter p</w:t>
      </w:r>
      <w:r w:rsidR="008C6150" w:rsidRPr="004377AC">
        <w:rPr>
          <w:rFonts w:cs="Arial"/>
          <w:szCs w:val="20"/>
        </w:rPr>
        <w:t>regled ukrepov, ki bi izboljšali</w:t>
      </w:r>
      <w:r w:rsidR="00A07C6B" w:rsidRPr="004377AC">
        <w:rPr>
          <w:rFonts w:cs="Arial"/>
          <w:szCs w:val="20"/>
        </w:rPr>
        <w:t xml:space="preserve"> sodelovanje tretjih država na pod</w:t>
      </w:r>
      <w:r w:rsidR="008C6150" w:rsidRPr="004377AC">
        <w:rPr>
          <w:rFonts w:cs="Arial"/>
          <w:szCs w:val="20"/>
        </w:rPr>
        <w:t>ročju vračanja in reintegracije;</w:t>
      </w:r>
    </w:p>
    <w:p w14:paraId="56EED64D" w14:textId="17AB8EB8" w:rsidR="00A07C6B" w:rsidRPr="004377AC" w:rsidRDefault="004377AC" w:rsidP="004377AC">
      <w:pPr>
        <w:ind w:left="709" w:hanging="709"/>
        <w:jc w:val="both"/>
        <w:rPr>
          <w:rFonts w:cs="Arial"/>
          <w:szCs w:val="20"/>
        </w:rPr>
      </w:pPr>
      <w:r>
        <w:rPr>
          <w:rFonts w:cs="Arial"/>
          <w:szCs w:val="20"/>
        </w:rPr>
        <w:t>–</w:t>
      </w:r>
      <w:r>
        <w:rPr>
          <w:rFonts w:cs="Arial"/>
          <w:szCs w:val="20"/>
        </w:rPr>
        <w:tab/>
      </w:r>
      <w:r w:rsidR="00817062" w:rsidRPr="004377AC">
        <w:rPr>
          <w:rFonts w:cs="Arial"/>
          <w:szCs w:val="20"/>
        </w:rPr>
        <w:t>sodelovanje z Ministrstvom za notranje zadeve</w:t>
      </w:r>
      <w:r w:rsidR="00A07C6B" w:rsidRPr="004377AC">
        <w:rPr>
          <w:rFonts w:cs="Arial"/>
          <w:szCs w:val="20"/>
        </w:rPr>
        <w:t xml:space="preserve"> pri pripravi predloga Sklada za azil, migracije in integracijo (AMIF) v okviru Ad-hoc delovne skupine za finančne instrumente </w:t>
      </w:r>
      <w:r>
        <w:rPr>
          <w:rFonts w:cs="Arial"/>
          <w:szCs w:val="20"/>
        </w:rPr>
        <w:br/>
      </w:r>
      <w:r w:rsidR="00A07C6B" w:rsidRPr="004377AC">
        <w:rPr>
          <w:rFonts w:cs="Arial"/>
          <w:szCs w:val="20"/>
        </w:rPr>
        <w:t>PNZ (september 2019);</w:t>
      </w:r>
    </w:p>
    <w:p w14:paraId="23A0264F" w14:textId="526E5286" w:rsidR="00A07C6B" w:rsidRPr="004377AC" w:rsidRDefault="004377AC" w:rsidP="004377AC">
      <w:pPr>
        <w:ind w:left="709" w:hanging="709"/>
        <w:jc w:val="both"/>
        <w:rPr>
          <w:rFonts w:cs="Arial"/>
          <w:szCs w:val="20"/>
        </w:rPr>
      </w:pPr>
      <w:r>
        <w:rPr>
          <w:rFonts w:cs="Arial"/>
          <w:szCs w:val="20"/>
        </w:rPr>
        <w:t>–</w:t>
      </w:r>
      <w:r>
        <w:rPr>
          <w:rFonts w:cs="Arial"/>
          <w:szCs w:val="20"/>
        </w:rPr>
        <w:tab/>
      </w:r>
      <w:r w:rsidR="00A07C6B" w:rsidRPr="004377AC">
        <w:rPr>
          <w:rFonts w:cs="Arial"/>
          <w:szCs w:val="20"/>
        </w:rPr>
        <w:t>koordinacija priprav na udeležbo na 1. Globalnem begunskem forumu (oktober/november 2019);</w:t>
      </w:r>
    </w:p>
    <w:p w14:paraId="51EA7279" w14:textId="31856425" w:rsidR="00A07C6B" w:rsidRPr="004377AC" w:rsidRDefault="004377AC" w:rsidP="004377AC">
      <w:pPr>
        <w:ind w:left="709" w:hanging="709"/>
        <w:jc w:val="both"/>
        <w:rPr>
          <w:rFonts w:cs="Arial"/>
          <w:szCs w:val="20"/>
        </w:rPr>
      </w:pPr>
      <w:r>
        <w:rPr>
          <w:rFonts w:cs="Arial"/>
          <w:szCs w:val="20"/>
        </w:rPr>
        <w:t>–</w:t>
      </w:r>
      <w:r>
        <w:rPr>
          <w:rFonts w:cs="Arial"/>
          <w:szCs w:val="20"/>
        </w:rPr>
        <w:tab/>
      </w:r>
      <w:r w:rsidR="00A07C6B" w:rsidRPr="004377AC">
        <w:rPr>
          <w:rFonts w:cs="Arial"/>
          <w:szCs w:val="20"/>
        </w:rPr>
        <w:t xml:space="preserve">priprava stališč za udeležbo </w:t>
      </w:r>
      <w:r w:rsidR="00817062" w:rsidRPr="004377AC">
        <w:rPr>
          <w:rFonts w:cs="Arial"/>
          <w:szCs w:val="20"/>
        </w:rPr>
        <w:t>Ministrstva za notranje zadeve</w:t>
      </w:r>
      <w:r w:rsidR="00A07C6B" w:rsidRPr="004377AC">
        <w:rPr>
          <w:rFonts w:cs="Arial"/>
          <w:szCs w:val="20"/>
        </w:rPr>
        <w:t xml:space="preserve"> na ICMPD migracijski konferenci na Dunaju (november 2019);</w:t>
      </w:r>
    </w:p>
    <w:p w14:paraId="2A367AA1" w14:textId="24D24B24" w:rsidR="00A07C6B" w:rsidRPr="004377AC" w:rsidRDefault="004377AC" w:rsidP="004377AC">
      <w:pPr>
        <w:ind w:left="709" w:hanging="709"/>
        <w:jc w:val="both"/>
        <w:rPr>
          <w:rFonts w:cs="Arial"/>
          <w:szCs w:val="20"/>
        </w:rPr>
      </w:pPr>
      <w:r>
        <w:rPr>
          <w:rFonts w:cs="Arial"/>
          <w:szCs w:val="20"/>
        </w:rPr>
        <w:t>–</w:t>
      </w:r>
      <w:r>
        <w:rPr>
          <w:rFonts w:cs="Arial"/>
          <w:szCs w:val="20"/>
        </w:rPr>
        <w:tab/>
      </w:r>
      <w:r w:rsidR="00A07C6B" w:rsidRPr="004377AC">
        <w:rPr>
          <w:rFonts w:cs="Arial"/>
          <w:szCs w:val="20"/>
        </w:rPr>
        <w:t>priprave na sodelovanje na Izvršnem odboru UNHCR (oktober 2019);</w:t>
      </w:r>
    </w:p>
    <w:p w14:paraId="070B30D5" w14:textId="4141E2EE" w:rsidR="00A07C6B" w:rsidRPr="004377AC" w:rsidRDefault="004377AC" w:rsidP="004377AC">
      <w:pPr>
        <w:ind w:left="709" w:hanging="709"/>
        <w:jc w:val="both"/>
        <w:rPr>
          <w:rFonts w:cs="Arial"/>
          <w:szCs w:val="20"/>
        </w:rPr>
      </w:pPr>
      <w:r>
        <w:rPr>
          <w:rFonts w:cs="Arial"/>
          <w:szCs w:val="20"/>
        </w:rPr>
        <w:t>–</w:t>
      </w:r>
      <w:r>
        <w:rPr>
          <w:rFonts w:cs="Arial"/>
          <w:szCs w:val="20"/>
        </w:rPr>
        <w:tab/>
      </w:r>
      <w:r w:rsidR="00A07C6B" w:rsidRPr="004377AC">
        <w:rPr>
          <w:rFonts w:cs="Arial"/>
          <w:szCs w:val="20"/>
        </w:rPr>
        <w:t>priprava stališč glede predloga r</w:t>
      </w:r>
      <w:r w:rsidR="00817062" w:rsidRPr="004377AC">
        <w:rPr>
          <w:rFonts w:cs="Arial"/>
          <w:szCs w:val="20"/>
        </w:rPr>
        <w:t>eforme imenovanja namestnikov generalnega direktorja</w:t>
      </w:r>
      <w:r w:rsidR="00A07C6B" w:rsidRPr="004377AC">
        <w:rPr>
          <w:rFonts w:cs="Arial"/>
          <w:szCs w:val="20"/>
        </w:rPr>
        <w:t xml:space="preserve"> IOM (oktober/november 2019).</w:t>
      </w:r>
    </w:p>
    <w:p w14:paraId="23D0AA90" w14:textId="77777777" w:rsidR="004D0AA3" w:rsidRPr="004377AC" w:rsidRDefault="004D0AA3" w:rsidP="004377AC">
      <w:pPr>
        <w:jc w:val="both"/>
        <w:rPr>
          <w:rFonts w:cs="Arial"/>
          <w:szCs w:val="20"/>
          <w:highlight w:val="yellow"/>
        </w:rPr>
      </w:pPr>
    </w:p>
    <w:p w14:paraId="172C1F38" w14:textId="3FA16CB8" w:rsidR="004D0AA3" w:rsidRPr="004377AC" w:rsidRDefault="004377AC" w:rsidP="004377AC">
      <w:pPr>
        <w:ind w:left="709" w:hanging="709"/>
        <w:jc w:val="both"/>
        <w:rPr>
          <w:rFonts w:cs="Arial"/>
          <w:b/>
          <w:szCs w:val="20"/>
        </w:rPr>
      </w:pPr>
      <w:r>
        <w:rPr>
          <w:rFonts w:cs="Arial"/>
          <w:b/>
          <w:szCs w:val="20"/>
        </w:rPr>
        <w:t>–</w:t>
      </w:r>
      <w:r>
        <w:rPr>
          <w:rFonts w:cs="Arial"/>
          <w:b/>
          <w:szCs w:val="20"/>
        </w:rPr>
        <w:tab/>
      </w:r>
      <w:r w:rsidR="004D0AA3" w:rsidRPr="004377AC">
        <w:rPr>
          <w:rFonts w:cs="Arial"/>
          <w:b/>
          <w:szCs w:val="20"/>
        </w:rPr>
        <w:t>Urad Vlade Republike Slovenije za oskrbo in integracijo migrantov</w:t>
      </w:r>
      <w:r w:rsidR="006C0400" w:rsidRPr="004377AC">
        <w:rPr>
          <w:rFonts w:cs="Arial"/>
          <w:b/>
          <w:szCs w:val="20"/>
        </w:rPr>
        <w:t xml:space="preserve"> (</w:t>
      </w:r>
      <w:r w:rsidR="00082D54" w:rsidRPr="004377AC">
        <w:rPr>
          <w:rFonts w:cs="Arial"/>
          <w:b/>
          <w:szCs w:val="20"/>
        </w:rPr>
        <w:t>v nadaljevanju</w:t>
      </w:r>
      <w:r w:rsidR="004C7B77" w:rsidRPr="004377AC">
        <w:rPr>
          <w:rFonts w:cs="Arial"/>
          <w:b/>
          <w:szCs w:val="20"/>
        </w:rPr>
        <w:t>:</w:t>
      </w:r>
      <w:r w:rsidR="00082D54" w:rsidRPr="004377AC">
        <w:rPr>
          <w:rFonts w:cs="Arial"/>
          <w:b/>
          <w:szCs w:val="20"/>
        </w:rPr>
        <w:t xml:space="preserve"> </w:t>
      </w:r>
      <w:r w:rsidR="006C0400" w:rsidRPr="004377AC">
        <w:rPr>
          <w:rFonts w:cs="Arial"/>
          <w:b/>
          <w:szCs w:val="20"/>
        </w:rPr>
        <w:t>UOIM)</w:t>
      </w:r>
    </w:p>
    <w:p w14:paraId="2ED494E7" w14:textId="77777777" w:rsidR="004377AC" w:rsidRDefault="004377AC" w:rsidP="004377AC">
      <w:pPr>
        <w:jc w:val="both"/>
        <w:rPr>
          <w:rFonts w:cs="Arial"/>
          <w:szCs w:val="20"/>
        </w:rPr>
      </w:pPr>
    </w:p>
    <w:p w14:paraId="261433F3" w14:textId="1578D8F0" w:rsidR="00F45678" w:rsidRPr="004377AC" w:rsidRDefault="00F45678" w:rsidP="004377AC">
      <w:pPr>
        <w:jc w:val="both"/>
        <w:rPr>
          <w:rFonts w:cs="Arial"/>
          <w:szCs w:val="20"/>
        </w:rPr>
      </w:pPr>
      <w:r w:rsidRPr="004377AC">
        <w:rPr>
          <w:rFonts w:cs="Arial"/>
          <w:szCs w:val="20"/>
        </w:rPr>
        <w:t>UOIM je v poročevalskem obdobju izvajal naslednje aktivnosti povezane s področjem migracij:</w:t>
      </w:r>
    </w:p>
    <w:p w14:paraId="28D41958" w14:textId="5099A3B7" w:rsidR="00F45678" w:rsidRPr="004377AC" w:rsidRDefault="004377AC" w:rsidP="004377AC">
      <w:pPr>
        <w:ind w:left="709" w:hanging="709"/>
        <w:jc w:val="both"/>
        <w:rPr>
          <w:rFonts w:cs="Arial"/>
          <w:szCs w:val="20"/>
        </w:rPr>
      </w:pPr>
      <w:r>
        <w:rPr>
          <w:rFonts w:cs="Arial"/>
          <w:szCs w:val="20"/>
        </w:rPr>
        <w:t>–</w:t>
      </w:r>
      <w:r>
        <w:rPr>
          <w:rFonts w:cs="Arial"/>
          <w:szCs w:val="20"/>
        </w:rPr>
        <w:tab/>
      </w:r>
      <w:r w:rsidR="004C7B77" w:rsidRPr="004377AC">
        <w:rPr>
          <w:rFonts w:cs="Arial"/>
          <w:szCs w:val="20"/>
        </w:rPr>
        <w:t>celovita analiza</w:t>
      </w:r>
      <w:r w:rsidR="00F45678" w:rsidRPr="004377AC">
        <w:rPr>
          <w:rFonts w:cs="Arial"/>
          <w:szCs w:val="20"/>
        </w:rPr>
        <w:t xml:space="preserve"> sprejete vladne strategije po posameznih ciljih;</w:t>
      </w:r>
    </w:p>
    <w:p w14:paraId="6BDD0F72" w14:textId="15CF5D06" w:rsidR="00F45678" w:rsidRPr="004377AC" w:rsidRDefault="004377AC" w:rsidP="004377AC">
      <w:pPr>
        <w:ind w:left="709" w:hanging="709"/>
        <w:jc w:val="both"/>
        <w:rPr>
          <w:rFonts w:cs="Arial"/>
          <w:szCs w:val="20"/>
        </w:rPr>
      </w:pPr>
      <w:r>
        <w:rPr>
          <w:rFonts w:cs="Arial"/>
          <w:szCs w:val="20"/>
        </w:rPr>
        <w:t>–</w:t>
      </w:r>
      <w:r>
        <w:rPr>
          <w:rFonts w:cs="Arial"/>
          <w:szCs w:val="20"/>
        </w:rPr>
        <w:tab/>
      </w:r>
      <w:r w:rsidR="00F45678" w:rsidRPr="004377AC">
        <w:rPr>
          <w:rFonts w:cs="Arial"/>
          <w:szCs w:val="20"/>
        </w:rPr>
        <w:t>oblikovali so načrt aktivnosti za sprejem Izvedbenega načrta UOIM, vključno z imenovanjem ustrezne delovne skupine na ravni UOIM;</w:t>
      </w:r>
    </w:p>
    <w:p w14:paraId="1AA67763" w14:textId="47CB70CE" w:rsidR="00F45678" w:rsidRPr="004377AC" w:rsidRDefault="004377AC" w:rsidP="004377AC">
      <w:pPr>
        <w:ind w:left="709" w:hanging="709"/>
        <w:jc w:val="both"/>
        <w:rPr>
          <w:rFonts w:cs="Arial"/>
          <w:szCs w:val="20"/>
        </w:rPr>
      </w:pPr>
      <w:r>
        <w:rPr>
          <w:rFonts w:cs="Arial"/>
          <w:szCs w:val="20"/>
        </w:rPr>
        <w:t>–</w:t>
      </w:r>
      <w:r>
        <w:rPr>
          <w:rFonts w:cs="Arial"/>
          <w:szCs w:val="20"/>
        </w:rPr>
        <w:tab/>
      </w:r>
      <w:r w:rsidR="00F45678" w:rsidRPr="004377AC">
        <w:rPr>
          <w:rFonts w:cs="Arial"/>
          <w:szCs w:val="20"/>
        </w:rPr>
        <w:t>oblikovali so predlog načrta aktivnosti za horizontalno povezovanje pri zasledovanju v strategiji zastavljenih ciljev.</w:t>
      </w:r>
    </w:p>
    <w:p w14:paraId="510DEA4E" w14:textId="77777777" w:rsidR="00D35DF8" w:rsidRPr="004377AC" w:rsidRDefault="00D35DF8" w:rsidP="004377AC">
      <w:pPr>
        <w:jc w:val="both"/>
        <w:rPr>
          <w:rFonts w:eastAsia="Calibri" w:cs="Arial"/>
          <w:szCs w:val="20"/>
        </w:rPr>
      </w:pPr>
    </w:p>
    <w:p w14:paraId="1F850F9F" w14:textId="29326068" w:rsidR="00643A59" w:rsidRPr="004377AC" w:rsidRDefault="004377AC" w:rsidP="004377AC">
      <w:pPr>
        <w:ind w:left="709" w:hanging="709"/>
        <w:jc w:val="both"/>
        <w:rPr>
          <w:rFonts w:cs="Arial"/>
          <w:b/>
          <w:szCs w:val="20"/>
        </w:rPr>
      </w:pPr>
      <w:r>
        <w:rPr>
          <w:rFonts w:cs="Arial"/>
          <w:b/>
          <w:szCs w:val="20"/>
        </w:rPr>
        <w:t>–</w:t>
      </w:r>
      <w:r>
        <w:rPr>
          <w:rFonts w:cs="Arial"/>
          <w:b/>
          <w:szCs w:val="20"/>
        </w:rPr>
        <w:tab/>
      </w:r>
      <w:r w:rsidR="00643A59" w:rsidRPr="004377AC">
        <w:rPr>
          <w:rFonts w:cs="Arial"/>
          <w:b/>
          <w:szCs w:val="20"/>
        </w:rPr>
        <w:t>Ministrstvo za obrambo</w:t>
      </w:r>
    </w:p>
    <w:p w14:paraId="0CA92E6E" w14:textId="77777777" w:rsidR="004377AC" w:rsidRDefault="004377AC" w:rsidP="004377AC">
      <w:pPr>
        <w:jc w:val="both"/>
        <w:rPr>
          <w:rFonts w:cs="Arial"/>
          <w:szCs w:val="20"/>
        </w:rPr>
      </w:pPr>
    </w:p>
    <w:p w14:paraId="69B5AF7A" w14:textId="5A48003B" w:rsidR="005C2D50" w:rsidRPr="004377AC" w:rsidRDefault="005C2D50" w:rsidP="004377AC">
      <w:pPr>
        <w:jc w:val="both"/>
        <w:rPr>
          <w:rFonts w:cs="Arial"/>
          <w:szCs w:val="20"/>
        </w:rPr>
      </w:pPr>
      <w:r w:rsidRPr="004377AC">
        <w:rPr>
          <w:rFonts w:cs="Arial"/>
          <w:szCs w:val="20"/>
        </w:rPr>
        <w:t xml:space="preserve">Ministrstvo za obrambo je v poročevalskem obdobju redno in podrobno spremljalo razmere na področju migracij, na podlagi katerih se redno izdelujejo interne ocene ter napovedi. Slednje se uporablja pri načrtovanju lastnih aktivnosti in izdelovanju internih načrtov v primeru potrebne podpore drugim državnim organom, zlasti Policiji in UOIM. V zvezi s tem so imeli redne delovne sestanke na nivoju Ministrstva za obrambo. </w:t>
      </w:r>
    </w:p>
    <w:p w14:paraId="5166F1B9" w14:textId="77777777" w:rsidR="004377AC" w:rsidRDefault="004377AC" w:rsidP="004377AC">
      <w:pPr>
        <w:jc w:val="both"/>
        <w:rPr>
          <w:rFonts w:cs="Arial"/>
          <w:szCs w:val="20"/>
        </w:rPr>
      </w:pPr>
    </w:p>
    <w:p w14:paraId="7A19B861" w14:textId="5FD4462A" w:rsidR="005C2D50" w:rsidRPr="004377AC" w:rsidRDefault="005C2D50" w:rsidP="004377AC">
      <w:pPr>
        <w:jc w:val="both"/>
        <w:rPr>
          <w:rFonts w:cs="Arial"/>
          <w:szCs w:val="20"/>
        </w:rPr>
      </w:pPr>
      <w:r w:rsidRPr="004377AC">
        <w:rPr>
          <w:rFonts w:cs="Arial"/>
          <w:szCs w:val="20"/>
        </w:rPr>
        <w:t>Slovenska vojska</w:t>
      </w:r>
      <w:r w:rsidR="005C5971" w:rsidRPr="004377AC">
        <w:rPr>
          <w:rFonts w:cs="Arial"/>
          <w:szCs w:val="20"/>
        </w:rPr>
        <w:t xml:space="preserve"> (v nadaljevanju: SV) </w:t>
      </w:r>
      <w:r w:rsidRPr="004377AC">
        <w:rPr>
          <w:rFonts w:cs="Arial"/>
          <w:szCs w:val="20"/>
        </w:rPr>
        <w:t xml:space="preserve">je redno sodelovala s Policijo pri izvajanju nadzora državne meje, pri čemer se podpora izvaja tako s pripadniki </w:t>
      </w:r>
      <w:r w:rsidR="005C5971" w:rsidRPr="004377AC">
        <w:rPr>
          <w:rFonts w:cs="Arial"/>
          <w:szCs w:val="20"/>
        </w:rPr>
        <w:t>SV</w:t>
      </w:r>
      <w:r w:rsidRPr="004377AC">
        <w:rPr>
          <w:rFonts w:cs="Arial"/>
          <w:szCs w:val="20"/>
        </w:rPr>
        <w:t xml:space="preserve"> kot tudi z izvajanjem drugih ukrepov, ki so usklajeni z vodstvom Policije. V zadnjem obdobju je </w:t>
      </w:r>
      <w:r w:rsidR="00141D58" w:rsidRPr="004377AC">
        <w:rPr>
          <w:rFonts w:cs="Arial"/>
          <w:szCs w:val="20"/>
        </w:rPr>
        <w:t>SV</w:t>
      </w:r>
      <w:r w:rsidRPr="004377AC">
        <w:rPr>
          <w:rFonts w:cs="Arial"/>
          <w:szCs w:val="20"/>
        </w:rPr>
        <w:t xml:space="preserve"> na podlagi izraženih potreb Policije okrepila prisotnost pripadnikov </w:t>
      </w:r>
      <w:r w:rsidR="00141D58" w:rsidRPr="004377AC">
        <w:rPr>
          <w:rFonts w:cs="Arial"/>
          <w:szCs w:val="20"/>
        </w:rPr>
        <w:t>SV</w:t>
      </w:r>
      <w:r w:rsidRPr="004377AC">
        <w:rPr>
          <w:rFonts w:cs="Arial"/>
          <w:szCs w:val="20"/>
        </w:rPr>
        <w:t xml:space="preserve"> pri podpori varovanja državne meje. </w:t>
      </w:r>
      <w:r w:rsidR="005C5971" w:rsidRPr="004377AC">
        <w:rPr>
          <w:rFonts w:cs="Arial"/>
          <w:szCs w:val="20"/>
        </w:rPr>
        <w:t xml:space="preserve">Pripadniki SV sodelujejo tako pri skupnih patruljah, opazovanju, helikopterskem izvidovanju, z brezpilotnimi letalniki, angažirana pa je tudi ekipa za upravljanje centra zvez. SV je pripravila kontingentni načrt za pomoč Policiji, ki vsebuje tri dodatne stopnje angažiranja s katerimi se predvideva dodatno angažiranje sil SV. </w:t>
      </w:r>
    </w:p>
    <w:p w14:paraId="75543626" w14:textId="77777777" w:rsidR="004377AC" w:rsidRDefault="004377AC" w:rsidP="004377AC">
      <w:pPr>
        <w:jc w:val="both"/>
        <w:rPr>
          <w:rFonts w:cs="Arial"/>
          <w:szCs w:val="20"/>
        </w:rPr>
      </w:pPr>
    </w:p>
    <w:p w14:paraId="16B2AFF8" w14:textId="27243628" w:rsidR="005C5971" w:rsidRPr="004377AC" w:rsidRDefault="00141D58" w:rsidP="004377AC">
      <w:pPr>
        <w:jc w:val="both"/>
        <w:rPr>
          <w:rFonts w:cs="Arial"/>
          <w:szCs w:val="20"/>
        </w:rPr>
      </w:pPr>
      <w:r w:rsidRPr="004377AC">
        <w:rPr>
          <w:rFonts w:cs="Arial"/>
          <w:szCs w:val="20"/>
        </w:rPr>
        <w:t>SV</w:t>
      </w:r>
      <w:r w:rsidR="005C5971" w:rsidRPr="004377AC">
        <w:rPr>
          <w:rFonts w:cs="Arial"/>
          <w:szCs w:val="20"/>
        </w:rPr>
        <w:t xml:space="preserve"> je del svojih sil premaknila tudi v začasne nastanitvene kapacitete ob meji. V kolikor bi se izkazala potreba po nadaljnji prerazporeditvi zaradi zagotavljanja varnosti prebivalk in prebivalcev, bo v skladu z dogovorom s Policijo to izvedla v najkrajšem možnem času.</w:t>
      </w:r>
    </w:p>
    <w:p w14:paraId="3AAE37E1" w14:textId="77777777" w:rsidR="004377AC" w:rsidRDefault="004377AC" w:rsidP="004377AC">
      <w:pPr>
        <w:jc w:val="both"/>
        <w:rPr>
          <w:rFonts w:cs="Arial"/>
          <w:szCs w:val="20"/>
        </w:rPr>
      </w:pPr>
    </w:p>
    <w:p w14:paraId="47C35201" w14:textId="4E9C3C03" w:rsidR="005C2D50" w:rsidRPr="004377AC" w:rsidRDefault="005C2D50" w:rsidP="004377AC">
      <w:pPr>
        <w:jc w:val="both"/>
        <w:rPr>
          <w:rFonts w:cs="Arial"/>
          <w:szCs w:val="20"/>
        </w:rPr>
      </w:pPr>
      <w:r w:rsidRPr="004377AC">
        <w:rPr>
          <w:rFonts w:cs="Arial"/>
          <w:szCs w:val="20"/>
        </w:rPr>
        <w:t xml:space="preserve">Obveščevalno-varnostna služba Ministrstva za obrambo je v okviru svojih pristojnosti redno izmenjevala informacije s Policijo in SOVA. </w:t>
      </w:r>
    </w:p>
    <w:p w14:paraId="2B2DD871" w14:textId="333E765F" w:rsidR="005C2D50" w:rsidRPr="004377AC" w:rsidRDefault="005C2D50" w:rsidP="004377AC">
      <w:pPr>
        <w:jc w:val="both"/>
        <w:rPr>
          <w:rFonts w:cs="Arial"/>
          <w:szCs w:val="20"/>
        </w:rPr>
      </w:pPr>
      <w:r w:rsidRPr="004377AC">
        <w:rPr>
          <w:rFonts w:cs="Arial"/>
          <w:szCs w:val="20"/>
        </w:rPr>
        <w:t>Uprava Republike Slovenije za zaščito in reševanje (</w:t>
      </w:r>
      <w:r w:rsidR="003A69B7" w:rsidRPr="004377AC">
        <w:rPr>
          <w:rFonts w:cs="Arial"/>
          <w:szCs w:val="20"/>
        </w:rPr>
        <w:t>v nadaljevanju</w:t>
      </w:r>
      <w:r w:rsidR="00141D58" w:rsidRPr="004377AC">
        <w:rPr>
          <w:rFonts w:cs="Arial"/>
          <w:szCs w:val="20"/>
        </w:rPr>
        <w:t>:</w:t>
      </w:r>
      <w:r w:rsidR="003A69B7" w:rsidRPr="004377AC">
        <w:rPr>
          <w:rFonts w:cs="Arial"/>
          <w:szCs w:val="20"/>
        </w:rPr>
        <w:t xml:space="preserve"> </w:t>
      </w:r>
      <w:r w:rsidRPr="004377AC">
        <w:rPr>
          <w:rFonts w:cs="Arial"/>
          <w:szCs w:val="20"/>
        </w:rPr>
        <w:t xml:space="preserve">URSZR) ima pripravljene načrte za morebitno povečano podporo UOIM, ki velja za primer, če bi UOIM ocenil, da je podpora nujna. </w:t>
      </w:r>
    </w:p>
    <w:p w14:paraId="48A2981E" w14:textId="77777777" w:rsidR="004377AC" w:rsidRDefault="004377AC" w:rsidP="004377AC">
      <w:pPr>
        <w:jc w:val="both"/>
        <w:rPr>
          <w:rFonts w:cs="Arial"/>
          <w:szCs w:val="20"/>
        </w:rPr>
      </w:pPr>
    </w:p>
    <w:p w14:paraId="06CE5B26" w14:textId="68C36AF0" w:rsidR="00A3249B" w:rsidRPr="004377AC" w:rsidRDefault="00A3249B" w:rsidP="004377AC">
      <w:pPr>
        <w:jc w:val="both"/>
        <w:rPr>
          <w:rFonts w:cs="Arial"/>
          <w:szCs w:val="20"/>
        </w:rPr>
      </w:pPr>
      <w:r w:rsidRPr="004377AC">
        <w:rPr>
          <w:rFonts w:cs="Arial"/>
          <w:szCs w:val="20"/>
        </w:rPr>
        <w:t>URSZR izvaja postopke nabave dodatne opreme predvsem bivalnikov in sanitarnih kontejnerjev, hkrati se na podlagi dosedanjih izkušenj po potrebnih materialnih sredstvih, opremi i</w:t>
      </w:r>
      <w:r w:rsidR="00141D58" w:rsidRPr="004377AC">
        <w:rPr>
          <w:rFonts w:cs="Arial"/>
          <w:szCs w:val="20"/>
        </w:rPr>
        <w:t>n potrošnem materialu preverja</w:t>
      </w:r>
      <w:r w:rsidRPr="004377AC">
        <w:rPr>
          <w:rFonts w:cs="Arial"/>
          <w:szCs w:val="20"/>
        </w:rPr>
        <w:t xml:space="preserve"> zaloge navedenega v državnem in regijskih logističnih centrih</w:t>
      </w:r>
      <w:r w:rsidR="00D8014E" w:rsidRPr="004377AC">
        <w:rPr>
          <w:rFonts w:cs="Arial"/>
          <w:szCs w:val="20"/>
        </w:rPr>
        <w:t>, ki bodo v</w:t>
      </w:r>
      <w:r w:rsidRPr="004377AC">
        <w:rPr>
          <w:rFonts w:cs="Arial"/>
          <w:szCs w:val="20"/>
        </w:rPr>
        <w:t xml:space="preserve"> naslednjem letu v primeru potrebe, </w:t>
      </w:r>
      <w:r w:rsidR="00D8014E" w:rsidRPr="004377AC">
        <w:rPr>
          <w:rFonts w:cs="Arial"/>
          <w:szCs w:val="20"/>
        </w:rPr>
        <w:t xml:space="preserve">tudi </w:t>
      </w:r>
      <w:r w:rsidRPr="004377AC">
        <w:rPr>
          <w:rFonts w:cs="Arial"/>
          <w:szCs w:val="20"/>
        </w:rPr>
        <w:t xml:space="preserve">dopolnjene. </w:t>
      </w:r>
    </w:p>
    <w:p w14:paraId="20B28786" w14:textId="77777777" w:rsidR="004377AC" w:rsidRDefault="004377AC" w:rsidP="004377AC">
      <w:pPr>
        <w:jc w:val="both"/>
        <w:rPr>
          <w:rFonts w:cs="Arial"/>
          <w:szCs w:val="20"/>
        </w:rPr>
      </w:pPr>
    </w:p>
    <w:p w14:paraId="358B794D" w14:textId="23C117CD" w:rsidR="00A3249B" w:rsidRPr="004377AC" w:rsidRDefault="00141D58" w:rsidP="004377AC">
      <w:pPr>
        <w:jc w:val="both"/>
        <w:rPr>
          <w:rFonts w:cs="Arial"/>
          <w:szCs w:val="20"/>
        </w:rPr>
      </w:pPr>
      <w:r w:rsidRPr="004377AC">
        <w:rPr>
          <w:rFonts w:cs="Arial"/>
          <w:szCs w:val="20"/>
        </w:rPr>
        <w:t>URSZR je do sedaj predala</w:t>
      </w:r>
      <w:r w:rsidR="00A3249B" w:rsidRPr="004377AC">
        <w:rPr>
          <w:rFonts w:cs="Arial"/>
          <w:szCs w:val="20"/>
        </w:rPr>
        <w:t xml:space="preserve"> 83 kontejnerjev in sicer:</w:t>
      </w:r>
    </w:p>
    <w:p w14:paraId="42B9572A" w14:textId="2936C95B" w:rsidR="00A3249B" w:rsidRPr="004377AC" w:rsidRDefault="004377AC" w:rsidP="004377AC">
      <w:pPr>
        <w:jc w:val="both"/>
        <w:rPr>
          <w:rFonts w:cs="Arial"/>
          <w:szCs w:val="20"/>
        </w:rPr>
      </w:pPr>
      <w:r>
        <w:rPr>
          <w:rFonts w:cs="Arial"/>
          <w:szCs w:val="20"/>
        </w:rPr>
        <w:t>–</w:t>
      </w:r>
      <w:r>
        <w:rPr>
          <w:rFonts w:cs="Arial"/>
          <w:szCs w:val="20"/>
        </w:rPr>
        <w:tab/>
      </w:r>
      <w:r w:rsidR="00A3249B" w:rsidRPr="004377AC">
        <w:rPr>
          <w:rFonts w:cs="Arial"/>
          <w:szCs w:val="20"/>
        </w:rPr>
        <w:t>MNZ, prehodni dom za tujce Postojna – 20 kosov;</w:t>
      </w:r>
    </w:p>
    <w:p w14:paraId="5B51B814" w14:textId="41AC7ACB" w:rsidR="00A3249B" w:rsidRPr="004377AC" w:rsidRDefault="004377AC" w:rsidP="004377AC">
      <w:pPr>
        <w:jc w:val="both"/>
        <w:rPr>
          <w:rFonts w:cs="Arial"/>
          <w:szCs w:val="20"/>
        </w:rPr>
      </w:pPr>
      <w:r>
        <w:rPr>
          <w:rFonts w:cs="Arial"/>
          <w:szCs w:val="20"/>
        </w:rPr>
        <w:t>–</w:t>
      </w:r>
      <w:r>
        <w:rPr>
          <w:rFonts w:cs="Arial"/>
          <w:szCs w:val="20"/>
        </w:rPr>
        <w:tab/>
      </w:r>
      <w:r w:rsidR="00EA58CF" w:rsidRPr="004377AC">
        <w:rPr>
          <w:rFonts w:cs="Arial"/>
          <w:szCs w:val="20"/>
        </w:rPr>
        <w:t>UOIM</w:t>
      </w:r>
      <w:r w:rsidR="00A3249B" w:rsidRPr="004377AC">
        <w:rPr>
          <w:rFonts w:cs="Arial"/>
          <w:szCs w:val="20"/>
        </w:rPr>
        <w:t>, Azilni dom Logatec – 30 kosov;</w:t>
      </w:r>
    </w:p>
    <w:p w14:paraId="690FBE97" w14:textId="71E80D6C" w:rsidR="00A3249B" w:rsidRPr="004377AC" w:rsidRDefault="004377AC" w:rsidP="004377AC">
      <w:pPr>
        <w:jc w:val="both"/>
        <w:rPr>
          <w:rFonts w:cs="Arial"/>
          <w:szCs w:val="20"/>
        </w:rPr>
      </w:pPr>
      <w:r>
        <w:rPr>
          <w:rFonts w:cs="Arial"/>
          <w:szCs w:val="20"/>
        </w:rPr>
        <w:t>–</w:t>
      </w:r>
      <w:r>
        <w:rPr>
          <w:rFonts w:cs="Arial"/>
          <w:szCs w:val="20"/>
        </w:rPr>
        <w:tab/>
      </w:r>
      <w:r w:rsidR="00A3249B" w:rsidRPr="004377AC">
        <w:rPr>
          <w:rFonts w:cs="Arial"/>
          <w:szCs w:val="20"/>
        </w:rPr>
        <w:t>SV na lokaciji Ankaran – 8 kosov;</w:t>
      </w:r>
    </w:p>
    <w:p w14:paraId="1C0F9334" w14:textId="2A77E6F7" w:rsidR="00A3249B" w:rsidRPr="004377AC" w:rsidRDefault="004377AC" w:rsidP="004377AC">
      <w:pPr>
        <w:jc w:val="both"/>
        <w:rPr>
          <w:rFonts w:cs="Arial"/>
          <w:szCs w:val="20"/>
        </w:rPr>
      </w:pPr>
      <w:r>
        <w:rPr>
          <w:rFonts w:cs="Arial"/>
          <w:szCs w:val="20"/>
        </w:rPr>
        <w:t>–</w:t>
      </w:r>
      <w:r>
        <w:rPr>
          <w:rFonts w:cs="Arial"/>
          <w:szCs w:val="20"/>
        </w:rPr>
        <w:tab/>
      </w:r>
      <w:r w:rsidR="00A3249B" w:rsidRPr="004377AC">
        <w:rPr>
          <w:rFonts w:cs="Arial"/>
          <w:szCs w:val="20"/>
        </w:rPr>
        <w:t>SV na lokaciji Črnomelj  – 10 kosov;</w:t>
      </w:r>
    </w:p>
    <w:p w14:paraId="1C8EFE65" w14:textId="49E4C53B" w:rsidR="00A3249B" w:rsidRPr="004377AC" w:rsidRDefault="004377AC" w:rsidP="004377AC">
      <w:pPr>
        <w:jc w:val="both"/>
        <w:rPr>
          <w:rFonts w:cs="Arial"/>
          <w:szCs w:val="20"/>
        </w:rPr>
      </w:pPr>
      <w:r>
        <w:rPr>
          <w:rFonts w:cs="Arial"/>
          <w:szCs w:val="20"/>
        </w:rPr>
        <w:t>–</w:t>
      </w:r>
      <w:r>
        <w:rPr>
          <w:rFonts w:cs="Arial"/>
          <w:szCs w:val="20"/>
        </w:rPr>
        <w:tab/>
      </w:r>
      <w:r w:rsidR="00A3249B" w:rsidRPr="004377AC">
        <w:rPr>
          <w:rFonts w:cs="Arial"/>
          <w:szCs w:val="20"/>
        </w:rPr>
        <w:t>SV na lokaciji Primoži – Kočevska Reka – 12 kosov;</w:t>
      </w:r>
    </w:p>
    <w:p w14:paraId="34C22DA0" w14:textId="42895B81" w:rsidR="00A3249B" w:rsidRPr="004377AC" w:rsidRDefault="004377AC" w:rsidP="004377AC">
      <w:pPr>
        <w:jc w:val="both"/>
        <w:rPr>
          <w:rFonts w:cs="Arial"/>
          <w:szCs w:val="20"/>
        </w:rPr>
      </w:pPr>
      <w:r>
        <w:rPr>
          <w:rFonts w:cs="Arial"/>
          <w:szCs w:val="20"/>
        </w:rPr>
        <w:t>–</w:t>
      </w:r>
      <w:r>
        <w:rPr>
          <w:rFonts w:cs="Arial"/>
          <w:szCs w:val="20"/>
        </w:rPr>
        <w:tab/>
      </w:r>
      <w:r w:rsidR="00A3249B" w:rsidRPr="004377AC">
        <w:rPr>
          <w:rFonts w:cs="Arial"/>
          <w:szCs w:val="20"/>
        </w:rPr>
        <w:t>Policija, policijska postaja Brežice – 3 kosi;</w:t>
      </w:r>
    </w:p>
    <w:p w14:paraId="185D312A" w14:textId="741D026F" w:rsidR="00A3249B" w:rsidRPr="004377AC" w:rsidRDefault="004377AC" w:rsidP="004377AC">
      <w:pPr>
        <w:jc w:val="both"/>
        <w:rPr>
          <w:rFonts w:cs="Arial"/>
          <w:szCs w:val="20"/>
        </w:rPr>
      </w:pPr>
      <w:r>
        <w:rPr>
          <w:rFonts w:cs="Arial"/>
          <w:szCs w:val="20"/>
        </w:rPr>
        <w:t>–</w:t>
      </w:r>
      <w:r>
        <w:rPr>
          <w:rFonts w:cs="Arial"/>
          <w:szCs w:val="20"/>
        </w:rPr>
        <w:tab/>
      </w:r>
      <w:r w:rsidR="00A3249B" w:rsidRPr="004377AC">
        <w:rPr>
          <w:rFonts w:cs="Arial"/>
          <w:szCs w:val="20"/>
        </w:rPr>
        <w:t xml:space="preserve">Policija – Letalska enota – 1 kos. </w:t>
      </w:r>
    </w:p>
    <w:p w14:paraId="17F34FDE" w14:textId="77777777" w:rsidR="004377AC" w:rsidRDefault="004377AC" w:rsidP="004377AC">
      <w:pPr>
        <w:jc w:val="both"/>
        <w:rPr>
          <w:rFonts w:cs="Arial"/>
          <w:szCs w:val="20"/>
        </w:rPr>
      </w:pPr>
    </w:p>
    <w:p w14:paraId="4A33CA29" w14:textId="77777777" w:rsidR="00A3249B" w:rsidRPr="004377AC" w:rsidRDefault="00A3249B" w:rsidP="004377AC">
      <w:pPr>
        <w:jc w:val="both"/>
        <w:rPr>
          <w:rFonts w:cs="Arial"/>
          <w:szCs w:val="20"/>
        </w:rPr>
      </w:pPr>
      <w:r w:rsidRPr="004377AC">
        <w:rPr>
          <w:rFonts w:cs="Arial"/>
          <w:szCs w:val="20"/>
        </w:rPr>
        <w:t>Prav tako je bilo izdano ustrezno število terenskih postelj.</w:t>
      </w:r>
    </w:p>
    <w:p w14:paraId="3FDF5FAF" w14:textId="3F980A70" w:rsidR="00A3249B" w:rsidRPr="004377AC" w:rsidRDefault="00A3249B" w:rsidP="004377AC">
      <w:pPr>
        <w:jc w:val="both"/>
        <w:rPr>
          <w:rFonts w:cs="Arial"/>
          <w:szCs w:val="20"/>
        </w:rPr>
      </w:pPr>
      <w:r w:rsidRPr="004377AC">
        <w:rPr>
          <w:rFonts w:cs="Arial"/>
          <w:szCs w:val="20"/>
        </w:rPr>
        <w:t>Trenutno obravnavajo in preverjajo skupaj z MNZ možnosti za realizacijo prošnje Policijske uprave Maribor glede dostave določene opreme za potrebe izvajanja policijskih postopkov na Policijski postaji Ormož.</w:t>
      </w:r>
    </w:p>
    <w:p w14:paraId="642BCA56" w14:textId="77777777" w:rsidR="00EF04EA" w:rsidRPr="004377AC" w:rsidRDefault="00EF04EA" w:rsidP="004377AC">
      <w:pPr>
        <w:jc w:val="both"/>
        <w:rPr>
          <w:rFonts w:cs="Arial"/>
          <w:szCs w:val="20"/>
          <w:highlight w:val="yellow"/>
        </w:rPr>
      </w:pPr>
    </w:p>
    <w:p w14:paraId="7EFE2BD1" w14:textId="43067486" w:rsidR="00EF04EA" w:rsidRPr="004377AC" w:rsidRDefault="004377AC" w:rsidP="004377AC">
      <w:pPr>
        <w:jc w:val="both"/>
        <w:rPr>
          <w:rFonts w:cs="Arial"/>
          <w:b/>
          <w:szCs w:val="20"/>
        </w:rPr>
      </w:pPr>
      <w:r>
        <w:rPr>
          <w:rFonts w:cs="Arial"/>
          <w:b/>
          <w:szCs w:val="20"/>
        </w:rPr>
        <w:t>–</w:t>
      </w:r>
      <w:r>
        <w:rPr>
          <w:rFonts w:cs="Arial"/>
          <w:b/>
          <w:szCs w:val="20"/>
        </w:rPr>
        <w:tab/>
      </w:r>
      <w:r w:rsidR="00EF04EA" w:rsidRPr="004377AC">
        <w:rPr>
          <w:rFonts w:cs="Arial"/>
          <w:b/>
          <w:szCs w:val="20"/>
        </w:rPr>
        <w:t>Ministrstvo za delo, družino</w:t>
      </w:r>
      <w:r w:rsidR="003D3A8D" w:rsidRPr="004377AC">
        <w:rPr>
          <w:rFonts w:cs="Arial"/>
          <w:b/>
          <w:szCs w:val="20"/>
        </w:rPr>
        <w:t>,</w:t>
      </w:r>
      <w:r w:rsidR="00EF04EA" w:rsidRPr="004377AC">
        <w:rPr>
          <w:rFonts w:cs="Arial"/>
          <w:b/>
          <w:szCs w:val="20"/>
        </w:rPr>
        <w:t xml:space="preserve"> socialne zadeve</w:t>
      </w:r>
      <w:r w:rsidR="003D3A8D" w:rsidRPr="004377AC">
        <w:rPr>
          <w:rFonts w:cs="Arial"/>
          <w:b/>
          <w:szCs w:val="20"/>
        </w:rPr>
        <w:t xml:space="preserve"> in enake možnosti</w:t>
      </w:r>
    </w:p>
    <w:p w14:paraId="69B10927" w14:textId="77777777" w:rsidR="004377AC" w:rsidRDefault="004377AC" w:rsidP="004377AC">
      <w:pPr>
        <w:jc w:val="both"/>
        <w:rPr>
          <w:rFonts w:cs="Arial"/>
          <w:szCs w:val="20"/>
        </w:rPr>
      </w:pPr>
    </w:p>
    <w:p w14:paraId="77E3E450" w14:textId="4CE3986E" w:rsidR="00405D75" w:rsidRPr="004377AC" w:rsidRDefault="00405D75" w:rsidP="004377AC">
      <w:pPr>
        <w:jc w:val="both"/>
        <w:rPr>
          <w:rFonts w:cs="Arial"/>
          <w:szCs w:val="20"/>
        </w:rPr>
      </w:pPr>
      <w:r w:rsidRPr="004377AC">
        <w:rPr>
          <w:rFonts w:cs="Arial"/>
          <w:szCs w:val="20"/>
        </w:rPr>
        <w:t>Ministrstvo za delo, družino, socialne zadeve in enake možnosti je v poročevalskem obdobju izvajalo naslednje aktivnosti, povezane s področjem migracij:</w:t>
      </w:r>
    </w:p>
    <w:p w14:paraId="2B2733DB" w14:textId="76EEC727" w:rsidR="00DA5EF8" w:rsidRPr="004377AC" w:rsidRDefault="004377AC" w:rsidP="004377AC">
      <w:pPr>
        <w:ind w:left="709" w:hanging="709"/>
        <w:jc w:val="both"/>
        <w:rPr>
          <w:rFonts w:cs="Arial"/>
          <w:szCs w:val="20"/>
        </w:rPr>
      </w:pPr>
      <w:r>
        <w:rPr>
          <w:rFonts w:cs="Arial"/>
          <w:szCs w:val="20"/>
        </w:rPr>
        <w:t>–</w:t>
      </w:r>
      <w:r>
        <w:rPr>
          <w:rFonts w:cs="Arial"/>
          <w:szCs w:val="20"/>
        </w:rPr>
        <w:tab/>
      </w:r>
      <w:r w:rsidR="00DA5EF8" w:rsidRPr="004377AC">
        <w:rPr>
          <w:rFonts w:cs="Arial"/>
          <w:szCs w:val="20"/>
        </w:rPr>
        <w:t>V postopku sprejema je Zakon o spremembah in dopolnitvah Zakona o zaposlovanju, samozaposlovanju in delu tujcev.</w:t>
      </w:r>
    </w:p>
    <w:p w14:paraId="19FD10C2" w14:textId="622ED73B" w:rsidR="00DA5EF8" w:rsidRPr="004377AC" w:rsidRDefault="004377AC" w:rsidP="004377AC">
      <w:pPr>
        <w:ind w:left="709" w:hanging="709"/>
        <w:jc w:val="both"/>
        <w:rPr>
          <w:rFonts w:cs="Arial"/>
          <w:szCs w:val="20"/>
        </w:rPr>
      </w:pPr>
      <w:r>
        <w:rPr>
          <w:rFonts w:cs="Arial"/>
          <w:szCs w:val="20"/>
        </w:rPr>
        <w:t>–</w:t>
      </w:r>
      <w:r>
        <w:rPr>
          <w:rFonts w:cs="Arial"/>
          <w:szCs w:val="20"/>
        </w:rPr>
        <w:tab/>
      </w:r>
      <w:r w:rsidR="00DA5EF8" w:rsidRPr="004377AC">
        <w:rPr>
          <w:rFonts w:cs="Arial"/>
          <w:szCs w:val="20"/>
        </w:rPr>
        <w:t>V postopku internega usklajevanja je Zakon o čezmejnem izvajanju storitev, ki je ključen za napotene delavce.</w:t>
      </w:r>
    </w:p>
    <w:p w14:paraId="1C789ECC" w14:textId="67592EC6" w:rsidR="00DA5EF8" w:rsidRPr="004377AC" w:rsidRDefault="004377AC" w:rsidP="004377AC">
      <w:pPr>
        <w:ind w:left="709" w:hanging="709"/>
        <w:jc w:val="both"/>
        <w:rPr>
          <w:rFonts w:cs="Arial"/>
          <w:szCs w:val="20"/>
        </w:rPr>
      </w:pPr>
      <w:r>
        <w:rPr>
          <w:rFonts w:cs="Arial"/>
          <w:szCs w:val="20"/>
        </w:rPr>
        <w:lastRenderedPageBreak/>
        <w:t>–</w:t>
      </w:r>
      <w:r>
        <w:rPr>
          <w:rFonts w:cs="Arial"/>
          <w:szCs w:val="20"/>
        </w:rPr>
        <w:tab/>
      </w:r>
      <w:proofErr w:type="gramStart"/>
      <w:r w:rsidR="00DA5EF8" w:rsidRPr="004377AC">
        <w:rPr>
          <w:rFonts w:cs="Arial"/>
          <w:szCs w:val="20"/>
        </w:rPr>
        <w:t>Inavguracijski</w:t>
      </w:r>
      <w:proofErr w:type="gramEnd"/>
      <w:r w:rsidR="00DA5EF8" w:rsidRPr="004377AC">
        <w:rPr>
          <w:rFonts w:cs="Arial"/>
          <w:szCs w:val="20"/>
        </w:rPr>
        <w:t xml:space="preserve"> sestanek upravnega odbora</w:t>
      </w:r>
      <w:r w:rsidR="00D9321D">
        <w:rPr>
          <w:rFonts w:cs="Arial"/>
          <w:szCs w:val="20"/>
        </w:rPr>
        <w:t xml:space="preserve"> Evropskega organa za delo (16.-</w:t>
      </w:r>
      <w:r w:rsidR="00DA5EF8" w:rsidRPr="004377AC">
        <w:rPr>
          <w:rFonts w:cs="Arial"/>
          <w:szCs w:val="20"/>
        </w:rPr>
        <w:t>17.</w:t>
      </w:r>
      <w:r w:rsidR="00D9321D">
        <w:rPr>
          <w:rFonts w:cs="Arial"/>
          <w:szCs w:val="20"/>
        </w:rPr>
        <w:t> </w:t>
      </w:r>
      <w:r w:rsidR="00DA5EF8" w:rsidRPr="004377AC">
        <w:rPr>
          <w:rFonts w:cs="Arial"/>
          <w:szCs w:val="20"/>
        </w:rPr>
        <w:t>10.</w:t>
      </w:r>
      <w:r w:rsidR="00D9321D">
        <w:rPr>
          <w:rFonts w:cs="Arial"/>
          <w:szCs w:val="20"/>
        </w:rPr>
        <w:t> </w:t>
      </w:r>
      <w:r w:rsidR="00DA5EF8" w:rsidRPr="004377AC">
        <w:rPr>
          <w:rFonts w:cs="Arial"/>
          <w:szCs w:val="20"/>
        </w:rPr>
        <w:t>2019).</w:t>
      </w:r>
    </w:p>
    <w:p w14:paraId="5A70B40D" w14:textId="2EB68E1D" w:rsidR="00DA5EF8" w:rsidRPr="004377AC" w:rsidRDefault="004377AC" w:rsidP="004377AC">
      <w:pPr>
        <w:ind w:left="709" w:hanging="709"/>
        <w:jc w:val="both"/>
        <w:rPr>
          <w:rFonts w:cs="Arial"/>
          <w:szCs w:val="20"/>
        </w:rPr>
      </w:pPr>
      <w:r>
        <w:rPr>
          <w:rFonts w:cs="Arial"/>
          <w:szCs w:val="20"/>
        </w:rPr>
        <w:t>–</w:t>
      </w:r>
      <w:r>
        <w:rPr>
          <w:rFonts w:cs="Arial"/>
          <w:szCs w:val="20"/>
        </w:rPr>
        <w:tab/>
      </w:r>
      <w:r w:rsidR="00DA5EF8" w:rsidRPr="004377AC">
        <w:rPr>
          <w:rFonts w:cs="Arial"/>
          <w:szCs w:val="20"/>
        </w:rPr>
        <w:t>Koordinacija vsebin in ministrske izjave v delovnih telesih OECD za OECD ministrsko srečanje o migracijah januarja 2020.</w:t>
      </w:r>
    </w:p>
    <w:p w14:paraId="30B83C8D" w14:textId="02B0A4E4" w:rsidR="00DA5EF8" w:rsidRPr="004377AC" w:rsidRDefault="004377AC" w:rsidP="004377AC">
      <w:pPr>
        <w:ind w:left="709" w:hanging="709"/>
        <w:jc w:val="both"/>
        <w:rPr>
          <w:rFonts w:cs="Arial"/>
          <w:szCs w:val="20"/>
        </w:rPr>
      </w:pPr>
      <w:r>
        <w:rPr>
          <w:rFonts w:cs="Arial"/>
          <w:szCs w:val="20"/>
        </w:rPr>
        <w:t>–</w:t>
      </w:r>
      <w:r>
        <w:rPr>
          <w:rFonts w:cs="Arial"/>
          <w:szCs w:val="20"/>
        </w:rPr>
        <w:tab/>
      </w:r>
      <w:r w:rsidR="00DA5EF8" w:rsidRPr="004377AC">
        <w:rPr>
          <w:rFonts w:cs="Arial"/>
          <w:szCs w:val="20"/>
        </w:rPr>
        <w:t>Priprava poročila za Medresorsko delovno skupino za problematiko fiktivnih prijav prebivališč za področje napotitev.</w:t>
      </w:r>
    </w:p>
    <w:p w14:paraId="26F7C14B" w14:textId="6ACAB119" w:rsidR="00DA5EF8" w:rsidRPr="004377AC" w:rsidRDefault="004377AC" w:rsidP="004377AC">
      <w:pPr>
        <w:ind w:left="709" w:hanging="709"/>
        <w:jc w:val="both"/>
        <w:rPr>
          <w:rFonts w:cs="Arial"/>
          <w:szCs w:val="20"/>
        </w:rPr>
      </w:pPr>
      <w:r>
        <w:rPr>
          <w:rFonts w:cs="Arial"/>
          <w:szCs w:val="20"/>
        </w:rPr>
        <w:t>–</w:t>
      </w:r>
      <w:r>
        <w:rPr>
          <w:rFonts w:cs="Arial"/>
          <w:szCs w:val="20"/>
        </w:rPr>
        <w:tab/>
      </w:r>
      <w:r w:rsidR="00DA5EF8" w:rsidRPr="004377AC">
        <w:rPr>
          <w:rFonts w:cs="Arial"/>
          <w:szCs w:val="20"/>
        </w:rPr>
        <w:t>Meddržavna komisija za izvajanje sporazuma o zaposlovanju med BiH in Slovenijo</w:t>
      </w:r>
      <w:r w:rsidR="00D9321D">
        <w:rPr>
          <w:rFonts w:cs="Arial"/>
          <w:szCs w:val="20"/>
        </w:rPr>
        <w:t xml:space="preserve"> (16. </w:t>
      </w:r>
      <w:r w:rsidR="00BA2F18" w:rsidRPr="004377AC">
        <w:rPr>
          <w:rFonts w:cs="Arial"/>
          <w:szCs w:val="20"/>
        </w:rPr>
        <w:t>10.</w:t>
      </w:r>
      <w:r w:rsidR="00D9321D">
        <w:rPr>
          <w:rFonts w:cs="Arial"/>
          <w:szCs w:val="20"/>
        </w:rPr>
        <w:t> </w:t>
      </w:r>
      <w:r w:rsidR="00BA2F18" w:rsidRPr="004377AC">
        <w:rPr>
          <w:rFonts w:cs="Arial"/>
          <w:szCs w:val="20"/>
        </w:rPr>
        <w:t>2019)</w:t>
      </w:r>
      <w:r w:rsidR="00DA5EF8" w:rsidRPr="004377AC">
        <w:rPr>
          <w:rFonts w:cs="Arial"/>
          <w:szCs w:val="20"/>
        </w:rPr>
        <w:t>.</w:t>
      </w:r>
    </w:p>
    <w:p w14:paraId="09BF2C72" w14:textId="7E570F6D" w:rsidR="00DA5EF8" w:rsidRPr="004377AC" w:rsidRDefault="004377AC" w:rsidP="004377AC">
      <w:pPr>
        <w:ind w:left="709" w:hanging="709"/>
        <w:jc w:val="both"/>
        <w:rPr>
          <w:rFonts w:cs="Arial"/>
          <w:szCs w:val="20"/>
        </w:rPr>
      </w:pPr>
      <w:r>
        <w:rPr>
          <w:rFonts w:cs="Arial"/>
          <w:szCs w:val="20"/>
        </w:rPr>
        <w:t>–</w:t>
      </w:r>
      <w:r>
        <w:rPr>
          <w:rFonts w:cs="Arial"/>
          <w:szCs w:val="20"/>
        </w:rPr>
        <w:tab/>
      </w:r>
      <w:r w:rsidR="00DA5EF8" w:rsidRPr="004377AC">
        <w:rPr>
          <w:rFonts w:cs="Arial"/>
          <w:szCs w:val="20"/>
        </w:rPr>
        <w:t>12. 11. 2019 je potekal petletni univerzalni periodični pregled človekovih pravic v Ženevi.</w:t>
      </w:r>
    </w:p>
    <w:p w14:paraId="525BA2C7" w14:textId="38B0EFC5" w:rsidR="00DA5EF8" w:rsidRPr="004377AC" w:rsidRDefault="004377AC" w:rsidP="004377AC">
      <w:pPr>
        <w:ind w:left="709" w:hanging="709"/>
        <w:jc w:val="both"/>
        <w:rPr>
          <w:rFonts w:cs="Arial"/>
          <w:szCs w:val="20"/>
        </w:rPr>
      </w:pPr>
      <w:r>
        <w:rPr>
          <w:rFonts w:cs="Arial"/>
          <w:szCs w:val="20"/>
        </w:rPr>
        <w:t>–</w:t>
      </w:r>
      <w:r>
        <w:rPr>
          <w:rFonts w:cs="Arial"/>
          <w:szCs w:val="20"/>
        </w:rPr>
        <w:tab/>
      </w:r>
      <w:r w:rsidR="00DA5EF8" w:rsidRPr="004377AC">
        <w:rPr>
          <w:rFonts w:cs="Arial"/>
          <w:szCs w:val="20"/>
        </w:rPr>
        <w:t>Dne 19.</w:t>
      </w:r>
      <w:r w:rsidR="00D9321D">
        <w:rPr>
          <w:rFonts w:cs="Arial"/>
          <w:szCs w:val="20"/>
        </w:rPr>
        <w:t> </w:t>
      </w:r>
      <w:r w:rsidR="00DA5EF8" w:rsidRPr="004377AC">
        <w:rPr>
          <w:rFonts w:cs="Arial"/>
          <w:szCs w:val="20"/>
        </w:rPr>
        <w:t>9.</w:t>
      </w:r>
      <w:r w:rsidR="00D9321D">
        <w:rPr>
          <w:rFonts w:cs="Arial"/>
          <w:szCs w:val="20"/>
        </w:rPr>
        <w:t> </w:t>
      </w:r>
      <w:r w:rsidR="00DA5EF8" w:rsidRPr="004377AC">
        <w:rPr>
          <w:rFonts w:cs="Arial"/>
          <w:szCs w:val="20"/>
        </w:rPr>
        <w:t>2019 je v Beogradu, dne 26.</w:t>
      </w:r>
      <w:r w:rsidR="00D9321D">
        <w:rPr>
          <w:rFonts w:cs="Arial"/>
          <w:szCs w:val="20"/>
        </w:rPr>
        <w:t> </w:t>
      </w:r>
      <w:r w:rsidR="00DA5EF8" w:rsidRPr="004377AC">
        <w:rPr>
          <w:rFonts w:cs="Arial"/>
          <w:szCs w:val="20"/>
        </w:rPr>
        <w:t>9.</w:t>
      </w:r>
      <w:r w:rsidR="00D9321D">
        <w:rPr>
          <w:rFonts w:cs="Arial"/>
          <w:szCs w:val="20"/>
        </w:rPr>
        <w:t> </w:t>
      </w:r>
      <w:r w:rsidR="00DA5EF8" w:rsidRPr="004377AC">
        <w:rPr>
          <w:rFonts w:cs="Arial"/>
          <w:szCs w:val="20"/>
        </w:rPr>
        <w:t xml:space="preserve">2019 pa v Nišu potekal Zaposlitveni sejem na katerem sta bili stojnici MDDSZ za slovensko in srbsko službo za zaposlovanje, z namenom, da se obiskovalcem sejma lahko ponudili </w:t>
      </w:r>
      <w:proofErr w:type="gramStart"/>
      <w:r w:rsidR="00DA5EF8" w:rsidRPr="004377AC">
        <w:rPr>
          <w:rFonts w:cs="Arial"/>
          <w:szCs w:val="20"/>
        </w:rPr>
        <w:t>informacije</w:t>
      </w:r>
      <w:proofErr w:type="gramEnd"/>
      <w:r w:rsidR="00DA5EF8" w:rsidRPr="004377AC">
        <w:rPr>
          <w:rFonts w:cs="Arial"/>
          <w:szCs w:val="20"/>
        </w:rPr>
        <w:t>, ki jih bodo želeli.</w:t>
      </w:r>
    </w:p>
    <w:p w14:paraId="40E26E0F" w14:textId="77777777" w:rsidR="007838A2" w:rsidRPr="004377AC" w:rsidRDefault="007838A2" w:rsidP="004377AC">
      <w:pPr>
        <w:jc w:val="both"/>
        <w:rPr>
          <w:rFonts w:cs="Arial"/>
          <w:szCs w:val="20"/>
          <w:highlight w:val="yellow"/>
        </w:rPr>
      </w:pPr>
    </w:p>
    <w:p w14:paraId="49A4FC42" w14:textId="2E03FEEB" w:rsidR="007838A2" w:rsidRPr="004377AC" w:rsidRDefault="004377AC" w:rsidP="004377AC">
      <w:pPr>
        <w:jc w:val="both"/>
        <w:rPr>
          <w:rFonts w:cs="Arial"/>
          <w:b/>
          <w:szCs w:val="20"/>
        </w:rPr>
      </w:pPr>
      <w:r w:rsidRPr="004377AC">
        <w:rPr>
          <w:rFonts w:cs="Arial"/>
          <w:b/>
          <w:szCs w:val="20"/>
        </w:rPr>
        <w:t>–</w:t>
      </w:r>
      <w:r w:rsidRPr="004377AC">
        <w:rPr>
          <w:rFonts w:cs="Arial"/>
          <w:b/>
          <w:szCs w:val="20"/>
        </w:rPr>
        <w:tab/>
      </w:r>
      <w:r w:rsidR="007838A2" w:rsidRPr="004377AC">
        <w:rPr>
          <w:rFonts w:cs="Arial"/>
          <w:b/>
          <w:szCs w:val="20"/>
        </w:rPr>
        <w:t>Ministrstvo za kulturo</w:t>
      </w:r>
    </w:p>
    <w:p w14:paraId="6A574740" w14:textId="77777777" w:rsidR="004377AC" w:rsidRDefault="004377AC" w:rsidP="004377AC">
      <w:pPr>
        <w:jc w:val="both"/>
        <w:rPr>
          <w:rFonts w:eastAsia="Calibri" w:cs="Arial"/>
          <w:szCs w:val="20"/>
        </w:rPr>
      </w:pPr>
    </w:p>
    <w:p w14:paraId="0FB7086D" w14:textId="4EB3C0D5" w:rsidR="007838A2" w:rsidRPr="004377AC" w:rsidRDefault="007838A2" w:rsidP="004377AC">
      <w:pPr>
        <w:jc w:val="both"/>
        <w:rPr>
          <w:rFonts w:eastAsia="Calibri" w:cs="Arial"/>
          <w:szCs w:val="20"/>
        </w:rPr>
      </w:pPr>
      <w:r w:rsidRPr="004377AC">
        <w:rPr>
          <w:rFonts w:eastAsia="Calibri" w:cs="Arial"/>
          <w:szCs w:val="20"/>
        </w:rPr>
        <w:t>Ministrstvo za kulturo je v letu 2018 izvedlo ''Javni razpis za izbor operacij za večjo socialno vključenost pripadnikov ranljivih družbenih skupin na področju kulture v okviru Evropskega socialnega sklada v letih 2018 – 2019'', v okviru</w:t>
      </w:r>
      <w:proofErr w:type="gramStart"/>
      <w:r w:rsidRPr="004377AC">
        <w:rPr>
          <w:rFonts w:eastAsia="Calibri" w:cs="Arial"/>
          <w:szCs w:val="20"/>
        </w:rPr>
        <w:t xml:space="preserve"> katerega</w:t>
      </w:r>
      <w:proofErr w:type="gramEnd"/>
      <w:r w:rsidRPr="004377AC">
        <w:rPr>
          <w:rFonts w:eastAsia="Calibri" w:cs="Arial"/>
          <w:szCs w:val="20"/>
        </w:rPr>
        <w:t xml:space="preserve"> je bilo za sofinanciranje izbranih 12 operacij. Operacije so se začele izvajati oktobra </w:t>
      </w:r>
      <w:r w:rsidR="00D9321D">
        <w:rPr>
          <w:rFonts w:eastAsia="Calibri" w:cs="Arial"/>
          <w:szCs w:val="20"/>
        </w:rPr>
        <w:t>2018 in se bodo izvajale do 31. </w:t>
      </w:r>
      <w:r w:rsidRPr="004377AC">
        <w:rPr>
          <w:rFonts w:eastAsia="Calibri" w:cs="Arial"/>
          <w:szCs w:val="20"/>
        </w:rPr>
        <w:t>12.</w:t>
      </w:r>
      <w:r w:rsidR="00D9321D">
        <w:rPr>
          <w:rFonts w:eastAsia="Calibri" w:cs="Arial"/>
          <w:szCs w:val="20"/>
        </w:rPr>
        <w:t> </w:t>
      </w:r>
      <w:r w:rsidRPr="004377AC">
        <w:rPr>
          <w:rFonts w:eastAsia="Calibri" w:cs="Arial"/>
          <w:szCs w:val="20"/>
        </w:rPr>
        <w:t xml:space="preserve">2019. V šestih operacijah je opredeljeno, da bodo aktivnosti namenjene migrantom oziroma da bodo operacije vključevale tudi migrante. </w:t>
      </w:r>
    </w:p>
    <w:p w14:paraId="05BCC12A" w14:textId="77777777" w:rsidR="00490DF1" w:rsidRPr="004377AC" w:rsidRDefault="00490DF1" w:rsidP="004377AC">
      <w:pPr>
        <w:pStyle w:val="Odstavekseznama"/>
        <w:spacing w:after="0" w:line="260" w:lineRule="exact"/>
        <w:ind w:left="360"/>
        <w:jc w:val="both"/>
        <w:rPr>
          <w:rFonts w:ascii="Arial" w:hAnsi="Arial" w:cs="Arial"/>
          <w:sz w:val="20"/>
          <w:szCs w:val="20"/>
          <w:highlight w:val="yellow"/>
        </w:rPr>
      </w:pPr>
    </w:p>
    <w:p w14:paraId="354B1644" w14:textId="77777777" w:rsidR="00C911C9" w:rsidRPr="004377AC" w:rsidRDefault="00C911C9" w:rsidP="004377AC">
      <w:pPr>
        <w:pStyle w:val="Odstavekseznama"/>
        <w:numPr>
          <w:ilvl w:val="0"/>
          <w:numId w:val="14"/>
        </w:numPr>
        <w:spacing w:after="0" w:line="260" w:lineRule="exact"/>
        <w:ind w:hanging="720"/>
        <w:jc w:val="both"/>
        <w:rPr>
          <w:rFonts w:ascii="Arial" w:hAnsi="Arial" w:cs="Arial"/>
          <w:b/>
          <w:sz w:val="20"/>
          <w:szCs w:val="20"/>
          <w:u w:val="single"/>
        </w:rPr>
      </w:pPr>
      <w:r w:rsidRPr="004377AC">
        <w:rPr>
          <w:rFonts w:ascii="Arial" w:hAnsi="Arial" w:cs="Arial"/>
          <w:b/>
          <w:sz w:val="20"/>
          <w:szCs w:val="20"/>
          <w:u w:val="single"/>
        </w:rPr>
        <w:t>Spremembe, ki bi lahko vplivale na stanje na področju migracij</w:t>
      </w:r>
    </w:p>
    <w:p w14:paraId="1CA1F669" w14:textId="77777777" w:rsidR="00EA5705" w:rsidRPr="004377AC" w:rsidRDefault="00EA5705" w:rsidP="004377AC">
      <w:pPr>
        <w:jc w:val="both"/>
        <w:rPr>
          <w:rFonts w:cs="Arial"/>
          <w:b/>
          <w:szCs w:val="20"/>
          <w:highlight w:val="yellow"/>
        </w:rPr>
      </w:pPr>
    </w:p>
    <w:p w14:paraId="0C76ED78" w14:textId="53F91E37" w:rsidR="00EA5705" w:rsidRPr="004377AC" w:rsidRDefault="004377AC" w:rsidP="004377AC">
      <w:pPr>
        <w:jc w:val="both"/>
        <w:rPr>
          <w:rFonts w:cs="Arial"/>
          <w:b/>
          <w:szCs w:val="20"/>
        </w:rPr>
      </w:pPr>
      <w:r>
        <w:rPr>
          <w:rFonts w:cs="Arial"/>
          <w:b/>
          <w:szCs w:val="20"/>
        </w:rPr>
        <w:t>–</w:t>
      </w:r>
      <w:r>
        <w:rPr>
          <w:rFonts w:cs="Arial"/>
          <w:b/>
          <w:szCs w:val="20"/>
        </w:rPr>
        <w:tab/>
      </w:r>
      <w:r w:rsidR="00EA5705" w:rsidRPr="004377AC">
        <w:rPr>
          <w:rFonts w:cs="Arial"/>
          <w:b/>
          <w:szCs w:val="20"/>
        </w:rPr>
        <w:t>Ministrstvo za notranje zadeve</w:t>
      </w:r>
    </w:p>
    <w:p w14:paraId="1708FA87" w14:textId="77777777" w:rsidR="004377AC" w:rsidRDefault="004377AC" w:rsidP="004377AC">
      <w:pPr>
        <w:jc w:val="both"/>
        <w:rPr>
          <w:rFonts w:eastAsia="Calibri" w:cs="Arial"/>
          <w:szCs w:val="20"/>
          <w:lang w:eastAsia="sl-SI"/>
        </w:rPr>
      </w:pPr>
    </w:p>
    <w:p w14:paraId="4980C778" w14:textId="3793C139" w:rsidR="00B53094" w:rsidRPr="004377AC" w:rsidRDefault="00CF7E6E" w:rsidP="004377AC">
      <w:pPr>
        <w:jc w:val="both"/>
        <w:rPr>
          <w:rFonts w:eastAsia="Calibri" w:cs="Arial"/>
          <w:szCs w:val="20"/>
          <w:lang w:eastAsia="sl-SI"/>
        </w:rPr>
      </w:pPr>
      <w:r w:rsidRPr="004377AC">
        <w:rPr>
          <w:rFonts w:eastAsia="Calibri" w:cs="Arial"/>
          <w:szCs w:val="20"/>
          <w:lang w:eastAsia="sl-SI"/>
        </w:rPr>
        <w:t xml:space="preserve">Na področju </w:t>
      </w:r>
      <w:r w:rsidR="00AA5147" w:rsidRPr="004377AC">
        <w:rPr>
          <w:rFonts w:eastAsia="Calibri" w:cs="Arial"/>
          <w:szCs w:val="20"/>
          <w:lang w:eastAsia="sl-SI"/>
        </w:rPr>
        <w:t xml:space="preserve">mednarodne zaščite se nadaljuje trend povečevanja števila prošenj za mednarodno zaščito, ki je prisoten v zadnjih letih. </w:t>
      </w:r>
      <w:r w:rsidR="00B53094" w:rsidRPr="004377AC">
        <w:rPr>
          <w:rFonts w:eastAsia="Calibri" w:cs="Arial"/>
          <w:szCs w:val="20"/>
          <w:lang w:eastAsia="sl-SI"/>
        </w:rPr>
        <w:t xml:space="preserve">V letu 2018 je bilo vloženih 2.875 prošenj za mednarodno zaščito. Glede na leto 2017 je bilo vloženih 1399 prošenj več oziroma </w:t>
      </w:r>
      <w:proofErr w:type="gramStart"/>
      <w:r w:rsidR="00B53094" w:rsidRPr="004377AC">
        <w:rPr>
          <w:rFonts w:eastAsia="Calibri" w:cs="Arial"/>
          <w:szCs w:val="20"/>
          <w:lang w:eastAsia="sl-SI"/>
        </w:rPr>
        <w:t>skoraj</w:t>
      </w:r>
      <w:proofErr w:type="gramEnd"/>
      <w:r w:rsidR="00B53094" w:rsidRPr="004377AC">
        <w:rPr>
          <w:rFonts w:eastAsia="Calibri" w:cs="Arial"/>
          <w:szCs w:val="20"/>
          <w:lang w:eastAsia="sl-SI"/>
        </w:rPr>
        <w:t xml:space="preserve"> 95 odstotkov več, v primerjavi z letom 2016 pa to pomeni skoraj 220-odstotno povečanje števila vloženih prošenj za mednarodno zaščito.</w:t>
      </w:r>
      <w:r w:rsidR="00F91557" w:rsidRPr="004377AC">
        <w:rPr>
          <w:rFonts w:eastAsia="Calibri" w:cs="Arial"/>
          <w:szCs w:val="20"/>
          <w:lang w:eastAsia="sl-SI"/>
        </w:rPr>
        <w:t xml:space="preserve"> </w:t>
      </w:r>
    </w:p>
    <w:p w14:paraId="6C712D3E" w14:textId="77777777" w:rsidR="00FA0A18" w:rsidRPr="004377AC" w:rsidRDefault="00EA5705" w:rsidP="004377AC">
      <w:pPr>
        <w:jc w:val="both"/>
        <w:rPr>
          <w:rFonts w:eastAsia="Calibri" w:cs="Arial"/>
          <w:i/>
          <w:szCs w:val="20"/>
          <w:highlight w:val="yellow"/>
          <w:u w:val="single"/>
        </w:rPr>
      </w:pPr>
      <w:r w:rsidRPr="004377AC">
        <w:rPr>
          <w:rFonts w:eastAsia="Calibri" w:cs="Arial"/>
          <w:szCs w:val="20"/>
          <w:highlight w:val="yellow"/>
          <w:u w:val="single"/>
        </w:rPr>
        <w:t xml:space="preserve"> </w:t>
      </w:r>
    </w:p>
    <w:p w14:paraId="4CE19DE2" w14:textId="719324C1" w:rsidR="00F91557" w:rsidRPr="004377AC" w:rsidRDefault="00737BD3" w:rsidP="004377AC">
      <w:pPr>
        <w:jc w:val="both"/>
        <w:rPr>
          <w:rFonts w:eastAsia="Calibri" w:cs="Arial"/>
          <w:i/>
          <w:szCs w:val="20"/>
          <w:u w:val="single"/>
        </w:rPr>
      </w:pPr>
      <w:r w:rsidRPr="004377AC">
        <w:rPr>
          <w:rFonts w:eastAsia="Calibri" w:cs="Arial"/>
          <w:i/>
          <w:szCs w:val="20"/>
          <w:u w:val="single"/>
        </w:rPr>
        <w:t>Število</w:t>
      </w:r>
      <w:r w:rsidR="00F91557" w:rsidRPr="004377AC">
        <w:rPr>
          <w:rFonts w:eastAsia="Calibri" w:cs="Arial"/>
          <w:i/>
          <w:szCs w:val="20"/>
          <w:u w:val="single"/>
        </w:rPr>
        <w:t xml:space="preserve"> prošenj</w:t>
      </w:r>
      <w:r w:rsidRPr="004377AC">
        <w:rPr>
          <w:rFonts w:eastAsia="Calibri" w:cs="Arial"/>
          <w:i/>
          <w:szCs w:val="20"/>
          <w:u w:val="single"/>
        </w:rPr>
        <w:t xml:space="preserve"> za mednarodno zaščito</w:t>
      </w:r>
      <w:r w:rsidR="00F91557" w:rsidRPr="004377AC">
        <w:rPr>
          <w:rFonts w:eastAsia="Calibri" w:cs="Arial"/>
          <w:i/>
          <w:szCs w:val="20"/>
          <w:u w:val="single"/>
        </w:rPr>
        <w:t xml:space="preserve"> v letu 2019</w:t>
      </w:r>
    </w:p>
    <w:tbl>
      <w:tblPr>
        <w:tblStyle w:val="Tabelamrea"/>
        <w:tblW w:w="0" w:type="auto"/>
        <w:jc w:val="center"/>
        <w:tblLook w:val="04A0" w:firstRow="1" w:lastRow="0" w:firstColumn="1" w:lastColumn="0" w:noHBand="0" w:noVBand="1"/>
      </w:tblPr>
      <w:tblGrid>
        <w:gridCol w:w="828"/>
        <w:gridCol w:w="917"/>
        <w:gridCol w:w="786"/>
        <w:gridCol w:w="696"/>
        <w:gridCol w:w="709"/>
        <w:gridCol w:w="708"/>
        <w:gridCol w:w="567"/>
        <w:gridCol w:w="851"/>
        <w:gridCol w:w="1195"/>
        <w:gridCol w:w="1073"/>
        <w:gridCol w:w="958"/>
      </w:tblGrid>
      <w:tr w:rsidR="00737BD3" w:rsidRPr="00EB7687" w14:paraId="7B0ABA5E" w14:textId="77777777" w:rsidTr="004377AC">
        <w:trPr>
          <w:jc w:val="center"/>
        </w:trPr>
        <w:tc>
          <w:tcPr>
            <w:tcW w:w="828" w:type="dxa"/>
            <w:vAlign w:val="center"/>
          </w:tcPr>
          <w:p w14:paraId="77954E84" w14:textId="735AD104" w:rsidR="00737BD3" w:rsidRPr="00737BD3" w:rsidRDefault="00737BD3" w:rsidP="00F91557">
            <w:pPr>
              <w:spacing w:after="160" w:line="256" w:lineRule="auto"/>
              <w:jc w:val="both"/>
              <w:rPr>
                <w:rFonts w:eastAsia="Calibri" w:cs="Arial"/>
                <w:szCs w:val="20"/>
              </w:rPr>
            </w:pPr>
            <w:r w:rsidRPr="00737BD3">
              <w:rPr>
                <w:rFonts w:eastAsia="Calibri" w:cs="Arial"/>
                <w:szCs w:val="20"/>
              </w:rPr>
              <w:t>Januar</w:t>
            </w:r>
          </w:p>
        </w:tc>
        <w:tc>
          <w:tcPr>
            <w:tcW w:w="917" w:type="dxa"/>
            <w:vAlign w:val="center"/>
          </w:tcPr>
          <w:p w14:paraId="35F2080D" w14:textId="1448C8EA" w:rsidR="00737BD3" w:rsidRPr="00737BD3" w:rsidRDefault="00737BD3" w:rsidP="00F91557">
            <w:pPr>
              <w:spacing w:after="160" w:line="256" w:lineRule="auto"/>
              <w:jc w:val="both"/>
              <w:rPr>
                <w:rFonts w:eastAsia="Calibri" w:cs="Arial"/>
                <w:szCs w:val="20"/>
              </w:rPr>
            </w:pPr>
            <w:r w:rsidRPr="00737BD3">
              <w:rPr>
                <w:rFonts w:eastAsia="Calibri" w:cs="Arial"/>
                <w:szCs w:val="20"/>
              </w:rPr>
              <w:t>Februar</w:t>
            </w:r>
          </w:p>
        </w:tc>
        <w:tc>
          <w:tcPr>
            <w:tcW w:w="786" w:type="dxa"/>
            <w:vAlign w:val="center"/>
          </w:tcPr>
          <w:p w14:paraId="212BBC5B" w14:textId="4BF7D436" w:rsidR="00737BD3" w:rsidRPr="00737BD3" w:rsidRDefault="00737BD3" w:rsidP="00F91557">
            <w:pPr>
              <w:spacing w:after="160" w:line="256" w:lineRule="auto"/>
              <w:jc w:val="both"/>
              <w:rPr>
                <w:rFonts w:eastAsia="Calibri" w:cs="Arial"/>
                <w:szCs w:val="20"/>
              </w:rPr>
            </w:pPr>
            <w:r w:rsidRPr="00737BD3">
              <w:rPr>
                <w:rFonts w:eastAsia="Calibri" w:cs="Arial"/>
                <w:szCs w:val="20"/>
              </w:rPr>
              <w:t>Marec</w:t>
            </w:r>
          </w:p>
        </w:tc>
        <w:tc>
          <w:tcPr>
            <w:tcW w:w="696" w:type="dxa"/>
            <w:vAlign w:val="center"/>
          </w:tcPr>
          <w:p w14:paraId="25E5BC89" w14:textId="47A437D7" w:rsidR="00737BD3" w:rsidRPr="00737BD3" w:rsidRDefault="00737BD3" w:rsidP="00F91557">
            <w:pPr>
              <w:spacing w:after="160" w:line="256" w:lineRule="auto"/>
              <w:jc w:val="both"/>
              <w:rPr>
                <w:rFonts w:eastAsia="Calibri" w:cs="Arial"/>
                <w:szCs w:val="20"/>
              </w:rPr>
            </w:pPr>
            <w:r w:rsidRPr="00737BD3">
              <w:rPr>
                <w:rFonts w:eastAsia="Calibri" w:cs="Arial"/>
                <w:szCs w:val="20"/>
              </w:rPr>
              <w:t>April</w:t>
            </w:r>
          </w:p>
        </w:tc>
        <w:tc>
          <w:tcPr>
            <w:tcW w:w="709" w:type="dxa"/>
            <w:vAlign w:val="center"/>
          </w:tcPr>
          <w:p w14:paraId="797EA690" w14:textId="419E74AE" w:rsidR="00737BD3" w:rsidRPr="00737BD3" w:rsidRDefault="00737BD3" w:rsidP="00F91557">
            <w:pPr>
              <w:spacing w:after="160" w:line="256" w:lineRule="auto"/>
              <w:jc w:val="both"/>
              <w:rPr>
                <w:rFonts w:eastAsia="Calibri" w:cs="Arial"/>
                <w:szCs w:val="20"/>
              </w:rPr>
            </w:pPr>
            <w:r w:rsidRPr="00737BD3">
              <w:rPr>
                <w:rFonts w:eastAsia="Calibri" w:cs="Arial"/>
                <w:szCs w:val="20"/>
              </w:rPr>
              <w:t>Maj</w:t>
            </w:r>
          </w:p>
        </w:tc>
        <w:tc>
          <w:tcPr>
            <w:tcW w:w="708" w:type="dxa"/>
            <w:vAlign w:val="center"/>
          </w:tcPr>
          <w:p w14:paraId="0AC8D781" w14:textId="4AC4CE81" w:rsidR="00737BD3" w:rsidRPr="00737BD3" w:rsidRDefault="00737BD3" w:rsidP="00F91557">
            <w:pPr>
              <w:spacing w:after="160" w:line="256" w:lineRule="auto"/>
              <w:jc w:val="both"/>
              <w:rPr>
                <w:rFonts w:eastAsia="Calibri" w:cs="Arial"/>
                <w:szCs w:val="20"/>
              </w:rPr>
            </w:pPr>
            <w:r w:rsidRPr="00737BD3">
              <w:rPr>
                <w:rFonts w:eastAsia="Calibri" w:cs="Arial"/>
                <w:szCs w:val="20"/>
              </w:rPr>
              <w:t>Junij</w:t>
            </w:r>
          </w:p>
        </w:tc>
        <w:tc>
          <w:tcPr>
            <w:tcW w:w="567" w:type="dxa"/>
            <w:vAlign w:val="center"/>
          </w:tcPr>
          <w:p w14:paraId="560026A3" w14:textId="029C14FE" w:rsidR="00737BD3" w:rsidRPr="00737BD3" w:rsidRDefault="00737BD3" w:rsidP="007C5393">
            <w:pPr>
              <w:spacing w:after="160" w:line="256" w:lineRule="auto"/>
              <w:jc w:val="center"/>
              <w:rPr>
                <w:rFonts w:eastAsia="Calibri" w:cs="Arial"/>
                <w:szCs w:val="20"/>
              </w:rPr>
            </w:pPr>
            <w:r w:rsidRPr="00737BD3">
              <w:rPr>
                <w:rFonts w:eastAsia="Calibri" w:cs="Arial"/>
                <w:szCs w:val="20"/>
              </w:rPr>
              <w:t>Julij</w:t>
            </w:r>
          </w:p>
        </w:tc>
        <w:tc>
          <w:tcPr>
            <w:tcW w:w="851" w:type="dxa"/>
            <w:vAlign w:val="center"/>
          </w:tcPr>
          <w:p w14:paraId="33F16206" w14:textId="7E8B156F" w:rsidR="00737BD3" w:rsidRPr="007C5393" w:rsidRDefault="00737BD3" w:rsidP="007C5393">
            <w:pPr>
              <w:spacing w:after="160" w:line="256" w:lineRule="auto"/>
              <w:jc w:val="center"/>
              <w:rPr>
                <w:rFonts w:eastAsia="Calibri" w:cs="Arial"/>
                <w:szCs w:val="20"/>
              </w:rPr>
            </w:pPr>
            <w:r w:rsidRPr="007C5393">
              <w:rPr>
                <w:rFonts w:eastAsia="Calibri" w:cs="Arial"/>
                <w:szCs w:val="20"/>
              </w:rPr>
              <w:t>Avgust</w:t>
            </w:r>
          </w:p>
        </w:tc>
        <w:tc>
          <w:tcPr>
            <w:tcW w:w="1195" w:type="dxa"/>
            <w:vAlign w:val="center"/>
          </w:tcPr>
          <w:p w14:paraId="7E0209A6" w14:textId="6753B3F6" w:rsidR="00737BD3" w:rsidRPr="007C5393" w:rsidRDefault="00737BD3" w:rsidP="007C5393">
            <w:pPr>
              <w:spacing w:after="160" w:line="256" w:lineRule="auto"/>
              <w:jc w:val="center"/>
              <w:rPr>
                <w:rFonts w:eastAsia="Calibri" w:cs="Arial"/>
                <w:szCs w:val="20"/>
              </w:rPr>
            </w:pPr>
            <w:r w:rsidRPr="007C5393">
              <w:rPr>
                <w:rFonts w:eastAsia="Calibri" w:cs="Arial"/>
                <w:szCs w:val="20"/>
              </w:rPr>
              <w:t>September</w:t>
            </w:r>
          </w:p>
        </w:tc>
        <w:tc>
          <w:tcPr>
            <w:tcW w:w="1073" w:type="dxa"/>
            <w:vAlign w:val="center"/>
          </w:tcPr>
          <w:p w14:paraId="46FEC224" w14:textId="5D4996DC" w:rsidR="00737BD3" w:rsidRPr="007C5393" w:rsidRDefault="00737BD3" w:rsidP="007C5393">
            <w:pPr>
              <w:spacing w:after="160" w:line="256" w:lineRule="auto"/>
              <w:jc w:val="center"/>
              <w:rPr>
                <w:rFonts w:eastAsia="Calibri" w:cs="Arial"/>
                <w:szCs w:val="20"/>
              </w:rPr>
            </w:pPr>
            <w:r w:rsidRPr="007C5393">
              <w:rPr>
                <w:rFonts w:eastAsia="Calibri" w:cs="Arial"/>
                <w:szCs w:val="20"/>
              </w:rPr>
              <w:t>Oktober</w:t>
            </w:r>
          </w:p>
        </w:tc>
        <w:tc>
          <w:tcPr>
            <w:tcW w:w="958" w:type="dxa"/>
            <w:vAlign w:val="center"/>
          </w:tcPr>
          <w:p w14:paraId="5ED70C96" w14:textId="119E9ECB" w:rsidR="00737BD3" w:rsidRPr="007C5393" w:rsidRDefault="00737BD3" w:rsidP="004377AC">
            <w:pPr>
              <w:spacing w:after="160" w:line="256" w:lineRule="auto"/>
              <w:jc w:val="both"/>
              <w:rPr>
                <w:rFonts w:eastAsia="Calibri" w:cs="Arial"/>
                <w:szCs w:val="20"/>
              </w:rPr>
            </w:pPr>
            <w:r w:rsidRPr="007C5393">
              <w:rPr>
                <w:rFonts w:eastAsia="Calibri" w:cs="Arial"/>
                <w:szCs w:val="20"/>
              </w:rPr>
              <w:t>Skupaj (do 31.</w:t>
            </w:r>
            <w:r w:rsidR="004377AC">
              <w:rPr>
                <w:rFonts w:eastAsia="Calibri" w:cs="Arial"/>
                <w:szCs w:val="20"/>
              </w:rPr>
              <w:t> </w:t>
            </w:r>
            <w:r w:rsidRPr="007C5393">
              <w:rPr>
                <w:rFonts w:eastAsia="Calibri" w:cs="Arial"/>
                <w:szCs w:val="20"/>
              </w:rPr>
              <w:t>10.)</w:t>
            </w:r>
          </w:p>
        </w:tc>
      </w:tr>
      <w:tr w:rsidR="00737BD3" w:rsidRPr="00EB7687" w14:paraId="0EC357C7" w14:textId="77777777" w:rsidTr="004377AC">
        <w:trPr>
          <w:jc w:val="center"/>
        </w:trPr>
        <w:tc>
          <w:tcPr>
            <w:tcW w:w="828" w:type="dxa"/>
            <w:vAlign w:val="center"/>
          </w:tcPr>
          <w:p w14:paraId="659CAD38" w14:textId="378540AA" w:rsidR="00737BD3" w:rsidRPr="00737BD3" w:rsidRDefault="00737BD3" w:rsidP="0083257D">
            <w:pPr>
              <w:spacing w:after="160" w:line="256" w:lineRule="auto"/>
              <w:jc w:val="center"/>
              <w:rPr>
                <w:rFonts w:eastAsia="Calibri" w:cs="Arial"/>
                <w:szCs w:val="20"/>
              </w:rPr>
            </w:pPr>
            <w:r w:rsidRPr="00737BD3">
              <w:rPr>
                <w:rFonts w:eastAsia="Calibri" w:cs="Arial"/>
                <w:szCs w:val="20"/>
              </w:rPr>
              <w:t>205</w:t>
            </w:r>
          </w:p>
        </w:tc>
        <w:tc>
          <w:tcPr>
            <w:tcW w:w="917" w:type="dxa"/>
            <w:vAlign w:val="center"/>
          </w:tcPr>
          <w:p w14:paraId="46AE2DF6" w14:textId="190B54B9" w:rsidR="00737BD3" w:rsidRPr="00737BD3" w:rsidRDefault="00737BD3" w:rsidP="0083257D">
            <w:pPr>
              <w:spacing w:after="160" w:line="256" w:lineRule="auto"/>
              <w:jc w:val="center"/>
              <w:rPr>
                <w:rFonts w:eastAsia="Calibri" w:cs="Arial"/>
                <w:szCs w:val="20"/>
              </w:rPr>
            </w:pPr>
            <w:r w:rsidRPr="00737BD3">
              <w:rPr>
                <w:rFonts w:eastAsia="Calibri" w:cs="Arial"/>
                <w:szCs w:val="20"/>
              </w:rPr>
              <w:t>216</w:t>
            </w:r>
          </w:p>
        </w:tc>
        <w:tc>
          <w:tcPr>
            <w:tcW w:w="786" w:type="dxa"/>
            <w:vAlign w:val="center"/>
          </w:tcPr>
          <w:p w14:paraId="2326106F" w14:textId="22A812D5" w:rsidR="00737BD3" w:rsidRPr="00737BD3" w:rsidRDefault="00737BD3" w:rsidP="0083257D">
            <w:pPr>
              <w:spacing w:after="160" w:line="256" w:lineRule="auto"/>
              <w:jc w:val="center"/>
              <w:rPr>
                <w:rFonts w:eastAsia="Calibri" w:cs="Arial"/>
                <w:szCs w:val="20"/>
              </w:rPr>
            </w:pPr>
            <w:r w:rsidRPr="00737BD3">
              <w:rPr>
                <w:rFonts w:eastAsia="Calibri" w:cs="Arial"/>
                <w:szCs w:val="20"/>
              </w:rPr>
              <w:t>356</w:t>
            </w:r>
          </w:p>
        </w:tc>
        <w:tc>
          <w:tcPr>
            <w:tcW w:w="696" w:type="dxa"/>
            <w:vAlign w:val="center"/>
          </w:tcPr>
          <w:p w14:paraId="0651328B" w14:textId="2C992A86" w:rsidR="00737BD3" w:rsidRPr="00737BD3" w:rsidRDefault="00737BD3" w:rsidP="0083257D">
            <w:pPr>
              <w:spacing w:after="160" w:line="256" w:lineRule="auto"/>
              <w:jc w:val="center"/>
              <w:rPr>
                <w:rFonts w:eastAsia="Calibri" w:cs="Arial"/>
                <w:szCs w:val="20"/>
              </w:rPr>
            </w:pPr>
            <w:r w:rsidRPr="00737BD3">
              <w:rPr>
                <w:rFonts w:eastAsia="Calibri" w:cs="Arial"/>
                <w:szCs w:val="20"/>
              </w:rPr>
              <w:t>334</w:t>
            </w:r>
          </w:p>
        </w:tc>
        <w:tc>
          <w:tcPr>
            <w:tcW w:w="709" w:type="dxa"/>
            <w:vAlign w:val="center"/>
          </w:tcPr>
          <w:p w14:paraId="740CA528" w14:textId="7F7DB870" w:rsidR="00737BD3" w:rsidRPr="00737BD3" w:rsidRDefault="00737BD3" w:rsidP="0083257D">
            <w:pPr>
              <w:spacing w:after="160" w:line="256" w:lineRule="auto"/>
              <w:jc w:val="center"/>
              <w:rPr>
                <w:rFonts w:eastAsia="Calibri" w:cs="Arial"/>
                <w:szCs w:val="20"/>
              </w:rPr>
            </w:pPr>
            <w:r w:rsidRPr="00737BD3">
              <w:rPr>
                <w:rFonts w:eastAsia="Calibri" w:cs="Arial"/>
                <w:szCs w:val="20"/>
              </w:rPr>
              <w:t>404</w:t>
            </w:r>
          </w:p>
        </w:tc>
        <w:tc>
          <w:tcPr>
            <w:tcW w:w="708" w:type="dxa"/>
            <w:vAlign w:val="center"/>
          </w:tcPr>
          <w:p w14:paraId="2428E53F" w14:textId="2B42C944" w:rsidR="00737BD3" w:rsidRPr="00737BD3" w:rsidRDefault="00737BD3" w:rsidP="0083257D">
            <w:pPr>
              <w:spacing w:after="160" w:line="256" w:lineRule="auto"/>
              <w:jc w:val="center"/>
              <w:rPr>
                <w:rFonts w:eastAsia="Calibri" w:cs="Arial"/>
                <w:szCs w:val="20"/>
              </w:rPr>
            </w:pPr>
            <w:r w:rsidRPr="00737BD3">
              <w:rPr>
                <w:rFonts w:eastAsia="Calibri" w:cs="Arial"/>
                <w:szCs w:val="20"/>
              </w:rPr>
              <w:t>287</w:t>
            </w:r>
          </w:p>
        </w:tc>
        <w:tc>
          <w:tcPr>
            <w:tcW w:w="567" w:type="dxa"/>
            <w:vAlign w:val="center"/>
          </w:tcPr>
          <w:p w14:paraId="4FEF6326" w14:textId="242F4679" w:rsidR="00737BD3" w:rsidRPr="00737BD3" w:rsidRDefault="00737BD3" w:rsidP="0083257D">
            <w:pPr>
              <w:spacing w:after="160" w:line="256" w:lineRule="auto"/>
              <w:jc w:val="center"/>
              <w:rPr>
                <w:rFonts w:eastAsia="Calibri" w:cs="Arial"/>
                <w:szCs w:val="20"/>
              </w:rPr>
            </w:pPr>
            <w:r w:rsidRPr="00737BD3">
              <w:rPr>
                <w:rFonts w:eastAsia="Calibri" w:cs="Arial"/>
                <w:szCs w:val="20"/>
              </w:rPr>
              <w:t>387</w:t>
            </w:r>
          </w:p>
        </w:tc>
        <w:tc>
          <w:tcPr>
            <w:tcW w:w="851" w:type="dxa"/>
          </w:tcPr>
          <w:p w14:paraId="1183F07F" w14:textId="0C39650A" w:rsidR="00737BD3" w:rsidRPr="007C5393" w:rsidRDefault="007C5393" w:rsidP="0083257D">
            <w:pPr>
              <w:spacing w:after="160" w:line="256" w:lineRule="auto"/>
              <w:jc w:val="center"/>
              <w:rPr>
                <w:rFonts w:eastAsia="Calibri" w:cs="Arial"/>
                <w:szCs w:val="20"/>
              </w:rPr>
            </w:pPr>
            <w:r w:rsidRPr="007C5393">
              <w:rPr>
                <w:rFonts w:eastAsia="Calibri" w:cs="Arial"/>
                <w:szCs w:val="20"/>
              </w:rPr>
              <w:t>388</w:t>
            </w:r>
          </w:p>
        </w:tc>
        <w:tc>
          <w:tcPr>
            <w:tcW w:w="1195" w:type="dxa"/>
          </w:tcPr>
          <w:p w14:paraId="3C52B591" w14:textId="010CDB08" w:rsidR="00737BD3" w:rsidRPr="007C5393" w:rsidRDefault="007C5393" w:rsidP="0083257D">
            <w:pPr>
              <w:spacing w:after="160" w:line="256" w:lineRule="auto"/>
              <w:jc w:val="center"/>
              <w:rPr>
                <w:rFonts w:eastAsia="Calibri" w:cs="Arial"/>
                <w:szCs w:val="20"/>
              </w:rPr>
            </w:pPr>
            <w:r w:rsidRPr="007C5393">
              <w:rPr>
                <w:rFonts w:eastAsia="Calibri" w:cs="Arial"/>
                <w:szCs w:val="20"/>
              </w:rPr>
              <w:t>356</w:t>
            </w:r>
          </w:p>
        </w:tc>
        <w:tc>
          <w:tcPr>
            <w:tcW w:w="1073" w:type="dxa"/>
          </w:tcPr>
          <w:p w14:paraId="3941AA27" w14:textId="2F967018" w:rsidR="00737BD3" w:rsidRPr="007C5393" w:rsidRDefault="007C5393" w:rsidP="0083257D">
            <w:pPr>
              <w:spacing w:after="160" w:line="256" w:lineRule="auto"/>
              <w:jc w:val="center"/>
              <w:rPr>
                <w:rFonts w:eastAsia="Calibri" w:cs="Arial"/>
                <w:szCs w:val="20"/>
              </w:rPr>
            </w:pPr>
            <w:r w:rsidRPr="007C5393">
              <w:rPr>
                <w:rFonts w:eastAsia="Calibri" w:cs="Arial"/>
                <w:szCs w:val="20"/>
              </w:rPr>
              <w:t>417</w:t>
            </w:r>
          </w:p>
        </w:tc>
        <w:tc>
          <w:tcPr>
            <w:tcW w:w="958" w:type="dxa"/>
            <w:vAlign w:val="center"/>
          </w:tcPr>
          <w:p w14:paraId="2DBB8AAA" w14:textId="7B4AC596" w:rsidR="00737BD3" w:rsidRPr="007C5393" w:rsidRDefault="007C5393" w:rsidP="0083257D">
            <w:pPr>
              <w:spacing w:after="160" w:line="256" w:lineRule="auto"/>
              <w:jc w:val="center"/>
              <w:rPr>
                <w:rFonts w:eastAsia="Calibri" w:cs="Arial"/>
                <w:szCs w:val="20"/>
              </w:rPr>
            </w:pPr>
            <w:r w:rsidRPr="007C5393">
              <w:rPr>
                <w:rFonts w:eastAsia="Calibri" w:cs="Arial"/>
                <w:szCs w:val="20"/>
              </w:rPr>
              <w:t>3350</w:t>
            </w:r>
          </w:p>
        </w:tc>
      </w:tr>
    </w:tbl>
    <w:p w14:paraId="6D934545" w14:textId="64BB7E8D" w:rsidR="00F62885" w:rsidRDefault="00F62885" w:rsidP="00EA5705">
      <w:pPr>
        <w:spacing w:after="160" w:line="256" w:lineRule="auto"/>
        <w:jc w:val="both"/>
        <w:rPr>
          <w:rFonts w:eastAsia="Calibri" w:cs="Arial"/>
          <w:i/>
          <w:szCs w:val="20"/>
          <w:highlight w:val="yellow"/>
          <w:u w:val="single"/>
        </w:rPr>
      </w:pPr>
    </w:p>
    <w:p w14:paraId="3C8CF4A2" w14:textId="531696E4" w:rsidR="007A0245" w:rsidRPr="007A0245" w:rsidRDefault="00EA58CF" w:rsidP="004377AC">
      <w:pPr>
        <w:jc w:val="both"/>
        <w:rPr>
          <w:rFonts w:eastAsia="Calibri" w:cs="Arial"/>
          <w:szCs w:val="20"/>
        </w:rPr>
      </w:pPr>
      <w:r>
        <w:rPr>
          <w:rFonts w:eastAsia="Calibri" w:cs="Arial"/>
          <w:szCs w:val="20"/>
        </w:rPr>
        <w:t>Poleg tega je v porastu k</w:t>
      </w:r>
      <w:r w:rsidR="007A0245" w:rsidRPr="007A0245">
        <w:rPr>
          <w:rFonts w:eastAsia="Calibri" w:cs="Arial"/>
          <w:szCs w:val="20"/>
        </w:rPr>
        <w:t xml:space="preserve">riminaliteta s področja organiziranih nedovoljenih migracij. Število osumljencev kaznivih dejanj Prepovedano prehajanje meje in ozemlja države se je povečalo za 86 odstotkov. Lani </w:t>
      </w:r>
      <w:r>
        <w:rPr>
          <w:rFonts w:eastAsia="Calibri" w:cs="Arial"/>
          <w:szCs w:val="20"/>
        </w:rPr>
        <w:t>je bilo obravnavanih</w:t>
      </w:r>
      <w:r w:rsidR="007A0245" w:rsidRPr="007A0245">
        <w:rPr>
          <w:rFonts w:eastAsia="Calibri" w:cs="Arial"/>
          <w:szCs w:val="20"/>
        </w:rPr>
        <w:t xml:space="preserve"> 205, letos </w:t>
      </w:r>
      <w:r>
        <w:rPr>
          <w:rFonts w:eastAsia="Calibri" w:cs="Arial"/>
          <w:szCs w:val="20"/>
        </w:rPr>
        <w:t>pa</w:t>
      </w:r>
      <w:r w:rsidR="007A0245" w:rsidRPr="007A0245">
        <w:rPr>
          <w:rFonts w:eastAsia="Calibri" w:cs="Arial"/>
          <w:szCs w:val="20"/>
        </w:rPr>
        <w:t xml:space="preserve"> 382 osumljencev.</w:t>
      </w:r>
    </w:p>
    <w:p w14:paraId="773F5394" w14:textId="1EEC063A" w:rsidR="007A0245" w:rsidRDefault="007A0245" w:rsidP="004377AC">
      <w:pPr>
        <w:jc w:val="both"/>
        <w:rPr>
          <w:rFonts w:eastAsia="Calibri" w:cs="Arial"/>
          <w:szCs w:val="20"/>
        </w:rPr>
      </w:pPr>
      <w:r w:rsidRPr="007A0245">
        <w:rPr>
          <w:rFonts w:eastAsia="Calibri" w:cs="Arial"/>
          <w:szCs w:val="20"/>
        </w:rPr>
        <w:t>Število prekrškov, povezanih s pomočjo ilegalnim migrantom, se je zmanjšalo. Največ prekrškov glede pomoči pri ilegalnih prehodih so storili slovenski in turški državljani. V lanskem letu smo obravnavali 133 tovrstnih prekrškov, letos jih je bilo obravnavanih 103. Očitno je, da problematika organiziranih nedovoljenih migracij še naprej dobiva resnejše oblike oziroma da je večina pomoči ilegalnim migrantom obravnavana kot kaznivo dejanje.</w:t>
      </w:r>
    </w:p>
    <w:p w14:paraId="5FB7B10A" w14:textId="77777777" w:rsidR="007A0245" w:rsidRPr="007A0245" w:rsidRDefault="007A0245" w:rsidP="004377AC">
      <w:pPr>
        <w:jc w:val="both"/>
        <w:rPr>
          <w:rFonts w:eastAsia="Calibri" w:cs="Arial"/>
          <w:szCs w:val="20"/>
          <w:highlight w:val="yellow"/>
        </w:rPr>
      </w:pPr>
    </w:p>
    <w:p w14:paraId="366C449A" w14:textId="284F1505" w:rsidR="0020196F" w:rsidRPr="004377AC" w:rsidRDefault="004377AC" w:rsidP="004377AC">
      <w:pPr>
        <w:jc w:val="both"/>
        <w:rPr>
          <w:rFonts w:cs="Arial"/>
          <w:b/>
          <w:szCs w:val="20"/>
          <w:shd w:val="clear" w:color="auto" w:fill="FFFFFF"/>
        </w:rPr>
      </w:pPr>
      <w:r>
        <w:rPr>
          <w:rFonts w:cs="Arial"/>
          <w:b/>
          <w:szCs w:val="20"/>
          <w:shd w:val="clear" w:color="auto" w:fill="FFFFFF"/>
        </w:rPr>
        <w:t>–</w:t>
      </w:r>
      <w:r>
        <w:rPr>
          <w:rFonts w:cs="Arial"/>
          <w:b/>
          <w:szCs w:val="20"/>
          <w:shd w:val="clear" w:color="auto" w:fill="FFFFFF"/>
        </w:rPr>
        <w:tab/>
      </w:r>
      <w:r w:rsidR="0020196F" w:rsidRPr="004377AC">
        <w:rPr>
          <w:rFonts w:cs="Arial"/>
          <w:b/>
          <w:szCs w:val="20"/>
          <w:shd w:val="clear" w:color="auto" w:fill="FFFFFF"/>
        </w:rPr>
        <w:t>SOVA</w:t>
      </w:r>
    </w:p>
    <w:p w14:paraId="7CE61663" w14:textId="77777777" w:rsidR="004377AC" w:rsidRDefault="004377AC" w:rsidP="004377AC">
      <w:pPr>
        <w:jc w:val="both"/>
        <w:rPr>
          <w:rFonts w:cs="Arial"/>
          <w:szCs w:val="20"/>
        </w:rPr>
      </w:pPr>
    </w:p>
    <w:p w14:paraId="658496F5" w14:textId="5BE1E676" w:rsidR="00555175" w:rsidRDefault="00720523" w:rsidP="004377AC">
      <w:pPr>
        <w:jc w:val="both"/>
        <w:rPr>
          <w:rFonts w:cs="Arial"/>
          <w:szCs w:val="20"/>
        </w:rPr>
      </w:pPr>
      <w:r w:rsidRPr="00720523">
        <w:rPr>
          <w:rFonts w:cs="Arial"/>
          <w:szCs w:val="20"/>
        </w:rPr>
        <w:t xml:space="preserve">Zaradi povečanega migrantskega pritiska </w:t>
      </w:r>
      <w:proofErr w:type="gramStart"/>
      <w:r w:rsidRPr="00720523">
        <w:rPr>
          <w:rFonts w:cs="Arial"/>
          <w:szCs w:val="20"/>
        </w:rPr>
        <w:t>na</w:t>
      </w:r>
      <w:proofErr w:type="gramEnd"/>
      <w:r w:rsidRPr="00720523">
        <w:rPr>
          <w:rFonts w:cs="Arial"/>
          <w:szCs w:val="20"/>
        </w:rPr>
        <w:t xml:space="preserve"> Turčijo se je od poletja občutno povečalo število neregularnih migrantov v Grčiji, kar vpliva tudi na razmere na Zahodnem Balkanu. </w:t>
      </w:r>
      <w:r>
        <w:rPr>
          <w:rFonts w:cs="Arial"/>
          <w:szCs w:val="20"/>
        </w:rPr>
        <w:t>U</w:t>
      </w:r>
      <w:r w:rsidRPr="00720523">
        <w:rPr>
          <w:rFonts w:cs="Arial"/>
          <w:szCs w:val="20"/>
        </w:rPr>
        <w:t>veljavila</w:t>
      </w:r>
      <w:r>
        <w:rPr>
          <w:rFonts w:cs="Arial"/>
          <w:szCs w:val="20"/>
        </w:rPr>
        <w:t xml:space="preserve"> se je</w:t>
      </w:r>
      <w:r w:rsidRPr="00720523">
        <w:rPr>
          <w:rFonts w:cs="Arial"/>
          <w:szCs w:val="20"/>
        </w:rPr>
        <w:t xml:space="preserve"> pot iz Grčije v Severno Makedonijo, Srbijo, B</w:t>
      </w:r>
      <w:r>
        <w:rPr>
          <w:rFonts w:cs="Arial"/>
          <w:szCs w:val="20"/>
        </w:rPr>
        <w:t xml:space="preserve">osno </w:t>
      </w:r>
      <w:r w:rsidRPr="00720523">
        <w:rPr>
          <w:rFonts w:cs="Arial"/>
          <w:szCs w:val="20"/>
        </w:rPr>
        <w:t>i</w:t>
      </w:r>
      <w:r>
        <w:rPr>
          <w:rFonts w:cs="Arial"/>
          <w:szCs w:val="20"/>
        </w:rPr>
        <w:t xml:space="preserve">n </w:t>
      </w:r>
      <w:r w:rsidRPr="00720523">
        <w:rPr>
          <w:rFonts w:cs="Arial"/>
          <w:szCs w:val="20"/>
        </w:rPr>
        <w:t>H</w:t>
      </w:r>
      <w:r>
        <w:rPr>
          <w:rFonts w:cs="Arial"/>
          <w:szCs w:val="20"/>
        </w:rPr>
        <w:t>ercegovino (v nadaljevanju</w:t>
      </w:r>
      <w:r w:rsidR="00767AB9">
        <w:rPr>
          <w:rFonts w:cs="Arial"/>
          <w:szCs w:val="20"/>
        </w:rPr>
        <w:t>:</w:t>
      </w:r>
      <w:r>
        <w:rPr>
          <w:rFonts w:cs="Arial"/>
          <w:szCs w:val="20"/>
        </w:rPr>
        <w:t xml:space="preserve"> BiH)</w:t>
      </w:r>
      <w:r w:rsidRPr="00720523">
        <w:rPr>
          <w:rFonts w:cs="Arial"/>
          <w:szCs w:val="20"/>
        </w:rPr>
        <w:t xml:space="preserve">, na Hrvaško in v Slovenijo, okoli 20 odstotkov migrantov pa potuje tudi preko Albanije in Črne gore v BiH (tudi na tem </w:t>
      </w:r>
      <w:r w:rsidRPr="00720523">
        <w:rPr>
          <w:rFonts w:cs="Arial"/>
          <w:szCs w:val="20"/>
        </w:rPr>
        <w:lastRenderedPageBreak/>
        <w:t>odseku se je število migrantov v zadnjih mesecih povečalo). Zaskrbljujoče so predvsem razmere v BiH, kjer ob prihodu zime še vedno niso zagotovljeni primerni pogoji za nastanitev večjega števila prebežnikov, kar bi lahko slabo vplivalo na politično in varnostno stabilnost te države. Pozimi se bo število nezakonitih vstopov v Slovenijo kratkoročno nekoliko zmanjšalo, kljub temu pa prihodnje leto ne pričakujemo popuščanja migrantskega pritiska na Vzhodnem Mediteranu in Zahodnem Balkanu, k čemur bi lahko dodatno pripomoglo morebitno slabšanje varnostnih razmer na severu Sirije ter zunanje in notranjepolitične odločitve turških oblasti.</w:t>
      </w:r>
    </w:p>
    <w:p w14:paraId="35DDF58F" w14:textId="77777777" w:rsidR="00720523" w:rsidRPr="00555175" w:rsidRDefault="00720523" w:rsidP="004377AC">
      <w:pPr>
        <w:jc w:val="both"/>
        <w:rPr>
          <w:rFonts w:cs="Arial"/>
          <w:szCs w:val="20"/>
        </w:rPr>
      </w:pPr>
    </w:p>
    <w:p w14:paraId="38FD1976" w14:textId="7DD27A8F" w:rsidR="00DA73D7" w:rsidRPr="004377AC" w:rsidRDefault="004377AC" w:rsidP="004377AC">
      <w:pPr>
        <w:ind w:left="709" w:hanging="709"/>
        <w:jc w:val="both"/>
        <w:rPr>
          <w:rFonts w:cs="Arial"/>
          <w:b/>
          <w:szCs w:val="20"/>
        </w:rPr>
      </w:pPr>
      <w:r w:rsidRPr="00307764">
        <w:rPr>
          <w:rFonts w:cs="Arial"/>
          <w:b/>
          <w:szCs w:val="20"/>
        </w:rPr>
        <w:t>–</w:t>
      </w:r>
      <w:r>
        <w:rPr>
          <w:rFonts w:cs="Arial"/>
          <w:szCs w:val="20"/>
        </w:rPr>
        <w:tab/>
      </w:r>
      <w:r w:rsidR="00DA73D7" w:rsidRPr="004377AC">
        <w:rPr>
          <w:rFonts w:cs="Arial"/>
          <w:b/>
          <w:szCs w:val="20"/>
        </w:rPr>
        <w:t>Ministrstvo za zunanje zadeve</w:t>
      </w:r>
    </w:p>
    <w:p w14:paraId="55AC1942" w14:textId="77777777" w:rsidR="0017639A" w:rsidRDefault="0017639A" w:rsidP="004377AC">
      <w:pPr>
        <w:jc w:val="both"/>
        <w:rPr>
          <w:rFonts w:cs="Arial"/>
          <w:szCs w:val="20"/>
        </w:rPr>
      </w:pPr>
    </w:p>
    <w:p w14:paraId="64EE8B16" w14:textId="001C5933" w:rsidR="00A07C6B" w:rsidRDefault="00A07C6B" w:rsidP="004377AC">
      <w:pPr>
        <w:jc w:val="both"/>
        <w:rPr>
          <w:rFonts w:cs="Arial"/>
          <w:szCs w:val="20"/>
          <w:highlight w:val="yellow"/>
        </w:rPr>
      </w:pPr>
      <w:r w:rsidRPr="00A07C6B">
        <w:rPr>
          <w:rFonts w:cs="Arial"/>
          <w:szCs w:val="20"/>
        </w:rPr>
        <w:t>Na ravni EU se nadaljuje razprava o načinu reševanja postopkov iskanja in reševanja, prevzemanja bremen ter solidarnim</w:t>
      </w:r>
      <w:r>
        <w:rPr>
          <w:rFonts w:cs="Arial"/>
          <w:szCs w:val="20"/>
        </w:rPr>
        <w:t xml:space="preserve"> pristopom vseh držav članic</w:t>
      </w:r>
      <w:r w:rsidRPr="00A07C6B">
        <w:rPr>
          <w:rFonts w:cs="Arial"/>
          <w:szCs w:val="20"/>
        </w:rPr>
        <w:t xml:space="preserve"> EU. Iščejo se začasne, vendar institucionalizirane rešitve. Varnostne razmere na kritičnih območjih v tretjih državah še naprej predstavljajo osnovni potisni faktor za nadaljevanje migracijskih trendov proti Evropi (Sirija, Afganistan, Libi</w:t>
      </w:r>
      <w:r>
        <w:rPr>
          <w:rFonts w:cs="Arial"/>
          <w:szCs w:val="20"/>
        </w:rPr>
        <w:t>ja, Sahel…). EU in države članice</w:t>
      </w:r>
      <w:r w:rsidRPr="00A07C6B">
        <w:rPr>
          <w:rFonts w:cs="Arial"/>
          <w:szCs w:val="20"/>
        </w:rPr>
        <w:t xml:space="preserve"> v okviru razpoložljivih instrumentov zunanje dimenzije migracij poskušajo razmere stabilizirati.  </w:t>
      </w:r>
    </w:p>
    <w:p w14:paraId="49BC1187" w14:textId="77777777" w:rsidR="00C112D8" w:rsidRDefault="00C112D8" w:rsidP="004377AC">
      <w:pPr>
        <w:jc w:val="both"/>
        <w:rPr>
          <w:rFonts w:cs="Arial"/>
          <w:szCs w:val="20"/>
          <w:highlight w:val="yellow"/>
        </w:rPr>
      </w:pPr>
    </w:p>
    <w:p w14:paraId="288A1BF7" w14:textId="0EB4CC5E" w:rsidR="0017295A" w:rsidRPr="0017295A" w:rsidRDefault="004377AC" w:rsidP="004377AC">
      <w:pPr>
        <w:jc w:val="both"/>
        <w:rPr>
          <w:rFonts w:eastAsia="Calibri" w:cs="Arial"/>
          <w:b/>
          <w:szCs w:val="20"/>
        </w:rPr>
      </w:pPr>
      <w:r w:rsidRPr="00307764">
        <w:rPr>
          <w:rFonts w:cs="Arial"/>
          <w:b/>
          <w:szCs w:val="20"/>
        </w:rPr>
        <w:t>–</w:t>
      </w:r>
      <w:r>
        <w:rPr>
          <w:rFonts w:cs="Arial"/>
          <w:szCs w:val="20"/>
        </w:rPr>
        <w:tab/>
      </w:r>
      <w:r w:rsidR="0017295A" w:rsidRPr="0017295A">
        <w:rPr>
          <w:rFonts w:eastAsia="Calibri" w:cs="Arial"/>
          <w:b/>
          <w:szCs w:val="20"/>
        </w:rPr>
        <w:t>Ministrstvo za delo, družino, socialne zadeve in enake možnosti</w:t>
      </w:r>
    </w:p>
    <w:p w14:paraId="617DD032" w14:textId="77777777" w:rsidR="0017295A" w:rsidRDefault="0017295A" w:rsidP="004377AC">
      <w:pPr>
        <w:jc w:val="both"/>
        <w:rPr>
          <w:rFonts w:cs="Arial"/>
          <w:szCs w:val="20"/>
          <w:highlight w:val="yellow"/>
        </w:rPr>
      </w:pPr>
    </w:p>
    <w:p w14:paraId="44F81F50" w14:textId="7DCF6BAD" w:rsidR="0017295A" w:rsidRDefault="005C5971" w:rsidP="004377AC">
      <w:pPr>
        <w:jc w:val="both"/>
        <w:rPr>
          <w:rFonts w:cs="Arial"/>
          <w:szCs w:val="20"/>
        </w:rPr>
      </w:pPr>
      <w:r>
        <w:rPr>
          <w:rFonts w:cs="Arial"/>
          <w:szCs w:val="20"/>
        </w:rPr>
        <w:t>S</w:t>
      </w:r>
      <w:r w:rsidR="00921D20" w:rsidRPr="00921D20">
        <w:rPr>
          <w:rFonts w:cs="Arial"/>
          <w:szCs w:val="20"/>
        </w:rPr>
        <w:t xml:space="preserve"> 1.</w:t>
      </w:r>
      <w:r w:rsidR="00307764">
        <w:rPr>
          <w:rFonts w:cs="Arial"/>
          <w:szCs w:val="20"/>
        </w:rPr>
        <w:t> 9. </w:t>
      </w:r>
      <w:r w:rsidR="00921D20" w:rsidRPr="00921D20">
        <w:rPr>
          <w:rFonts w:cs="Arial"/>
          <w:szCs w:val="20"/>
        </w:rPr>
        <w:t>2019 se je začel izvajati Sporazum med Vlado Republike Slovenije in Vlado Republike Srbije o zaposlovanju državljanov Republik</w:t>
      </w:r>
      <w:r w:rsidR="00921D20">
        <w:rPr>
          <w:rFonts w:cs="Arial"/>
          <w:szCs w:val="20"/>
        </w:rPr>
        <w:t xml:space="preserve">e Srbije v Republiki Sloveniji. </w:t>
      </w:r>
      <w:r w:rsidR="00921D20" w:rsidRPr="00921D20">
        <w:rPr>
          <w:rFonts w:cs="Arial"/>
          <w:szCs w:val="20"/>
        </w:rPr>
        <w:t>6.</w:t>
      </w:r>
      <w:r w:rsidR="00307764">
        <w:rPr>
          <w:rFonts w:cs="Arial"/>
          <w:szCs w:val="20"/>
        </w:rPr>
        <w:t> </w:t>
      </w:r>
      <w:r w:rsidR="00921D20" w:rsidRPr="00921D20">
        <w:rPr>
          <w:rFonts w:cs="Arial"/>
          <w:szCs w:val="20"/>
        </w:rPr>
        <w:t>11.</w:t>
      </w:r>
      <w:r w:rsidR="00307764">
        <w:rPr>
          <w:rFonts w:cs="Arial"/>
          <w:szCs w:val="20"/>
        </w:rPr>
        <w:t> </w:t>
      </w:r>
      <w:r w:rsidR="00921D20" w:rsidRPr="00921D20">
        <w:rPr>
          <w:rFonts w:cs="Arial"/>
          <w:szCs w:val="20"/>
        </w:rPr>
        <w:t xml:space="preserve">2019 </w:t>
      </w:r>
      <w:r w:rsidR="00921D20">
        <w:rPr>
          <w:rFonts w:cs="Arial"/>
          <w:szCs w:val="20"/>
        </w:rPr>
        <w:t xml:space="preserve">se je uradno odprla </w:t>
      </w:r>
      <w:r w:rsidR="00102A90">
        <w:rPr>
          <w:rFonts w:cs="Arial"/>
          <w:szCs w:val="20"/>
        </w:rPr>
        <w:br/>
      </w:r>
      <w:proofErr w:type="spellStart"/>
      <w:proofErr w:type="gramStart"/>
      <w:r w:rsidR="00921D20">
        <w:rPr>
          <w:rFonts w:cs="Arial"/>
          <w:szCs w:val="20"/>
        </w:rPr>
        <w:t>info</w:t>
      </w:r>
      <w:proofErr w:type="spellEnd"/>
      <w:proofErr w:type="gramEnd"/>
      <w:r w:rsidR="00921D20">
        <w:rPr>
          <w:rFonts w:cs="Arial"/>
          <w:szCs w:val="20"/>
        </w:rPr>
        <w:t>-točka</w:t>
      </w:r>
      <w:r w:rsidR="00921D20" w:rsidRPr="00921D20">
        <w:rPr>
          <w:rFonts w:cs="Arial"/>
          <w:szCs w:val="20"/>
        </w:rPr>
        <w:t xml:space="preserve"> za tuje delavce v Ljubljani.</w:t>
      </w:r>
    </w:p>
    <w:p w14:paraId="6AB685BA" w14:textId="77777777" w:rsidR="00737BD3" w:rsidRPr="00921D20" w:rsidRDefault="00737BD3" w:rsidP="004377AC">
      <w:pPr>
        <w:jc w:val="both"/>
        <w:rPr>
          <w:rFonts w:cs="Arial"/>
          <w:szCs w:val="20"/>
        </w:rPr>
      </w:pPr>
      <w:bookmarkStart w:id="2" w:name="_GoBack"/>
      <w:bookmarkEnd w:id="2"/>
    </w:p>
    <w:p w14:paraId="18642AE0" w14:textId="3B4D73BD" w:rsidR="00653531" w:rsidRPr="00102A90" w:rsidRDefault="00102A90" w:rsidP="00102A90">
      <w:pPr>
        <w:jc w:val="both"/>
        <w:rPr>
          <w:rFonts w:cs="Arial"/>
          <w:b/>
          <w:szCs w:val="20"/>
        </w:rPr>
      </w:pPr>
      <w:r w:rsidRPr="00102A90">
        <w:rPr>
          <w:rFonts w:cs="Arial"/>
          <w:b/>
          <w:szCs w:val="20"/>
        </w:rPr>
        <w:t>–</w:t>
      </w:r>
      <w:r w:rsidRPr="00102A90">
        <w:rPr>
          <w:rFonts w:cs="Arial"/>
          <w:b/>
          <w:szCs w:val="20"/>
        </w:rPr>
        <w:tab/>
      </w:r>
      <w:r w:rsidR="00653531" w:rsidRPr="00102A90">
        <w:rPr>
          <w:rFonts w:cs="Arial"/>
          <w:b/>
          <w:szCs w:val="20"/>
        </w:rPr>
        <w:t>Drugi resorji</w:t>
      </w:r>
    </w:p>
    <w:p w14:paraId="255DEBA2" w14:textId="77777777" w:rsidR="00102A90" w:rsidRDefault="00102A90" w:rsidP="004377AC">
      <w:pPr>
        <w:jc w:val="both"/>
        <w:rPr>
          <w:rFonts w:cs="Arial"/>
          <w:szCs w:val="20"/>
        </w:rPr>
      </w:pPr>
    </w:p>
    <w:p w14:paraId="55CD9D7A" w14:textId="3C035DE7" w:rsidR="00EE2D4C" w:rsidRPr="00EB7687" w:rsidRDefault="00B80284" w:rsidP="004377AC">
      <w:pPr>
        <w:jc w:val="both"/>
        <w:rPr>
          <w:rFonts w:cs="Arial"/>
          <w:szCs w:val="20"/>
          <w:highlight w:val="yellow"/>
        </w:rPr>
      </w:pPr>
      <w:r w:rsidRPr="00A07C6B">
        <w:rPr>
          <w:rFonts w:cs="Arial"/>
          <w:szCs w:val="20"/>
        </w:rPr>
        <w:t xml:space="preserve">Ministrstvo za finance, </w:t>
      </w:r>
      <w:r w:rsidR="008E4CF3" w:rsidRPr="00A07C6B">
        <w:rPr>
          <w:rFonts w:cs="Arial"/>
          <w:szCs w:val="20"/>
        </w:rPr>
        <w:t>Ministrstvo</w:t>
      </w:r>
      <w:r w:rsidR="008E4CF3" w:rsidRPr="006B3011">
        <w:rPr>
          <w:rFonts w:cs="Arial"/>
          <w:szCs w:val="20"/>
        </w:rPr>
        <w:t xml:space="preserve"> za pravosodje, </w:t>
      </w:r>
      <w:r w:rsidR="00EE2D4C" w:rsidRPr="006B3011">
        <w:rPr>
          <w:rFonts w:cs="Arial"/>
          <w:szCs w:val="20"/>
        </w:rPr>
        <w:t>Ministrstvo za gospodarski</w:t>
      </w:r>
      <w:r w:rsidR="00EE2D4C" w:rsidRPr="00DA5EF8">
        <w:rPr>
          <w:rFonts w:cs="Arial"/>
          <w:szCs w:val="20"/>
        </w:rPr>
        <w:t xml:space="preserve"> razvoj in tehnologijo, </w:t>
      </w:r>
      <w:r w:rsidR="00EE2D4C" w:rsidRPr="00D21072">
        <w:rPr>
          <w:rFonts w:cs="Arial"/>
          <w:szCs w:val="20"/>
        </w:rPr>
        <w:t>Urad Vlade Republike Slovenije za komuniciranje, Ministrstvo za infrastrukturo</w:t>
      </w:r>
      <w:r w:rsidR="007C5393">
        <w:rPr>
          <w:rFonts w:cs="Arial"/>
          <w:szCs w:val="20"/>
        </w:rPr>
        <w:t xml:space="preserve"> in</w:t>
      </w:r>
      <w:r w:rsidR="00EE2D4C" w:rsidRPr="00D21072">
        <w:rPr>
          <w:rFonts w:cs="Arial"/>
          <w:szCs w:val="20"/>
        </w:rPr>
        <w:t xml:space="preserve"> </w:t>
      </w:r>
      <w:r w:rsidR="007A7537" w:rsidRPr="003A4501">
        <w:rPr>
          <w:rFonts w:cs="Arial"/>
          <w:szCs w:val="20"/>
        </w:rPr>
        <w:t>M</w:t>
      </w:r>
      <w:r w:rsidR="003F48B2" w:rsidRPr="003A4501">
        <w:rPr>
          <w:rFonts w:cs="Arial"/>
          <w:szCs w:val="20"/>
        </w:rPr>
        <w:t>inistrstvo za okolje in prostor</w:t>
      </w:r>
      <w:r w:rsidR="00EE2D4C" w:rsidRPr="003A4501">
        <w:rPr>
          <w:rFonts w:cs="Arial"/>
          <w:szCs w:val="20"/>
        </w:rPr>
        <w:t xml:space="preserve"> </w:t>
      </w:r>
      <w:r w:rsidR="00B635FB" w:rsidRPr="003A4501">
        <w:rPr>
          <w:rFonts w:cs="Arial"/>
          <w:szCs w:val="20"/>
        </w:rPr>
        <w:t>so sporočili, da v poročevalskem</w:t>
      </w:r>
      <w:r w:rsidR="00653531" w:rsidRPr="003A4501">
        <w:rPr>
          <w:rFonts w:cs="Arial"/>
          <w:szCs w:val="20"/>
        </w:rPr>
        <w:t xml:space="preserve"> obdobj</w:t>
      </w:r>
      <w:r w:rsidR="00B635FB" w:rsidRPr="003A4501">
        <w:rPr>
          <w:rFonts w:cs="Arial"/>
          <w:szCs w:val="20"/>
        </w:rPr>
        <w:t>u</w:t>
      </w:r>
      <w:r w:rsidR="00653531" w:rsidRPr="003A4501">
        <w:rPr>
          <w:rFonts w:cs="Arial"/>
          <w:szCs w:val="20"/>
        </w:rPr>
        <w:t xml:space="preserve"> niso </w:t>
      </w:r>
      <w:r w:rsidR="00B635FB" w:rsidRPr="003A4501">
        <w:rPr>
          <w:rFonts w:cs="Arial"/>
          <w:szCs w:val="20"/>
        </w:rPr>
        <w:t>izvajali</w:t>
      </w:r>
      <w:r w:rsidR="00653531" w:rsidRPr="003A4501">
        <w:rPr>
          <w:rFonts w:cs="Arial"/>
          <w:szCs w:val="20"/>
        </w:rPr>
        <w:t xml:space="preserve"> aktivnosti, </w:t>
      </w:r>
      <w:r w:rsidR="00B635FB" w:rsidRPr="003A4501">
        <w:rPr>
          <w:rFonts w:cs="Arial"/>
          <w:szCs w:val="20"/>
        </w:rPr>
        <w:t>ki bi vplivale na področje migracij oziroma nimajo vsebin za poročanje.</w:t>
      </w:r>
      <w:r w:rsidR="00653531" w:rsidRPr="003A4501">
        <w:rPr>
          <w:rFonts w:cs="Arial"/>
          <w:szCs w:val="20"/>
        </w:rPr>
        <w:t xml:space="preserve"> </w:t>
      </w:r>
    </w:p>
    <w:p w14:paraId="4C1F43CF" w14:textId="77777777" w:rsidR="00653531" w:rsidRPr="00EB7687" w:rsidRDefault="00653531" w:rsidP="004377AC">
      <w:pPr>
        <w:jc w:val="both"/>
        <w:rPr>
          <w:rFonts w:cs="Arial"/>
          <w:szCs w:val="20"/>
          <w:highlight w:val="yellow"/>
        </w:rPr>
      </w:pPr>
    </w:p>
    <w:p w14:paraId="66794B04" w14:textId="76E60B2F" w:rsidR="00EE2D4C" w:rsidRDefault="007C5393" w:rsidP="004377AC">
      <w:pPr>
        <w:jc w:val="both"/>
        <w:rPr>
          <w:rFonts w:cs="Arial"/>
          <w:szCs w:val="20"/>
        </w:rPr>
      </w:pPr>
      <w:r w:rsidRPr="007C5393">
        <w:rPr>
          <w:rFonts w:cs="Arial"/>
          <w:szCs w:val="20"/>
        </w:rPr>
        <w:t xml:space="preserve">Ministrstvo za kmetijstvo, gozdarstvo in prehrano, </w:t>
      </w:r>
      <w:r w:rsidR="00845B04" w:rsidRPr="007C5393">
        <w:rPr>
          <w:rFonts w:cs="Arial"/>
          <w:szCs w:val="20"/>
        </w:rPr>
        <w:t>Urad Vlade Republike Slovenije za makroekonomske analize in razvoj, Ministrstvo za zdravje</w:t>
      </w:r>
      <w:r w:rsidR="005117C5" w:rsidRPr="007C5393">
        <w:rPr>
          <w:rFonts w:cs="Arial"/>
          <w:szCs w:val="20"/>
        </w:rPr>
        <w:t xml:space="preserve"> ter</w:t>
      </w:r>
      <w:r w:rsidR="00845B04" w:rsidRPr="007C5393">
        <w:rPr>
          <w:rFonts w:cs="Arial"/>
          <w:szCs w:val="20"/>
        </w:rPr>
        <w:t xml:space="preserve"> </w:t>
      </w:r>
      <w:r w:rsidR="00252C36" w:rsidRPr="007C5393">
        <w:rPr>
          <w:rFonts w:cs="Arial"/>
          <w:szCs w:val="20"/>
        </w:rPr>
        <w:t xml:space="preserve">Ministrstvo za </w:t>
      </w:r>
      <w:r w:rsidR="00371C13" w:rsidRPr="007C5393">
        <w:rPr>
          <w:rFonts w:cs="Arial"/>
          <w:szCs w:val="20"/>
        </w:rPr>
        <w:t xml:space="preserve">izobraževanje, znanost in šport </w:t>
      </w:r>
      <w:r w:rsidR="00653531" w:rsidRPr="007C5393">
        <w:rPr>
          <w:rFonts w:cs="Arial"/>
          <w:szCs w:val="20"/>
        </w:rPr>
        <w:t>do postavljenega roka niso prispevali k poročanju oziroma do postavljenega roka niso poslali vsebine za poročanje.</w:t>
      </w:r>
      <w:r w:rsidR="00653531">
        <w:rPr>
          <w:rFonts w:cs="Arial"/>
          <w:szCs w:val="20"/>
        </w:rPr>
        <w:t xml:space="preserve"> </w:t>
      </w:r>
    </w:p>
    <w:sectPr w:rsidR="00EE2D4C" w:rsidSect="00A8622D">
      <w:footerReference w:type="default" r:id="rId11"/>
      <w:type w:val="continuous"/>
      <w:pgSz w:w="11906" w:h="16838"/>
      <w:pgMar w:top="1417"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CCF21" w16cid:durableId="1EE5EA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F4CA9" w14:textId="77777777" w:rsidR="00D9321D" w:rsidRDefault="00D9321D">
      <w:r>
        <w:separator/>
      </w:r>
    </w:p>
  </w:endnote>
  <w:endnote w:type="continuationSeparator" w:id="0">
    <w:p w14:paraId="226A3D14" w14:textId="77777777" w:rsidR="00D9321D" w:rsidRDefault="00D9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54082"/>
      <w:docPartObj>
        <w:docPartGallery w:val="Page Numbers (Bottom of Page)"/>
        <w:docPartUnique/>
      </w:docPartObj>
    </w:sdtPr>
    <w:sdtContent>
      <w:p w14:paraId="435F21A2" w14:textId="37DF9E97" w:rsidR="00D9321D" w:rsidRDefault="00D9321D">
        <w:pPr>
          <w:pStyle w:val="Noga"/>
          <w:jc w:val="right"/>
        </w:pPr>
        <w:r>
          <w:fldChar w:fldCharType="begin"/>
        </w:r>
        <w:r>
          <w:instrText>PAGE   \* MERGEFORMAT</w:instrText>
        </w:r>
        <w:r>
          <w:fldChar w:fldCharType="separate"/>
        </w:r>
        <w:r w:rsidR="00307764">
          <w:rPr>
            <w:noProof/>
          </w:rPr>
          <w:t>6</w:t>
        </w:r>
        <w:r>
          <w:fldChar w:fldCharType="end"/>
        </w:r>
      </w:p>
    </w:sdtContent>
  </w:sdt>
  <w:p w14:paraId="1B392970" w14:textId="77777777" w:rsidR="00D9321D" w:rsidRDefault="00D9321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59A78" w14:textId="77777777" w:rsidR="00D9321D" w:rsidRDefault="00D9321D">
      <w:r>
        <w:separator/>
      </w:r>
    </w:p>
  </w:footnote>
  <w:footnote w:type="continuationSeparator" w:id="0">
    <w:p w14:paraId="4AF3881B" w14:textId="77777777" w:rsidR="00D9321D" w:rsidRDefault="00D93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EBE"/>
    <w:multiLevelType w:val="hybridMultilevel"/>
    <w:tmpl w:val="13D41624"/>
    <w:lvl w:ilvl="0" w:tplc="21947424">
      <w:start w:val="1"/>
      <w:numFmt w:val="upperRoman"/>
      <w:lvlText w:val="%1."/>
      <w:lvlJc w:val="left"/>
      <w:pPr>
        <w:ind w:left="1080" w:hanging="72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44764B"/>
    <w:multiLevelType w:val="hybridMultilevel"/>
    <w:tmpl w:val="D0E6B4D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D0E7B62"/>
    <w:multiLevelType w:val="hybridMultilevel"/>
    <w:tmpl w:val="9560EA48"/>
    <w:lvl w:ilvl="0" w:tplc="3AA655A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2132512"/>
    <w:multiLevelType w:val="hybridMultilevel"/>
    <w:tmpl w:val="C596BDA0"/>
    <w:lvl w:ilvl="0" w:tplc="16F6452C">
      <w:start w:val="1"/>
      <w:numFmt w:val="bullet"/>
      <w:lvlText w:val="-"/>
      <w:lvlJc w:val="left"/>
      <w:pPr>
        <w:ind w:left="1080" w:hanging="360"/>
      </w:pPr>
      <w:rPr>
        <w:rFonts w:ascii="Arial" w:eastAsiaTheme="minorHAnsi"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3D46C21"/>
    <w:multiLevelType w:val="hybridMultilevel"/>
    <w:tmpl w:val="0F941458"/>
    <w:lvl w:ilvl="0" w:tplc="B6D48314">
      <w:start w:val="3"/>
      <w:numFmt w:val="decimal"/>
      <w:lvlText w:val="%1."/>
      <w:lvlJc w:val="left"/>
      <w:pPr>
        <w:ind w:left="170" w:hanging="1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FA1C8E"/>
    <w:multiLevelType w:val="hybridMultilevel"/>
    <w:tmpl w:val="EF1A7F5A"/>
    <w:lvl w:ilvl="0" w:tplc="74788B3C">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42A4877"/>
    <w:multiLevelType w:val="hybridMultilevel"/>
    <w:tmpl w:val="DAFC7A48"/>
    <w:lvl w:ilvl="0" w:tplc="26583F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5395604"/>
    <w:multiLevelType w:val="hybridMultilevel"/>
    <w:tmpl w:val="4B3EF558"/>
    <w:lvl w:ilvl="0" w:tplc="7826D0D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5FE67D6"/>
    <w:multiLevelType w:val="hybridMultilevel"/>
    <w:tmpl w:val="9A48378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2516BF"/>
    <w:multiLevelType w:val="hybridMultilevel"/>
    <w:tmpl w:val="F110A78E"/>
    <w:lvl w:ilvl="0" w:tplc="16F6452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9E347D"/>
    <w:multiLevelType w:val="hybridMultilevel"/>
    <w:tmpl w:val="F0EAF7FC"/>
    <w:lvl w:ilvl="0" w:tplc="AAF2805C">
      <w:start w:val="1"/>
      <w:numFmt w:val="upperRoman"/>
      <w:lvlText w:val="%1."/>
      <w:lvlJc w:val="left"/>
      <w:pPr>
        <w:ind w:left="1080" w:hanging="72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C992B76"/>
    <w:multiLevelType w:val="hybridMultilevel"/>
    <w:tmpl w:val="15C0A646"/>
    <w:lvl w:ilvl="0" w:tplc="16F6452C">
      <w:start w:val="1"/>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D932282"/>
    <w:multiLevelType w:val="hybridMultilevel"/>
    <w:tmpl w:val="078CCDF2"/>
    <w:lvl w:ilvl="0" w:tplc="E33AA7CE">
      <w:numFmt w:val="bullet"/>
      <w:lvlText w:val="-"/>
      <w:lvlJc w:val="left"/>
      <w:pPr>
        <w:ind w:left="1080" w:hanging="360"/>
      </w:pPr>
      <w:rPr>
        <w:rFonts w:ascii="Arial" w:eastAsia="Times New Roman"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2DD16D44"/>
    <w:multiLevelType w:val="hybridMultilevel"/>
    <w:tmpl w:val="94FE51AC"/>
    <w:lvl w:ilvl="0" w:tplc="4E2EBFC6">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45C7BA7"/>
    <w:multiLevelType w:val="hybridMultilevel"/>
    <w:tmpl w:val="2FB22952"/>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67B4777"/>
    <w:multiLevelType w:val="hybridMultilevel"/>
    <w:tmpl w:val="D62C0EAA"/>
    <w:lvl w:ilvl="0" w:tplc="16F6452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75B5CCB"/>
    <w:multiLevelType w:val="hybridMultilevel"/>
    <w:tmpl w:val="3F1A43A6"/>
    <w:lvl w:ilvl="0" w:tplc="ADCC0D74">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nsid w:val="397B663B"/>
    <w:multiLevelType w:val="hybridMultilevel"/>
    <w:tmpl w:val="80F0E038"/>
    <w:lvl w:ilvl="0" w:tplc="95741942">
      <w:start w:val="2"/>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403D31E9"/>
    <w:multiLevelType w:val="hybridMultilevel"/>
    <w:tmpl w:val="E4C4C3D4"/>
    <w:lvl w:ilvl="0" w:tplc="BBECDB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12C7F73"/>
    <w:multiLevelType w:val="hybridMultilevel"/>
    <w:tmpl w:val="7EB8D25A"/>
    <w:lvl w:ilvl="0" w:tplc="2A345904">
      <w:start w:val="1"/>
      <w:numFmt w:val="decimal"/>
      <w:pStyle w:val="alinej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5DC5953"/>
    <w:multiLevelType w:val="hybridMultilevel"/>
    <w:tmpl w:val="3F6C6DA8"/>
    <w:lvl w:ilvl="0" w:tplc="A0EC2E22">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468C1BEE"/>
    <w:multiLevelType w:val="hybridMultilevel"/>
    <w:tmpl w:val="CF50D9D6"/>
    <w:lvl w:ilvl="0" w:tplc="3F80A2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8203D7B"/>
    <w:multiLevelType w:val="hybridMultilevel"/>
    <w:tmpl w:val="BA54D7AA"/>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0905938"/>
    <w:multiLevelType w:val="hybridMultilevel"/>
    <w:tmpl w:val="C97E7BA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28747CC"/>
    <w:multiLevelType w:val="hybridMultilevel"/>
    <w:tmpl w:val="C27EF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45D41D9"/>
    <w:multiLevelType w:val="hybridMultilevel"/>
    <w:tmpl w:val="F19CB2BA"/>
    <w:lvl w:ilvl="0" w:tplc="2922881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558C30D8"/>
    <w:multiLevelType w:val="hybridMultilevel"/>
    <w:tmpl w:val="2DC42CF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58BF5C83"/>
    <w:multiLevelType w:val="hybridMultilevel"/>
    <w:tmpl w:val="AFC221E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DAF3E02"/>
    <w:multiLevelType w:val="hybridMultilevel"/>
    <w:tmpl w:val="E9621422"/>
    <w:lvl w:ilvl="0" w:tplc="3E3CD4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F1157F1"/>
    <w:multiLevelType w:val="hybridMultilevel"/>
    <w:tmpl w:val="E65CF688"/>
    <w:lvl w:ilvl="0" w:tplc="3AA655A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0D17630"/>
    <w:multiLevelType w:val="hybridMultilevel"/>
    <w:tmpl w:val="C27EF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5A10FA0"/>
    <w:multiLevelType w:val="hybridMultilevel"/>
    <w:tmpl w:val="C6206174"/>
    <w:lvl w:ilvl="0" w:tplc="3AA655A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6EC25E7"/>
    <w:multiLevelType w:val="hybridMultilevel"/>
    <w:tmpl w:val="0DB062F8"/>
    <w:lvl w:ilvl="0" w:tplc="930E204A">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89B58A0"/>
    <w:multiLevelType w:val="hybridMultilevel"/>
    <w:tmpl w:val="C6900BFE"/>
    <w:lvl w:ilvl="0" w:tplc="529A4E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BDC17AE"/>
    <w:multiLevelType w:val="hybridMultilevel"/>
    <w:tmpl w:val="C27EF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D5E7D14"/>
    <w:multiLevelType w:val="hybridMultilevel"/>
    <w:tmpl w:val="8E48DA0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1B33363"/>
    <w:multiLevelType w:val="hybridMultilevel"/>
    <w:tmpl w:val="EEF86846"/>
    <w:lvl w:ilvl="0" w:tplc="5492DF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46E6DCB"/>
    <w:multiLevelType w:val="hybridMultilevel"/>
    <w:tmpl w:val="00FC0D4A"/>
    <w:lvl w:ilvl="0" w:tplc="0824C75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5">
    <w:nsid w:val="7DDA781D"/>
    <w:multiLevelType w:val="hybridMultilevel"/>
    <w:tmpl w:val="75360AA2"/>
    <w:lvl w:ilvl="0" w:tplc="16F6452C">
      <w:start w:val="1"/>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9"/>
    <w:lvlOverride w:ilvl="0">
      <w:startOverride w:val="1"/>
    </w:lvlOverride>
  </w:num>
  <w:num w:numId="4">
    <w:abstractNumId w:val="36"/>
  </w:num>
  <w:num w:numId="5">
    <w:abstractNumId w:val="32"/>
  </w:num>
  <w:num w:numId="6">
    <w:abstractNumId w:val="39"/>
  </w:num>
  <w:num w:numId="7">
    <w:abstractNumId w:val="23"/>
  </w:num>
  <w:num w:numId="8">
    <w:abstractNumId w:val="29"/>
  </w:num>
  <w:num w:numId="9">
    <w:abstractNumId w:val="29"/>
    <w:lvlOverride w:ilvl="0">
      <w:startOverride w:val="1"/>
    </w:lvlOverride>
  </w:num>
  <w:num w:numId="10">
    <w:abstractNumId w:val="17"/>
  </w:num>
  <w:num w:numId="11">
    <w:abstractNumId w:val="7"/>
  </w:num>
  <w:num w:numId="12">
    <w:abstractNumId w:val="26"/>
  </w:num>
  <w:num w:numId="13">
    <w:abstractNumId w:val="22"/>
  </w:num>
  <w:num w:numId="14">
    <w:abstractNumId w:val="42"/>
  </w:num>
  <w:num w:numId="15">
    <w:abstractNumId w:val="10"/>
  </w:num>
  <w:num w:numId="16">
    <w:abstractNumId w:val="12"/>
  </w:num>
  <w:num w:numId="17">
    <w:abstractNumId w:val="45"/>
  </w:num>
  <w:num w:numId="18">
    <w:abstractNumId w:val="37"/>
  </w:num>
  <w:num w:numId="19">
    <w:abstractNumId w:val="2"/>
  </w:num>
  <w:num w:numId="20">
    <w:abstractNumId w:val="34"/>
  </w:num>
  <w:num w:numId="21">
    <w:abstractNumId w:val="16"/>
  </w:num>
  <w:num w:numId="22">
    <w:abstractNumId w:val="24"/>
  </w:num>
  <w:num w:numId="23">
    <w:abstractNumId w:val="27"/>
  </w:num>
  <w:num w:numId="24">
    <w:abstractNumId w:val="0"/>
  </w:num>
  <w:num w:numId="25">
    <w:abstractNumId w:val="11"/>
  </w:num>
  <w:num w:numId="26">
    <w:abstractNumId w:val="33"/>
  </w:num>
  <w:num w:numId="27">
    <w:abstractNumId w:val="43"/>
  </w:num>
  <w:num w:numId="28">
    <w:abstractNumId w:val="40"/>
  </w:num>
  <w:num w:numId="29">
    <w:abstractNumId w:val="6"/>
  </w:num>
  <w:num w:numId="30">
    <w:abstractNumId w:val="21"/>
  </w:num>
  <w:num w:numId="31">
    <w:abstractNumId w:val="4"/>
  </w:num>
  <w:num w:numId="32">
    <w:abstractNumId w:val="29"/>
    <w:lvlOverride w:ilvl="0">
      <w:startOverride w:val="3"/>
    </w:lvlOverride>
  </w:num>
  <w:num w:numId="33">
    <w:abstractNumId w:val="5"/>
  </w:num>
  <w:num w:numId="34">
    <w:abstractNumId w:val="20"/>
  </w:num>
  <w:num w:numId="35">
    <w:abstractNumId w:val="28"/>
  </w:num>
  <w:num w:numId="36">
    <w:abstractNumId w:val="35"/>
  </w:num>
  <w:num w:numId="37">
    <w:abstractNumId w:val="44"/>
  </w:num>
  <w:num w:numId="38">
    <w:abstractNumId w:val="13"/>
  </w:num>
  <w:num w:numId="39">
    <w:abstractNumId w:val="41"/>
  </w:num>
  <w:num w:numId="40">
    <w:abstractNumId w:val="8"/>
  </w:num>
  <w:num w:numId="41">
    <w:abstractNumId w:val="31"/>
  </w:num>
  <w:num w:numId="42">
    <w:abstractNumId w:val="38"/>
  </w:num>
  <w:num w:numId="43">
    <w:abstractNumId w:val="14"/>
  </w:num>
  <w:num w:numId="44">
    <w:abstractNumId w:val="15"/>
  </w:num>
  <w:num w:numId="45">
    <w:abstractNumId w:val="3"/>
  </w:num>
  <w:num w:numId="46">
    <w:abstractNumId w:val="1"/>
  </w:num>
  <w:num w:numId="47">
    <w:abstractNumId w:val="30"/>
  </w:num>
  <w:num w:numId="4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mailMerge>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44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83D"/>
    <w:rsid w:val="00001082"/>
    <w:rsid w:val="000017C4"/>
    <w:rsid w:val="00002BAB"/>
    <w:rsid w:val="0001128B"/>
    <w:rsid w:val="0001141F"/>
    <w:rsid w:val="000151E4"/>
    <w:rsid w:val="000168E1"/>
    <w:rsid w:val="000239EB"/>
    <w:rsid w:val="00023A88"/>
    <w:rsid w:val="00024B4F"/>
    <w:rsid w:val="00025D7B"/>
    <w:rsid w:val="00032845"/>
    <w:rsid w:val="00034B22"/>
    <w:rsid w:val="000362B1"/>
    <w:rsid w:val="00036784"/>
    <w:rsid w:val="000371AD"/>
    <w:rsid w:val="00042A7A"/>
    <w:rsid w:val="00044271"/>
    <w:rsid w:val="00046ADB"/>
    <w:rsid w:val="00053ED4"/>
    <w:rsid w:val="00055106"/>
    <w:rsid w:val="00055626"/>
    <w:rsid w:val="00055BCF"/>
    <w:rsid w:val="00057DA8"/>
    <w:rsid w:val="000709A3"/>
    <w:rsid w:val="00071E6F"/>
    <w:rsid w:val="00072813"/>
    <w:rsid w:val="0007356B"/>
    <w:rsid w:val="0007453D"/>
    <w:rsid w:val="0007557C"/>
    <w:rsid w:val="0007586C"/>
    <w:rsid w:val="00076C4C"/>
    <w:rsid w:val="000779ED"/>
    <w:rsid w:val="000803BC"/>
    <w:rsid w:val="00080FFD"/>
    <w:rsid w:val="00082D54"/>
    <w:rsid w:val="000850AB"/>
    <w:rsid w:val="00086227"/>
    <w:rsid w:val="00086627"/>
    <w:rsid w:val="00093301"/>
    <w:rsid w:val="00095FD3"/>
    <w:rsid w:val="000971AF"/>
    <w:rsid w:val="0009795C"/>
    <w:rsid w:val="000A0274"/>
    <w:rsid w:val="000A2A5E"/>
    <w:rsid w:val="000A59E5"/>
    <w:rsid w:val="000A6850"/>
    <w:rsid w:val="000A7238"/>
    <w:rsid w:val="000B1395"/>
    <w:rsid w:val="000B1414"/>
    <w:rsid w:val="000C0904"/>
    <w:rsid w:val="000C1944"/>
    <w:rsid w:val="000C2ADF"/>
    <w:rsid w:val="000C3118"/>
    <w:rsid w:val="000D216A"/>
    <w:rsid w:val="000D3F94"/>
    <w:rsid w:val="000D5CA9"/>
    <w:rsid w:val="000D7F88"/>
    <w:rsid w:val="000E2E2E"/>
    <w:rsid w:val="000E3937"/>
    <w:rsid w:val="000E3E45"/>
    <w:rsid w:val="000E5E1C"/>
    <w:rsid w:val="000E669E"/>
    <w:rsid w:val="000E7FE9"/>
    <w:rsid w:val="000F2999"/>
    <w:rsid w:val="000F33A7"/>
    <w:rsid w:val="000F5D09"/>
    <w:rsid w:val="00102A90"/>
    <w:rsid w:val="00104012"/>
    <w:rsid w:val="00104D7E"/>
    <w:rsid w:val="001053D0"/>
    <w:rsid w:val="001106E9"/>
    <w:rsid w:val="001112AA"/>
    <w:rsid w:val="00111427"/>
    <w:rsid w:val="001123A8"/>
    <w:rsid w:val="00116182"/>
    <w:rsid w:val="0011781B"/>
    <w:rsid w:val="001248D5"/>
    <w:rsid w:val="00131788"/>
    <w:rsid w:val="001329C6"/>
    <w:rsid w:val="00132F89"/>
    <w:rsid w:val="00133A63"/>
    <w:rsid w:val="001357B2"/>
    <w:rsid w:val="00141D58"/>
    <w:rsid w:val="00143F50"/>
    <w:rsid w:val="00144F36"/>
    <w:rsid w:val="001478DB"/>
    <w:rsid w:val="00150D3D"/>
    <w:rsid w:val="0015188C"/>
    <w:rsid w:val="001527C9"/>
    <w:rsid w:val="001538D3"/>
    <w:rsid w:val="00155347"/>
    <w:rsid w:val="00160364"/>
    <w:rsid w:val="00163E43"/>
    <w:rsid w:val="00170BD8"/>
    <w:rsid w:val="00171E3B"/>
    <w:rsid w:val="0017295A"/>
    <w:rsid w:val="00172B38"/>
    <w:rsid w:val="0017478F"/>
    <w:rsid w:val="00174A73"/>
    <w:rsid w:val="0017639A"/>
    <w:rsid w:val="0017713F"/>
    <w:rsid w:val="001814AB"/>
    <w:rsid w:val="001829CE"/>
    <w:rsid w:val="00183E9D"/>
    <w:rsid w:val="00183EC0"/>
    <w:rsid w:val="0018551D"/>
    <w:rsid w:val="001856A0"/>
    <w:rsid w:val="001865E1"/>
    <w:rsid w:val="00186A78"/>
    <w:rsid w:val="00187F71"/>
    <w:rsid w:val="001903C2"/>
    <w:rsid w:val="00191D27"/>
    <w:rsid w:val="00194419"/>
    <w:rsid w:val="00194F1A"/>
    <w:rsid w:val="0019610B"/>
    <w:rsid w:val="00196F0E"/>
    <w:rsid w:val="001A0A8A"/>
    <w:rsid w:val="001A370B"/>
    <w:rsid w:val="001B19C5"/>
    <w:rsid w:val="001B45F0"/>
    <w:rsid w:val="001B5006"/>
    <w:rsid w:val="001B5410"/>
    <w:rsid w:val="001B6CDB"/>
    <w:rsid w:val="001C099B"/>
    <w:rsid w:val="001C24B9"/>
    <w:rsid w:val="001C3B75"/>
    <w:rsid w:val="001D059B"/>
    <w:rsid w:val="001D2579"/>
    <w:rsid w:val="001E3DA6"/>
    <w:rsid w:val="001E4DF4"/>
    <w:rsid w:val="001F1C48"/>
    <w:rsid w:val="001F49C5"/>
    <w:rsid w:val="001F5BBF"/>
    <w:rsid w:val="001F6ABF"/>
    <w:rsid w:val="002017D6"/>
    <w:rsid w:val="0020196F"/>
    <w:rsid w:val="00202A77"/>
    <w:rsid w:val="00222D05"/>
    <w:rsid w:val="00224051"/>
    <w:rsid w:val="0022478B"/>
    <w:rsid w:val="00227E87"/>
    <w:rsid w:val="00231C7B"/>
    <w:rsid w:val="00232578"/>
    <w:rsid w:val="00232ACF"/>
    <w:rsid w:val="00232C6D"/>
    <w:rsid w:val="0023313B"/>
    <w:rsid w:val="0023489B"/>
    <w:rsid w:val="00241F76"/>
    <w:rsid w:val="0024386E"/>
    <w:rsid w:val="002457F5"/>
    <w:rsid w:val="00247E6F"/>
    <w:rsid w:val="00250011"/>
    <w:rsid w:val="002503E3"/>
    <w:rsid w:val="00252C36"/>
    <w:rsid w:val="00253C6A"/>
    <w:rsid w:val="002578BC"/>
    <w:rsid w:val="00261FF6"/>
    <w:rsid w:val="002624F5"/>
    <w:rsid w:val="00263637"/>
    <w:rsid w:val="00263ED0"/>
    <w:rsid w:val="00266177"/>
    <w:rsid w:val="002676EB"/>
    <w:rsid w:val="00271CE5"/>
    <w:rsid w:val="002739E7"/>
    <w:rsid w:val="00274395"/>
    <w:rsid w:val="002755D6"/>
    <w:rsid w:val="0027702A"/>
    <w:rsid w:val="00280D87"/>
    <w:rsid w:val="0028175F"/>
    <w:rsid w:val="00282020"/>
    <w:rsid w:val="0028344B"/>
    <w:rsid w:val="00285190"/>
    <w:rsid w:val="00285BD5"/>
    <w:rsid w:val="00287282"/>
    <w:rsid w:val="00291549"/>
    <w:rsid w:val="00295356"/>
    <w:rsid w:val="00296580"/>
    <w:rsid w:val="0029774E"/>
    <w:rsid w:val="00297C31"/>
    <w:rsid w:val="002A2B69"/>
    <w:rsid w:val="002A5B52"/>
    <w:rsid w:val="002B359B"/>
    <w:rsid w:val="002B57EA"/>
    <w:rsid w:val="002B5875"/>
    <w:rsid w:val="002B69A4"/>
    <w:rsid w:val="002B6DC4"/>
    <w:rsid w:val="002B7363"/>
    <w:rsid w:val="002C18BF"/>
    <w:rsid w:val="002C1FA5"/>
    <w:rsid w:val="002C2184"/>
    <w:rsid w:val="002C3551"/>
    <w:rsid w:val="002C538D"/>
    <w:rsid w:val="002C5D24"/>
    <w:rsid w:val="002C67EE"/>
    <w:rsid w:val="002C71C1"/>
    <w:rsid w:val="002C7677"/>
    <w:rsid w:val="002C773B"/>
    <w:rsid w:val="002D1B82"/>
    <w:rsid w:val="002D42FC"/>
    <w:rsid w:val="002D5EB8"/>
    <w:rsid w:val="002E15BC"/>
    <w:rsid w:val="002E16EC"/>
    <w:rsid w:val="002E5F9B"/>
    <w:rsid w:val="002E60D4"/>
    <w:rsid w:val="002E751E"/>
    <w:rsid w:val="002E7626"/>
    <w:rsid w:val="002F6798"/>
    <w:rsid w:val="002F7DB4"/>
    <w:rsid w:val="00301A99"/>
    <w:rsid w:val="003050C4"/>
    <w:rsid w:val="00307764"/>
    <w:rsid w:val="00314533"/>
    <w:rsid w:val="00314B24"/>
    <w:rsid w:val="0031687A"/>
    <w:rsid w:val="00316936"/>
    <w:rsid w:val="00330839"/>
    <w:rsid w:val="003318A2"/>
    <w:rsid w:val="00334103"/>
    <w:rsid w:val="00337230"/>
    <w:rsid w:val="0033723A"/>
    <w:rsid w:val="003400CF"/>
    <w:rsid w:val="00342FA3"/>
    <w:rsid w:val="00345075"/>
    <w:rsid w:val="003460F4"/>
    <w:rsid w:val="00350027"/>
    <w:rsid w:val="00355203"/>
    <w:rsid w:val="00360C3A"/>
    <w:rsid w:val="003612CE"/>
    <w:rsid w:val="003636BF"/>
    <w:rsid w:val="00371442"/>
    <w:rsid w:val="0037151E"/>
    <w:rsid w:val="00371C13"/>
    <w:rsid w:val="00372CAE"/>
    <w:rsid w:val="00374478"/>
    <w:rsid w:val="0037569C"/>
    <w:rsid w:val="00376ABD"/>
    <w:rsid w:val="00376CF0"/>
    <w:rsid w:val="00380080"/>
    <w:rsid w:val="00382557"/>
    <w:rsid w:val="003826A4"/>
    <w:rsid w:val="003845B4"/>
    <w:rsid w:val="003849A6"/>
    <w:rsid w:val="00387053"/>
    <w:rsid w:val="00387B1A"/>
    <w:rsid w:val="0039080B"/>
    <w:rsid w:val="003919BA"/>
    <w:rsid w:val="003943B6"/>
    <w:rsid w:val="00396BA5"/>
    <w:rsid w:val="00397274"/>
    <w:rsid w:val="003A1C62"/>
    <w:rsid w:val="003A4501"/>
    <w:rsid w:val="003A4BBA"/>
    <w:rsid w:val="003A526A"/>
    <w:rsid w:val="003A57C0"/>
    <w:rsid w:val="003A5B1D"/>
    <w:rsid w:val="003A66CC"/>
    <w:rsid w:val="003A69B7"/>
    <w:rsid w:val="003A7822"/>
    <w:rsid w:val="003B0760"/>
    <w:rsid w:val="003B27C8"/>
    <w:rsid w:val="003B2C37"/>
    <w:rsid w:val="003B46B2"/>
    <w:rsid w:val="003B55F3"/>
    <w:rsid w:val="003B5E73"/>
    <w:rsid w:val="003C175D"/>
    <w:rsid w:val="003C17A0"/>
    <w:rsid w:val="003C2240"/>
    <w:rsid w:val="003C28D6"/>
    <w:rsid w:val="003C4EAA"/>
    <w:rsid w:val="003C564B"/>
    <w:rsid w:val="003C5EE5"/>
    <w:rsid w:val="003C70B4"/>
    <w:rsid w:val="003D15EB"/>
    <w:rsid w:val="003D3A8D"/>
    <w:rsid w:val="003D3ABE"/>
    <w:rsid w:val="003D47DD"/>
    <w:rsid w:val="003D6AA3"/>
    <w:rsid w:val="003D72E2"/>
    <w:rsid w:val="003E102B"/>
    <w:rsid w:val="003E128D"/>
    <w:rsid w:val="003E1C74"/>
    <w:rsid w:val="003E6D95"/>
    <w:rsid w:val="003E7235"/>
    <w:rsid w:val="003E72D8"/>
    <w:rsid w:val="003F1488"/>
    <w:rsid w:val="003F3407"/>
    <w:rsid w:val="003F48B2"/>
    <w:rsid w:val="003F4D18"/>
    <w:rsid w:val="003F523A"/>
    <w:rsid w:val="003F769D"/>
    <w:rsid w:val="004026E8"/>
    <w:rsid w:val="00403783"/>
    <w:rsid w:val="00405D75"/>
    <w:rsid w:val="0040730B"/>
    <w:rsid w:val="0041032B"/>
    <w:rsid w:val="0041724F"/>
    <w:rsid w:val="00422E36"/>
    <w:rsid w:val="00424FD0"/>
    <w:rsid w:val="00431339"/>
    <w:rsid w:val="004354E2"/>
    <w:rsid w:val="004358F3"/>
    <w:rsid w:val="004377AC"/>
    <w:rsid w:val="0043797B"/>
    <w:rsid w:val="0044025A"/>
    <w:rsid w:val="00442CD2"/>
    <w:rsid w:val="00444071"/>
    <w:rsid w:val="00446620"/>
    <w:rsid w:val="00446FA3"/>
    <w:rsid w:val="0044774D"/>
    <w:rsid w:val="00454C48"/>
    <w:rsid w:val="00457E5E"/>
    <w:rsid w:val="00457FF7"/>
    <w:rsid w:val="004652C5"/>
    <w:rsid w:val="004657EE"/>
    <w:rsid w:val="00466EB8"/>
    <w:rsid w:val="00467955"/>
    <w:rsid w:val="00467BC7"/>
    <w:rsid w:val="00471956"/>
    <w:rsid w:val="004727B4"/>
    <w:rsid w:val="004740E2"/>
    <w:rsid w:val="00475C8D"/>
    <w:rsid w:val="00476E6C"/>
    <w:rsid w:val="00481606"/>
    <w:rsid w:val="004901C3"/>
    <w:rsid w:val="00490DF1"/>
    <w:rsid w:val="0049286C"/>
    <w:rsid w:val="004936C4"/>
    <w:rsid w:val="00493B31"/>
    <w:rsid w:val="004A1089"/>
    <w:rsid w:val="004A3203"/>
    <w:rsid w:val="004A5DD0"/>
    <w:rsid w:val="004B1C01"/>
    <w:rsid w:val="004B6E3C"/>
    <w:rsid w:val="004B70C6"/>
    <w:rsid w:val="004C20C7"/>
    <w:rsid w:val="004C3F9D"/>
    <w:rsid w:val="004C77C7"/>
    <w:rsid w:val="004C7B77"/>
    <w:rsid w:val="004D0AA3"/>
    <w:rsid w:val="004D5D1E"/>
    <w:rsid w:val="004D6EFA"/>
    <w:rsid w:val="004E0782"/>
    <w:rsid w:val="004E0A5E"/>
    <w:rsid w:val="004E11A6"/>
    <w:rsid w:val="004E1D5F"/>
    <w:rsid w:val="004E25D8"/>
    <w:rsid w:val="004E37E9"/>
    <w:rsid w:val="004F2B5C"/>
    <w:rsid w:val="004F4E09"/>
    <w:rsid w:val="004F6AC8"/>
    <w:rsid w:val="005018E4"/>
    <w:rsid w:val="0050252F"/>
    <w:rsid w:val="00502D1D"/>
    <w:rsid w:val="005031E6"/>
    <w:rsid w:val="00503A5B"/>
    <w:rsid w:val="00505188"/>
    <w:rsid w:val="00506978"/>
    <w:rsid w:val="005117C5"/>
    <w:rsid w:val="00515111"/>
    <w:rsid w:val="005157AE"/>
    <w:rsid w:val="0052048B"/>
    <w:rsid w:val="005219FA"/>
    <w:rsid w:val="00522805"/>
    <w:rsid w:val="00526186"/>
    <w:rsid w:val="00526246"/>
    <w:rsid w:val="00526B62"/>
    <w:rsid w:val="005325BB"/>
    <w:rsid w:val="00534F34"/>
    <w:rsid w:val="00540C40"/>
    <w:rsid w:val="00541186"/>
    <w:rsid w:val="00542559"/>
    <w:rsid w:val="00542A80"/>
    <w:rsid w:val="005443D2"/>
    <w:rsid w:val="00546FAE"/>
    <w:rsid w:val="005515F8"/>
    <w:rsid w:val="00552252"/>
    <w:rsid w:val="00555175"/>
    <w:rsid w:val="005560E3"/>
    <w:rsid w:val="00556A33"/>
    <w:rsid w:val="00563DE9"/>
    <w:rsid w:val="0056488E"/>
    <w:rsid w:val="00567106"/>
    <w:rsid w:val="00573066"/>
    <w:rsid w:val="00573A22"/>
    <w:rsid w:val="0057537A"/>
    <w:rsid w:val="0057568E"/>
    <w:rsid w:val="00575AF4"/>
    <w:rsid w:val="00577C30"/>
    <w:rsid w:val="00581F18"/>
    <w:rsid w:val="00587815"/>
    <w:rsid w:val="00591600"/>
    <w:rsid w:val="0059386E"/>
    <w:rsid w:val="00594415"/>
    <w:rsid w:val="005952CA"/>
    <w:rsid w:val="00597DFF"/>
    <w:rsid w:val="005A119D"/>
    <w:rsid w:val="005A1AFE"/>
    <w:rsid w:val="005A335B"/>
    <w:rsid w:val="005A45A7"/>
    <w:rsid w:val="005B064C"/>
    <w:rsid w:val="005B3605"/>
    <w:rsid w:val="005B497D"/>
    <w:rsid w:val="005B66C7"/>
    <w:rsid w:val="005B6D7F"/>
    <w:rsid w:val="005C083D"/>
    <w:rsid w:val="005C1019"/>
    <w:rsid w:val="005C2418"/>
    <w:rsid w:val="005C2D50"/>
    <w:rsid w:val="005C311F"/>
    <w:rsid w:val="005C4915"/>
    <w:rsid w:val="005C4C97"/>
    <w:rsid w:val="005C5971"/>
    <w:rsid w:val="005C5F33"/>
    <w:rsid w:val="005C6A42"/>
    <w:rsid w:val="005D0D6F"/>
    <w:rsid w:val="005D4B00"/>
    <w:rsid w:val="005D4CB0"/>
    <w:rsid w:val="005E1B24"/>
    <w:rsid w:val="005E1D3C"/>
    <w:rsid w:val="005E507E"/>
    <w:rsid w:val="005E6CEC"/>
    <w:rsid w:val="005E7DDF"/>
    <w:rsid w:val="005F21A6"/>
    <w:rsid w:val="005F2DF5"/>
    <w:rsid w:val="005F456B"/>
    <w:rsid w:val="0060199C"/>
    <w:rsid w:val="0060425C"/>
    <w:rsid w:val="00606F5C"/>
    <w:rsid w:val="00613A3C"/>
    <w:rsid w:val="00614717"/>
    <w:rsid w:val="00616EC5"/>
    <w:rsid w:val="0061715F"/>
    <w:rsid w:val="00623527"/>
    <w:rsid w:val="0062367F"/>
    <w:rsid w:val="00624989"/>
    <w:rsid w:val="00625AE6"/>
    <w:rsid w:val="00625F8F"/>
    <w:rsid w:val="00627CF0"/>
    <w:rsid w:val="00631D1D"/>
    <w:rsid w:val="00632253"/>
    <w:rsid w:val="00632D92"/>
    <w:rsid w:val="00641E88"/>
    <w:rsid w:val="00642714"/>
    <w:rsid w:val="006430A1"/>
    <w:rsid w:val="0064368B"/>
    <w:rsid w:val="006437DA"/>
    <w:rsid w:val="00643A59"/>
    <w:rsid w:val="006455CE"/>
    <w:rsid w:val="00645AA3"/>
    <w:rsid w:val="00650064"/>
    <w:rsid w:val="00651E08"/>
    <w:rsid w:val="006529DD"/>
    <w:rsid w:val="00653265"/>
    <w:rsid w:val="00653531"/>
    <w:rsid w:val="00655841"/>
    <w:rsid w:val="00655895"/>
    <w:rsid w:val="0065665B"/>
    <w:rsid w:val="00660424"/>
    <w:rsid w:val="00661E97"/>
    <w:rsid w:val="006623D8"/>
    <w:rsid w:val="006667CC"/>
    <w:rsid w:val="0066686A"/>
    <w:rsid w:val="00670538"/>
    <w:rsid w:val="00671DDA"/>
    <w:rsid w:val="006748E1"/>
    <w:rsid w:val="006815EE"/>
    <w:rsid w:val="00684340"/>
    <w:rsid w:val="00691534"/>
    <w:rsid w:val="0069288C"/>
    <w:rsid w:val="00694D9D"/>
    <w:rsid w:val="00695D12"/>
    <w:rsid w:val="006A01C1"/>
    <w:rsid w:val="006A057C"/>
    <w:rsid w:val="006A0C85"/>
    <w:rsid w:val="006A603D"/>
    <w:rsid w:val="006A69D2"/>
    <w:rsid w:val="006A7D66"/>
    <w:rsid w:val="006B24F8"/>
    <w:rsid w:val="006B2614"/>
    <w:rsid w:val="006B3011"/>
    <w:rsid w:val="006B54DF"/>
    <w:rsid w:val="006B7446"/>
    <w:rsid w:val="006B7EDC"/>
    <w:rsid w:val="006C0400"/>
    <w:rsid w:val="006C16D7"/>
    <w:rsid w:val="006C1B84"/>
    <w:rsid w:val="006C43B8"/>
    <w:rsid w:val="006C540B"/>
    <w:rsid w:val="006C706A"/>
    <w:rsid w:val="006D412C"/>
    <w:rsid w:val="006D4A80"/>
    <w:rsid w:val="006D4F08"/>
    <w:rsid w:val="006D65DB"/>
    <w:rsid w:val="006D780B"/>
    <w:rsid w:val="006E2267"/>
    <w:rsid w:val="006F6824"/>
    <w:rsid w:val="006F717F"/>
    <w:rsid w:val="00700BD7"/>
    <w:rsid w:val="007016A9"/>
    <w:rsid w:val="007058DB"/>
    <w:rsid w:val="00707AF0"/>
    <w:rsid w:val="0071360D"/>
    <w:rsid w:val="00714E29"/>
    <w:rsid w:val="00720451"/>
    <w:rsid w:val="00720523"/>
    <w:rsid w:val="00720E53"/>
    <w:rsid w:val="00726E5D"/>
    <w:rsid w:val="00727469"/>
    <w:rsid w:val="00732E52"/>
    <w:rsid w:val="00733017"/>
    <w:rsid w:val="00733901"/>
    <w:rsid w:val="00737BD3"/>
    <w:rsid w:val="00740250"/>
    <w:rsid w:val="007403D9"/>
    <w:rsid w:val="00740622"/>
    <w:rsid w:val="007426E4"/>
    <w:rsid w:val="00746545"/>
    <w:rsid w:val="007475D8"/>
    <w:rsid w:val="00747ED6"/>
    <w:rsid w:val="00753F8B"/>
    <w:rsid w:val="00754D68"/>
    <w:rsid w:val="0075640E"/>
    <w:rsid w:val="00756A6E"/>
    <w:rsid w:val="00761A70"/>
    <w:rsid w:val="00762D5D"/>
    <w:rsid w:val="007645BA"/>
    <w:rsid w:val="0076530A"/>
    <w:rsid w:val="00767AB9"/>
    <w:rsid w:val="00767F89"/>
    <w:rsid w:val="007803A9"/>
    <w:rsid w:val="007806F0"/>
    <w:rsid w:val="00783310"/>
    <w:rsid w:val="007838A2"/>
    <w:rsid w:val="00786740"/>
    <w:rsid w:val="00786A95"/>
    <w:rsid w:val="00791879"/>
    <w:rsid w:val="00792734"/>
    <w:rsid w:val="007930C7"/>
    <w:rsid w:val="00793462"/>
    <w:rsid w:val="00793BD6"/>
    <w:rsid w:val="00795645"/>
    <w:rsid w:val="00796C31"/>
    <w:rsid w:val="007A0245"/>
    <w:rsid w:val="007A4A6D"/>
    <w:rsid w:val="007A745F"/>
    <w:rsid w:val="007A7537"/>
    <w:rsid w:val="007B4B9A"/>
    <w:rsid w:val="007B4F42"/>
    <w:rsid w:val="007B5364"/>
    <w:rsid w:val="007C29E8"/>
    <w:rsid w:val="007C3DB4"/>
    <w:rsid w:val="007C4B6A"/>
    <w:rsid w:val="007C5393"/>
    <w:rsid w:val="007C64D5"/>
    <w:rsid w:val="007D011C"/>
    <w:rsid w:val="007D03CE"/>
    <w:rsid w:val="007D177D"/>
    <w:rsid w:val="007D1BCF"/>
    <w:rsid w:val="007D4C3B"/>
    <w:rsid w:val="007D4F7D"/>
    <w:rsid w:val="007D693D"/>
    <w:rsid w:val="007D75CF"/>
    <w:rsid w:val="007E0167"/>
    <w:rsid w:val="007E0440"/>
    <w:rsid w:val="007E1D38"/>
    <w:rsid w:val="007E1E09"/>
    <w:rsid w:val="007E6918"/>
    <w:rsid w:val="007E6AB0"/>
    <w:rsid w:val="007E6DC5"/>
    <w:rsid w:val="007E7A4B"/>
    <w:rsid w:val="007E7B5C"/>
    <w:rsid w:val="007F3DE4"/>
    <w:rsid w:val="007F42FE"/>
    <w:rsid w:val="007F5D60"/>
    <w:rsid w:val="007F6AB8"/>
    <w:rsid w:val="00802FB7"/>
    <w:rsid w:val="00803979"/>
    <w:rsid w:val="008073A7"/>
    <w:rsid w:val="00812ADF"/>
    <w:rsid w:val="00813B7F"/>
    <w:rsid w:val="00814FD0"/>
    <w:rsid w:val="00815564"/>
    <w:rsid w:val="00815C25"/>
    <w:rsid w:val="00817062"/>
    <w:rsid w:val="00822DDC"/>
    <w:rsid w:val="00825957"/>
    <w:rsid w:val="008270E7"/>
    <w:rsid w:val="00830F60"/>
    <w:rsid w:val="0083165D"/>
    <w:rsid w:val="0083257D"/>
    <w:rsid w:val="00832689"/>
    <w:rsid w:val="0083271A"/>
    <w:rsid w:val="008331B5"/>
    <w:rsid w:val="00837634"/>
    <w:rsid w:val="00840C16"/>
    <w:rsid w:val="00845395"/>
    <w:rsid w:val="00845B04"/>
    <w:rsid w:val="0085030C"/>
    <w:rsid w:val="00860634"/>
    <w:rsid w:val="008615A6"/>
    <w:rsid w:val="008618C2"/>
    <w:rsid w:val="00864986"/>
    <w:rsid w:val="00870D1C"/>
    <w:rsid w:val="00872F59"/>
    <w:rsid w:val="0087349B"/>
    <w:rsid w:val="00873BFE"/>
    <w:rsid w:val="008755C1"/>
    <w:rsid w:val="008762A6"/>
    <w:rsid w:val="00877A99"/>
    <w:rsid w:val="0088043C"/>
    <w:rsid w:val="00884889"/>
    <w:rsid w:val="008854EB"/>
    <w:rsid w:val="008906C9"/>
    <w:rsid w:val="00890AD8"/>
    <w:rsid w:val="00891807"/>
    <w:rsid w:val="00894079"/>
    <w:rsid w:val="008A20D9"/>
    <w:rsid w:val="008A5777"/>
    <w:rsid w:val="008A5DFB"/>
    <w:rsid w:val="008A6171"/>
    <w:rsid w:val="008A66FC"/>
    <w:rsid w:val="008A7416"/>
    <w:rsid w:val="008B0A19"/>
    <w:rsid w:val="008B3324"/>
    <w:rsid w:val="008C1E79"/>
    <w:rsid w:val="008C254B"/>
    <w:rsid w:val="008C5738"/>
    <w:rsid w:val="008C6150"/>
    <w:rsid w:val="008D04F0"/>
    <w:rsid w:val="008E1CCB"/>
    <w:rsid w:val="008E3266"/>
    <w:rsid w:val="008E413C"/>
    <w:rsid w:val="008E4886"/>
    <w:rsid w:val="008E4BC1"/>
    <w:rsid w:val="008E4CF3"/>
    <w:rsid w:val="008F1AB2"/>
    <w:rsid w:val="008F323E"/>
    <w:rsid w:val="008F3500"/>
    <w:rsid w:val="008F40CD"/>
    <w:rsid w:val="008F49F9"/>
    <w:rsid w:val="008F78D4"/>
    <w:rsid w:val="00900BBB"/>
    <w:rsid w:val="009013F7"/>
    <w:rsid w:val="009021A9"/>
    <w:rsid w:val="00904431"/>
    <w:rsid w:val="00905F32"/>
    <w:rsid w:val="00910442"/>
    <w:rsid w:val="00921073"/>
    <w:rsid w:val="00921D20"/>
    <w:rsid w:val="00923431"/>
    <w:rsid w:val="00924E3C"/>
    <w:rsid w:val="00927D18"/>
    <w:rsid w:val="00936B7C"/>
    <w:rsid w:val="00940606"/>
    <w:rsid w:val="009408E1"/>
    <w:rsid w:val="0094146E"/>
    <w:rsid w:val="00941C3D"/>
    <w:rsid w:val="009436CF"/>
    <w:rsid w:val="00943AF6"/>
    <w:rsid w:val="00944958"/>
    <w:rsid w:val="009534FD"/>
    <w:rsid w:val="00955131"/>
    <w:rsid w:val="009564F4"/>
    <w:rsid w:val="00956592"/>
    <w:rsid w:val="0095761B"/>
    <w:rsid w:val="0095773C"/>
    <w:rsid w:val="009612BB"/>
    <w:rsid w:val="00961C37"/>
    <w:rsid w:val="009629B0"/>
    <w:rsid w:val="00962D66"/>
    <w:rsid w:val="00963019"/>
    <w:rsid w:val="00963342"/>
    <w:rsid w:val="00972855"/>
    <w:rsid w:val="00973B10"/>
    <w:rsid w:val="009744D8"/>
    <w:rsid w:val="00976BE7"/>
    <w:rsid w:val="00983515"/>
    <w:rsid w:val="00987FB1"/>
    <w:rsid w:val="00991B82"/>
    <w:rsid w:val="00991DEB"/>
    <w:rsid w:val="009924C5"/>
    <w:rsid w:val="00994E53"/>
    <w:rsid w:val="00995822"/>
    <w:rsid w:val="00995D19"/>
    <w:rsid w:val="00996E03"/>
    <w:rsid w:val="00996F5A"/>
    <w:rsid w:val="00997A98"/>
    <w:rsid w:val="009A105C"/>
    <w:rsid w:val="009A53F9"/>
    <w:rsid w:val="009B539C"/>
    <w:rsid w:val="009B58E1"/>
    <w:rsid w:val="009B6233"/>
    <w:rsid w:val="009B792B"/>
    <w:rsid w:val="009C0BB2"/>
    <w:rsid w:val="009C530C"/>
    <w:rsid w:val="009C693B"/>
    <w:rsid w:val="009C740A"/>
    <w:rsid w:val="009D0C34"/>
    <w:rsid w:val="009D4631"/>
    <w:rsid w:val="009D5FB1"/>
    <w:rsid w:val="009E05ED"/>
    <w:rsid w:val="009E0FE0"/>
    <w:rsid w:val="009E1CFF"/>
    <w:rsid w:val="009E4EDD"/>
    <w:rsid w:val="009F30A7"/>
    <w:rsid w:val="009F5F6E"/>
    <w:rsid w:val="00A01010"/>
    <w:rsid w:val="00A01EC7"/>
    <w:rsid w:val="00A06996"/>
    <w:rsid w:val="00A06B3B"/>
    <w:rsid w:val="00A07C6B"/>
    <w:rsid w:val="00A125C5"/>
    <w:rsid w:val="00A12C92"/>
    <w:rsid w:val="00A13FF6"/>
    <w:rsid w:val="00A15C88"/>
    <w:rsid w:val="00A16C94"/>
    <w:rsid w:val="00A17231"/>
    <w:rsid w:val="00A1797A"/>
    <w:rsid w:val="00A21E82"/>
    <w:rsid w:val="00A23DB8"/>
    <w:rsid w:val="00A2451C"/>
    <w:rsid w:val="00A25AC4"/>
    <w:rsid w:val="00A27274"/>
    <w:rsid w:val="00A30FD7"/>
    <w:rsid w:val="00A3249B"/>
    <w:rsid w:val="00A337CF"/>
    <w:rsid w:val="00A37255"/>
    <w:rsid w:val="00A415EA"/>
    <w:rsid w:val="00A457D8"/>
    <w:rsid w:val="00A4651F"/>
    <w:rsid w:val="00A46B88"/>
    <w:rsid w:val="00A50A01"/>
    <w:rsid w:val="00A50FBB"/>
    <w:rsid w:val="00A51BC9"/>
    <w:rsid w:val="00A52326"/>
    <w:rsid w:val="00A53F83"/>
    <w:rsid w:val="00A55A82"/>
    <w:rsid w:val="00A5638B"/>
    <w:rsid w:val="00A60234"/>
    <w:rsid w:val="00A65EE7"/>
    <w:rsid w:val="00A70133"/>
    <w:rsid w:val="00A75671"/>
    <w:rsid w:val="00A770A6"/>
    <w:rsid w:val="00A77411"/>
    <w:rsid w:val="00A802BD"/>
    <w:rsid w:val="00A806C6"/>
    <w:rsid w:val="00A813B1"/>
    <w:rsid w:val="00A8543B"/>
    <w:rsid w:val="00A86141"/>
    <w:rsid w:val="00A8622D"/>
    <w:rsid w:val="00A87504"/>
    <w:rsid w:val="00A8784A"/>
    <w:rsid w:val="00A93485"/>
    <w:rsid w:val="00A934BC"/>
    <w:rsid w:val="00A94484"/>
    <w:rsid w:val="00A96BB1"/>
    <w:rsid w:val="00A978A6"/>
    <w:rsid w:val="00AA10FC"/>
    <w:rsid w:val="00AA14B0"/>
    <w:rsid w:val="00AA261D"/>
    <w:rsid w:val="00AA5147"/>
    <w:rsid w:val="00AB15DE"/>
    <w:rsid w:val="00AB2FC8"/>
    <w:rsid w:val="00AB369C"/>
    <w:rsid w:val="00AB36C4"/>
    <w:rsid w:val="00AB4B8F"/>
    <w:rsid w:val="00AB5467"/>
    <w:rsid w:val="00AB5C50"/>
    <w:rsid w:val="00AB7F33"/>
    <w:rsid w:val="00AC32B2"/>
    <w:rsid w:val="00AC3DD7"/>
    <w:rsid w:val="00AC4044"/>
    <w:rsid w:val="00AC6CC0"/>
    <w:rsid w:val="00AC6F10"/>
    <w:rsid w:val="00AD0B7F"/>
    <w:rsid w:val="00AD23A6"/>
    <w:rsid w:val="00AD2661"/>
    <w:rsid w:val="00AD27BA"/>
    <w:rsid w:val="00AD41AC"/>
    <w:rsid w:val="00AD5625"/>
    <w:rsid w:val="00AE081E"/>
    <w:rsid w:val="00AE09C6"/>
    <w:rsid w:val="00AE6E0F"/>
    <w:rsid w:val="00AF1306"/>
    <w:rsid w:val="00AF34B6"/>
    <w:rsid w:val="00AF3D3B"/>
    <w:rsid w:val="00AF591E"/>
    <w:rsid w:val="00AF59D6"/>
    <w:rsid w:val="00AF722B"/>
    <w:rsid w:val="00B00493"/>
    <w:rsid w:val="00B01022"/>
    <w:rsid w:val="00B01660"/>
    <w:rsid w:val="00B03450"/>
    <w:rsid w:val="00B03BF1"/>
    <w:rsid w:val="00B05141"/>
    <w:rsid w:val="00B05237"/>
    <w:rsid w:val="00B05BF0"/>
    <w:rsid w:val="00B062FE"/>
    <w:rsid w:val="00B1248D"/>
    <w:rsid w:val="00B13296"/>
    <w:rsid w:val="00B137A0"/>
    <w:rsid w:val="00B137DE"/>
    <w:rsid w:val="00B17141"/>
    <w:rsid w:val="00B20848"/>
    <w:rsid w:val="00B2184D"/>
    <w:rsid w:val="00B224F5"/>
    <w:rsid w:val="00B22F6C"/>
    <w:rsid w:val="00B24C25"/>
    <w:rsid w:val="00B263E7"/>
    <w:rsid w:val="00B2651E"/>
    <w:rsid w:val="00B274D5"/>
    <w:rsid w:val="00B27FC6"/>
    <w:rsid w:val="00B31575"/>
    <w:rsid w:val="00B33326"/>
    <w:rsid w:val="00B35825"/>
    <w:rsid w:val="00B42CF9"/>
    <w:rsid w:val="00B455BD"/>
    <w:rsid w:val="00B47A2F"/>
    <w:rsid w:val="00B51141"/>
    <w:rsid w:val="00B516E6"/>
    <w:rsid w:val="00B51B75"/>
    <w:rsid w:val="00B53094"/>
    <w:rsid w:val="00B540C4"/>
    <w:rsid w:val="00B5639D"/>
    <w:rsid w:val="00B60858"/>
    <w:rsid w:val="00B60FC0"/>
    <w:rsid w:val="00B617CB"/>
    <w:rsid w:val="00B635FB"/>
    <w:rsid w:val="00B637CC"/>
    <w:rsid w:val="00B64A16"/>
    <w:rsid w:val="00B64EE5"/>
    <w:rsid w:val="00B7161F"/>
    <w:rsid w:val="00B72629"/>
    <w:rsid w:val="00B80284"/>
    <w:rsid w:val="00B810F4"/>
    <w:rsid w:val="00B84187"/>
    <w:rsid w:val="00B84619"/>
    <w:rsid w:val="00B84C36"/>
    <w:rsid w:val="00B8547D"/>
    <w:rsid w:val="00B912C7"/>
    <w:rsid w:val="00B924DE"/>
    <w:rsid w:val="00B9291E"/>
    <w:rsid w:val="00BA25E1"/>
    <w:rsid w:val="00BA2F18"/>
    <w:rsid w:val="00BA361E"/>
    <w:rsid w:val="00BB290E"/>
    <w:rsid w:val="00BB384A"/>
    <w:rsid w:val="00BB689E"/>
    <w:rsid w:val="00BB785D"/>
    <w:rsid w:val="00BC0162"/>
    <w:rsid w:val="00BC0C62"/>
    <w:rsid w:val="00BC1E35"/>
    <w:rsid w:val="00BC74AB"/>
    <w:rsid w:val="00BD2994"/>
    <w:rsid w:val="00BD59E8"/>
    <w:rsid w:val="00BD7E76"/>
    <w:rsid w:val="00BE3E93"/>
    <w:rsid w:val="00BE564E"/>
    <w:rsid w:val="00BF0285"/>
    <w:rsid w:val="00BF39F0"/>
    <w:rsid w:val="00BF5A4E"/>
    <w:rsid w:val="00BF6A96"/>
    <w:rsid w:val="00BF6D1B"/>
    <w:rsid w:val="00C0224A"/>
    <w:rsid w:val="00C0330B"/>
    <w:rsid w:val="00C04D7F"/>
    <w:rsid w:val="00C06179"/>
    <w:rsid w:val="00C10475"/>
    <w:rsid w:val="00C112D8"/>
    <w:rsid w:val="00C120DE"/>
    <w:rsid w:val="00C122E8"/>
    <w:rsid w:val="00C22DF1"/>
    <w:rsid w:val="00C250D5"/>
    <w:rsid w:val="00C25702"/>
    <w:rsid w:val="00C2770C"/>
    <w:rsid w:val="00C32874"/>
    <w:rsid w:val="00C33339"/>
    <w:rsid w:val="00C34472"/>
    <w:rsid w:val="00C35666"/>
    <w:rsid w:val="00C36C07"/>
    <w:rsid w:val="00C36EDF"/>
    <w:rsid w:val="00C3717E"/>
    <w:rsid w:val="00C3785D"/>
    <w:rsid w:val="00C43125"/>
    <w:rsid w:val="00C4447F"/>
    <w:rsid w:val="00C523FD"/>
    <w:rsid w:val="00C54CA5"/>
    <w:rsid w:val="00C705DA"/>
    <w:rsid w:val="00C71C1D"/>
    <w:rsid w:val="00C76ED4"/>
    <w:rsid w:val="00C850DF"/>
    <w:rsid w:val="00C85820"/>
    <w:rsid w:val="00C86B02"/>
    <w:rsid w:val="00C911C9"/>
    <w:rsid w:val="00C92613"/>
    <w:rsid w:val="00C92898"/>
    <w:rsid w:val="00C92C6B"/>
    <w:rsid w:val="00C9458A"/>
    <w:rsid w:val="00C95ED0"/>
    <w:rsid w:val="00C96229"/>
    <w:rsid w:val="00CA0A44"/>
    <w:rsid w:val="00CA29C7"/>
    <w:rsid w:val="00CA36B6"/>
    <w:rsid w:val="00CA4340"/>
    <w:rsid w:val="00CB009A"/>
    <w:rsid w:val="00CB0591"/>
    <w:rsid w:val="00CB1D63"/>
    <w:rsid w:val="00CB575E"/>
    <w:rsid w:val="00CC0DF7"/>
    <w:rsid w:val="00CC55DD"/>
    <w:rsid w:val="00CC71FA"/>
    <w:rsid w:val="00CD0CBA"/>
    <w:rsid w:val="00CD4A96"/>
    <w:rsid w:val="00CD7739"/>
    <w:rsid w:val="00CE5111"/>
    <w:rsid w:val="00CE5238"/>
    <w:rsid w:val="00CE7514"/>
    <w:rsid w:val="00CF0DF2"/>
    <w:rsid w:val="00CF28E3"/>
    <w:rsid w:val="00CF448F"/>
    <w:rsid w:val="00CF4EDD"/>
    <w:rsid w:val="00CF5B2D"/>
    <w:rsid w:val="00CF7E6E"/>
    <w:rsid w:val="00CF7F79"/>
    <w:rsid w:val="00D00CED"/>
    <w:rsid w:val="00D03717"/>
    <w:rsid w:val="00D04605"/>
    <w:rsid w:val="00D0541A"/>
    <w:rsid w:val="00D05A02"/>
    <w:rsid w:val="00D05BAE"/>
    <w:rsid w:val="00D05EC5"/>
    <w:rsid w:val="00D05EDE"/>
    <w:rsid w:val="00D10E64"/>
    <w:rsid w:val="00D15E16"/>
    <w:rsid w:val="00D16DF0"/>
    <w:rsid w:val="00D17103"/>
    <w:rsid w:val="00D21072"/>
    <w:rsid w:val="00D244EB"/>
    <w:rsid w:val="00D248DE"/>
    <w:rsid w:val="00D25AED"/>
    <w:rsid w:val="00D27097"/>
    <w:rsid w:val="00D2750C"/>
    <w:rsid w:val="00D30C31"/>
    <w:rsid w:val="00D30EF3"/>
    <w:rsid w:val="00D35DF8"/>
    <w:rsid w:val="00D367E2"/>
    <w:rsid w:val="00D370DD"/>
    <w:rsid w:val="00D42E24"/>
    <w:rsid w:val="00D46222"/>
    <w:rsid w:val="00D542DA"/>
    <w:rsid w:val="00D5659F"/>
    <w:rsid w:val="00D57060"/>
    <w:rsid w:val="00D5750E"/>
    <w:rsid w:val="00D63EE4"/>
    <w:rsid w:val="00D670FA"/>
    <w:rsid w:val="00D709A3"/>
    <w:rsid w:val="00D71BAC"/>
    <w:rsid w:val="00D731F3"/>
    <w:rsid w:val="00D767E4"/>
    <w:rsid w:val="00D77ADB"/>
    <w:rsid w:val="00D8014E"/>
    <w:rsid w:val="00D811DA"/>
    <w:rsid w:val="00D8542D"/>
    <w:rsid w:val="00D85915"/>
    <w:rsid w:val="00D85F0C"/>
    <w:rsid w:val="00D862D3"/>
    <w:rsid w:val="00D9321D"/>
    <w:rsid w:val="00D9697B"/>
    <w:rsid w:val="00D97815"/>
    <w:rsid w:val="00DA3B4D"/>
    <w:rsid w:val="00DA4739"/>
    <w:rsid w:val="00DA5EF8"/>
    <w:rsid w:val="00DA73D7"/>
    <w:rsid w:val="00DB02E2"/>
    <w:rsid w:val="00DB2333"/>
    <w:rsid w:val="00DB28B1"/>
    <w:rsid w:val="00DB32EA"/>
    <w:rsid w:val="00DC01FD"/>
    <w:rsid w:val="00DC10E4"/>
    <w:rsid w:val="00DC2BF7"/>
    <w:rsid w:val="00DC3221"/>
    <w:rsid w:val="00DC6A71"/>
    <w:rsid w:val="00DD6967"/>
    <w:rsid w:val="00DD72F7"/>
    <w:rsid w:val="00DE08A4"/>
    <w:rsid w:val="00DE2E51"/>
    <w:rsid w:val="00DE2EA6"/>
    <w:rsid w:val="00DE2FAB"/>
    <w:rsid w:val="00DE6DBE"/>
    <w:rsid w:val="00DE70E4"/>
    <w:rsid w:val="00DE736C"/>
    <w:rsid w:val="00DF5B7E"/>
    <w:rsid w:val="00DF7102"/>
    <w:rsid w:val="00E00FC5"/>
    <w:rsid w:val="00E01330"/>
    <w:rsid w:val="00E0357D"/>
    <w:rsid w:val="00E0784C"/>
    <w:rsid w:val="00E10EED"/>
    <w:rsid w:val="00E179A6"/>
    <w:rsid w:val="00E21FF9"/>
    <w:rsid w:val="00E30C18"/>
    <w:rsid w:val="00E31658"/>
    <w:rsid w:val="00E318A3"/>
    <w:rsid w:val="00E33320"/>
    <w:rsid w:val="00E34EAB"/>
    <w:rsid w:val="00E4676E"/>
    <w:rsid w:val="00E475F4"/>
    <w:rsid w:val="00E50BCA"/>
    <w:rsid w:val="00E52A08"/>
    <w:rsid w:val="00E545BE"/>
    <w:rsid w:val="00E57EB6"/>
    <w:rsid w:val="00E602ED"/>
    <w:rsid w:val="00E60915"/>
    <w:rsid w:val="00E61F4D"/>
    <w:rsid w:val="00E64DC4"/>
    <w:rsid w:val="00E66825"/>
    <w:rsid w:val="00E70389"/>
    <w:rsid w:val="00E70C96"/>
    <w:rsid w:val="00E803B1"/>
    <w:rsid w:val="00E82EC8"/>
    <w:rsid w:val="00E83827"/>
    <w:rsid w:val="00E912A4"/>
    <w:rsid w:val="00E93C8F"/>
    <w:rsid w:val="00E942BF"/>
    <w:rsid w:val="00E95773"/>
    <w:rsid w:val="00EA2328"/>
    <w:rsid w:val="00EA410E"/>
    <w:rsid w:val="00EA5705"/>
    <w:rsid w:val="00EA58CF"/>
    <w:rsid w:val="00EA66B8"/>
    <w:rsid w:val="00EB0F22"/>
    <w:rsid w:val="00EB1023"/>
    <w:rsid w:val="00EB1668"/>
    <w:rsid w:val="00EB17EE"/>
    <w:rsid w:val="00EB5FC5"/>
    <w:rsid w:val="00EB64D1"/>
    <w:rsid w:val="00EB7687"/>
    <w:rsid w:val="00EC2037"/>
    <w:rsid w:val="00EC2645"/>
    <w:rsid w:val="00EC36EE"/>
    <w:rsid w:val="00EC51DA"/>
    <w:rsid w:val="00EC5817"/>
    <w:rsid w:val="00EC72C7"/>
    <w:rsid w:val="00ED01EF"/>
    <w:rsid w:val="00ED1B4C"/>
    <w:rsid w:val="00ED1C3E"/>
    <w:rsid w:val="00ED3AA3"/>
    <w:rsid w:val="00ED4C6A"/>
    <w:rsid w:val="00EE1D6B"/>
    <w:rsid w:val="00EE220B"/>
    <w:rsid w:val="00EE2D4C"/>
    <w:rsid w:val="00EE38ED"/>
    <w:rsid w:val="00EE4DB0"/>
    <w:rsid w:val="00EF03B7"/>
    <w:rsid w:val="00EF04EA"/>
    <w:rsid w:val="00EF0618"/>
    <w:rsid w:val="00EF0C51"/>
    <w:rsid w:val="00F016D4"/>
    <w:rsid w:val="00F033C3"/>
    <w:rsid w:val="00F04275"/>
    <w:rsid w:val="00F06499"/>
    <w:rsid w:val="00F07F30"/>
    <w:rsid w:val="00F10A3A"/>
    <w:rsid w:val="00F117DC"/>
    <w:rsid w:val="00F11D19"/>
    <w:rsid w:val="00F13A65"/>
    <w:rsid w:val="00F149C8"/>
    <w:rsid w:val="00F15812"/>
    <w:rsid w:val="00F206E4"/>
    <w:rsid w:val="00F240BB"/>
    <w:rsid w:val="00F25C51"/>
    <w:rsid w:val="00F27349"/>
    <w:rsid w:val="00F31E5E"/>
    <w:rsid w:val="00F33F26"/>
    <w:rsid w:val="00F35DB8"/>
    <w:rsid w:val="00F40CC6"/>
    <w:rsid w:val="00F40FC7"/>
    <w:rsid w:val="00F40FF9"/>
    <w:rsid w:val="00F41240"/>
    <w:rsid w:val="00F41714"/>
    <w:rsid w:val="00F435F4"/>
    <w:rsid w:val="00F43D09"/>
    <w:rsid w:val="00F44DAD"/>
    <w:rsid w:val="00F45678"/>
    <w:rsid w:val="00F45BB5"/>
    <w:rsid w:val="00F51D6B"/>
    <w:rsid w:val="00F54F8A"/>
    <w:rsid w:val="00F56777"/>
    <w:rsid w:val="00F57B9D"/>
    <w:rsid w:val="00F57FED"/>
    <w:rsid w:val="00F601E2"/>
    <w:rsid w:val="00F60FFE"/>
    <w:rsid w:val="00F62885"/>
    <w:rsid w:val="00F6437F"/>
    <w:rsid w:val="00F66C0D"/>
    <w:rsid w:val="00F673B1"/>
    <w:rsid w:val="00F7322E"/>
    <w:rsid w:val="00F7402F"/>
    <w:rsid w:val="00F74C93"/>
    <w:rsid w:val="00F751E3"/>
    <w:rsid w:val="00F761DE"/>
    <w:rsid w:val="00F76368"/>
    <w:rsid w:val="00F77E0F"/>
    <w:rsid w:val="00F821BE"/>
    <w:rsid w:val="00F84878"/>
    <w:rsid w:val="00F91557"/>
    <w:rsid w:val="00F96214"/>
    <w:rsid w:val="00F9649D"/>
    <w:rsid w:val="00F96724"/>
    <w:rsid w:val="00FA0A18"/>
    <w:rsid w:val="00FA22AD"/>
    <w:rsid w:val="00FA41F9"/>
    <w:rsid w:val="00FB3553"/>
    <w:rsid w:val="00FB5509"/>
    <w:rsid w:val="00FB7034"/>
    <w:rsid w:val="00FB7E64"/>
    <w:rsid w:val="00FC35D8"/>
    <w:rsid w:val="00FC582C"/>
    <w:rsid w:val="00FD01D3"/>
    <w:rsid w:val="00FD45B1"/>
    <w:rsid w:val="00FD6AD6"/>
    <w:rsid w:val="00FD7809"/>
    <w:rsid w:val="00FE1B5A"/>
    <w:rsid w:val="00FE2186"/>
    <w:rsid w:val="00FE4404"/>
    <w:rsid w:val="00FE629A"/>
    <w:rsid w:val="00FE753A"/>
    <w:rsid w:val="00FF4AA2"/>
    <w:rsid w:val="00FF5399"/>
    <w:rsid w:val="00FF65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428299,#529dba"/>
    </o:shapedefaults>
    <o:shapelayout v:ext="edit">
      <o:idmap v:ext="edit" data="1"/>
    </o:shapelayout>
  </w:shapeDefaults>
  <w:doNotEmbedSmartTags/>
  <w:decimalSymbol w:val=","/>
  <w:listSeparator w:val=";"/>
  <w14:docId w14:val="28C0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295A"/>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E10EED"/>
    <w:pPr>
      <w:keepNext/>
      <w:ind w:left="360" w:hanging="360"/>
      <w:jc w:val="both"/>
      <w:outlineLvl w:val="0"/>
    </w:pPr>
    <w:rPr>
      <w:rFonts w:cs="Arial"/>
      <w:b/>
      <w:kern w:val="32"/>
      <w:szCs w:val="20"/>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0"/>
      </w:numPr>
      <w:tabs>
        <w:tab w:val="num" w:pos="720"/>
      </w:tabs>
    </w:pPr>
  </w:style>
  <w:style w:type="character" w:customStyle="1" w:styleId="OdsekZnak">
    <w:name w:val="Odsek Znak"/>
    <w:basedOn w:val="OddelekZnak1"/>
    <w:link w:val="Odsek"/>
    <w:rsid w:val="000151E4"/>
    <w:rPr>
      <w:rFonts w:ascii="Arial" w:hAnsi="Arial" w:cs="Arial"/>
      <w:b/>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E10EED"/>
    <w:rPr>
      <w:rFonts w:ascii="Arial" w:hAnsi="Arial" w:cs="Arial"/>
      <w:b/>
      <w:kern w:val="32"/>
      <w:u w:val="single"/>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uiPriority w:val="34"/>
    <w:qFormat/>
    <w:rsid w:val="00F117DC"/>
    <w:pPr>
      <w:spacing w:after="200" w:line="276" w:lineRule="auto"/>
      <w:ind w:left="720"/>
      <w:contextualSpacing/>
    </w:pPr>
    <w:rPr>
      <w:rFonts w:ascii="Calibri" w:eastAsia="Calibri" w:hAnsi="Calibri"/>
      <w:sz w:val="22"/>
      <w:szCs w:val="22"/>
    </w:rPr>
  </w:style>
  <w:style w:type="character" w:styleId="Krepko">
    <w:name w:val="Strong"/>
    <w:basedOn w:val="Privzetapisavaodstavka"/>
    <w:uiPriority w:val="22"/>
    <w:qFormat/>
    <w:rsid w:val="008F78D4"/>
    <w:rPr>
      <w:b/>
      <w:bCs/>
    </w:rPr>
  </w:style>
  <w:style w:type="paragraph" w:styleId="Naslov">
    <w:name w:val="Title"/>
    <w:basedOn w:val="Navaden"/>
    <w:next w:val="Navaden"/>
    <w:link w:val="NaslovZnak"/>
    <w:qFormat/>
    <w:rsid w:val="001106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1106E9"/>
    <w:rPr>
      <w:rFonts w:asciiTheme="majorHAnsi" w:eastAsiaTheme="majorEastAsia" w:hAnsiTheme="majorHAnsi" w:cstheme="majorBidi"/>
      <w:color w:val="17365D" w:themeColor="text2" w:themeShade="BF"/>
      <w:spacing w:val="5"/>
      <w:kern w:val="28"/>
      <w:sz w:val="52"/>
      <w:szCs w:val="52"/>
      <w:lang w:eastAsia="en-US"/>
    </w:rPr>
  </w:style>
  <w:style w:type="paragraph" w:styleId="Kazalovsebine1">
    <w:name w:val="toc 1"/>
    <w:basedOn w:val="Navaden"/>
    <w:next w:val="Navaden"/>
    <w:autoRedefine/>
    <w:uiPriority w:val="39"/>
    <w:rsid w:val="006D780B"/>
    <w:pPr>
      <w:tabs>
        <w:tab w:val="left" w:pos="440"/>
        <w:tab w:val="right" w:leader="dot" w:pos="9062"/>
      </w:tabs>
      <w:spacing w:after="100"/>
    </w:pPr>
  </w:style>
  <w:style w:type="character" w:customStyle="1" w:styleId="NogaZnak">
    <w:name w:val="Noga Znak"/>
    <w:basedOn w:val="Privzetapisavaodstavka"/>
    <w:link w:val="Noga"/>
    <w:uiPriority w:val="99"/>
    <w:rsid w:val="007426E4"/>
    <w:rPr>
      <w:rFonts w:ascii="Arial" w:hAnsi="Arial"/>
      <w:szCs w:val="24"/>
      <w:lang w:eastAsia="en-US"/>
    </w:rPr>
  </w:style>
  <w:style w:type="paragraph" w:styleId="Sprotnaopomba-besedilo">
    <w:name w:val="footnote text"/>
    <w:basedOn w:val="Navaden"/>
    <w:link w:val="Sprotnaopomba-besediloZnak"/>
    <w:uiPriority w:val="99"/>
    <w:unhideWhenUsed/>
    <w:rsid w:val="004B70C6"/>
    <w:pPr>
      <w:spacing w:line="240" w:lineRule="auto"/>
    </w:pPr>
    <w:rPr>
      <w:szCs w:val="20"/>
      <w:lang w:val="en-US"/>
    </w:rPr>
  </w:style>
  <w:style w:type="character" w:customStyle="1" w:styleId="Sprotnaopomba-besediloZnak">
    <w:name w:val="Sprotna opomba - besedilo Znak"/>
    <w:basedOn w:val="Privzetapisavaodstavka"/>
    <w:link w:val="Sprotnaopomba-besedilo"/>
    <w:uiPriority w:val="99"/>
    <w:rsid w:val="004B70C6"/>
    <w:rPr>
      <w:rFonts w:ascii="Arial" w:hAnsi="Arial"/>
      <w:lang w:val="en-US" w:eastAsia="en-US"/>
    </w:rPr>
  </w:style>
  <w:style w:type="character" w:styleId="Sprotnaopomba-sklic">
    <w:name w:val="footnote reference"/>
    <w:basedOn w:val="Privzetapisavaodstavka"/>
    <w:uiPriority w:val="99"/>
    <w:unhideWhenUsed/>
    <w:rsid w:val="004B70C6"/>
    <w:rPr>
      <w:vertAlign w:val="superscript"/>
    </w:rPr>
  </w:style>
  <w:style w:type="paragraph" w:customStyle="1" w:styleId="alineje">
    <w:name w:val="alineje"/>
    <w:basedOn w:val="Odstavekseznama"/>
    <w:link w:val="alinejeChar"/>
    <w:qFormat/>
    <w:rsid w:val="004B70C6"/>
    <w:pPr>
      <w:numPr>
        <w:numId w:val="13"/>
      </w:numPr>
      <w:spacing w:after="0" w:line="250" w:lineRule="exact"/>
      <w:contextualSpacing w:val="0"/>
      <w:jc w:val="both"/>
    </w:pPr>
    <w:rPr>
      <w:rFonts w:ascii="Arial" w:eastAsia="Times New Roman" w:hAnsi="Arial" w:cs="Arial"/>
      <w:sz w:val="19"/>
      <w:szCs w:val="19"/>
      <w:lang w:eastAsia="sl-SI"/>
    </w:rPr>
  </w:style>
  <w:style w:type="character" w:customStyle="1" w:styleId="alinejeChar">
    <w:name w:val="alineje Char"/>
    <w:link w:val="alineje"/>
    <w:rsid w:val="004B70C6"/>
    <w:rPr>
      <w:rFonts w:ascii="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295A"/>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E10EED"/>
    <w:pPr>
      <w:keepNext/>
      <w:ind w:left="360" w:hanging="360"/>
      <w:jc w:val="both"/>
      <w:outlineLvl w:val="0"/>
    </w:pPr>
    <w:rPr>
      <w:rFonts w:cs="Arial"/>
      <w:b/>
      <w:kern w:val="32"/>
      <w:szCs w:val="20"/>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0"/>
      </w:numPr>
      <w:tabs>
        <w:tab w:val="num" w:pos="720"/>
      </w:tabs>
    </w:pPr>
  </w:style>
  <w:style w:type="character" w:customStyle="1" w:styleId="OdsekZnak">
    <w:name w:val="Odsek Znak"/>
    <w:basedOn w:val="OddelekZnak1"/>
    <w:link w:val="Odsek"/>
    <w:rsid w:val="000151E4"/>
    <w:rPr>
      <w:rFonts w:ascii="Arial" w:hAnsi="Arial" w:cs="Arial"/>
      <w:b/>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E10EED"/>
    <w:rPr>
      <w:rFonts w:ascii="Arial" w:hAnsi="Arial" w:cs="Arial"/>
      <w:b/>
      <w:kern w:val="32"/>
      <w:u w:val="single"/>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uiPriority w:val="34"/>
    <w:qFormat/>
    <w:rsid w:val="00F117DC"/>
    <w:pPr>
      <w:spacing w:after="200" w:line="276" w:lineRule="auto"/>
      <w:ind w:left="720"/>
      <w:contextualSpacing/>
    </w:pPr>
    <w:rPr>
      <w:rFonts w:ascii="Calibri" w:eastAsia="Calibri" w:hAnsi="Calibri"/>
      <w:sz w:val="22"/>
      <w:szCs w:val="22"/>
    </w:rPr>
  </w:style>
  <w:style w:type="character" w:styleId="Krepko">
    <w:name w:val="Strong"/>
    <w:basedOn w:val="Privzetapisavaodstavka"/>
    <w:uiPriority w:val="22"/>
    <w:qFormat/>
    <w:rsid w:val="008F78D4"/>
    <w:rPr>
      <w:b/>
      <w:bCs/>
    </w:rPr>
  </w:style>
  <w:style w:type="paragraph" w:styleId="Naslov">
    <w:name w:val="Title"/>
    <w:basedOn w:val="Navaden"/>
    <w:next w:val="Navaden"/>
    <w:link w:val="NaslovZnak"/>
    <w:qFormat/>
    <w:rsid w:val="001106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1106E9"/>
    <w:rPr>
      <w:rFonts w:asciiTheme="majorHAnsi" w:eastAsiaTheme="majorEastAsia" w:hAnsiTheme="majorHAnsi" w:cstheme="majorBidi"/>
      <w:color w:val="17365D" w:themeColor="text2" w:themeShade="BF"/>
      <w:spacing w:val="5"/>
      <w:kern w:val="28"/>
      <w:sz w:val="52"/>
      <w:szCs w:val="52"/>
      <w:lang w:eastAsia="en-US"/>
    </w:rPr>
  </w:style>
  <w:style w:type="paragraph" w:styleId="Kazalovsebine1">
    <w:name w:val="toc 1"/>
    <w:basedOn w:val="Navaden"/>
    <w:next w:val="Navaden"/>
    <w:autoRedefine/>
    <w:uiPriority w:val="39"/>
    <w:rsid w:val="006D780B"/>
    <w:pPr>
      <w:tabs>
        <w:tab w:val="left" w:pos="440"/>
        <w:tab w:val="right" w:leader="dot" w:pos="9062"/>
      </w:tabs>
      <w:spacing w:after="100"/>
    </w:pPr>
  </w:style>
  <w:style w:type="character" w:customStyle="1" w:styleId="NogaZnak">
    <w:name w:val="Noga Znak"/>
    <w:basedOn w:val="Privzetapisavaodstavka"/>
    <w:link w:val="Noga"/>
    <w:uiPriority w:val="99"/>
    <w:rsid w:val="007426E4"/>
    <w:rPr>
      <w:rFonts w:ascii="Arial" w:hAnsi="Arial"/>
      <w:szCs w:val="24"/>
      <w:lang w:eastAsia="en-US"/>
    </w:rPr>
  </w:style>
  <w:style w:type="paragraph" w:styleId="Sprotnaopomba-besedilo">
    <w:name w:val="footnote text"/>
    <w:basedOn w:val="Navaden"/>
    <w:link w:val="Sprotnaopomba-besediloZnak"/>
    <w:uiPriority w:val="99"/>
    <w:unhideWhenUsed/>
    <w:rsid w:val="004B70C6"/>
    <w:pPr>
      <w:spacing w:line="240" w:lineRule="auto"/>
    </w:pPr>
    <w:rPr>
      <w:szCs w:val="20"/>
      <w:lang w:val="en-US"/>
    </w:rPr>
  </w:style>
  <w:style w:type="character" w:customStyle="1" w:styleId="Sprotnaopomba-besediloZnak">
    <w:name w:val="Sprotna opomba - besedilo Znak"/>
    <w:basedOn w:val="Privzetapisavaodstavka"/>
    <w:link w:val="Sprotnaopomba-besedilo"/>
    <w:uiPriority w:val="99"/>
    <w:rsid w:val="004B70C6"/>
    <w:rPr>
      <w:rFonts w:ascii="Arial" w:hAnsi="Arial"/>
      <w:lang w:val="en-US" w:eastAsia="en-US"/>
    </w:rPr>
  </w:style>
  <w:style w:type="character" w:styleId="Sprotnaopomba-sklic">
    <w:name w:val="footnote reference"/>
    <w:basedOn w:val="Privzetapisavaodstavka"/>
    <w:uiPriority w:val="99"/>
    <w:unhideWhenUsed/>
    <w:rsid w:val="004B70C6"/>
    <w:rPr>
      <w:vertAlign w:val="superscript"/>
    </w:rPr>
  </w:style>
  <w:style w:type="paragraph" w:customStyle="1" w:styleId="alineje">
    <w:name w:val="alineje"/>
    <w:basedOn w:val="Odstavekseznama"/>
    <w:link w:val="alinejeChar"/>
    <w:qFormat/>
    <w:rsid w:val="004B70C6"/>
    <w:pPr>
      <w:numPr>
        <w:numId w:val="13"/>
      </w:numPr>
      <w:spacing w:after="0" w:line="250" w:lineRule="exact"/>
      <w:contextualSpacing w:val="0"/>
      <w:jc w:val="both"/>
    </w:pPr>
    <w:rPr>
      <w:rFonts w:ascii="Arial" w:eastAsia="Times New Roman" w:hAnsi="Arial" w:cs="Arial"/>
      <w:sz w:val="19"/>
      <w:szCs w:val="19"/>
      <w:lang w:eastAsia="sl-SI"/>
    </w:rPr>
  </w:style>
  <w:style w:type="character" w:customStyle="1" w:styleId="alinejeChar">
    <w:name w:val="alineje Char"/>
    <w:link w:val="alineje"/>
    <w:rsid w:val="004B70C6"/>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497">
      <w:bodyDiv w:val="1"/>
      <w:marLeft w:val="0"/>
      <w:marRight w:val="0"/>
      <w:marTop w:val="0"/>
      <w:marBottom w:val="0"/>
      <w:divBdr>
        <w:top w:val="none" w:sz="0" w:space="0" w:color="auto"/>
        <w:left w:val="none" w:sz="0" w:space="0" w:color="auto"/>
        <w:bottom w:val="none" w:sz="0" w:space="0" w:color="auto"/>
        <w:right w:val="none" w:sz="0" w:space="0" w:color="auto"/>
      </w:divBdr>
    </w:div>
    <w:div w:id="1678993358">
      <w:bodyDiv w:val="1"/>
      <w:marLeft w:val="0"/>
      <w:marRight w:val="0"/>
      <w:marTop w:val="0"/>
      <w:marBottom w:val="0"/>
      <w:divBdr>
        <w:top w:val="none" w:sz="0" w:space="0" w:color="auto"/>
        <w:left w:val="none" w:sz="0" w:space="0" w:color="auto"/>
        <w:bottom w:val="none" w:sz="0" w:space="0" w:color="auto"/>
        <w:right w:val="none" w:sz="0" w:space="0" w:color="auto"/>
      </w:divBdr>
      <w:divsChild>
        <w:div w:id="1796216175">
          <w:marLeft w:val="0"/>
          <w:marRight w:val="0"/>
          <w:marTop w:val="240"/>
          <w:marBottom w:val="120"/>
          <w:divBdr>
            <w:top w:val="none" w:sz="0" w:space="0" w:color="auto"/>
            <w:left w:val="none" w:sz="0" w:space="0" w:color="auto"/>
            <w:bottom w:val="none" w:sz="0" w:space="0" w:color="auto"/>
            <w:right w:val="none" w:sz="0" w:space="0" w:color="auto"/>
          </w:divBdr>
        </w:div>
        <w:div w:id="1451320393">
          <w:marLeft w:val="0"/>
          <w:marRight w:val="0"/>
          <w:marTop w:val="0"/>
          <w:marBottom w:val="120"/>
          <w:divBdr>
            <w:top w:val="none" w:sz="0" w:space="0" w:color="auto"/>
            <w:left w:val="none" w:sz="0" w:space="0" w:color="auto"/>
            <w:bottom w:val="none" w:sz="0" w:space="0" w:color="auto"/>
            <w:right w:val="none" w:sz="0" w:space="0" w:color="auto"/>
          </w:divBdr>
        </w:div>
        <w:div w:id="1794664346">
          <w:marLeft w:val="0"/>
          <w:marRight w:val="0"/>
          <w:marTop w:val="0"/>
          <w:marBottom w:val="120"/>
          <w:divBdr>
            <w:top w:val="none" w:sz="0" w:space="0" w:color="auto"/>
            <w:left w:val="none" w:sz="0" w:space="0" w:color="auto"/>
            <w:bottom w:val="none" w:sz="0" w:space="0" w:color="auto"/>
            <w:right w:val="none" w:sz="0" w:space="0" w:color="auto"/>
          </w:divBdr>
        </w:div>
        <w:div w:id="88548497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nz.gov.si" TargetMode="External"/><Relationship Id="rId4" Type="http://schemas.microsoft.com/office/2007/relationships/stylesWithEffects" Target="stylesWithEffects.xml"/><Relationship Id="rId9" Type="http://schemas.openxmlformats.org/officeDocument/2006/relationships/image" Target="media/image1.png"/><Relationship Id="rId22"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46B1-320B-4023-AAC0-C6F043BF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2548</Words>
  <Characters>14530</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17044</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MVokal</cp:lastModifiedBy>
  <cp:revision>5</cp:revision>
  <cp:lastPrinted>2019-03-01T11:12:00Z</cp:lastPrinted>
  <dcterms:created xsi:type="dcterms:W3CDTF">2020-01-07T09:47:00Z</dcterms:created>
  <dcterms:modified xsi:type="dcterms:W3CDTF">2020-01-07T10:13:00Z</dcterms:modified>
</cp:coreProperties>
</file>