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76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D7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0121-1/2017</w:t>
            </w:r>
            <w:r w:rsidR="004658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6470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319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319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="004658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2020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E16394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D7618" w:rsidRPr="00183B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Poročilo o delu Komisije za odpravljanje posledic dela z azbestom za leto </w:t>
            </w:r>
            <w:r w:rsidR="004658E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2019</w:t>
            </w:r>
            <w:r w:rsidR="00ED7618" w:rsidRPr="00183B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="004658EC" w:rsidRPr="004658EC">
              <w:rPr>
                <w:rFonts w:cs="Arial"/>
                <w:iCs/>
                <w:sz w:val="20"/>
                <w:szCs w:val="20"/>
                <w:lang w:eastAsia="sl-SI"/>
              </w:rPr>
              <w:t xml:space="preserve">(Uradni list RS, št. 24/05 - uradno prečiščeno besedilo, 109/08, 38/10-ZUKN, 8/12, 21/13, 47/13 – ZDU-1G, 65/14 in 55/17) </w:t>
            </w: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 xml:space="preserve">in 3. točke Sklepa Vlade Republike Slovenije, št. 01203-5/2012/4 z dne 12.4.2012, je Vlada Republike Slovenije na … seji dne … sprejela naslednji 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 xml:space="preserve">Vlada Republike Slovenije se je seznanila s Poročilom o </w:t>
            </w:r>
            <w:r w:rsidRPr="00691DD4">
              <w:rPr>
                <w:rFonts w:cs="Arial"/>
                <w:sz w:val="20"/>
                <w:szCs w:val="20"/>
                <w:lang w:eastAsia="sl-SI"/>
              </w:rPr>
              <w:t xml:space="preserve">delu Komisije za odpravljanje posledic dela z azbestom za leto </w:t>
            </w:r>
            <w:r w:rsidR="004658EC">
              <w:rPr>
                <w:rFonts w:cs="Arial"/>
                <w:sz w:val="20"/>
                <w:szCs w:val="20"/>
                <w:lang w:eastAsia="sl-SI"/>
              </w:rPr>
              <w:t>2019</w:t>
            </w:r>
            <w:r w:rsidRPr="00691DD4">
              <w:rPr>
                <w:rFonts w:cs="Arial"/>
                <w:sz w:val="20"/>
                <w:szCs w:val="20"/>
                <w:lang w:eastAsia="sl-SI"/>
              </w:rPr>
              <w:t>.</w:t>
            </w: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 xml:space="preserve">                                                                                   Stojan Tramte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 xml:space="preserve">                                                                           GENERALI SEKRETAR</w:t>
            </w:r>
          </w:p>
          <w:p w:rsidR="00067C28" w:rsidRDefault="00067C28" w:rsidP="00067C28">
            <w:pPr>
              <w:pStyle w:val="Neotevilenodstavek"/>
              <w:spacing w:before="0" w:after="0" w:line="260" w:lineRule="exact"/>
              <w:ind w:left="206"/>
              <w:rPr>
                <w:rFonts w:cs="Arial"/>
                <w:sz w:val="20"/>
                <w:szCs w:val="20"/>
                <w:lang w:eastAsia="sl-SI"/>
              </w:rPr>
            </w:pPr>
          </w:p>
          <w:p w:rsidR="00ED7618" w:rsidRPr="00067C28" w:rsidRDefault="00067C28" w:rsidP="00067C28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 xml:space="preserve">Priloga: </w:t>
            </w:r>
            <w:r w:rsidRPr="00067C28">
              <w:rPr>
                <w:rFonts w:cs="Arial"/>
                <w:sz w:val="20"/>
                <w:szCs w:val="20"/>
                <w:lang w:eastAsia="sl-SI"/>
              </w:rPr>
              <w:t>Poročilo o delu Komisije za odpravljanje posledic dela z</w:t>
            </w:r>
            <w:r w:rsidR="004658EC">
              <w:rPr>
                <w:rFonts w:cs="Arial"/>
                <w:sz w:val="20"/>
                <w:szCs w:val="20"/>
                <w:lang w:eastAsia="sl-SI"/>
              </w:rPr>
              <w:t xml:space="preserve"> azbestom za leto 2019</w:t>
            </w:r>
          </w:p>
          <w:p w:rsidR="00067C28" w:rsidRPr="00067C28" w:rsidRDefault="00067C28" w:rsidP="00067C28">
            <w:pPr>
              <w:pStyle w:val="Neotevilenodstavek"/>
              <w:spacing w:before="0" w:after="0" w:line="260" w:lineRule="exact"/>
              <w:ind w:left="206"/>
              <w:rPr>
                <w:rFonts w:cs="Arial"/>
                <w:sz w:val="20"/>
                <w:szCs w:val="20"/>
                <w:lang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>Prejmejo:</w:t>
            </w:r>
          </w:p>
          <w:p w:rsidR="00ED7618" w:rsidRPr="00691DD4" w:rsidRDefault="00ED7618" w:rsidP="00ED7618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>Komisija za odpravljanje posledic dela z azbestom</w:t>
            </w:r>
          </w:p>
          <w:p w:rsidR="00ED7618" w:rsidRPr="00691DD4" w:rsidRDefault="00ED7618" w:rsidP="00ED7618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eastAsia="sl-SI"/>
              </w:rPr>
              <w:t>Ministrstvo za delo, družino, socialne zadeve in enake možnosti</w:t>
            </w:r>
          </w:p>
          <w:p w:rsidR="00AE1F83" w:rsidRPr="00AE1F83" w:rsidRDefault="00AE1F83" w:rsidP="00ED76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Petra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Bechibani</w:t>
            </w:r>
            <w:proofErr w:type="spellEnd"/>
            <w:r w:rsidR="002C61B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mag. Nikolaj </w:t>
            </w:r>
            <w:proofErr w:type="spellStart"/>
            <w:r w:rsidR="002C61B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Petrišič</w:t>
            </w:r>
            <w:proofErr w:type="spellEnd"/>
            <w:r w:rsidR="00D0010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Sektor za varnost in zdravje pri delu, Ministrstvo za delo, družino, socialne zadeve in enake možnosti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ED7618" w:rsidRDefault="00ED7618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ED7618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Gradivo nima finančnih posledic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ED7618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sodelovanje združenj ni potrebno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D7618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sodelovanje javnosti ni potrebno</w:t>
            </w:r>
          </w:p>
          <w:p w:rsidR="00ED7618" w:rsidRPr="00AE1F83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AE1F83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7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ED7618" w:rsidRPr="00ED7618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83778" w:rsidRDefault="00683778"/>
    <w:p w:rsidR="00683778" w:rsidRPr="00067C28" w:rsidRDefault="00067C28" w:rsidP="00067C28"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</w:t>
      </w:r>
      <w:r w:rsidR="00683778"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</w:p>
    <w:p w:rsidR="00683778" w:rsidRPr="00683778" w:rsidRDefault="00D00105" w:rsidP="00683778">
      <w:pPr>
        <w:numPr>
          <w:ilvl w:val="1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</w:t>
      </w:r>
      <w:r w:rsidR="00683778"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redlog sklepa Vlade Republike Slovenije</w:t>
      </w: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lastRenderedPageBreak/>
        <w:t>Številka: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 xml:space="preserve">Ljubljana, dne 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 xml:space="preserve">Na podlagi  šestega odstavka 21. člena Zakona o Vladi Republike Slovenije (Uradni list RS, št. 24/05 – uradno prečiščeno besedilo, 109/08, 38/10 – ZUKN, 8/12, 21/13, 47/13 – ZDU-1G, 65/14 in 55/17) in 3. točke Sklepa Vlade Republike Slovenije, št. 01203-5/2012/4 z dne 12. 4. 2012, je Vlada Republike Slovenije na … seji dne … sprejela naslednji 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>SKLEP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 xml:space="preserve">Vlada Republike Slovenije se je seznanila s Poročilom o delu Komisije za odpravljanje posledic dela z azbestom za leto </w:t>
      </w:r>
      <w:r w:rsidR="004658EC">
        <w:rPr>
          <w:rFonts w:cs="Arial"/>
          <w:iCs/>
          <w:sz w:val="20"/>
          <w:szCs w:val="20"/>
          <w:lang w:eastAsia="sl-SI"/>
        </w:rPr>
        <w:t>2019</w:t>
      </w:r>
      <w:r w:rsidRPr="00683778">
        <w:rPr>
          <w:rFonts w:cs="Arial"/>
          <w:iCs/>
          <w:sz w:val="20"/>
          <w:szCs w:val="20"/>
          <w:lang w:eastAsia="sl-SI"/>
        </w:rPr>
        <w:t>.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Default="0071259C" w:rsidP="00683778">
      <w:pPr>
        <w:pStyle w:val="Neotevilenodstavek"/>
        <w:spacing w:before="0" w:after="0" w:line="260" w:lineRule="exact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t xml:space="preserve">                                                                                 </w:t>
      </w:r>
      <w:r w:rsidR="00683778">
        <w:rPr>
          <w:rFonts w:cs="Arial"/>
          <w:sz w:val="20"/>
          <w:szCs w:val="20"/>
          <w:lang w:eastAsia="sl-SI"/>
        </w:rPr>
        <w:t>Stojan Tramte</w:t>
      </w:r>
    </w:p>
    <w:p w:rsidR="00683778" w:rsidRPr="00691DD4" w:rsidRDefault="00683778" w:rsidP="00683778">
      <w:pPr>
        <w:pStyle w:val="Neotevilenodstavek"/>
        <w:spacing w:before="0" w:after="0" w:line="260" w:lineRule="exact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t xml:space="preserve">                                                                           GENERALI SEKRETAR</w:t>
      </w:r>
    </w:p>
    <w:p w:rsid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067C28" w:rsidRPr="00683778" w:rsidRDefault="00067C28" w:rsidP="00067C28">
      <w:pPr>
        <w:pStyle w:val="Neotevilenodstavek"/>
        <w:numPr>
          <w:ilvl w:val="0"/>
          <w:numId w:val="13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067C28">
        <w:rPr>
          <w:rFonts w:cs="Arial"/>
          <w:iCs/>
          <w:sz w:val="20"/>
          <w:szCs w:val="20"/>
          <w:lang w:eastAsia="sl-SI"/>
        </w:rPr>
        <w:t>Priloga</w:t>
      </w:r>
      <w:r w:rsidR="00D00105">
        <w:rPr>
          <w:rFonts w:cs="Arial"/>
          <w:sz w:val="20"/>
          <w:szCs w:val="20"/>
          <w:lang w:eastAsia="sl-SI"/>
        </w:rPr>
        <w:t>:</w:t>
      </w:r>
      <w:r w:rsidRPr="00067C28">
        <w:rPr>
          <w:rFonts w:cs="Arial"/>
          <w:sz w:val="20"/>
          <w:szCs w:val="20"/>
          <w:lang w:eastAsia="sl-SI"/>
        </w:rPr>
        <w:t xml:space="preserve"> Poročilo o delu Komisije za odpravljanje posledic dela z a</w:t>
      </w:r>
      <w:r w:rsidR="004658EC">
        <w:rPr>
          <w:rFonts w:cs="Arial"/>
          <w:sz w:val="20"/>
          <w:szCs w:val="20"/>
          <w:lang w:eastAsia="sl-SI"/>
        </w:rPr>
        <w:t>zbestom za leto 2019</w:t>
      </w:r>
    </w:p>
    <w:p w:rsidR="00067C28" w:rsidRDefault="00067C2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>Prejmejo:</w:t>
      </w:r>
    </w:p>
    <w:p w:rsidR="00683778" w:rsidRPr="00683778" w:rsidRDefault="00683778" w:rsidP="00683778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>Komisija za odpravljanje posledic dela z azbestom</w:t>
      </w:r>
    </w:p>
    <w:p w:rsidR="00683778" w:rsidRPr="00683778" w:rsidRDefault="00683778" w:rsidP="00683778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683778">
        <w:rPr>
          <w:rFonts w:cs="Arial"/>
          <w:iCs/>
          <w:sz w:val="20"/>
          <w:szCs w:val="20"/>
          <w:lang w:eastAsia="sl-SI"/>
        </w:rPr>
        <w:t>Ministrstvo za delo, družino, socialne zadeve in enake možnosti</w:t>
      </w:r>
    </w:p>
    <w:p w:rsidR="00683778" w:rsidRPr="00683778" w:rsidRDefault="00683778" w:rsidP="0068377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:rsidR="00683778" w:rsidRPr="00D00105" w:rsidRDefault="00683778" w:rsidP="00683778">
      <w:pPr>
        <w:pStyle w:val="ZADEVA"/>
        <w:spacing w:line="276" w:lineRule="auto"/>
        <w:ind w:left="0" w:firstLine="0"/>
        <w:rPr>
          <w:rFonts w:cs="Arial"/>
          <w:iCs/>
          <w:szCs w:val="20"/>
          <w:lang w:val="sl-SI" w:eastAsia="sl-SI"/>
        </w:rPr>
      </w:pPr>
      <w:r w:rsidRPr="00D00105">
        <w:rPr>
          <w:rFonts w:cs="Arial"/>
          <w:iCs/>
          <w:szCs w:val="20"/>
          <w:lang w:val="sl-SI" w:eastAsia="sl-SI"/>
        </w:rPr>
        <w:lastRenderedPageBreak/>
        <w:t>Poročilo o delu Komisije za odpravljanje posle</w:t>
      </w:r>
      <w:r w:rsidR="004658EC" w:rsidRPr="00D00105">
        <w:rPr>
          <w:rFonts w:cs="Arial"/>
          <w:iCs/>
          <w:szCs w:val="20"/>
          <w:lang w:val="sl-SI" w:eastAsia="sl-SI"/>
        </w:rPr>
        <w:t>dic dela z azbestom za leto 2019</w:t>
      </w:r>
    </w:p>
    <w:p w:rsidR="00FB397B" w:rsidRPr="00D00105" w:rsidRDefault="00FB397B" w:rsidP="00683778">
      <w:pPr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0581">
        <w:rPr>
          <w:rFonts w:ascii="Arial" w:hAnsi="Arial" w:cs="Arial"/>
          <w:b/>
          <w:sz w:val="20"/>
          <w:szCs w:val="20"/>
        </w:rPr>
        <w:t>I. Splošno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Zakon, ki ureja področje socialnega in zdravstvenega varstva »azbestnih« bolnikov,  je Zakon o odpravljanju posledic dela z azbestom (Uradni list RS, 15/07 – </w:t>
      </w:r>
      <w:r w:rsidR="00D00105">
        <w:rPr>
          <w:rFonts w:ascii="Arial" w:hAnsi="Arial" w:cs="Arial"/>
          <w:sz w:val="20"/>
          <w:szCs w:val="20"/>
        </w:rPr>
        <w:t>u</w:t>
      </w:r>
      <w:r w:rsidRPr="00BD0581">
        <w:rPr>
          <w:rFonts w:ascii="Arial" w:hAnsi="Arial" w:cs="Arial"/>
          <w:sz w:val="20"/>
          <w:szCs w:val="20"/>
        </w:rPr>
        <w:t>radno prečiščeno besedilo in 51/09: v nadalj</w:t>
      </w:r>
      <w:r w:rsidR="00D00105">
        <w:rPr>
          <w:rFonts w:ascii="Arial" w:hAnsi="Arial" w:cs="Arial"/>
          <w:sz w:val="20"/>
          <w:szCs w:val="20"/>
        </w:rPr>
        <w:t>njem besedilu</w:t>
      </w:r>
      <w:r w:rsidRPr="00BD0581">
        <w:rPr>
          <w:rFonts w:ascii="Arial" w:hAnsi="Arial" w:cs="Arial"/>
          <w:sz w:val="20"/>
          <w:szCs w:val="20"/>
        </w:rPr>
        <w:t>:</w:t>
      </w:r>
      <w:r w:rsidR="00D0010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zakon).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Podzakonski akti zakona so: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Pravilnik o pogojih za določitev bolezni zaradi izpostavljenosti azbestu in merilih za določitev višine odškodnine (Uradni list RS, št. 61/07 in 92/08), ki določa postopek ugotavljanja bolezni zaradi izpostavljenosti azbesta in izračun odškodnine;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Uredba o merilih za znižanje deleža odškodnine, ki jo delodajalci izplačujejo zaradi posledic dela z azbestom (Uradni list RS, št. 25/10), ki ureja znižanje deleža delodajalca in daje podlago Republiki Sloveniji za izplačilo celotnega zneska odškodnine, če delodajalec ali njegov pravni naslednik ne obstaja več;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Shema za določanje odškodnine za posamezne vrste poklicnih bolezni zaradi izpostavljenosti azbestu, v kateri se vsako leto revalorizirajo zneski odškodnin (v nadaljevanju: shema). Shema se objavi v Uradnem listu RS.</w:t>
      </w:r>
    </w:p>
    <w:p w:rsidR="004658EC" w:rsidRPr="00BD0581" w:rsidRDefault="004658EC" w:rsidP="004658EC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:rsidR="00D00105" w:rsidRDefault="00D00105" w:rsidP="00BD05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postopke sporazumevanja za izplačilo odškodnine in priznavanje pravice do invalidske pokojnine </w:t>
      </w:r>
      <w:r w:rsidR="00A32753" w:rsidRPr="009D5F01">
        <w:rPr>
          <w:rFonts w:ascii="Arial" w:hAnsi="Arial" w:cs="Arial"/>
          <w:sz w:val="20"/>
          <w:szCs w:val="20"/>
        </w:rPr>
        <w:t>pod ugodnejšimi pogoji po zakonu Vlada Republike Slovenije imenuje medresorsko komisijo (v</w:t>
      </w:r>
      <w:r w:rsidR="00A32753">
        <w:rPr>
          <w:rFonts w:ascii="Arial" w:hAnsi="Arial" w:cs="Arial"/>
          <w:sz w:val="20"/>
          <w:szCs w:val="20"/>
        </w:rPr>
        <w:t xml:space="preserve"> nadaljnjem besedilu: komisija).</w:t>
      </w:r>
    </w:p>
    <w:p w:rsidR="00A32753" w:rsidRDefault="00A32753" w:rsidP="004658EC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ima 5 članov ter 5 namestnikov, od katerih: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1 člana in 1 namestnika  predlaga minister, pristojen za delo;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1 člana in 1 namestnika  predlaga minister, pristojen za zdravje;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1 člana in 1 namestnika  predlaga minister, pristojen za gospodarstvo;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1 člana in 1 namestnika  predlagajo gospodarske družbe iz 2. člena zakona oziroma gospodarske družbe, ki so njihovi pravni nasledniki;</w:t>
      </w:r>
    </w:p>
    <w:p w:rsidR="004658EC" w:rsidRPr="00BD0581" w:rsidRDefault="004658EC" w:rsidP="004658EC">
      <w:pPr>
        <w:numPr>
          <w:ilvl w:val="0"/>
          <w:numId w:val="10"/>
        </w:num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1 člana in 1 namestnika  predlagajo organizacije, ki zastopajo obolele zaradi izpostavljenosti azbestu.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0581">
        <w:rPr>
          <w:rFonts w:ascii="Arial" w:hAnsi="Arial" w:cs="Arial"/>
          <w:b/>
          <w:sz w:val="20"/>
          <w:szCs w:val="20"/>
        </w:rPr>
        <w:t>II. Poročilo o delu komisije za obdobje od 1.</w:t>
      </w:r>
      <w:r w:rsidR="00A32753">
        <w:rPr>
          <w:rFonts w:ascii="Arial" w:hAnsi="Arial" w:cs="Arial"/>
          <w:b/>
          <w:sz w:val="20"/>
          <w:szCs w:val="20"/>
        </w:rPr>
        <w:t xml:space="preserve"> </w:t>
      </w:r>
      <w:r w:rsidRPr="00BD0581">
        <w:rPr>
          <w:rFonts w:ascii="Arial" w:hAnsi="Arial" w:cs="Arial"/>
          <w:b/>
          <w:sz w:val="20"/>
          <w:szCs w:val="20"/>
        </w:rPr>
        <w:t>1.</w:t>
      </w:r>
      <w:r w:rsidR="00A32753">
        <w:rPr>
          <w:rFonts w:ascii="Arial" w:hAnsi="Arial" w:cs="Arial"/>
          <w:b/>
          <w:sz w:val="20"/>
          <w:szCs w:val="20"/>
        </w:rPr>
        <w:t xml:space="preserve"> </w:t>
      </w:r>
      <w:r w:rsidRPr="00BD0581">
        <w:rPr>
          <w:rFonts w:ascii="Arial" w:hAnsi="Arial" w:cs="Arial"/>
          <w:b/>
          <w:sz w:val="20"/>
          <w:szCs w:val="20"/>
        </w:rPr>
        <w:t>2019 do 31.</w:t>
      </w:r>
      <w:r w:rsidR="00A32753">
        <w:rPr>
          <w:rFonts w:ascii="Arial" w:hAnsi="Arial" w:cs="Arial"/>
          <w:b/>
          <w:sz w:val="20"/>
          <w:szCs w:val="20"/>
        </w:rPr>
        <w:t xml:space="preserve"> </w:t>
      </w:r>
      <w:r w:rsidRPr="00BD0581">
        <w:rPr>
          <w:rFonts w:ascii="Arial" w:hAnsi="Arial" w:cs="Arial"/>
          <w:b/>
          <w:sz w:val="20"/>
          <w:szCs w:val="20"/>
        </w:rPr>
        <w:t>12.</w:t>
      </w:r>
      <w:r w:rsidR="00A32753">
        <w:rPr>
          <w:rFonts w:ascii="Arial" w:hAnsi="Arial" w:cs="Arial"/>
          <w:b/>
          <w:sz w:val="20"/>
          <w:szCs w:val="20"/>
        </w:rPr>
        <w:t xml:space="preserve"> </w:t>
      </w:r>
      <w:r w:rsidRPr="00BD0581">
        <w:rPr>
          <w:rFonts w:ascii="Arial" w:hAnsi="Arial" w:cs="Arial"/>
          <w:b/>
          <w:sz w:val="20"/>
          <w:szCs w:val="20"/>
        </w:rPr>
        <w:t>2019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v obdobju od 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 do 31.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12.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2019 zasedala </w:t>
      </w:r>
      <w:r w:rsidR="00573EC4" w:rsidRPr="00BD0581">
        <w:rPr>
          <w:rFonts w:ascii="Arial" w:hAnsi="Arial" w:cs="Arial"/>
          <w:sz w:val="20"/>
          <w:szCs w:val="20"/>
        </w:rPr>
        <w:t>pet</w:t>
      </w:r>
      <w:r w:rsidRPr="00BD0581">
        <w:rPr>
          <w:rFonts w:ascii="Arial" w:hAnsi="Arial" w:cs="Arial"/>
          <w:sz w:val="20"/>
          <w:szCs w:val="20"/>
        </w:rPr>
        <w:t xml:space="preserve">krat.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v obdobju od 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 do 31.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12.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2019 prejela 66 zahtevkov, iz leta 2018 pa je bilo prenesenih 12 nepopolnih zahtevkov, torej skupaj </w:t>
      </w:r>
      <w:r w:rsidRPr="00BD0581">
        <w:rPr>
          <w:rFonts w:ascii="Arial" w:hAnsi="Arial" w:cs="Arial"/>
          <w:b/>
          <w:sz w:val="20"/>
          <w:szCs w:val="20"/>
        </w:rPr>
        <w:t>78</w:t>
      </w:r>
      <w:r w:rsidRPr="00BD0581">
        <w:rPr>
          <w:rFonts w:ascii="Arial" w:hAnsi="Arial" w:cs="Arial"/>
          <w:sz w:val="20"/>
          <w:szCs w:val="20"/>
        </w:rPr>
        <w:t xml:space="preserve"> zahtevkov za izplačilo odškodnine iz naslova poklicne bolezni zaradi izpostavljenosti azbestu in za priznanje invalidske pokojnine pod ugodnejšimi pogoji. V letu 2019 je komisija obravnavala </w:t>
      </w:r>
      <w:r w:rsidRPr="00BD0581">
        <w:rPr>
          <w:rFonts w:ascii="Arial" w:hAnsi="Arial" w:cs="Arial"/>
          <w:b/>
          <w:sz w:val="20"/>
          <w:szCs w:val="20"/>
        </w:rPr>
        <w:t>47</w:t>
      </w:r>
      <w:r w:rsidRPr="00BD0581">
        <w:rPr>
          <w:rFonts w:ascii="Arial" w:hAnsi="Arial" w:cs="Arial"/>
          <w:sz w:val="20"/>
          <w:szCs w:val="20"/>
        </w:rPr>
        <w:t xml:space="preserve"> zahtevkov za izplačilo odškodnine iz naslova poklicne bolezni zaradi izpostavljenosti azbestu in za priznanje invalidske pokojnine pod ugodnejšimi pogoji. </w:t>
      </w:r>
      <w:r w:rsidRPr="00BD0581">
        <w:rPr>
          <w:rFonts w:ascii="Arial" w:hAnsi="Arial" w:cs="Arial"/>
          <w:b/>
          <w:sz w:val="20"/>
          <w:szCs w:val="20"/>
        </w:rPr>
        <w:t>31</w:t>
      </w:r>
      <w:r w:rsidRPr="00BD0581">
        <w:rPr>
          <w:rFonts w:ascii="Arial" w:hAnsi="Arial" w:cs="Arial"/>
          <w:sz w:val="20"/>
          <w:szCs w:val="20"/>
        </w:rPr>
        <w:t xml:space="preserve"> zahtevkov, prejetih v letu 2019</w:t>
      </w:r>
      <w:r w:rsidR="00573EC4" w:rsidRPr="00BD0581">
        <w:rPr>
          <w:rFonts w:ascii="Arial" w:hAnsi="Arial" w:cs="Arial"/>
          <w:sz w:val="20"/>
          <w:szCs w:val="20"/>
        </w:rPr>
        <w:t>,</w:t>
      </w:r>
      <w:r w:rsidRPr="00BD0581">
        <w:rPr>
          <w:rFonts w:ascii="Arial" w:hAnsi="Arial" w:cs="Arial"/>
          <w:sz w:val="20"/>
          <w:szCs w:val="20"/>
        </w:rPr>
        <w:t xml:space="preserve"> je bilo nepopolnih ali oddanih po zadnji seji komisije, dne 30.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9.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2019, zato jih v letu 2019 ni bilo možno obravnavati. Le ti bodo obravnavani v letu 2020.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v obdobju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od 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 do 31.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12.</w:t>
      </w:r>
      <w:r w:rsidR="00A32753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2019 tako obravnavala </w:t>
      </w:r>
      <w:r w:rsidRPr="00BD0581">
        <w:rPr>
          <w:rFonts w:ascii="Arial" w:hAnsi="Arial" w:cs="Arial"/>
          <w:b/>
          <w:sz w:val="20"/>
          <w:szCs w:val="20"/>
        </w:rPr>
        <w:t>47</w:t>
      </w:r>
      <w:r w:rsidRPr="00BD0581">
        <w:rPr>
          <w:rFonts w:ascii="Arial" w:hAnsi="Arial" w:cs="Arial"/>
          <w:sz w:val="20"/>
          <w:szCs w:val="20"/>
        </w:rPr>
        <w:t xml:space="preserve"> zahtevkov, in sicer </w:t>
      </w:r>
      <w:r w:rsidRPr="00BD0581">
        <w:rPr>
          <w:rFonts w:ascii="Arial" w:hAnsi="Arial" w:cs="Arial"/>
          <w:b/>
          <w:sz w:val="20"/>
          <w:szCs w:val="20"/>
        </w:rPr>
        <w:t>44</w:t>
      </w:r>
      <w:r w:rsidRPr="00BD0581">
        <w:rPr>
          <w:rFonts w:ascii="Arial" w:hAnsi="Arial" w:cs="Arial"/>
          <w:sz w:val="20"/>
          <w:szCs w:val="20"/>
        </w:rPr>
        <w:t xml:space="preserve"> zahtevkov za izplačilo odškodnine zaradi poklicne bolezni zaradi izpostavljenosti azbestu in </w:t>
      </w:r>
      <w:r w:rsidRPr="00BD0581">
        <w:rPr>
          <w:rFonts w:ascii="Arial" w:hAnsi="Arial" w:cs="Arial"/>
          <w:b/>
          <w:sz w:val="20"/>
          <w:szCs w:val="20"/>
        </w:rPr>
        <w:t>3</w:t>
      </w:r>
      <w:r w:rsidR="0094651A" w:rsidRPr="00BD0581">
        <w:rPr>
          <w:rFonts w:ascii="Arial" w:hAnsi="Arial" w:cs="Arial"/>
          <w:sz w:val="20"/>
          <w:szCs w:val="20"/>
        </w:rPr>
        <w:t xml:space="preserve"> zahtev</w:t>
      </w:r>
      <w:r w:rsidRPr="00BD0581">
        <w:rPr>
          <w:rFonts w:ascii="Arial" w:hAnsi="Arial" w:cs="Arial"/>
          <w:sz w:val="20"/>
          <w:szCs w:val="20"/>
        </w:rPr>
        <w:t>k</w:t>
      </w:r>
      <w:r w:rsidR="0094651A" w:rsidRPr="00BD0581">
        <w:rPr>
          <w:rFonts w:ascii="Arial" w:hAnsi="Arial" w:cs="Arial"/>
          <w:sz w:val="20"/>
          <w:szCs w:val="20"/>
        </w:rPr>
        <w:t>e</w:t>
      </w:r>
      <w:r w:rsidRPr="00BD0581">
        <w:rPr>
          <w:rFonts w:ascii="Arial" w:hAnsi="Arial" w:cs="Arial"/>
          <w:sz w:val="20"/>
          <w:szCs w:val="20"/>
        </w:rPr>
        <w:t xml:space="preserve"> za priznanje invalidske pokojnine pod ugodnejšimi pogoji.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Od obravnavanih </w:t>
      </w:r>
      <w:r w:rsidRPr="00BD0581">
        <w:rPr>
          <w:rFonts w:ascii="Arial" w:hAnsi="Arial" w:cs="Arial"/>
          <w:b/>
          <w:sz w:val="20"/>
          <w:szCs w:val="20"/>
        </w:rPr>
        <w:t>47</w:t>
      </w:r>
      <w:r w:rsidRPr="00BD0581">
        <w:rPr>
          <w:rFonts w:ascii="Arial" w:hAnsi="Arial" w:cs="Arial"/>
          <w:sz w:val="20"/>
          <w:szCs w:val="20"/>
        </w:rPr>
        <w:t xml:space="preserve"> zahtevkov v letu 2019 je komisija pozitivno odločila v </w:t>
      </w:r>
      <w:r w:rsidRPr="00BD0581">
        <w:rPr>
          <w:rFonts w:ascii="Arial" w:hAnsi="Arial" w:cs="Arial"/>
          <w:b/>
          <w:sz w:val="20"/>
          <w:szCs w:val="20"/>
        </w:rPr>
        <w:t>46</w:t>
      </w:r>
      <w:r w:rsidRPr="00BD0581">
        <w:rPr>
          <w:rFonts w:ascii="Arial" w:hAnsi="Arial" w:cs="Arial"/>
          <w:sz w:val="20"/>
          <w:szCs w:val="20"/>
        </w:rPr>
        <w:t xml:space="preserve"> primerih, </w:t>
      </w:r>
      <w:r w:rsidR="00573EC4" w:rsidRPr="00BD0581">
        <w:rPr>
          <w:rFonts w:ascii="Arial" w:hAnsi="Arial" w:cs="Arial"/>
          <w:b/>
          <w:sz w:val="20"/>
          <w:szCs w:val="20"/>
        </w:rPr>
        <w:t>en</w:t>
      </w:r>
      <w:r w:rsidR="00A32753">
        <w:rPr>
          <w:rFonts w:ascii="Arial" w:hAnsi="Arial" w:cs="Arial"/>
          <w:b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zahtevek pa je zavrgla.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Komisija je od obravnavanih </w:t>
      </w:r>
      <w:r w:rsidRPr="00BD0581">
        <w:rPr>
          <w:rFonts w:ascii="Arial" w:hAnsi="Arial" w:cs="Arial"/>
          <w:b/>
          <w:sz w:val="20"/>
          <w:szCs w:val="20"/>
        </w:rPr>
        <w:t>44</w:t>
      </w:r>
      <w:r w:rsidRPr="00BD0581">
        <w:rPr>
          <w:rFonts w:ascii="Arial" w:hAnsi="Arial" w:cs="Arial"/>
          <w:sz w:val="20"/>
          <w:szCs w:val="20"/>
        </w:rPr>
        <w:t xml:space="preserve"> zahtevkov za izplačilo odškodnine pozitivno odločila v vseh primerih, od obravnavanih </w:t>
      </w:r>
      <w:r w:rsidRPr="00BD0581">
        <w:rPr>
          <w:rFonts w:ascii="Arial" w:hAnsi="Arial" w:cs="Arial"/>
          <w:b/>
          <w:sz w:val="20"/>
          <w:szCs w:val="20"/>
        </w:rPr>
        <w:t>3</w:t>
      </w:r>
      <w:r w:rsidRPr="00BD0581">
        <w:rPr>
          <w:rFonts w:ascii="Arial" w:hAnsi="Arial" w:cs="Arial"/>
          <w:sz w:val="20"/>
          <w:szCs w:val="20"/>
        </w:rPr>
        <w:t xml:space="preserve"> zahtevkov za priznanje invalidske pokojnine pod ugodnejšimi pogoji pa je komisija </w:t>
      </w:r>
      <w:r w:rsidRPr="00BD0581">
        <w:rPr>
          <w:rFonts w:ascii="Arial" w:hAnsi="Arial" w:cs="Arial"/>
          <w:sz w:val="20"/>
          <w:szCs w:val="20"/>
        </w:rPr>
        <w:lastRenderedPageBreak/>
        <w:t xml:space="preserve">pozitivno odločila v </w:t>
      </w:r>
      <w:r w:rsidRPr="00BD0581">
        <w:rPr>
          <w:rFonts w:ascii="Arial" w:hAnsi="Arial" w:cs="Arial"/>
          <w:b/>
          <w:sz w:val="20"/>
          <w:szCs w:val="20"/>
        </w:rPr>
        <w:t>2</w:t>
      </w:r>
      <w:r w:rsidRPr="00BD0581">
        <w:rPr>
          <w:rFonts w:ascii="Arial" w:hAnsi="Arial" w:cs="Arial"/>
          <w:sz w:val="20"/>
          <w:szCs w:val="20"/>
        </w:rPr>
        <w:t xml:space="preserve"> primerih.</w:t>
      </w:r>
      <w:r w:rsidR="00BD0581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V </w:t>
      </w:r>
      <w:r w:rsidRPr="00BD0581">
        <w:rPr>
          <w:rFonts w:ascii="Arial" w:hAnsi="Arial" w:cs="Arial"/>
          <w:b/>
          <w:sz w:val="20"/>
          <w:szCs w:val="20"/>
        </w:rPr>
        <w:t>39</w:t>
      </w:r>
      <w:r w:rsidRPr="00BD0581">
        <w:rPr>
          <w:rFonts w:ascii="Arial" w:hAnsi="Arial" w:cs="Arial"/>
          <w:sz w:val="20"/>
          <w:szCs w:val="20"/>
        </w:rPr>
        <w:t xml:space="preserve"> primerih je Republika Slovenija upravičencem oziroma njihovim dedičem izplačala zakonsko predpisanih 60% zneska celotne odškodnine, v </w:t>
      </w:r>
      <w:r w:rsidR="00573EC4" w:rsidRPr="00BD0581">
        <w:rPr>
          <w:rFonts w:ascii="Arial" w:hAnsi="Arial" w:cs="Arial"/>
          <w:b/>
          <w:sz w:val="20"/>
          <w:szCs w:val="20"/>
        </w:rPr>
        <w:t>petih</w:t>
      </w:r>
      <w:r w:rsidRPr="00BD0581">
        <w:rPr>
          <w:rFonts w:ascii="Arial" w:hAnsi="Arial" w:cs="Arial"/>
          <w:sz w:val="20"/>
          <w:szCs w:val="20"/>
        </w:rPr>
        <w:t xml:space="preserve"> primerih pa celotno odškodnino (100%), saj delodajalec, pri katerem je bolezen nastala, ni več obstajal ali pa je bil razlog bolezni </w:t>
      </w:r>
      <w:proofErr w:type="spellStart"/>
      <w:r w:rsidRPr="00BD0581">
        <w:rPr>
          <w:rFonts w:ascii="Arial" w:hAnsi="Arial" w:cs="Arial"/>
          <w:sz w:val="20"/>
          <w:szCs w:val="20"/>
        </w:rPr>
        <w:t>okoljski</w:t>
      </w:r>
      <w:proofErr w:type="spellEnd"/>
      <w:r w:rsidR="00BD05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81">
        <w:rPr>
          <w:rFonts w:ascii="Arial" w:hAnsi="Arial" w:cs="Arial"/>
          <w:sz w:val="20"/>
          <w:szCs w:val="20"/>
        </w:rPr>
        <w:t>mezoteliom</w:t>
      </w:r>
      <w:proofErr w:type="spellEnd"/>
      <w:r w:rsidRPr="00BD0581">
        <w:rPr>
          <w:rFonts w:ascii="Arial" w:hAnsi="Arial" w:cs="Arial"/>
          <w:sz w:val="20"/>
          <w:szCs w:val="20"/>
        </w:rPr>
        <w:t>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V </w:t>
      </w:r>
      <w:r w:rsidRPr="00BD0581">
        <w:rPr>
          <w:rFonts w:ascii="Arial" w:hAnsi="Arial" w:cs="Arial"/>
          <w:b/>
          <w:sz w:val="20"/>
          <w:szCs w:val="20"/>
        </w:rPr>
        <w:t>13</w:t>
      </w:r>
      <w:r w:rsidRPr="00BD0581">
        <w:rPr>
          <w:rFonts w:ascii="Arial" w:hAnsi="Arial" w:cs="Arial"/>
          <w:sz w:val="20"/>
          <w:szCs w:val="20"/>
        </w:rPr>
        <w:t xml:space="preserve"> primerih je komisija ugodila izplačilu razlike odškodnine, saj so upravičenci v preteklosti, na podlagi sodb, poravnav ali pa sporazumov o odškodnini že prejeli odškodnino za lažje oblike bolezni – bodisi za plake ali azbestozo.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V </w:t>
      </w:r>
      <w:r w:rsidR="00573EC4" w:rsidRPr="00BD0581">
        <w:rPr>
          <w:rFonts w:ascii="Arial" w:hAnsi="Arial" w:cs="Arial"/>
          <w:b/>
          <w:sz w:val="20"/>
          <w:szCs w:val="20"/>
        </w:rPr>
        <w:t>štirih</w:t>
      </w:r>
      <w:r w:rsidRPr="00BD0581">
        <w:rPr>
          <w:rFonts w:ascii="Arial" w:hAnsi="Arial" w:cs="Arial"/>
          <w:sz w:val="20"/>
          <w:szCs w:val="20"/>
        </w:rPr>
        <w:t xml:space="preserve"> primerih je komisija, na podlagi pravnomočnih sklepov o dedovanju, izplačala odškodnino dedičem upravičencev.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Komisija je </w:t>
      </w:r>
      <w:r w:rsidRPr="00BD0581">
        <w:rPr>
          <w:rFonts w:ascii="Arial" w:hAnsi="Arial" w:cs="Arial"/>
          <w:b/>
          <w:sz w:val="20"/>
          <w:szCs w:val="20"/>
        </w:rPr>
        <w:t>23</w:t>
      </w:r>
      <w:r w:rsidRPr="00BD0581">
        <w:rPr>
          <w:rFonts w:ascii="Arial" w:hAnsi="Arial" w:cs="Arial"/>
          <w:sz w:val="20"/>
          <w:szCs w:val="20"/>
        </w:rPr>
        <w:t xml:space="preserve"> upravičencem odobrila tudi izplačilo stroškov pooblaščenega zdravnika.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Interdisciplinarna skupina strokovnjakov (ISS) je upravičencem, ki so uveljavljali pravico do izplačila odškodnine zaradi posledic dela z azbestom</w:t>
      </w:r>
      <w:r w:rsidR="00573EC4" w:rsidRPr="00BD0581">
        <w:rPr>
          <w:rFonts w:ascii="Arial" w:hAnsi="Arial" w:cs="Arial"/>
          <w:sz w:val="20"/>
          <w:szCs w:val="20"/>
        </w:rPr>
        <w:t>,</w:t>
      </w:r>
      <w:r w:rsidRPr="00BD0581">
        <w:rPr>
          <w:rFonts w:ascii="Arial" w:hAnsi="Arial" w:cs="Arial"/>
          <w:sz w:val="20"/>
          <w:szCs w:val="20"/>
        </w:rPr>
        <w:t xml:space="preserve"> verificirala: </w:t>
      </w:r>
    </w:p>
    <w:p w:rsidR="004658EC" w:rsidRPr="00D00105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D00105">
        <w:rPr>
          <w:rFonts w:cs="Arial"/>
          <w:b/>
          <w:szCs w:val="20"/>
          <w:lang w:val="sl-SI"/>
        </w:rPr>
        <w:t>12</w:t>
      </w:r>
      <w:r w:rsidRPr="00D00105">
        <w:rPr>
          <w:rFonts w:cs="Arial"/>
          <w:szCs w:val="20"/>
          <w:lang w:val="sl-SI"/>
        </w:rPr>
        <w:t xml:space="preserve"> plakov oziroma bolezni plevre (v letu 2018 – 11 primerov),</w:t>
      </w:r>
    </w:p>
    <w:p w:rsidR="004658EC" w:rsidRPr="00BD0581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BD0581">
        <w:rPr>
          <w:rFonts w:cs="Arial"/>
          <w:b/>
          <w:szCs w:val="20"/>
          <w:lang w:val="sl-SI"/>
        </w:rPr>
        <w:t>12</w:t>
      </w:r>
      <w:r w:rsidRPr="00BD0581">
        <w:rPr>
          <w:rFonts w:cs="Arial"/>
          <w:szCs w:val="20"/>
          <w:lang w:val="sl-SI"/>
        </w:rPr>
        <w:t xml:space="preserve"> azbestoz (v letu 2018 – 9 primerov),</w:t>
      </w:r>
    </w:p>
    <w:p w:rsidR="004658EC" w:rsidRPr="00BD0581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BD0581">
        <w:rPr>
          <w:rFonts w:cs="Arial"/>
          <w:b/>
          <w:szCs w:val="20"/>
          <w:lang w:val="sl-SI"/>
        </w:rPr>
        <w:t>20</w:t>
      </w:r>
      <w:r w:rsidR="00E16394">
        <w:rPr>
          <w:rFonts w:cs="Arial"/>
          <w:b/>
          <w:szCs w:val="20"/>
          <w:lang w:val="sl-SI"/>
        </w:rPr>
        <w:t xml:space="preserve"> </w:t>
      </w:r>
      <w:bookmarkStart w:id="0" w:name="_GoBack"/>
      <w:bookmarkEnd w:id="0"/>
      <w:r w:rsidRPr="00BD0581">
        <w:rPr>
          <w:rFonts w:cs="Arial"/>
          <w:szCs w:val="20"/>
          <w:lang w:val="sl-SI"/>
        </w:rPr>
        <w:t>mezoteliomov oziroma pljučnih rakov (v letu 2018 – 25 primerov).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ugotovila, da delodajalci, pri katerih je bolezen nastala</w:t>
      </w:r>
      <w:r w:rsidR="00573EC4" w:rsidRPr="00BD0581">
        <w:rPr>
          <w:rFonts w:ascii="Arial" w:hAnsi="Arial" w:cs="Arial"/>
          <w:sz w:val="20"/>
          <w:szCs w:val="20"/>
        </w:rPr>
        <w:t>,</w:t>
      </w:r>
      <w:r w:rsidRPr="00BD0581">
        <w:rPr>
          <w:rFonts w:ascii="Arial" w:hAnsi="Arial" w:cs="Arial"/>
          <w:sz w:val="20"/>
          <w:szCs w:val="20"/>
        </w:rPr>
        <w:t xml:space="preserve"> prihajajo iz naslednjih regij:</w:t>
      </w:r>
    </w:p>
    <w:p w:rsidR="004658EC" w:rsidRPr="00D00105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D00105">
        <w:rPr>
          <w:rFonts w:cs="Arial"/>
          <w:b/>
          <w:szCs w:val="20"/>
          <w:lang w:val="sl-SI"/>
        </w:rPr>
        <w:t>41</w:t>
      </w:r>
      <w:r w:rsidRPr="00D00105">
        <w:rPr>
          <w:rFonts w:cs="Arial"/>
          <w:szCs w:val="20"/>
          <w:lang w:val="sl-SI"/>
        </w:rPr>
        <w:t xml:space="preserve"> iz goriške,</w:t>
      </w:r>
    </w:p>
    <w:p w:rsidR="004658EC" w:rsidRPr="00BD0581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BD0581">
        <w:rPr>
          <w:rFonts w:cs="Arial"/>
          <w:b/>
          <w:szCs w:val="20"/>
          <w:lang w:val="sl-SI"/>
        </w:rPr>
        <w:t>2</w:t>
      </w:r>
      <w:r w:rsidRPr="00BD0581">
        <w:rPr>
          <w:rFonts w:cs="Arial"/>
          <w:szCs w:val="20"/>
          <w:lang w:val="sl-SI"/>
        </w:rPr>
        <w:t xml:space="preserve"> iz osrednjeslovenske,</w:t>
      </w:r>
    </w:p>
    <w:p w:rsidR="004658EC" w:rsidRPr="00BD0581" w:rsidRDefault="004658EC" w:rsidP="004658EC">
      <w:pPr>
        <w:pStyle w:val="Odstavekseznama"/>
        <w:numPr>
          <w:ilvl w:val="0"/>
          <w:numId w:val="10"/>
        </w:numPr>
        <w:ind w:left="0"/>
        <w:jc w:val="both"/>
        <w:rPr>
          <w:rFonts w:cs="Arial"/>
          <w:szCs w:val="20"/>
          <w:lang w:val="sl-SI"/>
        </w:rPr>
      </w:pPr>
      <w:r w:rsidRPr="00BD0581">
        <w:rPr>
          <w:rFonts w:cs="Arial"/>
          <w:b/>
          <w:szCs w:val="20"/>
          <w:lang w:val="sl-SI"/>
        </w:rPr>
        <w:t>1</w:t>
      </w:r>
      <w:r w:rsidRPr="00BD0581">
        <w:rPr>
          <w:rFonts w:cs="Arial"/>
          <w:szCs w:val="20"/>
          <w:lang w:val="sl-SI"/>
        </w:rPr>
        <w:t xml:space="preserve"> iz podravske.</w:t>
      </w:r>
    </w:p>
    <w:p w:rsidR="004658EC" w:rsidRPr="00BD0581" w:rsidRDefault="004658EC" w:rsidP="004658EC">
      <w:pPr>
        <w:pStyle w:val="Odstavekseznama"/>
        <w:ind w:left="0"/>
        <w:jc w:val="both"/>
        <w:rPr>
          <w:rFonts w:cs="Arial"/>
          <w:szCs w:val="20"/>
          <w:lang w:val="sl-SI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Komisija je v letu 2019 izplačala upravičencem oziroma njihovim dedičem za odškodnine in povračilo stroškov pooblaščenega zdravnika </w:t>
      </w:r>
      <w:r w:rsidRPr="00BD0581">
        <w:rPr>
          <w:rFonts w:ascii="Arial" w:hAnsi="Arial" w:cs="Arial"/>
          <w:b/>
          <w:sz w:val="20"/>
          <w:szCs w:val="20"/>
        </w:rPr>
        <w:t>937.775,94 EUR</w:t>
      </w:r>
      <w:r w:rsidRPr="00BD0581">
        <w:rPr>
          <w:rFonts w:ascii="Arial" w:hAnsi="Arial" w:cs="Arial"/>
          <w:sz w:val="20"/>
          <w:szCs w:val="20"/>
        </w:rPr>
        <w:t xml:space="preserve"> za razliko od leta 2018, ko so ti stroški znašali </w:t>
      </w:r>
      <w:r w:rsidRPr="00BD0581">
        <w:rPr>
          <w:rFonts w:ascii="Arial" w:hAnsi="Arial" w:cs="Arial"/>
          <w:b/>
          <w:sz w:val="20"/>
          <w:szCs w:val="20"/>
        </w:rPr>
        <w:t>670.097,74 EUR</w:t>
      </w:r>
      <w:r w:rsidRPr="00BD0581">
        <w:rPr>
          <w:rFonts w:ascii="Arial" w:hAnsi="Arial" w:cs="Arial"/>
          <w:sz w:val="20"/>
          <w:szCs w:val="20"/>
        </w:rPr>
        <w:t xml:space="preserve">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Kliničnemu inštituta za medicino dela, prometa in športa pa je bilo v letu 2019 </w:t>
      </w:r>
      <w:r w:rsidR="00943355">
        <w:rPr>
          <w:rFonts w:ascii="Arial" w:hAnsi="Arial" w:cs="Arial"/>
          <w:sz w:val="20"/>
          <w:szCs w:val="20"/>
        </w:rPr>
        <w:t xml:space="preserve">za izdelovanje verifikacij </w:t>
      </w:r>
      <w:r w:rsidRPr="00BD0581">
        <w:rPr>
          <w:rFonts w:ascii="Arial" w:hAnsi="Arial" w:cs="Arial"/>
          <w:sz w:val="20"/>
          <w:szCs w:val="20"/>
        </w:rPr>
        <w:t xml:space="preserve">izplačanih </w:t>
      </w:r>
      <w:r w:rsidRPr="00BD0581">
        <w:rPr>
          <w:rFonts w:ascii="Arial" w:hAnsi="Arial" w:cs="Arial"/>
          <w:b/>
          <w:sz w:val="20"/>
          <w:szCs w:val="20"/>
        </w:rPr>
        <w:t>15.141,17 EUR</w:t>
      </w:r>
      <w:r w:rsidRPr="00BD0581">
        <w:rPr>
          <w:rFonts w:ascii="Arial" w:hAnsi="Arial" w:cs="Arial"/>
          <w:sz w:val="20"/>
          <w:szCs w:val="20"/>
        </w:rPr>
        <w:t>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Komisija je v letu 2019 prejela </w:t>
      </w:r>
      <w:r w:rsidRPr="00BD0581">
        <w:rPr>
          <w:rFonts w:ascii="Arial" w:hAnsi="Arial" w:cs="Arial"/>
          <w:b/>
          <w:sz w:val="20"/>
          <w:szCs w:val="20"/>
        </w:rPr>
        <w:t>3</w:t>
      </w:r>
      <w:r w:rsidRPr="00BD0581">
        <w:rPr>
          <w:rFonts w:ascii="Arial" w:hAnsi="Arial" w:cs="Arial"/>
          <w:sz w:val="20"/>
          <w:szCs w:val="20"/>
        </w:rPr>
        <w:t xml:space="preserve"> zahtevke za priznanje invalidske pokojnine pod ugodnejšimi pogoji. V </w:t>
      </w:r>
      <w:r w:rsidR="00573EC4" w:rsidRPr="00BD0581">
        <w:rPr>
          <w:rFonts w:ascii="Arial" w:hAnsi="Arial" w:cs="Arial"/>
          <w:b/>
          <w:sz w:val="20"/>
          <w:szCs w:val="20"/>
        </w:rPr>
        <w:t>dveh</w:t>
      </w:r>
      <w:r w:rsidRPr="00BD0581">
        <w:rPr>
          <w:rFonts w:ascii="Arial" w:hAnsi="Arial" w:cs="Arial"/>
          <w:sz w:val="20"/>
          <w:szCs w:val="20"/>
        </w:rPr>
        <w:t xml:space="preserve"> primerih je komisija odločila pozitivno</w:t>
      </w:r>
      <w:r w:rsidR="00943355">
        <w:rPr>
          <w:rFonts w:ascii="Arial" w:hAnsi="Arial" w:cs="Arial"/>
          <w:sz w:val="20"/>
          <w:szCs w:val="20"/>
        </w:rPr>
        <w:t>,</w:t>
      </w:r>
      <w:r w:rsidRPr="00BD0581">
        <w:rPr>
          <w:rFonts w:ascii="Arial" w:hAnsi="Arial" w:cs="Arial"/>
          <w:sz w:val="20"/>
          <w:szCs w:val="20"/>
        </w:rPr>
        <w:t xml:space="preserve"> </w:t>
      </w:r>
      <w:r w:rsidR="00573EC4" w:rsidRPr="00BD0581">
        <w:rPr>
          <w:rFonts w:ascii="Arial" w:hAnsi="Arial" w:cs="Arial"/>
          <w:b/>
          <w:sz w:val="20"/>
          <w:szCs w:val="20"/>
        </w:rPr>
        <w:t>en</w:t>
      </w:r>
      <w:r w:rsidRPr="00BD0581">
        <w:rPr>
          <w:rFonts w:ascii="Arial" w:hAnsi="Arial" w:cs="Arial"/>
          <w:sz w:val="20"/>
          <w:szCs w:val="20"/>
        </w:rPr>
        <w:t xml:space="preserve"> zahtevek pa je zavrgla, saj niso bili izpolnjeni zakonsko določeni pogoji.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Tabelarični prikaz stanja za zadnjih 8 let je prikazan v spodnji tabeli.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PRIMERI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38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(O-35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P-3)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34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(O-33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P-0)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(O-43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P-4)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52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(O-51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P-1)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51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(O-50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P-1)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(O-24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P-2)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(O-57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P-1)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 xml:space="preserve">(O-44 + </w:t>
            </w:r>
          </w:p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P-3)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Pozitivno rešeno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DIAGNOZE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- Plaki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- Azbestoza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pStyle w:val="Odstavekseznama"/>
              <w:ind w:left="0"/>
              <w:jc w:val="both"/>
              <w:rPr>
                <w:rFonts w:eastAsiaTheme="minorHAnsi" w:cs="Arial"/>
                <w:b/>
                <w:sz w:val="16"/>
                <w:szCs w:val="16"/>
                <w:lang w:val="sl-SI" w:eastAsia="en-US"/>
              </w:rPr>
            </w:pPr>
            <w:r w:rsidRPr="0071259C">
              <w:rPr>
                <w:rFonts w:eastAsiaTheme="minorHAnsi" w:cs="Arial"/>
                <w:b/>
                <w:sz w:val="16"/>
                <w:szCs w:val="16"/>
                <w:lang w:val="sl-SI"/>
              </w:rPr>
              <w:t xml:space="preserve">- </w:t>
            </w:r>
            <w:proofErr w:type="spellStart"/>
            <w:r w:rsidRPr="0071259C">
              <w:rPr>
                <w:rFonts w:eastAsiaTheme="minorHAnsi" w:cs="Arial"/>
                <w:b/>
                <w:sz w:val="16"/>
                <w:szCs w:val="16"/>
                <w:lang w:val="sl-SI"/>
              </w:rPr>
              <w:t>Plevralni</w:t>
            </w:r>
            <w:proofErr w:type="spellEnd"/>
            <w:r w:rsidRPr="0071259C">
              <w:rPr>
                <w:rFonts w:eastAsiaTheme="minorHAnsi" w:cs="Arial"/>
                <w:b/>
                <w:sz w:val="16"/>
                <w:szCs w:val="16"/>
                <w:lang w:val="sl-SI"/>
              </w:rPr>
              <w:t xml:space="preserve"> izliv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71259C">
              <w:rPr>
                <w:rFonts w:ascii="Arial" w:hAnsi="Arial" w:cs="Arial"/>
                <w:b/>
                <w:sz w:val="16"/>
                <w:szCs w:val="16"/>
              </w:rPr>
              <w:t>Mezoteliom</w:t>
            </w:r>
            <w:proofErr w:type="spellEnd"/>
            <w:r w:rsidRPr="0071259C">
              <w:rPr>
                <w:rFonts w:ascii="Arial" w:hAnsi="Arial" w:cs="Arial"/>
                <w:b/>
                <w:sz w:val="16"/>
                <w:szCs w:val="16"/>
              </w:rPr>
              <w:t>/Rak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658EC" w:rsidRPr="0071259C" w:rsidTr="0071259C">
        <w:tc>
          <w:tcPr>
            <w:tcW w:w="1560" w:type="dxa"/>
          </w:tcPr>
          <w:p w:rsidR="004658EC" w:rsidRPr="0071259C" w:rsidRDefault="004658EC" w:rsidP="004658EC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b/>
                <w:sz w:val="16"/>
                <w:szCs w:val="16"/>
              </w:rPr>
              <w:t>SREDSTVA RS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340.680,77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368.793,02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599.276,58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947.015,84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817.263,67</w:t>
            </w:r>
          </w:p>
        </w:tc>
        <w:tc>
          <w:tcPr>
            <w:tcW w:w="1027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333.132,82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670.097,74</w:t>
            </w:r>
          </w:p>
        </w:tc>
        <w:tc>
          <w:tcPr>
            <w:tcW w:w="1028" w:type="dxa"/>
          </w:tcPr>
          <w:p w:rsidR="004658EC" w:rsidRPr="0071259C" w:rsidRDefault="004658EC" w:rsidP="004658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59C">
              <w:rPr>
                <w:rFonts w:ascii="Arial" w:hAnsi="Arial" w:cs="Arial"/>
                <w:sz w:val="16"/>
                <w:szCs w:val="16"/>
              </w:rPr>
              <w:t>937.775,94</w:t>
            </w:r>
          </w:p>
        </w:tc>
      </w:tr>
    </w:tbl>
    <w:p w:rsidR="004658EC" w:rsidRPr="00BD0581" w:rsidRDefault="004658EC" w:rsidP="004658E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b/>
          <w:sz w:val="20"/>
          <w:szCs w:val="20"/>
        </w:rPr>
        <w:t>III. Zaključek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v obdobju od 1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.1.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 do 31.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12.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>2019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obravnavala in odločila o </w:t>
      </w:r>
      <w:r w:rsidRPr="00BD0581">
        <w:rPr>
          <w:rFonts w:ascii="Arial" w:hAnsi="Arial" w:cs="Arial"/>
          <w:b/>
          <w:sz w:val="20"/>
          <w:szCs w:val="20"/>
        </w:rPr>
        <w:t>47</w:t>
      </w:r>
      <w:r w:rsidRPr="00BD0581">
        <w:rPr>
          <w:rFonts w:ascii="Arial" w:hAnsi="Arial" w:cs="Arial"/>
          <w:sz w:val="20"/>
          <w:szCs w:val="20"/>
        </w:rPr>
        <w:t xml:space="preserve"> zahtevkih, in sicer </w:t>
      </w:r>
      <w:r w:rsidRPr="00BD0581">
        <w:rPr>
          <w:rFonts w:ascii="Arial" w:hAnsi="Arial" w:cs="Arial"/>
          <w:b/>
          <w:sz w:val="20"/>
          <w:szCs w:val="20"/>
        </w:rPr>
        <w:t>44</w:t>
      </w:r>
      <w:r w:rsidRPr="00BD0581">
        <w:rPr>
          <w:rFonts w:ascii="Arial" w:hAnsi="Arial" w:cs="Arial"/>
          <w:sz w:val="20"/>
          <w:szCs w:val="20"/>
        </w:rPr>
        <w:t xml:space="preserve"> zahtevkih za izplačilo odškodnine in </w:t>
      </w:r>
      <w:r w:rsidRPr="00BD0581">
        <w:rPr>
          <w:rFonts w:ascii="Arial" w:hAnsi="Arial" w:cs="Arial"/>
          <w:b/>
          <w:sz w:val="20"/>
          <w:szCs w:val="20"/>
        </w:rPr>
        <w:t>3</w:t>
      </w:r>
      <w:r w:rsidRPr="00BD0581">
        <w:rPr>
          <w:rFonts w:ascii="Arial" w:hAnsi="Arial" w:cs="Arial"/>
          <w:sz w:val="20"/>
          <w:szCs w:val="20"/>
        </w:rPr>
        <w:t xml:space="preserve"> zahtevkih za priznanje invalidske pokojnine pod ugodnejšimi pogoji.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opaža, da je v primerjavi s prejšnj</w:t>
      </w:r>
      <w:r w:rsidR="0094651A" w:rsidRPr="00BD0581">
        <w:rPr>
          <w:rFonts w:ascii="Arial" w:hAnsi="Arial" w:cs="Arial"/>
          <w:sz w:val="20"/>
          <w:szCs w:val="20"/>
        </w:rPr>
        <w:t xml:space="preserve">im letom število zahtevkov </w:t>
      </w:r>
      <w:r w:rsidRPr="00BD0581">
        <w:rPr>
          <w:rFonts w:ascii="Arial" w:hAnsi="Arial" w:cs="Arial"/>
          <w:sz w:val="20"/>
          <w:szCs w:val="20"/>
        </w:rPr>
        <w:t>podobno.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V letu 2019 je komisija obravnavala 20 primerov najhujše oblike bolezni – </w:t>
      </w:r>
      <w:proofErr w:type="spellStart"/>
      <w:r w:rsidRPr="00BD0581">
        <w:rPr>
          <w:rFonts w:ascii="Arial" w:hAnsi="Arial" w:cs="Arial"/>
          <w:sz w:val="20"/>
          <w:szCs w:val="20"/>
        </w:rPr>
        <w:t>mezoteliom</w:t>
      </w:r>
      <w:proofErr w:type="spellEnd"/>
      <w:r w:rsidRPr="00BD0581">
        <w:rPr>
          <w:rFonts w:ascii="Arial" w:hAnsi="Arial" w:cs="Arial"/>
          <w:sz w:val="20"/>
          <w:szCs w:val="20"/>
        </w:rPr>
        <w:t xml:space="preserve"> oz. rak. 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je morala v letu 2019 v petih primerih kriti celotno odškodnino, saj delodajalci niso več</w:t>
      </w:r>
      <w:r w:rsidR="00943355">
        <w:rPr>
          <w:rFonts w:ascii="Arial" w:hAnsi="Arial" w:cs="Arial"/>
          <w:sz w:val="20"/>
          <w:szCs w:val="20"/>
        </w:rPr>
        <w:t xml:space="preserve"> </w:t>
      </w:r>
      <w:r w:rsidRPr="00BD0581">
        <w:rPr>
          <w:rFonts w:ascii="Arial" w:hAnsi="Arial" w:cs="Arial"/>
          <w:sz w:val="20"/>
          <w:szCs w:val="20"/>
        </w:rPr>
        <w:t xml:space="preserve">obstajali ali je šlo za diagnozo </w:t>
      </w:r>
      <w:proofErr w:type="spellStart"/>
      <w:r w:rsidRPr="00BD0581">
        <w:rPr>
          <w:rFonts w:ascii="Arial" w:hAnsi="Arial" w:cs="Arial"/>
          <w:sz w:val="20"/>
          <w:szCs w:val="20"/>
        </w:rPr>
        <w:t>okoljski</w:t>
      </w:r>
      <w:proofErr w:type="spellEnd"/>
      <w:r w:rsidR="009433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81">
        <w:rPr>
          <w:rFonts w:ascii="Arial" w:hAnsi="Arial" w:cs="Arial"/>
          <w:sz w:val="20"/>
          <w:szCs w:val="20"/>
        </w:rPr>
        <w:t>mezoteliom</w:t>
      </w:r>
      <w:proofErr w:type="spellEnd"/>
      <w:r w:rsidRPr="00BD0581">
        <w:rPr>
          <w:rFonts w:ascii="Arial" w:hAnsi="Arial" w:cs="Arial"/>
          <w:sz w:val="20"/>
          <w:szCs w:val="20"/>
        </w:rPr>
        <w:t>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Komisija ugotavlja, da največ delodajalcev, pri katerih je bolezen nastala, prihaja iz goriške regije.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Republika Slovenija je v letu 2019 izplačala upravičencem oziroma njihovim dedičem za odškodnine in povračilo stroškov pooblaščenega zdravnika </w:t>
      </w:r>
      <w:r w:rsidRPr="00BD0581">
        <w:rPr>
          <w:rFonts w:ascii="Arial" w:hAnsi="Arial" w:cs="Arial"/>
          <w:b/>
          <w:sz w:val="20"/>
          <w:szCs w:val="20"/>
        </w:rPr>
        <w:t>937.775,94 EUR</w:t>
      </w:r>
      <w:r w:rsidRPr="00BD0581">
        <w:rPr>
          <w:rFonts w:ascii="Arial" w:hAnsi="Arial" w:cs="Arial"/>
          <w:sz w:val="20"/>
          <w:szCs w:val="20"/>
        </w:rPr>
        <w:t xml:space="preserve"> za razliko od leta 2018, ko so ti stroški znašali </w:t>
      </w:r>
      <w:r w:rsidRPr="00BD0581">
        <w:rPr>
          <w:rFonts w:ascii="Arial" w:hAnsi="Arial" w:cs="Arial"/>
          <w:b/>
          <w:sz w:val="20"/>
          <w:szCs w:val="20"/>
        </w:rPr>
        <w:t>670.097,74 EUR.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 xml:space="preserve">Republika Slovenija je v letu 2019 izplačala Kliničnemu inštitutu za medicino dela, prometa in športa za njihovo delo </w:t>
      </w:r>
      <w:r w:rsidRPr="00BD0581">
        <w:rPr>
          <w:rFonts w:ascii="Arial" w:hAnsi="Arial" w:cs="Arial"/>
          <w:b/>
          <w:sz w:val="20"/>
          <w:szCs w:val="20"/>
        </w:rPr>
        <w:t>15.141,17 EUR</w:t>
      </w:r>
      <w:r w:rsidRPr="00BD0581">
        <w:rPr>
          <w:rFonts w:ascii="Arial" w:hAnsi="Arial" w:cs="Arial"/>
          <w:sz w:val="20"/>
          <w:szCs w:val="20"/>
        </w:rPr>
        <w:t xml:space="preserve"> za razliko od leta 2018, ko so ti stroški znašali </w:t>
      </w:r>
      <w:r w:rsidRPr="00BD0581">
        <w:rPr>
          <w:rFonts w:ascii="Arial" w:hAnsi="Arial" w:cs="Arial"/>
          <w:b/>
          <w:sz w:val="20"/>
          <w:szCs w:val="20"/>
        </w:rPr>
        <w:t>16.937,58EUR.</w:t>
      </w: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8EC" w:rsidRPr="00BD0581" w:rsidRDefault="004658EC" w:rsidP="004658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0581">
        <w:rPr>
          <w:rFonts w:ascii="Arial" w:hAnsi="Arial" w:cs="Arial"/>
          <w:sz w:val="20"/>
          <w:szCs w:val="20"/>
        </w:rPr>
        <w:t>Delo v komisiji poteka tekoče, prav tako pa komisija nima nobenih zaostankov.</w:t>
      </w:r>
    </w:p>
    <w:p w:rsidR="00683778" w:rsidRPr="00D00105" w:rsidRDefault="00683778" w:rsidP="004658EC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683778" w:rsidRPr="00D00105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CB" w:rsidRDefault="000708CB" w:rsidP="00BD6A1D">
      <w:pPr>
        <w:spacing w:after="0" w:line="240" w:lineRule="auto"/>
      </w:pPr>
      <w:r>
        <w:separator/>
      </w:r>
    </w:p>
  </w:endnote>
  <w:endnote w:type="continuationSeparator" w:id="0">
    <w:p w:rsidR="000708CB" w:rsidRDefault="000708CB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CB" w:rsidRDefault="000708CB" w:rsidP="00BD6A1D">
      <w:pPr>
        <w:spacing w:after="0" w:line="240" w:lineRule="auto"/>
      </w:pPr>
      <w:r>
        <w:separator/>
      </w:r>
    </w:p>
  </w:footnote>
  <w:footnote w:type="continuationSeparator" w:id="0">
    <w:p w:rsidR="000708CB" w:rsidRDefault="000708CB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9F9"/>
    <w:multiLevelType w:val="hybridMultilevel"/>
    <w:tmpl w:val="15640F70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02E"/>
    <w:multiLevelType w:val="hybridMultilevel"/>
    <w:tmpl w:val="02862722"/>
    <w:lvl w:ilvl="0" w:tplc="C610DB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63"/>
    <w:multiLevelType w:val="hybridMultilevel"/>
    <w:tmpl w:val="787CBB6C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C862DA4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490E"/>
    <w:multiLevelType w:val="hybridMultilevel"/>
    <w:tmpl w:val="4422323A"/>
    <w:lvl w:ilvl="0" w:tplc="282A3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5D2E"/>
    <w:multiLevelType w:val="hybridMultilevel"/>
    <w:tmpl w:val="DB607906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8"/>
    <w:rsid w:val="00005D4B"/>
    <w:rsid w:val="000260D8"/>
    <w:rsid w:val="00026AD6"/>
    <w:rsid w:val="000370A4"/>
    <w:rsid w:val="00063047"/>
    <w:rsid w:val="00067C28"/>
    <w:rsid w:val="000708CB"/>
    <w:rsid w:val="000A355D"/>
    <w:rsid w:val="000B1D20"/>
    <w:rsid w:val="000D0F4D"/>
    <w:rsid w:val="000D4B53"/>
    <w:rsid w:val="000E1DE5"/>
    <w:rsid w:val="001362D8"/>
    <w:rsid w:val="001973E4"/>
    <w:rsid w:val="001A161B"/>
    <w:rsid w:val="001A18FF"/>
    <w:rsid w:val="001B5D01"/>
    <w:rsid w:val="001E772B"/>
    <w:rsid w:val="00201360"/>
    <w:rsid w:val="002741EC"/>
    <w:rsid w:val="00281FD3"/>
    <w:rsid w:val="002C61BC"/>
    <w:rsid w:val="002E32ED"/>
    <w:rsid w:val="003000D7"/>
    <w:rsid w:val="00321A64"/>
    <w:rsid w:val="00363341"/>
    <w:rsid w:val="00377E70"/>
    <w:rsid w:val="003C55F1"/>
    <w:rsid w:val="00400A84"/>
    <w:rsid w:val="00405D58"/>
    <w:rsid w:val="00435586"/>
    <w:rsid w:val="00436151"/>
    <w:rsid w:val="00441CE5"/>
    <w:rsid w:val="00457F52"/>
    <w:rsid w:val="00465007"/>
    <w:rsid w:val="00465339"/>
    <w:rsid w:val="004658EC"/>
    <w:rsid w:val="004E5809"/>
    <w:rsid w:val="00530740"/>
    <w:rsid w:val="005628CE"/>
    <w:rsid w:val="00573EC4"/>
    <w:rsid w:val="00596C43"/>
    <w:rsid w:val="00597BDE"/>
    <w:rsid w:val="005A0491"/>
    <w:rsid w:val="005C0301"/>
    <w:rsid w:val="00647039"/>
    <w:rsid w:val="006472A3"/>
    <w:rsid w:val="00681489"/>
    <w:rsid w:val="00683778"/>
    <w:rsid w:val="00694D20"/>
    <w:rsid w:val="00695EC3"/>
    <w:rsid w:val="006F1DE8"/>
    <w:rsid w:val="00700B6E"/>
    <w:rsid w:val="0071259C"/>
    <w:rsid w:val="00724171"/>
    <w:rsid w:val="00736FA9"/>
    <w:rsid w:val="00740AFF"/>
    <w:rsid w:val="007472FB"/>
    <w:rsid w:val="00791772"/>
    <w:rsid w:val="00796FA8"/>
    <w:rsid w:val="007D329E"/>
    <w:rsid w:val="007F3D31"/>
    <w:rsid w:val="007F50D0"/>
    <w:rsid w:val="008320E6"/>
    <w:rsid w:val="00850D20"/>
    <w:rsid w:val="008D149B"/>
    <w:rsid w:val="008E3F2C"/>
    <w:rsid w:val="008E66DE"/>
    <w:rsid w:val="008F210F"/>
    <w:rsid w:val="008F7206"/>
    <w:rsid w:val="009208B4"/>
    <w:rsid w:val="00943355"/>
    <w:rsid w:val="0094651A"/>
    <w:rsid w:val="00950CEF"/>
    <w:rsid w:val="0098604B"/>
    <w:rsid w:val="00990888"/>
    <w:rsid w:val="00996CD5"/>
    <w:rsid w:val="00997246"/>
    <w:rsid w:val="009A307B"/>
    <w:rsid w:val="009D5F01"/>
    <w:rsid w:val="009D63BF"/>
    <w:rsid w:val="009E35E9"/>
    <w:rsid w:val="009E3CA8"/>
    <w:rsid w:val="009F5FFF"/>
    <w:rsid w:val="00A13746"/>
    <w:rsid w:val="00A17AD1"/>
    <w:rsid w:val="00A26FE2"/>
    <w:rsid w:val="00A31973"/>
    <w:rsid w:val="00A32753"/>
    <w:rsid w:val="00A36BD5"/>
    <w:rsid w:val="00A51134"/>
    <w:rsid w:val="00A711FA"/>
    <w:rsid w:val="00A75EB1"/>
    <w:rsid w:val="00A76C72"/>
    <w:rsid w:val="00AE1F83"/>
    <w:rsid w:val="00B30846"/>
    <w:rsid w:val="00B379A0"/>
    <w:rsid w:val="00B835A6"/>
    <w:rsid w:val="00BA2BF5"/>
    <w:rsid w:val="00BC1355"/>
    <w:rsid w:val="00BD0581"/>
    <w:rsid w:val="00BD6A1D"/>
    <w:rsid w:val="00C0095D"/>
    <w:rsid w:val="00C24B2C"/>
    <w:rsid w:val="00C259ED"/>
    <w:rsid w:val="00C35CED"/>
    <w:rsid w:val="00C37180"/>
    <w:rsid w:val="00C44C5F"/>
    <w:rsid w:val="00C65144"/>
    <w:rsid w:val="00CD02DE"/>
    <w:rsid w:val="00D00105"/>
    <w:rsid w:val="00D124E7"/>
    <w:rsid w:val="00D343DA"/>
    <w:rsid w:val="00D41D6F"/>
    <w:rsid w:val="00D51502"/>
    <w:rsid w:val="00DA7DF3"/>
    <w:rsid w:val="00DC1FEB"/>
    <w:rsid w:val="00DC36AB"/>
    <w:rsid w:val="00E16394"/>
    <w:rsid w:val="00E24658"/>
    <w:rsid w:val="00E55816"/>
    <w:rsid w:val="00E9240F"/>
    <w:rsid w:val="00ED7618"/>
    <w:rsid w:val="00EF4E1D"/>
    <w:rsid w:val="00F42075"/>
    <w:rsid w:val="00F62328"/>
    <w:rsid w:val="00FA46CA"/>
    <w:rsid w:val="00FB397B"/>
    <w:rsid w:val="00FB4D1B"/>
    <w:rsid w:val="00FB6FF0"/>
    <w:rsid w:val="00FC7849"/>
    <w:rsid w:val="00FD63B4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6DA9F41"/>
  <w15:docId w15:val="{25823C0F-B57B-4E78-BA21-1F5CA9B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D761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ED7618"/>
    <w:rPr>
      <w:rFonts w:ascii="Arial" w:eastAsia="Times New Roman" w:hAnsi="Arial" w:cs="Times New Roman"/>
    </w:rPr>
  </w:style>
  <w:style w:type="paragraph" w:customStyle="1" w:styleId="Naslovpredpisa">
    <w:name w:val="Naslov_predpisa"/>
    <w:basedOn w:val="Navaden"/>
    <w:link w:val="NaslovpredpisaZnak"/>
    <w:qFormat/>
    <w:rsid w:val="00683778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83778"/>
    <w:rPr>
      <w:rFonts w:ascii="Arial" w:eastAsia="Times New Roman" w:hAnsi="Arial" w:cs="Arial"/>
      <w:b/>
      <w:lang w:eastAsia="sl-SI"/>
    </w:rPr>
  </w:style>
  <w:style w:type="paragraph" w:customStyle="1" w:styleId="ZADEVA">
    <w:name w:val="ZADEVA"/>
    <w:basedOn w:val="Navaden"/>
    <w:qFormat/>
    <w:rsid w:val="00683778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table" w:styleId="Tabelamrea">
    <w:name w:val="Table Grid"/>
    <w:basedOn w:val="Navadnatabela"/>
    <w:rsid w:val="0068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83778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AFF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D5F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5F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5F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5F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5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2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PBechibani</dc:creator>
  <cp:lastModifiedBy>PBechibani</cp:lastModifiedBy>
  <cp:revision>3</cp:revision>
  <cp:lastPrinted>2020-01-24T10:37:00Z</cp:lastPrinted>
  <dcterms:created xsi:type="dcterms:W3CDTF">2020-01-28T07:31:00Z</dcterms:created>
  <dcterms:modified xsi:type="dcterms:W3CDTF">2020-01-28T11:11:00Z</dcterms:modified>
</cp:coreProperties>
</file>