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1C" w:rsidRDefault="006D326E" w:rsidP="005E731C">
      <w:pPr>
        <w:pStyle w:val="TechnicalBlock"/>
        <w:ind w:left="-1134" w:right="-1134"/>
      </w:pPr>
      <w:bookmarkStart w:id="0" w:name="DW_BM_COVERPAGE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9744/19 ADD 1.&#10;Subject Codes: PROBA 22 AGRI 273 WTO 154.&#10;Heading: PREDLOG.&#10;Originator: za generalnega sekretarja Evropske komisije: direktor Jordi AYET PUIGARNAU.&#10;Recipient: generalni sekretar Sveta Evropske unije Jeppe TRANHOLM-MIKKELSEN.&#10;Subject: PRILOGA k predlogu za SKLEP SVETA o stališču o trgovinskih standardih, ki se v imenu Evropske unije zastopa v svetu članic Mednarodnega sveta za oljke (IOC).&#10;Commission Document Number: COM(2019) 247 final ANNEX.&#10;Preceeding Document Number: Not Set.&#10;Location: Bruselj.&#10;Date: 28. maj 2019.&#10;Interinstitutional Files: 2019/0122(NLE).&#10;Institutional Framework: Svet Evropske unije.&#10;Language: SL.&#10;Distribution Code: PUBLIC.&#10;GUID: 5522604853952565788_0" style="width:568.5pt;height:382.5pt">
            <v:imagedata r:id="rId7" o:title=""/>
          </v:shape>
        </w:pict>
      </w:r>
      <w:bookmarkEnd w:id="0"/>
    </w:p>
    <w:p w:rsidR="005E731C" w:rsidRDefault="005E731C" w:rsidP="005E731C">
      <w:pPr>
        <w:pStyle w:val="EntText"/>
        <w:spacing w:before="480"/>
      </w:pPr>
      <w:r w:rsidRPr="005E731C">
        <w:t xml:space="preserve">Delegacije prejmejo priloženi dokument </w:t>
      </w:r>
      <w:r>
        <w:fldChar w:fldCharType="begin"/>
      </w:r>
      <w:r>
        <w:instrText xml:space="preserve"> QUOTE "</w:instrText>
      </w:r>
      <w:r>
        <w:fldChar w:fldCharType="begin">
          <w:fldData xml:space="preserve">QwBvAG0AbQBEAG8AYwBzAHwAUwBMAA==
</w:fldData>
        </w:fldChar>
      </w:r>
      <w:r>
        <w:instrText xml:space="preserve"> ADDIN "DocuWrite metadata link" </w:instrText>
      </w:r>
      <w:r>
        <w:fldChar w:fldCharType="end"/>
      </w:r>
      <w:r w:rsidRPr="005E731C">
        <w:instrText>COM(2019) 247 final ANNEX</w:instrText>
      </w:r>
      <w:r>
        <w:instrText xml:space="preserve">" </w:instrText>
      </w:r>
      <w:r>
        <w:fldChar w:fldCharType="separate"/>
      </w:r>
      <w:r w:rsidRPr="005E731C">
        <w:t>COM(2019) 247 final ANNEX</w:t>
      </w:r>
      <w:r>
        <w:fldChar w:fldCharType="end"/>
      </w:r>
      <w:r w:rsidRPr="005E731C">
        <w:t>.</w:t>
      </w:r>
    </w:p>
    <w:p w:rsidR="005E731C" w:rsidRDefault="005E731C" w:rsidP="005E731C">
      <w:pPr>
        <w:pStyle w:val="Lignefinal"/>
      </w:pPr>
    </w:p>
    <w:p w:rsidR="005E731C" w:rsidRDefault="005E731C" w:rsidP="005E731C">
      <w:pPr>
        <w:pStyle w:val="pj"/>
        <w:spacing w:before="120"/>
      </w:pPr>
      <w:bookmarkStart w:id="1" w:name="_GoBack"/>
      <w:r w:rsidRPr="006D326E">
        <w:rPr>
          <w:u w:val="single"/>
        </w:rPr>
        <w:t>Priloga</w:t>
      </w:r>
      <w:bookmarkEnd w:id="1"/>
      <w:r w:rsidRPr="005E731C">
        <w:t xml:space="preserve">: </w:t>
      </w:r>
      <w:r>
        <w:fldChar w:fldCharType="begin"/>
      </w:r>
      <w:r>
        <w:instrText xml:space="preserve"> QUOTE "</w:instrText>
      </w:r>
      <w:r>
        <w:fldChar w:fldCharType="begin">
          <w:fldData xml:space="preserve">QwBvAG0AbQBEAG8AYwBzAHwAUwBMAA==
</w:fldData>
        </w:fldChar>
      </w:r>
      <w:r>
        <w:instrText xml:space="preserve"> ADDIN "DocuWrite metadata link" </w:instrText>
      </w:r>
      <w:r>
        <w:fldChar w:fldCharType="end"/>
      </w:r>
      <w:r w:rsidRPr="005E731C">
        <w:instrText>COM(2019) 247 final ANNEX</w:instrText>
      </w:r>
      <w:r>
        <w:instrText xml:space="preserve">" </w:instrText>
      </w:r>
      <w:r>
        <w:fldChar w:fldCharType="separate"/>
      </w:r>
      <w:r w:rsidRPr="005E731C">
        <w:t>COM(2019) 247 final ANNEX</w:t>
      </w:r>
      <w:r>
        <w:fldChar w:fldCharType="end"/>
      </w:r>
    </w:p>
    <w:p w:rsidR="005E731C" w:rsidRPr="005E731C" w:rsidRDefault="005E731C" w:rsidP="005E731C"/>
    <w:p w:rsidR="005E731C" w:rsidRDefault="005E731C" w:rsidP="005E731C">
      <w:pPr>
        <w:rPr>
          <w:noProof/>
        </w:rPr>
        <w:sectPr w:rsidR="005E731C" w:rsidSect="005E73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624" w:right="1134" w:bottom="1134" w:left="1134" w:header="567" w:footer="567" w:gutter="0"/>
          <w:pgNumType w:start="0"/>
          <w:cols w:space="720"/>
          <w:titlePg/>
          <w:docGrid w:linePitch="360"/>
        </w:sectPr>
      </w:pPr>
    </w:p>
    <w:p w:rsidR="007373F4" w:rsidRDefault="006D326E">
      <w:pPr>
        <w:pStyle w:val="Pagedecouverture"/>
        <w:rPr>
          <w:noProof/>
        </w:rPr>
      </w:pPr>
      <w:r>
        <w:rPr>
          <w:noProof/>
        </w:rPr>
        <w:lastRenderedPageBreak/>
        <w:pict>
          <v:shape id="_x0000_i1026" type="#_x0000_t75" alt="5A31D593-93AA-4788-B304-D8F102D92464" style="width:450.75pt;height:438pt">
            <v:imagedata r:id="rId14" o:title=""/>
          </v:shape>
        </w:pict>
      </w:r>
    </w:p>
    <w:p w:rsidR="007373F4" w:rsidRDefault="007373F4">
      <w:pPr>
        <w:rPr>
          <w:noProof/>
        </w:rPr>
        <w:sectPr w:rsidR="007373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7373F4" w:rsidRDefault="005E731C">
      <w:pPr>
        <w:pStyle w:val="Annexetitre"/>
        <w:rPr>
          <w:noProof/>
        </w:rPr>
      </w:pPr>
      <w:r>
        <w:rPr>
          <w:noProof/>
        </w:rPr>
        <w:lastRenderedPageBreak/>
        <w:t>PRILOGA</w:t>
      </w:r>
    </w:p>
    <w:p w:rsidR="007373F4" w:rsidRDefault="005E731C">
      <w:pPr>
        <w:rPr>
          <w:noProof/>
        </w:rPr>
      </w:pPr>
      <w:r>
        <w:rPr>
          <w:noProof/>
        </w:rPr>
        <w:t>Evropska unija bo podprla naslednje spremembe metod IOC na zasedanju sveta članic IOC od 17. do 21. junija 2019 ali v postopku za sprejetje sklepov sveta članic z izmenjavo pisem, ki se začne pred naslednjim rednim zasedanjem novembra 2019:</w:t>
      </w:r>
    </w:p>
    <w:p w:rsidR="007373F4" w:rsidRDefault="005E731C">
      <w:pPr>
        <w:pStyle w:val="Tiret0"/>
        <w:numPr>
          <w:ilvl w:val="0"/>
          <w:numId w:val="1"/>
        </w:numPr>
        <w:rPr>
          <w:noProof/>
        </w:rPr>
      </w:pPr>
      <w:r>
        <w:rPr>
          <w:noProof/>
        </w:rPr>
        <w:t>spremembo metode COI/T.20/Doc. št. 19/Rev. 5 (Spektrofotometrično merjenje na UV-območju) s črtanjem absolutne vrednosti in spremembo vrednosti natančnosti;</w:t>
      </w:r>
    </w:p>
    <w:p w:rsidR="007373F4" w:rsidRDefault="005E731C">
      <w:pPr>
        <w:pStyle w:val="Tiret0"/>
        <w:numPr>
          <w:ilvl w:val="0"/>
          <w:numId w:val="1"/>
        </w:numPr>
        <w:rPr>
          <w:noProof/>
        </w:rPr>
      </w:pPr>
      <w:r>
        <w:rPr>
          <w:noProof/>
        </w:rPr>
        <w:t>spremembo metode COI/T.20/Doc. št. -2/Rev. 3 (Vrednosti natančnosti analiznih metod, ki jih je sprejel Mednarodni svet za oljke) s spremembo vrednosti natančnosti za metodi COI/T.20/Doc. št. 19 in COI/T.20/Doc. št. 26;</w:t>
      </w:r>
    </w:p>
    <w:p w:rsidR="007373F4" w:rsidRDefault="005E731C">
      <w:pPr>
        <w:pStyle w:val="Tiret0"/>
        <w:numPr>
          <w:ilvl w:val="0"/>
          <w:numId w:val="1"/>
        </w:numPr>
        <w:rPr>
          <w:noProof/>
        </w:rPr>
      </w:pPr>
      <w:r>
        <w:rPr>
          <w:noProof/>
        </w:rPr>
        <w:t>spremembo metode COI/T.20/Doc. št. 26/Rev.4 (Določanje sestave in vsebnosti sterolov ter alkoholnih spojin s kapilarno plinsko kromatografijo) s spremembo naslova, razpona natančnosti in vrednosti ter kromatogramov.</w:t>
      </w:r>
    </w:p>
    <w:p w:rsidR="007373F4" w:rsidRDefault="005E731C">
      <w:pPr>
        <w:rPr>
          <w:noProof/>
        </w:rPr>
      </w:pPr>
      <w:r>
        <w:rPr>
          <w:noProof/>
        </w:rPr>
        <w:t>O tehničnih prilagoditvah drugih metod ali dokumentov IOC se lahko predstavniki Unije in sveta članic IOC dogovorijo brez nadaljnjega sklepa Sveta, če so posledica sprememb iz prvega odstavka.</w:t>
      </w:r>
    </w:p>
    <w:p w:rsidR="007373F4" w:rsidRDefault="007373F4">
      <w:pPr>
        <w:rPr>
          <w:noProof/>
        </w:rPr>
      </w:pPr>
    </w:p>
    <w:sectPr w:rsidR="007373F4">
      <w:footerReference w:type="default" r:id="rId21"/>
      <w:footerReference w:type="firs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F4" w:rsidRDefault="005E731C">
      <w:pPr>
        <w:spacing w:before="0" w:after="0"/>
      </w:pPr>
      <w:r>
        <w:separator/>
      </w:r>
    </w:p>
  </w:endnote>
  <w:endnote w:type="continuationSeparator" w:id="0">
    <w:p w:rsidR="007373F4" w:rsidRDefault="005E73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F4" w:rsidRPr="005E731C" w:rsidRDefault="007373F4" w:rsidP="005E7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5E731C" w:rsidRPr="00D94637" w:rsidTr="005E731C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5E731C" w:rsidRPr="00D94637" w:rsidRDefault="005E731C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5E731C" w:rsidRPr="00B310DC" w:rsidTr="005E731C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5E731C" w:rsidRPr="00AD7BF2" w:rsidRDefault="005E731C" w:rsidP="004F54B2">
          <w:pPr>
            <w:pStyle w:val="FooterText"/>
          </w:pPr>
          <w:r>
            <w:t>9744/19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5E731C" w:rsidRPr="00AD7BF2" w:rsidRDefault="005E731C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5E731C" w:rsidRPr="002511D8" w:rsidRDefault="005E731C" w:rsidP="00D94637">
          <w:pPr>
            <w:pStyle w:val="FooterText"/>
            <w:jc w:val="center"/>
          </w:pPr>
          <w:r>
            <w:t>tu</w:t>
          </w: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5E731C" w:rsidRPr="00B310DC" w:rsidRDefault="005E731C" w:rsidP="005E731C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B66B3">
            <w:rPr>
              <w:noProof/>
            </w:rPr>
            <w:t>0</w:t>
          </w:r>
          <w:r>
            <w:fldChar w:fldCharType="end"/>
          </w:r>
        </w:p>
      </w:tc>
    </w:tr>
    <w:tr w:rsidR="005E731C" w:rsidRPr="00D94637" w:rsidTr="005E731C">
      <w:trPr>
        <w:jc w:val="center"/>
      </w:trPr>
      <w:tc>
        <w:tcPr>
          <w:tcW w:w="1774" w:type="pct"/>
          <w:shd w:val="clear" w:color="auto" w:fill="auto"/>
        </w:tcPr>
        <w:p w:rsidR="005E731C" w:rsidRPr="00AD7BF2" w:rsidRDefault="005E731C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5E731C" w:rsidRPr="00AD7BF2" w:rsidRDefault="005E731C" w:rsidP="00D204D6">
          <w:pPr>
            <w:pStyle w:val="FooterText"/>
            <w:spacing w:before="40"/>
            <w:jc w:val="center"/>
          </w:pPr>
          <w:r>
            <w:t>LIFE.2.B</w:t>
          </w:r>
        </w:p>
      </w:tc>
      <w:tc>
        <w:tcPr>
          <w:tcW w:w="742" w:type="pct"/>
          <w:shd w:val="clear" w:color="auto" w:fill="auto"/>
        </w:tcPr>
        <w:p w:rsidR="005E731C" w:rsidRPr="00D94637" w:rsidRDefault="005E731C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5E731C" w:rsidRPr="000310C2" w:rsidRDefault="005E731C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SL</w:t>
          </w:r>
        </w:p>
      </w:tc>
    </w:tr>
    <w:bookmarkEnd w:id="2"/>
  </w:tbl>
  <w:p w:rsidR="007373F4" w:rsidRPr="005E731C" w:rsidRDefault="007373F4" w:rsidP="005E731C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5E731C" w:rsidRPr="00D94637" w:rsidTr="005E731C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5E731C" w:rsidRPr="00D94637" w:rsidRDefault="005E731C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5E731C" w:rsidRPr="00B310DC" w:rsidTr="005E731C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5E731C" w:rsidRPr="00AD7BF2" w:rsidRDefault="005E731C" w:rsidP="004F54B2">
          <w:pPr>
            <w:pStyle w:val="FooterText"/>
          </w:pPr>
          <w:r>
            <w:t>9744/19</w:t>
          </w:r>
          <w:r w:rsidRPr="002511D8">
            <w:t xml:space="preserve"> </w:t>
          </w:r>
          <w:r>
            <w:t>ADD 1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5E731C" w:rsidRPr="00AD7BF2" w:rsidRDefault="005E731C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5E731C" w:rsidRPr="002511D8" w:rsidRDefault="005E731C" w:rsidP="00D94637">
          <w:pPr>
            <w:pStyle w:val="FooterText"/>
            <w:jc w:val="center"/>
          </w:pPr>
          <w:r>
            <w:t>tu</w:t>
          </w: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5E731C" w:rsidRPr="00B310DC" w:rsidRDefault="005E731C" w:rsidP="00D94637">
          <w:pPr>
            <w:pStyle w:val="FooterText"/>
            <w:jc w:val="right"/>
          </w:pPr>
        </w:p>
      </w:tc>
    </w:tr>
    <w:tr w:rsidR="005E731C" w:rsidRPr="00D94637" w:rsidTr="005E731C">
      <w:trPr>
        <w:jc w:val="center"/>
      </w:trPr>
      <w:tc>
        <w:tcPr>
          <w:tcW w:w="1774" w:type="pct"/>
          <w:shd w:val="clear" w:color="auto" w:fill="auto"/>
        </w:tcPr>
        <w:p w:rsidR="005E731C" w:rsidRPr="00AD7BF2" w:rsidRDefault="005E731C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5E731C" w:rsidRPr="00AD7BF2" w:rsidRDefault="005E731C" w:rsidP="00D204D6">
          <w:pPr>
            <w:pStyle w:val="FooterText"/>
            <w:spacing w:before="40"/>
            <w:jc w:val="center"/>
          </w:pPr>
          <w:r>
            <w:t>LIFE.2.B</w:t>
          </w:r>
        </w:p>
      </w:tc>
      <w:tc>
        <w:tcPr>
          <w:tcW w:w="742" w:type="pct"/>
          <w:shd w:val="clear" w:color="auto" w:fill="auto"/>
        </w:tcPr>
        <w:p w:rsidR="005E731C" w:rsidRPr="00D94637" w:rsidRDefault="005E731C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5E731C" w:rsidRPr="000310C2" w:rsidRDefault="005E731C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SL</w:t>
          </w:r>
        </w:p>
      </w:tc>
    </w:tr>
  </w:tbl>
  <w:p w:rsidR="007373F4" w:rsidRPr="005E731C" w:rsidRDefault="007373F4" w:rsidP="005E731C"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1C" w:rsidRDefault="005E731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1C" w:rsidRDefault="005E731C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SL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SL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1C" w:rsidRDefault="005E731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F4" w:rsidRDefault="005E731C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SL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6D326E">
      <w:rPr>
        <w:noProof/>
      </w:rPr>
      <w:t>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SL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F4" w:rsidRDefault="00737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F4" w:rsidRDefault="005E731C">
      <w:pPr>
        <w:spacing w:before="0" w:after="0"/>
      </w:pPr>
      <w:r>
        <w:separator/>
      </w:r>
    </w:p>
  </w:footnote>
  <w:footnote w:type="continuationSeparator" w:id="0">
    <w:p w:rsidR="007373F4" w:rsidRDefault="005E73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F4" w:rsidRPr="005E731C" w:rsidRDefault="007373F4" w:rsidP="005E7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F4" w:rsidRPr="005E731C" w:rsidRDefault="005E731C" w:rsidP="005E731C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3F4" w:rsidRPr="005E731C" w:rsidRDefault="005E731C" w:rsidP="005E731C">
    <w:pPr>
      <w:pStyle w:val="HeaderCouncil"/>
    </w:pPr>
    <w:r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1C" w:rsidRDefault="005E731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1C" w:rsidRDefault="005E731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31C" w:rsidRDefault="005E7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B9431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156413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B6621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C86D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45C59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D1854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1D62F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A3E53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8"/>
    <w:lvlOverride w:ilvl="0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18"/>
  </w:num>
  <w:num w:numId="25">
    <w:abstractNumId w:val="12"/>
  </w:num>
  <w:num w:numId="26">
    <w:abstractNumId w:val="20"/>
  </w:num>
  <w:num w:numId="27">
    <w:abstractNumId w:val="11"/>
  </w:num>
  <w:num w:numId="28">
    <w:abstractNumId w:val="13"/>
  </w:num>
  <w:num w:numId="29">
    <w:abstractNumId w:val="9"/>
  </w:num>
  <w:num w:numId="30">
    <w:abstractNumId w:val="19"/>
  </w:num>
  <w:num w:numId="31">
    <w:abstractNumId w:val="8"/>
  </w:num>
  <w:num w:numId="32">
    <w:abstractNumId w:val="14"/>
  </w:num>
  <w:num w:numId="33">
    <w:abstractNumId w:val="16"/>
  </w:num>
  <w:num w:numId="34">
    <w:abstractNumId w:val="17"/>
  </w:num>
  <w:num w:numId="35">
    <w:abstractNumId w:val="10"/>
  </w:num>
  <w:num w:numId="36">
    <w:abstractNumId w:val="15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CoverPageOnWordDoc" w:val="false"/>
    <w:docVar w:name="DocuWriteMetaData" w:val="&lt;metadataset docuwriteversion=&quot;4.2.11&quot; technicalblockguid=&quot;5522604853952565788&quot;&gt;_x000d__x000a_  &lt;metadata key=&quot;md_DocumentLanguages&quot;&gt;_x000d__x000a_    &lt;basicdatatypelist&gt;_x000d__x000a_      &lt;language key=&quot;SL&quot; text=&quot;SL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65&quot; text=&quot;PREDLOG&quot; /&gt;_x000d__x000a_    &lt;/basicdatatype&gt;_x000d__x000a_  &lt;/metadata&gt;_x000d__x000a_  &lt;metadata key=&quot;md_HeadingText&quot;&gt;_x000d__x000a_    &lt;headingtext text=&quot;PREDLOG&quot;&gt;_x000d__x000a_      &lt;formattedtext&gt;_x000d__x000a_        &lt;xaml text=&quot;PREDLOG&quot;&gt;&amp;lt;FlowDocument xmlns=&quot;http://schemas.microsoft.com/winfx/2006/xaml/presentation&quot;&amp;gt;&amp;lt;Paragraph&amp;gt;PREDLOG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12&quot; text=&quot;Cover Pag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Svet Evropske unije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elj&quot; /&gt;_x000d__x000a_    &lt;/basicdatatype&gt;_x000d__x000a_  &lt;/metadata&gt;_x000d__x000a_  &lt;metadata key=&quot;md_DocumentDate&quot;&gt;_x000d__x000a_    &lt;text&gt;2019-05-28&lt;/text&gt;_x000d__x000a_  &lt;/metadata&gt;_x000d__x000a_  &lt;metadata key=&quot;md_Prefix&quot;&gt;_x000d__x000a_    &lt;text&gt;&lt;/text&gt;_x000d__x000a_  &lt;/metadata&gt;_x000d__x000a_  &lt;metadata key=&quot;md_DocumentNumber&quot;&gt;_x000d__x000a_    &lt;text&gt;9744&lt;/text&gt;_x000d__x000a_  &lt;/metadata&gt;_x000d__x000a_  &lt;metadata key=&quot;md_YearDocumentNumber&quot;&gt;_x000d__x000a_    &lt;text&gt;2019&lt;/text&gt;_x000d__x000a_  &lt;/metadata&gt;_x000d__x000a_  &lt;metadata key=&quot;md_Suffixes&quot;&gt;_x000d__x000a_    &lt;text&gt;ADD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PROBA 22&lt;/text&gt;_x000d__x000a_      &lt;text&gt;AGRI 273&lt;/text&gt;_x000d__x000a_      &lt;text&gt;WTO 154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&gt;_x000d__x000a_      &lt;text&gt;2019/0122(NLE)&lt;/text&gt;_x000d__x000a_    &lt;/textlist&gt;_x000d__x000a_  &lt;/metadata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or_01&quot; text=&quot;za generalnega sekretarja Evropske komisije: direktor Jordi AYET PUIGARNAU&quot; /&gt;_x000d__x000a_    &lt;/basicdatatype&gt;_x000d__x000a_  &lt;/metadata&gt;_x000d__x000a_  &lt;metadata key=&quot;md_Recipient&quot;&gt;_x000d__x000a_    &lt;basicdatatype&gt;_x000d__x000a_      &lt;recipient key=&quot;re_02&quot; text=&quot;generalni sekretar Sveta Evropske unije Jeppe TRANHOLM-MIKKELSEN&quot; /&gt;_x000d__x000a_    &lt;/basicdatatype&gt;_x000d__x000a_  &lt;/metadata&gt;_x000d__x000a_  &lt;metadata key=&quot;md_DateOfReceipt&quot;&gt;_x000d__x000a_    &lt;text&gt;2019-05-28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&gt;_x000d__x000a_      &lt;text&gt;COM(2019) 247 final ANNEX&lt;/text&gt;_x000d__x000a_    &lt;/textlist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PRILOGA k predlogu za SKLEP SVETA o stali&amp;#353;&amp;#269;u o trgovinskih standardih, ki se v imenu Evropske unije zastopa v svetu &amp;#269;lanic Mednarodnega sveta za oljke (IOC)&quot;&gt;&amp;lt;FlowDocument FontFamily=&quot;Arial Unicode MS&quot; FontSize=&quot;12&quot; PagePadding=&quot;5,0,5,0&quot; AllowDrop=&quot;False&quot; xmlns=&quot;http://schemas.microsoft.com/winfx/2006/xaml/presentation&quot;&amp;gt;&amp;lt;Paragraph&amp;gt;PRILOGA k predlogu za SKLEP SVETA o stali&amp;#353;&amp;#269;u o trgovinskih standardih, ki se v imenu Evropske unije zastopa v svetu &amp;#269;lanic Mednarodnega sveta za oljke (IOC)&amp;lt;/Paragraph&amp;gt;&amp;lt;/FlowDocument&amp;gt;&lt;/xaml&gt;_x000d__x000a_  &lt;/metadata&gt;_x000d__x000a_  &lt;metadata key=&quot;md_SubjectFootnote&quot; /&gt;_x000d__x000a_  &lt;metadata key=&quot;md_DG&quot;&gt;_x000d__x000a_    &lt;text&gt;LIFE.2.B&lt;/text&gt;_x000d__x000a_  &lt;/metadata&gt;_x000d__x000a_  &lt;metadata key=&quot;md_Initials&quot;&gt;_x000d__x000a_    &lt;text&gt;tu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9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9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SL&lt;/text&gt;_x000d__x000a_  &lt;/metadata&gt;_x000d__x000a_  &lt;metadata key=&quot;md_SourceDocType&quot;&gt;_x000d__x000a_    &lt;text&gt;PRILOGA&lt;/text&gt;_x000d__x000a_  &lt;/metadata&gt;_x000d__x000a_  &lt;metadata key=&quot;md_SourceDocTitle&quot;&gt;_x000d__x000a_    &lt;text&gt;k _x000d__x000a_predlogu za_x000d__x000a__x000d__x000a_SKLEP SVETA _x000d__x000a_o stali&amp;#353;&amp;#269;u o trgovinskih standardih, ki se v imenu Evropske unije zastopa v svetu &amp;#269;lanic Mednarodnega sveta za oljke (IOC)_x000d__x000a_&lt;/text&gt;_x000d__x000a_  &lt;/metadata&gt;_x000d__x000a_  &lt;metadata key=&quot;md_SourceDocIsCECDoc&quot;&gt;_x000d__x000a_    &lt;text&gt;true&lt;/text&gt;_x000d__x000a_  &lt;/metadata&gt;_x000d__x000a_  &lt;metadata key=&quot;md_NB1&quot; /&gt;_x000d__x000a_  &lt;metadata key=&quot;md_NB2&quot; /&gt;_x000d__x000a_  &lt;metadata key=&quot;md_NB3&quot; /&gt;_x000d__x000a_  &lt;metadata key=&quot;md_NB4&quot; /&gt;_x000d__x000a_  &lt;metadata key=&quot;md_Meetings&quot; /&gt;_x000d__x000a_  &lt;metadata key=&quot;md_VisualRepresentation&quot;&gt;_x000d__x000a_    &lt;basicdatatype&gt;_x000d__x000a_      &lt;originator key=&quot;visrep_02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 /&gt;_x000d__x000a_  &lt;metadata key=&quot;md_Caveat&quot;&gt;_x000d__x000a_    &lt;text&gt;&lt;/text&gt;_x000d__x000a_  &lt;/metadata&gt;_x000d__x000a_&lt;/metadataset&gt;"/>
    <w:docVar w:name="DQCDateTime" w:val="2019-05-28 09:11:14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k"/>
    <w:docVar w:name="LW_ACCOMPAGNANT.CP" w:val="k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5A31D593-93AA-4788-B304-D8F102D92464"/>
    <w:docVar w:name="LW_COVERPAGE_TYPE" w:val="1"/>
    <w:docVar w:name="LW_CROSSREFERENCE" w:val="{SWD(2019) 192 final}"/>
    <w:docVar w:name="LW_DocType" w:val="ANNEX"/>
    <w:docVar w:name="LW_EMISSION" w:val="28.5.2019"/>
    <w:docVar w:name="LW_EMISSION_ISODATE" w:val="2019-05-28"/>
    <w:docVar w:name="LW_EMISSION_LOCATION" w:val="BRX"/>
    <w:docVar w:name="LW_EMISSION_PREFIX" w:val="Bruselj, "/>
    <w:docVar w:name="LW_EMISSION_SUFFIX" w:val="&lt;EMPTY&gt;"/>
    <w:docVar w:name="LW_ID_DOCSTRUCTURE" w:val="COM/ANNEX"/>
    <w:docVar w:name="LW_ID_DOCTYPE" w:val="SG-017"/>
    <w:docVar w:name="LW_LANGUE" w:val="SL"/>
    <w:docVar w:name="LW_LEVEL_OF_SENSITIVITY" w:val="Sensitive treatment"/>
    <w:docVar w:name="LW_NOM.INST" w:val="EVROPSKA KOMISIJA"/>
    <w:docVar w:name="LW_NOM.INST_JOINTDOC" w:val="&lt;EMPTY&gt;"/>
    <w:docVar w:name="LW_OBJETACTEPRINCIPAL" w:val="o stali\u353?\u269?u o trgovinskih standardih, ki se v imenu Evropske unije zastopa v svetu \u269?lanic Mednarodnega sveta za oljke (IOC)_x000b_"/>
    <w:docVar w:name="LW_OBJETACTEPRINCIPAL.CP" w:val="o stali\u353?\u269?u o trgovinskih standardih, ki se v imenu Evropske unije zastopa v svetu \u269?lanic Mednarodnega sveta za oljke (IOC)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9) 24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ensitive&quot;&gt;_x000d__x000a_  &lt;nicename EN=&quot;Sensitive treatment&quot; FR=&quot;Traitement sensible&quot; /&gt;_x000d__x000a_  &lt;documentProperty&gt;Sensitive treatment&lt;/documentProperty&gt;_x000d__x000a_  &lt;marking optional=&quot;false&quot; maxTextLength=&quot;0&quot;&gt;_x000d__x000a_    &lt;text&gt;LIMITED&lt;/text&gt;_x000d__x000a_  &lt;/marking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PRILOGA"/>
    <w:docVar w:name="LW_TYPE.DOC.CP" w:val="PRILOGA"/>
    <w:docVar w:name="LW_TYPEACTEPRINCIPAL" w:val="predlogu za_x000b__x000b_SKLEP SVETA"/>
    <w:docVar w:name="LW_TYPEACTEPRINCIPAL.CP" w:val="predlogu za_x000b__x000b_SKLEP SVETA"/>
  </w:docVars>
  <w:rsids>
    <w:rsidRoot w:val="007373F4"/>
    <w:rsid w:val="005E731C"/>
    <w:rsid w:val="006D326E"/>
    <w:rsid w:val="007373F4"/>
    <w:rsid w:val="00A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FA4790E-A055-4DF5-9A68-B10B803D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sl-SI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l-S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sl-S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4"/>
      </w:numPr>
    </w:pPr>
  </w:style>
  <w:style w:type="paragraph" w:customStyle="1" w:styleId="Tiret1">
    <w:name w:val="Tiret 1"/>
    <w:basedOn w:val="Point1"/>
    <w:pPr>
      <w:numPr>
        <w:numId w:val="25"/>
      </w:numPr>
    </w:pPr>
  </w:style>
  <w:style w:type="paragraph" w:customStyle="1" w:styleId="Tiret2">
    <w:name w:val="Tiret 2"/>
    <w:basedOn w:val="Point2"/>
    <w:pPr>
      <w:numPr>
        <w:numId w:val="26"/>
      </w:numPr>
    </w:pPr>
  </w:style>
  <w:style w:type="paragraph" w:customStyle="1" w:styleId="Tiret3">
    <w:name w:val="Tiret 3"/>
    <w:basedOn w:val="Point3"/>
    <w:pPr>
      <w:numPr>
        <w:numId w:val="27"/>
      </w:numPr>
    </w:pPr>
  </w:style>
  <w:style w:type="paragraph" w:customStyle="1" w:styleId="Tiret4">
    <w:name w:val="Tiret 4"/>
    <w:basedOn w:val="Point4"/>
    <w:pPr>
      <w:numPr>
        <w:numId w:val="28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9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sid w:val="005E731C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1"/>
      </w:numPr>
    </w:pPr>
  </w:style>
  <w:style w:type="paragraph" w:customStyle="1" w:styleId="Point1number">
    <w:name w:val="Point 1 (number)"/>
    <w:basedOn w:val="Normal"/>
    <w:pPr>
      <w:numPr>
        <w:ilvl w:val="2"/>
        <w:numId w:val="31"/>
      </w:numPr>
    </w:pPr>
  </w:style>
  <w:style w:type="paragraph" w:customStyle="1" w:styleId="Point2number">
    <w:name w:val="Point 2 (number)"/>
    <w:basedOn w:val="Normal"/>
    <w:pPr>
      <w:numPr>
        <w:ilvl w:val="4"/>
        <w:numId w:val="31"/>
      </w:numPr>
    </w:pPr>
  </w:style>
  <w:style w:type="paragraph" w:customStyle="1" w:styleId="Point3number">
    <w:name w:val="Point 3 (number)"/>
    <w:basedOn w:val="Normal"/>
    <w:pPr>
      <w:numPr>
        <w:ilvl w:val="6"/>
        <w:numId w:val="31"/>
      </w:numPr>
    </w:pPr>
  </w:style>
  <w:style w:type="paragraph" w:customStyle="1" w:styleId="Point0letter">
    <w:name w:val="Point 0 (letter)"/>
    <w:basedOn w:val="Normal"/>
    <w:pPr>
      <w:numPr>
        <w:ilvl w:val="1"/>
        <w:numId w:val="31"/>
      </w:numPr>
    </w:pPr>
  </w:style>
  <w:style w:type="paragraph" w:customStyle="1" w:styleId="Point1letter">
    <w:name w:val="Point 1 (letter)"/>
    <w:basedOn w:val="Normal"/>
    <w:pPr>
      <w:numPr>
        <w:ilvl w:val="3"/>
        <w:numId w:val="31"/>
      </w:numPr>
    </w:pPr>
  </w:style>
  <w:style w:type="paragraph" w:customStyle="1" w:styleId="Point2letter">
    <w:name w:val="Point 2 (letter)"/>
    <w:basedOn w:val="Normal"/>
    <w:pPr>
      <w:numPr>
        <w:ilvl w:val="5"/>
        <w:numId w:val="31"/>
      </w:numPr>
    </w:pPr>
  </w:style>
  <w:style w:type="paragraph" w:customStyle="1" w:styleId="Point3letter">
    <w:name w:val="Point 3 (letter)"/>
    <w:basedOn w:val="Normal"/>
    <w:pPr>
      <w:numPr>
        <w:ilvl w:val="7"/>
        <w:numId w:val="31"/>
      </w:numPr>
    </w:pPr>
  </w:style>
  <w:style w:type="paragraph" w:customStyle="1" w:styleId="Point4letter">
    <w:name w:val="Point 4 (letter)"/>
    <w:basedOn w:val="Normal"/>
    <w:pPr>
      <w:numPr>
        <w:ilvl w:val="8"/>
        <w:numId w:val="31"/>
      </w:numPr>
    </w:pPr>
  </w:style>
  <w:style w:type="paragraph" w:customStyle="1" w:styleId="Bullet0">
    <w:name w:val="Bullet 0"/>
    <w:basedOn w:val="Normal"/>
    <w:pPr>
      <w:numPr>
        <w:numId w:val="32"/>
      </w:numPr>
    </w:pPr>
  </w:style>
  <w:style w:type="paragraph" w:customStyle="1" w:styleId="Bullet1">
    <w:name w:val="Bullet 1"/>
    <w:basedOn w:val="Normal"/>
    <w:pPr>
      <w:numPr>
        <w:numId w:val="33"/>
      </w:numPr>
    </w:pPr>
  </w:style>
  <w:style w:type="paragraph" w:customStyle="1" w:styleId="Bullet2">
    <w:name w:val="Bullet 2"/>
    <w:basedOn w:val="Normal"/>
    <w:pPr>
      <w:numPr>
        <w:numId w:val="34"/>
      </w:numPr>
    </w:pPr>
  </w:style>
  <w:style w:type="paragraph" w:customStyle="1" w:styleId="Bullet3">
    <w:name w:val="Bullet 3"/>
    <w:basedOn w:val="Normal"/>
    <w:pPr>
      <w:numPr>
        <w:numId w:val="35"/>
      </w:numPr>
    </w:pPr>
  </w:style>
  <w:style w:type="paragraph" w:customStyle="1" w:styleId="Bullet4">
    <w:name w:val="Bullet 4"/>
    <w:basedOn w:val="Normal"/>
    <w:pPr>
      <w:numPr>
        <w:numId w:val="36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7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customStyle="1" w:styleId="TechnicalBlock">
    <w:name w:val="Technical Block"/>
    <w:basedOn w:val="Normal"/>
    <w:link w:val="TechnicalBlockChar"/>
    <w:rsid w:val="005E731C"/>
    <w:pPr>
      <w:spacing w:before="0" w:after="240"/>
      <w:jc w:val="center"/>
    </w:pPr>
  </w:style>
  <w:style w:type="character" w:customStyle="1" w:styleId="TechnicalBlockChar">
    <w:name w:val="Technical Block Char"/>
    <w:basedOn w:val="DefaultParagraphFont"/>
    <w:link w:val="TechnicalBlock"/>
    <w:rsid w:val="005E731C"/>
    <w:rPr>
      <w:rFonts w:ascii="Times New Roman" w:hAnsi="Times New Roman" w:cs="Times New Roman"/>
      <w:sz w:val="24"/>
      <w:lang w:val="sl-SI"/>
    </w:rPr>
  </w:style>
  <w:style w:type="paragraph" w:customStyle="1" w:styleId="Lignefinal">
    <w:name w:val="Ligne final"/>
    <w:basedOn w:val="Normal"/>
    <w:next w:val="Normal"/>
    <w:rsid w:val="005E731C"/>
    <w:pPr>
      <w:pBdr>
        <w:bottom w:val="single" w:sz="4" w:space="0" w:color="000000"/>
      </w:pBdr>
      <w:spacing w:before="360" w:line="360" w:lineRule="auto"/>
      <w:ind w:left="3400" w:right="3400"/>
      <w:jc w:val="center"/>
    </w:pPr>
    <w:rPr>
      <w:b/>
    </w:rPr>
  </w:style>
  <w:style w:type="paragraph" w:customStyle="1" w:styleId="EntText">
    <w:name w:val="EntText"/>
    <w:basedOn w:val="Normal"/>
    <w:rsid w:val="005E731C"/>
    <w:pPr>
      <w:spacing w:line="360" w:lineRule="auto"/>
      <w:jc w:val="left"/>
    </w:pPr>
  </w:style>
  <w:style w:type="paragraph" w:customStyle="1" w:styleId="pj">
    <w:name w:val="p.j."/>
    <w:basedOn w:val="Normal"/>
    <w:link w:val="pjChar"/>
    <w:rsid w:val="005E731C"/>
    <w:pPr>
      <w:spacing w:before="1200"/>
      <w:ind w:left="1440" w:hanging="1440"/>
      <w:jc w:val="left"/>
    </w:pPr>
  </w:style>
  <w:style w:type="character" w:customStyle="1" w:styleId="pjChar">
    <w:name w:val="p.j. Char"/>
    <w:basedOn w:val="TechnicalBlockChar"/>
    <w:link w:val="pj"/>
    <w:rsid w:val="005E731C"/>
    <w:rPr>
      <w:rFonts w:ascii="Times New Roman" w:hAnsi="Times New Roman" w:cs="Times New Roman"/>
      <w:sz w:val="24"/>
      <w:lang w:val="sl-SI"/>
    </w:rPr>
  </w:style>
  <w:style w:type="paragraph" w:customStyle="1" w:styleId="nbbordered">
    <w:name w:val="nb bordered"/>
    <w:basedOn w:val="Normal"/>
    <w:link w:val="nbborderedChar"/>
    <w:rsid w:val="005E73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0" w:color="auto"/>
      </w:pBdr>
      <w:spacing w:after="160"/>
      <w:ind w:left="480" w:hanging="480"/>
    </w:pPr>
    <w:rPr>
      <w:b/>
    </w:rPr>
  </w:style>
  <w:style w:type="character" w:customStyle="1" w:styleId="nbborderedChar">
    <w:name w:val="nb bordered Char"/>
    <w:basedOn w:val="TechnicalBlockChar"/>
    <w:link w:val="nbbordered"/>
    <w:rsid w:val="005E731C"/>
    <w:rPr>
      <w:rFonts w:ascii="Times New Roman" w:hAnsi="Times New Roman" w:cs="Times New Roman"/>
      <w:b/>
      <w:sz w:val="24"/>
      <w:lang w:val="sl-SI"/>
    </w:rPr>
  </w:style>
  <w:style w:type="paragraph" w:customStyle="1" w:styleId="HeaderCouncil">
    <w:name w:val="Header Council"/>
    <w:basedOn w:val="Normal"/>
    <w:link w:val="HeaderCouncilChar"/>
    <w:rsid w:val="005E731C"/>
    <w:pPr>
      <w:spacing w:before="0" w:after="0"/>
    </w:pPr>
    <w:rPr>
      <w:sz w:val="2"/>
    </w:rPr>
  </w:style>
  <w:style w:type="character" w:customStyle="1" w:styleId="HeaderCouncilChar">
    <w:name w:val="Header Council Char"/>
    <w:basedOn w:val="DefaultParagraphFont"/>
    <w:link w:val="HeaderCouncil"/>
    <w:rsid w:val="005E731C"/>
    <w:rPr>
      <w:rFonts w:ascii="Times New Roman" w:hAnsi="Times New Roman" w:cs="Times New Roman"/>
      <w:sz w:val="2"/>
      <w:lang w:val="sl-SI"/>
    </w:rPr>
  </w:style>
  <w:style w:type="paragraph" w:customStyle="1" w:styleId="HeaderCouncilLarge">
    <w:name w:val="Header Council Large"/>
    <w:basedOn w:val="Normal"/>
    <w:link w:val="HeaderCouncilLargeChar"/>
    <w:rsid w:val="005E731C"/>
    <w:pPr>
      <w:spacing w:before="0" w:after="440"/>
    </w:pPr>
    <w:rPr>
      <w:sz w:val="2"/>
    </w:rPr>
  </w:style>
  <w:style w:type="character" w:customStyle="1" w:styleId="HeaderCouncilLargeChar">
    <w:name w:val="Header Council Large Char"/>
    <w:basedOn w:val="DefaultParagraphFont"/>
    <w:link w:val="HeaderCouncilLarge"/>
    <w:rsid w:val="005E731C"/>
    <w:rPr>
      <w:rFonts w:ascii="Times New Roman" w:hAnsi="Times New Roman" w:cs="Times New Roman"/>
      <w:sz w:val="2"/>
      <w:lang w:val="sl-SI"/>
    </w:rPr>
  </w:style>
  <w:style w:type="paragraph" w:customStyle="1" w:styleId="FooterCouncil">
    <w:name w:val="Footer Council"/>
    <w:basedOn w:val="Normal"/>
    <w:link w:val="FooterCouncilChar"/>
    <w:rsid w:val="005E731C"/>
    <w:pPr>
      <w:spacing w:before="0" w:after="0"/>
    </w:pPr>
    <w:rPr>
      <w:sz w:val="2"/>
    </w:rPr>
  </w:style>
  <w:style w:type="character" w:customStyle="1" w:styleId="FooterCouncilChar">
    <w:name w:val="Footer Council Char"/>
    <w:basedOn w:val="DefaultParagraphFont"/>
    <w:link w:val="FooterCouncil"/>
    <w:rsid w:val="005E731C"/>
    <w:rPr>
      <w:rFonts w:ascii="Times New Roman" w:hAnsi="Times New Roman" w:cs="Times New Roman"/>
      <w:sz w:val="2"/>
      <w:lang w:val="sl-SI"/>
    </w:rPr>
  </w:style>
  <w:style w:type="paragraph" w:customStyle="1" w:styleId="FooterText">
    <w:name w:val="Footer Text"/>
    <w:basedOn w:val="Normal"/>
    <w:rsid w:val="005E731C"/>
    <w:pPr>
      <w:spacing w:before="0" w:after="0"/>
      <w:jc w:val="left"/>
    </w:pPr>
    <w:rPr>
      <w:rFonts w:eastAsia="Times New Roman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5E7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MERCIER Laurent (AGRI)</dc:creator>
  <cp:lastModifiedBy>UNGAR Tomaz</cp:lastModifiedBy>
  <cp:revision>4</cp:revision>
  <cp:lastPrinted>2019-03-19T14:24:00Z</cp:lastPrinted>
  <dcterms:created xsi:type="dcterms:W3CDTF">2019-05-29T12:10:00Z</dcterms:created>
  <dcterms:modified xsi:type="dcterms:W3CDTF">2019-05-29T12:10:00Z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DocuWrite 4.2.11, Build 20190404</vt:lpwstr>
  </property>
  <property fmtid="{D5CDD505-2E9C-101B-9397-08002B2CF9AE}" pid="5" name="Created using">
    <vt:lpwstr>DocuWrite 4.2.11, Build 20190404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Sensitive treatment</vt:lpwstr>
  </property>
  <property fmtid="{D5CDD505-2E9C-101B-9397-08002B2CF9AE}" pid="12" name="LWTemplateID">
    <vt:lpwstr>SG-017</vt:lpwstr>
  </property>
  <property fmtid="{D5CDD505-2E9C-101B-9397-08002B2CF9AE}" pid="13" name="DQCStatus">
    <vt:lpwstr>Green (DQC version 03)</vt:lpwstr>
  </property>
</Properties>
</file>