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21" w:rsidRDefault="00827033" w:rsidP="00551B21">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744/19.&#10;Subject Codes: PROBA 22 AGRI 273 WTO 154.&#10;Heading: PREDLOG.&#10;Originator: za generalnega sekretarja Evropske komisije: direktor Jordi AYET PUIGARNAU.&#10;Recipient: generalni sekretar Sveta Evropske unije Jeppe TRANHOLM-MIKKELSEN.&#10;Subject: Predlog SKLEPA SVETA o stališču o trgovinskih standardih, ki se v imenu Evropske unije zastopa v svetu članic Mednarodnega sveta za oljke (IOC).&#10;Commission Document Number: COM(2019) 247 final.&#10;Preceeding Document Number: Not Set.&#10;Location: Bruselj.&#10;Date: 28. maj 2019.&#10;Interinstitutional Files: 2019/0122 (NLE).&#10;Institutional Framework: Svet Evropske unije.&#10;Language: SL.&#10;Distribution Code: PUBLIC.&#10;GUID: 5147997533215570708_0" style="width:568.5pt;height:369pt">
            <v:imagedata r:id="rId7" o:title=""/>
          </v:shape>
        </w:pict>
      </w:r>
      <w:bookmarkEnd w:id="0"/>
    </w:p>
    <w:p w:rsidR="00551B21" w:rsidRDefault="00551B21" w:rsidP="00551B21">
      <w:pPr>
        <w:pStyle w:val="EntText"/>
        <w:spacing w:before="480"/>
      </w:pPr>
      <w:r w:rsidRPr="00551B21">
        <w:t xml:space="preserve">Delegacije prejmejo priloženi dokument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551B21">
        <w:instrText>COM(2019) 247 final</w:instrText>
      </w:r>
      <w:r>
        <w:instrText xml:space="preserve">" </w:instrText>
      </w:r>
      <w:r>
        <w:fldChar w:fldCharType="separate"/>
      </w:r>
      <w:r w:rsidRPr="00551B21">
        <w:t>COM(2019) 247 final</w:t>
      </w:r>
      <w:r>
        <w:fldChar w:fldCharType="end"/>
      </w:r>
      <w:r w:rsidRPr="00551B21">
        <w:t>.</w:t>
      </w:r>
    </w:p>
    <w:p w:rsidR="00551B21" w:rsidRDefault="00551B21" w:rsidP="00551B21">
      <w:pPr>
        <w:pStyle w:val="Lignefinal"/>
      </w:pPr>
    </w:p>
    <w:p w:rsidR="00551B21" w:rsidRDefault="00551B21" w:rsidP="00551B21">
      <w:pPr>
        <w:pStyle w:val="pj"/>
        <w:spacing w:before="120"/>
      </w:pPr>
      <w:bookmarkStart w:id="1" w:name="_GoBack"/>
      <w:r w:rsidRPr="00827033">
        <w:rPr>
          <w:u w:val="single"/>
        </w:rPr>
        <w:t>Priloga</w:t>
      </w:r>
      <w:bookmarkEnd w:id="1"/>
      <w:r w:rsidRPr="00551B21">
        <w:t xml:space="preserve">: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551B21">
        <w:instrText>COM(2019) 247 final</w:instrText>
      </w:r>
      <w:r>
        <w:instrText xml:space="preserve">" </w:instrText>
      </w:r>
      <w:r>
        <w:fldChar w:fldCharType="separate"/>
      </w:r>
      <w:r w:rsidRPr="00551B21">
        <w:t>COM(2019) 247 final</w:t>
      </w:r>
      <w:r>
        <w:fldChar w:fldCharType="end"/>
      </w:r>
    </w:p>
    <w:p w:rsidR="00551B21" w:rsidRPr="00551B21" w:rsidRDefault="00551B21" w:rsidP="00551B21"/>
    <w:p w:rsidR="00551B21" w:rsidRDefault="00551B21" w:rsidP="00551B21">
      <w:pPr>
        <w:rPr>
          <w:noProof/>
        </w:rPr>
        <w:sectPr w:rsidR="00551B21" w:rsidSect="00551B21">
          <w:headerReference w:type="even" r:id="rId8"/>
          <w:headerReference w:type="default" r:id="rId9"/>
          <w:footerReference w:type="even" r:id="rId10"/>
          <w:footerReference w:type="default" r:id="rId11"/>
          <w:headerReference w:type="first" r:id="rId12"/>
          <w:footerReference w:type="first" r:id="rId13"/>
          <w:pgSz w:w="11907" w:h="16839"/>
          <w:pgMar w:top="624" w:right="1134" w:bottom="1134" w:left="1134" w:header="567" w:footer="567" w:gutter="0"/>
          <w:pgNumType w:start="0"/>
          <w:cols w:space="720"/>
          <w:titlePg/>
          <w:docGrid w:linePitch="360"/>
        </w:sectPr>
      </w:pPr>
    </w:p>
    <w:p w:rsidR="00107CA8" w:rsidRDefault="00827033">
      <w:pPr>
        <w:pStyle w:val="Pagedecouverture"/>
        <w:rPr>
          <w:noProof/>
        </w:rPr>
      </w:pPr>
      <w:r>
        <w:rPr>
          <w:noProof/>
        </w:rPr>
        <w:lastRenderedPageBreak/>
        <w:pict>
          <v:shape id="_x0000_i1026" type="#_x0000_t75" alt="628A94F6-DD0C-4536-A805-2DCE94EA3B2B" style="width:450.75pt;height:366pt">
            <v:imagedata r:id="rId14" o:title=""/>
          </v:shape>
        </w:pict>
      </w:r>
    </w:p>
    <w:p w:rsidR="00107CA8" w:rsidRDefault="00107CA8">
      <w:pPr>
        <w:rPr>
          <w:noProof/>
        </w:rPr>
        <w:sectPr w:rsidR="00107CA8">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pgNumType w:start="0"/>
          <w:cols w:space="720"/>
          <w:docGrid w:linePitch="360"/>
        </w:sectPr>
      </w:pPr>
    </w:p>
    <w:p w:rsidR="00107CA8" w:rsidRDefault="00551B21">
      <w:pPr>
        <w:pStyle w:val="Exposdesmotifstitre"/>
        <w:rPr>
          <w:noProof/>
        </w:rPr>
      </w:pPr>
      <w:r>
        <w:rPr>
          <w:noProof/>
        </w:rPr>
        <w:lastRenderedPageBreak/>
        <w:t>OBRAZLOŽITVENI MEMORANDUM</w:t>
      </w:r>
    </w:p>
    <w:p w:rsidR="00107CA8" w:rsidRDefault="00551B21">
      <w:pPr>
        <w:pStyle w:val="ManualHeading1"/>
        <w:rPr>
          <w:rFonts w:eastAsia="Arial Unicode MS"/>
          <w:noProof/>
        </w:rPr>
      </w:pPr>
      <w:r>
        <w:t>1.</w:t>
      </w:r>
      <w:r>
        <w:tab/>
      </w:r>
      <w:r>
        <w:rPr>
          <w:noProof/>
        </w:rPr>
        <w:t>Predmet urejanja predloga</w:t>
      </w:r>
    </w:p>
    <w:p w:rsidR="00107CA8" w:rsidRDefault="00551B21">
      <w:pPr>
        <w:rPr>
          <w:rFonts w:eastAsia="Arial Unicode MS"/>
          <w:noProof/>
        </w:rPr>
      </w:pPr>
      <w:r>
        <w:rPr>
          <w:noProof/>
        </w:rPr>
        <w:t>Ta predlog se nanaša na sklep o stališču, ki naj se v imenu Unije zastopa v svetu članic Mednarodnega sveta za oljke (v nadaljnjem besedilu: IOC) v zvezi s predvidenim sprejetjem več sklepov glede trgovinskih standardov za oljčna olja in olja iz oljčnih tropin.</w:t>
      </w:r>
    </w:p>
    <w:p w:rsidR="00107CA8" w:rsidRDefault="00551B21">
      <w:pPr>
        <w:pStyle w:val="ManualHeading1"/>
        <w:rPr>
          <w:noProof/>
        </w:rPr>
      </w:pPr>
      <w:r>
        <w:t>2.</w:t>
      </w:r>
      <w:r>
        <w:tab/>
      </w:r>
      <w:r>
        <w:rPr>
          <w:noProof/>
        </w:rPr>
        <w:t>Ozadje predloga</w:t>
      </w:r>
    </w:p>
    <w:p w:rsidR="00107CA8" w:rsidRDefault="00551B21">
      <w:pPr>
        <w:pStyle w:val="ManualHeading2"/>
        <w:rPr>
          <w:noProof/>
        </w:rPr>
      </w:pPr>
      <w:r>
        <w:t>2.1.</w:t>
      </w:r>
      <w:r>
        <w:tab/>
      </w:r>
      <w:r>
        <w:rPr>
          <w:noProof/>
        </w:rPr>
        <w:t>Mednarodni sporazum o oljčnem olju in namiznih oljkah</w:t>
      </w:r>
    </w:p>
    <w:p w:rsidR="00107CA8" w:rsidRDefault="00551B21">
      <w:pPr>
        <w:rPr>
          <w:rFonts w:eastAsia="Arial Unicode MS"/>
          <w:noProof/>
        </w:rPr>
      </w:pPr>
      <w:r>
        <w:rPr>
          <w:noProof/>
        </w:rPr>
        <w:t xml:space="preserve">Namen Mednarodnega sporazuma o oljčnem olju in namiznih oljkah (v nadaljnjem besedilu: Sporazum) je (i) prizadevanje za enotnost pri nacionalni in mednarodni zakonodaji o fizikalno-kemijskih in organoleptičnih lastnostih oljčnih olj, olj iz oljčnih tropin in namiznih oljk, da bi preprečili morebitne trgovinske ovire, (ii) izvajanje dejavnosti na področju fizikalno-kemijske in organoleptične analize, ki prispevajo k znanju o sestavi in kakovostnih lastnostih oljčnih proizvodov za združitev mednarodnih standardov in (iii) povečanje vloge Mednarodnega sveta za oljke kot odličnega foruma za mednarodno znanstveno skupnost na področju oljk in oljčnega olja. </w:t>
      </w:r>
    </w:p>
    <w:p w:rsidR="00107CA8" w:rsidRDefault="00551B21">
      <w:pPr>
        <w:rPr>
          <w:rFonts w:eastAsia="Arial Unicode MS"/>
          <w:noProof/>
        </w:rPr>
      </w:pPr>
      <w:r>
        <w:rPr>
          <w:noProof/>
        </w:rPr>
        <w:t xml:space="preserve">Prenovljena različica Sporazuma je začela veljati 1. januarja 2017. </w:t>
      </w:r>
    </w:p>
    <w:p w:rsidR="00107CA8" w:rsidRDefault="00551B21">
      <w:pPr>
        <w:rPr>
          <w:rFonts w:eastAsia="Arial Unicode MS"/>
          <w:noProof/>
        </w:rPr>
      </w:pPr>
      <w:r>
        <w:rPr>
          <w:noProof/>
        </w:rPr>
        <w:t>Evropska unija je pogodbenica Sporazuma</w:t>
      </w:r>
      <w:r>
        <w:rPr>
          <w:rStyle w:val="FootnoteReference"/>
          <w:noProof/>
        </w:rPr>
        <w:footnoteReference w:id="1"/>
      </w:r>
      <w:r>
        <w:rPr>
          <w:noProof/>
        </w:rPr>
        <w:t>.</w:t>
      </w:r>
    </w:p>
    <w:p w:rsidR="00107CA8" w:rsidRDefault="00551B21">
      <w:pPr>
        <w:pStyle w:val="ManualHeading2"/>
        <w:rPr>
          <w:noProof/>
        </w:rPr>
      </w:pPr>
      <w:r>
        <w:t>2.2.</w:t>
      </w:r>
      <w:r>
        <w:tab/>
      </w:r>
      <w:r>
        <w:rPr>
          <w:noProof/>
        </w:rPr>
        <w:t>Svet članic</w:t>
      </w:r>
    </w:p>
    <w:p w:rsidR="00107CA8" w:rsidRDefault="00551B21">
      <w:pPr>
        <w:rPr>
          <w:rFonts w:eastAsia="Arial Unicode MS"/>
          <w:noProof/>
        </w:rPr>
      </w:pPr>
      <w:r>
        <w:rPr>
          <w:noProof/>
        </w:rPr>
        <w:t xml:space="preserve">Svet članic je vrhovni organ in glavni organ odločanja IOC, ima vse pristojnosti za izvajanje in izvaja vse naloge, ki so potrebne za doseganje ciljev tega sporazuma. Evropska unija je kot pogodbenica Sporazuma članica IOC in je zastopana v svetu članic. Svet članic odloča s soglasjem članic. Če soglasja ni mogoče doseči, se sklepi v zvezi s trgovinskimi standardi sprejmejo, razen če jih je zavrnila vsaj četrtina članic oziroma ena ali več članic, ki imajo skupaj vsaj 100 deležev. </w:t>
      </w:r>
    </w:p>
    <w:p w:rsidR="00107CA8" w:rsidRDefault="00551B21">
      <w:pPr>
        <w:rPr>
          <w:rFonts w:eastAsia="Arial Unicode MS"/>
          <w:noProof/>
        </w:rPr>
      </w:pPr>
      <w:r>
        <w:rPr>
          <w:noProof/>
        </w:rPr>
        <w:t>IOC ima trenutno 16 članic, Evropska unija pa ima 703 od skupno 1005 deležev.</w:t>
      </w:r>
    </w:p>
    <w:p w:rsidR="00107CA8" w:rsidRDefault="00551B21">
      <w:pPr>
        <w:pStyle w:val="ManualHeading2"/>
        <w:rPr>
          <w:noProof/>
        </w:rPr>
      </w:pPr>
      <w:r>
        <w:t>2.3.</w:t>
      </w:r>
      <w:r>
        <w:tab/>
      </w:r>
      <w:r>
        <w:rPr>
          <w:noProof/>
        </w:rPr>
        <w:t>Predvideni sklepi sveta članic</w:t>
      </w:r>
    </w:p>
    <w:p w:rsidR="00107CA8" w:rsidRDefault="00551B21">
      <w:pPr>
        <w:rPr>
          <w:noProof/>
        </w:rPr>
      </w:pPr>
      <w:r>
        <w:rPr>
          <w:noProof/>
        </w:rPr>
        <w:t>Izvršni sekretariat IOC je 18. marca 2019 članicam IOC poslal besedilo sklepa, ki bo predložen v sprejetje na dnevnem redu naslednje seje sveta članic na 109. zasedanju junija 2019. Zaradi navedenih sklepov bodo potrebne spremembe Uredbe Komisije (EGS) št. 2568/91</w:t>
      </w:r>
      <w:r>
        <w:rPr>
          <w:rStyle w:val="FootnoteReference"/>
          <w:noProof/>
        </w:rPr>
        <w:footnoteReference w:id="2"/>
      </w:r>
      <w:r>
        <w:rPr>
          <w:noProof/>
        </w:rPr>
        <w:t>.</w:t>
      </w:r>
    </w:p>
    <w:p w:rsidR="00107CA8" w:rsidRDefault="00551B21">
      <w:pPr>
        <w:rPr>
          <w:rFonts w:eastAsia="Arial Unicode MS"/>
          <w:noProof/>
        </w:rPr>
      </w:pPr>
      <w:r>
        <w:rPr>
          <w:noProof/>
        </w:rPr>
        <w:t>Namen predvidenih aktov je spremeniti trgovinske standarde, ki se uporabljajo za oljčna olja in olja iz oljčnih tropin. Delovni dokument služb Komisije, priložen temu predlogu, vsebuje besedilo sklepa in pripadajoče trgovinske standarde, ki jih je poslal izvršni sekretariat.</w:t>
      </w:r>
    </w:p>
    <w:p w:rsidR="00107CA8" w:rsidRDefault="00551B21">
      <w:pPr>
        <w:rPr>
          <w:rFonts w:eastAsia="Arial Unicode MS"/>
          <w:noProof/>
        </w:rPr>
      </w:pPr>
      <w:r>
        <w:rPr>
          <w:noProof/>
        </w:rPr>
        <w:t xml:space="preserve">Po členu 20(3) Sporazuma se standardi za merila kakovosti in čistosti, ki jih je sprejel svet članic, uporabljajo v mednarodni trgovini članic. Poleg tega morajo po členu 75(5)(e) Uredbe </w:t>
      </w:r>
      <w:r>
        <w:rPr>
          <w:noProof/>
        </w:rPr>
        <w:lastRenderedPageBreak/>
        <w:t>(EU) št. 1308/2013 Evropskega parlamenta in Sveta</w:t>
      </w:r>
      <w:r>
        <w:rPr>
          <w:rStyle w:val="FootnoteReference"/>
          <w:noProof/>
        </w:rPr>
        <w:footnoteReference w:id="3"/>
      </w:r>
      <w:r>
        <w:rPr>
          <w:noProof/>
        </w:rPr>
        <w:t xml:space="preserve"> tržni standardi upoštevati standardna priporočila, ki jih sprejmejo mednarodni organi. Zato bodo sklepi iz Priloge vplivali na zakonodajo EU, saj pomenijo spremembe Uredbe Komisije (EGS) št. 2568/91.</w:t>
      </w:r>
    </w:p>
    <w:p w:rsidR="00107CA8" w:rsidRDefault="00551B21">
      <w:pPr>
        <w:rPr>
          <w:rFonts w:eastAsia="Arial Unicode MS"/>
          <w:noProof/>
        </w:rPr>
      </w:pPr>
      <w:r>
        <w:rPr>
          <w:noProof/>
        </w:rPr>
        <w:t>Če se sprejetje sklepov na 109. zasedanju IOC odloži, ker jih nekateri člani ne bi mogli odobriti, se v tem sklepu navedeno stališče zastopa v imenu Unije tudi v morebitnem postopku za sprejemanje sklepov sveta članic z izmenjavo pisem v skladu s členom 10(6) Sporazuma pred naslednjim rednim zasedanjem novembra 2019.</w:t>
      </w:r>
    </w:p>
    <w:p w:rsidR="00107CA8" w:rsidRDefault="00551B21">
      <w:pPr>
        <w:pStyle w:val="ManualHeading1"/>
        <w:rPr>
          <w:rFonts w:eastAsia="Arial Unicode MS"/>
          <w:noProof/>
        </w:rPr>
      </w:pPr>
      <w:r>
        <w:t>3.</w:t>
      </w:r>
      <w:r>
        <w:tab/>
      </w:r>
      <w:r>
        <w:rPr>
          <w:noProof/>
        </w:rPr>
        <w:t>Stališče, ki se zastopa v imenu Unije</w:t>
      </w:r>
    </w:p>
    <w:p w:rsidR="00107CA8" w:rsidRDefault="00551B21">
      <w:pPr>
        <w:rPr>
          <w:noProof/>
        </w:rPr>
      </w:pPr>
      <w:r>
        <w:rPr>
          <w:noProof/>
        </w:rPr>
        <w:t>Sklepi, ki jih bo sprejel svet članic, bodo spremenile trgovinske standarde, ki se uporabljajo za oljčna olja in olja iz oljčnih tropin, o:</w:t>
      </w:r>
    </w:p>
    <w:p w:rsidR="00107CA8" w:rsidRDefault="00551B21">
      <w:pPr>
        <w:pStyle w:val="Tiret0"/>
        <w:numPr>
          <w:ilvl w:val="0"/>
          <w:numId w:val="2"/>
        </w:numPr>
        <w:rPr>
          <w:noProof/>
        </w:rPr>
      </w:pPr>
      <w:r>
        <w:rPr>
          <w:noProof/>
        </w:rPr>
        <w:t>spremembi metode COI/T.20/Doc. št. 19/Rev. 5 (Spektrofotometrično merjenje na UV-območju) s črtanjem absolutne vrednosti in spremembo vrednosti natančnosti;</w:t>
      </w:r>
    </w:p>
    <w:p w:rsidR="00107CA8" w:rsidRDefault="00551B21">
      <w:pPr>
        <w:pStyle w:val="Tiret0"/>
        <w:numPr>
          <w:ilvl w:val="0"/>
          <w:numId w:val="2"/>
        </w:numPr>
        <w:rPr>
          <w:noProof/>
        </w:rPr>
      </w:pPr>
      <w:r>
        <w:rPr>
          <w:noProof/>
        </w:rPr>
        <w:t>spremembi metode COI/T.20/Doc. št. -2/Rev. 3 (Vrednosti natančnosti analiznih metod, ki jih je sprejel Mednarodni svet za oljke) s spremembo vrednosti natančnosti za metodi COI/T.20/Doc. št. 19 in COI/T.20/Doc. št. 26;</w:t>
      </w:r>
    </w:p>
    <w:p w:rsidR="00107CA8" w:rsidRDefault="00551B21">
      <w:pPr>
        <w:pStyle w:val="Tiret0"/>
        <w:numPr>
          <w:ilvl w:val="0"/>
          <w:numId w:val="2"/>
        </w:numPr>
        <w:rPr>
          <w:noProof/>
        </w:rPr>
      </w:pPr>
      <w:r>
        <w:rPr>
          <w:noProof/>
        </w:rPr>
        <w:t>spremembi metode COI/T.20/Doc. št. 26/Rev.4 (Določanje sestave in vsebnosti sterolov ter alkoholnih spojin s kapilarno plinsko kromatografijo) s spremembo naslova, razpona natančnosti in vrednosti ter kromatogramov.</w:t>
      </w:r>
    </w:p>
    <w:p w:rsidR="00107CA8" w:rsidRDefault="00551B21">
      <w:pPr>
        <w:rPr>
          <w:noProof/>
        </w:rPr>
      </w:pPr>
      <w:r>
        <w:rPr>
          <w:noProof/>
        </w:rPr>
        <w:t>O navedenih sklepih so obsežno razpravljali znanstveniki in tehnični strokovnjaki za oljčno olje Komisije in držav članic. Sklepi prispevajo k mednarodni harmonizaciji standardov za oljčno olje in z njimi bo določen okvir, ki bo omogočil pošteno konkurenco pri trgovanju s proizvodi iz sektorja oljčnega olja. Zato bi jih bilo treba podpreti.</w:t>
      </w:r>
    </w:p>
    <w:p w:rsidR="00107CA8" w:rsidRDefault="00551B21">
      <w:pPr>
        <w:rPr>
          <w:noProof/>
        </w:rPr>
      </w:pPr>
      <w:r>
        <w:rPr>
          <w:noProof/>
        </w:rPr>
        <w:t xml:space="preserve">Navedeni sklepi ustrezajo politiki Unije o standardih za trženje kmetijskih proizvodov iz naslova II dela II Uredbe (EU) št. 1308/2013 Evropskega parlamenta in Sveta.  </w:t>
      </w:r>
    </w:p>
    <w:p w:rsidR="00107CA8" w:rsidRDefault="00551B21">
      <w:pPr>
        <w:rPr>
          <w:noProof/>
        </w:rPr>
      </w:pPr>
      <w:r>
        <w:rPr>
          <w:noProof/>
        </w:rPr>
        <w:t>Kot v preteklosti se lahko pričakuje, da se bo dnevni red seje sveta članic IOC še spreminjal in bodo nanj dodatno uvrščeni drugi sklepi, ki vplivajo na pravni red EU. Da se zagotovi učinkovitost dela sveta članic IOC ob upoštevanju pravil Pogodb, bo Komisija pravočasno dopolnila in/ali spremenila ta predlog, da Svetu omogoči sprejetje stališča tudi za navedene sklepe.</w:t>
      </w:r>
    </w:p>
    <w:p w:rsidR="00107CA8" w:rsidRDefault="00551B21">
      <w:pPr>
        <w:rPr>
          <w:noProof/>
        </w:rPr>
      </w:pPr>
      <w:r>
        <w:rPr>
          <w:noProof/>
        </w:rPr>
        <w:t xml:space="preserve">Ob upoštevanju postopka odločanja v svetu članic IOC je stališče Unije potrebno za sprejetje sklepov iz Priloge. </w:t>
      </w:r>
    </w:p>
    <w:p w:rsidR="00107CA8" w:rsidRDefault="00551B21">
      <w:pPr>
        <w:pStyle w:val="ManualHeading1"/>
        <w:rPr>
          <w:noProof/>
        </w:rPr>
      </w:pPr>
      <w:r>
        <w:t>4.</w:t>
      </w:r>
      <w:r>
        <w:tab/>
      </w:r>
      <w:r>
        <w:rPr>
          <w:noProof/>
        </w:rPr>
        <w:t>Pravna podlaga</w:t>
      </w:r>
    </w:p>
    <w:p w:rsidR="00107CA8" w:rsidRDefault="00551B21">
      <w:pPr>
        <w:pStyle w:val="ManualHeading2"/>
        <w:rPr>
          <w:noProof/>
        </w:rPr>
      </w:pPr>
      <w:r>
        <w:t>4.1.</w:t>
      </w:r>
      <w:r>
        <w:tab/>
      </w:r>
      <w:r>
        <w:rPr>
          <w:noProof/>
        </w:rPr>
        <w:t>Postopkovna pravna podlaga</w:t>
      </w:r>
    </w:p>
    <w:p w:rsidR="00107CA8" w:rsidRDefault="00551B21">
      <w:pPr>
        <w:pStyle w:val="ManualHeading3"/>
        <w:rPr>
          <w:noProof/>
        </w:rPr>
      </w:pPr>
      <w:r>
        <w:t>4.1.1.</w:t>
      </w:r>
      <w:r>
        <w:tab/>
      </w:r>
      <w:r>
        <w:rPr>
          <w:noProof/>
        </w:rPr>
        <w:t>Načela</w:t>
      </w:r>
    </w:p>
    <w:p w:rsidR="00107CA8" w:rsidRDefault="00551B21">
      <w:pPr>
        <w:rPr>
          <w:noProof/>
        </w:rPr>
      </w:pPr>
      <w:r>
        <w:rPr>
          <w:noProof/>
        </w:rPr>
        <w:t>V členu 218(9) Pogodbe o delovanju Evropske unije (PDEU) so predvideni sklepi o določitvi „stališč, ki naj se v imenu Unije zastopajo v organu, ustanovljenem s sporazumom, kadar ta organ sprejema akte s pravnim učinkom, razen aktov o spremembah ali dopolnitvah institucionalnega okvira sporazuma.“</w:t>
      </w:r>
    </w:p>
    <w:p w:rsidR="00107CA8" w:rsidRDefault="00551B21">
      <w:pPr>
        <w:rPr>
          <w:noProof/>
        </w:rPr>
      </w:pPr>
      <w:r>
        <w:rPr>
          <w:noProof/>
        </w:rPr>
        <w:lastRenderedPageBreak/>
        <w:t>Pojem „akti s pravnim učinkom“ vključuje tudi akte, ki imajo pravni učinek zato, ker predstavljajo pravila mednarodnega prava, ki velja za zadevni organ. Vključuje tudi instrumente, ki nimajo zavezujočega učinka v mednarodnem pravu, a „</w:t>
      </w:r>
      <w:r>
        <w:rPr>
          <w:i/>
          <w:noProof/>
        </w:rPr>
        <w:t>lahko odločilno vplivajo na vsebino ureditve, ki jo sprejme zakonodajalec Unije</w:t>
      </w:r>
      <w:r>
        <w:rPr>
          <w:noProof/>
        </w:rPr>
        <w:t>“</w:t>
      </w:r>
      <w:r>
        <w:rPr>
          <w:rStyle w:val="FootnoteReference"/>
          <w:noProof/>
        </w:rPr>
        <w:footnoteReference w:id="4"/>
      </w:r>
      <w:r>
        <w:rPr>
          <w:noProof/>
        </w:rPr>
        <w:t>.</w:t>
      </w:r>
    </w:p>
    <w:p w:rsidR="00107CA8" w:rsidRDefault="00551B21">
      <w:pPr>
        <w:pStyle w:val="ManualHeading3"/>
        <w:rPr>
          <w:noProof/>
        </w:rPr>
      </w:pPr>
      <w:r>
        <w:t>4.1.2.</w:t>
      </w:r>
      <w:r>
        <w:tab/>
      </w:r>
      <w:r>
        <w:rPr>
          <w:noProof/>
        </w:rPr>
        <w:t>Uporaba v obravnavanem primeru</w:t>
      </w:r>
    </w:p>
    <w:p w:rsidR="00107CA8" w:rsidRDefault="00551B21">
      <w:pPr>
        <w:rPr>
          <w:noProof/>
        </w:rPr>
      </w:pPr>
      <w:r>
        <w:rPr>
          <w:noProof/>
        </w:rPr>
        <w:t>Svet članic je organ, ustanovljen s sporazumom, in sicer z Mednarodnim sporazumom o oljčnem olju in namiznih oljkah.</w:t>
      </w:r>
    </w:p>
    <w:p w:rsidR="00107CA8" w:rsidRDefault="00551B21">
      <w:pPr>
        <w:rPr>
          <w:noProof/>
        </w:rPr>
      </w:pPr>
      <w:r>
        <w:rPr>
          <w:noProof/>
        </w:rPr>
        <w:t xml:space="preserve">Akti, k sprejetju katerih se svet članic poziva, so akti s pravnim učinkom. Predvideni akti bodo zavezujoči v mednarodnem pravu v skladu s členom 20(3) Sporazuma in lahko odločilno vplivajo na vsebino zakonodaje EU, in sicer na delegirane in izvedbene akte na podlagi Uredbe (EU) št. 1308/2013 glede tržnih standardov za oljčno olje. Vzrok za to je člen 75(5)(e) Uredbe (EU) št. 1308/2013, po katerem morajo tržni standardi upoštevati standardna priporočila, ki jih sprejmejo mednarodni organi. </w:t>
      </w:r>
    </w:p>
    <w:p w:rsidR="00107CA8" w:rsidRDefault="00551B21">
      <w:pPr>
        <w:rPr>
          <w:noProof/>
        </w:rPr>
      </w:pPr>
      <w:r>
        <w:rPr>
          <w:noProof/>
        </w:rPr>
        <w:t>Predvideni akti ne dopolnjujejo ali spreminjajo institucionalnega okvira Sporazuma.</w:t>
      </w:r>
    </w:p>
    <w:p w:rsidR="00107CA8" w:rsidRDefault="00551B21">
      <w:pPr>
        <w:rPr>
          <w:noProof/>
        </w:rPr>
      </w:pPr>
      <w:r>
        <w:rPr>
          <w:noProof/>
        </w:rPr>
        <w:t>Postopkovna pravna podlaga za predlagani sklep je zato člen 218(9) PDEU.</w:t>
      </w:r>
    </w:p>
    <w:p w:rsidR="00107CA8" w:rsidRDefault="00551B21">
      <w:pPr>
        <w:pStyle w:val="ManualHeading2"/>
        <w:rPr>
          <w:noProof/>
        </w:rPr>
      </w:pPr>
      <w:r>
        <w:t>4.2.</w:t>
      </w:r>
      <w:r>
        <w:tab/>
      </w:r>
      <w:r>
        <w:rPr>
          <w:noProof/>
        </w:rPr>
        <w:t>Materialna pravna podlaga</w:t>
      </w:r>
    </w:p>
    <w:p w:rsidR="00107CA8" w:rsidRDefault="00551B21">
      <w:pPr>
        <w:pStyle w:val="ManualHeading3"/>
        <w:rPr>
          <w:noProof/>
        </w:rPr>
      </w:pPr>
      <w:r>
        <w:t>4.2.1.</w:t>
      </w:r>
      <w:r>
        <w:tab/>
      </w:r>
      <w:r>
        <w:rPr>
          <w:noProof/>
        </w:rPr>
        <w:t>Načela</w:t>
      </w:r>
    </w:p>
    <w:p w:rsidR="00107CA8" w:rsidRDefault="00551B21">
      <w:pPr>
        <w:rPr>
          <w:noProof/>
        </w:rPr>
      </w:pPr>
      <w:r>
        <w:rPr>
          <w:noProof/>
        </w:rPr>
        <w:t>Materialna pravna podlaga za sklep iz člena 218(9) PDEU je odvisna predvsem od cilja in vsebine predvidenega akta, glede katerega se v imenu Unije zastopa stališče. Če ima predvideni akt dva cilja ali elementa in če je eden od teh ciljev ali elementov glavni, drugi pa postranski, mora sklep iz člena 218(9) PDEU temeljiti na samo eni materialni pravni podlagi, in sicer na tisti, ki se zahteva za glavni ali prevladujoči cilj ali element.</w:t>
      </w:r>
    </w:p>
    <w:p w:rsidR="00107CA8" w:rsidRDefault="00551B21">
      <w:pPr>
        <w:pStyle w:val="ManualHeading3"/>
        <w:rPr>
          <w:noProof/>
        </w:rPr>
      </w:pPr>
      <w:r>
        <w:t>4.2.2.</w:t>
      </w:r>
      <w:r>
        <w:tab/>
      </w:r>
      <w:r>
        <w:rPr>
          <w:noProof/>
        </w:rPr>
        <w:t>Uporaba v obravnavanem primeru</w:t>
      </w:r>
    </w:p>
    <w:p w:rsidR="00107CA8" w:rsidRDefault="00551B21">
      <w:pPr>
        <w:rPr>
          <w:noProof/>
        </w:rPr>
      </w:pPr>
      <w:r>
        <w:rPr>
          <w:noProof/>
        </w:rPr>
        <w:t>Glavni cilj in vsebina predvidenega akta se nanašata na skupno trgovinsko politiko.</w:t>
      </w:r>
    </w:p>
    <w:p w:rsidR="00107CA8" w:rsidRDefault="00551B21">
      <w:pPr>
        <w:rPr>
          <w:i/>
          <w:noProof/>
        </w:rPr>
      </w:pPr>
      <w:r>
        <w:rPr>
          <w:noProof/>
        </w:rPr>
        <w:t>Materialna pravna podlaga za predlagani sklep je torej člen 207(4) PDEU.</w:t>
      </w:r>
    </w:p>
    <w:p w:rsidR="00107CA8" w:rsidRDefault="00551B21">
      <w:pPr>
        <w:pStyle w:val="ManualHeading2"/>
        <w:rPr>
          <w:noProof/>
        </w:rPr>
      </w:pPr>
      <w:r>
        <w:t>4.3.</w:t>
      </w:r>
      <w:r>
        <w:tab/>
      </w:r>
      <w:r>
        <w:rPr>
          <w:noProof/>
        </w:rPr>
        <w:t>Zaključek</w:t>
      </w:r>
    </w:p>
    <w:p w:rsidR="00107CA8" w:rsidRDefault="00551B21">
      <w:pPr>
        <w:rPr>
          <w:noProof/>
        </w:rPr>
      </w:pPr>
      <w:r>
        <w:rPr>
          <w:noProof/>
        </w:rPr>
        <w:t>Pravna podlaga predlaganega sklepa bi moral biti člen 207(4) PDEU v povezavi s členom 218(9) PDEU.</w:t>
      </w:r>
    </w:p>
    <w:p w:rsidR="00107CA8" w:rsidRDefault="00107CA8">
      <w:pPr>
        <w:rPr>
          <w:noProof/>
        </w:rPr>
        <w:sectPr w:rsidR="00107CA8">
          <w:footerReference w:type="default" r:id="rId21"/>
          <w:footerReference w:type="first" r:id="rId22"/>
          <w:pgSz w:w="11907" w:h="16839"/>
          <w:pgMar w:top="1134" w:right="1417" w:bottom="1134" w:left="1417" w:header="709" w:footer="709" w:gutter="0"/>
          <w:cols w:space="708"/>
          <w:docGrid w:linePitch="360"/>
        </w:sectPr>
      </w:pPr>
    </w:p>
    <w:p w:rsidR="00107CA8" w:rsidRDefault="00551B21">
      <w:pPr>
        <w:pStyle w:val="Rfrenceinterinstitutionnelle"/>
        <w:rPr>
          <w:noProof/>
        </w:rPr>
      </w:pPr>
      <w:r>
        <w:rPr>
          <w:noProof/>
        </w:rPr>
        <w:lastRenderedPageBreak/>
        <w:t>2019/0122 (NLE)</w:t>
      </w:r>
    </w:p>
    <w:p w:rsidR="00107CA8" w:rsidRDefault="00551B21">
      <w:pPr>
        <w:pStyle w:val="Statut"/>
        <w:rPr>
          <w:noProof/>
        </w:rPr>
      </w:pPr>
      <w:r>
        <w:rPr>
          <w:noProof/>
        </w:rPr>
        <w:t>Predlog</w:t>
      </w:r>
    </w:p>
    <w:p w:rsidR="00107CA8" w:rsidRDefault="00551B21">
      <w:pPr>
        <w:pStyle w:val="Typedudocument"/>
        <w:rPr>
          <w:noProof/>
        </w:rPr>
      </w:pPr>
      <w:r>
        <w:rPr>
          <w:noProof/>
        </w:rPr>
        <w:t>SKLEP SVETA</w:t>
      </w:r>
    </w:p>
    <w:p w:rsidR="00107CA8" w:rsidRDefault="00551B21">
      <w:pPr>
        <w:pStyle w:val="Titreobjet"/>
        <w:rPr>
          <w:noProof/>
        </w:rPr>
      </w:pPr>
      <w:r>
        <w:rPr>
          <w:noProof/>
        </w:rPr>
        <w:t>o stališču o trgovinskih standardih, ki se v imenu Evropske unije zastopa v svetu članic Mednarodnega sveta za oljke (IOC)</w:t>
      </w:r>
    </w:p>
    <w:p w:rsidR="00107CA8" w:rsidRDefault="00551B21">
      <w:pPr>
        <w:pStyle w:val="Institutionquiagit"/>
        <w:rPr>
          <w:b/>
          <w:noProof/>
        </w:rPr>
      </w:pPr>
      <w:r>
        <w:rPr>
          <w:b/>
          <w:noProof/>
        </w:rPr>
        <w:t>SVET EVROPSKE UNIJE JE –</w:t>
      </w:r>
    </w:p>
    <w:p w:rsidR="00107CA8" w:rsidRDefault="00551B21">
      <w:pPr>
        <w:rPr>
          <w:noProof/>
        </w:rPr>
      </w:pPr>
      <w:r>
        <w:rPr>
          <w:noProof/>
        </w:rPr>
        <w:t>ob upoštevanju Pogodbe o delovanju Evropske unije in zlasti člena 207(4) v povezavi s členom 218(9) Pogodbe,</w:t>
      </w:r>
    </w:p>
    <w:p w:rsidR="00107CA8" w:rsidRDefault="00551B21">
      <w:pPr>
        <w:rPr>
          <w:noProof/>
        </w:rPr>
      </w:pPr>
      <w:r>
        <w:rPr>
          <w:noProof/>
        </w:rPr>
        <w:t>ob upoštevanju predloga Evropske komisije,</w:t>
      </w:r>
    </w:p>
    <w:p w:rsidR="00107CA8" w:rsidRDefault="00551B21">
      <w:pPr>
        <w:rPr>
          <w:noProof/>
        </w:rPr>
      </w:pPr>
      <w:r>
        <w:rPr>
          <w:noProof/>
        </w:rPr>
        <w:t>ob upoštevanju naslednjega:</w:t>
      </w:r>
    </w:p>
    <w:p w:rsidR="00107CA8" w:rsidRDefault="00551B21">
      <w:pPr>
        <w:pStyle w:val="ManualConsidrant"/>
        <w:rPr>
          <w:noProof/>
        </w:rPr>
      </w:pPr>
      <w:r>
        <w:t>(1)</w:t>
      </w:r>
      <w:r>
        <w:tab/>
      </w:r>
      <w:r>
        <w:rPr>
          <w:noProof/>
        </w:rPr>
        <w:t>Mednarodni sporazum o oljčnem olju in namiznih oljkah iz leta 2015 (v nadaljnjem besedilu: Sporazum) je bil v imenu Unije v skladu s Sklepom Sveta (EU) 2016/1892</w:t>
      </w:r>
      <w:r>
        <w:rPr>
          <w:rStyle w:val="FootnoteReference"/>
          <w:noProof/>
        </w:rPr>
        <w:footnoteReference w:id="5"/>
      </w:r>
      <w:r>
        <w:rPr>
          <w:noProof/>
        </w:rPr>
        <w:t xml:space="preserve"> podpisan 18. novembra 2016 na sedežu Združenih narodov v New Yorku s pridržkom njegove poznejše sklenitve. Sporazum je v skladu s svojim členom 31(2) začel začasno veljati 1. januarja 2017.</w:t>
      </w:r>
    </w:p>
    <w:p w:rsidR="00107CA8" w:rsidRDefault="00551B21">
      <w:pPr>
        <w:pStyle w:val="ManualConsidrant"/>
        <w:rPr>
          <w:noProof/>
        </w:rPr>
      </w:pPr>
      <w:r>
        <w:t>(2)</w:t>
      </w:r>
      <w:r>
        <w:tab/>
      </w:r>
      <w:r>
        <w:rPr>
          <w:noProof/>
        </w:rPr>
        <w:t>Svet članic lahko v skladu s členom 7(1) Sporazuma sprejme sklepe, ki spreminjajo trgovinske standarde za oljčna olja in olja iz oljčnih tropin.</w:t>
      </w:r>
    </w:p>
    <w:p w:rsidR="00107CA8" w:rsidRDefault="00551B21">
      <w:pPr>
        <w:pStyle w:val="ManualConsidrant"/>
        <w:rPr>
          <w:noProof/>
        </w:rPr>
      </w:pPr>
      <w:r>
        <w:t>(3)</w:t>
      </w:r>
      <w:r>
        <w:tab/>
      </w:r>
      <w:r>
        <w:rPr>
          <w:noProof/>
        </w:rPr>
        <w:t>Svet članic naj bi na 109. zasedanju IOC od 17. do 21. junija 2019 sprejel sklepe o spremembi trgovinskih standardov za oljčna olja in olja iz oljčnih tropin.</w:t>
      </w:r>
    </w:p>
    <w:p w:rsidR="00107CA8" w:rsidRDefault="00551B21">
      <w:pPr>
        <w:pStyle w:val="ManualConsidrant"/>
        <w:rPr>
          <w:noProof/>
        </w:rPr>
      </w:pPr>
      <w:r>
        <w:t>(4)</w:t>
      </w:r>
      <w:r>
        <w:tab/>
      </w:r>
      <w:r>
        <w:rPr>
          <w:noProof/>
        </w:rPr>
        <w:t>Primerno je določiti stališče, ki naj se v imenu Unije zastopa v svetu članic, saj bodo sklepi, ki bodo sprejeti, zavezujoči za Unijo v mednarodni trgovini z drugimi članicami IOC in bodo lahko odločilno vplivali na vsebino zakonodaje Unije, in sicer na tržne standarde za oljčno olje, ki jih je Komisija sprejela v skladu s členom 75 Uredbe (EU) št. 1308/2013 Evropskega parlamenta in Sveta z dne 17. decembra 2013 o vzpostavitvi skupne ureditve trgov kmetijskih proizvodov</w:t>
      </w:r>
      <w:r>
        <w:rPr>
          <w:rStyle w:val="FootnoteReference"/>
          <w:noProof/>
        </w:rPr>
        <w:footnoteReference w:id="6"/>
      </w:r>
      <w:r>
        <w:rPr>
          <w:noProof/>
        </w:rPr>
        <w:t xml:space="preserve">. </w:t>
      </w:r>
    </w:p>
    <w:p w:rsidR="00107CA8" w:rsidRDefault="00551B21">
      <w:pPr>
        <w:pStyle w:val="ManualConsidrant"/>
        <w:rPr>
          <w:noProof/>
        </w:rPr>
      </w:pPr>
      <w:r>
        <w:t>(5)</w:t>
      </w:r>
      <w:r>
        <w:tab/>
      </w:r>
      <w:r>
        <w:rPr>
          <w:noProof/>
        </w:rPr>
        <w:t>Sklepi, ki naj bi jih sprejel svet članic, zadevajo pregled naslova, razpona natančnosti in vrednosti, kromatogramov, vrednosti natančnosti ter sklicev na ostale dokumente. O njih so obsežno razpravljali znanstveniki in tehnični strokovnjaki za oljčno olje Komisije in držav članic. Sklepi prispevajo k mednarodni harmonizaciji standarda za oljčno olje in z njimi bo določen okvir, ki bo omogočil pošteno konkurenco pri trgovanju s proizvodi iz sektorja oljčnega olja. Zato bi jih bilo treba podpreti. Zaradi navedenih sklepov bodo potrebne spremembe Uredbe Komisije (EGS) št. 2568/91</w:t>
      </w:r>
      <w:r>
        <w:rPr>
          <w:rStyle w:val="FootnoteReference"/>
          <w:noProof/>
        </w:rPr>
        <w:footnoteReference w:id="7"/>
      </w:r>
      <w:r>
        <w:rPr>
          <w:noProof/>
        </w:rPr>
        <w:t>.</w:t>
      </w:r>
    </w:p>
    <w:p w:rsidR="00107CA8" w:rsidRDefault="00551B21">
      <w:pPr>
        <w:pStyle w:val="ManualConsidrant"/>
        <w:rPr>
          <w:noProof/>
        </w:rPr>
      </w:pPr>
      <w:r>
        <w:t>(6)</w:t>
      </w:r>
      <w:r>
        <w:tab/>
      </w:r>
      <w:r>
        <w:rPr>
          <w:noProof/>
        </w:rPr>
        <w:t xml:space="preserve">Če se sprejetje sklepov na 109. zasedanju IOC odloži, ker jih nekateri člani ne bi mogli odobriti, bi se moralo v tem sklepu navedeno stališče zastopati v imenu Unije </w:t>
      </w:r>
      <w:r>
        <w:rPr>
          <w:noProof/>
        </w:rPr>
        <w:lastRenderedPageBreak/>
        <w:t>tudi v morebitnem postopku za sprejemanje sklepov sveta članic z izmenjavo pisem v skladu s členom 10(6) Sporazuma. Postopek za sprejetje sklepov z izmenjavo pisem bi bilo treba začeti pred naslednjim rednim zasedanjem sveta članic novembra 2019.</w:t>
      </w:r>
    </w:p>
    <w:p w:rsidR="00107CA8" w:rsidRDefault="00551B21">
      <w:pPr>
        <w:pStyle w:val="ManualConsidrant"/>
        <w:rPr>
          <w:noProof/>
        </w:rPr>
      </w:pPr>
      <w:r>
        <w:t>(7)</w:t>
      </w:r>
      <w:r>
        <w:tab/>
      </w:r>
      <w:r>
        <w:rPr>
          <w:noProof/>
        </w:rPr>
        <w:t>Da bi ohranili interes Unije, bi morali imeti predstavniki Unije možnost zahtevati, da se odloži sprejetje sklepov o spremembi trgovinskih standardov na seji sveta članic IOC, če nove znanstvene ali tehnične informacije, predstavljene pred sejo sveta članic IOC ali med njo, postavljajo pod vprašaj ustreznost stališča, ki se sprejme v imenu Unije –</w:t>
      </w:r>
    </w:p>
    <w:p w:rsidR="00107CA8" w:rsidRDefault="00551B21">
      <w:pPr>
        <w:pStyle w:val="Formuledadoption"/>
        <w:rPr>
          <w:noProof/>
        </w:rPr>
      </w:pPr>
      <w:r>
        <w:rPr>
          <w:noProof/>
        </w:rPr>
        <w:t>SPREJEL NASLEDNJI SKLEP:</w:t>
      </w:r>
    </w:p>
    <w:p w:rsidR="00107CA8" w:rsidRDefault="00551B21">
      <w:pPr>
        <w:pStyle w:val="Titrearticle"/>
        <w:rPr>
          <w:noProof/>
        </w:rPr>
      </w:pPr>
      <w:r>
        <w:rPr>
          <w:noProof/>
        </w:rPr>
        <w:t>Člen 1</w:t>
      </w:r>
    </w:p>
    <w:p w:rsidR="00107CA8" w:rsidRDefault="00551B21">
      <w:pPr>
        <w:rPr>
          <w:noProof/>
        </w:rPr>
      </w:pPr>
      <w:r>
        <w:rPr>
          <w:noProof/>
        </w:rPr>
        <w:t>Stališče, ki se v imenu Unije zastopa na zasedanju sveta članic IOC od 17. do 21. junija 2019 ali v postopku za sprejetje sklepov sveta članic z izmenjavo pisem, ki se začne pred naslednjim rednim zasedanjem novembra 2019, je v Prilogi.</w:t>
      </w:r>
    </w:p>
    <w:p w:rsidR="00107CA8" w:rsidRDefault="00551B21">
      <w:pPr>
        <w:pStyle w:val="Titrearticle"/>
        <w:keepNext w:val="0"/>
        <w:rPr>
          <w:noProof/>
        </w:rPr>
      </w:pPr>
      <w:r>
        <w:rPr>
          <w:noProof/>
        </w:rPr>
        <w:t>Člen 2</w:t>
      </w:r>
    </w:p>
    <w:p w:rsidR="00107CA8" w:rsidRDefault="00551B21">
      <w:pPr>
        <w:rPr>
          <w:noProof/>
        </w:rPr>
      </w:pPr>
      <w:r>
        <w:rPr>
          <w:noProof/>
        </w:rPr>
        <w:t>Kadar obstaja verjetnost, da bodo na stališče iz člena 1 vplivale nove znanstvene ali tehnične informacije, predstavljene pred sejo sveta članic IOC ali med njo, Unija zaprosi, da se sprejetje sklepov, ki spreminjajo trgovinske standarde, na seji sveta članic IOC preloži do določitve stališča Unije na podlagi novih informacij.</w:t>
      </w:r>
    </w:p>
    <w:p w:rsidR="00107CA8" w:rsidRDefault="00551B21">
      <w:pPr>
        <w:pStyle w:val="Titrearticle"/>
        <w:rPr>
          <w:noProof/>
        </w:rPr>
      </w:pPr>
      <w:r>
        <w:rPr>
          <w:noProof/>
        </w:rPr>
        <w:t>Člen 3</w:t>
      </w:r>
    </w:p>
    <w:p w:rsidR="00107CA8" w:rsidRDefault="00551B21">
      <w:pPr>
        <w:rPr>
          <w:noProof/>
        </w:rPr>
      </w:pPr>
      <w:r>
        <w:rPr>
          <w:noProof/>
        </w:rPr>
        <w:t>Ta sklep je naslovljen na Komisijo.</w:t>
      </w:r>
    </w:p>
    <w:p w:rsidR="00107CA8" w:rsidRDefault="00551B21">
      <w:pPr>
        <w:pStyle w:val="Fait"/>
        <w:rPr>
          <w:noProof/>
        </w:rPr>
      </w:pPr>
      <w:r>
        <w:t>V Bruslju,</w:t>
      </w:r>
    </w:p>
    <w:p w:rsidR="00107CA8" w:rsidRDefault="00551B21">
      <w:pPr>
        <w:pStyle w:val="Institutionquisigne"/>
        <w:rPr>
          <w:noProof/>
        </w:rPr>
      </w:pPr>
      <w:r>
        <w:rPr>
          <w:noProof/>
        </w:rPr>
        <w:tab/>
        <w:t>Za Svet</w:t>
      </w:r>
    </w:p>
    <w:p w:rsidR="00107CA8" w:rsidRDefault="00551B21">
      <w:pPr>
        <w:pStyle w:val="Personnequisigne"/>
        <w:rPr>
          <w:noProof/>
        </w:rPr>
      </w:pPr>
      <w:r>
        <w:rPr>
          <w:noProof/>
        </w:rPr>
        <w:tab/>
        <w:t>Predsednik</w:t>
      </w:r>
    </w:p>
    <w:sectPr w:rsidR="00107CA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A8" w:rsidRDefault="00551B21">
      <w:pPr>
        <w:spacing w:before="0" w:after="0"/>
      </w:pPr>
      <w:r>
        <w:separator/>
      </w:r>
    </w:p>
  </w:endnote>
  <w:endnote w:type="continuationSeparator" w:id="0">
    <w:p w:rsidR="00107CA8" w:rsidRDefault="00551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Pr="00551B21" w:rsidRDefault="00107CA8" w:rsidP="00551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51B21" w:rsidRPr="00D94637" w:rsidTr="00551B21">
      <w:trPr>
        <w:jc w:val="center"/>
      </w:trPr>
      <w:tc>
        <w:tcPr>
          <w:tcW w:w="5000" w:type="pct"/>
          <w:gridSpan w:val="7"/>
          <w:shd w:val="clear" w:color="auto" w:fill="auto"/>
          <w:tcMar>
            <w:top w:w="57" w:type="dxa"/>
          </w:tcMar>
        </w:tcPr>
        <w:p w:rsidR="00551B21" w:rsidRPr="00D94637" w:rsidRDefault="00551B21" w:rsidP="00D94637">
          <w:pPr>
            <w:pStyle w:val="FooterText"/>
            <w:pBdr>
              <w:top w:val="single" w:sz="4" w:space="1" w:color="auto"/>
            </w:pBdr>
            <w:spacing w:before="200"/>
            <w:rPr>
              <w:sz w:val="2"/>
              <w:szCs w:val="2"/>
            </w:rPr>
          </w:pPr>
          <w:bookmarkStart w:id="2" w:name="FOOTER_STANDARD"/>
        </w:p>
      </w:tc>
    </w:tr>
    <w:tr w:rsidR="00551B21" w:rsidRPr="00B310DC" w:rsidTr="00551B21">
      <w:trPr>
        <w:jc w:val="center"/>
      </w:trPr>
      <w:tc>
        <w:tcPr>
          <w:tcW w:w="2500" w:type="pct"/>
          <w:gridSpan w:val="2"/>
          <w:shd w:val="clear" w:color="auto" w:fill="auto"/>
          <w:tcMar>
            <w:top w:w="0" w:type="dxa"/>
          </w:tcMar>
        </w:tcPr>
        <w:p w:rsidR="00551B21" w:rsidRPr="00AD7BF2" w:rsidRDefault="00551B21" w:rsidP="004F54B2">
          <w:pPr>
            <w:pStyle w:val="FooterText"/>
          </w:pPr>
          <w:r>
            <w:t>9744/19</w:t>
          </w:r>
          <w:r w:rsidRPr="002511D8">
            <w:t xml:space="preserve"> </w:t>
          </w:r>
        </w:p>
      </w:tc>
      <w:tc>
        <w:tcPr>
          <w:tcW w:w="625" w:type="pct"/>
          <w:shd w:val="clear" w:color="auto" w:fill="auto"/>
          <w:tcMar>
            <w:top w:w="0" w:type="dxa"/>
          </w:tcMar>
        </w:tcPr>
        <w:p w:rsidR="00551B21" w:rsidRPr="00AD7BF2" w:rsidRDefault="00551B21" w:rsidP="00D94637">
          <w:pPr>
            <w:pStyle w:val="FooterText"/>
            <w:jc w:val="center"/>
          </w:pPr>
        </w:p>
      </w:tc>
      <w:tc>
        <w:tcPr>
          <w:tcW w:w="1286" w:type="pct"/>
          <w:gridSpan w:val="3"/>
          <w:shd w:val="clear" w:color="auto" w:fill="auto"/>
          <w:tcMar>
            <w:top w:w="0" w:type="dxa"/>
          </w:tcMar>
        </w:tcPr>
        <w:p w:rsidR="00551B21" w:rsidRPr="002511D8" w:rsidRDefault="00551B21" w:rsidP="00D94637">
          <w:pPr>
            <w:pStyle w:val="FooterText"/>
            <w:jc w:val="center"/>
          </w:pPr>
          <w:r>
            <w:t>tu</w:t>
          </w:r>
        </w:p>
      </w:tc>
      <w:tc>
        <w:tcPr>
          <w:tcW w:w="589" w:type="pct"/>
          <w:shd w:val="clear" w:color="auto" w:fill="auto"/>
          <w:tcMar>
            <w:top w:w="0" w:type="dxa"/>
          </w:tcMar>
        </w:tcPr>
        <w:p w:rsidR="00551B21" w:rsidRPr="00B310DC" w:rsidRDefault="00551B21" w:rsidP="00551B21">
          <w:pPr>
            <w:pStyle w:val="FooterText"/>
            <w:jc w:val="right"/>
          </w:pPr>
          <w:r>
            <w:fldChar w:fldCharType="begin"/>
          </w:r>
          <w:r>
            <w:instrText xml:space="preserve"> PAGE  \* MERGEFORMAT </w:instrText>
          </w:r>
          <w:r>
            <w:fldChar w:fldCharType="separate"/>
          </w:r>
          <w:r w:rsidR="00E34ECC">
            <w:rPr>
              <w:noProof/>
            </w:rPr>
            <w:t>0</w:t>
          </w:r>
          <w:r>
            <w:fldChar w:fldCharType="end"/>
          </w:r>
        </w:p>
      </w:tc>
    </w:tr>
    <w:tr w:rsidR="00551B21" w:rsidRPr="00D94637" w:rsidTr="00551B21">
      <w:trPr>
        <w:jc w:val="center"/>
      </w:trPr>
      <w:tc>
        <w:tcPr>
          <w:tcW w:w="1774" w:type="pct"/>
          <w:shd w:val="clear" w:color="auto" w:fill="auto"/>
        </w:tcPr>
        <w:p w:rsidR="00551B21" w:rsidRPr="00AD7BF2" w:rsidRDefault="00551B21" w:rsidP="00D94637">
          <w:pPr>
            <w:pStyle w:val="FooterText"/>
            <w:spacing w:before="40"/>
          </w:pPr>
        </w:p>
      </w:tc>
      <w:tc>
        <w:tcPr>
          <w:tcW w:w="1455" w:type="pct"/>
          <w:gridSpan w:val="3"/>
          <w:shd w:val="clear" w:color="auto" w:fill="auto"/>
        </w:tcPr>
        <w:p w:rsidR="00551B21" w:rsidRPr="00AD7BF2" w:rsidRDefault="00551B21" w:rsidP="00D204D6">
          <w:pPr>
            <w:pStyle w:val="FooterText"/>
            <w:spacing w:before="40"/>
            <w:jc w:val="center"/>
          </w:pPr>
          <w:r>
            <w:t>LIFE.2.B</w:t>
          </w:r>
        </w:p>
      </w:tc>
      <w:tc>
        <w:tcPr>
          <w:tcW w:w="742" w:type="pct"/>
          <w:shd w:val="clear" w:color="auto" w:fill="auto"/>
        </w:tcPr>
        <w:p w:rsidR="00551B21" w:rsidRPr="00D94637" w:rsidRDefault="00551B21" w:rsidP="002F0099">
          <w:pPr>
            <w:pStyle w:val="FooterText"/>
            <w:jc w:val="center"/>
            <w:rPr>
              <w:b/>
              <w:position w:val="-4"/>
              <w:sz w:val="36"/>
            </w:rPr>
          </w:pPr>
        </w:p>
      </w:tc>
      <w:tc>
        <w:tcPr>
          <w:tcW w:w="1029" w:type="pct"/>
          <w:gridSpan w:val="2"/>
          <w:shd w:val="clear" w:color="auto" w:fill="auto"/>
        </w:tcPr>
        <w:p w:rsidR="00551B21" w:rsidRPr="000310C2" w:rsidRDefault="00551B21" w:rsidP="00D94637">
          <w:pPr>
            <w:pStyle w:val="FooterText"/>
            <w:jc w:val="right"/>
            <w:rPr>
              <w:spacing w:val="-20"/>
              <w:sz w:val="16"/>
            </w:rPr>
          </w:pPr>
          <w:r>
            <w:rPr>
              <w:b/>
              <w:spacing w:val="-20"/>
              <w:position w:val="-4"/>
              <w:sz w:val="36"/>
            </w:rPr>
            <w:t>SL</w:t>
          </w:r>
        </w:p>
      </w:tc>
    </w:tr>
    <w:bookmarkEnd w:id="2"/>
  </w:tbl>
  <w:p w:rsidR="00107CA8" w:rsidRPr="00551B21" w:rsidRDefault="00107CA8" w:rsidP="00551B2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551B21" w:rsidRPr="00D94637" w:rsidTr="00551B21">
      <w:trPr>
        <w:jc w:val="center"/>
      </w:trPr>
      <w:tc>
        <w:tcPr>
          <w:tcW w:w="5000" w:type="pct"/>
          <w:gridSpan w:val="7"/>
          <w:shd w:val="clear" w:color="auto" w:fill="auto"/>
          <w:tcMar>
            <w:top w:w="57" w:type="dxa"/>
          </w:tcMar>
        </w:tcPr>
        <w:p w:rsidR="00551B21" w:rsidRPr="00D94637" w:rsidRDefault="00551B21" w:rsidP="00D94637">
          <w:pPr>
            <w:pStyle w:val="FooterText"/>
            <w:pBdr>
              <w:top w:val="single" w:sz="4" w:space="1" w:color="auto"/>
            </w:pBdr>
            <w:spacing w:before="200"/>
            <w:rPr>
              <w:sz w:val="2"/>
              <w:szCs w:val="2"/>
            </w:rPr>
          </w:pPr>
        </w:p>
      </w:tc>
    </w:tr>
    <w:tr w:rsidR="00551B21" w:rsidRPr="00B310DC" w:rsidTr="00551B21">
      <w:trPr>
        <w:jc w:val="center"/>
      </w:trPr>
      <w:tc>
        <w:tcPr>
          <w:tcW w:w="2500" w:type="pct"/>
          <w:gridSpan w:val="2"/>
          <w:shd w:val="clear" w:color="auto" w:fill="auto"/>
          <w:tcMar>
            <w:top w:w="0" w:type="dxa"/>
          </w:tcMar>
        </w:tcPr>
        <w:p w:rsidR="00551B21" w:rsidRPr="00AD7BF2" w:rsidRDefault="00551B21" w:rsidP="004F54B2">
          <w:pPr>
            <w:pStyle w:val="FooterText"/>
          </w:pPr>
          <w:r>
            <w:t>9744/19</w:t>
          </w:r>
          <w:r w:rsidRPr="002511D8">
            <w:t xml:space="preserve"> </w:t>
          </w:r>
        </w:p>
      </w:tc>
      <w:tc>
        <w:tcPr>
          <w:tcW w:w="625" w:type="pct"/>
          <w:shd w:val="clear" w:color="auto" w:fill="auto"/>
          <w:tcMar>
            <w:top w:w="0" w:type="dxa"/>
          </w:tcMar>
        </w:tcPr>
        <w:p w:rsidR="00551B21" w:rsidRPr="00AD7BF2" w:rsidRDefault="00551B21" w:rsidP="00D94637">
          <w:pPr>
            <w:pStyle w:val="FooterText"/>
            <w:jc w:val="center"/>
          </w:pPr>
        </w:p>
      </w:tc>
      <w:tc>
        <w:tcPr>
          <w:tcW w:w="1286" w:type="pct"/>
          <w:gridSpan w:val="3"/>
          <w:shd w:val="clear" w:color="auto" w:fill="auto"/>
          <w:tcMar>
            <w:top w:w="0" w:type="dxa"/>
          </w:tcMar>
        </w:tcPr>
        <w:p w:rsidR="00551B21" w:rsidRPr="002511D8" w:rsidRDefault="00551B21" w:rsidP="00D94637">
          <w:pPr>
            <w:pStyle w:val="FooterText"/>
            <w:jc w:val="center"/>
          </w:pPr>
          <w:r>
            <w:t>tu</w:t>
          </w:r>
        </w:p>
      </w:tc>
      <w:tc>
        <w:tcPr>
          <w:tcW w:w="589" w:type="pct"/>
          <w:shd w:val="clear" w:color="auto" w:fill="auto"/>
          <w:tcMar>
            <w:top w:w="0" w:type="dxa"/>
          </w:tcMar>
        </w:tcPr>
        <w:p w:rsidR="00551B21" w:rsidRPr="00B310DC" w:rsidRDefault="00551B21" w:rsidP="00D94637">
          <w:pPr>
            <w:pStyle w:val="FooterText"/>
            <w:jc w:val="right"/>
          </w:pPr>
        </w:p>
      </w:tc>
    </w:tr>
    <w:tr w:rsidR="00551B21" w:rsidRPr="00D94637" w:rsidTr="00551B21">
      <w:trPr>
        <w:jc w:val="center"/>
      </w:trPr>
      <w:tc>
        <w:tcPr>
          <w:tcW w:w="1774" w:type="pct"/>
          <w:shd w:val="clear" w:color="auto" w:fill="auto"/>
        </w:tcPr>
        <w:p w:rsidR="00551B21" w:rsidRPr="00AD7BF2" w:rsidRDefault="00551B21" w:rsidP="00D94637">
          <w:pPr>
            <w:pStyle w:val="FooterText"/>
            <w:spacing w:before="40"/>
          </w:pPr>
        </w:p>
      </w:tc>
      <w:tc>
        <w:tcPr>
          <w:tcW w:w="1455" w:type="pct"/>
          <w:gridSpan w:val="3"/>
          <w:shd w:val="clear" w:color="auto" w:fill="auto"/>
        </w:tcPr>
        <w:p w:rsidR="00551B21" w:rsidRPr="00AD7BF2" w:rsidRDefault="00551B21" w:rsidP="00D204D6">
          <w:pPr>
            <w:pStyle w:val="FooterText"/>
            <w:spacing w:before="40"/>
            <w:jc w:val="center"/>
          </w:pPr>
          <w:r>
            <w:t>LIFE.2.B</w:t>
          </w:r>
        </w:p>
      </w:tc>
      <w:tc>
        <w:tcPr>
          <w:tcW w:w="742" w:type="pct"/>
          <w:shd w:val="clear" w:color="auto" w:fill="auto"/>
        </w:tcPr>
        <w:p w:rsidR="00551B21" w:rsidRPr="00D94637" w:rsidRDefault="00551B21" w:rsidP="002F0099">
          <w:pPr>
            <w:pStyle w:val="FooterText"/>
            <w:jc w:val="center"/>
            <w:rPr>
              <w:b/>
              <w:position w:val="-4"/>
              <w:sz w:val="36"/>
            </w:rPr>
          </w:pPr>
        </w:p>
      </w:tc>
      <w:tc>
        <w:tcPr>
          <w:tcW w:w="1029" w:type="pct"/>
          <w:gridSpan w:val="2"/>
          <w:shd w:val="clear" w:color="auto" w:fill="auto"/>
        </w:tcPr>
        <w:p w:rsidR="00551B21" w:rsidRPr="000310C2" w:rsidRDefault="00551B21" w:rsidP="00D94637">
          <w:pPr>
            <w:pStyle w:val="FooterText"/>
            <w:jc w:val="right"/>
            <w:rPr>
              <w:spacing w:val="-20"/>
              <w:sz w:val="16"/>
            </w:rPr>
          </w:pPr>
          <w:r>
            <w:rPr>
              <w:b/>
              <w:spacing w:val="-20"/>
              <w:position w:val="-4"/>
              <w:sz w:val="36"/>
            </w:rPr>
            <w:t>SL</w:t>
          </w:r>
        </w:p>
      </w:tc>
    </w:tr>
  </w:tbl>
  <w:p w:rsidR="00107CA8" w:rsidRPr="00551B21" w:rsidRDefault="00107CA8" w:rsidP="00551B2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Default="00551B21">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sidR="00827033">
      <w:rPr>
        <w:noProof/>
      </w:rPr>
      <w:t>1</w:t>
    </w:r>
    <w:r>
      <w:fldChar w:fldCharType="end"/>
    </w:r>
    <w:r>
      <w:tab/>
    </w:r>
    <w:r>
      <w:tab/>
    </w:r>
    <w:r>
      <w:rPr>
        <w:rFonts w:ascii="Arial" w:hAnsi="Arial" w:cs="Arial"/>
        <w:b/>
        <w:sz w:val="48"/>
      </w:rPr>
      <w:t>SL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Default="0010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A8" w:rsidRDefault="00551B21">
      <w:pPr>
        <w:spacing w:before="0" w:after="0"/>
      </w:pPr>
      <w:r>
        <w:separator/>
      </w:r>
    </w:p>
  </w:footnote>
  <w:footnote w:type="continuationSeparator" w:id="0">
    <w:p w:rsidR="00107CA8" w:rsidRDefault="00551B21">
      <w:pPr>
        <w:spacing w:before="0" w:after="0"/>
      </w:pPr>
      <w:r>
        <w:continuationSeparator/>
      </w:r>
    </w:p>
  </w:footnote>
  <w:footnote w:id="1">
    <w:p w:rsidR="00107CA8" w:rsidRDefault="00551B21">
      <w:pPr>
        <w:pStyle w:val="FootnoteText"/>
      </w:pPr>
      <w:r>
        <w:rPr>
          <w:rStyle w:val="FootnoteReference"/>
        </w:rPr>
        <w:footnoteRef/>
      </w:r>
      <w:r>
        <w:tab/>
        <w:t>Sklep Sveta (EU) 2016/1892 z dne 10. oktobra 2016 o podpisu Mednarodnega sporazuma o oljčnem olju in namiznih oljkah iz leta 2015 v imenu Evropske unije in o njegovi začasni uporabi (UL L 293, 28.10.2016, str. 2).</w:t>
      </w:r>
    </w:p>
  </w:footnote>
  <w:footnote w:id="2">
    <w:p w:rsidR="00107CA8" w:rsidRDefault="00551B21">
      <w:pPr>
        <w:pStyle w:val="FootnoteText"/>
        <w:rPr>
          <w:rStyle w:val="FootnoteReference"/>
          <w:vertAlign w:val="baseline"/>
        </w:rPr>
      </w:pPr>
      <w:r>
        <w:rPr>
          <w:rStyle w:val="FootnoteReference"/>
        </w:rPr>
        <w:footnoteRef/>
      </w:r>
      <w:r>
        <w:tab/>
      </w:r>
      <w:r>
        <w:rPr>
          <w:rStyle w:val="FootnoteReference"/>
          <w:vertAlign w:val="baseline"/>
        </w:rPr>
        <w:t>Uredba Komisije (EGS) št. 2568/91 z dne 11. julija 1991 o značilnostih oljčnega olja in olja iz oljčnih tropin ter o ustreznih analiznih metodah (UL L 248, 5.9.1991, str. 1).</w:t>
      </w:r>
    </w:p>
    <w:p w:rsidR="00107CA8" w:rsidRDefault="00107CA8">
      <w:pPr>
        <w:pStyle w:val="FootnoteText"/>
        <w:ind w:left="0" w:firstLine="0"/>
      </w:pPr>
    </w:p>
  </w:footnote>
  <w:footnote w:id="3">
    <w:p w:rsidR="00107CA8" w:rsidRDefault="00551B21">
      <w:pPr>
        <w:pStyle w:val="FootnoteText"/>
      </w:pPr>
      <w:r>
        <w:rPr>
          <w:rStyle w:val="FootnoteReference"/>
        </w:rPr>
        <w:footnoteRef/>
      </w:r>
      <w:r>
        <w:tab/>
        <w:t>Uredba (EU) št. 1308/2013 Evropskega parlamenta in Sveta z dne 17. decembra 2013 o vzpostavitvi skupne ureditve trgov kmetijskih proizvodov in razveljavitvi uredb Sveta (EGS) št. 922/72, (EGS) št. 234/79, (ES) št. 1037/2001 in (ES) št. 1234/2007 (UL L 347, 20.12.2013, str. 671).</w:t>
      </w:r>
    </w:p>
  </w:footnote>
  <w:footnote w:id="4">
    <w:p w:rsidR="00107CA8" w:rsidRDefault="00551B21">
      <w:pPr>
        <w:pStyle w:val="FootnoteText"/>
      </w:pPr>
      <w:r>
        <w:rPr>
          <w:rStyle w:val="FootnoteReference"/>
        </w:rPr>
        <w:footnoteRef/>
      </w:r>
      <w:r>
        <w:tab/>
        <w:t xml:space="preserve">Zadeva C-399/12 Nemčija proti Svetu (OIV), ECLI:EU:C:2014:2258, točke 61–64. </w:t>
      </w:r>
    </w:p>
  </w:footnote>
  <w:footnote w:id="5">
    <w:p w:rsidR="00107CA8" w:rsidRDefault="00551B21">
      <w:pPr>
        <w:pStyle w:val="FootnoteText"/>
      </w:pPr>
      <w:r>
        <w:rPr>
          <w:rStyle w:val="FootnoteReference"/>
        </w:rPr>
        <w:footnoteRef/>
      </w:r>
      <w:r>
        <w:tab/>
        <w:t>Sklep Sveta (EU) 2016/1892 z dne 10. oktobra 2016 o podpisu Mednarodnega sporazuma o oljčnem olju in namiznih oljkah iz leta 2015 v imenu Evropske unije in o njegovi začasni uporabi (UL L 293, 28.10.2016, str. 2).</w:t>
      </w:r>
    </w:p>
  </w:footnote>
  <w:footnote w:id="6">
    <w:p w:rsidR="00107CA8" w:rsidRDefault="00551B21">
      <w:pPr>
        <w:pStyle w:val="FootnoteText"/>
      </w:pPr>
      <w:r>
        <w:rPr>
          <w:rStyle w:val="FootnoteReference"/>
        </w:rPr>
        <w:footnoteRef/>
      </w:r>
      <w:r>
        <w:tab/>
        <w:t>UL L 347, 20.12.2013, str. 671.</w:t>
      </w:r>
    </w:p>
  </w:footnote>
  <w:footnote w:id="7">
    <w:p w:rsidR="00107CA8" w:rsidRDefault="00551B21">
      <w:pPr>
        <w:pStyle w:val="FootnoteText"/>
        <w:rPr>
          <w:rStyle w:val="FootnoteReference"/>
        </w:rPr>
      </w:pPr>
      <w:r>
        <w:rPr>
          <w:rStyle w:val="FootnoteReference"/>
        </w:rPr>
        <w:footnoteRef/>
      </w:r>
      <w:r>
        <w:tab/>
      </w:r>
      <w:r>
        <w:rPr>
          <w:rStyle w:val="FootnoteReference"/>
          <w:vertAlign w:val="baseline"/>
        </w:rPr>
        <w:t>Uredba Komisije (EGS) št. 2568/91 z dne 11. julija 1991 o značilnostih oljčnega olja in olja iz oljčnih tropin ter o ustreznih analiznih metodah (UL L 248, 5.9.1991, str. 1).</w:t>
      </w:r>
    </w:p>
    <w:p w:rsidR="00107CA8" w:rsidRDefault="00107CA8">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Pr="00551B21" w:rsidRDefault="00107CA8" w:rsidP="00551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Pr="00551B21" w:rsidRDefault="00551B21" w:rsidP="00551B2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A8" w:rsidRPr="00551B21" w:rsidRDefault="00551B21" w:rsidP="00551B2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B21" w:rsidRDefault="00551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DB8591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53ED79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64970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D5076D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9BEF55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76AFA8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6897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16476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8"/>
    <w:lvlOverride w:ilvl="0">
      <w:startOverride w:val="1"/>
    </w:lvlOverride>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3"/>
  </w:num>
  <w:num w:numId="8">
    <w:abstractNumId w:val="6"/>
  </w:num>
  <w:num w:numId="9">
    <w:abstractNumId w:val="2"/>
  </w:num>
  <w:num w:numId="10">
    <w:abstractNumId w:val="1"/>
  </w:num>
  <w:num w:numId="11">
    <w:abstractNumId w:val="0"/>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false"/>
    <w:docVar w:name="DocuWriteMetaData" w:val="&lt;metadataset docuwriteversion=&quot;4.2.11&quot; technicalblockguid=&quot;5147997533215570708&quot;&gt;_x000d__x000a_  &lt;metadata key=&quot;md_DocumentLanguages&quot;&gt;_x000d__x000a_    &lt;basicdatatypelist&gt;_x000d__x000a_      &lt;language key=&quot;SL&quot; text=&quot;SL&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EDLOG&quot; /&gt;_x000d__x000a_    &lt;/basicdatatype&gt;_x000d__x000a_  &lt;/metadata&gt;_x000d__x000a_  &lt;metadata key=&quot;md_HeadingText&quot;&gt;_x000d__x000a_    &lt;headingtext text=&quot;PREDLOG&quot;&gt;_x000d__x000a_      &lt;formattedtext&gt;_x000d__x000a_        &lt;xaml text=&quot;PREDLOG&quot;&gt;&amp;lt;FlowDocument xmlns=&quot;http://schemas.microsoft.com/winfx/2006/xaml/presentation&quot;&amp;gt;&amp;lt;Paragraph&amp;gt;PREDLOG&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gt;_x000d__x000a_    &lt;text&gt;2019-05-28&lt;/text&gt;_x000d__x000a_  &lt;/metadata&gt;_x000d__x000a_  &lt;metadata key=&quot;md_Prefix&quot;&gt;_x000d__x000a_    &lt;text&gt;&lt;/text&gt;_x000d__x000a_  &lt;/metadata&gt;_x000d__x000a_  &lt;metadata key=&quot;md_DocumentNumber&quot;&gt;_x000d__x000a_    &lt;text&gt;9744&lt;/text&gt;_x000d__x000a_  &lt;/metadata&gt;_x000d__x000a_  &lt;metadata key=&quot;md_YearDocumentNumber&quot;&gt;_x000d__x000a_    &lt;text&gt;2019&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ROBA 22&lt;/text&gt;_x000d__x000a_      &lt;text&gt;AGRI 273&lt;/text&gt;_x000d__x000a_      &lt;text&gt;WTO 154&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9/0122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za generalnega sekretarja Evropske komisije: direktor Jordi AYET PUIGARNAU&quot; /&gt;_x000d__x000a_    &lt;/basicdatatype&gt;_x000d__x000a_  &lt;/metadata&gt;_x000d__x000a_  &lt;metadata key=&quot;md_Recipient&quot;&gt;_x000d__x000a_    &lt;basicdatatype&gt;_x000d__x000a_      &lt;recipient key=&quot;re_02&quot; text=&quot;generalni sekretar Sveta Evropske unije Jeppe TRANHOLM-MIKKELSEN&quot; /&gt;_x000d__x000a_    &lt;/basicdatatype&gt;_x000d__x000a_  &lt;/metadata&gt;_x000d__x000a_  &lt;metadata key=&quot;md_DateOfReceipt&quot;&gt;_x000d__x000a_    &lt;text&gt;2019-05-28&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9) 247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edlog SKLEPA SVETA o stali&amp;#353;&amp;#269;u o trgovinskih standardih, ki se v imenu Evropske unije zastopa v svetu &amp;#269;lanic Mednarodnega sveta za oljke (IOC)&quot;&gt;&amp;lt;FlowDocument FontFamily=&quot;Arial Unicode MS&quot; FontSize=&quot;12&quot; LineHeight=&quot;6&quot; PageWidth=&quot;329&quot; PagePadding=&quot;0,0,0,0&quot; AllowDrop=&quot;False&quot; xmlns=&quot;http://schemas.microsoft.com/winfx/2006/xaml/presentation&quot;&amp;gt;&amp;lt;Paragraph&amp;gt;Predlog SKLEP&amp;lt;Run xml:lang=&quot;sl-si&quot;&amp;gt;A&amp;lt;/Run&amp;gt; SVETA o stali&amp;#353;&amp;#269;u o trgovinskih standardih, ki se v imenu Evropske unije zastopa v svetu &amp;#269;lanic Mednarodnega sveta za oljke (IOC)&amp;lt;/Paragraph&amp;gt;&amp;lt;/FlowDocument&amp;gt;&lt;/xaml&gt;_x000d__x000a_  &lt;/metadata&gt;_x000d__x000a_  &lt;metadata key=&quot;md_SubjectFootnote&quot; /&gt;_x000d__x000a_  &lt;metadata key=&quot;md_DG&quot;&gt;_x000d__x000a_    &lt;text&gt;LIFE.2.B&lt;/text&gt;_x000d__x000a_  &lt;/metadata&gt;_x000d__x000a_  &lt;metadata key=&quot;md_Initials&quot;&gt;_x000d__x000a_    &lt;text&gt;tu&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9&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SL&lt;/text&gt;_x000d__x000a_  &lt;/metadata&gt;_x000d__x000a_  &lt;metadata key=&quot;md_SourceDocType&quot;&gt;_x000d__x000a_    &lt;text&gt;Predlog _x000d__x000a_SKLEP SVETA&lt;/text&gt;_x000d__x000a_  &lt;/metadata&gt;_x000d__x000a_  &lt;metadata key=&quot;md_SourceDocTitle&quot;&gt;_x000d__x000a_    &lt;text&gt;o stali&amp;#353;&amp;#269;u o trgovinskih standardih, ki se v imenu Evropske unije zastopa v svetu &amp;#269;lanic Mednarodnega sveta za oljke (IOC)&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  &lt;metadata key=&quot;md_Caveat&quot;&gt;_x000d__x000a_    &lt;text&gt;&lt;/text&gt;_x000d__x000a_  &lt;/metadata&gt;_x000d__x000a_&lt;/metadataset&gt;"/>
    <w:docVar w:name="DQCDateTime" w:val="2019-05-28 09:08: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28A94F6-DD0C-4536-A805-2DCE94EA3B2B"/>
    <w:docVar w:name="LW_COVERPAGE_TYPE" w:val="1"/>
    <w:docVar w:name="LW_CROSSREFERENCE" w:val="{SWD(2019) 192 final}"/>
    <w:docVar w:name="LW_DocType" w:val="COM"/>
    <w:docVar w:name="LW_EMISSION" w:val="28.5.2019"/>
    <w:docVar w:name="LW_EMISSION_ISODATE" w:val="2019-05-28"/>
    <w:docVar w:name="LW_EMISSION_LOCATION" w:val="BRX"/>
    <w:docVar w:name="LW_EMISSION_PREFIX" w:val="Bruselj,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SL"/>
    <w:docVar w:name="LW_LEVEL_OF_SENSITIVITY" w:val="Sensitive treatment"/>
    <w:docVar w:name="LW_NOM.INST" w:val="EVROPSKA KOMISIJA"/>
    <w:docVar w:name="LW_NOM.INST_JOINTDOC" w:val="&lt;EMPTY&gt;"/>
    <w:docVar w:name="LW_PART_NBR" w:val="1"/>
    <w:docVar w:name="LW_PART_NBR_TOTAL" w:val="1"/>
    <w:docVar w:name="LW_REF.II.NEW.CP" w:val="NLE"/>
    <w:docVar w:name="LW_REF.II.NEW.CP_NUMBER" w:val="0122"/>
    <w:docVar w:name="LW_REF.II.NEW.CP_YEAR" w:val="2019"/>
    <w:docVar w:name="LW_REF.INST.NEW" w:val="COM"/>
    <w:docVar w:name="LW_REF.INST.NEW_ADOPTED" w:val="final"/>
    <w:docVar w:name="LW_REF.INST.NEW_TEXT" w:val="(2019) 247"/>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 optional=&quot;false&quot; maxTextLength=&quot;0&quot;&gt;_x000d__x000a_    &lt;text&gt;LIMITED&lt;/text&gt;_x000d__x000a_  &lt;/marking&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edlog"/>
    <w:docVar w:name="LW_SUPERTITRE" w:val="&lt;UNUSED&gt;"/>
    <w:docVar w:name="LW_TITRE.OBJ.CP" w:val="o stali\u353?\u269?u o trgovinskih standardih, ki se v imenu Evropske unije zastopa v svetu \u269?lanic Mednarodnega sveta za oljke (IOC)"/>
    <w:docVar w:name="LW_TYPE.DOC.CP" w:val="SKLEP SVETA"/>
  </w:docVars>
  <w:rsids>
    <w:rsidRoot w:val="00107CA8"/>
    <w:rsid w:val="00107CA8"/>
    <w:rsid w:val="00551B21"/>
    <w:rsid w:val="00827033"/>
    <w:rsid w:val="00E34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AE7508-3921-4D7B-A9E5-F7A8912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51B21"/>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551B21"/>
    <w:pPr>
      <w:spacing w:before="0" w:after="240"/>
      <w:jc w:val="center"/>
    </w:pPr>
  </w:style>
  <w:style w:type="character" w:customStyle="1" w:styleId="TechnicalBlockChar">
    <w:name w:val="Technical Block Char"/>
    <w:basedOn w:val="DefaultParagraphFont"/>
    <w:link w:val="TechnicalBlock"/>
    <w:rsid w:val="00551B21"/>
    <w:rPr>
      <w:rFonts w:ascii="Times New Roman" w:hAnsi="Times New Roman" w:cs="Times New Roman"/>
      <w:sz w:val="24"/>
      <w:lang w:val="sl-SI"/>
    </w:rPr>
  </w:style>
  <w:style w:type="paragraph" w:customStyle="1" w:styleId="Lignefinal">
    <w:name w:val="Ligne final"/>
    <w:basedOn w:val="Normal"/>
    <w:next w:val="Normal"/>
    <w:rsid w:val="00551B21"/>
    <w:pPr>
      <w:pBdr>
        <w:bottom w:val="single" w:sz="4" w:space="0" w:color="000000"/>
      </w:pBdr>
      <w:spacing w:before="360" w:line="360" w:lineRule="auto"/>
      <w:ind w:left="3400" w:right="3400"/>
      <w:jc w:val="center"/>
    </w:pPr>
    <w:rPr>
      <w:b/>
    </w:rPr>
  </w:style>
  <w:style w:type="paragraph" w:customStyle="1" w:styleId="EntText">
    <w:name w:val="EntText"/>
    <w:basedOn w:val="Normal"/>
    <w:rsid w:val="00551B21"/>
    <w:pPr>
      <w:spacing w:line="360" w:lineRule="auto"/>
      <w:jc w:val="left"/>
    </w:pPr>
  </w:style>
  <w:style w:type="paragraph" w:customStyle="1" w:styleId="pj">
    <w:name w:val="p.j."/>
    <w:basedOn w:val="TechnicalBlock"/>
    <w:link w:val="pjChar"/>
    <w:rsid w:val="00551B21"/>
    <w:pPr>
      <w:spacing w:before="1200" w:after="120"/>
      <w:ind w:left="1440" w:hanging="1440"/>
      <w:jc w:val="left"/>
    </w:pPr>
  </w:style>
  <w:style w:type="character" w:customStyle="1" w:styleId="pjChar">
    <w:name w:val="p.j. Char"/>
    <w:basedOn w:val="TechnicalBlockChar"/>
    <w:link w:val="pj"/>
    <w:rsid w:val="00551B21"/>
    <w:rPr>
      <w:rFonts w:ascii="Times New Roman" w:hAnsi="Times New Roman" w:cs="Times New Roman"/>
      <w:sz w:val="24"/>
      <w:lang w:val="sl-SI"/>
    </w:rPr>
  </w:style>
  <w:style w:type="paragraph" w:customStyle="1" w:styleId="nbbordered">
    <w:name w:val="nb bordered"/>
    <w:basedOn w:val="TechnicalBlock"/>
    <w:link w:val="nbborderedChar"/>
    <w:rsid w:val="00551B21"/>
    <w:pPr>
      <w:pBdr>
        <w:top w:val="single" w:sz="4" w:space="1" w:color="auto"/>
        <w:left w:val="single" w:sz="4" w:space="4" w:color="auto"/>
        <w:bottom w:val="single" w:sz="4" w:space="1" w:color="auto"/>
        <w:right w:val="single" w:sz="4" w:space="4" w:color="auto"/>
        <w:between w:val="single" w:sz="4" w:space="0" w:color="auto"/>
      </w:pBdr>
      <w:spacing w:before="120" w:after="160"/>
      <w:ind w:left="480" w:hanging="480"/>
      <w:jc w:val="both"/>
    </w:pPr>
    <w:rPr>
      <w:b/>
    </w:rPr>
  </w:style>
  <w:style w:type="character" w:customStyle="1" w:styleId="nbborderedChar">
    <w:name w:val="nb bordered Char"/>
    <w:basedOn w:val="TechnicalBlockChar"/>
    <w:link w:val="nbbordered"/>
    <w:rsid w:val="00551B21"/>
    <w:rPr>
      <w:rFonts w:ascii="Times New Roman" w:hAnsi="Times New Roman" w:cs="Times New Roman"/>
      <w:b/>
      <w:sz w:val="24"/>
      <w:lang w:val="sl-SI"/>
    </w:rPr>
  </w:style>
  <w:style w:type="paragraph" w:customStyle="1" w:styleId="HeaderCouncil">
    <w:name w:val="Header Council"/>
    <w:basedOn w:val="Normal"/>
    <w:link w:val="HeaderCouncilChar"/>
    <w:rsid w:val="00551B21"/>
    <w:pPr>
      <w:spacing w:before="0" w:after="0"/>
    </w:pPr>
    <w:rPr>
      <w:sz w:val="2"/>
    </w:rPr>
  </w:style>
  <w:style w:type="character" w:customStyle="1" w:styleId="HeaderCouncilChar">
    <w:name w:val="Header Council Char"/>
    <w:basedOn w:val="DefaultParagraphFont"/>
    <w:link w:val="HeaderCouncil"/>
    <w:rsid w:val="00551B21"/>
    <w:rPr>
      <w:rFonts w:ascii="Times New Roman" w:hAnsi="Times New Roman" w:cs="Times New Roman"/>
      <w:sz w:val="2"/>
      <w:lang w:val="sl-SI"/>
    </w:rPr>
  </w:style>
  <w:style w:type="paragraph" w:customStyle="1" w:styleId="HeaderCouncilLarge">
    <w:name w:val="Header Council Large"/>
    <w:basedOn w:val="Normal"/>
    <w:link w:val="HeaderCouncilLargeChar"/>
    <w:rsid w:val="00551B21"/>
    <w:pPr>
      <w:spacing w:before="0" w:after="440"/>
    </w:pPr>
    <w:rPr>
      <w:sz w:val="2"/>
    </w:rPr>
  </w:style>
  <w:style w:type="character" w:customStyle="1" w:styleId="HeaderCouncilLargeChar">
    <w:name w:val="Header Council Large Char"/>
    <w:basedOn w:val="DefaultParagraphFont"/>
    <w:link w:val="HeaderCouncilLarge"/>
    <w:rsid w:val="00551B21"/>
    <w:rPr>
      <w:rFonts w:ascii="Times New Roman" w:hAnsi="Times New Roman" w:cs="Times New Roman"/>
      <w:sz w:val="2"/>
      <w:lang w:val="sl-SI"/>
    </w:rPr>
  </w:style>
  <w:style w:type="paragraph" w:customStyle="1" w:styleId="FooterCouncil">
    <w:name w:val="Footer Council"/>
    <w:basedOn w:val="Normal"/>
    <w:link w:val="FooterCouncilChar"/>
    <w:rsid w:val="00551B21"/>
    <w:pPr>
      <w:spacing w:before="0" w:after="0"/>
    </w:pPr>
    <w:rPr>
      <w:sz w:val="2"/>
    </w:rPr>
  </w:style>
  <w:style w:type="character" w:customStyle="1" w:styleId="FooterCouncilChar">
    <w:name w:val="Footer Council Char"/>
    <w:basedOn w:val="DefaultParagraphFont"/>
    <w:link w:val="FooterCouncil"/>
    <w:rsid w:val="00551B21"/>
    <w:rPr>
      <w:rFonts w:ascii="Times New Roman" w:hAnsi="Times New Roman" w:cs="Times New Roman"/>
      <w:sz w:val="2"/>
      <w:lang w:val="sl-SI"/>
    </w:rPr>
  </w:style>
  <w:style w:type="paragraph" w:customStyle="1" w:styleId="FooterText">
    <w:name w:val="Footer Text"/>
    <w:basedOn w:val="Normal"/>
    <w:rsid w:val="00551B21"/>
    <w:pPr>
      <w:spacing w:before="0" w:after="0"/>
      <w:jc w:val="left"/>
    </w:pPr>
    <w:rPr>
      <w:rFonts w:eastAsia="Times New Roman"/>
      <w:szCs w:val="24"/>
      <w:lang w:val="en-GB"/>
    </w:rPr>
  </w:style>
  <w:style w:type="character" w:styleId="PlaceholderText">
    <w:name w:val="Placeholder Text"/>
    <w:basedOn w:val="DefaultParagraphFont"/>
    <w:uiPriority w:val="99"/>
    <w:semiHidden/>
    <w:rsid w:val="00551B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UNGAR Tomaz</dc:creator>
  <cp:lastModifiedBy>UNGAR Tomaz</cp:lastModifiedBy>
  <cp:revision>4</cp:revision>
  <dcterms:created xsi:type="dcterms:W3CDTF">2019-05-29T12:06:00Z</dcterms:created>
  <dcterms:modified xsi:type="dcterms:W3CDTF">2019-05-29T12:07:00Z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DocuWrite 4.2.11, Build 20190404</vt:lpwstr>
  </property>
  <property fmtid="{D5CDD505-2E9C-101B-9397-08002B2CF9AE}" pid="5" name="Created using">
    <vt:lpwstr>DocuWrite 4.2.11, Build 20190404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Sensitive treatment</vt:lpwstr>
  </property>
  <property fmtid="{D5CDD505-2E9C-101B-9397-08002B2CF9AE}" pid="9" name="LWTemplateID">
    <vt:lpwstr>SJ-043</vt:lpwstr>
  </property>
  <property fmtid="{D5CDD505-2E9C-101B-9397-08002B2CF9AE}" pid="10" name="DQCStatus">
    <vt:lpwstr>Green (DQC version 03)</vt:lpwstr>
  </property>
</Properties>
</file>