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14" w:rsidRPr="002760DC" w:rsidRDefault="004D3E14" w:rsidP="004D3E14">
      <w:pPr>
        <w:pStyle w:val="datumtevilka"/>
      </w:pPr>
      <w:bookmarkStart w:id="0" w:name="_GoBack"/>
      <w:r w:rsidRPr="002760DC">
        <w:t xml:space="preserve">Številka: </w:t>
      </w:r>
      <w:r w:rsidRPr="002760DC">
        <w:tab/>
      </w:r>
      <w:r>
        <w:rPr>
          <w:rFonts w:cs="Arial"/>
          <w:color w:val="000000"/>
        </w:rPr>
        <w:t>00104-456/2019/5</w:t>
      </w:r>
    </w:p>
    <w:p w:rsidR="004D3E14" w:rsidRDefault="004D3E14" w:rsidP="004D3E14">
      <w:pPr>
        <w:pStyle w:val="datumtevilka"/>
      </w:pPr>
      <w:r>
        <w:t>Datum:</w:t>
      </w:r>
      <w:r w:rsidRPr="002760DC">
        <w:tab/>
      </w:r>
      <w:r>
        <w:rPr>
          <w:rFonts w:cs="Arial"/>
          <w:color w:val="000000"/>
        </w:rPr>
        <w:t>23. 1. 2020</w:t>
      </w:r>
      <w:r w:rsidRPr="002760DC">
        <w:t xml:space="preserve"> </w:t>
      </w:r>
    </w:p>
    <w:p w:rsidR="004D3E14" w:rsidRDefault="004D3E14" w:rsidP="004D3E14">
      <w:pPr>
        <w:pStyle w:val="datumtevilka"/>
      </w:pPr>
    </w:p>
    <w:p w:rsidR="004D3E14" w:rsidRPr="004D3E14" w:rsidRDefault="004D3E14" w:rsidP="004D3E14">
      <w:pPr>
        <w:pStyle w:val="datumtevilka"/>
        <w:jc w:val="center"/>
        <w:rPr>
          <w:b/>
        </w:rPr>
      </w:pPr>
    </w:p>
    <w:p w:rsidR="004D3E14" w:rsidRPr="004D3E14" w:rsidRDefault="004D3E14" w:rsidP="004D3E14">
      <w:pPr>
        <w:spacing w:line="260" w:lineRule="exact"/>
        <w:jc w:val="center"/>
        <w:rPr>
          <w:b/>
        </w:rPr>
      </w:pPr>
      <w:r w:rsidRPr="004D3E14">
        <w:rPr>
          <w:rFonts w:cs="Arial"/>
          <w:b/>
          <w:color w:val="000000"/>
          <w:szCs w:val="20"/>
        </w:rPr>
        <w:t>Odgovor na poslansko vprašanje Lidije Ivanuša v zvezi s hrambo študentske dokumentacije</w:t>
      </w:r>
    </w:p>
    <w:p w:rsidR="00A87686" w:rsidRDefault="00A87686" w:rsidP="004D3E14">
      <w:pPr>
        <w:spacing w:line="260" w:lineRule="exact"/>
      </w:pPr>
    </w:p>
    <w:p w:rsidR="004D3E14" w:rsidRDefault="004D3E14" w:rsidP="004D3E14">
      <w:pPr>
        <w:spacing w:line="260" w:lineRule="exact"/>
      </w:pP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Poslanka D</w:t>
      </w:r>
      <w:r w:rsidRPr="00EB100B">
        <w:rPr>
          <w:rFonts w:cs="Arial"/>
          <w:szCs w:val="20"/>
        </w:rPr>
        <w:t xml:space="preserve">ržavnega zbora Republike Slovenije </w:t>
      </w:r>
      <w:r>
        <w:rPr>
          <w:rFonts w:cs="Arial"/>
          <w:szCs w:val="20"/>
        </w:rPr>
        <w:t xml:space="preserve">Lidija Ivanuša je </w:t>
      </w:r>
      <w:r w:rsidRPr="00EB100B">
        <w:rPr>
          <w:rFonts w:cs="Arial"/>
          <w:szCs w:val="20"/>
        </w:rPr>
        <w:t>na Vlado Republike Slovenije naslovil</w:t>
      </w:r>
      <w:r>
        <w:rPr>
          <w:rFonts w:cs="Arial"/>
          <w:szCs w:val="20"/>
        </w:rPr>
        <w:t>a</w:t>
      </w:r>
      <w:r w:rsidRPr="00EB100B">
        <w:rPr>
          <w:rFonts w:cs="Arial"/>
          <w:szCs w:val="20"/>
        </w:rPr>
        <w:t xml:space="preserve"> naslednje vprašanje v zvezi </w:t>
      </w:r>
      <w:r>
        <w:rPr>
          <w:rFonts w:cs="Arial"/>
          <w:szCs w:val="20"/>
        </w:rPr>
        <w:t>s hrambo študentske dokumentacije:</w:t>
      </w: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»Vlado Republike Slovenije sprašujem v zvezi s hrambo študentske dokumentacije.</w:t>
      </w: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Ali morajo fakultete trajno hraniti vso dokumentacijo vseh svojih študentov, vso dokumentacijo, ki je v zvezi z določitvijo vsake ocene pri vsakem izpitu, ki ga je študent opravljal oziroma opravil med študijem?</w:t>
      </w: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Ali morajo fakultete hraniti celotno dokumentacijo in avtorske stvari študentov, ki so v povezavi z ocenjevanjem študentov (avtorska dela: npr. vse seminarske naloge študentov, vse pisne izpitne naloge študentov, vse umetniške slike, kipe, različne druge izdelke, diplomske naloge,…) ali pa lahko trajno hranijo zgolj določeno dokumentacijo in avtorska dela študentov? Če lahko samo določeno, katero?</w:t>
      </w: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Ker bi bilo trajno hranjenje celotne dokumentacije in vseh avtorskih izdelkov študentov, za vsakega študenta, ki je v zvezi z določitvijo vsake ocene pri vsakem izpitu, ki ga je študent opravljal oziroma opravil, stroškovno in logistično zelo zahtevno, se postavlja vprašanje v zvezi s pravnim načelom sorazmernosti. Kakšno je stališče vlade glede tega, tudi v zvezi z evropsko sodno prakso?</w:t>
      </w: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Ali obstaja glede trajnega hranjenja te dokumentacije kakšna pravno vzdržna rešitev, po kateri bi fakultete hranile te dokumente zgolj omejeno časovno obdobje (npr. pisne izpite študentov 1 leto, 2 leti, do zaključka študija študenta)?</w:t>
      </w: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Posebno težavo predstavlja poleg hranjenja listinske dokumentacije študentov, vezane na izpite, tudi hranjenje avtorskih del študentov, ki niso listinska: trajno hranjenje različnih izdelkov študentov (npr. kipov in slik študentov ALU, različnih maket študentov arhitekture, ipd.). kako naj fakultete rešujejo te težave, saj bi morale najemati velike skladiščne prostore za skladiščenje teh predmetov, kar bi predstavljalo dodatne visoke finančne stroške za fakultete?«</w:t>
      </w: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b/>
          <w:szCs w:val="20"/>
        </w:rPr>
      </w:pP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b/>
          <w:szCs w:val="20"/>
        </w:rPr>
      </w:pPr>
      <w:r w:rsidRPr="00EB100B">
        <w:rPr>
          <w:rFonts w:cs="Arial"/>
          <w:b/>
          <w:szCs w:val="20"/>
        </w:rPr>
        <w:t>Vlada Republike Slovenije podaja naslednji odgovor:</w:t>
      </w:r>
    </w:p>
    <w:p w:rsidR="004D3E14" w:rsidRPr="00AD40B7" w:rsidRDefault="004D3E14" w:rsidP="004D3E14">
      <w:pPr>
        <w:spacing w:line="260" w:lineRule="exact"/>
        <w:jc w:val="both"/>
        <w:rPr>
          <w:rFonts w:cs="Arial"/>
          <w:szCs w:val="20"/>
        </w:rPr>
      </w:pPr>
      <w:r w:rsidRPr="00AD40B7">
        <w:rPr>
          <w:rFonts w:cs="Arial"/>
          <w:szCs w:val="20"/>
        </w:rPr>
        <w:t xml:space="preserve">V skladu s prvim odstavkom 83. člena </w:t>
      </w:r>
      <w:r w:rsidRPr="00683EBF">
        <w:rPr>
          <w:rFonts w:cs="Arial"/>
          <w:szCs w:val="20"/>
        </w:rPr>
        <w:t>Zakona o visokem šolstvu</w:t>
      </w:r>
      <w:r w:rsidRPr="00AD40B7">
        <w:rPr>
          <w:rFonts w:cs="Arial"/>
          <w:szCs w:val="20"/>
        </w:rPr>
        <w:t xml:space="preserve"> </w:t>
      </w:r>
      <w:r w:rsidRPr="00441C4C">
        <w:rPr>
          <w:rFonts w:cs="Arial"/>
          <w:bCs/>
          <w:szCs w:val="20"/>
        </w:rPr>
        <w:t xml:space="preserve">(Uradni list RS, št. </w:t>
      </w:r>
      <w:hyperlink r:id="rId8" w:tgtFrame="_blank" w:tooltip="Zakon o visokem šolstvu (uradno prečiščeno besedilo)" w:history="1">
        <w:r w:rsidRPr="00441C4C">
          <w:rPr>
            <w:rFonts w:cs="Arial"/>
            <w:bCs/>
            <w:szCs w:val="20"/>
          </w:rPr>
          <w:t>32/12</w:t>
        </w:r>
      </w:hyperlink>
      <w:r w:rsidRPr="00441C4C">
        <w:rPr>
          <w:rFonts w:cs="Arial"/>
          <w:bCs/>
          <w:szCs w:val="20"/>
        </w:rPr>
        <w:t xml:space="preserve"> – </w:t>
      </w:r>
      <w:r>
        <w:rPr>
          <w:rFonts w:cs="Arial"/>
          <w:bCs/>
          <w:szCs w:val="20"/>
        </w:rPr>
        <w:t>UPB</w:t>
      </w:r>
      <w:r w:rsidRPr="00441C4C">
        <w:rPr>
          <w:rFonts w:cs="Arial"/>
          <w:bCs/>
          <w:szCs w:val="20"/>
        </w:rPr>
        <w:t xml:space="preserve">, </w:t>
      </w:r>
      <w:hyperlink r:id="rId9" w:tgtFrame="_blank" w:tooltip="Zakon za uravnoteženje javnih financ" w:history="1">
        <w:r w:rsidRPr="00441C4C">
          <w:rPr>
            <w:rFonts w:cs="Arial"/>
            <w:bCs/>
            <w:szCs w:val="20"/>
          </w:rPr>
          <w:t>40/12</w:t>
        </w:r>
      </w:hyperlink>
      <w:r w:rsidRPr="00441C4C">
        <w:rPr>
          <w:rFonts w:cs="Arial"/>
          <w:bCs/>
          <w:szCs w:val="20"/>
        </w:rPr>
        <w:t xml:space="preserve"> – ZUJF, </w:t>
      </w:r>
      <w:hyperlink r:id="rId10" w:tgtFrame="_blank" w:tooltip="Zakon o spremembah in dopolnitvah Zakona o prevozih v cestnem prometu" w:history="1">
        <w:r w:rsidRPr="00441C4C">
          <w:rPr>
            <w:rFonts w:cs="Arial"/>
            <w:bCs/>
            <w:szCs w:val="20"/>
          </w:rPr>
          <w:t>57/12</w:t>
        </w:r>
      </w:hyperlink>
      <w:r w:rsidRPr="00441C4C">
        <w:rPr>
          <w:rFonts w:cs="Arial"/>
          <w:bCs/>
          <w:szCs w:val="20"/>
        </w:rPr>
        <w:t xml:space="preserve"> – ZPCP-2D, </w:t>
      </w:r>
      <w:hyperlink r:id="rId11" w:tgtFrame="_blank" w:tooltip="Zakon o spremembah in dopolnitvah Zakona o visokem šolstvu" w:history="1">
        <w:r w:rsidRPr="00441C4C">
          <w:rPr>
            <w:rFonts w:cs="Arial"/>
            <w:bCs/>
            <w:szCs w:val="20"/>
          </w:rPr>
          <w:t>109/12</w:t>
        </w:r>
      </w:hyperlink>
      <w:r w:rsidRPr="00441C4C">
        <w:rPr>
          <w:rFonts w:cs="Arial"/>
          <w:bCs/>
          <w:szCs w:val="20"/>
        </w:rPr>
        <w:t xml:space="preserve">, </w:t>
      </w:r>
      <w:hyperlink r:id="rId12" w:tgtFrame="_blank" w:tooltip="Zakon o spremembah in dopolnitvah Zakona o visokem šolstvu" w:history="1">
        <w:r w:rsidRPr="00441C4C">
          <w:rPr>
            <w:rFonts w:cs="Arial"/>
            <w:bCs/>
            <w:szCs w:val="20"/>
          </w:rPr>
          <w:t>85/14</w:t>
        </w:r>
      </w:hyperlink>
      <w:r w:rsidRPr="00441C4C">
        <w:rPr>
          <w:rFonts w:cs="Arial"/>
          <w:bCs/>
          <w:szCs w:val="20"/>
        </w:rPr>
        <w:t xml:space="preserve">, </w:t>
      </w:r>
      <w:hyperlink r:id="rId13" w:tgtFrame="_blank" w:tooltip="Zakon o spremembah in dopolnitvah Zakona o visokem šolstvu" w:history="1">
        <w:r w:rsidRPr="00441C4C">
          <w:rPr>
            <w:rFonts w:cs="Arial"/>
            <w:bCs/>
            <w:szCs w:val="20"/>
          </w:rPr>
          <w:t>75/16</w:t>
        </w:r>
      </w:hyperlink>
      <w:r w:rsidRPr="00441C4C">
        <w:rPr>
          <w:rFonts w:cs="Arial"/>
          <w:bCs/>
          <w:szCs w:val="20"/>
        </w:rPr>
        <w:t xml:space="preserve">, </w:t>
      </w:r>
      <w:hyperlink r:id="rId14" w:tgtFrame="_blank" w:tooltip="Zakon za urejanje položaja študentov" w:history="1">
        <w:r w:rsidRPr="00441C4C">
          <w:rPr>
            <w:rFonts w:cs="Arial"/>
            <w:bCs/>
            <w:szCs w:val="20"/>
          </w:rPr>
          <w:t>61/17</w:t>
        </w:r>
      </w:hyperlink>
      <w:r w:rsidRPr="00441C4C">
        <w:rPr>
          <w:rFonts w:cs="Arial"/>
          <w:bCs/>
          <w:szCs w:val="20"/>
        </w:rPr>
        <w:t xml:space="preserve"> – ZUPŠ in </w:t>
      </w:r>
      <w:hyperlink r:id="rId15" w:tgtFrame="_blank" w:tooltip="Zakon o spremembi Zakona o visokem šolstvu" w:history="1">
        <w:r w:rsidRPr="00441C4C">
          <w:rPr>
            <w:rFonts w:cs="Arial"/>
            <w:bCs/>
            <w:szCs w:val="20"/>
          </w:rPr>
          <w:t>65/17</w:t>
        </w:r>
      </w:hyperlink>
      <w:r>
        <w:rPr>
          <w:rFonts w:cs="Arial"/>
          <w:bCs/>
          <w:szCs w:val="20"/>
        </w:rPr>
        <w:t xml:space="preserve">, v nadaljevanju: </w:t>
      </w:r>
      <w:r w:rsidRPr="00AD40B7">
        <w:rPr>
          <w:rFonts w:cs="Arial"/>
          <w:szCs w:val="20"/>
        </w:rPr>
        <w:t xml:space="preserve">ZViS) visokošolski zavodi trajno hranijo evidence z osebnimi podatki študentov in vpisanih na študijske programe za izpopolnjevanje, ki jih določa 81. člen ZViS, v skladu s predpisi, ki urejajo varstvo dokumentarnega in arhivskega gradiva, razen evidence prijaviteljev za vpis, ki se hrani do vpisa oziroma do izteka pritožbenih postopkov. V primeru prenehanja delovanja visokošolskega zavoda se v skladu s predpisi, ki urejajo varstvo dokumentarnega in arhivskega gradiva, podatki iz evidenc predajo njegovemu pravnemu nasledniku, če tega ni, pa Arhivu Republike Slovenije. </w:t>
      </w:r>
    </w:p>
    <w:p w:rsidR="004D3E14" w:rsidRPr="00AD40B7" w:rsidRDefault="004D3E14" w:rsidP="004D3E14">
      <w:pPr>
        <w:spacing w:line="260" w:lineRule="exact"/>
        <w:jc w:val="both"/>
        <w:rPr>
          <w:rFonts w:cs="Arial"/>
          <w:szCs w:val="20"/>
        </w:rPr>
      </w:pPr>
    </w:p>
    <w:p w:rsidR="004D3E14" w:rsidRPr="00AD40B7" w:rsidRDefault="004D3E14" w:rsidP="004D3E14">
      <w:pPr>
        <w:spacing w:line="260" w:lineRule="exact"/>
        <w:jc w:val="both"/>
        <w:rPr>
          <w:rFonts w:cs="Arial"/>
          <w:szCs w:val="20"/>
        </w:rPr>
      </w:pPr>
      <w:r w:rsidRPr="00AD40B7">
        <w:rPr>
          <w:rFonts w:cs="Arial"/>
          <w:szCs w:val="20"/>
        </w:rPr>
        <w:lastRenderedPageBreak/>
        <w:t xml:space="preserve">Nadalje 84. člen ZViS glede dokumentacije določa, da se določila v zvezi z vodenjem, uporabo in shranjevanjem osebnih podatkov iz evidenc po ZViS uporabljajo tudi za dokumentacijo, na podlagi katere so bili zbrani osebni podatki. </w:t>
      </w:r>
    </w:p>
    <w:p w:rsidR="004D3E14" w:rsidRPr="00AD40B7" w:rsidRDefault="004D3E14" w:rsidP="004D3E14">
      <w:pPr>
        <w:spacing w:line="260" w:lineRule="exact"/>
        <w:jc w:val="both"/>
        <w:rPr>
          <w:rFonts w:cs="Arial"/>
          <w:szCs w:val="20"/>
        </w:rPr>
      </w:pPr>
    </w:p>
    <w:p w:rsidR="004D3E14" w:rsidRPr="00AD40B7" w:rsidRDefault="004D3E14" w:rsidP="004D3E14">
      <w:pPr>
        <w:spacing w:line="260" w:lineRule="exact"/>
        <w:jc w:val="both"/>
        <w:rPr>
          <w:rFonts w:cs="Arial"/>
          <w:szCs w:val="20"/>
        </w:rPr>
      </w:pPr>
      <w:r w:rsidRPr="00AD40B7">
        <w:rPr>
          <w:rFonts w:cs="Arial"/>
          <w:szCs w:val="20"/>
        </w:rPr>
        <w:t>Podrobnejšo hrambo dokumentacije urejajo visokošolski zavodi na podlagi svojega statuta in v skladu z Uredbo o upravnem poslovanju</w:t>
      </w:r>
      <w:r>
        <w:rPr>
          <w:rFonts w:cs="Arial"/>
          <w:szCs w:val="20"/>
        </w:rPr>
        <w:t xml:space="preserve"> </w:t>
      </w:r>
      <w:r w:rsidRPr="00441C4C">
        <w:rPr>
          <w:rFonts w:cs="Arial"/>
          <w:bCs/>
          <w:szCs w:val="20"/>
        </w:rPr>
        <w:t xml:space="preserve">(Uradni list RS, št. </w:t>
      </w:r>
      <w:hyperlink r:id="rId16" w:tgtFrame="_blank" w:tooltip="Uredba o upravnem poslovanju" w:history="1">
        <w:r w:rsidRPr="00441C4C">
          <w:rPr>
            <w:rFonts w:cs="Arial"/>
            <w:bCs/>
            <w:szCs w:val="20"/>
          </w:rPr>
          <w:t>9/18</w:t>
        </w:r>
      </w:hyperlink>
      <w:r w:rsidRPr="00441C4C">
        <w:rPr>
          <w:rFonts w:cs="Arial"/>
          <w:bCs/>
          <w:szCs w:val="20"/>
        </w:rPr>
        <w:t>)</w:t>
      </w:r>
      <w:r w:rsidRPr="00441C4C">
        <w:rPr>
          <w:rFonts w:cs="Arial"/>
          <w:szCs w:val="20"/>
        </w:rPr>
        <w:t>.</w:t>
      </w:r>
      <w:r w:rsidRPr="00AD40B7">
        <w:rPr>
          <w:rFonts w:cs="Arial"/>
          <w:szCs w:val="20"/>
        </w:rPr>
        <w:t xml:space="preserve"> Univerza v Ljubljani tako v 25. členu Pravilnika o upravljanju dokumentarnega gradiva Univerze v Ljubljani glede zbirk dokumentarnega gradiva omogoča različne možnosti hrambe: izključno v fizični papirni obliki, fizični in vzporedno v elektronski digitalni obliki (priporočljivo v daljšem prehodnem obdobju), kombinirano oz. deloma v fizični in deloma v elektronski obliki, izključno v elektronski obliki.</w:t>
      </w:r>
    </w:p>
    <w:p w:rsidR="004D3E14" w:rsidRPr="00AD40B7" w:rsidRDefault="004D3E14" w:rsidP="004D3E14">
      <w:pPr>
        <w:spacing w:line="260" w:lineRule="exact"/>
        <w:jc w:val="both"/>
        <w:rPr>
          <w:rFonts w:cs="Arial"/>
          <w:szCs w:val="20"/>
        </w:rPr>
      </w:pPr>
    </w:p>
    <w:p w:rsidR="004D3E14" w:rsidRPr="00AD40B7" w:rsidRDefault="004D3E14" w:rsidP="004D3E14">
      <w:pPr>
        <w:spacing w:line="260" w:lineRule="exact"/>
        <w:jc w:val="both"/>
        <w:rPr>
          <w:rFonts w:cs="Arial"/>
          <w:szCs w:val="20"/>
        </w:rPr>
      </w:pPr>
      <w:r w:rsidRPr="00AD40B7">
        <w:rPr>
          <w:rFonts w:cs="Arial"/>
          <w:szCs w:val="20"/>
        </w:rPr>
        <w:t xml:space="preserve">V okviru delovne skupine za pripravo novele Zakona o visokem šolstvu, ki deluje v okviru </w:t>
      </w:r>
      <w:r>
        <w:rPr>
          <w:rFonts w:cs="Arial"/>
          <w:szCs w:val="20"/>
        </w:rPr>
        <w:t>ministrstva pristojnega za izobraževanje</w:t>
      </w:r>
      <w:r w:rsidRPr="00AD40B7">
        <w:rPr>
          <w:rFonts w:cs="Arial"/>
          <w:szCs w:val="20"/>
        </w:rPr>
        <w:t>, predstavniki univerz in samostojnih visokošolskih zavodov doslej niso podali predlogov za spremembe zakonodaje vezano na hrambo dokumentacije.</w:t>
      </w:r>
    </w:p>
    <w:p w:rsidR="004D3E14" w:rsidRPr="00AD40B7" w:rsidRDefault="004D3E14" w:rsidP="004D3E14">
      <w:pPr>
        <w:spacing w:line="260" w:lineRule="exact"/>
        <w:jc w:val="both"/>
        <w:rPr>
          <w:rFonts w:cs="Arial"/>
          <w:szCs w:val="20"/>
        </w:rPr>
      </w:pPr>
    </w:p>
    <w:p w:rsidR="004D3E14" w:rsidRPr="00AD40B7" w:rsidRDefault="004D3E14" w:rsidP="004D3E14">
      <w:pPr>
        <w:spacing w:line="260" w:lineRule="exact"/>
        <w:jc w:val="both"/>
        <w:rPr>
          <w:rFonts w:cs="Arial"/>
          <w:szCs w:val="20"/>
        </w:rPr>
      </w:pPr>
      <w:r w:rsidRPr="00AD40B7">
        <w:rPr>
          <w:rFonts w:cs="Arial"/>
          <w:szCs w:val="20"/>
        </w:rPr>
        <w:t>V</w:t>
      </w:r>
      <w:r>
        <w:rPr>
          <w:rFonts w:cs="Arial"/>
          <w:szCs w:val="20"/>
        </w:rPr>
        <w:t xml:space="preserve"> </w:t>
      </w:r>
      <w:r w:rsidRPr="00AD40B7">
        <w:rPr>
          <w:rFonts w:cs="Arial"/>
          <w:szCs w:val="20"/>
        </w:rPr>
        <w:t>okviru priprave analize stanja in potreb po infrastrukturi visokošolskih</w:t>
      </w:r>
      <w:r>
        <w:rPr>
          <w:rFonts w:cs="Arial"/>
          <w:szCs w:val="20"/>
        </w:rPr>
        <w:t xml:space="preserve"> </w:t>
      </w:r>
      <w:r w:rsidRPr="00AD40B7">
        <w:rPr>
          <w:rFonts w:cs="Arial"/>
          <w:szCs w:val="20"/>
        </w:rPr>
        <w:t xml:space="preserve">zavodov v podporo digitalizaciji študijskega procesa, za katero je </w:t>
      </w:r>
      <w:r>
        <w:rPr>
          <w:rFonts w:cs="Arial"/>
          <w:szCs w:val="20"/>
        </w:rPr>
        <w:t xml:space="preserve">pristojno </w:t>
      </w:r>
      <w:r w:rsidRPr="00AD40B7">
        <w:rPr>
          <w:rFonts w:cs="Arial"/>
          <w:szCs w:val="20"/>
        </w:rPr>
        <w:t xml:space="preserve">ministrstvo zbiralo podatke novembra in decembra 2019, je bila med javnimi visokošolskimi zavodi identificirana potreba po dokumentarnih sistemih s podporo za arhivsko hrambo ter možnost najema elektronske hrambe. Iskanje rešitve za trajno hrambo dokumentacije visokošolskih zavodov gredo v smeri hrambe gradiva v elektronski digitalni obliki, za kar pa bo treba zagotoviti dodatna finančna sredstva, k čemur se bo </w:t>
      </w:r>
      <w:r>
        <w:rPr>
          <w:rFonts w:cs="Arial"/>
          <w:szCs w:val="20"/>
        </w:rPr>
        <w:t xml:space="preserve">pristojno </w:t>
      </w:r>
      <w:r w:rsidRPr="00AD40B7">
        <w:rPr>
          <w:rFonts w:cs="Arial"/>
          <w:szCs w:val="20"/>
        </w:rPr>
        <w:t>ministrstvo prizadevalo tudi v okviru nove finančne perspektive</w:t>
      </w:r>
      <w:r>
        <w:rPr>
          <w:rFonts w:cs="Arial"/>
          <w:szCs w:val="20"/>
        </w:rPr>
        <w:t xml:space="preserve"> kohezijske politike 2021-2027.</w:t>
      </w:r>
      <w:r w:rsidRPr="00AD40B7">
        <w:rPr>
          <w:rFonts w:cs="Arial"/>
          <w:szCs w:val="20"/>
        </w:rPr>
        <w:t xml:space="preserve">   </w:t>
      </w:r>
    </w:p>
    <w:p w:rsidR="004D3E14" w:rsidRPr="006F23DF" w:rsidRDefault="004D3E14" w:rsidP="004D3E14">
      <w:pPr>
        <w:spacing w:line="260" w:lineRule="exact"/>
        <w:jc w:val="both"/>
        <w:rPr>
          <w:rFonts w:cs="Arial"/>
        </w:rPr>
      </w:pPr>
    </w:p>
    <w:p w:rsidR="004D3E14" w:rsidRPr="006F23DF" w:rsidRDefault="004D3E14" w:rsidP="004D3E14">
      <w:pPr>
        <w:spacing w:line="260" w:lineRule="exact"/>
        <w:jc w:val="both"/>
        <w:rPr>
          <w:rFonts w:cs="Arial"/>
        </w:rPr>
      </w:pPr>
    </w:p>
    <w:p w:rsidR="004D3E14" w:rsidRPr="006F23DF" w:rsidRDefault="004D3E14" w:rsidP="004D3E14">
      <w:pPr>
        <w:spacing w:line="260" w:lineRule="exact"/>
        <w:jc w:val="both"/>
        <w:rPr>
          <w:rFonts w:cs="Arial"/>
        </w:rPr>
      </w:pPr>
    </w:p>
    <w:p w:rsidR="004D3E14" w:rsidRDefault="004D3E14" w:rsidP="004D3E14">
      <w:pPr>
        <w:suppressAutoHyphens/>
        <w:overflowPunct w:val="0"/>
        <w:autoSpaceDE w:val="0"/>
        <w:autoSpaceDN w:val="0"/>
        <w:adjustRightInd w:val="0"/>
        <w:spacing w:line="260" w:lineRule="exact"/>
        <w:ind w:right="-45"/>
        <w:jc w:val="both"/>
        <w:textAlignment w:val="baseline"/>
        <w:outlineLvl w:val="3"/>
        <w:rPr>
          <w:rFonts w:cs="Arial"/>
          <w:b/>
          <w:szCs w:val="20"/>
        </w:rPr>
      </w:pPr>
    </w:p>
    <w:bookmarkEnd w:id="0"/>
    <w:p w:rsidR="004D3E14" w:rsidRPr="004D3E14" w:rsidRDefault="004D3E14" w:rsidP="004D3E14">
      <w:pPr>
        <w:spacing w:line="260" w:lineRule="exact"/>
      </w:pPr>
    </w:p>
    <w:sectPr w:rsidR="004D3E14" w:rsidRPr="004D3E14" w:rsidSect="008606FF">
      <w:footerReference w:type="default" r:id="rId17"/>
      <w:headerReference w:type="first" r:id="rId18"/>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4D3E14">
      <w:rPr>
        <w:noProof/>
      </w:rPr>
      <w:t>2</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1D1E0D"/>
    <w:multiLevelType w:val="hybridMultilevel"/>
    <w:tmpl w:val="28C4593C"/>
    <w:lvl w:ilvl="0" w:tplc="04240001">
      <w:start w:val="1"/>
      <w:numFmt w:val="bullet"/>
      <w:lvlText w:val=""/>
      <w:lvlJc w:val="left"/>
      <w:pPr>
        <w:ind w:left="2403" w:hanging="1695"/>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0EF1690E"/>
    <w:multiLevelType w:val="hybridMultilevel"/>
    <w:tmpl w:val="1180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1C96D5A"/>
    <w:multiLevelType w:val="hybridMultilevel"/>
    <w:tmpl w:val="A81E0F38"/>
    <w:lvl w:ilvl="0" w:tplc="AD24EC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C7A6CDB"/>
    <w:multiLevelType w:val="hybridMultilevel"/>
    <w:tmpl w:val="B64616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27"/>
  </w:num>
  <w:num w:numId="5">
    <w:abstractNumId w:val="19"/>
  </w:num>
  <w:num w:numId="6">
    <w:abstractNumId w:val="7"/>
  </w:num>
  <w:num w:numId="7">
    <w:abstractNumId w:val="29"/>
  </w:num>
  <w:num w:numId="8">
    <w:abstractNumId w:val="16"/>
  </w:num>
  <w:num w:numId="9">
    <w:abstractNumId w:val="12"/>
  </w:num>
  <w:num w:numId="10">
    <w:abstractNumId w:val="20"/>
  </w:num>
  <w:num w:numId="11">
    <w:abstractNumId w:val="9"/>
  </w:num>
  <w:num w:numId="12">
    <w:abstractNumId w:val="13"/>
  </w:num>
  <w:num w:numId="13">
    <w:abstractNumId w:val="17"/>
  </w:num>
  <w:num w:numId="14">
    <w:abstractNumId w:val="0"/>
  </w:num>
  <w:num w:numId="15">
    <w:abstractNumId w:val="14"/>
  </w:num>
  <w:num w:numId="16">
    <w:abstractNumId w:val="1"/>
  </w:num>
  <w:num w:numId="17">
    <w:abstractNumId w:val="22"/>
  </w:num>
  <w:num w:numId="18">
    <w:abstractNumId w:val="6"/>
  </w:num>
  <w:num w:numId="19">
    <w:abstractNumId w:val="28"/>
  </w:num>
  <w:num w:numId="20">
    <w:abstractNumId w:val="23"/>
  </w:num>
  <w:num w:numId="21">
    <w:abstractNumId w:val="11"/>
  </w:num>
  <w:num w:numId="22">
    <w:abstractNumId w:val="8"/>
  </w:num>
  <w:num w:numId="23">
    <w:abstractNumId w:val="26"/>
  </w:num>
  <w:num w:numId="24">
    <w:abstractNumId w:val="25"/>
  </w:num>
  <w:num w:numId="25">
    <w:abstractNumId w:val="18"/>
  </w:num>
  <w:num w:numId="26">
    <w:abstractNumId w:val="10"/>
  </w:num>
  <w:num w:numId="27">
    <w:abstractNumId w:val="5"/>
  </w:num>
  <w:num w:numId="28">
    <w:abstractNumId w:val="15"/>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4A96"/>
    <w:rsid w:val="00117E4A"/>
    <w:rsid w:val="001649B3"/>
    <w:rsid w:val="001977F5"/>
    <w:rsid w:val="001B13BD"/>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C72D3"/>
    <w:rsid w:val="004D3E14"/>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CA2"/>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87686"/>
    <w:rsid w:val="00AB5C43"/>
    <w:rsid w:val="00AC0764"/>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406" TargetMode="External"/><Relationship Id="rId13" Type="http://schemas.openxmlformats.org/officeDocument/2006/relationships/hyperlink" Target="http://www.uradni-list.si/1/objava.jsp?sop=2016-01-3209"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4-01-34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adni-list.si/1/objava.jsp?sop=2018-01-03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4320" TargetMode="External"/><Relationship Id="rId5" Type="http://schemas.openxmlformats.org/officeDocument/2006/relationships/webSettings" Target="webSettings.xml"/><Relationship Id="rId15" Type="http://schemas.openxmlformats.org/officeDocument/2006/relationships/hyperlink" Target="http://www.uradni-list.si/1/objava.jsp?sop=2017-01-3065" TargetMode="External"/><Relationship Id="rId10" Type="http://schemas.openxmlformats.org/officeDocument/2006/relationships/hyperlink" Target="http://www.uradni-list.si/1/objava.jsp?sop=2012-01-24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7-01-29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2020-01-22T09:30:00Z</dcterms:created>
  <dcterms:modified xsi:type="dcterms:W3CDTF">2020-01-22T09:30:00Z</dcterms:modified>
</cp:coreProperties>
</file>