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C60" w:rsidRDefault="008A7B27" w:rsidP="004E0C60">
      <w:pPr>
        <w:pStyle w:val="TechnicalBlock"/>
        <w:ind w:left="-1134" w:right="-1134"/>
      </w:pPr>
      <w:bookmarkStart w:id="0" w:name="DW_BM_COVERPAG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ocument Cover Page.&#10;Document Number: 9919/19.&#10;Subject Codes: AGRI 287 AGRIORG 31 OIV 1.&#10;Heading: PREDLOG.&#10;Originator: za generalnega sekretarja Evropske komisije: direktor Jordi AYET PUIGARNAU.&#10;Recipient: generalni sekretar Sveta Evropske unije Jeppe TRANHOLM-MIKKELSEN.&#10;Subject: Predlog SKLEPA SVETA o stališču, ki se v imenu Evropske unije zastopa v Mednarodni organizaciji za trto in vino.&#10;Commission Document Number: COM(2019) 246 final.&#10;Preceeding Document Number: Not Set.&#10;Location: Bruselj.&#10;Date: 4. junij 2019.&#10;Interinstitutional Files: 2019/0121(NLE).&#10;Institutional Framework: Svet Evropske unije.&#10;Language: SL.&#10;Distribution Code: PUBLIC.&#10;GUID: 5158842566938663566_0" style="width:568.5pt;height:369pt">
            <v:imagedata r:id="rId8" o:title=""/>
          </v:shape>
        </w:pict>
      </w:r>
      <w:bookmarkEnd w:id="0"/>
    </w:p>
    <w:p w:rsidR="004E0C60" w:rsidRDefault="004E0C60" w:rsidP="004E0C60">
      <w:pPr>
        <w:pStyle w:val="EntText"/>
        <w:spacing w:before="480"/>
      </w:pPr>
      <w:bookmarkStart w:id="1" w:name="_GoBack"/>
      <w:bookmarkEnd w:id="1"/>
      <w:r w:rsidRPr="004E0C60">
        <w:t xml:space="preserve">Delegacije prejmejo priloženi dokument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Pr="004E0C60">
        <w:instrText>COM(2019) 246 final</w:instrText>
      </w:r>
      <w:r>
        <w:instrText xml:space="preserve">" </w:instrText>
      </w:r>
      <w:r>
        <w:fldChar w:fldCharType="separate"/>
      </w:r>
      <w:r w:rsidRPr="004E0C60">
        <w:t>COM(2019) 246 final</w:t>
      </w:r>
      <w:r>
        <w:fldChar w:fldCharType="end"/>
      </w:r>
      <w:r w:rsidRPr="004E0C60">
        <w:t>.</w:t>
      </w:r>
    </w:p>
    <w:p w:rsidR="004E0C60" w:rsidRDefault="004E0C60" w:rsidP="004E0C60">
      <w:pPr>
        <w:pStyle w:val="Lignefinal"/>
      </w:pPr>
    </w:p>
    <w:p w:rsidR="004E0C60" w:rsidRDefault="004E0C60" w:rsidP="004E0C60">
      <w:pPr>
        <w:pStyle w:val="pj"/>
        <w:spacing w:before="120"/>
      </w:pPr>
      <w:r w:rsidRPr="004E0C60">
        <w:t xml:space="preserve">Priloga: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Pr="004E0C60">
        <w:instrText>COM(2019) 246 final</w:instrText>
      </w:r>
      <w:r>
        <w:instrText xml:space="preserve">" </w:instrText>
      </w:r>
      <w:r>
        <w:fldChar w:fldCharType="separate"/>
      </w:r>
      <w:r w:rsidRPr="004E0C60">
        <w:t>COM(2019) 246 final</w:t>
      </w:r>
      <w:r>
        <w:fldChar w:fldCharType="end"/>
      </w:r>
    </w:p>
    <w:p w:rsidR="004E0C60" w:rsidRPr="004E0C60" w:rsidRDefault="004E0C60" w:rsidP="004E0C60"/>
    <w:p w:rsidR="004E0C60" w:rsidRDefault="004E0C60" w:rsidP="004E0C60">
      <w:pPr>
        <w:rPr>
          <w:noProof/>
        </w:rPr>
        <w:sectPr w:rsidR="004E0C60" w:rsidSect="004E0C60">
          <w:headerReference w:type="even" r:id="rId9"/>
          <w:headerReference w:type="default" r:id="rId10"/>
          <w:footerReference w:type="even" r:id="rId11"/>
          <w:footerReference w:type="default" r:id="rId12"/>
          <w:headerReference w:type="first" r:id="rId13"/>
          <w:footerReference w:type="first" r:id="rId14"/>
          <w:pgSz w:w="11907" w:h="16839"/>
          <w:pgMar w:top="624" w:right="1134" w:bottom="1134" w:left="1134" w:header="567" w:footer="567" w:gutter="0"/>
          <w:pgNumType w:start="0"/>
          <w:cols w:space="720"/>
          <w:titlePg/>
          <w:docGrid w:linePitch="360"/>
        </w:sectPr>
      </w:pPr>
    </w:p>
    <w:p w:rsidR="00C60EB1" w:rsidRDefault="008A7B27">
      <w:pPr>
        <w:pStyle w:val="Pagedecouverture"/>
        <w:rPr>
          <w:noProof/>
        </w:rPr>
      </w:pPr>
      <w:r>
        <w:rPr>
          <w:noProof/>
        </w:rPr>
        <w:lastRenderedPageBreak/>
        <w:pict>
          <v:shape id="_x0000_i1026" type="#_x0000_t75" alt="0DFFB9DA-11AE-4847-BD43-EFCE80E36295" style="width:450.75pt;height:351.75pt">
            <v:imagedata r:id="rId15" o:title=""/>
          </v:shape>
        </w:pict>
      </w:r>
    </w:p>
    <w:p w:rsidR="00C60EB1" w:rsidRDefault="00C60EB1">
      <w:pPr>
        <w:rPr>
          <w:noProof/>
        </w:rPr>
        <w:sectPr w:rsidR="00C60EB1">
          <w:headerReference w:type="even" r:id="rId16"/>
          <w:headerReference w:type="default" r:id="rId17"/>
          <w:footerReference w:type="even" r:id="rId18"/>
          <w:footerReference w:type="default" r:id="rId19"/>
          <w:headerReference w:type="first" r:id="rId20"/>
          <w:footerReference w:type="first" r:id="rId21"/>
          <w:pgSz w:w="11907" w:h="16839"/>
          <w:pgMar w:top="1134" w:right="1417" w:bottom="1134" w:left="1417" w:header="709" w:footer="709" w:gutter="0"/>
          <w:pgNumType w:start="0"/>
          <w:cols w:space="720"/>
          <w:docGrid w:linePitch="360"/>
        </w:sectPr>
      </w:pPr>
    </w:p>
    <w:p w:rsidR="00C60EB1" w:rsidRDefault="004E0C60">
      <w:pPr>
        <w:pStyle w:val="Exposdesmotifstitre"/>
        <w:rPr>
          <w:noProof/>
        </w:rPr>
      </w:pPr>
      <w:r>
        <w:rPr>
          <w:noProof/>
        </w:rPr>
        <w:lastRenderedPageBreak/>
        <w:t>OBRAZLOŽITVENI MEMORANDUM</w:t>
      </w:r>
    </w:p>
    <w:p w:rsidR="00C60EB1" w:rsidRDefault="004E0C60">
      <w:pPr>
        <w:pStyle w:val="ManualHeading1"/>
        <w:rPr>
          <w:noProof/>
        </w:rPr>
      </w:pPr>
      <w:r>
        <w:rPr>
          <w:noProof/>
        </w:rPr>
        <w:t>1.</w:t>
      </w:r>
      <w:r>
        <w:rPr>
          <w:noProof/>
        </w:rPr>
        <w:tab/>
        <w:t>Predmet urejanja predloga</w:t>
      </w:r>
    </w:p>
    <w:p w:rsidR="00C60EB1" w:rsidRDefault="004E0C60">
      <w:pPr>
        <w:rPr>
          <w:rFonts w:eastAsia="Arial Unicode MS"/>
          <w:noProof/>
          <w:color w:val="000000" w:themeColor="text1"/>
        </w:rPr>
      </w:pPr>
      <w:r>
        <w:rPr>
          <w:noProof/>
        </w:rPr>
        <w:t>Ta predlog zadeva sklep o določitvi stališča, ki se v imenu Unije zastopa na seji generalne skupščine Mednarodne organizacije za trto in vino (OIV) 19. julija 2019 v zvezi s predvidenim sprejetjem resolucij OIV, ki bi lahko imele pravni učinek na zakonodajo Unije.</w:t>
      </w:r>
    </w:p>
    <w:p w:rsidR="00C60EB1" w:rsidRDefault="004E0C60">
      <w:pPr>
        <w:pStyle w:val="ManualHeading1"/>
        <w:rPr>
          <w:noProof/>
        </w:rPr>
      </w:pPr>
      <w:r>
        <w:rPr>
          <w:noProof/>
        </w:rPr>
        <w:t>2.</w:t>
      </w:r>
      <w:r>
        <w:rPr>
          <w:noProof/>
        </w:rPr>
        <w:tab/>
        <w:t>Ozadje predloga</w:t>
      </w:r>
    </w:p>
    <w:p w:rsidR="00C60EB1" w:rsidRDefault="004E0C60">
      <w:pPr>
        <w:pStyle w:val="ManualHeading2"/>
        <w:rPr>
          <w:noProof/>
        </w:rPr>
      </w:pPr>
      <w:r>
        <w:rPr>
          <w:noProof/>
        </w:rPr>
        <w:t>2.1</w:t>
      </w:r>
      <w:r>
        <w:rPr>
          <w:noProof/>
        </w:rPr>
        <w:tab/>
        <w:t>Posebni status EU v OIV</w:t>
      </w:r>
    </w:p>
    <w:p w:rsidR="00C60EB1" w:rsidRDefault="004E0C60">
      <w:pPr>
        <w:rPr>
          <w:rFonts w:eastAsia="Arial Unicode MS"/>
          <w:noProof/>
        </w:rPr>
      </w:pPr>
      <w:r>
        <w:rPr>
          <w:noProof/>
        </w:rPr>
        <w:t>Trenutno je 47 držav članic OIV, od tega 20 držav članic Unije. EU ni članica OIV. Vendar je OIV od 20. oktobra 2017 Uniji dodelila poseben status, določen v členu 4 poslovnika OIV, ki ji omogoča, da aktivno sodeluje pri delu odborov, pododborov in skupin strokovnjakov ter se udeležuje zasedanj generalne skupščine in izvršnega odbora.</w:t>
      </w:r>
    </w:p>
    <w:p w:rsidR="00C60EB1" w:rsidRDefault="004E0C60">
      <w:pPr>
        <w:pStyle w:val="ManualHeading2"/>
        <w:rPr>
          <w:noProof/>
          <w:color w:val="000000" w:themeColor="text1"/>
        </w:rPr>
      </w:pPr>
      <w:r>
        <w:rPr>
          <w:noProof/>
        </w:rPr>
        <w:t>2.2</w:t>
      </w:r>
      <w:r>
        <w:rPr>
          <w:noProof/>
        </w:rPr>
        <w:tab/>
        <w:t>Mednarodna organizacija za trto in vino</w:t>
      </w:r>
    </w:p>
    <w:p w:rsidR="00C60EB1" w:rsidRDefault="004E0C60">
      <w:pPr>
        <w:rPr>
          <w:rFonts w:eastAsia="Arial Unicode MS"/>
          <w:noProof/>
        </w:rPr>
      </w:pPr>
      <w:r>
        <w:rPr>
          <w:noProof/>
        </w:rPr>
        <w:t>Mednarodna organizacija za trto in vino (v nadaljnjem besedilu: OIV) je medvladna znanstvena in tehnična organizacija, dejavna v sektorju vinske trte, vina, pijač na osnovi vina, namiznega grozdja, rozin in drugih proizvodov vinske trte. Cilji OIV so (i) obveščanje o ukrepih, pri čemer se lahko upoštevajo pomisleki pridelovalcev, potrošnikov in drugih akterjev v sektorju proizvodov iz trte in vina, (ii) pomoč drugim mednarodnim organizacijam, ki se ukvarjajo z dejavnostmi standardizacije, in (iii) prispevanje k mednarodnemu usklajevanju obstoječih praks in standardov.</w:t>
      </w:r>
    </w:p>
    <w:p w:rsidR="00C60EB1" w:rsidRDefault="004E0C60">
      <w:pPr>
        <w:pStyle w:val="ManualHeading2"/>
        <w:rPr>
          <w:noProof/>
          <w:color w:val="000000" w:themeColor="text1"/>
        </w:rPr>
      </w:pPr>
      <w:r>
        <w:rPr>
          <w:noProof/>
        </w:rPr>
        <w:t>2.3</w:t>
      </w:r>
      <w:r>
        <w:rPr>
          <w:noProof/>
        </w:rPr>
        <w:tab/>
        <w:t>Predvideni akt OIV</w:t>
      </w:r>
    </w:p>
    <w:p w:rsidR="00C60EB1" w:rsidRDefault="004E0C60">
      <w:pPr>
        <w:rPr>
          <w:noProof/>
        </w:rPr>
      </w:pPr>
      <w:r>
        <w:rPr>
          <w:noProof/>
        </w:rPr>
        <w:t>Naslednja generalna skupščina OIV bo 19. julija 2019 v Švici. V tem okviru in na podlagi razprav, ki so potekale na srečanju skupine strokovnjakov marca in aprila 2019 v Parizu, se lahko pričakuje, da bodo na dnevni red seje generalne skupščine za sprejetje uvrščene naslednje resolucije s pravnim učinkom na zakonodajo Unije:</w:t>
      </w:r>
    </w:p>
    <w:p w:rsidR="00C60EB1" w:rsidRDefault="004E0C60">
      <w:pPr>
        <w:pStyle w:val="Tiret0"/>
        <w:numPr>
          <w:ilvl w:val="0"/>
          <w:numId w:val="9"/>
        </w:numPr>
        <w:rPr>
          <w:noProof/>
        </w:rPr>
      </w:pPr>
      <w:r>
        <w:rPr>
          <w:noProof/>
        </w:rPr>
        <w:t>osnutek resolucije OENO-MICRO 16-594A o določitvi novih enoloških postopkov in osnutek resolucije OENO-MICRO 17-611 o posodobitvi ciljev obstoječih enoloških postopkov. V skladu s členom 80(3)(a) in členom 90(2) Uredbe (EU) št. 1308/2013</w:t>
      </w:r>
      <w:r>
        <w:rPr>
          <w:rStyle w:val="FootnoteReference"/>
          <w:noProof/>
        </w:rPr>
        <w:footnoteReference w:id="1"/>
      </w:r>
      <w:r>
        <w:rPr>
          <w:noProof/>
        </w:rPr>
        <w:t xml:space="preserve"> ter členom 9 Uredbe (ES) št. 606/2009</w:t>
      </w:r>
      <w:r>
        <w:rPr>
          <w:rStyle w:val="FootnoteReference"/>
          <w:noProof/>
        </w:rPr>
        <w:footnoteReference w:id="2"/>
      </w:r>
      <w:r>
        <w:rPr>
          <w:noProof/>
        </w:rPr>
        <w:t xml:space="preserve"> bosta imeli ti resoluciji pravni učinek na zakonodajo Unije;</w:t>
      </w:r>
    </w:p>
    <w:p w:rsidR="00C60EB1" w:rsidRDefault="004E0C60">
      <w:pPr>
        <w:pStyle w:val="Tiret0"/>
        <w:rPr>
          <w:noProof/>
        </w:rPr>
      </w:pPr>
      <w:r>
        <w:rPr>
          <w:noProof/>
        </w:rPr>
        <w:t>osnutki resolucij OENO-TECHNO 15-586, 17-612 in 17-613 o posodobitvi postopkov in ciljev ustreznih enoloških postopkov, osnutek resolucije OENO-TECHNO 18-633 o dodajanju uporabe nove snovi za izvajanje obstoječih enoloških postopkov ter osnutek resolucije OENO-TECHNO 17-616 o določitvi novih enoloških postopkov za pridelavo vina. V skladu s členom 80(3)(a) in členom 90(2) Uredbe (EU) št. 1308/2013 bodo imele te resolucije pravni učinek na zakonodajo Unije;</w:t>
      </w:r>
    </w:p>
    <w:p w:rsidR="00C60EB1" w:rsidRDefault="004E0C60">
      <w:pPr>
        <w:pStyle w:val="Tiret0"/>
        <w:rPr>
          <w:noProof/>
        </w:rPr>
      </w:pPr>
      <w:r>
        <w:rPr>
          <w:noProof/>
        </w:rPr>
        <w:t xml:space="preserve">osnutki resolucij OENO-SPECIF 17-617, 18-646 in 18-650 o posodobitvi monografij, ki določajo specifikacije čistosti in določanja snovi, uporabljenih v </w:t>
      </w:r>
      <w:r>
        <w:rPr>
          <w:noProof/>
        </w:rPr>
        <w:lastRenderedPageBreak/>
        <w:t>enoloških postopkih. V skladu s členom 80(3)(a) in členom 90(2) Uredbe (EU) št. 1308/2013 ter členom 9 Uredbe (ES) št. 606/2009 bodo imele te resolucije pravni učinek na zakonodajo Unije;</w:t>
      </w:r>
    </w:p>
    <w:p w:rsidR="00C60EB1" w:rsidRDefault="004E0C60">
      <w:pPr>
        <w:pStyle w:val="Tiret0"/>
        <w:rPr>
          <w:noProof/>
        </w:rPr>
      </w:pPr>
      <w:r>
        <w:rPr>
          <w:noProof/>
        </w:rPr>
        <w:t>osnutki resolucij OENO-SCMA 16-596, 17-619, 17-621 in 17-622 o določitvi novih analiznih metod ter osnutek resolucije OENO-SCMA 18-638 o določitvi nove analizne metode in nove mejne vrednosti za prisotnost svinca v vinu. V skladu s členom 80(3)(a) in členom 80(5) Uredbe (EU) št. 1308/2013 bodo imele te resolucije pravni učinek na zakonodajo Unije.</w:t>
      </w:r>
    </w:p>
    <w:p w:rsidR="00C60EB1" w:rsidRDefault="004E0C60">
      <w:pPr>
        <w:pBdr>
          <w:top w:val="nil"/>
          <w:left w:val="nil"/>
          <w:bottom w:val="nil"/>
          <w:right w:val="nil"/>
          <w:between w:val="nil"/>
          <w:bar w:val="nil"/>
        </w:pBdr>
        <w:spacing w:before="0" w:after="240"/>
        <w:rPr>
          <w:noProof/>
        </w:rPr>
      </w:pPr>
      <w:r>
        <w:rPr>
          <w:noProof/>
        </w:rPr>
        <w:t>Kot v preteklosti se lahko pričakuje, da se bo dnevni red seje generalne skupščine OIV še nadalje spreminjal ter da bodo nanj dodatno uvrščene druge resolucije s pravnim učinkom na zakonodajo Unije. Da se zagotovi učinkovitost dela generalne skupščine ob upoštevanju pravil Pogodb, bo Komisija pravočasno dopolnila ali spremenila ta predlog, da Svetu omogoči sprejetje stališča tudi glede teh resolucij.</w:t>
      </w:r>
    </w:p>
    <w:p w:rsidR="00C60EB1" w:rsidRDefault="004E0C60">
      <w:pPr>
        <w:pStyle w:val="ManualHeading1"/>
        <w:rPr>
          <w:noProof/>
        </w:rPr>
      </w:pPr>
      <w:r>
        <w:rPr>
          <w:noProof/>
        </w:rPr>
        <w:t>3.</w:t>
      </w:r>
      <w:r>
        <w:rPr>
          <w:noProof/>
        </w:rPr>
        <w:tab/>
        <w:t>Stališče, ki naj se zastopa v imenu Unije</w:t>
      </w:r>
    </w:p>
    <w:p w:rsidR="00C60EB1" w:rsidRDefault="004E0C60">
      <w:pPr>
        <w:rPr>
          <w:noProof/>
        </w:rPr>
      </w:pPr>
      <w:r>
        <w:rPr>
          <w:noProof/>
        </w:rPr>
        <w:t>O osnutkih resolucij, ki bodo na naslednji generalni skupščini OIV predložene v glasovanje, so obširno razpravljali znanstveniki in tehnični strokovnjaki vinskega sektorja. Resolucije prispevajo k mednarodnemu usklajevanju standardov za vino in bodo določile okvir, ki bo zagotovil pošteno konkurenco pri trgovanju s proizvodi iz vinskega sektorja. Zato bi jih bilo treba podpreti.</w:t>
      </w:r>
    </w:p>
    <w:p w:rsidR="00C60EB1" w:rsidRDefault="004E0C60">
      <w:pPr>
        <w:pStyle w:val="ManualHeading1"/>
        <w:rPr>
          <w:noProof/>
        </w:rPr>
      </w:pPr>
      <w:r>
        <w:rPr>
          <w:noProof/>
        </w:rPr>
        <w:t>4.</w:t>
      </w:r>
      <w:r>
        <w:rPr>
          <w:noProof/>
        </w:rPr>
        <w:tab/>
        <w:t>Pravna podlaga</w:t>
      </w:r>
    </w:p>
    <w:p w:rsidR="00C60EB1" w:rsidRDefault="004E0C60">
      <w:pPr>
        <w:pStyle w:val="ManualHeading2"/>
        <w:rPr>
          <w:noProof/>
        </w:rPr>
      </w:pPr>
      <w:r>
        <w:rPr>
          <w:noProof/>
        </w:rPr>
        <w:t>4.1</w:t>
      </w:r>
      <w:r>
        <w:rPr>
          <w:noProof/>
        </w:rPr>
        <w:tab/>
        <w:t>Postopkovna pravna podlaga</w:t>
      </w:r>
    </w:p>
    <w:p w:rsidR="00C60EB1" w:rsidRDefault="004E0C60">
      <w:pPr>
        <w:pStyle w:val="ManualHeading3"/>
        <w:rPr>
          <w:noProof/>
        </w:rPr>
      </w:pPr>
      <w:r>
        <w:rPr>
          <w:noProof/>
        </w:rPr>
        <w:t>4.1.1</w:t>
      </w:r>
      <w:r>
        <w:rPr>
          <w:noProof/>
        </w:rPr>
        <w:tab/>
        <w:t>Načela</w:t>
      </w:r>
    </w:p>
    <w:p w:rsidR="00C60EB1" w:rsidRDefault="004E0C60">
      <w:pPr>
        <w:rPr>
          <w:noProof/>
        </w:rPr>
      </w:pPr>
      <w:r>
        <w:rPr>
          <w:noProof/>
        </w:rPr>
        <w:t>V členu 218(9) Pogodbe o delovanju Evropske unije (PDEU) so določeni sklepi o določitvi „stališč, ki naj se v imenu Unije zastopajo v organu, ustanovljenem s sporazumom, kadar ta organ sprejema akte s pravnim učinkom, razen aktov o spremembah ali dopolnitvah institucionalnega okvira sporazuma“.</w:t>
      </w:r>
    </w:p>
    <w:p w:rsidR="00C60EB1" w:rsidRDefault="004E0C60">
      <w:pPr>
        <w:rPr>
          <w:noProof/>
        </w:rPr>
      </w:pPr>
      <w:r>
        <w:rPr>
          <w:noProof/>
        </w:rPr>
        <w:t>Člen 218(9) PDEU se uporablja ne glede na to, ali je Unija članica organa ali pogodbenica sporazuma</w:t>
      </w:r>
      <w:r>
        <w:rPr>
          <w:rStyle w:val="FootnoteReference"/>
          <w:noProof/>
        </w:rPr>
        <w:footnoteReference w:id="3"/>
      </w:r>
      <w:r>
        <w:rPr>
          <w:noProof/>
        </w:rPr>
        <w:t>.</w:t>
      </w:r>
    </w:p>
    <w:p w:rsidR="00C60EB1" w:rsidRDefault="004E0C60">
      <w:pPr>
        <w:rPr>
          <w:noProof/>
        </w:rPr>
      </w:pPr>
      <w:r>
        <w:rPr>
          <w:noProof/>
        </w:rPr>
        <w:t>Pojem „akti s pravnim učinkom“ vključuje akte, ki imajo pravni učinek po pravilih mednarodnega prava, ki urejajo zadevni organ. Vključuje tudi instrumente, ki nimajo zavezujočega učinka po mednarodnem pravu, vendar lahko „odločilno vpliva[jo] na vsebino ureditve, ki jo [sprejme] zakonodajalec Unije“</w:t>
      </w:r>
      <w:r>
        <w:rPr>
          <w:rStyle w:val="FootnoteReference"/>
          <w:noProof/>
        </w:rPr>
        <w:footnoteReference w:id="4"/>
      </w:r>
      <w:r>
        <w:rPr>
          <w:noProof/>
        </w:rPr>
        <w:t>.</w:t>
      </w:r>
    </w:p>
    <w:p w:rsidR="00C60EB1" w:rsidRDefault="004E0C60">
      <w:pPr>
        <w:pStyle w:val="ManualHeading3"/>
        <w:rPr>
          <w:noProof/>
        </w:rPr>
      </w:pPr>
      <w:r>
        <w:rPr>
          <w:noProof/>
        </w:rPr>
        <w:t>4.1.2</w:t>
      </w:r>
      <w:r>
        <w:rPr>
          <w:noProof/>
        </w:rPr>
        <w:tab/>
        <w:t>Uporaba v obravnavanem primeru</w:t>
      </w:r>
    </w:p>
    <w:p w:rsidR="00C60EB1" w:rsidRDefault="004E0C60">
      <w:pPr>
        <w:rPr>
          <w:rFonts w:eastAsia="Times New Roman"/>
          <w:noProof/>
          <w:szCs w:val="24"/>
        </w:rPr>
      </w:pPr>
      <w:r>
        <w:rPr>
          <w:noProof/>
        </w:rPr>
        <w:t xml:space="preserve">Mednarodna organizacija za trto in vino je medvladna znanstvena in tehnična organizacija, dejavna v sektorju vinske trte, vina, pijač na osnovi vina, namiznega grozdja, rozin in drugih proizvodov vinske trte. Trenutno je 46 držav članic OIV, od tega 20 držav članic Unije. EU ni članica OIV. Vendar je OIV od 20. oktobra 2017 Uniji dodelila poseben status, določen v členu 4 poslovnika OIV, ki ji omogoča, da aktivno sodeluje pri delu odborov, pododborov in skupin strokovnjakov ter se udeležuje zasedanj generalne skupščine in izvršnega odbora. </w:t>
      </w:r>
    </w:p>
    <w:p w:rsidR="00C60EB1" w:rsidRDefault="004E0C60">
      <w:pPr>
        <w:rPr>
          <w:noProof/>
        </w:rPr>
      </w:pPr>
      <w:r>
        <w:rPr>
          <w:noProof/>
        </w:rPr>
        <w:lastRenderedPageBreak/>
        <w:t xml:space="preserve">V skladu z Uredbo (EU) št. 1308/2013 Evropskega parlamenta in Sveta ter Uredbo Komisije (ES) št. 606/2009 imajo nekatere resolucije, ki jih sprejme in objavi OIV, pravni učinek na zakonodajo Unije. Zato bi Svet moral sprejeti stališče Unije glede teh resolucij v zvezi z zadevami, ki so v njeni pristojnosti, države članice, ki so članice OIV, pa bi ga morale izraziti na sejah OIV, pri čemer ravnajo skupaj v interesu Unije. </w:t>
      </w:r>
    </w:p>
    <w:p w:rsidR="00C60EB1" w:rsidRDefault="004E0C60">
      <w:pPr>
        <w:rPr>
          <w:noProof/>
        </w:rPr>
      </w:pPr>
      <w:r>
        <w:rPr>
          <w:noProof/>
        </w:rPr>
        <w:t>Postopkovna pravna podlaga za predlagani sklep je zato člen 218(9) PDEU.</w:t>
      </w:r>
    </w:p>
    <w:p w:rsidR="00C60EB1" w:rsidRDefault="004E0C60">
      <w:pPr>
        <w:pStyle w:val="ManualHeading2"/>
        <w:rPr>
          <w:noProof/>
        </w:rPr>
      </w:pPr>
      <w:r>
        <w:rPr>
          <w:noProof/>
        </w:rPr>
        <w:t>4.2</w:t>
      </w:r>
      <w:r>
        <w:rPr>
          <w:noProof/>
        </w:rPr>
        <w:tab/>
        <w:t>Materialna pravna podlaga</w:t>
      </w:r>
    </w:p>
    <w:p w:rsidR="00C60EB1" w:rsidRDefault="004E0C60">
      <w:pPr>
        <w:pStyle w:val="ManualHeading3"/>
        <w:rPr>
          <w:noProof/>
        </w:rPr>
      </w:pPr>
      <w:r>
        <w:rPr>
          <w:noProof/>
        </w:rPr>
        <w:t>4.2.1</w:t>
      </w:r>
      <w:r>
        <w:rPr>
          <w:noProof/>
        </w:rPr>
        <w:tab/>
        <w:t>Načela</w:t>
      </w:r>
    </w:p>
    <w:p w:rsidR="00C60EB1" w:rsidRDefault="004E0C60">
      <w:pPr>
        <w:rPr>
          <w:noProof/>
        </w:rPr>
      </w:pPr>
      <w:r>
        <w:rPr>
          <w:noProof/>
        </w:rPr>
        <w:t>Materialna pravna podlaga za sklep po členu 218(9) PDEU je odvisna predvsem od cilja in vsebine predvidenega akta, glede katerega se v imenu Unije zastopa stališče. Če ima predvideni akt dva cilja ali elementa in če je eden od teh ciljev ali elementov glavni, drugi pa postranski, mora sklep po členu 218(9) PDEU temeljiti na samo eni materialni pravni podlagi, in sicer na tisti, ki se zahteva za glavni ali prevladujoči cilj ali element.</w:t>
      </w:r>
    </w:p>
    <w:p w:rsidR="00C60EB1" w:rsidRDefault="004E0C60">
      <w:pPr>
        <w:pStyle w:val="ManualHeading3"/>
        <w:rPr>
          <w:noProof/>
        </w:rPr>
      </w:pPr>
      <w:r>
        <w:rPr>
          <w:noProof/>
        </w:rPr>
        <w:t>4.2.2</w:t>
      </w:r>
      <w:r>
        <w:rPr>
          <w:noProof/>
        </w:rPr>
        <w:tab/>
        <w:t>Uporaba v obravnavanem primeru</w:t>
      </w:r>
    </w:p>
    <w:p w:rsidR="00C60EB1" w:rsidRDefault="004E0C60">
      <w:pPr>
        <w:rPr>
          <w:noProof/>
          <w:color w:val="000000" w:themeColor="text1"/>
        </w:rPr>
      </w:pPr>
      <w:r>
        <w:rPr>
          <w:noProof/>
          <w:color w:val="000000" w:themeColor="text1"/>
        </w:rPr>
        <w:t xml:space="preserve">Glavni cilj predvidenih osnutkov resolucij je uskladitev standardov za vino in s tem izvajanje skupne kmetijske politike. </w:t>
      </w:r>
      <w:r>
        <w:rPr>
          <w:noProof/>
        </w:rPr>
        <w:t>Materialna pravna podlaga za predlagani sklep je torej člen 43 PDEU.</w:t>
      </w:r>
    </w:p>
    <w:p w:rsidR="00C60EB1" w:rsidRDefault="004E0C60">
      <w:pPr>
        <w:pStyle w:val="ManualHeading2"/>
        <w:rPr>
          <w:noProof/>
        </w:rPr>
      </w:pPr>
      <w:r>
        <w:rPr>
          <w:noProof/>
        </w:rPr>
        <w:t>4.3</w:t>
      </w:r>
      <w:r>
        <w:rPr>
          <w:noProof/>
        </w:rPr>
        <w:tab/>
        <w:t>Sklepna ugotovitev</w:t>
      </w:r>
    </w:p>
    <w:p w:rsidR="00C60EB1" w:rsidRDefault="004E0C60">
      <w:pPr>
        <w:rPr>
          <w:noProof/>
          <w:color w:val="000000" w:themeColor="text1"/>
        </w:rPr>
      </w:pPr>
      <w:r>
        <w:rPr>
          <w:noProof/>
        </w:rPr>
        <w:t>Pravna podlaga predlaganega sklepa bi moral biti člen 43 PDEU v povezavi s členom 218(9) PDEU.</w:t>
      </w:r>
    </w:p>
    <w:p w:rsidR="00C60EB1" w:rsidRDefault="004E0C60">
      <w:pPr>
        <w:pStyle w:val="ManualHeading1"/>
        <w:rPr>
          <w:noProof/>
        </w:rPr>
      </w:pPr>
      <w:r>
        <w:rPr>
          <w:noProof/>
        </w:rPr>
        <w:t>5.</w:t>
      </w:r>
      <w:r>
        <w:rPr>
          <w:noProof/>
        </w:rPr>
        <w:tab/>
        <w:t>Objava predvidenega akta</w:t>
      </w:r>
    </w:p>
    <w:p w:rsidR="00C60EB1" w:rsidRDefault="004E0C60">
      <w:pPr>
        <w:rPr>
          <w:noProof/>
          <w:color w:val="000000" w:themeColor="text1"/>
        </w:rPr>
      </w:pPr>
      <w:r>
        <w:rPr>
          <w:noProof/>
        </w:rPr>
        <w:t>Ni relevantno.</w:t>
      </w:r>
    </w:p>
    <w:p w:rsidR="00C60EB1" w:rsidRDefault="00C60EB1">
      <w:pPr>
        <w:rPr>
          <w:noProof/>
          <w:color w:val="000000" w:themeColor="text1"/>
        </w:rPr>
        <w:sectPr w:rsidR="00C60EB1">
          <w:footerReference w:type="default" r:id="rId22"/>
          <w:footerReference w:type="first" r:id="rId23"/>
          <w:pgSz w:w="11907" w:h="16839"/>
          <w:pgMar w:top="1134" w:right="1417" w:bottom="1134" w:left="1417" w:header="709" w:footer="709" w:gutter="0"/>
          <w:pgNumType w:start="1"/>
          <w:cols w:space="720"/>
          <w:docGrid w:linePitch="360"/>
        </w:sectPr>
      </w:pPr>
    </w:p>
    <w:p w:rsidR="00C60EB1" w:rsidRDefault="004E0C60">
      <w:pPr>
        <w:pStyle w:val="Rfrenceinterinstitutionnelle"/>
        <w:rPr>
          <w:noProof/>
        </w:rPr>
      </w:pPr>
      <w:r>
        <w:rPr>
          <w:noProof/>
        </w:rPr>
        <w:lastRenderedPageBreak/>
        <w:t>2019/0121 (NLE)</w:t>
      </w:r>
    </w:p>
    <w:p w:rsidR="00C60EB1" w:rsidRDefault="004E0C60">
      <w:pPr>
        <w:pStyle w:val="Statut"/>
        <w:rPr>
          <w:noProof/>
        </w:rPr>
      </w:pPr>
      <w:r>
        <w:rPr>
          <w:noProof/>
        </w:rPr>
        <w:t>Predlog</w:t>
      </w:r>
    </w:p>
    <w:p w:rsidR="00C60EB1" w:rsidRDefault="004E0C60">
      <w:pPr>
        <w:pStyle w:val="Typedudocument"/>
        <w:rPr>
          <w:noProof/>
        </w:rPr>
      </w:pPr>
      <w:r>
        <w:rPr>
          <w:noProof/>
        </w:rPr>
        <w:t>SKLEP SVETA</w:t>
      </w:r>
    </w:p>
    <w:p w:rsidR="00C60EB1" w:rsidRDefault="004E0C60">
      <w:pPr>
        <w:pStyle w:val="Titreobjet"/>
        <w:rPr>
          <w:noProof/>
        </w:rPr>
      </w:pPr>
      <w:r>
        <w:rPr>
          <w:noProof/>
        </w:rPr>
        <w:t>o stališču, ki se v imenu Evropske unije zastopa v Mednarodni organizaciji za trto in vino</w:t>
      </w:r>
    </w:p>
    <w:p w:rsidR="00C60EB1" w:rsidRDefault="004E0C60">
      <w:pPr>
        <w:pStyle w:val="Institutionquiagit"/>
        <w:rPr>
          <w:b/>
          <w:noProof/>
        </w:rPr>
      </w:pPr>
      <w:r>
        <w:rPr>
          <w:b/>
          <w:noProof/>
        </w:rPr>
        <w:t>SVET EVROPSKE UNIJE JE –</w:t>
      </w:r>
    </w:p>
    <w:p w:rsidR="00C60EB1" w:rsidRDefault="004E0C60">
      <w:pPr>
        <w:rPr>
          <w:noProof/>
        </w:rPr>
      </w:pPr>
      <w:r>
        <w:rPr>
          <w:noProof/>
        </w:rPr>
        <w:t>ob upoštevanju Pogodbe o delovanju Evropske unije in zlasti člena 43 v povezavi s členom 218(9) Pogodbe,</w:t>
      </w:r>
    </w:p>
    <w:p w:rsidR="00C60EB1" w:rsidRDefault="004E0C60">
      <w:pPr>
        <w:rPr>
          <w:noProof/>
        </w:rPr>
      </w:pPr>
      <w:r>
        <w:rPr>
          <w:noProof/>
        </w:rPr>
        <w:t>ob upoštevanju predloga Evropske komisije,</w:t>
      </w:r>
    </w:p>
    <w:p w:rsidR="00C60EB1" w:rsidRDefault="004E0C60">
      <w:pPr>
        <w:rPr>
          <w:noProof/>
        </w:rPr>
      </w:pPr>
      <w:r>
        <w:rPr>
          <w:noProof/>
        </w:rPr>
        <w:t>ob upoštevanju naslednjega:</w:t>
      </w:r>
    </w:p>
    <w:p w:rsidR="00C60EB1" w:rsidRDefault="004E0C60">
      <w:pPr>
        <w:pStyle w:val="ManualConsidrant"/>
        <w:rPr>
          <w:noProof/>
        </w:rPr>
      </w:pPr>
      <w:r>
        <w:rPr>
          <w:noProof/>
        </w:rPr>
        <w:t>(1)</w:t>
      </w:r>
      <w:r>
        <w:rPr>
          <w:noProof/>
        </w:rPr>
        <w:tab/>
        <w:t>Mednarodna organizacija za trto in vino (v nadaljnjem besedilu: OIV) bo na svoji naslednji seji generalne skupščine 19. julija 2019 preučila in verjetno sprejela resolucije, ki bodo vplivale na zakonodajo Unije. Unija ni članica OIV. Vendar je OIV 20. oktobra 2017 Uniji dodelila posebni status, določen v členu 4 poslovnika OIV.</w:t>
      </w:r>
    </w:p>
    <w:p w:rsidR="00C60EB1" w:rsidRDefault="004E0C60">
      <w:pPr>
        <w:pStyle w:val="ManualConsidrant"/>
        <w:rPr>
          <w:noProof/>
        </w:rPr>
      </w:pPr>
      <w:r>
        <w:rPr>
          <w:noProof/>
        </w:rPr>
        <w:t>(2)</w:t>
      </w:r>
      <w:r>
        <w:rPr>
          <w:noProof/>
        </w:rPr>
        <w:tab/>
        <w:t>V OIV je včlanjenih 20 držav članic EU. Navedene države članice imajo možnost, da predlagajo spremembe k osnutkom resolucij OIV, in bodo pozvane, naj na naslednji seji generalne skupščine OIV 19. julija 2019 sprejmejo nekatere osnutke resolucij OIV.</w:t>
      </w:r>
    </w:p>
    <w:p w:rsidR="00C60EB1" w:rsidRDefault="004E0C60">
      <w:pPr>
        <w:pStyle w:val="ManualConsidrant"/>
        <w:rPr>
          <w:noProof/>
        </w:rPr>
      </w:pPr>
      <w:r>
        <w:rPr>
          <w:noProof/>
        </w:rPr>
        <w:t>(3)</w:t>
      </w:r>
      <w:r>
        <w:rPr>
          <w:noProof/>
        </w:rPr>
        <w:tab/>
        <w:t>Zato bi Svet moral sprejeti stališče Unije glede teh resolucij v zvezi z zadevami, ki so v njeni pristojnosti, države članice, ki so članice OIV, pa bi ga morale izraziti na sejah OIV, pri čemer ravnajo skupaj v interesu Unije.</w:t>
      </w:r>
    </w:p>
    <w:p w:rsidR="00C60EB1" w:rsidRDefault="004E0C60">
      <w:pPr>
        <w:pStyle w:val="ManualConsidrant"/>
        <w:rPr>
          <w:noProof/>
        </w:rPr>
      </w:pPr>
      <w:r>
        <w:rPr>
          <w:noProof/>
        </w:rPr>
        <w:t>(4)</w:t>
      </w:r>
      <w:r>
        <w:rPr>
          <w:noProof/>
        </w:rPr>
        <w:tab/>
        <w:t>V skladu z Uredbo (EU) št. 1308/2013 Evropskega parlamenta in Sveta</w:t>
      </w:r>
      <w:r>
        <w:rPr>
          <w:rStyle w:val="FootnoteReference"/>
          <w:noProof/>
        </w:rPr>
        <w:footnoteReference w:id="5"/>
      </w:r>
      <w:r>
        <w:rPr>
          <w:noProof/>
        </w:rPr>
        <w:t xml:space="preserve"> ter Uredbo Komisije (ES) št. 606/2009</w:t>
      </w:r>
      <w:r>
        <w:rPr>
          <w:rStyle w:val="FootnoteReference"/>
          <w:noProof/>
        </w:rPr>
        <w:footnoteReference w:id="6"/>
      </w:r>
      <w:r>
        <w:rPr>
          <w:noProof/>
        </w:rPr>
        <w:t xml:space="preserve"> nekatere resolucije, ki jih sprejme in objavi OIV, vplivajo na zakonodajo Unije.</w:t>
      </w:r>
    </w:p>
    <w:p w:rsidR="00C60EB1" w:rsidRDefault="004E0C60">
      <w:pPr>
        <w:pStyle w:val="ManualConsidrant"/>
        <w:rPr>
          <w:noProof/>
        </w:rPr>
      </w:pPr>
      <w:r>
        <w:rPr>
          <w:noProof/>
        </w:rPr>
        <w:t>(5)</w:t>
      </w:r>
      <w:r>
        <w:rPr>
          <w:noProof/>
        </w:rPr>
        <w:tab/>
        <w:t>Člen 80(3)(a) Uredbe (EU) št. 1308/2013 določa, da Komisija pri odobritvi enoloških postopkov upošteva enološke postopke in analizne metode, ki jih priporoča in objavi OIV.</w:t>
      </w:r>
    </w:p>
    <w:p w:rsidR="00C60EB1" w:rsidRDefault="004E0C60">
      <w:pPr>
        <w:pStyle w:val="ManualConsidrant"/>
        <w:rPr>
          <w:noProof/>
        </w:rPr>
      </w:pPr>
      <w:r>
        <w:rPr>
          <w:noProof/>
        </w:rPr>
        <w:t>(6)</w:t>
      </w:r>
      <w:r>
        <w:rPr>
          <w:noProof/>
        </w:rPr>
        <w:tab/>
        <w:t>Člen 80(5) Uredbe (EU) št. 1308/2013 določa, da mora Komisija pri določitvi analiznih metod za določanje sestave proizvodov vinskega sektorja zagotoviti, da metode temeljijo na morebitnih ustreznih metodah, ki jih priporoča in objavi OIV, razen če bi bile neučinkovite ali neustrezne za izpolnjevanje cilja Unije.</w:t>
      </w:r>
    </w:p>
    <w:p w:rsidR="00C60EB1" w:rsidRDefault="004E0C60">
      <w:pPr>
        <w:pStyle w:val="ManualConsidrant"/>
        <w:rPr>
          <w:noProof/>
        </w:rPr>
      </w:pPr>
      <w:r>
        <w:rPr>
          <w:noProof/>
        </w:rPr>
        <w:t>(7)</w:t>
      </w:r>
      <w:r>
        <w:rPr>
          <w:noProof/>
        </w:rPr>
        <w:tab/>
        <w:t>Člen 90(2) Uredbe (EU) št. 1308/2013 določa, da morajo biti proizvodi vinskega sektorja, ki se uvažajo v Unijo, pridelani po enoloških postopkih, ki jih dovoli Unija v skladu z navedeno uredbo oziroma so pred to odobritvijo pridelani po enoloških postopkih, ki jih priporoča in objavi OIV.</w:t>
      </w:r>
    </w:p>
    <w:p w:rsidR="00C60EB1" w:rsidRDefault="004E0C60">
      <w:pPr>
        <w:pStyle w:val="ManualConsidrant"/>
        <w:rPr>
          <w:noProof/>
        </w:rPr>
      </w:pPr>
      <w:r>
        <w:rPr>
          <w:noProof/>
        </w:rPr>
        <w:t>(8)</w:t>
      </w:r>
      <w:r>
        <w:rPr>
          <w:noProof/>
        </w:rPr>
        <w:tab/>
        <w:t>Člen 9 Uredbe (ES) št. 606/2009 določa, da se uporabijo specifikacije čistosti in določanja snovi, uporabljenih pri enoloških postopkih, ki jih določi in objavi OIV, kadar jih ne določi Komisija.</w:t>
      </w:r>
    </w:p>
    <w:p w:rsidR="00C60EB1" w:rsidRDefault="004E0C60">
      <w:pPr>
        <w:pStyle w:val="ManualConsidrant"/>
        <w:rPr>
          <w:noProof/>
        </w:rPr>
      </w:pPr>
      <w:r>
        <w:rPr>
          <w:noProof/>
        </w:rPr>
        <w:t>(9)</w:t>
      </w:r>
      <w:r>
        <w:rPr>
          <w:noProof/>
        </w:rPr>
        <w:tab/>
        <w:t>Osnutek resolucije OENO-MICRO 16-594A določa nove enološke postopke. Osnutek resolucije OENO-MICRO 17-611 posodablja cilje obstoječih enoloških postopkov. V skladu s členom 80(3)(a) in členom 90(2) Uredbe (EU) št. 1308/2013 ter členom 9 Uredbe (ES) št. 606/2009 bosta imeli ti resoluciji pravni učinek na zakonodajo Unije.</w:t>
      </w:r>
    </w:p>
    <w:p w:rsidR="00C60EB1" w:rsidRDefault="004E0C60">
      <w:pPr>
        <w:pStyle w:val="ManualConsidrant"/>
        <w:rPr>
          <w:noProof/>
        </w:rPr>
      </w:pPr>
      <w:r>
        <w:rPr>
          <w:noProof/>
        </w:rPr>
        <w:t>(10)</w:t>
      </w:r>
      <w:r>
        <w:rPr>
          <w:noProof/>
        </w:rPr>
        <w:tab/>
        <w:t>Osnutki resolucij OENO-TECHNO 15-586, 17-612 in 17-613 posodabljajo postopke in cilje ustreznih enoloških postopkov. Osnutek resolucije OENO-TECHNO 18-633 dodaja uporabo nove snovi za izvajanje obstoječih enoloških postopkov. Osnutek resolucije OENO-TECHNO 17-616 določa nove enološke postopke za pridelavo vina. V skladu s členom 80(3)(a) in členom 90(2) Uredbe (EU) št. 1308/2013 bodo imele te resolucije pravni učinek na zakonodajo Unije.</w:t>
      </w:r>
    </w:p>
    <w:p w:rsidR="00C60EB1" w:rsidRDefault="004E0C60">
      <w:pPr>
        <w:pStyle w:val="ManualConsidrant"/>
        <w:rPr>
          <w:noProof/>
        </w:rPr>
      </w:pPr>
      <w:r>
        <w:rPr>
          <w:noProof/>
        </w:rPr>
        <w:t>(11)</w:t>
      </w:r>
      <w:r>
        <w:rPr>
          <w:noProof/>
        </w:rPr>
        <w:tab/>
        <w:t>Osnutki resolucij OENO-SPECIF 17-617, 18-646 in 18-650 posodabljajo monografije, ki določajo specifikacije čistosti in določanja snovi, uporabljenih v enoloških postopkih. V skladu s členom 80(3)(a) in členom 90(2) Uredbe (EU) št. 1308/2013 ter členom 9 Uredbe (ES) št. 606/2009 bodo imele te resolucije pravni učinek na zakonodajo Unije.</w:t>
      </w:r>
    </w:p>
    <w:p w:rsidR="00C60EB1" w:rsidRDefault="004E0C60">
      <w:pPr>
        <w:pStyle w:val="ManualConsidrant"/>
        <w:rPr>
          <w:noProof/>
        </w:rPr>
      </w:pPr>
      <w:r>
        <w:rPr>
          <w:noProof/>
        </w:rPr>
        <w:t>(12)</w:t>
      </w:r>
      <w:r>
        <w:rPr>
          <w:noProof/>
        </w:rPr>
        <w:tab/>
        <w:t>Osnutki resolucij OENO-SCMA 16-596, 17-619, 17-621 in 17-622 določajo nove analizne metode. Osnutek resolucije OENO-SCMA 18-638 določa novo analizno metodo in novo mejno vrednost za prisotnost svinca v vinu. V skladu s členom 80(3)(a) in členom 80(5) Uredbe (EU) št. 1308/2013 bodo imele te resolucije pravni učinek na zakonodajo Unije.</w:t>
      </w:r>
    </w:p>
    <w:p w:rsidR="00C60EB1" w:rsidRDefault="004E0C60">
      <w:pPr>
        <w:pStyle w:val="ManualConsidrant"/>
        <w:rPr>
          <w:noProof/>
        </w:rPr>
      </w:pPr>
      <w:r>
        <w:rPr>
          <w:noProof/>
        </w:rPr>
        <w:t>(13)</w:t>
      </w:r>
      <w:r>
        <w:rPr>
          <w:noProof/>
        </w:rPr>
        <w:tab/>
        <w:t>O navedenih osnutkih resolucij so obsežno razpravljali znanstveniki in tehnični strokovnjaki vinskega sektorja. Resolucije prispevajo k mednarodnemu usklajevanju standardov za vino in bodo določile okvir, ki bo zagotovil pošteno konkurenco pri trgovanju s proizvodi iz vinskega sektorja. Zato bi jih bilo treba podpreti.</w:t>
      </w:r>
    </w:p>
    <w:p w:rsidR="00C60EB1" w:rsidRDefault="004E0C60">
      <w:pPr>
        <w:pStyle w:val="ManualConsidrant"/>
        <w:rPr>
          <w:noProof/>
        </w:rPr>
      </w:pPr>
      <w:r>
        <w:rPr>
          <w:noProof/>
        </w:rPr>
        <w:t>(14)</w:t>
      </w:r>
      <w:r>
        <w:rPr>
          <w:noProof/>
        </w:rPr>
        <w:tab/>
        <w:t>Za zagotovitev potrebne prožnosti med pogajanji pred sejo generalne skupščine OIV bi morale biti države članice, ki so članice OIV, pooblaščene, da se strinjajo s spremembami teh resolucij pod pogojem, da navedene spremembe ne vplivajo na vsebino resolucij –</w:t>
      </w:r>
    </w:p>
    <w:p w:rsidR="00C60EB1" w:rsidRDefault="004E0C60">
      <w:pPr>
        <w:pStyle w:val="Formuledadoption"/>
        <w:rPr>
          <w:noProof/>
        </w:rPr>
      </w:pPr>
      <w:r>
        <w:rPr>
          <w:noProof/>
        </w:rPr>
        <w:t>SPREJEL NASLEDNJI SKLEP:</w:t>
      </w:r>
    </w:p>
    <w:p w:rsidR="00C60EB1" w:rsidRDefault="004E0C60">
      <w:pPr>
        <w:pStyle w:val="Titrearticle"/>
        <w:rPr>
          <w:noProof/>
        </w:rPr>
      </w:pPr>
      <w:r>
        <w:rPr>
          <w:noProof/>
        </w:rPr>
        <w:t>Člen 1</w:t>
      </w:r>
    </w:p>
    <w:p w:rsidR="00C60EB1" w:rsidRDefault="004E0C60">
      <w:pPr>
        <w:rPr>
          <w:noProof/>
        </w:rPr>
      </w:pPr>
      <w:r>
        <w:rPr>
          <w:noProof/>
        </w:rPr>
        <w:t>Stališče, ki se v imenu Unije sprejme na seji generalne skupščine OIV 19. julija 2019, je določeno v Prilogi in ga izrazijo države članice, ki so članice OIV, pri čemer ravnajo skupaj v interesu Unije.</w:t>
      </w:r>
    </w:p>
    <w:p w:rsidR="00C60EB1" w:rsidRDefault="004E0C60">
      <w:pPr>
        <w:rPr>
          <w:noProof/>
        </w:rPr>
      </w:pPr>
      <w:r>
        <w:rPr>
          <w:noProof/>
        </w:rPr>
        <w:br w:type="page"/>
      </w:r>
    </w:p>
    <w:p w:rsidR="00C60EB1" w:rsidRDefault="00C60EB1">
      <w:pPr>
        <w:rPr>
          <w:noProof/>
        </w:rPr>
      </w:pPr>
    </w:p>
    <w:p w:rsidR="00C60EB1" w:rsidRDefault="004E0C60">
      <w:pPr>
        <w:pStyle w:val="Titrearticle"/>
        <w:keepNext w:val="0"/>
        <w:rPr>
          <w:noProof/>
        </w:rPr>
      </w:pPr>
      <w:r>
        <w:rPr>
          <w:noProof/>
        </w:rPr>
        <w:t>Člen 2</w:t>
      </w:r>
    </w:p>
    <w:p w:rsidR="00C60EB1" w:rsidRDefault="004E0C60">
      <w:pPr>
        <w:pStyle w:val="ManualNumPar1"/>
        <w:rPr>
          <w:noProof/>
        </w:rPr>
      </w:pPr>
      <w:r>
        <w:rPr>
          <w:noProof/>
        </w:rPr>
        <w:t>1.</w:t>
      </w:r>
      <w:r>
        <w:rPr>
          <w:noProof/>
        </w:rPr>
        <w:tab/>
        <w:t>Kadar obstaja verjetnost, da bodo na stališče iz člena 1 vplivale nove znanstvene ali tehnične informacije, predstavljene pred ali med sejami OIV, države članice, ki so članice OIV, zaprosijo, da se glasovanje na seji generalne skupščine OIV preloži do oblikovanja stališča Unije na podlagi novih elementov.</w:t>
      </w:r>
    </w:p>
    <w:p w:rsidR="00C60EB1" w:rsidRDefault="004E0C60">
      <w:pPr>
        <w:pStyle w:val="ManualNumPar1"/>
        <w:rPr>
          <w:noProof/>
        </w:rPr>
      </w:pPr>
      <w:r>
        <w:rPr>
          <w:noProof/>
        </w:rPr>
        <w:t>2.</w:t>
      </w:r>
      <w:r>
        <w:rPr>
          <w:noProof/>
        </w:rPr>
        <w:tab/>
        <w:t>Države članice, ki so članice OIV, lahko po usklajevanju, zlasti na kraju samem, in brez nadaljnjega sklepa Sveta o stališču Unije ravnajo skupaj v interesu Unije in se strinjajo s spremembami osnutkov resolucij, navedenih v Prilogi, ki ne vplivajo na vsebino resolucij.</w:t>
      </w:r>
    </w:p>
    <w:p w:rsidR="00C60EB1" w:rsidRDefault="004E0C60">
      <w:pPr>
        <w:pStyle w:val="Titrearticle"/>
        <w:rPr>
          <w:noProof/>
        </w:rPr>
      </w:pPr>
      <w:r>
        <w:rPr>
          <w:noProof/>
        </w:rPr>
        <w:t>Člen 3</w:t>
      </w:r>
    </w:p>
    <w:p w:rsidR="00C60EB1" w:rsidRDefault="004E0C60">
      <w:pPr>
        <w:rPr>
          <w:noProof/>
        </w:rPr>
      </w:pPr>
      <w:r>
        <w:rPr>
          <w:noProof/>
        </w:rPr>
        <w:t>Ta sklep je naslovljen na države članice.</w:t>
      </w:r>
    </w:p>
    <w:p w:rsidR="00C60EB1" w:rsidRDefault="004E0C60">
      <w:pPr>
        <w:pStyle w:val="Fait"/>
        <w:rPr>
          <w:noProof/>
        </w:rPr>
      </w:pPr>
      <w:r>
        <w:t>V Bruslju,</w:t>
      </w:r>
    </w:p>
    <w:p w:rsidR="00C60EB1" w:rsidRDefault="004E0C60">
      <w:pPr>
        <w:pStyle w:val="Institutionquisigne"/>
        <w:rPr>
          <w:noProof/>
        </w:rPr>
      </w:pPr>
      <w:r>
        <w:rPr>
          <w:noProof/>
        </w:rPr>
        <w:tab/>
        <w:t>Za Svet</w:t>
      </w:r>
    </w:p>
    <w:p w:rsidR="00C60EB1" w:rsidRDefault="004E0C60">
      <w:pPr>
        <w:pStyle w:val="Personnequisigne"/>
        <w:rPr>
          <w:noProof/>
        </w:rPr>
      </w:pPr>
      <w:r>
        <w:rPr>
          <w:noProof/>
        </w:rPr>
        <w:tab/>
        <w:t>Predsednik</w:t>
      </w:r>
    </w:p>
    <w:sectPr w:rsidR="00C60EB1">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EB1" w:rsidRDefault="004E0C60">
      <w:pPr>
        <w:spacing w:before="0" w:after="0"/>
      </w:pPr>
      <w:r>
        <w:separator/>
      </w:r>
    </w:p>
  </w:endnote>
  <w:endnote w:type="continuationSeparator" w:id="0">
    <w:p w:rsidR="00C60EB1" w:rsidRDefault="004E0C6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EB1" w:rsidRPr="004E0C60" w:rsidRDefault="00C60EB1" w:rsidP="004E0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4E0C60" w:rsidRPr="00D94637" w:rsidTr="004E0C60">
      <w:trPr>
        <w:jc w:val="center"/>
      </w:trPr>
      <w:tc>
        <w:tcPr>
          <w:tcW w:w="5000" w:type="pct"/>
          <w:gridSpan w:val="7"/>
          <w:shd w:val="clear" w:color="auto" w:fill="auto"/>
          <w:tcMar>
            <w:top w:w="57" w:type="dxa"/>
          </w:tcMar>
        </w:tcPr>
        <w:p w:rsidR="004E0C60" w:rsidRPr="00D94637" w:rsidRDefault="004E0C60" w:rsidP="00D94637">
          <w:pPr>
            <w:pStyle w:val="FooterText"/>
            <w:pBdr>
              <w:top w:val="single" w:sz="4" w:space="1" w:color="auto"/>
            </w:pBdr>
            <w:spacing w:before="200"/>
            <w:rPr>
              <w:sz w:val="2"/>
              <w:szCs w:val="2"/>
            </w:rPr>
          </w:pPr>
          <w:bookmarkStart w:id="2" w:name="FOOTER_STANDARD"/>
        </w:p>
      </w:tc>
    </w:tr>
    <w:tr w:rsidR="004E0C60" w:rsidRPr="00B310DC" w:rsidTr="004E0C60">
      <w:trPr>
        <w:jc w:val="center"/>
      </w:trPr>
      <w:tc>
        <w:tcPr>
          <w:tcW w:w="2500" w:type="pct"/>
          <w:gridSpan w:val="2"/>
          <w:shd w:val="clear" w:color="auto" w:fill="auto"/>
          <w:tcMar>
            <w:top w:w="0" w:type="dxa"/>
          </w:tcMar>
        </w:tcPr>
        <w:p w:rsidR="004E0C60" w:rsidRPr="00AD7BF2" w:rsidRDefault="004E0C60" w:rsidP="004F54B2">
          <w:pPr>
            <w:pStyle w:val="FooterText"/>
          </w:pPr>
          <w:r>
            <w:t>9919/19</w:t>
          </w:r>
          <w:r w:rsidRPr="002511D8">
            <w:t xml:space="preserve"> </w:t>
          </w:r>
        </w:p>
      </w:tc>
      <w:tc>
        <w:tcPr>
          <w:tcW w:w="625" w:type="pct"/>
          <w:shd w:val="clear" w:color="auto" w:fill="auto"/>
          <w:tcMar>
            <w:top w:w="0" w:type="dxa"/>
          </w:tcMar>
        </w:tcPr>
        <w:p w:rsidR="004E0C60" w:rsidRPr="00AD7BF2" w:rsidRDefault="004E0C60" w:rsidP="00D94637">
          <w:pPr>
            <w:pStyle w:val="FooterText"/>
            <w:jc w:val="center"/>
          </w:pPr>
        </w:p>
      </w:tc>
      <w:tc>
        <w:tcPr>
          <w:tcW w:w="1286" w:type="pct"/>
          <w:gridSpan w:val="3"/>
          <w:shd w:val="clear" w:color="auto" w:fill="auto"/>
          <w:tcMar>
            <w:top w:w="0" w:type="dxa"/>
          </w:tcMar>
        </w:tcPr>
        <w:p w:rsidR="004E0C60" w:rsidRPr="002511D8" w:rsidRDefault="004E0C60" w:rsidP="00D94637">
          <w:pPr>
            <w:pStyle w:val="FooterText"/>
            <w:jc w:val="center"/>
          </w:pPr>
          <w:r>
            <w:t>men</w:t>
          </w:r>
        </w:p>
      </w:tc>
      <w:tc>
        <w:tcPr>
          <w:tcW w:w="589" w:type="pct"/>
          <w:shd w:val="clear" w:color="auto" w:fill="auto"/>
          <w:tcMar>
            <w:top w:w="0" w:type="dxa"/>
          </w:tcMar>
        </w:tcPr>
        <w:p w:rsidR="004E0C60" w:rsidRPr="00B310DC" w:rsidRDefault="004E0C60" w:rsidP="004E0C60">
          <w:pPr>
            <w:pStyle w:val="FooterText"/>
            <w:jc w:val="right"/>
          </w:pPr>
          <w:r>
            <w:fldChar w:fldCharType="begin"/>
          </w:r>
          <w:r>
            <w:instrText xml:space="preserve"> PAGE  \* MERGEFORMAT </w:instrText>
          </w:r>
          <w:r>
            <w:fldChar w:fldCharType="separate"/>
          </w:r>
          <w:r w:rsidR="008A7B27">
            <w:rPr>
              <w:noProof/>
            </w:rPr>
            <w:t>0</w:t>
          </w:r>
          <w:r>
            <w:fldChar w:fldCharType="end"/>
          </w:r>
        </w:p>
      </w:tc>
    </w:tr>
    <w:tr w:rsidR="004E0C60" w:rsidRPr="00D94637" w:rsidTr="004E0C60">
      <w:trPr>
        <w:jc w:val="center"/>
      </w:trPr>
      <w:tc>
        <w:tcPr>
          <w:tcW w:w="1774" w:type="pct"/>
          <w:shd w:val="clear" w:color="auto" w:fill="auto"/>
        </w:tcPr>
        <w:p w:rsidR="004E0C60" w:rsidRPr="00AD7BF2" w:rsidRDefault="004E0C60" w:rsidP="00D94637">
          <w:pPr>
            <w:pStyle w:val="FooterText"/>
            <w:spacing w:before="40"/>
          </w:pPr>
        </w:p>
      </w:tc>
      <w:tc>
        <w:tcPr>
          <w:tcW w:w="1455" w:type="pct"/>
          <w:gridSpan w:val="3"/>
          <w:shd w:val="clear" w:color="auto" w:fill="auto"/>
        </w:tcPr>
        <w:p w:rsidR="004E0C60" w:rsidRPr="00AD7BF2" w:rsidRDefault="004E0C60" w:rsidP="00D204D6">
          <w:pPr>
            <w:pStyle w:val="FooterText"/>
            <w:spacing w:before="40"/>
            <w:jc w:val="center"/>
          </w:pPr>
          <w:r>
            <w:t>LIFE 1A</w:t>
          </w:r>
        </w:p>
      </w:tc>
      <w:tc>
        <w:tcPr>
          <w:tcW w:w="742" w:type="pct"/>
          <w:shd w:val="clear" w:color="auto" w:fill="auto"/>
        </w:tcPr>
        <w:p w:rsidR="004E0C60" w:rsidRPr="00D94637" w:rsidRDefault="004E0C60" w:rsidP="002F0099">
          <w:pPr>
            <w:pStyle w:val="FooterText"/>
            <w:jc w:val="center"/>
            <w:rPr>
              <w:b/>
              <w:position w:val="-4"/>
              <w:sz w:val="36"/>
            </w:rPr>
          </w:pPr>
        </w:p>
      </w:tc>
      <w:tc>
        <w:tcPr>
          <w:tcW w:w="1029" w:type="pct"/>
          <w:gridSpan w:val="2"/>
          <w:shd w:val="clear" w:color="auto" w:fill="auto"/>
        </w:tcPr>
        <w:p w:rsidR="004E0C60" w:rsidRPr="000310C2" w:rsidRDefault="004E0C60" w:rsidP="00D94637">
          <w:pPr>
            <w:pStyle w:val="FooterText"/>
            <w:jc w:val="right"/>
            <w:rPr>
              <w:spacing w:val="-20"/>
              <w:sz w:val="16"/>
            </w:rPr>
          </w:pPr>
          <w:r>
            <w:rPr>
              <w:b/>
              <w:spacing w:val="-20"/>
              <w:position w:val="-4"/>
              <w:sz w:val="36"/>
            </w:rPr>
            <w:t>SL</w:t>
          </w:r>
        </w:p>
      </w:tc>
    </w:tr>
    <w:bookmarkEnd w:id="2"/>
  </w:tbl>
  <w:p w:rsidR="00C60EB1" w:rsidRPr="004E0C60" w:rsidRDefault="00C60EB1" w:rsidP="004E0C60">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4E0C60" w:rsidRPr="00D94637" w:rsidTr="004E0C60">
      <w:trPr>
        <w:jc w:val="center"/>
      </w:trPr>
      <w:tc>
        <w:tcPr>
          <w:tcW w:w="5000" w:type="pct"/>
          <w:gridSpan w:val="7"/>
          <w:shd w:val="clear" w:color="auto" w:fill="auto"/>
          <w:tcMar>
            <w:top w:w="57" w:type="dxa"/>
          </w:tcMar>
        </w:tcPr>
        <w:p w:rsidR="004E0C60" w:rsidRPr="00D94637" w:rsidRDefault="004E0C60" w:rsidP="00D94637">
          <w:pPr>
            <w:pStyle w:val="FooterText"/>
            <w:pBdr>
              <w:top w:val="single" w:sz="4" w:space="1" w:color="auto"/>
            </w:pBdr>
            <w:spacing w:before="200"/>
            <w:rPr>
              <w:sz w:val="2"/>
              <w:szCs w:val="2"/>
            </w:rPr>
          </w:pPr>
        </w:p>
      </w:tc>
    </w:tr>
    <w:tr w:rsidR="004E0C60" w:rsidRPr="00B310DC" w:rsidTr="004E0C60">
      <w:trPr>
        <w:jc w:val="center"/>
      </w:trPr>
      <w:tc>
        <w:tcPr>
          <w:tcW w:w="2500" w:type="pct"/>
          <w:gridSpan w:val="2"/>
          <w:shd w:val="clear" w:color="auto" w:fill="auto"/>
          <w:tcMar>
            <w:top w:w="0" w:type="dxa"/>
          </w:tcMar>
        </w:tcPr>
        <w:p w:rsidR="004E0C60" w:rsidRPr="00AD7BF2" w:rsidRDefault="004E0C60" w:rsidP="004F54B2">
          <w:pPr>
            <w:pStyle w:val="FooterText"/>
          </w:pPr>
          <w:r>
            <w:t>9919/19</w:t>
          </w:r>
          <w:r w:rsidRPr="002511D8">
            <w:t xml:space="preserve"> </w:t>
          </w:r>
        </w:p>
      </w:tc>
      <w:tc>
        <w:tcPr>
          <w:tcW w:w="625" w:type="pct"/>
          <w:shd w:val="clear" w:color="auto" w:fill="auto"/>
          <w:tcMar>
            <w:top w:w="0" w:type="dxa"/>
          </w:tcMar>
        </w:tcPr>
        <w:p w:rsidR="004E0C60" w:rsidRPr="00AD7BF2" w:rsidRDefault="004E0C60" w:rsidP="00D94637">
          <w:pPr>
            <w:pStyle w:val="FooterText"/>
            <w:jc w:val="center"/>
          </w:pPr>
        </w:p>
      </w:tc>
      <w:tc>
        <w:tcPr>
          <w:tcW w:w="1286" w:type="pct"/>
          <w:gridSpan w:val="3"/>
          <w:shd w:val="clear" w:color="auto" w:fill="auto"/>
          <w:tcMar>
            <w:top w:w="0" w:type="dxa"/>
          </w:tcMar>
        </w:tcPr>
        <w:p w:rsidR="004E0C60" w:rsidRPr="002511D8" w:rsidRDefault="004E0C60" w:rsidP="00D94637">
          <w:pPr>
            <w:pStyle w:val="FooterText"/>
            <w:jc w:val="center"/>
          </w:pPr>
          <w:r>
            <w:t>men</w:t>
          </w:r>
        </w:p>
      </w:tc>
      <w:tc>
        <w:tcPr>
          <w:tcW w:w="589" w:type="pct"/>
          <w:shd w:val="clear" w:color="auto" w:fill="auto"/>
          <w:tcMar>
            <w:top w:w="0" w:type="dxa"/>
          </w:tcMar>
        </w:tcPr>
        <w:p w:rsidR="004E0C60" w:rsidRPr="00B310DC" w:rsidRDefault="004E0C60" w:rsidP="00D94637">
          <w:pPr>
            <w:pStyle w:val="FooterText"/>
            <w:jc w:val="right"/>
          </w:pPr>
        </w:p>
      </w:tc>
    </w:tr>
    <w:tr w:rsidR="004E0C60" w:rsidRPr="00D94637" w:rsidTr="004E0C60">
      <w:trPr>
        <w:jc w:val="center"/>
      </w:trPr>
      <w:tc>
        <w:tcPr>
          <w:tcW w:w="1774" w:type="pct"/>
          <w:shd w:val="clear" w:color="auto" w:fill="auto"/>
        </w:tcPr>
        <w:p w:rsidR="004E0C60" w:rsidRPr="00AD7BF2" w:rsidRDefault="004E0C60" w:rsidP="00D94637">
          <w:pPr>
            <w:pStyle w:val="FooterText"/>
            <w:spacing w:before="40"/>
          </w:pPr>
        </w:p>
      </w:tc>
      <w:tc>
        <w:tcPr>
          <w:tcW w:w="1455" w:type="pct"/>
          <w:gridSpan w:val="3"/>
          <w:shd w:val="clear" w:color="auto" w:fill="auto"/>
        </w:tcPr>
        <w:p w:rsidR="004E0C60" w:rsidRPr="00AD7BF2" w:rsidRDefault="004E0C60" w:rsidP="00D204D6">
          <w:pPr>
            <w:pStyle w:val="FooterText"/>
            <w:spacing w:before="40"/>
            <w:jc w:val="center"/>
          </w:pPr>
          <w:r>
            <w:t>LIFE 1A</w:t>
          </w:r>
        </w:p>
      </w:tc>
      <w:tc>
        <w:tcPr>
          <w:tcW w:w="742" w:type="pct"/>
          <w:shd w:val="clear" w:color="auto" w:fill="auto"/>
        </w:tcPr>
        <w:p w:rsidR="004E0C60" w:rsidRPr="00D94637" w:rsidRDefault="004E0C60" w:rsidP="002F0099">
          <w:pPr>
            <w:pStyle w:val="FooterText"/>
            <w:jc w:val="center"/>
            <w:rPr>
              <w:b/>
              <w:position w:val="-4"/>
              <w:sz w:val="36"/>
            </w:rPr>
          </w:pPr>
        </w:p>
      </w:tc>
      <w:tc>
        <w:tcPr>
          <w:tcW w:w="1029" w:type="pct"/>
          <w:gridSpan w:val="2"/>
          <w:shd w:val="clear" w:color="auto" w:fill="auto"/>
        </w:tcPr>
        <w:p w:rsidR="004E0C60" w:rsidRPr="000310C2" w:rsidRDefault="004E0C60" w:rsidP="00D94637">
          <w:pPr>
            <w:pStyle w:val="FooterText"/>
            <w:jc w:val="right"/>
            <w:rPr>
              <w:spacing w:val="-20"/>
              <w:sz w:val="16"/>
            </w:rPr>
          </w:pPr>
          <w:r>
            <w:rPr>
              <w:b/>
              <w:spacing w:val="-20"/>
              <w:position w:val="-4"/>
              <w:sz w:val="36"/>
            </w:rPr>
            <w:t>SL</w:t>
          </w:r>
        </w:p>
      </w:tc>
    </w:tr>
  </w:tbl>
  <w:p w:rsidR="00C60EB1" w:rsidRPr="004E0C60" w:rsidRDefault="00C60EB1" w:rsidP="004E0C60">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C60" w:rsidRDefault="004E0C6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C60" w:rsidRDefault="004E0C60">
    <w:pPr>
      <w:pStyle w:val="Footer"/>
      <w:rPr>
        <w:rFonts w:ascii="Arial" w:hAnsi="Arial" w:cs="Arial"/>
        <w:b/>
        <w:sz w:val="48"/>
      </w:rPr>
    </w:pPr>
    <w:r>
      <w:rPr>
        <w:rFonts w:ascii="Arial" w:hAnsi="Arial" w:cs="Arial"/>
        <w:b/>
        <w:sz w:val="48"/>
      </w:rPr>
      <w:t>SL</w:t>
    </w:r>
    <w:r>
      <w:rPr>
        <w:rFonts w:ascii="Arial" w:hAnsi="Arial" w:cs="Arial"/>
        <w:b/>
        <w:sz w:val="48"/>
      </w:rPr>
      <w:tab/>
    </w:r>
    <w:r>
      <w:rPr>
        <w:rFonts w:ascii="Arial" w:hAnsi="Arial" w:cs="Arial"/>
        <w:b/>
        <w:sz w:val="48"/>
      </w:rPr>
      <w:tab/>
    </w:r>
    <w:r>
      <w:tab/>
    </w:r>
    <w:r>
      <w:rPr>
        <w:rFonts w:ascii="Arial" w:hAnsi="Arial" w:cs="Arial"/>
        <w:b/>
        <w:sz w:val="48"/>
      </w:rPr>
      <w:t>SL</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C60" w:rsidRDefault="004E0C6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EB1" w:rsidRDefault="004E0C60">
    <w:pPr>
      <w:pStyle w:val="Footer"/>
      <w:rPr>
        <w:rFonts w:ascii="Arial" w:hAnsi="Arial" w:cs="Arial"/>
        <w:b/>
        <w:sz w:val="48"/>
      </w:rPr>
    </w:pPr>
    <w:r>
      <w:rPr>
        <w:rFonts w:ascii="Arial" w:hAnsi="Arial" w:cs="Arial"/>
        <w:b/>
        <w:sz w:val="48"/>
      </w:rPr>
      <w:t>SL</w:t>
    </w:r>
    <w:r>
      <w:rPr>
        <w:rFonts w:ascii="Arial" w:hAnsi="Arial" w:cs="Arial"/>
        <w:b/>
        <w:sz w:val="48"/>
      </w:rPr>
      <w:tab/>
    </w:r>
    <w:r>
      <w:fldChar w:fldCharType="begin"/>
    </w:r>
    <w:r>
      <w:instrText xml:space="preserve"> PAGE  \* MERGEFORMAT </w:instrText>
    </w:r>
    <w:r>
      <w:fldChar w:fldCharType="separate"/>
    </w:r>
    <w:r w:rsidR="008A7B27">
      <w:rPr>
        <w:noProof/>
      </w:rPr>
      <w:t>1</w:t>
    </w:r>
    <w:r>
      <w:fldChar w:fldCharType="end"/>
    </w:r>
    <w:r>
      <w:tab/>
    </w:r>
    <w:r>
      <w:tab/>
    </w:r>
    <w:r>
      <w:rPr>
        <w:rFonts w:ascii="Arial" w:hAnsi="Arial" w:cs="Arial"/>
        <w:b/>
        <w:sz w:val="48"/>
      </w:rPr>
      <w:t>SL</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EB1" w:rsidRDefault="00C60E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EB1" w:rsidRDefault="004E0C60">
      <w:pPr>
        <w:spacing w:before="0" w:after="0"/>
      </w:pPr>
      <w:r>
        <w:separator/>
      </w:r>
    </w:p>
  </w:footnote>
  <w:footnote w:type="continuationSeparator" w:id="0">
    <w:p w:rsidR="00C60EB1" w:rsidRDefault="004E0C60">
      <w:pPr>
        <w:spacing w:before="0" w:after="0"/>
      </w:pPr>
      <w:r>
        <w:continuationSeparator/>
      </w:r>
    </w:p>
  </w:footnote>
  <w:footnote w:id="1">
    <w:p w:rsidR="00C60EB1" w:rsidRDefault="004E0C60">
      <w:pPr>
        <w:pStyle w:val="FootnoteText"/>
      </w:pPr>
      <w:r>
        <w:rPr>
          <w:rStyle w:val="FootnoteReference"/>
        </w:rPr>
        <w:footnoteRef/>
      </w:r>
      <w:r>
        <w:tab/>
        <w:t>Uredba (EU) št. 1308/2013 Evropskega parlamenta in Sveta z dne 17. decembra 2013 o vzpostavitvi skupne ureditve trgov kmetijskih proizvodov in razveljavitvi uredb Sveta (EGS) št. 922/72, (EGS) št. 234/79, (ES) št. 1037/2001 in (ES) št. 1234/2007 (UL L 347, 20.12.2013, str. 671).</w:t>
      </w:r>
    </w:p>
  </w:footnote>
  <w:footnote w:id="2">
    <w:p w:rsidR="00C60EB1" w:rsidRDefault="004E0C60">
      <w:pPr>
        <w:pStyle w:val="FootnoteText"/>
      </w:pPr>
      <w:r>
        <w:rPr>
          <w:rStyle w:val="FootnoteReference"/>
        </w:rPr>
        <w:footnoteRef/>
      </w:r>
      <w:r>
        <w:tab/>
        <w:t>Uredba Komisije (ES) št. 606/2009 z dne 10. julija 2009 o določitvi nekaterih podrobnih pravil za izvajanje Uredbe Sveta (ES) št. 479/2008 glede kategorij proizvodov vinske trte, enoloških postopkov in z njimi povezanih omejitev (UL L 193, 24.7.2009, str. 1).</w:t>
      </w:r>
    </w:p>
  </w:footnote>
  <w:footnote w:id="3">
    <w:p w:rsidR="00C60EB1" w:rsidRDefault="004E0C60">
      <w:pPr>
        <w:pStyle w:val="FootnoteText"/>
      </w:pPr>
      <w:r>
        <w:rPr>
          <w:rStyle w:val="FootnoteReference"/>
        </w:rPr>
        <w:footnoteRef/>
      </w:r>
      <w:r>
        <w:tab/>
        <w:t>Sodba Sodišča Evropske unije z dne 7. oktobra 2014, Nemčija/Svet, C-399/12, ECLI:EU:C:2014:2258, točka 64.</w:t>
      </w:r>
    </w:p>
  </w:footnote>
  <w:footnote w:id="4">
    <w:p w:rsidR="00C60EB1" w:rsidRDefault="004E0C60">
      <w:pPr>
        <w:pStyle w:val="FootnoteText"/>
      </w:pPr>
      <w:r>
        <w:rPr>
          <w:rStyle w:val="FootnoteReference"/>
        </w:rPr>
        <w:footnoteRef/>
      </w:r>
      <w:r>
        <w:tab/>
        <w:t>Sodba Sodišča z dne 7. oktobra 2014 v zadevi Nemčija proti Svetu, C-399/12, ECLI:EU:C:2014: 2258, točke 61 do 64.</w:t>
      </w:r>
    </w:p>
  </w:footnote>
  <w:footnote w:id="5">
    <w:p w:rsidR="00C60EB1" w:rsidRDefault="004E0C60">
      <w:pPr>
        <w:pStyle w:val="FootnoteText"/>
      </w:pPr>
      <w:r>
        <w:rPr>
          <w:rStyle w:val="FootnoteReference"/>
        </w:rPr>
        <w:footnoteRef/>
      </w:r>
      <w:r>
        <w:tab/>
        <w:t>Uredba (EU) št. 1308/2013 Evropskega parlamenta in Sveta z dne 17. decembra 2013 o vzpostavitvi skupne ureditve trgov kmetijskih proizvodov in razveljavitvi uredb Sveta (EGS) št. 922/72, (EGS) št. 234/79, (ES) št. 1037/2001 in (ES) št. 1234/2007 (UL L 347, 20.12.2013, str. 671).</w:t>
      </w:r>
    </w:p>
  </w:footnote>
  <w:footnote w:id="6">
    <w:p w:rsidR="00C60EB1" w:rsidRDefault="004E0C60">
      <w:pPr>
        <w:pStyle w:val="FootnoteText"/>
      </w:pPr>
      <w:r>
        <w:rPr>
          <w:rStyle w:val="FootnoteReference"/>
        </w:rPr>
        <w:footnoteRef/>
      </w:r>
      <w:r>
        <w:tab/>
        <w:t>Uredba Komisije (ES) št. 606/2009 z dne 10. julija 2009 o določitvi nekaterih podrobnih pravil za izvajanje Uredbe Sveta (ES) št. 479/2008 glede kategorij proizvodov vinske trte, enoloških postopkov in z njimi povezanih omejitev (UL L 193, 24.7.2009, str.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EB1" w:rsidRPr="004E0C60" w:rsidRDefault="00C60EB1" w:rsidP="004E0C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EB1" w:rsidRPr="004E0C60" w:rsidRDefault="004E0C60" w:rsidP="004E0C60">
    <w:pPr>
      <w:pStyle w:val="HeaderCouncilLarge"/>
    </w:pPr>
    <w:r>
      <w:t>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EB1" w:rsidRPr="004E0C60" w:rsidRDefault="004E0C60" w:rsidP="004E0C60">
    <w:pPr>
      <w:pStyle w:val="HeaderCouncil"/>
    </w:pPr>
    <w:r>
      <w:t>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C60" w:rsidRDefault="004E0C6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C60" w:rsidRDefault="004E0C6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C60" w:rsidRDefault="004E0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616AB05C"/>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1FEABE14"/>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6FDA83E2"/>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69F8E4BE"/>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B201BF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1B9A24A2"/>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942586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B4D0353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7"/>
  </w:num>
  <w:num w:numId="3">
    <w:abstractNumId w:val="5"/>
  </w:num>
  <w:num w:numId="4">
    <w:abstractNumId w:val="4"/>
  </w:num>
  <w:num w:numId="5">
    <w:abstractNumId w:val="6"/>
  </w:num>
  <w:num w:numId="6">
    <w:abstractNumId w:val="2"/>
  </w:num>
  <w:num w:numId="7">
    <w:abstractNumId w:val="1"/>
  </w:num>
  <w:num w:numId="8">
    <w:abstractNumId w:val="0"/>
  </w:num>
  <w:num w:numId="9">
    <w:abstractNumId w:val="18"/>
    <w:lvlOverride w:ilvl="0">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defaultTabStop w:val="720"/>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uncil" w:val="true"/>
    <w:docVar w:name="CoverPageOnWordDoc" w:val="false"/>
    <w:docVar w:name="DocuWriteMetaData" w:val="&lt;metadataset docuwriteversion=&quot;4.2.11&quot; technicalblockguid=&quot;5158842566938663566&quot;&gt;_x000d__x000a_  &lt;metadata key=&quot;md_DocumentLanguages&quot;&gt;_x000d__x000a_    &lt;basicdatatypelist&gt;_x000d__x000a_      &lt;language key=&quot;SL&quot; text=&quot;SL&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UniqueHeading&quot;&gt;_x000d__x000a_    &lt;basicdatatype&gt;_x000d__x000a_      &lt;heading key=&quot;uh_65&quot; text=&quot;PREDLOG&quot; /&gt;_x000d__x000a_    &lt;/basicdatatype&gt;_x000d__x000a_  &lt;/metadata&gt;_x000d__x000a_  &lt;metadata key=&quot;md_HeadingText&quot;&gt;_x000d__x000a_    &lt;headingtext text=&quot;PREDLOG&quot;&gt;_x000d__x000a_      &lt;formattedtext&gt;_x000d__x000a_        &lt;xaml text=&quot;PREDLOG&quot;&gt;&amp;lt;FlowDocument xmlns=&quot;http://schemas.microsoft.com/winfx/2006/xaml/presentation&quot;&amp;gt;&amp;lt;Paragraph&amp;gt;PREDLOG&amp;lt;/Paragraph&amp;gt;&amp;lt;/FlowDocument&amp;gt;&lt;/xaml&gt;_x000d__x000a_      &lt;/formattedtext&gt;_x000d__x000a_    &lt;/headingtext&gt;_x000d__x000a_  &lt;/metadata&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Svet Evropske unije&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elj&quot; /&gt;_x000d__x000a_    &lt;/basicdatatype&gt;_x000d__x000a_  &lt;/metadata&gt;_x000d__x000a_  &lt;metadata key=&quot;md_DocumentDate&quot;&gt;_x000d__x000a_    &lt;text&gt;2019-06-04&lt;/text&gt;_x000d__x000a_  &lt;/metadata&gt;_x000d__x000a_  &lt;metadata key=&quot;md_Prefix&quot;&gt;_x000d__x000a_    &lt;text&gt;&lt;/text&gt;_x000d__x000a_  &lt;/metadata&gt;_x000d__x000a_  &lt;metadata key=&quot;md_DocumentNumber&quot;&gt;_x000d__x000a_    &lt;text&gt;9919&lt;/text&gt;_x000d__x000a_  &lt;/metadata&gt;_x000d__x000a_  &lt;metadata key=&quot;md_YearDocumentNumber&quot;&gt;_x000d__x000a_    &lt;text&gt;2019&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AGRI 287&lt;/text&gt;_x000d__x000a_      &lt;text&gt;AGRIORG 31&lt;/text&gt;_x000d__x000a_      &lt;text&gt;OIV 1&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19/0121(NLE)&lt;/text&gt;_x000d__x000a_    &lt;/textlist&gt;_x000d__x000a_  &lt;/metadata&gt;_x000d__x000a_  &lt;metadata key=&quot;md_AdditionalReferences&quot; /&gt;_x000d__x000a_  &lt;metadata key=&quot;md_LEXNumber&quot; /&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01&quot; text=&quot;za generalnega sekretarja Evropske komisije: direktor Jordi AYET PUIGARNAU&quot; /&gt;_x000d__x000a_    &lt;/basicdatatype&gt;_x000d__x000a_  &lt;/metadata&gt;_x000d__x000a_  &lt;metadata key=&quot;md_Recipient&quot;&gt;_x000d__x000a_    &lt;basicdatatype&gt;_x000d__x000a_      &lt;recipient key=&quot;re_02&quot; text=&quot;generalni sekretar Sveta Evropske unije Jeppe TRANHOLM-MIKKELSEN&quot; /&gt;_x000d__x000a_    &lt;/basicdatatype&gt;_x000d__x000a_  &lt;/metadata&gt;_x000d__x000a_  &lt;metadata key=&quot;md_DateOfReceipt&quot;&gt;_x000d__x000a_    &lt;text&gt;2019-06-04&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gt;_x000d__x000a_      &lt;text&gt;COM(2019) 246 final&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Predlog SKLEPA SVETA o stali&amp;#353;&amp;#269;u, ki se v imenu Evropske unije zastopa v Mednarodni organizaciji za trto in vino&quot;&gt;&amp;lt;FlowDocument FontFamily=&quot;Arial Unicode MS&quot; FontSize=&quot;12&quot; LineHeight=&quot;6&quot; PageWidth=&quot;329&quot; PagePadding=&quot;0,0,0,0&quot; AllowDrop=&quot;False&quot; xmlns=&quot;http://schemas.microsoft.com/winfx/2006/xaml/presentation&quot;&amp;gt;&amp;lt;Paragraph&amp;gt;Predlog SKLEP&amp;lt;Run xml:lang=&quot;en-gb&quot;&amp;gt;A&amp;lt;/Run&amp;gt; SVETA o stali&amp;#353;&amp;#269;u, ki se v imenu Evropske unije zastopa v Mednarodni organizaciji za trto in vino&amp;lt;/Paragraph&amp;gt;&amp;lt;/FlowDocument&amp;gt;&lt;/xaml&gt;_x000d__x000a_  &lt;/metadata&gt;_x000d__x000a_  &lt;metadata key=&quot;md_SubjectFootnote&quot; /&gt;_x000d__x000a_  &lt;metadata key=&quot;md_DG&quot;&gt;_x000d__x000a_    &lt;text&gt;LIFE 1A&lt;/text&gt;_x000d__x000a_  &lt;/metadata&gt;_x000d__x000a_  &lt;metadata key=&quot;md_Initials&quot;&gt;_x000d__x000a_    &lt;text&gt;men&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19&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19&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SL&lt;/text&gt;_x000d__x000a_  &lt;/metadata&gt;_x000d__x000a_  &lt;metadata key=&quot;md_SourceDocType&quot;&gt;_x000d__x000a_    &lt;text&gt;Predlog _x000d__x000a_SKLEP SVETA&lt;/text&gt;_x000d__x000a_  &lt;/metadata&gt;_x000d__x000a_  &lt;metadata key=&quot;md_SourceDocTitle&quot;&gt;_x000d__x000a_    &lt;text&gt;o stali&amp;#353;&amp;#269;u, ki se v imenu Evropske unije zastopa v Mednarodni organizaciji za trto in vino&lt;/text&gt;_x000d__x000a_  &lt;/metadata&gt;_x000d__x000a_  &lt;metadata key=&quot;md_SourceDocIsCECDoc&quot;&gt;_x000d__x000a_    &lt;text&gt;true&lt;/text&gt;_x000d__x000a_  &lt;/metadata&gt;_x000d__x000a_  &lt;metadata key=&quot;md_NB1&quot; /&gt;_x000d__x000a_  &lt;metadata key=&quot;md_NB2&quot; /&gt;_x000d__x000a_  &lt;metadata key=&quot;md_NB3&quot; /&gt;_x000d__x000a_  &lt;metadata key=&quot;md_NB4&quot; /&gt;_x000d__x000a_  &lt;metadata key=&quot;md_Meetings&quot; /&gt;_x000d__x000a_  &lt;metadata key=&quot;md_VisualRepresentation&quot;&gt;_x000d__x000a_    &lt;basicdatatype&gt;_x000d__x000a_      &lt;originator key=&quot;visrep_02&quot; /&gt;_x000d__x000a_    &lt;/basicdatatype&gt;_x000d__x000a_  &lt;/metadata&gt;_x000d__x000a_  &lt;metadata key=&quot;md_LetterData&quot; /&gt;_x000d__x000a_  &lt;metadata key=&quot;md_InstFrSubWordmark&quot;&gt;_x000d__x000a_    &lt;xaml text=&quot;&quot;&gt;&amp;lt;FlowDocument FontFamily=&quot;Arial Unicode MS&quot; FontSize=&quot;12&quot; AllowDrop=&quot;False&quot; xmlns=&quot;http://schemas.microsoft.com/winfx/2006/xaml/presentation&quot; /&amp;gt;&lt;/xaml&gt;_x000d__x000a_  &lt;/metadata&gt;_x000d__x000a_  &lt;metadata key=&quot;md_WorkflowLinkStatus&quot; /&gt;_x000d__x000a_  &lt;metadata key=&quot;md_Caveat&quot;&gt;_x000d__x000a_    &lt;text&gt;&lt;/text&gt;_x000d__x000a_  &lt;/metadata&gt;_x000d__x000a_&lt;/metadataset&gt;"/>
    <w:docVar w:name="DQCDateTime" w:val="2019-05-29 09:51:29"/>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1"/>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0DFFB9DA-11AE-4847-BD43-EFCE80E36295"/>
    <w:docVar w:name="LW_COVERPAGE_TYPE" w:val="1"/>
    <w:docVar w:name="LW_CROSSREFERENCE" w:val="&lt;UNUSED&gt;"/>
    <w:docVar w:name="LW_DocType" w:val="COM"/>
    <w:docVar w:name="LW_EMISSION" w:val="4.6.2019"/>
    <w:docVar w:name="LW_EMISSION_ISODATE" w:val="2019-06-04"/>
    <w:docVar w:name="LW_EMISSION_LOCATION" w:val="BRX"/>
    <w:docVar w:name="LW_EMISSION_PREFIX" w:val="Bruselj, "/>
    <w:docVar w:name="LW_EMISSION_SUFFIX" w:val="&lt;EMPTY&gt;"/>
    <w:docVar w:name="LW_ID_DOCMODEL" w:val="SJ-043"/>
    <w:docVar w:name="LW_ID_DOCSIGNATURE" w:val="SJ-019"/>
    <w:docVar w:name="LW_ID_DOCSTRUCTURE" w:val="COM/PL/ORG"/>
    <w:docVar w:name="LW_ID_DOCTYPE" w:val="SJ-043"/>
    <w:docVar w:name="LW_ID_EXP.MOTIFS.NEW" w:val="EM_PL2_"/>
    <w:docVar w:name="LW_ID_STATUT" w:val="SJ-019"/>
    <w:docVar w:name="LW_INTERETEEE.CP" w:val="&lt;UNUSED&gt;"/>
    <w:docVar w:name="LW_LANGUE" w:val="SL"/>
    <w:docVar w:name="LW_LEVEL_OF_SENSITIVITY" w:val="Standard treatment"/>
    <w:docVar w:name="LW_NOM.INST" w:val="EVROPSKA KOMISIJA"/>
    <w:docVar w:name="LW_NOM.INST_JOINTDOC" w:val="&lt;EMPTY&gt;"/>
    <w:docVar w:name="LW_PART_NBR" w:val="1"/>
    <w:docVar w:name="LW_PART_NBR_TOTAL" w:val="1"/>
    <w:docVar w:name="LW_REF.II.NEW.CP" w:val="NLE"/>
    <w:docVar w:name="LW_REF.II.NEW.CP_NUMBER" w:val="0121"/>
    <w:docVar w:name="LW_REF.II.NEW.CP_YEAR" w:val="2019"/>
    <w:docVar w:name="LW_REF.INST.NEW" w:val="COM"/>
    <w:docVar w:name="LW_REF.INST.NEW_ADOPTED" w:val="final"/>
    <w:docVar w:name="LW_REF.INST.NEW_TEXT" w:val="(2019) 24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edlog"/>
    <w:docVar w:name="LW_SUPERTITRE" w:val="&lt;UNUSED&gt;"/>
    <w:docVar w:name="LW_TITRE.OBJ.CP" w:val="o stali\u353?\u269?u, ki se v imenu Evropske unije zastopa v Mednarodni organizaciji za trto in vino"/>
    <w:docVar w:name="LW_TYPE.DOC.CP" w:val="SKLEP SVETA"/>
  </w:docVars>
  <w:rsids>
    <w:rsidRoot w:val="00C60EB1"/>
    <w:rsid w:val="004E0C60"/>
    <w:rsid w:val="008A7B27"/>
    <w:rsid w:val="00C60E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72E462F2-6F3F-4104-BF65-34A55E786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l-SI"/>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semiHidden/>
    <w:unhideWhenUsed/>
    <w:pPr>
      <w:numPr>
        <w:numId w:val="1"/>
      </w:numPr>
      <w:contextualSpacing/>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l-S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l-SI"/>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l-SI"/>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sl-SI"/>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sl-S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4E0C60"/>
    <w:rPr>
      <w:color w:val="0000FF"/>
      <w:bdr w:val="none" w:sz="0" w:space="0" w:color="auto"/>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customStyle="1" w:styleId="TechnicalBlock">
    <w:name w:val="Technical Block"/>
    <w:basedOn w:val="Normal"/>
    <w:link w:val="TechnicalBlockChar"/>
    <w:rsid w:val="004E0C60"/>
    <w:pPr>
      <w:spacing w:before="0" w:after="240"/>
      <w:jc w:val="center"/>
    </w:pPr>
  </w:style>
  <w:style w:type="character" w:customStyle="1" w:styleId="TechnicalBlockChar">
    <w:name w:val="Technical Block Char"/>
    <w:basedOn w:val="DefaultParagraphFont"/>
    <w:link w:val="TechnicalBlock"/>
    <w:rsid w:val="004E0C60"/>
    <w:rPr>
      <w:rFonts w:ascii="Times New Roman" w:hAnsi="Times New Roman" w:cs="Times New Roman"/>
      <w:sz w:val="24"/>
      <w:lang w:val="sl-SI"/>
    </w:rPr>
  </w:style>
  <w:style w:type="paragraph" w:customStyle="1" w:styleId="Lignefinal">
    <w:name w:val="Ligne final"/>
    <w:basedOn w:val="Normal"/>
    <w:next w:val="Normal"/>
    <w:rsid w:val="004E0C60"/>
    <w:pPr>
      <w:pBdr>
        <w:bottom w:val="single" w:sz="4" w:space="0" w:color="000000"/>
      </w:pBdr>
      <w:spacing w:before="360" w:line="360" w:lineRule="auto"/>
      <w:ind w:left="3400" w:right="3400"/>
      <w:jc w:val="center"/>
    </w:pPr>
    <w:rPr>
      <w:b/>
    </w:rPr>
  </w:style>
  <w:style w:type="paragraph" w:customStyle="1" w:styleId="EntText">
    <w:name w:val="EntText"/>
    <w:basedOn w:val="Normal"/>
    <w:rsid w:val="004E0C60"/>
    <w:pPr>
      <w:spacing w:line="360" w:lineRule="auto"/>
      <w:jc w:val="left"/>
    </w:pPr>
  </w:style>
  <w:style w:type="paragraph" w:customStyle="1" w:styleId="pj">
    <w:name w:val="p.j."/>
    <w:basedOn w:val="TechnicalBlock"/>
    <w:link w:val="pjChar"/>
    <w:rsid w:val="004E0C60"/>
    <w:pPr>
      <w:spacing w:before="1200" w:after="120"/>
      <w:ind w:left="1440" w:hanging="1440"/>
      <w:jc w:val="left"/>
    </w:pPr>
  </w:style>
  <w:style w:type="character" w:customStyle="1" w:styleId="pjChar">
    <w:name w:val="p.j. Char"/>
    <w:basedOn w:val="TechnicalBlockChar"/>
    <w:link w:val="pj"/>
    <w:rsid w:val="004E0C60"/>
    <w:rPr>
      <w:rFonts w:ascii="Times New Roman" w:hAnsi="Times New Roman" w:cs="Times New Roman"/>
      <w:sz w:val="24"/>
      <w:lang w:val="sl-SI"/>
    </w:rPr>
  </w:style>
  <w:style w:type="paragraph" w:customStyle="1" w:styleId="nbbordered">
    <w:name w:val="nb bordered"/>
    <w:basedOn w:val="TechnicalBlock"/>
    <w:link w:val="nbborderedChar"/>
    <w:rsid w:val="004E0C60"/>
    <w:pPr>
      <w:pBdr>
        <w:top w:val="single" w:sz="4" w:space="1" w:color="auto"/>
        <w:left w:val="single" w:sz="4" w:space="4" w:color="auto"/>
        <w:bottom w:val="single" w:sz="4" w:space="1" w:color="auto"/>
        <w:right w:val="single" w:sz="4" w:space="4" w:color="auto"/>
        <w:between w:val="single" w:sz="4" w:space="0" w:color="auto"/>
      </w:pBdr>
      <w:spacing w:before="120" w:after="160"/>
      <w:ind w:left="480" w:hanging="480"/>
      <w:jc w:val="both"/>
    </w:pPr>
    <w:rPr>
      <w:b/>
    </w:rPr>
  </w:style>
  <w:style w:type="character" w:customStyle="1" w:styleId="nbborderedChar">
    <w:name w:val="nb bordered Char"/>
    <w:basedOn w:val="TechnicalBlockChar"/>
    <w:link w:val="nbbordered"/>
    <w:rsid w:val="004E0C60"/>
    <w:rPr>
      <w:rFonts w:ascii="Times New Roman" w:hAnsi="Times New Roman" w:cs="Times New Roman"/>
      <w:b/>
      <w:sz w:val="24"/>
      <w:lang w:val="sl-SI"/>
    </w:rPr>
  </w:style>
  <w:style w:type="paragraph" w:customStyle="1" w:styleId="HeaderCouncil">
    <w:name w:val="Header Council"/>
    <w:basedOn w:val="Normal"/>
    <w:link w:val="HeaderCouncilChar"/>
    <w:rsid w:val="004E0C60"/>
    <w:pPr>
      <w:spacing w:before="0" w:after="0"/>
    </w:pPr>
    <w:rPr>
      <w:sz w:val="2"/>
    </w:rPr>
  </w:style>
  <w:style w:type="character" w:customStyle="1" w:styleId="HeaderCouncilChar">
    <w:name w:val="Header Council Char"/>
    <w:basedOn w:val="DefaultParagraphFont"/>
    <w:link w:val="HeaderCouncil"/>
    <w:rsid w:val="004E0C60"/>
    <w:rPr>
      <w:rFonts w:ascii="Times New Roman" w:hAnsi="Times New Roman" w:cs="Times New Roman"/>
      <w:sz w:val="2"/>
      <w:lang w:val="sl-SI"/>
    </w:rPr>
  </w:style>
  <w:style w:type="paragraph" w:customStyle="1" w:styleId="HeaderCouncilLarge">
    <w:name w:val="Header Council Large"/>
    <w:basedOn w:val="Normal"/>
    <w:link w:val="HeaderCouncilLargeChar"/>
    <w:rsid w:val="004E0C60"/>
    <w:pPr>
      <w:spacing w:before="0" w:after="440"/>
    </w:pPr>
    <w:rPr>
      <w:sz w:val="2"/>
    </w:rPr>
  </w:style>
  <w:style w:type="character" w:customStyle="1" w:styleId="HeaderCouncilLargeChar">
    <w:name w:val="Header Council Large Char"/>
    <w:basedOn w:val="DefaultParagraphFont"/>
    <w:link w:val="HeaderCouncilLarge"/>
    <w:rsid w:val="004E0C60"/>
    <w:rPr>
      <w:rFonts w:ascii="Times New Roman" w:hAnsi="Times New Roman" w:cs="Times New Roman"/>
      <w:sz w:val="2"/>
      <w:lang w:val="sl-SI"/>
    </w:rPr>
  </w:style>
  <w:style w:type="paragraph" w:customStyle="1" w:styleId="FooterCouncil">
    <w:name w:val="Footer Council"/>
    <w:basedOn w:val="Normal"/>
    <w:link w:val="FooterCouncilChar"/>
    <w:rsid w:val="004E0C60"/>
    <w:pPr>
      <w:spacing w:before="0" w:after="0"/>
    </w:pPr>
    <w:rPr>
      <w:sz w:val="2"/>
    </w:rPr>
  </w:style>
  <w:style w:type="character" w:customStyle="1" w:styleId="FooterCouncilChar">
    <w:name w:val="Footer Council Char"/>
    <w:basedOn w:val="DefaultParagraphFont"/>
    <w:link w:val="FooterCouncil"/>
    <w:rsid w:val="004E0C60"/>
    <w:rPr>
      <w:rFonts w:ascii="Times New Roman" w:hAnsi="Times New Roman" w:cs="Times New Roman"/>
      <w:sz w:val="2"/>
      <w:lang w:val="sl-SI"/>
    </w:rPr>
  </w:style>
  <w:style w:type="paragraph" w:customStyle="1" w:styleId="FooterText">
    <w:name w:val="Footer Text"/>
    <w:basedOn w:val="Normal"/>
    <w:rsid w:val="004E0C60"/>
    <w:pPr>
      <w:spacing w:before="0" w:after="0"/>
      <w:jc w:val="left"/>
    </w:pPr>
    <w:rPr>
      <w:rFonts w:eastAsia="Times New Roman"/>
      <w:szCs w:val="24"/>
      <w:lang w:val="en-GB"/>
    </w:rPr>
  </w:style>
  <w:style w:type="character" w:styleId="PlaceholderText">
    <w:name w:val="Placeholder Text"/>
    <w:basedOn w:val="DefaultParagraphFont"/>
    <w:uiPriority w:val="99"/>
    <w:semiHidden/>
    <w:rsid w:val="004E0C6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05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7390C-CB2B-477A-AAEC-128409F73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6</Pages>
  <Words>1826</Words>
  <Characters>10410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NOVAK Roman</dc:creator>
  <cp:lastModifiedBy>NOVAK Roman</cp:lastModifiedBy>
  <cp:revision>3</cp:revision>
  <cp:lastPrinted>2019-04-11T09:16:00Z</cp:lastPrinted>
  <dcterms:created xsi:type="dcterms:W3CDTF">2019-06-05T07:54:00Z</dcterms:created>
  <dcterms:modified xsi:type="dcterms:W3CDTF">2019-06-05T07:55:00Z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DocuWrite 4.2.11, Build 20190404</vt:lpwstr>
  </property>
  <property fmtid="{D5CDD505-2E9C-101B-9397-08002B2CF9AE}" pid="5" name="Created using">
    <vt:lpwstr>DocuWrite 4.2.11, Build 20190404</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DQCStatus">
    <vt:lpwstr>Green (DQC version 03)</vt:lpwstr>
  </property>
</Properties>
</file>