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99" w:rsidRDefault="00C71699" w:rsidP="003E1C74">
      <w:pPr>
        <w:pStyle w:val="podpisi"/>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193"/>
        <w:gridCol w:w="669"/>
        <w:gridCol w:w="1370"/>
        <w:gridCol w:w="229"/>
        <w:gridCol w:w="1167"/>
        <w:gridCol w:w="594"/>
        <w:gridCol w:w="372"/>
        <w:gridCol w:w="294"/>
        <w:gridCol w:w="354"/>
        <w:gridCol w:w="1930"/>
        <w:gridCol w:w="62"/>
      </w:tblGrid>
      <w:tr w:rsidR="00486664" w:rsidRPr="00486664" w:rsidTr="00153C3D">
        <w:trPr>
          <w:gridAfter w:val="3"/>
          <w:wAfter w:w="2346" w:type="dxa"/>
          <w:trHeight w:val="382"/>
        </w:trPr>
        <w:tc>
          <w:tcPr>
            <w:tcW w:w="6917" w:type="dxa"/>
            <w:gridSpan w:val="9"/>
          </w:tcPr>
          <w:p w:rsidR="00486664" w:rsidRPr="00486664" w:rsidRDefault="00486664" w:rsidP="00486664">
            <w:pPr>
              <w:rPr>
                <w:noProof/>
                <w:szCs w:val="20"/>
              </w:rPr>
            </w:pPr>
            <w:r w:rsidRPr="00486664">
              <w:rPr>
                <w:noProof/>
                <w:szCs w:val="20"/>
              </w:rPr>
              <w:t>Številka: 0100-</w:t>
            </w:r>
            <w:r w:rsidR="00944813">
              <w:rPr>
                <w:noProof/>
                <w:szCs w:val="20"/>
              </w:rPr>
              <w:t>51/2020/</w:t>
            </w:r>
            <w:r w:rsidR="005D656F">
              <w:rPr>
                <w:noProof/>
                <w:szCs w:val="20"/>
              </w:rPr>
              <w:t>6</w:t>
            </w:r>
          </w:p>
        </w:tc>
      </w:tr>
      <w:tr w:rsidR="00486664" w:rsidRPr="00486664" w:rsidTr="00153C3D">
        <w:trPr>
          <w:gridAfter w:val="3"/>
          <w:wAfter w:w="2346" w:type="dxa"/>
        </w:trPr>
        <w:tc>
          <w:tcPr>
            <w:tcW w:w="6917" w:type="dxa"/>
            <w:gridSpan w:val="9"/>
          </w:tcPr>
          <w:p w:rsidR="00486664" w:rsidRPr="00486664" w:rsidRDefault="00486664" w:rsidP="00486664">
            <w:pPr>
              <w:rPr>
                <w:noProof/>
                <w:szCs w:val="20"/>
              </w:rPr>
            </w:pPr>
            <w:r w:rsidRPr="00486664">
              <w:rPr>
                <w:noProof/>
                <w:szCs w:val="20"/>
              </w:rPr>
              <w:t>Ljubljana, 2</w:t>
            </w:r>
            <w:r w:rsidR="005D656F">
              <w:rPr>
                <w:noProof/>
                <w:szCs w:val="20"/>
              </w:rPr>
              <w:t>8</w:t>
            </w:r>
            <w:r w:rsidRPr="00486664">
              <w:rPr>
                <w:noProof/>
                <w:szCs w:val="20"/>
              </w:rPr>
              <w:t>. 1. 2020</w:t>
            </w:r>
          </w:p>
        </w:tc>
      </w:tr>
      <w:tr w:rsidR="00486664" w:rsidRPr="00486664" w:rsidTr="00153C3D">
        <w:trPr>
          <w:gridAfter w:val="3"/>
          <w:wAfter w:w="2346" w:type="dxa"/>
        </w:trPr>
        <w:tc>
          <w:tcPr>
            <w:tcW w:w="6917" w:type="dxa"/>
            <w:gridSpan w:val="9"/>
          </w:tcPr>
          <w:p w:rsidR="00486664" w:rsidRPr="00486664" w:rsidRDefault="00486664" w:rsidP="00486664">
            <w:pPr>
              <w:rPr>
                <w:noProof/>
                <w:szCs w:val="20"/>
              </w:rPr>
            </w:pPr>
            <w:r w:rsidRPr="00486664">
              <w:rPr>
                <w:iCs/>
                <w:noProof/>
                <w:szCs w:val="20"/>
              </w:rPr>
              <w:t>EVA 2020-3130-0009</w:t>
            </w:r>
          </w:p>
        </w:tc>
      </w:tr>
      <w:tr w:rsidR="00486664" w:rsidRPr="00486664" w:rsidTr="00153C3D">
        <w:trPr>
          <w:gridAfter w:val="3"/>
          <w:wAfter w:w="2346" w:type="dxa"/>
        </w:trPr>
        <w:tc>
          <w:tcPr>
            <w:tcW w:w="6917" w:type="dxa"/>
            <w:gridSpan w:val="9"/>
          </w:tcPr>
          <w:p w:rsidR="00486664" w:rsidRPr="00486664" w:rsidRDefault="00486664" w:rsidP="00486664">
            <w:pPr>
              <w:spacing w:line="260" w:lineRule="atLeast"/>
              <w:rPr>
                <w:rFonts w:cs="Arial"/>
                <w:noProof/>
                <w:szCs w:val="20"/>
                <w:lang w:val="sl-SI"/>
              </w:rPr>
            </w:pPr>
          </w:p>
          <w:p w:rsidR="00486664" w:rsidRPr="00486664" w:rsidRDefault="00486664" w:rsidP="00486664">
            <w:pPr>
              <w:spacing w:line="260" w:lineRule="atLeast"/>
              <w:rPr>
                <w:rFonts w:cs="Arial"/>
                <w:noProof/>
                <w:szCs w:val="20"/>
                <w:lang w:val="sl-SI"/>
              </w:rPr>
            </w:pPr>
            <w:r w:rsidRPr="00486664">
              <w:rPr>
                <w:rFonts w:cs="Arial"/>
                <w:noProof/>
                <w:szCs w:val="20"/>
                <w:lang w:val="sl-SI"/>
              </w:rPr>
              <w:t>GENERALNI SEKRETARIAT VLADE REPUBLIKE SLOVENIJE</w:t>
            </w:r>
          </w:p>
          <w:p w:rsidR="00486664" w:rsidRPr="00486664" w:rsidRDefault="00344128" w:rsidP="00486664">
            <w:pPr>
              <w:spacing w:line="260" w:lineRule="atLeast"/>
              <w:rPr>
                <w:rFonts w:cs="Arial"/>
                <w:noProof/>
                <w:szCs w:val="20"/>
                <w:lang w:val="sl-SI"/>
              </w:rPr>
            </w:pPr>
            <w:hyperlink r:id="rId7" w:history="1">
              <w:r w:rsidR="00486664" w:rsidRPr="00486664">
                <w:rPr>
                  <w:noProof/>
                  <w:szCs w:val="20"/>
                  <w:lang w:val="sl-SI"/>
                </w:rPr>
                <w:t>Gp.gs@gov.si</w:t>
              </w:r>
            </w:hyperlink>
          </w:p>
          <w:p w:rsidR="00486664" w:rsidRPr="00486664" w:rsidRDefault="00486664" w:rsidP="00486664">
            <w:pPr>
              <w:spacing w:line="260" w:lineRule="atLeast"/>
              <w:rPr>
                <w:rFonts w:cs="Arial"/>
                <w:noProof/>
                <w:szCs w:val="20"/>
                <w:lang w:val="sl-SI"/>
              </w:rPr>
            </w:pPr>
          </w:p>
        </w:tc>
      </w:tr>
      <w:tr w:rsidR="00486664" w:rsidRPr="00486664" w:rsidTr="00153C3D">
        <w:tc>
          <w:tcPr>
            <w:tcW w:w="9263" w:type="dxa"/>
            <w:gridSpan w:val="12"/>
          </w:tcPr>
          <w:p w:rsidR="00486664" w:rsidRPr="00486664" w:rsidRDefault="00486664" w:rsidP="00486664">
            <w:pPr>
              <w:rPr>
                <w:b/>
                <w:noProof/>
                <w:szCs w:val="20"/>
                <w:lang w:val="sl-SI"/>
              </w:rPr>
            </w:pPr>
            <w:r w:rsidRPr="00486664">
              <w:rPr>
                <w:b/>
                <w:noProof/>
                <w:szCs w:val="20"/>
                <w:lang w:val="sl-SI"/>
              </w:rPr>
              <w:t>ZADEVA</w:t>
            </w:r>
            <w:bookmarkStart w:id="0" w:name="_Hlk30069524"/>
            <w:r w:rsidRPr="00486664">
              <w:rPr>
                <w:b/>
                <w:noProof/>
                <w:szCs w:val="20"/>
                <w:lang w:val="sl-SI"/>
              </w:rPr>
              <w:t xml:space="preserve">: </w:t>
            </w:r>
            <w:bookmarkStart w:id="1" w:name="_Hlk11661056"/>
            <w:r w:rsidRPr="00486664">
              <w:rPr>
                <w:rFonts w:cs="Arial"/>
                <w:b/>
                <w:szCs w:val="20"/>
                <w:lang w:val="sl-SI"/>
              </w:rPr>
              <w:t>Predlog Uredbe o spremembah in dopolnitvah Uredbe o plačah in drugih prejemkih javnih uslužbencev za delo v tujini</w:t>
            </w:r>
            <w:bookmarkEnd w:id="0"/>
            <w:bookmarkEnd w:id="1"/>
          </w:p>
        </w:tc>
      </w:tr>
      <w:tr w:rsidR="00486664" w:rsidRPr="00486664" w:rsidTr="00153C3D">
        <w:tc>
          <w:tcPr>
            <w:tcW w:w="9263" w:type="dxa"/>
            <w:gridSpan w:val="12"/>
          </w:tcPr>
          <w:p w:rsidR="00486664" w:rsidRPr="00486664" w:rsidRDefault="00486664" w:rsidP="00486664">
            <w:pPr>
              <w:overflowPunct w:val="0"/>
              <w:autoSpaceDE w:val="0"/>
              <w:autoSpaceDN w:val="0"/>
              <w:adjustRightInd w:val="0"/>
              <w:textAlignment w:val="baseline"/>
              <w:rPr>
                <w:rFonts w:cs="Arial"/>
                <w:noProof/>
                <w:szCs w:val="20"/>
                <w:lang w:val="sl-SI" w:eastAsia="sl-SI"/>
              </w:rPr>
            </w:pPr>
            <w:r w:rsidRPr="00486664">
              <w:rPr>
                <w:rFonts w:cs="Arial"/>
                <w:noProof/>
                <w:szCs w:val="20"/>
                <w:lang w:val="sl-SI" w:eastAsia="sl-SI"/>
              </w:rPr>
              <w:t>1. Predlog sklepov vlade:</w:t>
            </w:r>
          </w:p>
        </w:tc>
      </w:tr>
      <w:tr w:rsidR="00486664" w:rsidRPr="00486664" w:rsidTr="00153C3D">
        <w:tc>
          <w:tcPr>
            <w:tcW w:w="9263" w:type="dxa"/>
            <w:gridSpan w:val="12"/>
          </w:tcPr>
          <w:p w:rsidR="007751B5" w:rsidRDefault="007751B5" w:rsidP="007751B5">
            <w:pPr>
              <w:spacing w:line="260" w:lineRule="atLeast"/>
              <w:rPr>
                <w:rFonts w:cs="Arial"/>
                <w:iCs/>
                <w:noProof/>
                <w:szCs w:val="20"/>
                <w:lang w:val="sl-SI"/>
              </w:rPr>
            </w:pPr>
          </w:p>
          <w:p w:rsidR="007751B5" w:rsidRPr="007751B5" w:rsidRDefault="007751B5" w:rsidP="007751B5">
            <w:pPr>
              <w:spacing w:line="260" w:lineRule="atLeast"/>
              <w:rPr>
                <w:rFonts w:cs="Arial"/>
                <w:iCs/>
                <w:noProof/>
                <w:szCs w:val="20"/>
                <w:lang w:val="sl-SI"/>
              </w:rPr>
            </w:pPr>
            <w:r w:rsidRPr="007751B5">
              <w:rPr>
                <w:rFonts w:cs="Arial"/>
                <w:iCs/>
                <w:noProof/>
                <w:szCs w:val="20"/>
                <w:lang w:val="sl-SI"/>
              </w:rPr>
              <w:t>Na podlagi prvega odstavka 21. člena Zakona o Vladi Republike Slovenije (Uradni list RS, št. 24/05 – uradno prečiščeno besedilo, 109/08, 38/10 – ZUKN, 8/12, 21/13, 47/13 – ZDU-1G, 65/14 in 55/17) je Vlada Republike Slovenije na ... seji … pod točko … sprejela naslednji</w:t>
            </w:r>
          </w:p>
          <w:p w:rsidR="007751B5" w:rsidRPr="007751B5" w:rsidRDefault="007751B5" w:rsidP="007751B5">
            <w:pPr>
              <w:spacing w:line="260" w:lineRule="atLeast"/>
              <w:rPr>
                <w:rFonts w:cs="Arial"/>
                <w:iCs/>
                <w:noProof/>
                <w:szCs w:val="20"/>
                <w:lang w:val="sl-SI"/>
              </w:rPr>
            </w:pPr>
            <w:r w:rsidRPr="007751B5">
              <w:rPr>
                <w:rFonts w:cs="Arial"/>
                <w:iCs/>
                <w:noProof/>
                <w:szCs w:val="20"/>
                <w:lang w:val="sl-SI"/>
              </w:rPr>
              <w:t xml:space="preserve"> </w:t>
            </w:r>
          </w:p>
          <w:p w:rsidR="007751B5" w:rsidRPr="007751B5" w:rsidRDefault="007751B5" w:rsidP="00BF75A9">
            <w:pPr>
              <w:spacing w:line="260" w:lineRule="atLeast"/>
              <w:jc w:val="center"/>
              <w:rPr>
                <w:rFonts w:cs="Arial"/>
                <w:iCs/>
                <w:noProof/>
                <w:szCs w:val="20"/>
                <w:lang w:val="sl-SI"/>
              </w:rPr>
            </w:pPr>
            <w:r w:rsidRPr="007751B5">
              <w:rPr>
                <w:rFonts w:cs="Arial"/>
                <w:iCs/>
                <w:noProof/>
                <w:szCs w:val="20"/>
                <w:lang w:val="sl-SI"/>
              </w:rPr>
              <w:t>SKLEP:</w:t>
            </w:r>
          </w:p>
          <w:p w:rsidR="007751B5" w:rsidRPr="007751B5" w:rsidRDefault="007751B5" w:rsidP="007751B5">
            <w:pPr>
              <w:spacing w:line="260" w:lineRule="atLeast"/>
              <w:rPr>
                <w:rFonts w:cs="Arial"/>
                <w:iCs/>
                <w:noProof/>
                <w:szCs w:val="20"/>
                <w:lang w:val="sl-SI"/>
              </w:rPr>
            </w:pPr>
          </w:p>
          <w:p w:rsidR="007751B5" w:rsidRPr="007751B5" w:rsidRDefault="007751B5" w:rsidP="003275C0">
            <w:pPr>
              <w:spacing w:line="260" w:lineRule="atLeast"/>
              <w:ind w:left="447" w:right="519"/>
              <w:jc w:val="both"/>
              <w:rPr>
                <w:rFonts w:cs="Arial"/>
                <w:iCs/>
                <w:noProof/>
                <w:szCs w:val="20"/>
                <w:lang w:val="sl-SI"/>
              </w:rPr>
            </w:pPr>
            <w:r w:rsidRPr="007751B5">
              <w:rPr>
                <w:rFonts w:cs="Arial"/>
                <w:iCs/>
                <w:noProof/>
                <w:szCs w:val="20"/>
                <w:lang w:val="sl-SI"/>
              </w:rPr>
              <w:t>1. Vlada Republike Slovenije je izdala Uredbo o spremembah in dopolnitvah Uredbe o plačah in drugih prejemkih javnih uslužbencev za delo v tujini ter jo objavi v Uradnem listu Republike Slovenije.</w:t>
            </w:r>
          </w:p>
          <w:p w:rsidR="007751B5" w:rsidRPr="007751B5" w:rsidRDefault="007751B5" w:rsidP="003275C0">
            <w:pPr>
              <w:spacing w:line="260" w:lineRule="atLeast"/>
              <w:ind w:left="447" w:right="519"/>
              <w:jc w:val="both"/>
              <w:rPr>
                <w:rFonts w:cs="Arial"/>
                <w:iCs/>
                <w:noProof/>
                <w:szCs w:val="20"/>
                <w:lang w:val="sl-SI"/>
              </w:rPr>
            </w:pPr>
          </w:p>
          <w:p w:rsidR="007751B5" w:rsidRPr="007751B5" w:rsidRDefault="007751B5" w:rsidP="003275C0">
            <w:pPr>
              <w:spacing w:line="260" w:lineRule="atLeast"/>
              <w:ind w:left="447" w:right="519"/>
              <w:jc w:val="both"/>
              <w:rPr>
                <w:rFonts w:cs="Arial"/>
                <w:iCs/>
                <w:noProof/>
                <w:szCs w:val="20"/>
                <w:lang w:val="sl-SI"/>
              </w:rPr>
            </w:pPr>
            <w:r w:rsidRPr="007751B5">
              <w:rPr>
                <w:rFonts w:cs="Arial"/>
                <w:iCs/>
                <w:noProof/>
                <w:szCs w:val="20"/>
                <w:lang w:val="sl-SI"/>
              </w:rPr>
              <w:t xml:space="preserve">2. Vlada Republike Slovenije nalaga </w:t>
            </w:r>
            <w:r w:rsidR="00B86E91">
              <w:rPr>
                <w:rFonts w:cs="Arial"/>
                <w:iCs/>
                <w:noProof/>
                <w:szCs w:val="20"/>
                <w:lang w:val="sl-SI"/>
              </w:rPr>
              <w:t>Ministrstvu za javno upravo, da v sodelovanju z Ministrstvom za zunanje zadeve, Ministrstvom za notranje zadeve, Ministrstvom za obrambo, Ministrstvom za izobraževanje, znanost in šport, Ministrstvom za delo, družino, soci</w:t>
            </w:r>
            <w:r w:rsidR="007A75A3">
              <w:rPr>
                <w:rFonts w:cs="Arial"/>
                <w:iCs/>
                <w:noProof/>
                <w:szCs w:val="20"/>
                <w:lang w:val="sl-SI"/>
              </w:rPr>
              <w:t>al</w:t>
            </w:r>
            <w:r w:rsidR="00B86E91">
              <w:rPr>
                <w:rFonts w:cs="Arial"/>
                <w:iCs/>
                <w:noProof/>
                <w:szCs w:val="20"/>
                <w:lang w:val="sl-SI"/>
              </w:rPr>
              <w:t>ne zadeve in enake možnosti, Ministrstvom za kulturo in</w:t>
            </w:r>
            <w:r w:rsidR="00B86E91">
              <w:t xml:space="preserve"> </w:t>
            </w:r>
            <w:r w:rsidR="00B86E91" w:rsidRPr="00B86E91">
              <w:rPr>
                <w:rFonts w:cs="Arial"/>
                <w:iCs/>
                <w:noProof/>
                <w:szCs w:val="20"/>
                <w:lang w:val="sl-SI"/>
              </w:rPr>
              <w:t>Ministrstvom za finance,</w:t>
            </w:r>
            <w:r w:rsidRPr="007751B5">
              <w:rPr>
                <w:rFonts w:cs="Arial"/>
                <w:iCs/>
                <w:noProof/>
                <w:szCs w:val="20"/>
                <w:lang w:val="sl-SI"/>
              </w:rPr>
              <w:t xml:space="preserve"> najkasneje do 30. aprila 2020 v okviru realizacije sklepa št. 10007-6/2019/3 z dne 9. 5. 2019 pripravi predlog izboljšane metodologije določanja plač </w:t>
            </w:r>
            <w:r w:rsidR="007A75A3">
              <w:rPr>
                <w:rFonts w:cs="Arial"/>
                <w:iCs/>
                <w:noProof/>
                <w:szCs w:val="20"/>
                <w:lang w:val="sl-SI"/>
              </w:rPr>
              <w:t xml:space="preserve">ter drugih prejemkov javnih uslužbencev </w:t>
            </w:r>
            <w:r w:rsidRPr="007751B5">
              <w:rPr>
                <w:rFonts w:cs="Arial"/>
                <w:iCs/>
                <w:noProof/>
                <w:szCs w:val="20"/>
                <w:lang w:val="sl-SI"/>
              </w:rPr>
              <w:t>za delo v tujini</w:t>
            </w:r>
            <w:r w:rsidR="00B86E91">
              <w:rPr>
                <w:rFonts w:cs="Arial"/>
                <w:iCs/>
                <w:noProof/>
                <w:szCs w:val="20"/>
                <w:lang w:val="sl-SI"/>
              </w:rPr>
              <w:t>.</w:t>
            </w:r>
          </w:p>
          <w:p w:rsidR="007751B5" w:rsidRPr="007751B5" w:rsidRDefault="007751B5" w:rsidP="007751B5">
            <w:pPr>
              <w:spacing w:line="260" w:lineRule="atLeast"/>
              <w:rPr>
                <w:rFonts w:cs="Arial"/>
                <w:iCs/>
                <w:noProof/>
                <w:szCs w:val="20"/>
                <w:lang w:val="sl-SI"/>
              </w:rPr>
            </w:pPr>
          </w:p>
          <w:p w:rsidR="007751B5" w:rsidRPr="007751B5" w:rsidRDefault="007751B5" w:rsidP="007751B5">
            <w:pPr>
              <w:spacing w:line="260" w:lineRule="atLeast"/>
              <w:rPr>
                <w:rFonts w:cs="Arial"/>
                <w:iCs/>
                <w:noProof/>
                <w:szCs w:val="20"/>
                <w:lang w:val="sl-SI"/>
              </w:rPr>
            </w:pPr>
            <w:r w:rsidRPr="007751B5">
              <w:rPr>
                <w:rFonts w:cs="Arial"/>
                <w:iCs/>
                <w:noProof/>
                <w:szCs w:val="20"/>
                <w:lang w:val="sl-SI"/>
              </w:rPr>
              <w:t xml:space="preserve">                                                                                                       Stojan Tramte</w:t>
            </w:r>
          </w:p>
          <w:p w:rsidR="007751B5" w:rsidRPr="007751B5" w:rsidRDefault="007751B5" w:rsidP="007751B5">
            <w:pPr>
              <w:spacing w:line="260" w:lineRule="atLeast"/>
              <w:rPr>
                <w:rFonts w:cs="Arial"/>
                <w:iCs/>
                <w:noProof/>
                <w:szCs w:val="20"/>
                <w:lang w:val="sl-SI"/>
              </w:rPr>
            </w:pPr>
            <w:r w:rsidRPr="007751B5">
              <w:rPr>
                <w:rFonts w:cs="Arial"/>
                <w:iCs/>
                <w:noProof/>
                <w:szCs w:val="20"/>
                <w:lang w:val="sl-SI"/>
              </w:rPr>
              <w:t xml:space="preserve">                                                                                                  GENERALNI SEKRETAR </w:t>
            </w:r>
          </w:p>
          <w:p w:rsidR="007751B5" w:rsidRPr="007751B5" w:rsidRDefault="007751B5" w:rsidP="007751B5">
            <w:pPr>
              <w:spacing w:line="260" w:lineRule="atLeast"/>
              <w:rPr>
                <w:rFonts w:cs="Arial"/>
                <w:iCs/>
                <w:noProof/>
                <w:szCs w:val="20"/>
                <w:lang w:val="sl-SI"/>
              </w:rPr>
            </w:pPr>
            <w:r w:rsidRPr="007751B5">
              <w:rPr>
                <w:rFonts w:cs="Arial"/>
                <w:iCs/>
                <w:noProof/>
                <w:szCs w:val="20"/>
                <w:lang w:val="sl-SI"/>
              </w:rPr>
              <w:t xml:space="preserve">Sklep prejmejo: </w:t>
            </w:r>
          </w:p>
          <w:p w:rsidR="007751B5" w:rsidRPr="007751B5" w:rsidRDefault="007751B5" w:rsidP="007751B5">
            <w:pPr>
              <w:spacing w:line="260" w:lineRule="atLeast"/>
              <w:rPr>
                <w:rFonts w:cs="Arial"/>
                <w:iCs/>
                <w:noProof/>
                <w:szCs w:val="20"/>
                <w:lang w:val="sl-SI"/>
              </w:rPr>
            </w:pPr>
            <w:r w:rsidRPr="007751B5">
              <w:rPr>
                <w:rFonts w:cs="Arial"/>
                <w:iCs/>
                <w:noProof/>
                <w:szCs w:val="20"/>
                <w:lang w:val="sl-SI"/>
              </w:rPr>
              <w:t>−</w:t>
            </w:r>
            <w:r w:rsidRPr="007751B5">
              <w:rPr>
                <w:rFonts w:cs="Arial"/>
                <w:iCs/>
                <w:noProof/>
                <w:szCs w:val="20"/>
                <w:lang w:val="sl-SI"/>
              </w:rPr>
              <w:tab/>
              <w:t>ministrstva,</w:t>
            </w:r>
          </w:p>
          <w:p w:rsidR="00486664" w:rsidRPr="00486664" w:rsidRDefault="007751B5" w:rsidP="007751B5">
            <w:pPr>
              <w:spacing w:line="260" w:lineRule="atLeast"/>
              <w:rPr>
                <w:rFonts w:cs="Arial"/>
                <w:iCs/>
                <w:noProof/>
                <w:szCs w:val="20"/>
                <w:lang w:val="sl-SI"/>
              </w:rPr>
            </w:pPr>
            <w:r w:rsidRPr="007751B5">
              <w:rPr>
                <w:rFonts w:cs="Arial"/>
                <w:iCs/>
                <w:noProof/>
                <w:szCs w:val="20"/>
                <w:lang w:val="sl-SI"/>
              </w:rPr>
              <w:t>−</w:t>
            </w:r>
            <w:r w:rsidRPr="007751B5">
              <w:rPr>
                <w:rFonts w:cs="Arial"/>
                <w:iCs/>
                <w:noProof/>
                <w:szCs w:val="20"/>
                <w:lang w:val="sl-SI"/>
              </w:rPr>
              <w:tab/>
              <w:t>vladne službe.</w:t>
            </w:r>
          </w:p>
        </w:tc>
      </w:tr>
      <w:tr w:rsidR="00486664" w:rsidRPr="00486664" w:rsidTr="00153C3D">
        <w:tc>
          <w:tcPr>
            <w:tcW w:w="9263" w:type="dxa"/>
            <w:gridSpan w:val="12"/>
          </w:tcPr>
          <w:p w:rsidR="00486664" w:rsidRPr="00486664" w:rsidRDefault="00486664" w:rsidP="00486664">
            <w:pPr>
              <w:rPr>
                <w:b/>
                <w:iCs/>
                <w:noProof/>
                <w:szCs w:val="20"/>
                <w:lang w:val="sl-SI"/>
              </w:rPr>
            </w:pPr>
            <w:r w:rsidRPr="00486664">
              <w:rPr>
                <w:b/>
                <w:noProof/>
                <w:szCs w:val="20"/>
                <w:lang w:val="sl-SI"/>
              </w:rPr>
              <w:t>2. Predlog za obravnavo predloga zakona po nujnem ali skrajšanem postopku v državnem zboru z obrazložitvijo razlogov:</w:t>
            </w:r>
          </w:p>
        </w:tc>
      </w:tr>
      <w:tr w:rsidR="00486664" w:rsidRPr="00486664" w:rsidTr="00153C3D">
        <w:tc>
          <w:tcPr>
            <w:tcW w:w="9263" w:type="dxa"/>
            <w:gridSpan w:val="12"/>
          </w:tcPr>
          <w:p w:rsidR="00486664" w:rsidRPr="00486664" w:rsidRDefault="00486664" w:rsidP="00486664">
            <w:pPr>
              <w:rPr>
                <w:iCs/>
                <w:noProof/>
                <w:szCs w:val="20"/>
                <w:lang w:val="sl-SI"/>
              </w:rPr>
            </w:pPr>
            <w:r w:rsidRPr="00486664">
              <w:rPr>
                <w:iCs/>
                <w:noProof/>
                <w:szCs w:val="20"/>
                <w:lang w:val="sl-SI"/>
              </w:rPr>
              <w:t>(Navedite razloge, razen za predlog zakona o ratifikaciji mednarodne pogodbe, ki se obravnava po nujnem postopku – 169. člen Poslovnika državnega zbora.)</w:t>
            </w:r>
          </w:p>
        </w:tc>
      </w:tr>
      <w:tr w:rsidR="00486664" w:rsidRPr="0098614D" w:rsidTr="00153C3D">
        <w:tc>
          <w:tcPr>
            <w:tcW w:w="9263" w:type="dxa"/>
            <w:gridSpan w:val="12"/>
          </w:tcPr>
          <w:p w:rsidR="00486664" w:rsidRPr="00486664" w:rsidRDefault="00486664" w:rsidP="00486664">
            <w:pPr>
              <w:rPr>
                <w:b/>
                <w:iCs/>
                <w:noProof/>
                <w:szCs w:val="20"/>
                <w:lang w:val="it-IT"/>
              </w:rPr>
            </w:pPr>
            <w:r w:rsidRPr="00486664">
              <w:rPr>
                <w:b/>
                <w:noProof/>
                <w:szCs w:val="20"/>
                <w:lang w:val="it-IT"/>
              </w:rPr>
              <w:t>3.a Osebe, odgovorne za strokovno pripravo in usklajenost gradiva:</w:t>
            </w:r>
          </w:p>
        </w:tc>
      </w:tr>
      <w:tr w:rsidR="00486664" w:rsidRPr="0098614D" w:rsidTr="00153C3D">
        <w:tc>
          <w:tcPr>
            <w:tcW w:w="9263" w:type="dxa"/>
            <w:gridSpan w:val="12"/>
          </w:tcPr>
          <w:p w:rsidR="00486664" w:rsidRPr="00486664" w:rsidRDefault="00486664" w:rsidP="00486664">
            <w:pPr>
              <w:numPr>
                <w:ilvl w:val="0"/>
                <w:numId w:val="12"/>
              </w:numPr>
              <w:spacing w:line="260" w:lineRule="atLeast"/>
              <w:rPr>
                <w:bCs/>
                <w:noProof/>
                <w:szCs w:val="20"/>
                <w:lang w:val="sl-SI"/>
              </w:rPr>
            </w:pPr>
            <w:r w:rsidRPr="00486664">
              <w:rPr>
                <w:bCs/>
                <w:noProof/>
                <w:szCs w:val="20"/>
                <w:lang w:val="sl-SI"/>
              </w:rPr>
              <w:t xml:space="preserve">Peter Pogačar, generalni direktor Direktorata za javni sektor, Ministrstvo za javno upravo, </w:t>
            </w:r>
          </w:p>
          <w:p w:rsidR="00486664" w:rsidRPr="00486664" w:rsidRDefault="00486664" w:rsidP="00486664">
            <w:pPr>
              <w:numPr>
                <w:ilvl w:val="0"/>
                <w:numId w:val="12"/>
              </w:numPr>
              <w:spacing w:line="260" w:lineRule="atLeast"/>
              <w:rPr>
                <w:noProof/>
                <w:szCs w:val="20"/>
                <w:lang w:val="sl-SI"/>
              </w:rPr>
            </w:pPr>
            <w:r w:rsidRPr="00486664">
              <w:rPr>
                <w:noProof/>
                <w:szCs w:val="20"/>
                <w:lang w:val="sl-SI"/>
              </w:rPr>
              <w:t>mag. Branko Vidič, vodja Sektorja za plače v javnem sektorju, Ministrstvo za javno upravo,</w:t>
            </w:r>
          </w:p>
          <w:p w:rsidR="00486664" w:rsidRPr="00486664" w:rsidRDefault="00486664" w:rsidP="00486664">
            <w:pPr>
              <w:numPr>
                <w:ilvl w:val="0"/>
                <w:numId w:val="12"/>
              </w:numPr>
              <w:spacing w:line="260" w:lineRule="atLeast"/>
              <w:rPr>
                <w:noProof/>
                <w:szCs w:val="20"/>
                <w:lang w:val="sl-SI"/>
              </w:rPr>
            </w:pPr>
            <w:r w:rsidRPr="00486664">
              <w:rPr>
                <w:noProof/>
                <w:szCs w:val="20"/>
                <w:lang w:val="sl-SI"/>
              </w:rPr>
              <w:t>Barbara Lavtar, podsekretarka, Ministrstvo za javno upravo.</w:t>
            </w:r>
          </w:p>
        </w:tc>
      </w:tr>
      <w:tr w:rsidR="00486664" w:rsidRPr="0098614D" w:rsidTr="00153C3D">
        <w:tc>
          <w:tcPr>
            <w:tcW w:w="9263" w:type="dxa"/>
            <w:gridSpan w:val="12"/>
          </w:tcPr>
          <w:p w:rsidR="00486664" w:rsidRPr="00486664" w:rsidRDefault="00486664" w:rsidP="00486664">
            <w:pPr>
              <w:rPr>
                <w:b/>
                <w:iCs/>
                <w:noProof/>
                <w:szCs w:val="20"/>
                <w:lang w:val="it-IT"/>
              </w:rPr>
            </w:pPr>
            <w:r w:rsidRPr="00486664">
              <w:rPr>
                <w:b/>
                <w:iCs/>
                <w:noProof/>
                <w:szCs w:val="20"/>
                <w:lang w:val="it-IT"/>
              </w:rPr>
              <w:t xml:space="preserve">3.b Zunanji strokovnjaki, ki so </w:t>
            </w:r>
            <w:r w:rsidRPr="00486664">
              <w:rPr>
                <w:b/>
                <w:noProof/>
                <w:szCs w:val="20"/>
                <w:lang w:val="it-IT"/>
              </w:rPr>
              <w:t>sodelovali pri pripravi dela ali celotnega gradiva:</w:t>
            </w:r>
          </w:p>
        </w:tc>
      </w:tr>
      <w:tr w:rsidR="00486664" w:rsidRPr="0098614D" w:rsidTr="00153C3D">
        <w:tc>
          <w:tcPr>
            <w:tcW w:w="9263" w:type="dxa"/>
            <w:gridSpan w:val="12"/>
          </w:tcPr>
          <w:p w:rsidR="00486664" w:rsidRPr="00486664" w:rsidRDefault="00486664" w:rsidP="00486664">
            <w:pPr>
              <w:rPr>
                <w:iCs/>
                <w:noProof/>
                <w:szCs w:val="20"/>
                <w:lang w:val="sl-SI"/>
              </w:rPr>
            </w:pPr>
            <w:r w:rsidRPr="00486664">
              <w:rPr>
                <w:iCs/>
                <w:noProof/>
                <w:szCs w:val="20"/>
                <w:lang w:val="sl-SI"/>
              </w:rPr>
              <w:t>Pri pripravi gradiva niso sodelovali zunanji strokovnjaki.</w:t>
            </w:r>
          </w:p>
        </w:tc>
      </w:tr>
      <w:tr w:rsidR="00486664" w:rsidRPr="0098614D" w:rsidTr="00153C3D">
        <w:tc>
          <w:tcPr>
            <w:tcW w:w="9263" w:type="dxa"/>
            <w:gridSpan w:val="12"/>
          </w:tcPr>
          <w:p w:rsidR="00486664" w:rsidRPr="00486664" w:rsidRDefault="00486664" w:rsidP="00486664">
            <w:pPr>
              <w:rPr>
                <w:b/>
                <w:iCs/>
                <w:noProof/>
                <w:szCs w:val="20"/>
                <w:lang w:val="sl-SI"/>
              </w:rPr>
            </w:pPr>
            <w:r w:rsidRPr="00486664">
              <w:rPr>
                <w:b/>
                <w:noProof/>
                <w:szCs w:val="20"/>
                <w:lang w:val="sl-SI"/>
              </w:rPr>
              <w:t>4. Predstavniki vlade, ki bodo sodelovali pri delu državnega zbora:</w:t>
            </w:r>
          </w:p>
        </w:tc>
      </w:tr>
      <w:tr w:rsidR="00486664" w:rsidRPr="0098614D" w:rsidTr="00153C3D">
        <w:tc>
          <w:tcPr>
            <w:tcW w:w="9263" w:type="dxa"/>
            <w:gridSpan w:val="12"/>
          </w:tcPr>
          <w:p w:rsidR="00486664" w:rsidRPr="00486664" w:rsidRDefault="00486664" w:rsidP="00486664">
            <w:pPr>
              <w:rPr>
                <w:b/>
                <w:noProof/>
                <w:szCs w:val="20"/>
                <w:lang w:val="it-IT"/>
              </w:rPr>
            </w:pPr>
            <w:r w:rsidRPr="00486664">
              <w:rPr>
                <w:iCs/>
                <w:noProof/>
                <w:szCs w:val="20"/>
                <w:lang w:val="it-IT"/>
              </w:rPr>
              <w:t>(Navedite imena in priimke ter funkcije ali nazive.)</w:t>
            </w:r>
          </w:p>
        </w:tc>
      </w:tr>
      <w:tr w:rsidR="00486664" w:rsidRPr="0098614D" w:rsidTr="00153C3D">
        <w:tc>
          <w:tcPr>
            <w:tcW w:w="9263" w:type="dxa"/>
            <w:gridSpan w:val="12"/>
          </w:tcPr>
          <w:p w:rsidR="00486664" w:rsidRPr="00486664" w:rsidRDefault="00486664" w:rsidP="00486664">
            <w:pPr>
              <w:rPr>
                <w:b/>
                <w:noProof/>
                <w:szCs w:val="20"/>
                <w:lang w:val="sl-SI"/>
              </w:rPr>
            </w:pPr>
            <w:r w:rsidRPr="00486664">
              <w:rPr>
                <w:b/>
                <w:noProof/>
                <w:szCs w:val="20"/>
                <w:lang w:val="sl-SI"/>
              </w:rPr>
              <w:t>5. Kratek povzetek gradiva:</w:t>
            </w:r>
          </w:p>
          <w:p w:rsidR="00486664" w:rsidRPr="00486664" w:rsidRDefault="00486664" w:rsidP="00486664">
            <w:pPr>
              <w:jc w:val="both"/>
              <w:rPr>
                <w:rFonts w:cs="Arial"/>
                <w:iCs/>
                <w:noProof/>
                <w:szCs w:val="20"/>
                <w:lang w:val="sl-SI" w:eastAsia="sl-SI"/>
              </w:rPr>
            </w:pPr>
            <w:r w:rsidRPr="00486664">
              <w:rPr>
                <w:rFonts w:cs="Arial"/>
                <w:iCs/>
                <w:noProof/>
                <w:szCs w:val="20"/>
                <w:lang w:val="sl-SI" w:eastAsia="sl-SI"/>
              </w:rPr>
              <w:lastRenderedPageBreak/>
              <w:t xml:space="preserve"> </w:t>
            </w:r>
          </w:p>
          <w:p w:rsidR="00486664"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 xml:space="preserve">Zaradi pogostih nihanj indeksa življenjskih stroškov OZN, kar vpliva na višino plač javnih uslužbencev na delu v tujini, še zlasti v zadnjem obdobju, zaradi česar bi se plače v tujini znižale tudi do 600 EUR, predlog sprememb uredbe vključuje določilo, da se s 1.2.2020 Priloga 2 uredbe ne spremeni (za določitev plač za delo v tujini bi se torej uporabljali indeksi življenjskih stroškov, ki so bili uveljavljeni na dan 1.10.2019). V Skupini predstavnikov ministrstev, ki obravnava problematiko plač za delo v tujini, je bilo ugotovljeno, da sedanja metodologija določanja plač za delo v tujini ni ustrezna, zato je v predlogu 2. točke sklepa vlade določeno, da </w:t>
            </w:r>
            <w:r w:rsidR="007A75A3">
              <w:rPr>
                <w:rFonts w:cs="Arial"/>
                <w:iCs/>
                <w:noProof/>
                <w:szCs w:val="20"/>
                <w:lang w:val="sl-SI" w:eastAsia="sl-SI"/>
              </w:rPr>
              <w:t xml:space="preserve">se v okviru </w:t>
            </w:r>
            <w:r w:rsidRPr="007751B5">
              <w:rPr>
                <w:rFonts w:cs="Arial"/>
                <w:iCs/>
                <w:noProof/>
                <w:szCs w:val="20"/>
                <w:lang w:val="sl-SI" w:eastAsia="sl-SI"/>
              </w:rPr>
              <w:t>naveden</w:t>
            </w:r>
            <w:r w:rsidR="007A75A3">
              <w:rPr>
                <w:rFonts w:cs="Arial"/>
                <w:iCs/>
                <w:noProof/>
                <w:szCs w:val="20"/>
                <w:lang w:val="sl-SI" w:eastAsia="sl-SI"/>
              </w:rPr>
              <w:t>e</w:t>
            </w:r>
            <w:r w:rsidRPr="007751B5">
              <w:rPr>
                <w:rFonts w:cs="Arial"/>
                <w:iCs/>
                <w:noProof/>
                <w:szCs w:val="20"/>
                <w:lang w:val="sl-SI" w:eastAsia="sl-SI"/>
              </w:rPr>
              <w:t xml:space="preserve"> skupin</w:t>
            </w:r>
            <w:r w:rsidR="007A75A3">
              <w:rPr>
                <w:rFonts w:cs="Arial"/>
                <w:iCs/>
                <w:noProof/>
                <w:szCs w:val="20"/>
                <w:lang w:val="sl-SI" w:eastAsia="sl-SI"/>
              </w:rPr>
              <w:t>e</w:t>
            </w:r>
            <w:r w:rsidRPr="007751B5">
              <w:rPr>
                <w:rFonts w:cs="Arial"/>
                <w:iCs/>
                <w:noProof/>
                <w:szCs w:val="20"/>
                <w:lang w:val="sl-SI" w:eastAsia="sl-SI"/>
              </w:rPr>
              <w:t xml:space="preserve"> najkasneje do 30.4.2020 pripravi predlog izboljšane metodologije, tudi upoštevaje pogosto spreminjanje indeksov OZN in posledično pogostega nihanja plač javnih uslužbencev na delu v tujini. </w:t>
            </w:r>
            <w:r w:rsidR="007A75A3">
              <w:rPr>
                <w:rFonts w:cs="Arial"/>
                <w:iCs/>
                <w:noProof/>
                <w:szCs w:val="20"/>
                <w:lang w:val="sl-SI" w:eastAsia="sl-SI"/>
              </w:rPr>
              <w:t xml:space="preserve">Kot predlaga Ministrstvo za finance, se bo v okviru iste medresorske delovne skupine pripravila ustreznejša rešitev tudi glede izplačevanja drugih prejemkov javnih uslužbencev na delu v tujini. </w:t>
            </w:r>
            <w:r w:rsidRPr="007751B5">
              <w:rPr>
                <w:rFonts w:cs="Arial"/>
                <w:iCs/>
                <w:noProof/>
                <w:szCs w:val="20"/>
                <w:lang w:val="sl-SI" w:eastAsia="sl-SI"/>
              </w:rPr>
              <w:t xml:space="preserve">  </w:t>
            </w:r>
          </w:p>
          <w:p w:rsidR="007751B5" w:rsidRDefault="007751B5" w:rsidP="007751B5">
            <w:pPr>
              <w:spacing w:line="260" w:lineRule="atLeast"/>
              <w:ind w:left="22" w:hanging="22"/>
              <w:contextualSpacing/>
              <w:jc w:val="both"/>
              <w:rPr>
                <w:rFonts w:cs="Arial"/>
                <w:iCs/>
                <w:noProof/>
                <w:szCs w:val="20"/>
                <w:lang w:val="sl-SI" w:eastAsia="sl-SI"/>
              </w:rPr>
            </w:pPr>
          </w:p>
          <w:p w:rsidR="007751B5" w:rsidRPr="007751B5"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 xml:space="preserve">Predlagano gradivo vsebuje še nekatere druge predloge sprememb in dopolnitev Uredbe o plačah in drugih prejemkih javnih uslužbencev za delo v tujini, ki so bili vsebovani v Informaciji o ustreznosti veljavne ureditve plač in drugih prejemkov javnih uslužbencev za delo v tujini (sklep Vlade RS št. 10007-6/2019/3 z dne 9. 5. 2019), vendar ob predhodnih spremembah uredbe (Uredba o spremembah in dopolnitvah Uredbe o plačah in drugih prejemkih javnih uslužbencev za delo v tujini (Uradni list RS, št. 59/19)), v okviru Skupine predstavnikov ministrstev še niso bile usklajene (sedaj so vse te spremembe v okviru te skupine usklajene). </w:t>
            </w:r>
          </w:p>
          <w:p w:rsidR="007751B5" w:rsidRPr="007751B5" w:rsidRDefault="007751B5" w:rsidP="007751B5">
            <w:pPr>
              <w:spacing w:line="260" w:lineRule="atLeast"/>
              <w:ind w:left="22" w:hanging="22"/>
              <w:contextualSpacing/>
              <w:jc w:val="both"/>
              <w:rPr>
                <w:rFonts w:cs="Arial"/>
                <w:iCs/>
                <w:noProof/>
                <w:szCs w:val="20"/>
                <w:lang w:val="sl-SI" w:eastAsia="sl-SI"/>
              </w:rPr>
            </w:pPr>
          </w:p>
          <w:p w:rsidR="007751B5" w:rsidRPr="007751B5"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Skupina predstavnikov ministrstev se je uskladila glede naslednjih vsebin:</w:t>
            </w:r>
          </w:p>
          <w:p w:rsidR="007751B5" w:rsidRDefault="007751B5" w:rsidP="00F47C4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w:t>
            </w:r>
            <w:r w:rsidRPr="007751B5">
              <w:rPr>
                <w:rFonts w:cs="Arial"/>
                <w:iCs/>
                <w:noProof/>
                <w:szCs w:val="20"/>
                <w:lang w:val="sl-SI" w:eastAsia="sl-SI"/>
              </w:rPr>
              <w:tab/>
            </w:r>
            <w:r w:rsidR="00F47C45">
              <w:rPr>
                <w:rFonts w:cs="Arial"/>
                <w:iCs/>
                <w:noProof/>
                <w:szCs w:val="20"/>
                <w:lang w:val="sl-SI" w:eastAsia="sl-SI"/>
              </w:rPr>
              <w:t xml:space="preserve">s spremembo </w:t>
            </w:r>
            <w:r w:rsidR="00F47C45" w:rsidRPr="00F47C45">
              <w:rPr>
                <w:rFonts w:cs="Arial"/>
                <w:iCs/>
                <w:noProof/>
                <w:szCs w:val="20"/>
                <w:lang w:val="sl-SI" w:eastAsia="sl-SI"/>
              </w:rPr>
              <w:t>prv</w:t>
            </w:r>
            <w:r w:rsidR="00F47C45">
              <w:rPr>
                <w:rFonts w:cs="Arial"/>
                <w:iCs/>
                <w:noProof/>
                <w:szCs w:val="20"/>
                <w:lang w:val="sl-SI" w:eastAsia="sl-SI"/>
              </w:rPr>
              <w:t>ega</w:t>
            </w:r>
            <w:r w:rsidR="00F47C45" w:rsidRPr="00F47C45">
              <w:rPr>
                <w:rFonts w:cs="Arial"/>
                <w:iCs/>
                <w:noProof/>
                <w:szCs w:val="20"/>
                <w:lang w:val="sl-SI" w:eastAsia="sl-SI"/>
              </w:rPr>
              <w:t xml:space="preserve"> stav</w:t>
            </w:r>
            <w:r w:rsidR="00F47C45">
              <w:rPr>
                <w:rFonts w:cs="Arial"/>
                <w:iCs/>
                <w:noProof/>
                <w:szCs w:val="20"/>
                <w:lang w:val="sl-SI" w:eastAsia="sl-SI"/>
              </w:rPr>
              <w:t>ka</w:t>
            </w:r>
            <w:r w:rsidR="00F47C45" w:rsidRPr="00F47C45">
              <w:rPr>
                <w:rFonts w:cs="Arial"/>
                <w:iCs/>
                <w:noProof/>
                <w:szCs w:val="20"/>
                <w:lang w:val="sl-SI" w:eastAsia="sl-SI"/>
              </w:rPr>
              <w:t xml:space="preserve"> </w:t>
            </w:r>
            <w:r w:rsidR="00F47C45">
              <w:rPr>
                <w:rFonts w:cs="Arial"/>
                <w:iCs/>
                <w:noProof/>
                <w:szCs w:val="20"/>
                <w:lang w:val="sl-SI" w:eastAsia="sl-SI"/>
              </w:rPr>
              <w:t xml:space="preserve">četrtega odstavka 7. člena, in sicer </w:t>
            </w:r>
            <w:r w:rsidR="00F47C45" w:rsidRPr="00F47C45">
              <w:rPr>
                <w:rFonts w:cs="Arial"/>
                <w:iCs/>
                <w:noProof/>
                <w:szCs w:val="20"/>
                <w:lang w:val="sl-SI" w:eastAsia="sl-SI"/>
              </w:rPr>
              <w:t>sprejme vlada na predlog ministra za zunanje zadeve</w:t>
            </w:r>
            <w:r w:rsidR="00F47C45">
              <w:rPr>
                <w:rFonts w:cs="Arial"/>
                <w:iCs/>
                <w:noProof/>
                <w:szCs w:val="20"/>
                <w:lang w:val="sl-SI" w:eastAsia="sl-SI"/>
              </w:rPr>
              <w:t xml:space="preserve"> s</w:t>
            </w:r>
            <w:r w:rsidR="00F47C45" w:rsidRPr="00F47C45">
              <w:rPr>
                <w:rFonts w:cs="Arial"/>
                <w:iCs/>
                <w:noProof/>
                <w:szCs w:val="20"/>
                <w:lang w:val="sl-SI" w:eastAsia="sl-SI"/>
              </w:rPr>
              <w:t>premembo preglednice indeksov življenjskih stroškov, ki so določeni v prilogi 2 te uredbe, enkrat na leto, tako da se indeksi življenjskih stroškov spremenijo 1. oktobra z zadnjim objavljenim indeksom OZN pred tem datumom</w:t>
            </w:r>
            <w:r w:rsidR="00F47C45">
              <w:rPr>
                <w:rFonts w:cs="Arial"/>
                <w:iCs/>
                <w:noProof/>
                <w:szCs w:val="20"/>
                <w:lang w:val="sl-SI" w:eastAsia="sl-SI"/>
              </w:rPr>
              <w:t xml:space="preserve">, ter </w:t>
            </w:r>
            <w:r w:rsidRPr="007751B5">
              <w:rPr>
                <w:rFonts w:cs="Arial"/>
                <w:iCs/>
                <w:noProof/>
                <w:szCs w:val="20"/>
                <w:lang w:val="sl-SI" w:eastAsia="sl-SI"/>
              </w:rPr>
              <w:t>z opredelitvijo tečaja in datuma veljavnosti tečaja za preračun plače iz evrov v lokalno valuto v primeru, da se plača za delo v tujini ne izplača v evrih, ampak v drugi valuti,</w:t>
            </w:r>
          </w:p>
          <w:p w:rsidR="00832EE6" w:rsidRPr="007751B5" w:rsidRDefault="00832EE6" w:rsidP="00F47C45">
            <w:pPr>
              <w:spacing w:line="260" w:lineRule="atLeast"/>
              <w:ind w:left="22" w:hanging="22"/>
              <w:contextualSpacing/>
              <w:jc w:val="both"/>
              <w:rPr>
                <w:rFonts w:cs="Arial"/>
                <w:iCs/>
                <w:noProof/>
                <w:szCs w:val="20"/>
                <w:lang w:val="sl-SI" w:eastAsia="sl-SI"/>
              </w:rPr>
            </w:pPr>
          </w:p>
          <w:p w:rsidR="007751B5"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w:t>
            </w:r>
            <w:r w:rsidRPr="007751B5">
              <w:rPr>
                <w:rFonts w:cs="Arial"/>
                <w:iCs/>
                <w:noProof/>
                <w:szCs w:val="20"/>
                <w:lang w:val="sl-SI" w:eastAsia="sl-SI"/>
              </w:rPr>
              <w:tab/>
              <w:t>s spremembo 8. člena, ki določa, da tudi učiteljem dopolnilnega pouka slovenščine v tujini, učiteljem slovenščine in lektorjem na tujih univerzah pripada dodatek za posebne življenjske razmere v tujini,</w:t>
            </w:r>
          </w:p>
          <w:p w:rsidR="00832EE6" w:rsidRPr="007751B5" w:rsidRDefault="00832EE6" w:rsidP="007751B5">
            <w:pPr>
              <w:spacing w:line="260" w:lineRule="atLeast"/>
              <w:ind w:left="22" w:hanging="22"/>
              <w:contextualSpacing/>
              <w:jc w:val="both"/>
              <w:rPr>
                <w:rFonts w:cs="Arial"/>
                <w:iCs/>
                <w:noProof/>
                <w:szCs w:val="20"/>
                <w:lang w:val="sl-SI" w:eastAsia="sl-SI"/>
              </w:rPr>
            </w:pPr>
          </w:p>
          <w:p w:rsidR="007751B5" w:rsidRPr="007751B5"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w:t>
            </w:r>
            <w:r w:rsidRPr="007751B5">
              <w:rPr>
                <w:rFonts w:cs="Arial"/>
                <w:iCs/>
                <w:noProof/>
                <w:szCs w:val="20"/>
                <w:lang w:val="sl-SI" w:eastAsia="sl-SI"/>
              </w:rPr>
              <w:tab/>
              <w:t>z dopolnitvijo 11. člena, ki dosedanji dodatek za opravljanje dodatnih nalog deli na finančne in varnostne naloge. Doslej je bila višina dodatka odvisna od tarifnega razreda delovnega mesta, ki ga zaseda javni uslužbenec, ki opravlja dodatne naloge. Sprememba določa višino dodatka v fiksnem znesku, ki ne bo več odvisna od tarifnega razreda delovnega mesta. Dodatek je določen posebej za opravljanje finančnih nalog v višini 304,21 evra in posebej za opravljanje varnostnih ter drugih nalog v višini 200 evrov.</w:t>
            </w:r>
          </w:p>
          <w:p w:rsidR="007751B5" w:rsidRPr="007751B5" w:rsidRDefault="007751B5" w:rsidP="007751B5">
            <w:pPr>
              <w:spacing w:line="260" w:lineRule="atLeast"/>
              <w:ind w:left="22" w:hanging="22"/>
              <w:contextualSpacing/>
              <w:jc w:val="both"/>
              <w:rPr>
                <w:rFonts w:cs="Arial"/>
                <w:iCs/>
                <w:noProof/>
                <w:szCs w:val="20"/>
                <w:lang w:val="sl-SI" w:eastAsia="sl-SI"/>
              </w:rPr>
            </w:pPr>
          </w:p>
          <w:p w:rsidR="007751B5" w:rsidRPr="007751B5"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Poleg zgoraj navedenih sprememb in dopolnitev gradivo vsebuje tudi dva redakcijska popravka, in sicer:</w:t>
            </w:r>
          </w:p>
          <w:p w:rsidR="007751B5" w:rsidRPr="007751B5"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w:t>
            </w:r>
            <w:r w:rsidRPr="007751B5">
              <w:rPr>
                <w:rFonts w:cs="Arial"/>
                <w:iCs/>
                <w:noProof/>
                <w:szCs w:val="20"/>
                <w:lang w:val="sl-SI" w:eastAsia="sl-SI"/>
              </w:rPr>
              <w:tab/>
              <w:t xml:space="preserve">spremembo šestega odstavka 22. člena, ki določa, da učiteljem dopolnilnega pouka slovenščine v tujini, učiteljem slovenščine in lektorjem na tujih univerzah </w:t>
            </w:r>
            <w:r w:rsidR="00C6447B">
              <w:rPr>
                <w:rFonts w:cs="Arial"/>
                <w:iCs/>
                <w:noProof/>
                <w:szCs w:val="20"/>
                <w:lang w:val="sl-SI" w:eastAsia="sl-SI"/>
              </w:rPr>
              <w:t>sedaj</w:t>
            </w:r>
            <w:r w:rsidRPr="007751B5">
              <w:rPr>
                <w:rFonts w:cs="Arial"/>
                <w:iCs/>
                <w:noProof/>
                <w:szCs w:val="20"/>
                <w:lang w:val="sl-SI" w:eastAsia="sl-SI"/>
              </w:rPr>
              <w:t xml:space="preserve"> pripada dnevnica in povračilo stroškov za učenje tujega jezika. Sprememba sledi spremembi 27. člena oziroma  40. člena uredbe (Uradni list RS, št. 59/19),</w:t>
            </w:r>
          </w:p>
          <w:p w:rsidR="007751B5" w:rsidRPr="007751B5" w:rsidRDefault="007751B5" w:rsidP="007751B5">
            <w:pPr>
              <w:spacing w:line="260" w:lineRule="atLeast"/>
              <w:ind w:left="22" w:hanging="22"/>
              <w:contextualSpacing/>
              <w:jc w:val="both"/>
              <w:rPr>
                <w:rFonts w:cs="Arial"/>
                <w:iCs/>
                <w:noProof/>
                <w:szCs w:val="20"/>
                <w:lang w:val="sl-SI" w:eastAsia="sl-SI"/>
              </w:rPr>
            </w:pPr>
          </w:p>
          <w:p w:rsidR="007751B5" w:rsidRPr="00486664" w:rsidRDefault="007751B5" w:rsidP="007751B5">
            <w:pPr>
              <w:spacing w:line="260" w:lineRule="atLeast"/>
              <w:ind w:left="22" w:hanging="22"/>
              <w:contextualSpacing/>
              <w:jc w:val="both"/>
              <w:rPr>
                <w:rFonts w:cs="Arial"/>
                <w:iCs/>
                <w:noProof/>
                <w:szCs w:val="20"/>
                <w:lang w:val="sl-SI" w:eastAsia="sl-SI"/>
              </w:rPr>
            </w:pPr>
            <w:r w:rsidRPr="007751B5">
              <w:rPr>
                <w:rFonts w:cs="Arial"/>
                <w:iCs/>
                <w:noProof/>
                <w:szCs w:val="20"/>
                <w:lang w:val="sl-SI" w:eastAsia="sl-SI"/>
              </w:rPr>
              <w:t>-</w:t>
            </w:r>
            <w:r w:rsidRPr="007751B5">
              <w:rPr>
                <w:rFonts w:cs="Arial"/>
                <w:iCs/>
                <w:noProof/>
                <w:szCs w:val="20"/>
                <w:lang w:val="sl-SI" w:eastAsia="sl-SI"/>
              </w:rPr>
              <w:tab/>
              <w:t>spremembo 32. člena, s katero se vsebina usklajuje s stolpci iz priloge 3 (Preglednica limitov za povračilo stroškov za nastanitev javnega uslužbenca za delo v tujini), po kateri so učitelji</w:t>
            </w:r>
            <w:r w:rsidR="00B01FC9">
              <w:rPr>
                <w:rFonts w:cs="Arial"/>
                <w:iCs/>
                <w:noProof/>
                <w:szCs w:val="20"/>
                <w:lang w:val="sl-SI" w:eastAsia="sl-SI"/>
              </w:rPr>
              <w:t xml:space="preserve"> </w:t>
            </w:r>
            <w:r w:rsidR="00B01FC9" w:rsidRPr="00B01FC9">
              <w:rPr>
                <w:rFonts w:cs="Arial"/>
                <w:iCs/>
                <w:noProof/>
                <w:szCs w:val="20"/>
                <w:lang w:val="sl-SI" w:eastAsia="sl-SI"/>
              </w:rPr>
              <w:t>(tj. učitelji slovenščine, lektorji na tujih univerzah ter drugi učitelji na delu v tujini)</w:t>
            </w:r>
            <w:r w:rsidRPr="007751B5">
              <w:rPr>
                <w:rFonts w:cs="Arial"/>
                <w:iCs/>
                <w:noProof/>
                <w:szCs w:val="20"/>
                <w:lang w:val="sl-SI" w:eastAsia="sl-SI"/>
              </w:rPr>
              <w:t xml:space="preserve"> glede nastanitve enako obravnavani kot drugi javni uslužbenci. V drugem odstavku pa se srednji tečaj Banke Slovenije nadomesti z referenčnim tečajem Evropske centralne banke, ker srednji tečaj ne obstaja več.</w:t>
            </w:r>
          </w:p>
          <w:p w:rsidR="00486664" w:rsidRPr="00486664" w:rsidRDefault="00486664" w:rsidP="00486664">
            <w:pPr>
              <w:jc w:val="both"/>
              <w:rPr>
                <w:color w:val="000000"/>
                <w:szCs w:val="20"/>
                <w:lang w:val="sl-SI"/>
              </w:rPr>
            </w:pPr>
          </w:p>
        </w:tc>
      </w:tr>
      <w:tr w:rsidR="00486664" w:rsidRPr="0098614D" w:rsidTr="00153C3D">
        <w:tc>
          <w:tcPr>
            <w:tcW w:w="9263" w:type="dxa"/>
            <w:gridSpan w:val="12"/>
          </w:tcPr>
          <w:p w:rsidR="00486664" w:rsidRPr="00486664" w:rsidRDefault="00486664" w:rsidP="00486664">
            <w:pPr>
              <w:rPr>
                <w:iCs/>
                <w:noProof/>
                <w:szCs w:val="20"/>
                <w:lang w:val="sl-SI"/>
              </w:rPr>
            </w:pPr>
          </w:p>
        </w:tc>
      </w:tr>
      <w:tr w:rsidR="00486664" w:rsidRPr="00486664" w:rsidTr="00153C3D">
        <w:tc>
          <w:tcPr>
            <w:tcW w:w="9263" w:type="dxa"/>
            <w:gridSpan w:val="12"/>
          </w:tcPr>
          <w:p w:rsidR="00486664" w:rsidRPr="00486664" w:rsidRDefault="00486664" w:rsidP="00486664">
            <w:pPr>
              <w:rPr>
                <w:b/>
                <w:noProof/>
                <w:szCs w:val="20"/>
                <w:lang w:val="sl-SI"/>
              </w:rPr>
            </w:pPr>
            <w:r w:rsidRPr="00486664">
              <w:rPr>
                <w:b/>
                <w:noProof/>
                <w:szCs w:val="20"/>
                <w:lang w:val="sl-SI"/>
              </w:rPr>
              <w:lastRenderedPageBreak/>
              <w:t>6. Presoja posledic za:</w:t>
            </w:r>
          </w:p>
        </w:tc>
      </w:tr>
      <w:tr w:rsidR="00486664" w:rsidRPr="00486664" w:rsidTr="00153C3D">
        <w:tc>
          <w:tcPr>
            <w:tcW w:w="2222" w:type="dxa"/>
            <w:gridSpan w:val="2"/>
          </w:tcPr>
          <w:p w:rsidR="00486664" w:rsidRPr="00486664" w:rsidRDefault="00486664" w:rsidP="00486664">
            <w:pPr>
              <w:ind w:left="360"/>
              <w:rPr>
                <w:iCs/>
                <w:noProof/>
                <w:szCs w:val="20"/>
                <w:lang w:val="sl-SI"/>
              </w:rPr>
            </w:pPr>
            <w:r w:rsidRPr="00486664">
              <w:rPr>
                <w:iCs/>
                <w:noProof/>
                <w:szCs w:val="20"/>
                <w:lang w:val="sl-SI"/>
              </w:rPr>
              <w:t>a)</w:t>
            </w:r>
          </w:p>
        </w:tc>
        <w:tc>
          <w:tcPr>
            <w:tcW w:w="5049" w:type="dxa"/>
            <w:gridSpan w:val="8"/>
          </w:tcPr>
          <w:p w:rsidR="00486664" w:rsidRPr="00486664" w:rsidRDefault="00486664" w:rsidP="00486664">
            <w:pPr>
              <w:rPr>
                <w:noProof/>
                <w:szCs w:val="20"/>
                <w:lang w:val="sl-SI"/>
              </w:rPr>
            </w:pPr>
            <w:r w:rsidRPr="00486664">
              <w:rPr>
                <w:noProof/>
                <w:szCs w:val="20"/>
                <w:lang w:val="sl-SI"/>
              </w:rPr>
              <w:t>javnofinančna sredstva nad 40.000 EUR v tekočem in naslednjih treh letih</w:t>
            </w:r>
          </w:p>
        </w:tc>
        <w:tc>
          <w:tcPr>
            <w:tcW w:w="1992" w:type="dxa"/>
            <w:gridSpan w:val="2"/>
            <w:vAlign w:val="center"/>
          </w:tcPr>
          <w:p w:rsidR="00486664" w:rsidRPr="00486664" w:rsidRDefault="00486664" w:rsidP="00486664">
            <w:pPr>
              <w:jc w:val="center"/>
              <w:rPr>
                <w:iCs/>
                <w:noProof/>
                <w:szCs w:val="20"/>
                <w:lang w:val="sl-SI"/>
              </w:rPr>
            </w:pPr>
            <w:r w:rsidRPr="00486664">
              <w:rPr>
                <w:iCs/>
                <w:noProof/>
                <w:szCs w:val="20"/>
                <w:lang w:val="sl-SI"/>
              </w:rPr>
              <w:t>DA</w:t>
            </w:r>
          </w:p>
        </w:tc>
      </w:tr>
      <w:tr w:rsidR="00486664" w:rsidRPr="00486664" w:rsidTr="00153C3D">
        <w:tc>
          <w:tcPr>
            <w:tcW w:w="2222" w:type="dxa"/>
            <w:gridSpan w:val="2"/>
          </w:tcPr>
          <w:p w:rsidR="00486664" w:rsidRPr="00486664" w:rsidRDefault="00486664" w:rsidP="00486664">
            <w:pPr>
              <w:ind w:left="360"/>
              <w:rPr>
                <w:iCs/>
                <w:noProof/>
                <w:szCs w:val="20"/>
              </w:rPr>
            </w:pPr>
            <w:r w:rsidRPr="00486664">
              <w:rPr>
                <w:iCs/>
                <w:noProof/>
                <w:szCs w:val="20"/>
                <w:lang w:val="sl-SI"/>
              </w:rPr>
              <w:t>b</w:t>
            </w:r>
            <w:r w:rsidRPr="00486664">
              <w:rPr>
                <w:iCs/>
                <w:noProof/>
                <w:szCs w:val="20"/>
              </w:rPr>
              <w:t>)</w:t>
            </w:r>
          </w:p>
        </w:tc>
        <w:tc>
          <w:tcPr>
            <w:tcW w:w="5049" w:type="dxa"/>
            <w:gridSpan w:val="8"/>
          </w:tcPr>
          <w:p w:rsidR="00486664" w:rsidRPr="00486664" w:rsidRDefault="00486664" w:rsidP="00486664">
            <w:pPr>
              <w:rPr>
                <w:iCs/>
                <w:noProof/>
                <w:szCs w:val="20"/>
              </w:rPr>
            </w:pPr>
            <w:r w:rsidRPr="00486664">
              <w:rPr>
                <w:bCs/>
                <w:noProof/>
                <w:szCs w:val="20"/>
              </w:rPr>
              <w:t>usklajenost slovenskega pravnega reda s pravnim redom Evropske unije</w:t>
            </w:r>
          </w:p>
        </w:tc>
        <w:tc>
          <w:tcPr>
            <w:tcW w:w="1992" w:type="dxa"/>
            <w:gridSpan w:val="2"/>
            <w:vAlign w:val="center"/>
          </w:tcPr>
          <w:p w:rsidR="00486664" w:rsidRPr="00486664" w:rsidRDefault="00486664" w:rsidP="00486664">
            <w:pPr>
              <w:jc w:val="center"/>
              <w:rPr>
                <w:iCs/>
                <w:noProof/>
                <w:szCs w:val="20"/>
              </w:rPr>
            </w:pPr>
            <w:r w:rsidRPr="00486664">
              <w:rPr>
                <w:noProof/>
                <w:szCs w:val="20"/>
              </w:rPr>
              <w:t>NE</w:t>
            </w:r>
          </w:p>
        </w:tc>
      </w:tr>
      <w:tr w:rsidR="00486664" w:rsidRPr="00486664" w:rsidTr="00153C3D">
        <w:tc>
          <w:tcPr>
            <w:tcW w:w="2222" w:type="dxa"/>
            <w:gridSpan w:val="2"/>
          </w:tcPr>
          <w:p w:rsidR="00486664" w:rsidRPr="00486664" w:rsidRDefault="00486664" w:rsidP="00486664">
            <w:pPr>
              <w:ind w:left="360"/>
              <w:rPr>
                <w:iCs/>
                <w:noProof/>
                <w:szCs w:val="20"/>
              </w:rPr>
            </w:pPr>
            <w:r w:rsidRPr="00486664">
              <w:rPr>
                <w:iCs/>
                <w:noProof/>
                <w:szCs w:val="20"/>
              </w:rPr>
              <w:t>c)</w:t>
            </w:r>
          </w:p>
        </w:tc>
        <w:tc>
          <w:tcPr>
            <w:tcW w:w="5049" w:type="dxa"/>
            <w:gridSpan w:val="8"/>
          </w:tcPr>
          <w:p w:rsidR="00486664" w:rsidRPr="00486664" w:rsidRDefault="00486664" w:rsidP="00486664">
            <w:pPr>
              <w:rPr>
                <w:iCs/>
                <w:noProof/>
                <w:szCs w:val="20"/>
              </w:rPr>
            </w:pPr>
            <w:r w:rsidRPr="00486664">
              <w:rPr>
                <w:noProof/>
                <w:szCs w:val="20"/>
              </w:rPr>
              <w:t>administrativne posledice</w:t>
            </w:r>
          </w:p>
        </w:tc>
        <w:tc>
          <w:tcPr>
            <w:tcW w:w="1992" w:type="dxa"/>
            <w:gridSpan w:val="2"/>
            <w:vAlign w:val="center"/>
          </w:tcPr>
          <w:p w:rsidR="00486664" w:rsidRPr="00486664" w:rsidRDefault="00486664" w:rsidP="00486664">
            <w:pPr>
              <w:jc w:val="center"/>
              <w:rPr>
                <w:noProof/>
                <w:szCs w:val="20"/>
              </w:rPr>
            </w:pPr>
            <w:r w:rsidRPr="00486664">
              <w:rPr>
                <w:noProof/>
                <w:szCs w:val="20"/>
              </w:rPr>
              <w:t>NE</w:t>
            </w:r>
          </w:p>
        </w:tc>
      </w:tr>
      <w:tr w:rsidR="00486664" w:rsidRPr="00486664" w:rsidTr="00153C3D">
        <w:tc>
          <w:tcPr>
            <w:tcW w:w="2222" w:type="dxa"/>
            <w:gridSpan w:val="2"/>
          </w:tcPr>
          <w:p w:rsidR="00486664" w:rsidRPr="00486664" w:rsidRDefault="00486664" w:rsidP="00486664">
            <w:pPr>
              <w:ind w:left="360"/>
              <w:rPr>
                <w:iCs/>
                <w:noProof/>
                <w:szCs w:val="20"/>
              </w:rPr>
            </w:pPr>
            <w:r w:rsidRPr="00486664">
              <w:rPr>
                <w:iCs/>
                <w:noProof/>
                <w:szCs w:val="20"/>
              </w:rPr>
              <w:t>č)</w:t>
            </w:r>
          </w:p>
        </w:tc>
        <w:tc>
          <w:tcPr>
            <w:tcW w:w="5049" w:type="dxa"/>
            <w:gridSpan w:val="8"/>
          </w:tcPr>
          <w:p w:rsidR="00486664" w:rsidRPr="00486664" w:rsidRDefault="00486664" w:rsidP="00486664">
            <w:pPr>
              <w:rPr>
                <w:bCs/>
                <w:noProof/>
                <w:szCs w:val="20"/>
              </w:rPr>
            </w:pPr>
            <w:r w:rsidRPr="00486664">
              <w:rPr>
                <w:noProof/>
                <w:szCs w:val="20"/>
              </w:rPr>
              <w:t>gospodarstvo, zlasti</w:t>
            </w:r>
            <w:r w:rsidRPr="00486664">
              <w:rPr>
                <w:bCs/>
                <w:noProof/>
                <w:szCs w:val="20"/>
              </w:rPr>
              <w:t xml:space="preserve"> mala in srednja podjetja ter konkurenčnost podjetij</w:t>
            </w:r>
          </w:p>
        </w:tc>
        <w:tc>
          <w:tcPr>
            <w:tcW w:w="1992" w:type="dxa"/>
            <w:gridSpan w:val="2"/>
            <w:vAlign w:val="center"/>
          </w:tcPr>
          <w:p w:rsidR="00486664" w:rsidRPr="00486664" w:rsidRDefault="00486664" w:rsidP="00486664">
            <w:pPr>
              <w:jc w:val="center"/>
              <w:rPr>
                <w:iCs/>
                <w:noProof/>
                <w:szCs w:val="20"/>
              </w:rPr>
            </w:pPr>
            <w:r w:rsidRPr="00486664">
              <w:rPr>
                <w:noProof/>
                <w:szCs w:val="20"/>
              </w:rPr>
              <w:t>NE</w:t>
            </w:r>
          </w:p>
        </w:tc>
      </w:tr>
      <w:tr w:rsidR="00486664" w:rsidRPr="00486664" w:rsidTr="00153C3D">
        <w:tc>
          <w:tcPr>
            <w:tcW w:w="2222" w:type="dxa"/>
            <w:gridSpan w:val="2"/>
          </w:tcPr>
          <w:p w:rsidR="00486664" w:rsidRPr="00486664" w:rsidRDefault="00486664" w:rsidP="00486664">
            <w:pPr>
              <w:ind w:left="360"/>
              <w:rPr>
                <w:iCs/>
                <w:noProof/>
                <w:szCs w:val="20"/>
              </w:rPr>
            </w:pPr>
            <w:r w:rsidRPr="00486664">
              <w:rPr>
                <w:iCs/>
                <w:noProof/>
                <w:szCs w:val="20"/>
              </w:rPr>
              <w:t>d)</w:t>
            </w:r>
          </w:p>
        </w:tc>
        <w:tc>
          <w:tcPr>
            <w:tcW w:w="5049" w:type="dxa"/>
            <w:gridSpan w:val="8"/>
          </w:tcPr>
          <w:p w:rsidR="00486664" w:rsidRPr="00486664" w:rsidRDefault="00486664" w:rsidP="00486664">
            <w:pPr>
              <w:rPr>
                <w:bCs/>
                <w:noProof/>
                <w:szCs w:val="20"/>
                <w:lang w:val="it-IT"/>
              </w:rPr>
            </w:pPr>
            <w:r w:rsidRPr="00486664">
              <w:rPr>
                <w:bCs/>
                <w:noProof/>
                <w:szCs w:val="20"/>
                <w:lang w:val="it-IT"/>
              </w:rPr>
              <w:t>okolje, vključno s prostorskimi in varstvenimi vidiki</w:t>
            </w:r>
          </w:p>
        </w:tc>
        <w:tc>
          <w:tcPr>
            <w:tcW w:w="1992" w:type="dxa"/>
            <w:gridSpan w:val="2"/>
            <w:vAlign w:val="center"/>
          </w:tcPr>
          <w:p w:rsidR="00486664" w:rsidRPr="00486664" w:rsidRDefault="00486664" w:rsidP="00486664">
            <w:pPr>
              <w:jc w:val="center"/>
              <w:rPr>
                <w:iCs/>
                <w:noProof/>
                <w:szCs w:val="20"/>
              </w:rPr>
            </w:pPr>
            <w:r w:rsidRPr="00486664">
              <w:rPr>
                <w:noProof/>
                <w:szCs w:val="20"/>
              </w:rPr>
              <w:t>NE</w:t>
            </w:r>
          </w:p>
        </w:tc>
      </w:tr>
      <w:tr w:rsidR="00486664" w:rsidRPr="00486664" w:rsidTr="00153C3D">
        <w:tc>
          <w:tcPr>
            <w:tcW w:w="2222" w:type="dxa"/>
            <w:gridSpan w:val="2"/>
          </w:tcPr>
          <w:p w:rsidR="00486664" w:rsidRPr="00486664" w:rsidRDefault="00486664" w:rsidP="00486664">
            <w:pPr>
              <w:ind w:left="360"/>
              <w:rPr>
                <w:iCs/>
                <w:noProof/>
                <w:szCs w:val="20"/>
              </w:rPr>
            </w:pPr>
            <w:r w:rsidRPr="00486664">
              <w:rPr>
                <w:iCs/>
                <w:noProof/>
                <w:szCs w:val="20"/>
              </w:rPr>
              <w:t>e)</w:t>
            </w:r>
          </w:p>
        </w:tc>
        <w:tc>
          <w:tcPr>
            <w:tcW w:w="5049" w:type="dxa"/>
            <w:gridSpan w:val="8"/>
          </w:tcPr>
          <w:p w:rsidR="00486664" w:rsidRPr="00486664" w:rsidRDefault="00486664" w:rsidP="00486664">
            <w:pPr>
              <w:rPr>
                <w:bCs/>
                <w:noProof/>
                <w:szCs w:val="20"/>
              </w:rPr>
            </w:pPr>
            <w:r w:rsidRPr="00486664">
              <w:rPr>
                <w:bCs/>
                <w:noProof/>
                <w:szCs w:val="20"/>
              </w:rPr>
              <w:t>socialno področje</w:t>
            </w:r>
          </w:p>
        </w:tc>
        <w:tc>
          <w:tcPr>
            <w:tcW w:w="1992" w:type="dxa"/>
            <w:gridSpan w:val="2"/>
            <w:vAlign w:val="center"/>
          </w:tcPr>
          <w:p w:rsidR="00486664" w:rsidRPr="00486664" w:rsidRDefault="00486664" w:rsidP="00486664">
            <w:pPr>
              <w:jc w:val="center"/>
              <w:rPr>
                <w:iCs/>
                <w:noProof/>
                <w:szCs w:val="20"/>
              </w:rPr>
            </w:pPr>
            <w:r w:rsidRPr="00486664">
              <w:rPr>
                <w:noProof/>
                <w:szCs w:val="20"/>
              </w:rPr>
              <w:t>NE</w:t>
            </w:r>
          </w:p>
        </w:tc>
      </w:tr>
      <w:tr w:rsidR="00486664" w:rsidRPr="00486664" w:rsidTr="00153C3D">
        <w:tc>
          <w:tcPr>
            <w:tcW w:w="2222" w:type="dxa"/>
            <w:gridSpan w:val="2"/>
            <w:tcBorders>
              <w:bottom w:val="single" w:sz="4" w:space="0" w:color="auto"/>
            </w:tcBorders>
          </w:tcPr>
          <w:p w:rsidR="00486664" w:rsidRPr="00486664" w:rsidRDefault="00486664" w:rsidP="00486664">
            <w:pPr>
              <w:ind w:left="360"/>
              <w:rPr>
                <w:iCs/>
                <w:noProof/>
                <w:szCs w:val="20"/>
              </w:rPr>
            </w:pPr>
            <w:r w:rsidRPr="00486664">
              <w:rPr>
                <w:iCs/>
                <w:noProof/>
                <w:szCs w:val="20"/>
              </w:rPr>
              <w:t>f)</w:t>
            </w:r>
          </w:p>
        </w:tc>
        <w:tc>
          <w:tcPr>
            <w:tcW w:w="5049" w:type="dxa"/>
            <w:gridSpan w:val="8"/>
            <w:tcBorders>
              <w:bottom w:val="single" w:sz="4" w:space="0" w:color="auto"/>
            </w:tcBorders>
          </w:tcPr>
          <w:p w:rsidR="00486664" w:rsidRPr="00486664" w:rsidRDefault="00486664" w:rsidP="00486664">
            <w:pPr>
              <w:rPr>
                <w:bCs/>
                <w:noProof/>
                <w:szCs w:val="20"/>
              </w:rPr>
            </w:pPr>
            <w:r w:rsidRPr="00486664">
              <w:rPr>
                <w:bCs/>
                <w:noProof/>
                <w:szCs w:val="20"/>
              </w:rPr>
              <w:t>dokumente razvojnega načrtovanja:</w:t>
            </w:r>
          </w:p>
          <w:p w:rsidR="00486664" w:rsidRPr="00486664" w:rsidRDefault="00486664" w:rsidP="00486664">
            <w:pPr>
              <w:numPr>
                <w:ilvl w:val="0"/>
                <w:numId w:val="6"/>
              </w:numPr>
              <w:spacing w:line="260" w:lineRule="atLeast"/>
              <w:rPr>
                <w:bCs/>
                <w:noProof/>
                <w:szCs w:val="20"/>
              </w:rPr>
            </w:pPr>
            <w:r w:rsidRPr="00486664">
              <w:rPr>
                <w:bCs/>
                <w:noProof/>
                <w:szCs w:val="20"/>
              </w:rPr>
              <w:t>nacionalne dokumente razvojnega načrtovanja</w:t>
            </w:r>
          </w:p>
          <w:p w:rsidR="00486664" w:rsidRPr="00486664" w:rsidRDefault="00486664" w:rsidP="00486664">
            <w:pPr>
              <w:numPr>
                <w:ilvl w:val="0"/>
                <w:numId w:val="6"/>
              </w:numPr>
              <w:spacing w:line="260" w:lineRule="atLeast"/>
              <w:rPr>
                <w:bCs/>
                <w:noProof/>
                <w:szCs w:val="20"/>
                <w:lang w:val="it-IT"/>
              </w:rPr>
            </w:pPr>
            <w:r w:rsidRPr="00486664">
              <w:rPr>
                <w:bCs/>
                <w:noProof/>
                <w:szCs w:val="20"/>
                <w:lang w:val="it-IT"/>
              </w:rPr>
              <w:t>razvojne politike na ravni programov po strukturi razvojne klasifikacije programskega proračuna</w:t>
            </w:r>
          </w:p>
          <w:p w:rsidR="00486664" w:rsidRPr="00486664" w:rsidRDefault="00486664" w:rsidP="00486664">
            <w:pPr>
              <w:numPr>
                <w:ilvl w:val="0"/>
                <w:numId w:val="6"/>
              </w:numPr>
              <w:spacing w:line="260" w:lineRule="atLeast"/>
              <w:rPr>
                <w:bCs/>
                <w:noProof/>
                <w:szCs w:val="20"/>
              </w:rPr>
            </w:pPr>
            <w:r w:rsidRPr="00486664">
              <w:rPr>
                <w:bCs/>
                <w:noProof/>
                <w:szCs w:val="20"/>
              </w:rPr>
              <w:t>razvojne dokumente Evropske unije in mednarodnih organizacij</w:t>
            </w:r>
          </w:p>
        </w:tc>
        <w:tc>
          <w:tcPr>
            <w:tcW w:w="1992" w:type="dxa"/>
            <w:gridSpan w:val="2"/>
            <w:tcBorders>
              <w:bottom w:val="single" w:sz="4" w:space="0" w:color="auto"/>
            </w:tcBorders>
            <w:vAlign w:val="center"/>
          </w:tcPr>
          <w:p w:rsidR="00486664" w:rsidRPr="00486664" w:rsidRDefault="00486664" w:rsidP="00486664">
            <w:pPr>
              <w:jc w:val="center"/>
              <w:rPr>
                <w:iCs/>
                <w:noProof/>
                <w:szCs w:val="20"/>
              </w:rPr>
            </w:pPr>
            <w:r w:rsidRPr="00486664">
              <w:rPr>
                <w:noProof/>
                <w:szCs w:val="20"/>
              </w:rPr>
              <w:t>NE</w:t>
            </w:r>
          </w:p>
        </w:tc>
      </w:tr>
      <w:tr w:rsidR="00486664" w:rsidRPr="0098614D" w:rsidTr="00153C3D">
        <w:tc>
          <w:tcPr>
            <w:tcW w:w="9263" w:type="dxa"/>
            <w:gridSpan w:val="1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rPr>
                <w:noProof/>
                <w:szCs w:val="20"/>
                <w:lang w:val="it-IT"/>
              </w:rPr>
            </w:pPr>
            <w:r w:rsidRPr="00486664">
              <w:rPr>
                <w:noProof/>
                <w:szCs w:val="20"/>
                <w:lang w:val="it-IT"/>
              </w:rPr>
              <w:t>7.a Predstavitev ocene finančnih posledic nad 40.000 EUR:</w:t>
            </w:r>
          </w:p>
          <w:p w:rsidR="00486664" w:rsidRDefault="00486664" w:rsidP="00486664">
            <w:pPr>
              <w:widowControl w:val="0"/>
              <w:rPr>
                <w:noProof/>
                <w:szCs w:val="20"/>
                <w:lang w:val="it-IT"/>
              </w:rPr>
            </w:pPr>
            <w:r w:rsidRPr="00486664">
              <w:rPr>
                <w:noProof/>
                <w:szCs w:val="20"/>
                <w:lang w:val="it-IT"/>
              </w:rPr>
              <w:t>(Samo če izberete DA pod točko 6.a.)</w:t>
            </w:r>
          </w:p>
          <w:p w:rsidR="007751B5" w:rsidRDefault="007751B5" w:rsidP="00486664">
            <w:pPr>
              <w:widowControl w:val="0"/>
              <w:rPr>
                <w:noProof/>
                <w:szCs w:val="20"/>
                <w:lang w:val="it-IT"/>
              </w:rPr>
            </w:pPr>
          </w:p>
          <w:p w:rsidR="007751B5" w:rsidRPr="007751B5" w:rsidRDefault="007751B5" w:rsidP="00295A22">
            <w:pPr>
              <w:widowControl w:val="0"/>
              <w:jc w:val="both"/>
              <w:rPr>
                <w:noProof/>
                <w:szCs w:val="20"/>
                <w:lang w:val="it-IT"/>
              </w:rPr>
            </w:pPr>
            <w:r w:rsidRPr="007751B5">
              <w:rPr>
                <w:noProof/>
                <w:szCs w:val="20"/>
                <w:lang w:val="it-IT"/>
              </w:rPr>
              <w:t>Ocena finančnih posledic predlaganih usklajenih sprememb za prihodnje leto povzročijo povečanje sredstev na letni ravni:</w:t>
            </w:r>
          </w:p>
          <w:p w:rsidR="007751B5" w:rsidRPr="007751B5" w:rsidRDefault="007751B5" w:rsidP="00295A22">
            <w:pPr>
              <w:widowControl w:val="0"/>
              <w:jc w:val="both"/>
              <w:rPr>
                <w:noProof/>
                <w:szCs w:val="20"/>
                <w:lang w:val="it-IT"/>
              </w:rPr>
            </w:pPr>
          </w:p>
          <w:p w:rsidR="007751B5" w:rsidRPr="007751B5" w:rsidRDefault="007751B5" w:rsidP="00295A22">
            <w:pPr>
              <w:widowControl w:val="0"/>
              <w:jc w:val="both"/>
              <w:rPr>
                <w:noProof/>
                <w:szCs w:val="20"/>
                <w:lang w:val="it-IT"/>
              </w:rPr>
            </w:pPr>
            <w:r w:rsidRPr="007751B5">
              <w:rPr>
                <w:noProof/>
                <w:szCs w:val="20"/>
                <w:lang w:val="it-IT"/>
              </w:rPr>
              <w:t>-</w:t>
            </w:r>
            <w:r w:rsidRPr="007751B5">
              <w:rPr>
                <w:noProof/>
                <w:szCs w:val="20"/>
                <w:lang w:val="it-IT"/>
              </w:rPr>
              <w:tab/>
              <w:t>za dodatek za dodatne naloge +61.902 eurov,</w:t>
            </w:r>
          </w:p>
          <w:p w:rsidR="007751B5" w:rsidRPr="007751B5" w:rsidRDefault="007751B5" w:rsidP="00295A22">
            <w:pPr>
              <w:widowControl w:val="0"/>
              <w:jc w:val="both"/>
              <w:rPr>
                <w:noProof/>
                <w:szCs w:val="20"/>
                <w:lang w:val="it-IT"/>
              </w:rPr>
            </w:pPr>
          </w:p>
          <w:p w:rsidR="00486664" w:rsidRPr="00486664" w:rsidRDefault="007751B5" w:rsidP="00295A22">
            <w:pPr>
              <w:widowControl w:val="0"/>
              <w:jc w:val="both"/>
              <w:rPr>
                <w:noProof/>
                <w:szCs w:val="20"/>
                <w:lang w:val="it-IT"/>
              </w:rPr>
            </w:pPr>
            <w:r w:rsidRPr="007751B5">
              <w:rPr>
                <w:noProof/>
                <w:szCs w:val="20"/>
                <w:lang w:val="it-IT"/>
              </w:rPr>
              <w:t>Ker se zaradi spremembe četrtega odstavka 7. člena uredbe ohranja višina indeksov življenjskih stroškov OZN, uveljavljenih že na dan 1. oktober 2019, iz tega naslova ni finančnih učinkov.</w:t>
            </w:r>
          </w:p>
          <w:p w:rsidR="00486664" w:rsidRPr="00486664" w:rsidRDefault="00486664" w:rsidP="00486664">
            <w:pPr>
              <w:widowControl w:val="0"/>
              <w:rPr>
                <w:b/>
                <w:noProof/>
                <w:szCs w:val="20"/>
                <w:lang w:val="it-IT"/>
              </w:rPr>
            </w:pPr>
          </w:p>
        </w:tc>
      </w:tr>
      <w:tr w:rsidR="00486664" w:rsidRPr="0098614D" w:rsidTr="00153C3D">
        <w:tc>
          <w:tcPr>
            <w:tcW w:w="9263" w:type="dxa"/>
            <w:gridSpan w:val="12"/>
            <w:tcBorders>
              <w:top w:val="single" w:sz="4" w:space="0" w:color="auto"/>
              <w:left w:val="single" w:sz="4" w:space="0" w:color="auto"/>
              <w:bottom w:val="single" w:sz="4" w:space="0" w:color="auto"/>
              <w:right w:val="single" w:sz="4" w:space="0" w:color="auto"/>
            </w:tcBorders>
          </w:tcPr>
          <w:p w:rsidR="00486664" w:rsidRPr="00486664" w:rsidRDefault="00486664" w:rsidP="00486664">
            <w:pPr>
              <w:suppressAutoHyphens/>
              <w:overflowPunct w:val="0"/>
              <w:autoSpaceDE w:val="0"/>
              <w:autoSpaceDN w:val="0"/>
              <w:adjustRightInd w:val="0"/>
              <w:spacing w:before="280" w:after="60"/>
              <w:textAlignment w:val="baseline"/>
              <w:outlineLvl w:val="3"/>
              <w:rPr>
                <w:rFonts w:cs="Arial"/>
                <w:b/>
                <w:noProof/>
                <w:szCs w:val="20"/>
                <w:lang w:val="sl-SI" w:eastAsia="sl-SI"/>
              </w:rPr>
            </w:pPr>
            <w:r w:rsidRPr="00486664">
              <w:rPr>
                <w:rFonts w:cs="Arial"/>
                <w:b/>
                <w:noProof/>
                <w:szCs w:val="20"/>
                <w:lang w:val="sl-SI" w:eastAsia="sl-SI"/>
              </w:rPr>
              <w:t>I. Ocena finančnih posledic, ki niso načrtovane v sprejetem proračunu</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76"/>
        </w:trPr>
        <w:tc>
          <w:tcPr>
            <w:tcW w:w="2891"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ind w:left="-122" w:right="-112"/>
              <w:jc w:val="center"/>
              <w:rPr>
                <w:rFonts w:cs="Arial"/>
                <w:noProof/>
                <w:szCs w:val="20"/>
                <w:lang w:val="sl-SI"/>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Tekoče leto (t)</w:t>
            </w:r>
          </w:p>
        </w:tc>
        <w:tc>
          <w:tcPr>
            <w:tcW w:w="1167" w:type="dxa"/>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t + 1</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t + 2</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t + 3</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91"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rPr>
                <w:rFonts w:cs="Arial"/>
                <w:bCs/>
                <w:noProof/>
                <w:szCs w:val="20"/>
                <w:lang w:val="sl-SI"/>
              </w:rPr>
            </w:pPr>
            <w:r w:rsidRPr="00486664">
              <w:rPr>
                <w:rFonts w:cs="Arial"/>
                <w:bCs/>
                <w:noProof/>
                <w:szCs w:val="20"/>
                <w:lang w:val="sl-SI"/>
              </w:rPr>
              <w:t>Predvideno povečanje (+) ali zmanjšanje (</w:t>
            </w:r>
            <w:r w:rsidRPr="00486664">
              <w:rPr>
                <w:b/>
                <w:noProof/>
                <w:szCs w:val="20"/>
                <w:lang w:val="sl-SI"/>
              </w:rPr>
              <w:t>–</w:t>
            </w:r>
            <w:r w:rsidRPr="00486664">
              <w:rPr>
                <w:rFonts w:cs="Arial"/>
                <w:bCs/>
                <w:noProof/>
                <w:szCs w:val="20"/>
                <w:lang w:val="sl-SI"/>
              </w:rPr>
              <w:t xml:space="preserve">) prihodkov državnega proračuna </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bCs/>
                <w:noProof/>
                <w:kern w:val="32"/>
                <w:szCs w:val="20"/>
                <w:lang w:val="sl-SI" w:eastAsia="sl-SI"/>
              </w:rPr>
            </w:pPr>
          </w:p>
        </w:tc>
        <w:tc>
          <w:tcPr>
            <w:tcW w:w="1167" w:type="dxa"/>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bCs/>
                <w:noProof/>
                <w:kern w:val="32"/>
                <w:szCs w:val="20"/>
                <w:lang w:val="sl-SI" w:eastAsia="sl-SI"/>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91"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rPr>
                <w:rFonts w:cs="Arial"/>
                <w:bCs/>
                <w:noProof/>
                <w:szCs w:val="20"/>
                <w:lang w:val="sl-SI"/>
              </w:rPr>
            </w:pPr>
            <w:r w:rsidRPr="00486664">
              <w:rPr>
                <w:rFonts w:cs="Arial"/>
                <w:bCs/>
                <w:noProof/>
                <w:szCs w:val="20"/>
                <w:lang w:val="sl-SI"/>
              </w:rPr>
              <w:t>Predvideno povečanje (+) ali zmanjšanje (</w:t>
            </w:r>
            <w:r w:rsidRPr="00486664">
              <w:rPr>
                <w:b/>
                <w:noProof/>
                <w:szCs w:val="20"/>
                <w:lang w:val="sl-SI"/>
              </w:rPr>
              <w:t>–</w:t>
            </w:r>
            <w:r w:rsidRPr="00486664">
              <w:rPr>
                <w:rFonts w:cs="Arial"/>
                <w:bCs/>
                <w:noProof/>
                <w:szCs w:val="20"/>
                <w:lang w:val="sl-SI"/>
              </w:rPr>
              <w:t xml:space="preserve">) prihodkov občinskih proračunov </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bCs/>
                <w:noProof/>
                <w:kern w:val="32"/>
                <w:szCs w:val="20"/>
                <w:lang w:val="sl-SI" w:eastAsia="sl-SI"/>
              </w:rPr>
            </w:pPr>
          </w:p>
        </w:tc>
        <w:tc>
          <w:tcPr>
            <w:tcW w:w="1167" w:type="dxa"/>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bCs/>
                <w:noProof/>
                <w:kern w:val="32"/>
                <w:szCs w:val="20"/>
                <w:lang w:val="sl-SI" w:eastAsia="sl-SI"/>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91"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rPr>
                <w:rFonts w:cs="Arial"/>
                <w:bCs/>
                <w:noProof/>
                <w:szCs w:val="20"/>
                <w:lang w:val="sl-SI"/>
              </w:rPr>
            </w:pPr>
            <w:r w:rsidRPr="00486664">
              <w:rPr>
                <w:rFonts w:cs="Arial"/>
                <w:bCs/>
                <w:noProof/>
                <w:szCs w:val="20"/>
                <w:lang w:val="sl-SI"/>
              </w:rPr>
              <w:t>Predvideno povečanje (+) ali zmanjšanje (</w:t>
            </w:r>
            <w:r w:rsidRPr="00486664">
              <w:rPr>
                <w:b/>
                <w:noProof/>
                <w:szCs w:val="20"/>
                <w:lang w:val="sl-SI"/>
              </w:rPr>
              <w:t>–</w:t>
            </w:r>
            <w:r w:rsidRPr="00486664">
              <w:rPr>
                <w:rFonts w:cs="Arial"/>
                <w:bCs/>
                <w:noProof/>
                <w:szCs w:val="20"/>
                <w:lang w:val="sl-SI"/>
              </w:rPr>
              <w:t xml:space="preserve">) odhodkov državnega proračuna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486664" w:rsidRPr="00486664" w:rsidRDefault="00486664" w:rsidP="00486664">
            <w:pPr>
              <w:spacing w:line="260" w:lineRule="atLeast"/>
            </w:pPr>
            <w:r w:rsidRPr="00486664">
              <w:t>+46.902 €</w:t>
            </w:r>
          </w:p>
        </w:tc>
        <w:tc>
          <w:tcPr>
            <w:tcW w:w="1167" w:type="dxa"/>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r w:rsidRPr="00486664">
              <w:t>+61.902 €</w:t>
            </w:r>
          </w:p>
        </w:tc>
        <w:tc>
          <w:tcPr>
            <w:tcW w:w="1260"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r w:rsidRPr="00486664">
              <w:t>+61.902 €</w:t>
            </w:r>
          </w:p>
        </w:tc>
        <w:tc>
          <w:tcPr>
            <w:tcW w:w="2284"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r w:rsidRPr="00486664">
              <w:t>+61.902 €</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623"/>
        </w:trPr>
        <w:tc>
          <w:tcPr>
            <w:tcW w:w="2891"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rPr>
                <w:rFonts w:cs="Arial"/>
                <w:bCs/>
                <w:noProof/>
                <w:szCs w:val="20"/>
                <w:lang w:val="sl-SI"/>
              </w:rPr>
            </w:pPr>
            <w:r w:rsidRPr="00486664">
              <w:rPr>
                <w:rFonts w:cs="Arial"/>
                <w:bCs/>
                <w:noProof/>
                <w:szCs w:val="20"/>
                <w:lang w:val="sl-SI"/>
              </w:rPr>
              <w:t>Predvideno povečanje (+) ali zmanjšanje (</w:t>
            </w:r>
            <w:r w:rsidRPr="00486664">
              <w:rPr>
                <w:b/>
                <w:noProof/>
                <w:szCs w:val="20"/>
                <w:lang w:val="sl-SI"/>
              </w:rPr>
              <w:t>–</w:t>
            </w:r>
            <w:r w:rsidRPr="00486664">
              <w:rPr>
                <w:rFonts w:cs="Arial"/>
                <w:bCs/>
                <w:noProof/>
                <w:szCs w:val="20"/>
                <w:lang w:val="sl-SI"/>
              </w:rPr>
              <w:t>) odhodkov občinskih proračunov</w:t>
            </w:r>
          </w:p>
        </w:tc>
        <w:tc>
          <w:tcPr>
            <w:tcW w:w="1599"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p>
        </w:tc>
        <w:tc>
          <w:tcPr>
            <w:tcW w:w="1167" w:type="dxa"/>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p>
        </w:tc>
        <w:tc>
          <w:tcPr>
            <w:tcW w:w="1260"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p>
        </w:tc>
        <w:tc>
          <w:tcPr>
            <w:tcW w:w="2284"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spacing w:line="260" w:lineRule="atLeast"/>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91"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rPr>
                <w:rFonts w:cs="Arial"/>
                <w:bCs/>
                <w:noProof/>
                <w:szCs w:val="20"/>
                <w:lang w:val="sl-SI"/>
              </w:rPr>
            </w:pPr>
            <w:r w:rsidRPr="00486664">
              <w:rPr>
                <w:rFonts w:cs="Arial"/>
                <w:bCs/>
                <w:noProof/>
                <w:szCs w:val="20"/>
                <w:lang w:val="sl-SI"/>
              </w:rPr>
              <w:t>Predvideno povečanje (+) ali zmanjšanje (</w:t>
            </w:r>
            <w:r w:rsidRPr="00486664">
              <w:rPr>
                <w:b/>
                <w:noProof/>
                <w:szCs w:val="20"/>
                <w:lang w:val="sl-SI"/>
              </w:rPr>
              <w:t>–</w:t>
            </w:r>
            <w:r w:rsidRPr="00486664">
              <w:rPr>
                <w:rFonts w:cs="Arial"/>
                <w:bCs/>
                <w:noProof/>
                <w:szCs w:val="20"/>
                <w:lang w:val="sl-SI"/>
              </w:rPr>
              <w:t>) obveznosti za druga javnofinančna sredstva</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bCs/>
                <w:noProof/>
                <w:kern w:val="32"/>
                <w:szCs w:val="20"/>
                <w:lang w:val="sl-SI" w:eastAsia="sl-SI"/>
              </w:rPr>
            </w:pPr>
          </w:p>
        </w:tc>
        <w:tc>
          <w:tcPr>
            <w:tcW w:w="1167" w:type="dxa"/>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bCs/>
                <w:noProof/>
                <w:kern w:val="32"/>
                <w:szCs w:val="20"/>
                <w:lang w:val="sl-SI" w:eastAsia="sl-SI"/>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jc w:val="center"/>
              <w:outlineLvl w:val="0"/>
              <w:rPr>
                <w:rFonts w:cs="Arial"/>
                <w:noProof/>
                <w:kern w:val="32"/>
                <w:szCs w:val="20"/>
                <w:lang w:val="sl-SI" w:eastAsia="sl-SI"/>
              </w:rPr>
            </w:pPr>
          </w:p>
        </w:tc>
      </w:tr>
      <w:tr w:rsidR="00486664" w:rsidRPr="0098614D"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86664" w:rsidRPr="00486664" w:rsidRDefault="00486664" w:rsidP="00486664">
            <w:pPr>
              <w:widowControl w:val="0"/>
              <w:tabs>
                <w:tab w:val="left" w:pos="2340"/>
              </w:tabs>
              <w:spacing w:line="260" w:lineRule="atLeast"/>
              <w:ind w:left="142" w:hanging="142"/>
              <w:outlineLvl w:val="0"/>
              <w:rPr>
                <w:rFonts w:cs="Arial"/>
                <w:b/>
                <w:noProof/>
                <w:kern w:val="32"/>
                <w:szCs w:val="20"/>
                <w:lang w:val="sl-SI" w:eastAsia="sl-SI"/>
              </w:rPr>
            </w:pPr>
            <w:r w:rsidRPr="00486664">
              <w:rPr>
                <w:rFonts w:cs="Arial"/>
                <w:b/>
                <w:noProof/>
                <w:kern w:val="32"/>
                <w:szCs w:val="20"/>
                <w:lang w:val="sl-SI" w:eastAsia="sl-SI"/>
              </w:rPr>
              <w:t>II. Finančne posledice za državni proračun</w:t>
            </w:r>
          </w:p>
        </w:tc>
      </w:tr>
      <w:tr w:rsidR="00486664" w:rsidRPr="0098614D"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86664" w:rsidRPr="00486664" w:rsidRDefault="00486664" w:rsidP="00486664">
            <w:pPr>
              <w:widowControl w:val="0"/>
              <w:tabs>
                <w:tab w:val="left" w:pos="2340"/>
              </w:tabs>
              <w:spacing w:line="260" w:lineRule="atLeast"/>
              <w:ind w:left="142" w:hanging="142"/>
              <w:outlineLvl w:val="0"/>
              <w:rPr>
                <w:rFonts w:cs="Arial"/>
                <w:b/>
                <w:noProof/>
                <w:kern w:val="32"/>
                <w:szCs w:val="20"/>
                <w:lang w:val="sl-SI" w:eastAsia="sl-SI"/>
              </w:rPr>
            </w:pPr>
            <w:r w:rsidRPr="00486664">
              <w:rPr>
                <w:rFonts w:cs="Arial"/>
                <w:b/>
                <w:noProof/>
                <w:kern w:val="32"/>
                <w:szCs w:val="20"/>
                <w:lang w:val="sl-SI" w:eastAsia="sl-SI"/>
              </w:rPr>
              <w:t>II.a Pravice porabe za izvedbo predlaganih rešitev so zagotovljene:</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lastRenderedPageBreak/>
              <w:t xml:space="preserve">Ime proračunskega uporabnika </w:t>
            </w: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Šifra in naziv ukrepa, projekta</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Šifra in naziv proračunske postavke</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Znesek za tekoče leto (t)</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Znesek za t + 1</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5657" w:type="dxa"/>
            <w:gridSpan w:val="6"/>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r w:rsidRPr="00486664">
              <w:rPr>
                <w:rFonts w:cs="Arial"/>
                <w:b/>
                <w:noProof/>
                <w:kern w:val="32"/>
                <w:szCs w:val="20"/>
                <w:lang w:val="sl-SI" w:eastAsia="sl-SI"/>
              </w:rPr>
              <w:t>SKUPAJ</w:t>
            </w:r>
          </w:p>
        </w:tc>
        <w:tc>
          <w:tcPr>
            <w:tcW w:w="1260" w:type="dxa"/>
            <w:gridSpan w:val="3"/>
            <w:tcBorders>
              <w:top w:val="single" w:sz="4" w:space="0" w:color="auto"/>
              <w:left w:val="single" w:sz="4" w:space="0" w:color="auto"/>
              <w:bottom w:val="single" w:sz="4" w:space="0" w:color="auto"/>
              <w:right w:val="single" w:sz="4" w:space="0" w:color="auto"/>
            </w:tcBorders>
            <w:vAlign w:val="bottom"/>
          </w:tcPr>
          <w:p w:rsidR="00486664" w:rsidRPr="00486664" w:rsidRDefault="00486664" w:rsidP="00486664">
            <w:pPr>
              <w:widowControl w:val="0"/>
              <w:spacing w:line="260" w:lineRule="atLeast"/>
              <w:rPr>
                <w:rFonts w:cs="Arial"/>
                <w:b/>
                <w:noProof/>
                <w:szCs w:val="20"/>
                <w:lang w:val="sl-SI"/>
              </w:rPr>
            </w:pPr>
          </w:p>
        </w:tc>
        <w:tc>
          <w:tcPr>
            <w:tcW w:w="2284" w:type="dxa"/>
            <w:gridSpan w:val="2"/>
            <w:tcBorders>
              <w:top w:val="single" w:sz="4" w:space="0" w:color="auto"/>
              <w:left w:val="single" w:sz="4" w:space="0" w:color="auto"/>
              <w:bottom w:val="single" w:sz="4" w:space="0" w:color="auto"/>
              <w:right w:val="single" w:sz="4" w:space="0" w:color="auto"/>
            </w:tcBorders>
            <w:vAlign w:val="bottom"/>
          </w:tcPr>
          <w:p w:rsidR="00486664" w:rsidRPr="00486664" w:rsidRDefault="00486664" w:rsidP="00486664">
            <w:pPr>
              <w:widowControl w:val="0"/>
              <w:tabs>
                <w:tab w:val="left" w:pos="360"/>
              </w:tabs>
              <w:spacing w:line="260" w:lineRule="atLeast"/>
              <w:jc w:val="right"/>
              <w:outlineLvl w:val="0"/>
              <w:rPr>
                <w:rFonts w:cs="Arial"/>
                <w:b/>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94"/>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86664" w:rsidRPr="00486664" w:rsidRDefault="00486664" w:rsidP="00486664">
            <w:pPr>
              <w:widowControl w:val="0"/>
              <w:tabs>
                <w:tab w:val="left" w:pos="2340"/>
              </w:tabs>
              <w:spacing w:line="260" w:lineRule="atLeast"/>
              <w:outlineLvl w:val="0"/>
              <w:rPr>
                <w:rFonts w:cs="Arial"/>
                <w:b/>
                <w:noProof/>
                <w:kern w:val="32"/>
                <w:szCs w:val="20"/>
                <w:lang w:val="sl-SI" w:eastAsia="sl-SI"/>
              </w:rPr>
            </w:pPr>
            <w:r w:rsidRPr="00486664">
              <w:rPr>
                <w:rFonts w:cs="Arial"/>
                <w:b/>
                <w:noProof/>
                <w:kern w:val="32"/>
                <w:szCs w:val="20"/>
                <w:lang w:val="sl-SI" w:eastAsia="sl-SI"/>
              </w:rPr>
              <w:t>II.b Manjkajoče pravice porabe bodo zagotovljene s prerazporeditvijo:</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 xml:space="preserve">Ime proračunskega uporabnika </w:t>
            </w: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Šifra in naziv ukrepa, projekta</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 xml:space="preserve">Šifra in naziv proračunske postavke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Znesek za tekoče leto (t)</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jc w:val="center"/>
              <w:rPr>
                <w:rFonts w:cs="Arial"/>
                <w:noProof/>
                <w:szCs w:val="20"/>
                <w:lang w:val="sl-SI"/>
              </w:rPr>
            </w:pPr>
            <w:r w:rsidRPr="00486664">
              <w:rPr>
                <w:rFonts w:cs="Arial"/>
                <w:noProof/>
                <w:szCs w:val="20"/>
                <w:lang w:val="sl-SI"/>
              </w:rPr>
              <w:t xml:space="preserve">Znesek za t + 1 </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2029" w:type="dxa"/>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232"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396"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260"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2029" w:type="dxa"/>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232"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396"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260"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2029" w:type="dxa"/>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kern w:val="32"/>
                <w:szCs w:val="20"/>
              </w:rPr>
            </w:pPr>
          </w:p>
        </w:tc>
        <w:tc>
          <w:tcPr>
            <w:tcW w:w="2232"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kern w:val="32"/>
                <w:szCs w:val="20"/>
              </w:rPr>
            </w:pPr>
          </w:p>
        </w:tc>
        <w:tc>
          <w:tcPr>
            <w:tcW w:w="1396"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kern w:val="32"/>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kern w:val="32"/>
                <w:szCs w:val="20"/>
              </w:rPr>
            </w:pPr>
          </w:p>
        </w:tc>
        <w:tc>
          <w:tcPr>
            <w:tcW w:w="2284" w:type="dxa"/>
            <w:gridSpan w:val="2"/>
            <w:tcBorders>
              <w:top w:val="single" w:sz="4" w:space="0" w:color="auto"/>
              <w:left w:val="single" w:sz="4" w:space="0" w:color="auto"/>
              <w:bottom w:val="single" w:sz="4" w:space="0" w:color="auto"/>
              <w:right w:val="single" w:sz="4" w:space="0" w:color="auto"/>
            </w:tcBorders>
          </w:tcPr>
          <w:p w:rsidR="00486664" w:rsidRPr="00486664" w:rsidRDefault="00486664" w:rsidP="00486664">
            <w:pPr>
              <w:widowControl w:val="0"/>
              <w:tabs>
                <w:tab w:val="left" w:pos="360"/>
              </w:tabs>
              <w:spacing w:line="260" w:lineRule="atLeast"/>
              <w:outlineLvl w:val="0"/>
              <w:rPr>
                <w:kern w:val="32"/>
                <w:szCs w:val="20"/>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5657" w:type="dxa"/>
            <w:gridSpan w:val="6"/>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5657" w:type="dxa"/>
            <w:gridSpan w:val="6"/>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r w:rsidRPr="00486664">
              <w:rPr>
                <w:rFonts w:cs="Arial"/>
                <w:b/>
                <w:noProof/>
                <w:kern w:val="32"/>
                <w:szCs w:val="20"/>
                <w:lang w:val="sl-SI" w:eastAsia="sl-SI"/>
              </w:rPr>
              <w:t>SKUPAJ</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07"/>
        </w:trPr>
        <w:tc>
          <w:tcPr>
            <w:tcW w:w="92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86664" w:rsidRPr="00486664" w:rsidRDefault="00486664" w:rsidP="00486664">
            <w:pPr>
              <w:widowControl w:val="0"/>
              <w:tabs>
                <w:tab w:val="left" w:pos="2340"/>
              </w:tabs>
              <w:spacing w:line="260" w:lineRule="atLeast"/>
              <w:outlineLvl w:val="0"/>
              <w:rPr>
                <w:rFonts w:cs="Arial"/>
                <w:b/>
                <w:noProof/>
                <w:kern w:val="32"/>
                <w:szCs w:val="20"/>
                <w:lang w:val="sl-SI" w:eastAsia="sl-SI"/>
              </w:rPr>
            </w:pPr>
            <w:r w:rsidRPr="00486664">
              <w:rPr>
                <w:rFonts w:cs="Arial"/>
                <w:b/>
                <w:noProof/>
                <w:kern w:val="32"/>
                <w:szCs w:val="20"/>
                <w:lang w:val="sl-SI" w:eastAsia="sl-SI"/>
              </w:rPr>
              <w:t>II.c Načrtovana nadomestitev zmanjšanih prihodkov in povečanih odhodkov proračuna:</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4261"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ind w:left="-122" w:right="-112"/>
              <w:jc w:val="center"/>
              <w:rPr>
                <w:rFonts w:cs="Arial"/>
                <w:noProof/>
                <w:szCs w:val="20"/>
                <w:lang w:val="sl-SI"/>
              </w:rPr>
            </w:pPr>
            <w:r w:rsidRPr="00486664">
              <w:rPr>
                <w:rFonts w:cs="Arial"/>
                <w:noProof/>
                <w:szCs w:val="20"/>
                <w:lang w:val="sl-SI"/>
              </w:rPr>
              <w:t>Novi prihodki</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ind w:left="-122" w:right="-112"/>
              <w:jc w:val="center"/>
              <w:rPr>
                <w:rFonts w:cs="Arial"/>
                <w:noProof/>
                <w:szCs w:val="20"/>
                <w:lang w:val="sl-SI"/>
              </w:rPr>
            </w:pPr>
            <w:r w:rsidRPr="00486664">
              <w:rPr>
                <w:rFonts w:cs="Arial"/>
                <w:noProof/>
                <w:szCs w:val="20"/>
                <w:lang w:val="sl-SI"/>
              </w:rPr>
              <w:t>Znesek za tekoče leto (t)</w:t>
            </w:r>
          </w:p>
        </w:tc>
        <w:tc>
          <w:tcPr>
            <w:tcW w:w="2950"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spacing w:line="260" w:lineRule="atLeast"/>
              <w:ind w:left="-122" w:right="-112"/>
              <w:jc w:val="center"/>
              <w:rPr>
                <w:rFonts w:cs="Arial"/>
                <w:noProof/>
                <w:szCs w:val="20"/>
                <w:lang w:val="sl-SI"/>
              </w:rPr>
            </w:pPr>
            <w:r w:rsidRPr="00486664">
              <w:rPr>
                <w:rFonts w:cs="Arial"/>
                <w:noProof/>
                <w:szCs w:val="20"/>
                <w:lang w:val="sl-SI"/>
              </w:rPr>
              <w:t>Znesek za t + 1</w:t>
            </w: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61"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950"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61"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950"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61"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c>
          <w:tcPr>
            <w:tcW w:w="2950"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Cs/>
                <w:noProof/>
                <w:kern w:val="32"/>
                <w:szCs w:val="20"/>
                <w:lang w:val="sl-SI" w:eastAsia="sl-SI"/>
              </w:rPr>
            </w:pPr>
          </w:p>
        </w:tc>
      </w:tr>
      <w:tr w:rsidR="00486664" w:rsidRPr="00486664" w:rsidTr="00153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61"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r w:rsidRPr="00486664">
              <w:rPr>
                <w:rFonts w:cs="Arial"/>
                <w:b/>
                <w:noProof/>
                <w:kern w:val="32"/>
                <w:szCs w:val="20"/>
                <w:lang w:val="sl-SI" w:eastAsia="sl-SI"/>
              </w:rPr>
              <w:t>SKUPAJ</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c>
          <w:tcPr>
            <w:tcW w:w="2950" w:type="dxa"/>
            <w:gridSpan w:val="4"/>
            <w:tcBorders>
              <w:top w:val="single" w:sz="4" w:space="0" w:color="auto"/>
              <w:left w:val="single" w:sz="4" w:space="0" w:color="auto"/>
              <w:bottom w:val="single" w:sz="4" w:space="0" w:color="auto"/>
              <w:right w:val="single" w:sz="4" w:space="0" w:color="auto"/>
            </w:tcBorders>
            <w:vAlign w:val="center"/>
          </w:tcPr>
          <w:p w:rsidR="00486664" w:rsidRPr="00486664" w:rsidRDefault="00486664" w:rsidP="00486664">
            <w:pPr>
              <w:widowControl w:val="0"/>
              <w:tabs>
                <w:tab w:val="left" w:pos="360"/>
              </w:tabs>
              <w:spacing w:line="260" w:lineRule="atLeast"/>
              <w:outlineLvl w:val="0"/>
              <w:rPr>
                <w:rFonts w:cs="Arial"/>
                <w:b/>
                <w:noProof/>
                <w:kern w:val="32"/>
                <w:szCs w:val="20"/>
                <w:lang w:val="sl-SI" w:eastAsia="sl-SI"/>
              </w:rPr>
            </w:pPr>
          </w:p>
        </w:tc>
      </w:tr>
      <w:tr w:rsidR="00486664" w:rsidRPr="0098614D" w:rsidTr="00153C3D">
        <w:trPr>
          <w:gridAfter w:val="1"/>
          <w:wAfter w:w="62" w:type="dxa"/>
          <w:trHeight w:val="464"/>
        </w:trPr>
        <w:tc>
          <w:tcPr>
            <w:tcW w:w="9201" w:type="dxa"/>
            <w:gridSpan w:val="11"/>
          </w:tcPr>
          <w:p w:rsidR="00486664" w:rsidRPr="00486664" w:rsidRDefault="00486664" w:rsidP="00486664">
            <w:pPr>
              <w:widowControl w:val="0"/>
              <w:spacing w:line="260" w:lineRule="atLeast"/>
              <w:rPr>
                <w:rFonts w:cs="Arial"/>
                <w:b/>
                <w:noProof/>
                <w:szCs w:val="20"/>
                <w:lang w:val="sl-SI"/>
              </w:rPr>
            </w:pPr>
          </w:p>
          <w:p w:rsidR="00486664" w:rsidRPr="00486664" w:rsidRDefault="00486664" w:rsidP="00486664">
            <w:pPr>
              <w:widowControl w:val="0"/>
              <w:spacing w:line="260" w:lineRule="atLeast"/>
              <w:rPr>
                <w:rFonts w:cs="Arial"/>
                <w:b/>
                <w:noProof/>
                <w:szCs w:val="20"/>
                <w:lang w:val="sl-SI"/>
              </w:rPr>
            </w:pPr>
            <w:r w:rsidRPr="00486664">
              <w:rPr>
                <w:rFonts w:cs="Arial"/>
                <w:b/>
                <w:noProof/>
                <w:szCs w:val="20"/>
                <w:lang w:val="sl-SI"/>
              </w:rPr>
              <w:t>OBRAZLOŽITEV:</w:t>
            </w:r>
          </w:p>
          <w:p w:rsidR="00486664" w:rsidRPr="00486664" w:rsidRDefault="00486664" w:rsidP="00486664">
            <w:pPr>
              <w:widowControl w:val="0"/>
              <w:numPr>
                <w:ilvl w:val="0"/>
                <w:numId w:val="7"/>
              </w:numPr>
              <w:suppressAutoHyphens/>
              <w:spacing w:line="260" w:lineRule="atLeast"/>
              <w:ind w:left="284" w:hanging="284"/>
              <w:jc w:val="both"/>
              <w:rPr>
                <w:rFonts w:cs="Arial"/>
                <w:b/>
                <w:noProof/>
                <w:szCs w:val="20"/>
                <w:lang w:val="sl-SI" w:eastAsia="sl-SI"/>
              </w:rPr>
            </w:pPr>
            <w:r w:rsidRPr="00486664">
              <w:rPr>
                <w:rFonts w:cs="Arial"/>
                <w:b/>
                <w:noProof/>
                <w:szCs w:val="20"/>
                <w:lang w:val="sl-SI" w:eastAsia="sl-SI"/>
              </w:rPr>
              <w:t>Ocena finančnih posledic, ki niso načrtovane v sprejetem proračunu</w:t>
            </w:r>
          </w:p>
          <w:p w:rsidR="00486664" w:rsidRPr="00486664" w:rsidRDefault="00486664" w:rsidP="00486664">
            <w:pPr>
              <w:widowControl w:val="0"/>
              <w:numPr>
                <w:ilvl w:val="0"/>
                <w:numId w:val="7"/>
              </w:numPr>
              <w:suppressAutoHyphens/>
              <w:spacing w:line="260" w:lineRule="atLeast"/>
              <w:ind w:left="284" w:hanging="284"/>
              <w:jc w:val="both"/>
              <w:rPr>
                <w:rFonts w:cs="Arial"/>
                <w:b/>
                <w:noProof/>
                <w:szCs w:val="20"/>
                <w:lang w:val="sl-SI" w:eastAsia="sl-SI"/>
              </w:rPr>
            </w:pPr>
            <w:r w:rsidRPr="00486664">
              <w:rPr>
                <w:rFonts w:cs="Arial"/>
                <w:b/>
                <w:noProof/>
                <w:szCs w:val="20"/>
                <w:lang w:val="sl-SI" w:eastAsia="sl-SI"/>
              </w:rPr>
              <w:t>Finančne posledice za državni proračun</w:t>
            </w:r>
          </w:p>
          <w:p w:rsidR="00486664" w:rsidRPr="00486664" w:rsidRDefault="00486664" w:rsidP="00486664">
            <w:pPr>
              <w:widowControl w:val="0"/>
              <w:suppressAutoHyphens/>
              <w:spacing w:line="260" w:lineRule="atLeast"/>
              <w:ind w:left="720"/>
              <w:jc w:val="both"/>
              <w:rPr>
                <w:rFonts w:cs="Arial"/>
                <w:b/>
                <w:noProof/>
                <w:szCs w:val="20"/>
                <w:lang w:val="sl-SI" w:eastAsia="sl-SI"/>
              </w:rPr>
            </w:pPr>
            <w:r w:rsidRPr="00486664">
              <w:rPr>
                <w:rFonts w:cs="Arial"/>
                <w:b/>
                <w:noProof/>
                <w:szCs w:val="20"/>
                <w:lang w:val="sl-SI" w:eastAsia="sl-SI"/>
              </w:rPr>
              <w:t>II.a Pravice porabe za izvedbo predlaganih rešitev so zagotovljene:</w:t>
            </w:r>
          </w:p>
          <w:p w:rsidR="00486664" w:rsidRPr="00486664" w:rsidRDefault="00486664" w:rsidP="00486664">
            <w:pPr>
              <w:widowControl w:val="0"/>
              <w:suppressAutoHyphens/>
              <w:spacing w:line="260" w:lineRule="atLeast"/>
              <w:ind w:left="714"/>
              <w:jc w:val="both"/>
              <w:rPr>
                <w:rFonts w:cs="Arial"/>
                <w:b/>
                <w:noProof/>
                <w:szCs w:val="20"/>
                <w:lang w:val="sl-SI" w:eastAsia="sl-SI"/>
              </w:rPr>
            </w:pPr>
            <w:r w:rsidRPr="00486664">
              <w:rPr>
                <w:rFonts w:cs="Arial"/>
                <w:b/>
                <w:noProof/>
                <w:szCs w:val="20"/>
                <w:lang w:val="sl-SI" w:eastAsia="sl-SI"/>
              </w:rPr>
              <w:t>II.b Manjkajoče pravice porabe bodo zagotovljene s prerazporeditvijo:</w:t>
            </w:r>
          </w:p>
          <w:p w:rsidR="00486664" w:rsidRPr="00486664" w:rsidRDefault="00486664" w:rsidP="00486664">
            <w:pPr>
              <w:widowControl w:val="0"/>
              <w:suppressAutoHyphens/>
              <w:spacing w:line="260" w:lineRule="atLeast"/>
              <w:ind w:left="714"/>
              <w:jc w:val="both"/>
              <w:rPr>
                <w:rFonts w:cs="Arial"/>
                <w:b/>
                <w:noProof/>
                <w:szCs w:val="20"/>
                <w:lang w:val="sl-SI" w:eastAsia="sl-SI"/>
              </w:rPr>
            </w:pPr>
            <w:r w:rsidRPr="00486664">
              <w:rPr>
                <w:rFonts w:cs="Arial"/>
                <w:b/>
                <w:noProof/>
                <w:szCs w:val="20"/>
                <w:lang w:val="sl-SI" w:eastAsia="sl-SI"/>
              </w:rPr>
              <w:t>II.c Načrtovana nadomestitev zmanjšanih prihodkov in povečanih odhodkov proračuna:</w:t>
            </w:r>
          </w:p>
          <w:p w:rsidR="00486664" w:rsidRPr="00486664" w:rsidRDefault="00486664" w:rsidP="00486664">
            <w:pPr>
              <w:widowControl w:val="0"/>
              <w:spacing w:line="260" w:lineRule="atLeast"/>
              <w:ind w:left="284"/>
              <w:jc w:val="both"/>
              <w:rPr>
                <w:noProof/>
                <w:szCs w:val="20"/>
                <w:lang w:val="sl-SI"/>
              </w:rPr>
            </w:pPr>
          </w:p>
        </w:tc>
      </w:tr>
      <w:tr w:rsidR="00486664" w:rsidRPr="00486664" w:rsidTr="00153C3D">
        <w:trPr>
          <w:gridAfter w:val="1"/>
          <w:wAfter w:w="62" w:type="dxa"/>
          <w:trHeight w:val="621"/>
        </w:trPr>
        <w:tc>
          <w:tcPr>
            <w:tcW w:w="9201" w:type="dxa"/>
            <w:gridSpan w:val="11"/>
            <w:tcBorders>
              <w:top w:val="single" w:sz="4" w:space="0" w:color="000000"/>
              <w:left w:val="single" w:sz="4" w:space="0" w:color="000000"/>
              <w:bottom w:val="single" w:sz="4" w:space="0" w:color="000000"/>
              <w:right w:val="single" w:sz="4" w:space="0" w:color="000000"/>
            </w:tcBorders>
          </w:tcPr>
          <w:p w:rsidR="00486664" w:rsidRPr="00486664" w:rsidRDefault="00486664" w:rsidP="00486664">
            <w:pPr>
              <w:spacing w:line="260" w:lineRule="atLeast"/>
              <w:rPr>
                <w:rFonts w:cs="Arial"/>
                <w:noProof/>
                <w:szCs w:val="20"/>
                <w:lang w:val="sl-SI"/>
              </w:rPr>
            </w:pPr>
            <w:r w:rsidRPr="00486664">
              <w:rPr>
                <w:rFonts w:cs="Arial"/>
                <w:noProof/>
                <w:szCs w:val="20"/>
                <w:lang w:val="sl-SI"/>
              </w:rPr>
              <w:t>7.b Predstavitev ocene finančnih posledic pod 40.000 EUR:</w:t>
            </w:r>
          </w:p>
          <w:p w:rsidR="00486664" w:rsidRPr="00486664" w:rsidRDefault="00486664" w:rsidP="00486664">
            <w:pPr>
              <w:spacing w:line="260" w:lineRule="atLeast"/>
              <w:rPr>
                <w:rFonts w:cs="Arial"/>
                <w:noProof/>
                <w:szCs w:val="20"/>
                <w:lang w:val="sl-SI"/>
              </w:rPr>
            </w:pPr>
            <w:r w:rsidRPr="00486664">
              <w:rPr>
                <w:rFonts w:cs="Arial"/>
                <w:noProof/>
                <w:szCs w:val="20"/>
                <w:lang w:val="sl-SI"/>
              </w:rPr>
              <w:t>(Samo če izberete NE pod točko 6.a.)</w:t>
            </w:r>
          </w:p>
          <w:p w:rsidR="00486664" w:rsidRPr="00486664" w:rsidRDefault="00486664" w:rsidP="00486664">
            <w:pPr>
              <w:spacing w:line="260" w:lineRule="atLeast"/>
              <w:rPr>
                <w:rFonts w:cs="Arial"/>
                <w:noProof/>
                <w:szCs w:val="20"/>
                <w:lang w:val="sl-SI"/>
              </w:rPr>
            </w:pPr>
          </w:p>
        </w:tc>
      </w:tr>
      <w:tr w:rsidR="00486664" w:rsidRPr="00486664" w:rsidTr="00153C3D">
        <w:trPr>
          <w:gridAfter w:val="1"/>
          <w:wAfter w:w="62" w:type="dxa"/>
          <w:trHeight w:val="371"/>
        </w:trPr>
        <w:tc>
          <w:tcPr>
            <w:tcW w:w="9201" w:type="dxa"/>
            <w:gridSpan w:val="11"/>
            <w:tcBorders>
              <w:top w:val="single" w:sz="4" w:space="0" w:color="000000"/>
              <w:left w:val="single" w:sz="4" w:space="0" w:color="000000"/>
              <w:bottom w:val="single" w:sz="4" w:space="0" w:color="000000"/>
              <w:right w:val="single" w:sz="4" w:space="0" w:color="000000"/>
            </w:tcBorders>
          </w:tcPr>
          <w:p w:rsidR="00486664" w:rsidRPr="00486664" w:rsidRDefault="00486664" w:rsidP="00486664">
            <w:pPr>
              <w:spacing w:line="260" w:lineRule="atLeast"/>
              <w:rPr>
                <w:rFonts w:cs="Arial"/>
                <w:b/>
                <w:noProof/>
                <w:szCs w:val="20"/>
                <w:lang w:val="sl-SI"/>
              </w:rPr>
            </w:pPr>
            <w:r w:rsidRPr="00486664">
              <w:rPr>
                <w:rFonts w:cs="Arial"/>
                <w:b/>
                <w:noProof/>
                <w:szCs w:val="20"/>
                <w:lang w:val="sl-SI"/>
              </w:rPr>
              <w:t>8. Predstavitev sodelovanja z združenji občin:</w:t>
            </w:r>
          </w:p>
        </w:tc>
      </w:tr>
      <w:tr w:rsidR="00486664" w:rsidRPr="00486664" w:rsidTr="00153C3D">
        <w:trPr>
          <w:gridAfter w:val="1"/>
          <w:wAfter w:w="62" w:type="dxa"/>
        </w:trPr>
        <w:tc>
          <w:tcPr>
            <w:tcW w:w="6623" w:type="dxa"/>
            <w:gridSpan w:val="8"/>
          </w:tcPr>
          <w:p w:rsidR="00486664" w:rsidRPr="00486664" w:rsidRDefault="00486664" w:rsidP="00486664">
            <w:pPr>
              <w:widowControl w:val="0"/>
              <w:rPr>
                <w:iCs/>
                <w:noProof/>
                <w:szCs w:val="20"/>
                <w:lang w:val="it-IT"/>
              </w:rPr>
            </w:pPr>
            <w:r w:rsidRPr="00486664">
              <w:rPr>
                <w:iCs/>
                <w:noProof/>
                <w:szCs w:val="20"/>
                <w:lang w:val="it-IT"/>
              </w:rPr>
              <w:t>Vsebina predloženega gradiva (predpisa) vpliva na:</w:t>
            </w:r>
          </w:p>
          <w:p w:rsidR="00486664" w:rsidRPr="00486664" w:rsidRDefault="00486664" w:rsidP="00486664">
            <w:pPr>
              <w:widowControl w:val="0"/>
              <w:numPr>
                <w:ilvl w:val="1"/>
                <w:numId w:val="8"/>
              </w:numPr>
              <w:spacing w:line="260" w:lineRule="atLeast"/>
              <w:rPr>
                <w:iCs/>
                <w:noProof/>
                <w:szCs w:val="20"/>
              </w:rPr>
            </w:pPr>
            <w:r w:rsidRPr="00486664">
              <w:rPr>
                <w:iCs/>
                <w:noProof/>
                <w:szCs w:val="20"/>
              </w:rPr>
              <w:t>pristojnosti občin,</w:t>
            </w:r>
          </w:p>
          <w:p w:rsidR="00486664" w:rsidRPr="00486664" w:rsidRDefault="00486664" w:rsidP="00486664">
            <w:pPr>
              <w:widowControl w:val="0"/>
              <w:numPr>
                <w:ilvl w:val="1"/>
                <w:numId w:val="8"/>
              </w:numPr>
              <w:spacing w:line="260" w:lineRule="atLeast"/>
              <w:rPr>
                <w:iCs/>
                <w:noProof/>
                <w:szCs w:val="20"/>
              </w:rPr>
            </w:pPr>
            <w:r w:rsidRPr="00486664">
              <w:rPr>
                <w:iCs/>
                <w:noProof/>
                <w:szCs w:val="20"/>
              </w:rPr>
              <w:t>delovanje občin,</w:t>
            </w:r>
          </w:p>
          <w:p w:rsidR="00486664" w:rsidRPr="00486664" w:rsidRDefault="00486664" w:rsidP="00486664">
            <w:pPr>
              <w:widowControl w:val="0"/>
              <w:numPr>
                <w:ilvl w:val="1"/>
                <w:numId w:val="8"/>
              </w:numPr>
              <w:spacing w:line="260" w:lineRule="atLeast"/>
              <w:rPr>
                <w:iCs/>
                <w:noProof/>
                <w:szCs w:val="20"/>
              </w:rPr>
            </w:pPr>
            <w:r w:rsidRPr="00486664">
              <w:rPr>
                <w:iCs/>
                <w:noProof/>
                <w:szCs w:val="20"/>
              </w:rPr>
              <w:t>financiranje občin.</w:t>
            </w:r>
          </w:p>
          <w:p w:rsidR="00486664" w:rsidRPr="00486664" w:rsidRDefault="00486664" w:rsidP="00486664">
            <w:pPr>
              <w:widowControl w:val="0"/>
              <w:ind w:left="1440"/>
              <w:rPr>
                <w:iCs/>
                <w:noProof/>
                <w:szCs w:val="20"/>
              </w:rPr>
            </w:pPr>
          </w:p>
        </w:tc>
        <w:tc>
          <w:tcPr>
            <w:tcW w:w="2578" w:type="dxa"/>
            <w:gridSpan w:val="3"/>
          </w:tcPr>
          <w:p w:rsidR="00486664" w:rsidRPr="00486664" w:rsidRDefault="00486664" w:rsidP="00486664">
            <w:pPr>
              <w:widowControl w:val="0"/>
              <w:jc w:val="center"/>
              <w:rPr>
                <w:noProof/>
                <w:szCs w:val="20"/>
              </w:rPr>
            </w:pPr>
            <w:r w:rsidRPr="00486664">
              <w:rPr>
                <w:noProof/>
                <w:szCs w:val="20"/>
              </w:rPr>
              <w:t>NE</w:t>
            </w:r>
          </w:p>
        </w:tc>
      </w:tr>
      <w:tr w:rsidR="00486664" w:rsidRPr="0098614D" w:rsidTr="00153C3D">
        <w:trPr>
          <w:gridAfter w:val="1"/>
          <w:wAfter w:w="62" w:type="dxa"/>
          <w:trHeight w:val="274"/>
        </w:trPr>
        <w:tc>
          <w:tcPr>
            <w:tcW w:w="9201" w:type="dxa"/>
            <w:gridSpan w:val="11"/>
          </w:tcPr>
          <w:p w:rsidR="00486664" w:rsidRPr="00486664" w:rsidRDefault="00486664" w:rsidP="00486664">
            <w:pPr>
              <w:widowControl w:val="0"/>
              <w:rPr>
                <w:iCs/>
                <w:noProof/>
                <w:szCs w:val="20"/>
                <w:lang w:val="it-IT"/>
              </w:rPr>
            </w:pPr>
            <w:r w:rsidRPr="00486664">
              <w:rPr>
                <w:iCs/>
                <w:noProof/>
                <w:szCs w:val="20"/>
                <w:lang w:val="it-IT"/>
              </w:rPr>
              <w:t xml:space="preserve">Gradivo (predpis) je bilo poslano v mnenje: </w:t>
            </w:r>
          </w:p>
          <w:p w:rsidR="00486664" w:rsidRPr="00486664" w:rsidRDefault="00486664" w:rsidP="00486664">
            <w:pPr>
              <w:widowControl w:val="0"/>
              <w:numPr>
                <w:ilvl w:val="0"/>
                <w:numId w:val="9"/>
              </w:numPr>
              <w:spacing w:line="260" w:lineRule="atLeast"/>
              <w:rPr>
                <w:iCs/>
                <w:noProof/>
                <w:szCs w:val="20"/>
              </w:rPr>
            </w:pPr>
            <w:r w:rsidRPr="00486664">
              <w:rPr>
                <w:iCs/>
                <w:noProof/>
                <w:szCs w:val="20"/>
              </w:rPr>
              <w:t>Skupnosti občin Slovenije SOS: NE</w:t>
            </w:r>
          </w:p>
          <w:p w:rsidR="00486664" w:rsidRPr="00486664" w:rsidRDefault="00486664" w:rsidP="00486664">
            <w:pPr>
              <w:widowControl w:val="0"/>
              <w:numPr>
                <w:ilvl w:val="0"/>
                <w:numId w:val="9"/>
              </w:numPr>
              <w:spacing w:line="260" w:lineRule="atLeast"/>
              <w:rPr>
                <w:iCs/>
                <w:noProof/>
                <w:szCs w:val="20"/>
              </w:rPr>
            </w:pPr>
            <w:r w:rsidRPr="00486664">
              <w:rPr>
                <w:iCs/>
                <w:noProof/>
                <w:szCs w:val="20"/>
              </w:rPr>
              <w:t>Združenju občin Slovenije ZOS: NE</w:t>
            </w:r>
          </w:p>
          <w:p w:rsidR="00486664" w:rsidRPr="00486664" w:rsidRDefault="00486664" w:rsidP="00486664">
            <w:pPr>
              <w:widowControl w:val="0"/>
              <w:numPr>
                <w:ilvl w:val="0"/>
                <w:numId w:val="9"/>
              </w:numPr>
              <w:spacing w:line="260" w:lineRule="atLeast"/>
              <w:rPr>
                <w:iCs/>
                <w:noProof/>
                <w:szCs w:val="20"/>
                <w:lang w:val="it-IT"/>
              </w:rPr>
            </w:pPr>
            <w:r w:rsidRPr="00486664">
              <w:rPr>
                <w:iCs/>
                <w:noProof/>
                <w:szCs w:val="20"/>
                <w:lang w:val="it-IT"/>
              </w:rPr>
              <w:t>Združenju mestnih občin Slovenije ZMOS: NE</w:t>
            </w:r>
          </w:p>
          <w:p w:rsidR="00486664" w:rsidRPr="00486664" w:rsidRDefault="00486664" w:rsidP="00486664">
            <w:pPr>
              <w:widowControl w:val="0"/>
              <w:rPr>
                <w:iCs/>
                <w:noProof/>
                <w:szCs w:val="20"/>
                <w:lang w:val="it-IT"/>
              </w:rPr>
            </w:pPr>
          </w:p>
          <w:p w:rsidR="00486664" w:rsidRPr="00486664" w:rsidRDefault="00486664" w:rsidP="00486664">
            <w:pPr>
              <w:widowControl w:val="0"/>
              <w:rPr>
                <w:iCs/>
                <w:noProof/>
                <w:szCs w:val="20"/>
                <w:lang w:val="it-IT"/>
              </w:rPr>
            </w:pPr>
            <w:r w:rsidRPr="00486664">
              <w:rPr>
                <w:iCs/>
                <w:noProof/>
                <w:szCs w:val="20"/>
                <w:lang w:val="it-IT"/>
              </w:rPr>
              <w:t>Predlogi in pripombe združenj so bili upoštevani:</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v celoti,</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večinoma,</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delno,</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niso bili upoštevani.</w:t>
            </w:r>
          </w:p>
          <w:p w:rsidR="00486664" w:rsidRPr="00486664" w:rsidRDefault="00486664" w:rsidP="00486664">
            <w:pPr>
              <w:widowControl w:val="0"/>
              <w:ind w:left="360"/>
              <w:rPr>
                <w:iCs/>
                <w:noProof/>
                <w:szCs w:val="20"/>
              </w:rPr>
            </w:pPr>
          </w:p>
          <w:p w:rsidR="00486664" w:rsidRPr="00486664" w:rsidRDefault="00486664" w:rsidP="00486664">
            <w:pPr>
              <w:widowControl w:val="0"/>
              <w:rPr>
                <w:iCs/>
                <w:noProof/>
                <w:szCs w:val="20"/>
                <w:lang w:val="it-IT"/>
              </w:rPr>
            </w:pPr>
            <w:r w:rsidRPr="00486664">
              <w:rPr>
                <w:iCs/>
                <w:noProof/>
                <w:szCs w:val="20"/>
                <w:lang w:val="it-IT"/>
              </w:rPr>
              <w:t>Bistveni predlogi in pripombe, ki niso bili upoštevani.</w:t>
            </w:r>
          </w:p>
        </w:tc>
      </w:tr>
      <w:tr w:rsidR="00486664" w:rsidRPr="0098614D" w:rsidTr="00153C3D">
        <w:trPr>
          <w:gridAfter w:val="1"/>
          <w:wAfter w:w="62" w:type="dxa"/>
        </w:trPr>
        <w:tc>
          <w:tcPr>
            <w:tcW w:w="9201" w:type="dxa"/>
            <w:gridSpan w:val="11"/>
            <w:vAlign w:val="center"/>
          </w:tcPr>
          <w:p w:rsidR="00486664" w:rsidRPr="00486664" w:rsidRDefault="00486664" w:rsidP="00486664">
            <w:pPr>
              <w:widowControl w:val="0"/>
              <w:rPr>
                <w:b/>
                <w:noProof/>
                <w:szCs w:val="20"/>
                <w:lang w:val="sl-SI"/>
              </w:rPr>
            </w:pPr>
            <w:r w:rsidRPr="00486664">
              <w:rPr>
                <w:b/>
                <w:noProof/>
                <w:szCs w:val="20"/>
                <w:lang w:val="sl-SI"/>
              </w:rPr>
              <w:t>9. Predstavitev sodelovanja javnosti:</w:t>
            </w:r>
          </w:p>
          <w:p w:rsidR="00486664" w:rsidRPr="00486664" w:rsidRDefault="00486664" w:rsidP="00486664">
            <w:pPr>
              <w:widowControl w:val="0"/>
              <w:rPr>
                <w:b/>
                <w:noProof/>
                <w:szCs w:val="20"/>
                <w:lang w:val="sl-SI"/>
              </w:rPr>
            </w:pPr>
            <w:r w:rsidRPr="00486664">
              <w:rPr>
                <w:iCs/>
                <w:szCs w:val="20"/>
                <w:lang w:val="sl-SI"/>
              </w:rPr>
              <w:t>Gradivo ni tako, da bi ga bilo treba objaviti na spletni strani predlagatelja.</w:t>
            </w:r>
          </w:p>
        </w:tc>
      </w:tr>
      <w:tr w:rsidR="00486664" w:rsidRPr="00486664" w:rsidTr="00153C3D">
        <w:trPr>
          <w:gridAfter w:val="1"/>
          <w:wAfter w:w="62" w:type="dxa"/>
        </w:trPr>
        <w:tc>
          <w:tcPr>
            <w:tcW w:w="6623" w:type="dxa"/>
            <w:gridSpan w:val="8"/>
          </w:tcPr>
          <w:p w:rsidR="00486664" w:rsidRPr="00486664" w:rsidRDefault="00486664" w:rsidP="00486664">
            <w:pPr>
              <w:widowControl w:val="0"/>
              <w:rPr>
                <w:noProof/>
                <w:szCs w:val="20"/>
                <w:lang w:val="sl-SI"/>
              </w:rPr>
            </w:pPr>
            <w:r w:rsidRPr="00486664">
              <w:rPr>
                <w:iCs/>
                <w:noProof/>
                <w:szCs w:val="20"/>
                <w:lang w:val="sl-SI"/>
              </w:rPr>
              <w:lastRenderedPageBreak/>
              <w:t>Gradivo je bilo predhodno objavljeno na spletni strani predlagatelja:</w:t>
            </w:r>
          </w:p>
        </w:tc>
        <w:tc>
          <w:tcPr>
            <w:tcW w:w="2578" w:type="dxa"/>
            <w:gridSpan w:val="3"/>
          </w:tcPr>
          <w:p w:rsidR="00486664" w:rsidRPr="00486664" w:rsidRDefault="00486664" w:rsidP="00486664">
            <w:pPr>
              <w:widowControl w:val="0"/>
              <w:jc w:val="center"/>
              <w:rPr>
                <w:iCs/>
                <w:noProof/>
                <w:szCs w:val="20"/>
                <w:lang w:val="sl-SI"/>
              </w:rPr>
            </w:pPr>
            <w:r w:rsidRPr="00486664">
              <w:rPr>
                <w:noProof/>
                <w:szCs w:val="20"/>
                <w:lang w:val="sl-SI"/>
              </w:rPr>
              <w:t>NE</w:t>
            </w:r>
          </w:p>
        </w:tc>
      </w:tr>
      <w:tr w:rsidR="00486664" w:rsidRPr="0098614D" w:rsidTr="00153C3D">
        <w:trPr>
          <w:gridAfter w:val="1"/>
          <w:wAfter w:w="62" w:type="dxa"/>
        </w:trPr>
        <w:tc>
          <w:tcPr>
            <w:tcW w:w="9201" w:type="dxa"/>
            <w:gridSpan w:val="11"/>
          </w:tcPr>
          <w:p w:rsidR="00486664" w:rsidRPr="00486664" w:rsidRDefault="00486664" w:rsidP="00486664">
            <w:pPr>
              <w:widowControl w:val="0"/>
              <w:rPr>
                <w:iCs/>
                <w:noProof/>
                <w:szCs w:val="20"/>
                <w:lang w:val="it-IT"/>
              </w:rPr>
            </w:pPr>
            <w:r w:rsidRPr="00486664">
              <w:rPr>
                <w:iCs/>
                <w:noProof/>
                <w:szCs w:val="20"/>
                <w:lang w:val="it-IT"/>
              </w:rPr>
              <w:t>Gradivo ni takšne narave, da bi ga bilo treba objaviti na spletni strani predlagatelja.</w:t>
            </w:r>
          </w:p>
        </w:tc>
      </w:tr>
      <w:tr w:rsidR="00486664" w:rsidRPr="0098614D" w:rsidTr="00153C3D">
        <w:trPr>
          <w:gridAfter w:val="1"/>
          <w:wAfter w:w="62" w:type="dxa"/>
        </w:trPr>
        <w:tc>
          <w:tcPr>
            <w:tcW w:w="9201" w:type="dxa"/>
            <w:gridSpan w:val="11"/>
          </w:tcPr>
          <w:p w:rsidR="00486664" w:rsidRPr="00486664" w:rsidRDefault="00486664" w:rsidP="00486664">
            <w:pPr>
              <w:widowControl w:val="0"/>
              <w:rPr>
                <w:iCs/>
                <w:noProof/>
                <w:szCs w:val="20"/>
                <w:lang w:val="de-DE"/>
              </w:rPr>
            </w:pPr>
            <w:r w:rsidRPr="00486664">
              <w:rPr>
                <w:iCs/>
                <w:noProof/>
                <w:szCs w:val="20"/>
                <w:lang w:val="de-DE"/>
              </w:rPr>
              <w:t>(Če je odgovor DA, navedite:</w:t>
            </w:r>
          </w:p>
          <w:p w:rsidR="00486664" w:rsidRPr="00486664" w:rsidRDefault="00486664" w:rsidP="00486664">
            <w:pPr>
              <w:widowControl w:val="0"/>
              <w:rPr>
                <w:iCs/>
                <w:noProof/>
                <w:szCs w:val="20"/>
                <w:lang w:val="it-IT"/>
              </w:rPr>
            </w:pPr>
            <w:r w:rsidRPr="00486664">
              <w:rPr>
                <w:iCs/>
                <w:noProof/>
                <w:szCs w:val="20"/>
                <w:lang w:val="it-IT"/>
              </w:rPr>
              <w:t>Datum objave: ………</w:t>
            </w:r>
          </w:p>
          <w:p w:rsidR="00486664" w:rsidRPr="00486664" w:rsidRDefault="00486664" w:rsidP="00486664">
            <w:pPr>
              <w:widowControl w:val="0"/>
              <w:rPr>
                <w:iCs/>
                <w:noProof/>
                <w:szCs w:val="20"/>
                <w:lang w:val="it-IT"/>
              </w:rPr>
            </w:pPr>
            <w:r w:rsidRPr="00486664">
              <w:rPr>
                <w:iCs/>
                <w:noProof/>
                <w:szCs w:val="20"/>
                <w:lang w:val="it-IT"/>
              </w:rPr>
              <w:t xml:space="preserve">V razpravo so bili vključeni: </w:t>
            </w:r>
          </w:p>
          <w:p w:rsidR="00486664" w:rsidRPr="00486664" w:rsidRDefault="00486664" w:rsidP="00486664">
            <w:pPr>
              <w:widowControl w:val="0"/>
              <w:numPr>
                <w:ilvl w:val="0"/>
                <w:numId w:val="9"/>
              </w:numPr>
              <w:spacing w:line="260" w:lineRule="atLeast"/>
              <w:rPr>
                <w:iCs/>
                <w:noProof/>
                <w:szCs w:val="20"/>
              </w:rPr>
            </w:pPr>
            <w:r w:rsidRPr="00486664">
              <w:rPr>
                <w:iCs/>
                <w:noProof/>
                <w:szCs w:val="20"/>
              </w:rPr>
              <w:t xml:space="preserve">nevladne organizacije, </w:t>
            </w:r>
          </w:p>
          <w:p w:rsidR="00486664" w:rsidRPr="00486664" w:rsidRDefault="00486664" w:rsidP="00486664">
            <w:pPr>
              <w:widowControl w:val="0"/>
              <w:numPr>
                <w:ilvl w:val="0"/>
                <w:numId w:val="9"/>
              </w:numPr>
              <w:spacing w:line="260" w:lineRule="atLeast"/>
              <w:rPr>
                <w:iCs/>
                <w:noProof/>
                <w:szCs w:val="20"/>
              </w:rPr>
            </w:pPr>
            <w:r w:rsidRPr="00486664">
              <w:rPr>
                <w:iCs/>
                <w:noProof/>
                <w:szCs w:val="20"/>
              </w:rPr>
              <w:t>predstavniki zainteresirane javnosti,</w:t>
            </w:r>
          </w:p>
          <w:p w:rsidR="00486664" w:rsidRPr="00486664" w:rsidRDefault="00486664" w:rsidP="00486664">
            <w:pPr>
              <w:widowControl w:val="0"/>
              <w:numPr>
                <w:ilvl w:val="0"/>
                <w:numId w:val="9"/>
              </w:numPr>
              <w:spacing w:line="260" w:lineRule="atLeast"/>
              <w:rPr>
                <w:iCs/>
                <w:noProof/>
                <w:szCs w:val="20"/>
              </w:rPr>
            </w:pPr>
            <w:r w:rsidRPr="00486664">
              <w:rPr>
                <w:iCs/>
                <w:noProof/>
                <w:szCs w:val="20"/>
              </w:rPr>
              <w:t>predstavniki strokovne javnosti.</w:t>
            </w:r>
          </w:p>
          <w:p w:rsidR="00486664" w:rsidRPr="00486664" w:rsidRDefault="00486664" w:rsidP="00486664">
            <w:pPr>
              <w:widowControl w:val="0"/>
              <w:rPr>
                <w:iCs/>
                <w:noProof/>
                <w:szCs w:val="20"/>
              </w:rPr>
            </w:pPr>
            <w:r w:rsidRPr="00486664">
              <w:rPr>
                <w:iCs/>
                <w:noProof/>
                <w:szCs w:val="20"/>
              </w:rPr>
              <w:t xml:space="preserve">Mnenja, predlogi in pripombe z navedbo predlagateljev </w:t>
            </w:r>
            <w:r w:rsidRPr="00486664">
              <w:rPr>
                <w:noProof/>
                <w:color w:val="000000"/>
                <w:szCs w:val="20"/>
              </w:rPr>
              <w:t>(imen in priimkov fizičnih oseb, ki niso poslovni subjekti, ne navajajte</w:t>
            </w:r>
            <w:r w:rsidRPr="00486664">
              <w:rPr>
                <w:iCs/>
                <w:noProof/>
                <w:szCs w:val="20"/>
              </w:rPr>
              <w:t>):</w:t>
            </w:r>
          </w:p>
          <w:p w:rsidR="00486664" w:rsidRPr="00486664" w:rsidRDefault="00486664" w:rsidP="00486664">
            <w:pPr>
              <w:widowControl w:val="0"/>
              <w:rPr>
                <w:iCs/>
                <w:noProof/>
                <w:szCs w:val="20"/>
              </w:rPr>
            </w:pPr>
          </w:p>
          <w:p w:rsidR="00486664" w:rsidRPr="00486664" w:rsidRDefault="00486664" w:rsidP="00486664">
            <w:pPr>
              <w:widowControl w:val="0"/>
              <w:rPr>
                <w:iCs/>
                <w:noProof/>
                <w:szCs w:val="20"/>
              </w:rPr>
            </w:pPr>
            <w:r w:rsidRPr="00486664">
              <w:rPr>
                <w:iCs/>
                <w:noProof/>
                <w:szCs w:val="20"/>
              </w:rPr>
              <w:t>Upoštevani so bili:</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v celoti,</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večinoma,</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delno,</w:t>
            </w:r>
          </w:p>
          <w:p w:rsidR="00486664" w:rsidRPr="00486664" w:rsidRDefault="00486664" w:rsidP="00486664">
            <w:pPr>
              <w:widowControl w:val="0"/>
              <w:numPr>
                <w:ilvl w:val="0"/>
                <w:numId w:val="10"/>
              </w:numPr>
              <w:spacing w:line="260" w:lineRule="atLeast"/>
              <w:rPr>
                <w:iCs/>
                <w:noProof/>
                <w:szCs w:val="20"/>
              </w:rPr>
            </w:pPr>
            <w:r w:rsidRPr="00486664">
              <w:rPr>
                <w:iCs/>
                <w:noProof/>
                <w:szCs w:val="20"/>
              </w:rPr>
              <w:t>niso bili upoštevani.</w:t>
            </w:r>
          </w:p>
          <w:p w:rsidR="00486664" w:rsidRPr="00486664" w:rsidRDefault="00486664" w:rsidP="00486664">
            <w:pPr>
              <w:widowControl w:val="0"/>
              <w:rPr>
                <w:iCs/>
                <w:noProof/>
                <w:szCs w:val="20"/>
              </w:rPr>
            </w:pPr>
          </w:p>
          <w:p w:rsidR="00486664" w:rsidRPr="00486664" w:rsidRDefault="00486664" w:rsidP="00486664">
            <w:pPr>
              <w:widowControl w:val="0"/>
              <w:rPr>
                <w:iCs/>
                <w:noProof/>
                <w:szCs w:val="20"/>
                <w:lang w:val="it-IT"/>
              </w:rPr>
            </w:pPr>
            <w:r w:rsidRPr="00486664">
              <w:rPr>
                <w:iCs/>
                <w:noProof/>
                <w:szCs w:val="20"/>
                <w:lang w:val="it-IT"/>
              </w:rPr>
              <w:t>Bistvena mnenja, predlogi in pripombe, ki niso bili upoštevani, ter razlogi za neupoštevanje:</w:t>
            </w:r>
          </w:p>
          <w:p w:rsidR="00486664" w:rsidRPr="00486664" w:rsidRDefault="00486664" w:rsidP="00486664">
            <w:pPr>
              <w:widowControl w:val="0"/>
              <w:rPr>
                <w:iCs/>
                <w:noProof/>
                <w:szCs w:val="20"/>
                <w:lang w:val="it-IT"/>
              </w:rPr>
            </w:pPr>
          </w:p>
          <w:p w:rsidR="00486664" w:rsidRPr="00486664" w:rsidRDefault="00486664" w:rsidP="00486664">
            <w:pPr>
              <w:widowControl w:val="0"/>
              <w:rPr>
                <w:iCs/>
                <w:noProof/>
                <w:szCs w:val="20"/>
                <w:lang w:val="it-IT"/>
              </w:rPr>
            </w:pPr>
            <w:r w:rsidRPr="00486664">
              <w:rPr>
                <w:iCs/>
                <w:noProof/>
                <w:szCs w:val="20"/>
                <w:lang w:val="it-IT"/>
              </w:rPr>
              <w:t>Poročilo je bilo dano ……………..</w:t>
            </w:r>
          </w:p>
          <w:p w:rsidR="00486664" w:rsidRPr="00486664" w:rsidRDefault="00486664" w:rsidP="00486664">
            <w:pPr>
              <w:widowControl w:val="0"/>
              <w:rPr>
                <w:iCs/>
                <w:noProof/>
                <w:szCs w:val="20"/>
                <w:lang w:val="it-IT"/>
              </w:rPr>
            </w:pPr>
          </w:p>
          <w:p w:rsidR="00486664" w:rsidRPr="00486664" w:rsidRDefault="00486664" w:rsidP="00486664">
            <w:pPr>
              <w:widowControl w:val="0"/>
              <w:rPr>
                <w:iCs/>
                <w:noProof/>
                <w:szCs w:val="20"/>
                <w:lang w:val="it-IT"/>
              </w:rPr>
            </w:pPr>
            <w:r w:rsidRPr="00486664">
              <w:rPr>
                <w:iCs/>
                <w:noProof/>
                <w:szCs w:val="20"/>
                <w:lang w:val="it-IT"/>
              </w:rPr>
              <w:t>Javnost je bila vključena v pripravo gradiva v skladu z Zakonom o …, kar je navedeno v predlogu predpisa.)</w:t>
            </w:r>
          </w:p>
          <w:p w:rsidR="00486664" w:rsidRPr="00486664" w:rsidRDefault="00486664" w:rsidP="00486664">
            <w:pPr>
              <w:widowControl w:val="0"/>
              <w:rPr>
                <w:iCs/>
                <w:noProof/>
                <w:szCs w:val="20"/>
                <w:lang w:val="it-IT"/>
              </w:rPr>
            </w:pPr>
          </w:p>
        </w:tc>
      </w:tr>
      <w:tr w:rsidR="00486664" w:rsidRPr="0098614D" w:rsidTr="00153C3D">
        <w:trPr>
          <w:gridAfter w:val="1"/>
          <w:wAfter w:w="62" w:type="dxa"/>
        </w:trPr>
        <w:tc>
          <w:tcPr>
            <w:tcW w:w="6623" w:type="dxa"/>
            <w:gridSpan w:val="8"/>
            <w:vAlign w:val="center"/>
          </w:tcPr>
          <w:p w:rsidR="00486664" w:rsidRPr="00486664" w:rsidRDefault="00486664" w:rsidP="00486664">
            <w:pPr>
              <w:widowControl w:val="0"/>
              <w:rPr>
                <w:b/>
                <w:noProof/>
                <w:szCs w:val="20"/>
                <w:lang w:val="sl-SI"/>
              </w:rPr>
            </w:pPr>
            <w:r w:rsidRPr="00486664">
              <w:rPr>
                <w:b/>
                <w:noProof/>
                <w:szCs w:val="20"/>
                <w:lang w:val="sl-SI"/>
              </w:rPr>
              <w:t>10. Pri pripravi gradiva so bile upoštevane zahteve iz Resolucije o normativni dejavnosti:</w:t>
            </w:r>
          </w:p>
          <w:p w:rsidR="00486664" w:rsidRPr="00486664" w:rsidRDefault="00486664" w:rsidP="00486664">
            <w:pPr>
              <w:spacing w:line="260" w:lineRule="atLeast"/>
              <w:rPr>
                <w:noProof/>
                <w:szCs w:val="20"/>
                <w:lang w:val="sl-SI"/>
              </w:rPr>
            </w:pPr>
            <w:r w:rsidRPr="00486664">
              <w:rPr>
                <w:noProof/>
                <w:szCs w:val="20"/>
                <w:lang w:val="sl-SI"/>
              </w:rPr>
              <w:t>Gradivo je bilo poslano v usklajevanje:</w:t>
            </w:r>
          </w:p>
          <w:p w:rsidR="00486664" w:rsidRPr="00486664" w:rsidRDefault="00486664" w:rsidP="00486664">
            <w:pPr>
              <w:spacing w:line="260" w:lineRule="atLeast"/>
              <w:rPr>
                <w:noProof/>
                <w:szCs w:val="20"/>
                <w:lang w:val="sl-SI"/>
              </w:rPr>
            </w:pPr>
            <w:r w:rsidRPr="00486664">
              <w:rPr>
                <w:noProof/>
                <w:szCs w:val="20"/>
                <w:lang w:val="sl-SI"/>
              </w:rPr>
              <w:t>−</w:t>
            </w:r>
            <w:r w:rsidRPr="00486664">
              <w:rPr>
                <w:noProof/>
                <w:szCs w:val="20"/>
                <w:lang w:val="sl-SI"/>
              </w:rPr>
              <w:tab/>
              <w:t>Službi Vlade RS za zakonodajo,</w:t>
            </w:r>
          </w:p>
          <w:p w:rsidR="00486664" w:rsidRPr="00486664" w:rsidRDefault="00486664" w:rsidP="00486664">
            <w:pPr>
              <w:spacing w:line="260" w:lineRule="atLeast"/>
              <w:rPr>
                <w:noProof/>
                <w:szCs w:val="20"/>
                <w:lang w:val="sl-SI"/>
              </w:rPr>
            </w:pPr>
            <w:r w:rsidRPr="00486664">
              <w:rPr>
                <w:noProof/>
                <w:szCs w:val="20"/>
                <w:lang w:val="sl-SI"/>
              </w:rPr>
              <w:t>−</w:t>
            </w:r>
            <w:r w:rsidRPr="00486664">
              <w:rPr>
                <w:noProof/>
                <w:szCs w:val="20"/>
                <w:lang w:val="sl-SI"/>
              </w:rPr>
              <w:tab/>
              <w:t>Ministrstvu za finance,</w:t>
            </w:r>
          </w:p>
          <w:p w:rsidR="00486664" w:rsidRPr="00486664" w:rsidRDefault="00486664" w:rsidP="00486664">
            <w:pPr>
              <w:spacing w:line="260" w:lineRule="atLeast"/>
              <w:rPr>
                <w:rFonts w:ascii="Helv" w:hAnsi="Helv" w:cs="Helv"/>
                <w:color w:val="000000"/>
                <w:szCs w:val="20"/>
                <w:lang w:val="sl-SI" w:eastAsia="sl-SI"/>
              </w:rPr>
            </w:pPr>
            <w:r w:rsidRPr="00486664">
              <w:rPr>
                <w:noProof/>
                <w:szCs w:val="20"/>
                <w:lang w:val="sl-SI"/>
              </w:rPr>
              <w:t>−</w:t>
            </w:r>
            <w:r w:rsidRPr="00486664">
              <w:rPr>
                <w:noProof/>
                <w:szCs w:val="20"/>
                <w:lang w:val="sl-SI"/>
              </w:rPr>
              <w:tab/>
              <w:t>Medresorski delovni skupini za uskladitev Uredbe o plačah in drugih prejemkih za delo v tujini.</w:t>
            </w:r>
          </w:p>
        </w:tc>
        <w:tc>
          <w:tcPr>
            <w:tcW w:w="2578" w:type="dxa"/>
            <w:gridSpan w:val="3"/>
            <w:vAlign w:val="center"/>
          </w:tcPr>
          <w:p w:rsidR="00486664" w:rsidRPr="00486664" w:rsidRDefault="00486664" w:rsidP="00486664">
            <w:pPr>
              <w:widowControl w:val="0"/>
              <w:jc w:val="center"/>
              <w:rPr>
                <w:iCs/>
                <w:noProof/>
                <w:szCs w:val="20"/>
                <w:lang w:val="sl-SI"/>
              </w:rPr>
            </w:pPr>
            <w:r w:rsidRPr="00486664">
              <w:rPr>
                <w:noProof/>
                <w:szCs w:val="20"/>
                <w:lang w:val="sl-SI"/>
              </w:rPr>
              <w:t xml:space="preserve"> </w:t>
            </w:r>
          </w:p>
        </w:tc>
      </w:tr>
      <w:tr w:rsidR="00486664" w:rsidRPr="00486664" w:rsidTr="00153C3D">
        <w:trPr>
          <w:gridAfter w:val="1"/>
          <w:wAfter w:w="62" w:type="dxa"/>
        </w:trPr>
        <w:tc>
          <w:tcPr>
            <w:tcW w:w="6623" w:type="dxa"/>
            <w:gridSpan w:val="8"/>
            <w:vAlign w:val="center"/>
          </w:tcPr>
          <w:p w:rsidR="00486664" w:rsidRPr="00486664" w:rsidRDefault="00486664" w:rsidP="00486664">
            <w:pPr>
              <w:widowControl w:val="0"/>
              <w:rPr>
                <w:b/>
                <w:noProof/>
                <w:szCs w:val="20"/>
                <w:lang w:val="it-IT"/>
              </w:rPr>
            </w:pPr>
            <w:r w:rsidRPr="00486664">
              <w:rPr>
                <w:b/>
                <w:noProof/>
                <w:szCs w:val="20"/>
                <w:lang w:val="it-IT"/>
              </w:rPr>
              <w:t>11. Gradivo je uvrščeno v delovni program vlade:</w:t>
            </w:r>
          </w:p>
        </w:tc>
        <w:tc>
          <w:tcPr>
            <w:tcW w:w="2578" w:type="dxa"/>
            <w:gridSpan w:val="3"/>
            <w:vAlign w:val="center"/>
          </w:tcPr>
          <w:p w:rsidR="00486664" w:rsidRPr="00486664" w:rsidRDefault="00486664" w:rsidP="00486664">
            <w:pPr>
              <w:widowControl w:val="0"/>
              <w:jc w:val="center"/>
              <w:rPr>
                <w:noProof/>
                <w:szCs w:val="20"/>
              </w:rPr>
            </w:pPr>
            <w:r w:rsidRPr="00486664">
              <w:rPr>
                <w:noProof/>
                <w:szCs w:val="20"/>
              </w:rPr>
              <w:t>DA</w:t>
            </w:r>
          </w:p>
        </w:tc>
      </w:tr>
      <w:tr w:rsidR="00486664" w:rsidRPr="00486664" w:rsidTr="00153C3D">
        <w:trPr>
          <w:gridAfter w:val="1"/>
          <w:wAfter w:w="62" w:type="dxa"/>
        </w:trPr>
        <w:tc>
          <w:tcPr>
            <w:tcW w:w="9201" w:type="dxa"/>
            <w:gridSpan w:val="11"/>
            <w:tcBorders>
              <w:top w:val="single" w:sz="4" w:space="0" w:color="000000"/>
              <w:left w:val="single" w:sz="4" w:space="0" w:color="000000"/>
              <w:bottom w:val="single" w:sz="4" w:space="0" w:color="000000"/>
              <w:right w:val="single" w:sz="4" w:space="0" w:color="000000"/>
            </w:tcBorders>
          </w:tcPr>
          <w:p w:rsidR="00486664" w:rsidRPr="00486664" w:rsidRDefault="00486664" w:rsidP="00486664">
            <w:pPr>
              <w:widowControl w:val="0"/>
              <w:overflowPunct w:val="0"/>
              <w:autoSpaceDE w:val="0"/>
              <w:autoSpaceDN w:val="0"/>
              <w:adjustRightInd w:val="0"/>
              <w:ind w:left="3400"/>
              <w:textAlignment w:val="baseline"/>
              <w:rPr>
                <w:rFonts w:cs="Arial"/>
                <w:noProof/>
                <w:szCs w:val="20"/>
                <w:lang w:val="sl-SI" w:eastAsia="sl-SI"/>
              </w:rPr>
            </w:pPr>
          </w:p>
          <w:p w:rsidR="00486664" w:rsidRPr="00486664" w:rsidRDefault="00486664" w:rsidP="00486664">
            <w:pPr>
              <w:spacing w:line="240" w:lineRule="auto"/>
              <w:ind w:left="4956" w:firstLine="708"/>
              <w:rPr>
                <w:b/>
                <w:szCs w:val="20"/>
              </w:rPr>
            </w:pPr>
            <w:r w:rsidRPr="00486664">
              <w:rPr>
                <w:b/>
                <w:szCs w:val="20"/>
              </w:rPr>
              <w:t xml:space="preserve">  Rudi Medved</w:t>
            </w:r>
          </w:p>
          <w:p w:rsidR="00486664" w:rsidRPr="00486664" w:rsidRDefault="00486664" w:rsidP="00486664">
            <w:pPr>
              <w:spacing w:line="240" w:lineRule="auto"/>
              <w:rPr>
                <w:b/>
                <w:szCs w:val="20"/>
              </w:rPr>
            </w:pPr>
            <w:r w:rsidRPr="00486664">
              <w:rPr>
                <w:b/>
                <w:szCs w:val="20"/>
              </w:rPr>
              <w:t xml:space="preserve">                                                                                                           MINISTER   </w:t>
            </w:r>
          </w:p>
          <w:p w:rsidR="00486664" w:rsidRPr="00486664" w:rsidRDefault="00486664" w:rsidP="00486664">
            <w:pPr>
              <w:widowControl w:val="0"/>
              <w:overflowPunct w:val="0"/>
              <w:autoSpaceDE w:val="0"/>
              <w:autoSpaceDN w:val="0"/>
              <w:adjustRightInd w:val="0"/>
              <w:ind w:left="3400"/>
              <w:textAlignment w:val="baseline"/>
              <w:rPr>
                <w:rFonts w:cs="Arial"/>
                <w:noProof/>
                <w:szCs w:val="20"/>
                <w:lang w:val="sl-SI" w:eastAsia="sl-SI"/>
              </w:rPr>
            </w:pPr>
          </w:p>
        </w:tc>
      </w:tr>
    </w:tbl>
    <w:p w:rsidR="00486664" w:rsidRDefault="00486664"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Default="007751B5" w:rsidP="003E1C74">
      <w:pPr>
        <w:pStyle w:val="podpisi"/>
        <w:rPr>
          <w:lang w:val="sl-SI"/>
        </w:rPr>
      </w:pPr>
    </w:p>
    <w:p w:rsidR="007751B5" w:rsidRPr="007751B5" w:rsidRDefault="007751B5" w:rsidP="00294D0C">
      <w:pPr>
        <w:tabs>
          <w:tab w:val="left" w:pos="708"/>
        </w:tabs>
        <w:ind w:hanging="567"/>
        <w:jc w:val="both"/>
        <w:rPr>
          <w:rFonts w:cs="Arial"/>
          <w:b/>
          <w:szCs w:val="20"/>
          <w:lang w:val="sl-SI"/>
        </w:rPr>
      </w:pPr>
      <w:r w:rsidRPr="007751B5">
        <w:rPr>
          <w:szCs w:val="20"/>
          <w:lang w:val="sl-SI"/>
        </w:rPr>
        <w:lastRenderedPageBreak/>
        <w:t>PRILOGA 3 (jedro gradiva):</w:t>
      </w:r>
      <w:r w:rsidRPr="007751B5">
        <w:rPr>
          <w:rFonts w:eastAsia="SimSun"/>
          <w:szCs w:val="20"/>
          <w:lang w:val="sl-SI" w:eastAsia="zh-CN"/>
        </w:rPr>
        <w:t xml:space="preserve"> </w:t>
      </w:r>
    </w:p>
    <w:p w:rsidR="007751B5" w:rsidRPr="007751B5" w:rsidRDefault="007751B5" w:rsidP="00294D0C">
      <w:pPr>
        <w:suppressAutoHyphens/>
        <w:overflowPunct w:val="0"/>
        <w:autoSpaceDE w:val="0"/>
        <w:autoSpaceDN w:val="0"/>
        <w:adjustRightInd w:val="0"/>
        <w:ind w:hanging="567"/>
        <w:jc w:val="both"/>
        <w:textAlignment w:val="baseline"/>
        <w:rPr>
          <w:rFonts w:cs="Arial"/>
          <w:b/>
          <w:szCs w:val="20"/>
          <w:lang w:val="sl-SI" w:eastAsia="sl-SI"/>
        </w:rPr>
      </w:pPr>
      <w:r w:rsidRPr="007751B5">
        <w:rPr>
          <w:rFonts w:cs="Arial"/>
          <w:b/>
          <w:szCs w:val="20"/>
          <w:lang w:val="sl-SI" w:eastAsia="sl-SI"/>
        </w:rPr>
        <w:t>PREDLOG</w:t>
      </w:r>
      <w:r w:rsidRPr="007751B5">
        <w:rPr>
          <w:rFonts w:cs="Arial"/>
          <w:b/>
          <w:szCs w:val="20"/>
          <w:lang w:val="sl-SI" w:eastAsia="sl-SI"/>
        </w:rPr>
        <w:tab/>
      </w:r>
      <w:r w:rsidRPr="007751B5">
        <w:rPr>
          <w:rFonts w:cs="Arial"/>
          <w:b/>
          <w:szCs w:val="20"/>
          <w:lang w:val="sl-SI" w:eastAsia="sl-SI"/>
        </w:rPr>
        <w:tab/>
      </w:r>
      <w:r w:rsidRPr="007751B5">
        <w:rPr>
          <w:rFonts w:cs="Arial"/>
          <w:b/>
          <w:szCs w:val="20"/>
          <w:lang w:val="sl-SI" w:eastAsia="sl-SI"/>
        </w:rPr>
        <w:tab/>
      </w:r>
      <w:r w:rsidRPr="007751B5">
        <w:rPr>
          <w:rFonts w:cs="Arial"/>
          <w:b/>
          <w:szCs w:val="20"/>
          <w:lang w:val="sl-SI" w:eastAsia="sl-SI"/>
        </w:rPr>
        <w:tab/>
      </w:r>
      <w:r w:rsidRPr="007751B5">
        <w:rPr>
          <w:rFonts w:cs="Arial"/>
          <w:b/>
          <w:szCs w:val="20"/>
          <w:lang w:val="sl-SI" w:eastAsia="sl-SI"/>
        </w:rPr>
        <w:tab/>
      </w:r>
      <w:r w:rsidRPr="007751B5">
        <w:rPr>
          <w:rFonts w:cs="Arial"/>
          <w:b/>
          <w:szCs w:val="20"/>
          <w:lang w:val="sl-SI" w:eastAsia="sl-SI"/>
        </w:rPr>
        <w:tab/>
      </w:r>
      <w:r w:rsidRPr="007751B5">
        <w:rPr>
          <w:rFonts w:cs="Arial"/>
          <w:b/>
          <w:szCs w:val="20"/>
          <w:lang w:val="sl-SI" w:eastAsia="sl-SI"/>
        </w:rPr>
        <w:tab/>
        <w:t xml:space="preserve">           </w:t>
      </w:r>
      <w:r>
        <w:rPr>
          <w:rFonts w:cs="Arial"/>
          <w:b/>
          <w:szCs w:val="20"/>
          <w:lang w:val="sl-SI" w:eastAsia="sl-SI"/>
        </w:rPr>
        <w:t xml:space="preserve">                </w:t>
      </w:r>
      <w:r w:rsidRPr="007751B5">
        <w:rPr>
          <w:rFonts w:cs="Arial"/>
          <w:b/>
          <w:szCs w:val="20"/>
          <w:lang w:val="sl-SI" w:eastAsia="sl-SI"/>
        </w:rPr>
        <w:t xml:space="preserve">EVA </w:t>
      </w:r>
      <w:r w:rsidRPr="007751B5">
        <w:rPr>
          <w:rFonts w:cs="Arial"/>
          <w:b/>
          <w:iCs/>
          <w:noProof/>
          <w:szCs w:val="20"/>
          <w:lang w:val="sl-SI" w:eastAsia="sl-SI"/>
        </w:rPr>
        <w:t>2020-3130-0009</w:t>
      </w:r>
    </w:p>
    <w:p w:rsidR="007751B5" w:rsidRPr="007751B5" w:rsidRDefault="007751B5" w:rsidP="00294D0C">
      <w:pPr>
        <w:jc w:val="both"/>
        <w:rPr>
          <w:rFonts w:cs="Arial"/>
          <w:szCs w:val="20"/>
          <w:lang w:val="sl-SI"/>
        </w:rPr>
      </w:pPr>
      <w:r w:rsidRPr="007751B5">
        <w:rPr>
          <w:rFonts w:cs="Arial"/>
          <w:szCs w:val="20"/>
          <w:lang w:val="sl-SI"/>
        </w:rPr>
        <w:tab/>
      </w:r>
      <w:r w:rsidRPr="007751B5">
        <w:rPr>
          <w:rFonts w:cs="Arial"/>
          <w:szCs w:val="20"/>
          <w:lang w:val="sl-SI"/>
        </w:rPr>
        <w:tab/>
      </w:r>
      <w:r w:rsidRPr="007751B5">
        <w:rPr>
          <w:rFonts w:cs="Arial"/>
          <w:szCs w:val="20"/>
          <w:lang w:val="sl-SI"/>
        </w:rPr>
        <w:tab/>
      </w:r>
      <w:r w:rsidRPr="007751B5">
        <w:rPr>
          <w:rFonts w:cs="Arial"/>
          <w:szCs w:val="20"/>
          <w:lang w:val="sl-SI"/>
        </w:rPr>
        <w:tab/>
      </w:r>
      <w:r w:rsidRPr="007751B5">
        <w:rPr>
          <w:rFonts w:cs="Arial"/>
          <w:szCs w:val="20"/>
          <w:lang w:val="sl-SI"/>
        </w:rPr>
        <w:tab/>
      </w:r>
      <w:r w:rsidRPr="007751B5">
        <w:rPr>
          <w:rFonts w:cs="Arial"/>
          <w:szCs w:val="20"/>
          <w:lang w:val="sl-SI"/>
        </w:rPr>
        <w:tab/>
      </w:r>
      <w:r w:rsidRPr="007751B5">
        <w:rPr>
          <w:rFonts w:cs="Arial"/>
          <w:szCs w:val="20"/>
          <w:lang w:val="sl-SI"/>
        </w:rPr>
        <w:tab/>
      </w:r>
      <w:r w:rsidRPr="007751B5">
        <w:rPr>
          <w:rFonts w:cs="Arial"/>
          <w:szCs w:val="20"/>
          <w:lang w:val="sl-SI"/>
        </w:rPr>
        <w:tab/>
        <w:t xml:space="preserve">    </w:t>
      </w:r>
    </w:p>
    <w:p w:rsidR="00294D0C" w:rsidRDefault="00294D0C" w:rsidP="00294D0C">
      <w:pPr>
        <w:ind w:left="-567"/>
        <w:jc w:val="both"/>
        <w:rPr>
          <w:rFonts w:cs="Arial"/>
          <w:szCs w:val="20"/>
          <w:shd w:val="clear" w:color="auto" w:fill="FFFFFF"/>
          <w:lang w:val="sl-SI"/>
        </w:rPr>
      </w:pPr>
    </w:p>
    <w:p w:rsidR="007751B5" w:rsidRPr="007751B5" w:rsidRDefault="007751B5" w:rsidP="00294D0C">
      <w:pPr>
        <w:ind w:left="-567"/>
        <w:jc w:val="both"/>
        <w:rPr>
          <w:rFonts w:cs="Arial"/>
          <w:szCs w:val="20"/>
          <w:shd w:val="clear" w:color="auto" w:fill="FFFFFF"/>
          <w:lang w:val="sl-SI"/>
        </w:rPr>
      </w:pPr>
      <w:r w:rsidRPr="007751B5">
        <w:rPr>
          <w:rFonts w:cs="Arial"/>
          <w:szCs w:val="20"/>
          <w:shd w:val="clear" w:color="auto" w:fill="FFFFFF"/>
          <w:lang w:val="sl-SI"/>
        </w:rPr>
        <w:t>Na podlagi prvega odstavka 3. člena Zakona o sistemu plač v javnem sektorju (Uradni list RS, št. 108/09 – uradno prečiščeno besedilo, 13/10, 59/10, 85/10, 107/10, 35/11 – ORZSPJS49a, 27/12 – odl. US, 40/12 – ZUJF, 46/13, 25/14 – ZFU, 50/14, 95/14 – ZUPPJS15, 82/15, 23/17 – ZDOdv, 67/17 in 84/18), 44. člena Zakona o zunanjih zadevah (Uradni list RS, št. 113/03 – uradno prečiščeno besedilo, 20/06 – ZNOMCMO, 76/08, 108/09, 80/10 – ZUTD, 31/15 in 30/18 – ZKZaš), 96. člena Zakona o službi v Slovenski vojski (Uradni list RS, št. 68/07 in 58/08 – ZSPJS-I) in petega odstavka 70. člena Zakona o državnem tožilstvu (Uradni list RS, št. 58/11, 21/12 – ZDU-1F, 47/12, 15/13 – ZODPol, 47/13 – ZDU-1G, 48/13 – ZSKZDČEU-1, 19/15, 23/17 – ZSSve in 36/19) Vlada Republike Slovenije izdaja</w:t>
      </w:r>
    </w:p>
    <w:p w:rsidR="007751B5" w:rsidRPr="007751B5" w:rsidRDefault="007751B5" w:rsidP="00294D0C">
      <w:pPr>
        <w:jc w:val="both"/>
        <w:rPr>
          <w:rFonts w:cs="Arial"/>
          <w:szCs w:val="20"/>
          <w:shd w:val="clear" w:color="auto" w:fill="FFFFFF"/>
          <w:lang w:val="sl-SI"/>
        </w:rPr>
      </w:pPr>
    </w:p>
    <w:p w:rsidR="007751B5" w:rsidRPr="0098614D" w:rsidRDefault="007751B5" w:rsidP="00294D0C">
      <w:pPr>
        <w:jc w:val="both"/>
        <w:rPr>
          <w:rFonts w:cs="Arial"/>
          <w:szCs w:val="20"/>
          <w:shd w:val="clear" w:color="auto" w:fill="FFFFFF"/>
          <w:lang w:val="sl-SI"/>
        </w:rPr>
      </w:pPr>
    </w:p>
    <w:p w:rsidR="007751B5" w:rsidRPr="0098614D" w:rsidRDefault="007751B5" w:rsidP="00294D0C">
      <w:pPr>
        <w:jc w:val="both"/>
        <w:rPr>
          <w:rFonts w:cs="Arial"/>
          <w:szCs w:val="20"/>
          <w:lang w:val="sl-SI"/>
        </w:rPr>
      </w:pPr>
    </w:p>
    <w:p w:rsidR="007751B5" w:rsidRPr="007751B5" w:rsidRDefault="007751B5" w:rsidP="00294D0C">
      <w:pPr>
        <w:jc w:val="center"/>
        <w:rPr>
          <w:rFonts w:cs="Arial"/>
          <w:b/>
          <w:color w:val="000000" w:themeColor="text1"/>
          <w:szCs w:val="20"/>
          <w:lang w:val="sl-SI"/>
        </w:rPr>
      </w:pPr>
      <w:r w:rsidRPr="007751B5">
        <w:rPr>
          <w:rFonts w:cs="Arial"/>
          <w:b/>
          <w:color w:val="000000" w:themeColor="text1"/>
          <w:szCs w:val="20"/>
          <w:lang w:val="sl-SI"/>
        </w:rPr>
        <w:t>UREDBO</w:t>
      </w:r>
    </w:p>
    <w:p w:rsidR="007751B5" w:rsidRPr="007751B5" w:rsidRDefault="007751B5" w:rsidP="00294D0C">
      <w:pPr>
        <w:jc w:val="center"/>
        <w:rPr>
          <w:rFonts w:cs="Arial"/>
          <w:b/>
          <w:bCs/>
          <w:color w:val="000000" w:themeColor="text1"/>
          <w:szCs w:val="20"/>
          <w:shd w:val="clear" w:color="auto" w:fill="FFFFFF"/>
          <w:lang w:val="sl-SI"/>
        </w:rPr>
      </w:pPr>
      <w:r w:rsidRPr="007751B5">
        <w:rPr>
          <w:rFonts w:cs="Arial"/>
          <w:b/>
          <w:color w:val="000000" w:themeColor="text1"/>
          <w:szCs w:val="20"/>
          <w:lang w:val="sl-SI"/>
        </w:rPr>
        <w:t xml:space="preserve">o spremembah in dopolnitvah </w:t>
      </w:r>
      <w:r w:rsidRPr="007751B5">
        <w:rPr>
          <w:rFonts w:cs="Arial"/>
          <w:b/>
          <w:bCs/>
          <w:color w:val="000000" w:themeColor="text1"/>
          <w:szCs w:val="20"/>
          <w:shd w:val="clear" w:color="auto" w:fill="FFFFFF"/>
          <w:lang w:val="sl-SI"/>
        </w:rPr>
        <w:t xml:space="preserve">Uredbe o plačah in drugih prejemkih javnih uslužbencev </w:t>
      </w:r>
    </w:p>
    <w:p w:rsidR="007751B5" w:rsidRPr="007751B5" w:rsidRDefault="007751B5" w:rsidP="00294D0C">
      <w:pPr>
        <w:jc w:val="center"/>
        <w:rPr>
          <w:rFonts w:cs="Arial"/>
          <w:b/>
          <w:color w:val="000000" w:themeColor="text1"/>
          <w:szCs w:val="20"/>
          <w:lang w:val="sl-SI"/>
        </w:rPr>
      </w:pPr>
      <w:r w:rsidRPr="007751B5">
        <w:rPr>
          <w:rFonts w:cs="Arial"/>
          <w:b/>
          <w:color w:val="000000" w:themeColor="text1"/>
          <w:szCs w:val="20"/>
          <w:shd w:val="clear" w:color="auto" w:fill="FFFFFF"/>
          <w:lang w:val="sl-SI"/>
        </w:rPr>
        <w:t>za delo v tujini</w:t>
      </w:r>
    </w:p>
    <w:p w:rsidR="007751B5" w:rsidRPr="007751B5" w:rsidRDefault="007751B5" w:rsidP="00294D0C">
      <w:pPr>
        <w:jc w:val="center"/>
        <w:rPr>
          <w:rFonts w:cs="Arial"/>
          <w:color w:val="000000" w:themeColor="text1"/>
          <w:szCs w:val="20"/>
          <w:lang w:val="sl-SI"/>
        </w:rPr>
      </w:pPr>
    </w:p>
    <w:p w:rsidR="007751B5" w:rsidRDefault="007751B5" w:rsidP="00294D0C">
      <w:pPr>
        <w:jc w:val="center"/>
        <w:rPr>
          <w:rFonts w:cs="Arial"/>
          <w:b/>
          <w:color w:val="000000" w:themeColor="text1"/>
          <w:szCs w:val="20"/>
          <w:lang w:val="sl-SI"/>
        </w:rPr>
      </w:pPr>
      <w:bookmarkStart w:id="2" w:name="_Hlk11650780"/>
      <w:r w:rsidRPr="007751B5">
        <w:rPr>
          <w:rFonts w:cs="Arial"/>
          <w:b/>
          <w:color w:val="000000" w:themeColor="text1"/>
          <w:szCs w:val="20"/>
          <w:lang w:val="sl-SI"/>
        </w:rPr>
        <w:t>1. člen</w:t>
      </w:r>
    </w:p>
    <w:p w:rsidR="007751B5" w:rsidRPr="007751B5" w:rsidRDefault="007751B5" w:rsidP="00294D0C">
      <w:pPr>
        <w:jc w:val="center"/>
        <w:rPr>
          <w:rFonts w:cs="Arial"/>
          <w:b/>
          <w:color w:val="000000" w:themeColor="text1"/>
          <w:szCs w:val="20"/>
          <w:lang w:val="sl-SI"/>
        </w:rPr>
      </w:pPr>
    </w:p>
    <w:bookmarkEnd w:id="2"/>
    <w:p w:rsidR="00F72ED5" w:rsidRPr="00F72ED5" w:rsidRDefault="007751B5" w:rsidP="00571297">
      <w:pPr>
        <w:ind w:left="-567"/>
        <w:jc w:val="both"/>
        <w:rPr>
          <w:rFonts w:cs="Arial"/>
          <w:color w:val="000000" w:themeColor="text1"/>
          <w:szCs w:val="20"/>
          <w:lang w:val="sl-SI" w:eastAsia="sl-SI"/>
        </w:rPr>
      </w:pPr>
      <w:r w:rsidRPr="007751B5">
        <w:rPr>
          <w:rFonts w:cs="Arial"/>
          <w:color w:val="000000" w:themeColor="text1"/>
          <w:szCs w:val="20"/>
          <w:lang w:val="sl-SI"/>
        </w:rPr>
        <w:t xml:space="preserve">V </w:t>
      </w:r>
      <w:hyperlink r:id="rId8" w:history="1">
        <w:r w:rsidRPr="007751B5">
          <w:rPr>
            <w:rFonts w:cs="Arial"/>
            <w:color w:val="000000" w:themeColor="text1"/>
            <w:szCs w:val="20"/>
            <w:lang w:val="sl-SI" w:eastAsia="sl-SI"/>
          </w:rPr>
          <w:t>Uredbi o plačah in drugih prejemkih javnih uslužbencev za delo v tujini</w:t>
        </w:r>
      </w:hyperlink>
      <w:r w:rsidRPr="007751B5">
        <w:rPr>
          <w:rFonts w:cs="Arial"/>
          <w:color w:val="000000" w:themeColor="text1"/>
          <w:szCs w:val="20"/>
          <w:lang w:val="sl-SI" w:eastAsia="sl-SI"/>
        </w:rPr>
        <w:t xml:space="preserve"> </w:t>
      </w:r>
      <w:r w:rsidR="00A865DE" w:rsidRPr="00A865DE">
        <w:rPr>
          <w:rFonts w:cs="Arial"/>
          <w:color w:val="000000" w:themeColor="text1"/>
          <w:szCs w:val="20"/>
          <w:lang w:val="sl-SI" w:eastAsia="sl-SI"/>
        </w:rPr>
        <w:t>(Uradni list RS, št. 14/09, 16/09 – popr., 23/09, 51/10, 67/10, 80/10 – ZUTD, 41/12, 68/12, 47/13, 96/14, 39/15, 57/15, 73/15, 98/15, 6/16, 38/16, 62/16, 4/17, 26/17, 35/17, 54/17, 5/18, 35/18, 43/18, 64/18, 6/19, 35/19, 59/19 in 78/19)</w:t>
      </w:r>
      <w:r w:rsidR="00A865DE">
        <w:rPr>
          <w:rFonts w:cs="Arial"/>
          <w:color w:val="000000" w:themeColor="text1"/>
          <w:szCs w:val="20"/>
          <w:lang w:val="sl-SI" w:eastAsia="sl-SI"/>
        </w:rPr>
        <w:t xml:space="preserve"> </w:t>
      </w:r>
      <w:r w:rsidR="00F72ED5" w:rsidRPr="00F72ED5">
        <w:rPr>
          <w:rFonts w:cs="Arial"/>
          <w:color w:val="000000" w:themeColor="text1"/>
          <w:szCs w:val="20"/>
          <w:lang w:val="sl-SI" w:eastAsia="sl-SI"/>
        </w:rPr>
        <w:t xml:space="preserve">se </w:t>
      </w:r>
      <w:r w:rsidR="00571297">
        <w:rPr>
          <w:rFonts w:cs="Arial"/>
          <w:color w:val="000000" w:themeColor="text1"/>
          <w:szCs w:val="20"/>
          <w:lang w:val="sl-SI" w:eastAsia="sl-SI"/>
        </w:rPr>
        <w:t>v 7. členu v četrtem odstavku prvi stavek</w:t>
      </w:r>
      <w:r w:rsidR="00F72ED5" w:rsidRPr="00F72ED5">
        <w:rPr>
          <w:rFonts w:cs="Arial"/>
          <w:color w:val="000000" w:themeColor="text1"/>
          <w:szCs w:val="20"/>
          <w:lang w:val="sl-SI" w:eastAsia="sl-SI"/>
        </w:rPr>
        <w:t xml:space="preserve"> spremeni tako, da se glasi:</w:t>
      </w:r>
    </w:p>
    <w:p w:rsidR="00F72ED5" w:rsidRDefault="00F72ED5" w:rsidP="00F72ED5">
      <w:pPr>
        <w:ind w:left="-567"/>
        <w:jc w:val="both"/>
        <w:rPr>
          <w:rFonts w:cs="Arial"/>
          <w:color w:val="000000" w:themeColor="text1"/>
          <w:szCs w:val="20"/>
          <w:lang w:val="sl-SI" w:eastAsia="sl-SI"/>
        </w:rPr>
      </w:pPr>
    </w:p>
    <w:p w:rsidR="00F72ED5" w:rsidRPr="00F72ED5" w:rsidRDefault="00F72ED5" w:rsidP="00F72ED5">
      <w:pPr>
        <w:ind w:left="-567"/>
        <w:jc w:val="both"/>
        <w:rPr>
          <w:rFonts w:cs="Arial"/>
          <w:color w:val="000000" w:themeColor="text1"/>
          <w:szCs w:val="20"/>
          <w:lang w:val="sl-SI" w:eastAsia="sl-SI"/>
        </w:rPr>
      </w:pPr>
      <w:r w:rsidRPr="00F72ED5">
        <w:rPr>
          <w:rFonts w:cs="Arial"/>
          <w:color w:val="000000" w:themeColor="text1"/>
          <w:szCs w:val="20"/>
          <w:lang w:val="sl-SI" w:eastAsia="sl-SI"/>
        </w:rPr>
        <w:t xml:space="preserve">»Spremembo preglednice indeksov življenjskih stroškov, ki so določeni v prilogi 2 te uredbe, sprejme vlada na predlog ministra za zunanje zadeve </w:t>
      </w:r>
      <w:r w:rsidR="004122BB">
        <w:rPr>
          <w:rFonts w:cs="Arial"/>
          <w:color w:val="000000" w:themeColor="text1"/>
          <w:szCs w:val="20"/>
          <w:lang w:val="sl-SI" w:eastAsia="sl-SI"/>
        </w:rPr>
        <w:t xml:space="preserve">enkrat na leto, tako da se indeksi življenjskih stroškov spremenijo </w:t>
      </w:r>
      <w:r w:rsidR="00CF322E" w:rsidRPr="00CF322E">
        <w:rPr>
          <w:rFonts w:cs="Arial"/>
          <w:szCs w:val="20"/>
          <w:lang w:val="sl-SI" w:eastAsia="sl-SI"/>
        </w:rPr>
        <w:t xml:space="preserve">1. oktobra </w:t>
      </w:r>
      <w:r w:rsidRPr="00CF322E">
        <w:rPr>
          <w:rFonts w:cs="Arial"/>
          <w:color w:val="000000" w:themeColor="text1"/>
          <w:szCs w:val="20"/>
          <w:lang w:val="sl-SI" w:eastAsia="sl-SI"/>
        </w:rPr>
        <w:t>z zadnjim objavljenim indeksom OZN pred</w:t>
      </w:r>
      <w:r w:rsidR="004122BB">
        <w:rPr>
          <w:rFonts w:cs="Arial"/>
          <w:color w:val="000000" w:themeColor="text1"/>
          <w:szCs w:val="20"/>
          <w:lang w:val="sl-SI" w:eastAsia="sl-SI"/>
        </w:rPr>
        <w:t xml:space="preserve"> tem datumom</w:t>
      </w:r>
      <w:r w:rsidRPr="00CF322E">
        <w:rPr>
          <w:rFonts w:cs="Arial"/>
          <w:color w:val="000000" w:themeColor="text1"/>
          <w:szCs w:val="20"/>
          <w:lang w:val="sl-SI" w:eastAsia="sl-SI"/>
        </w:rPr>
        <w:t>.</w:t>
      </w:r>
      <w:r w:rsidRPr="00F72ED5">
        <w:rPr>
          <w:rFonts w:cs="Arial"/>
          <w:color w:val="000000" w:themeColor="text1"/>
          <w:szCs w:val="20"/>
          <w:lang w:val="sl-SI" w:eastAsia="sl-SI"/>
        </w:rPr>
        <w:t>«.</w:t>
      </w:r>
    </w:p>
    <w:p w:rsidR="00F72ED5" w:rsidRDefault="00F72ED5" w:rsidP="00CF322E">
      <w:pPr>
        <w:jc w:val="both"/>
        <w:rPr>
          <w:rFonts w:cs="Arial"/>
          <w:color w:val="000000" w:themeColor="text1"/>
          <w:szCs w:val="20"/>
          <w:lang w:val="sl-SI" w:eastAsia="sl-SI"/>
        </w:rPr>
      </w:pPr>
    </w:p>
    <w:p w:rsidR="007751B5" w:rsidRDefault="00A865DE" w:rsidP="00294D0C">
      <w:pPr>
        <w:ind w:left="-567"/>
        <w:jc w:val="both"/>
        <w:rPr>
          <w:rFonts w:cs="Arial"/>
          <w:color w:val="000000" w:themeColor="text1"/>
          <w:szCs w:val="20"/>
          <w:lang w:val="sl-SI" w:eastAsia="sl-SI"/>
        </w:rPr>
      </w:pPr>
      <w:r>
        <w:rPr>
          <w:rFonts w:cs="Arial"/>
          <w:color w:val="000000" w:themeColor="text1"/>
          <w:szCs w:val="20"/>
          <w:lang w:val="sl-SI" w:eastAsia="sl-SI"/>
        </w:rPr>
        <w:t>V 7. členu se na</w:t>
      </w:r>
      <w:r w:rsidR="007751B5" w:rsidRPr="007751B5">
        <w:rPr>
          <w:rFonts w:cs="Arial"/>
          <w:color w:val="000000" w:themeColor="text1"/>
          <w:szCs w:val="20"/>
          <w:lang w:val="sl-SI" w:eastAsia="sl-SI"/>
        </w:rPr>
        <w:t xml:space="preserve"> koncu šestega odstavka doda nov stavek, ki se glasi: </w:t>
      </w:r>
    </w:p>
    <w:p w:rsidR="00294D0C" w:rsidRPr="007751B5" w:rsidRDefault="00294D0C" w:rsidP="00294D0C">
      <w:pPr>
        <w:ind w:left="-567"/>
        <w:jc w:val="both"/>
        <w:rPr>
          <w:rFonts w:cs="Arial"/>
          <w:color w:val="000000" w:themeColor="text1"/>
          <w:szCs w:val="20"/>
          <w:lang w:val="sl-SI" w:eastAsia="sl-SI"/>
        </w:rPr>
      </w:pPr>
    </w:p>
    <w:p w:rsidR="007751B5" w:rsidRPr="007751B5" w:rsidRDefault="007751B5" w:rsidP="00294D0C">
      <w:pPr>
        <w:ind w:left="-567"/>
        <w:jc w:val="both"/>
        <w:rPr>
          <w:rFonts w:cs="Arial"/>
          <w:color w:val="000000" w:themeColor="text1"/>
          <w:szCs w:val="20"/>
          <w:lang w:val="sl-SI"/>
        </w:rPr>
      </w:pPr>
      <w:r w:rsidRPr="007751B5">
        <w:rPr>
          <w:rFonts w:cs="Arial"/>
          <w:color w:val="000000" w:themeColor="text1"/>
          <w:szCs w:val="20"/>
          <w:lang w:val="sl-SI"/>
        </w:rPr>
        <w:t>»Pri izračunu in izplačilu plače v drugi valuti se upošteva zadnji referenčni tečaj Evropske centralne banke, ki ga objavlja Banka Slovenije na dan pred dvanajstim dnem v mesecu.«.</w:t>
      </w:r>
    </w:p>
    <w:p w:rsidR="00294D0C" w:rsidRPr="007751B5" w:rsidRDefault="00294D0C" w:rsidP="00294D0C">
      <w:pPr>
        <w:ind w:left="-567"/>
        <w:jc w:val="both"/>
        <w:rPr>
          <w:rFonts w:cs="Arial"/>
          <w:color w:val="000000" w:themeColor="text1"/>
          <w:szCs w:val="20"/>
          <w:lang w:val="sl-SI" w:eastAsia="sl-SI"/>
        </w:rPr>
      </w:pPr>
    </w:p>
    <w:p w:rsidR="007751B5" w:rsidRDefault="007751B5" w:rsidP="00294D0C">
      <w:pPr>
        <w:autoSpaceDE w:val="0"/>
        <w:autoSpaceDN w:val="0"/>
        <w:adjustRightInd w:val="0"/>
        <w:jc w:val="center"/>
        <w:rPr>
          <w:rFonts w:eastAsia="Calibri" w:cs="Arial"/>
          <w:b/>
          <w:color w:val="000000" w:themeColor="text1"/>
          <w:szCs w:val="20"/>
          <w:lang w:val="sl-SI"/>
        </w:rPr>
      </w:pPr>
      <w:bookmarkStart w:id="3" w:name="_Hlk11234480"/>
      <w:r w:rsidRPr="007751B5">
        <w:rPr>
          <w:rFonts w:eastAsia="Calibri" w:cs="Arial"/>
          <w:b/>
          <w:color w:val="000000" w:themeColor="text1"/>
          <w:szCs w:val="20"/>
          <w:lang w:val="sl-SI"/>
        </w:rPr>
        <w:t>2. člen</w:t>
      </w:r>
    </w:p>
    <w:p w:rsidR="007751B5" w:rsidRPr="007751B5" w:rsidRDefault="007751B5" w:rsidP="00294D0C">
      <w:pPr>
        <w:autoSpaceDE w:val="0"/>
        <w:autoSpaceDN w:val="0"/>
        <w:adjustRightInd w:val="0"/>
        <w:ind w:left="-567"/>
        <w:rPr>
          <w:rFonts w:eastAsia="Calibri" w:cs="Arial"/>
          <w:b/>
          <w:color w:val="000000" w:themeColor="text1"/>
          <w:szCs w:val="20"/>
          <w:lang w:val="sl-SI"/>
        </w:rPr>
      </w:pPr>
    </w:p>
    <w:p w:rsidR="007751B5" w:rsidRPr="007751B5" w:rsidRDefault="007751B5" w:rsidP="00294D0C">
      <w:pPr>
        <w:autoSpaceDE w:val="0"/>
        <w:autoSpaceDN w:val="0"/>
        <w:adjustRightInd w:val="0"/>
        <w:ind w:left="-567"/>
        <w:jc w:val="both"/>
        <w:rPr>
          <w:rFonts w:cs="Arial"/>
          <w:color w:val="000000" w:themeColor="text1"/>
          <w:szCs w:val="20"/>
          <w:lang w:val="sl-SI" w:eastAsia="sl-SI"/>
        </w:rPr>
      </w:pPr>
      <w:bookmarkStart w:id="4" w:name="_Hlk527451006"/>
      <w:bookmarkEnd w:id="3"/>
      <w:r w:rsidRPr="007751B5">
        <w:rPr>
          <w:rFonts w:cs="Arial"/>
          <w:color w:val="000000" w:themeColor="text1"/>
          <w:szCs w:val="20"/>
          <w:lang w:val="sl-SI" w:eastAsia="sl-SI"/>
        </w:rPr>
        <w:t xml:space="preserve">V 8. členu se v tretjem odstavku črta besedilo </w:t>
      </w:r>
      <w:bookmarkStart w:id="5" w:name="_Hlk30071667"/>
      <w:r w:rsidRPr="007751B5">
        <w:rPr>
          <w:rFonts w:cs="Arial"/>
          <w:color w:val="000000" w:themeColor="text1"/>
          <w:szCs w:val="20"/>
          <w:lang w:val="sl-SI" w:eastAsia="sl-SI"/>
        </w:rPr>
        <w:t xml:space="preserve">»pete,«. </w:t>
      </w:r>
      <w:bookmarkEnd w:id="5"/>
    </w:p>
    <w:p w:rsidR="007751B5" w:rsidRPr="007751B5" w:rsidRDefault="007751B5" w:rsidP="00294D0C">
      <w:pPr>
        <w:autoSpaceDE w:val="0"/>
        <w:autoSpaceDN w:val="0"/>
        <w:adjustRightInd w:val="0"/>
        <w:ind w:left="-567"/>
        <w:jc w:val="both"/>
        <w:rPr>
          <w:rFonts w:cs="Arial"/>
          <w:color w:val="000000" w:themeColor="text1"/>
          <w:szCs w:val="20"/>
          <w:lang w:val="sl-SI" w:eastAsia="sl-SI"/>
        </w:rPr>
      </w:pPr>
    </w:p>
    <w:p w:rsidR="007751B5" w:rsidRDefault="007751B5" w:rsidP="00294D0C">
      <w:pPr>
        <w:autoSpaceDE w:val="0"/>
        <w:autoSpaceDN w:val="0"/>
        <w:adjustRightInd w:val="0"/>
        <w:jc w:val="center"/>
        <w:rPr>
          <w:rFonts w:eastAsia="Calibri" w:cs="Arial"/>
          <w:b/>
          <w:color w:val="000000" w:themeColor="text1"/>
          <w:szCs w:val="20"/>
          <w:lang w:val="sl-SI"/>
        </w:rPr>
      </w:pPr>
      <w:bookmarkStart w:id="6" w:name="_Hlk27644639"/>
      <w:r w:rsidRPr="007751B5">
        <w:rPr>
          <w:rFonts w:eastAsia="Calibri" w:cs="Arial"/>
          <w:b/>
          <w:color w:val="000000" w:themeColor="text1"/>
          <w:szCs w:val="20"/>
          <w:lang w:val="sl-SI"/>
        </w:rPr>
        <w:t>3. člen</w:t>
      </w:r>
      <w:bookmarkEnd w:id="6"/>
    </w:p>
    <w:p w:rsidR="00294D0C" w:rsidRPr="007751B5" w:rsidRDefault="00294D0C" w:rsidP="00294D0C">
      <w:pPr>
        <w:autoSpaceDE w:val="0"/>
        <w:autoSpaceDN w:val="0"/>
        <w:adjustRightInd w:val="0"/>
        <w:jc w:val="center"/>
        <w:rPr>
          <w:rFonts w:eastAsia="Calibri" w:cs="Arial"/>
          <w:b/>
          <w:color w:val="000000" w:themeColor="text1"/>
          <w:szCs w:val="20"/>
          <w:lang w:val="sl-SI"/>
        </w:rPr>
      </w:pPr>
    </w:p>
    <w:p w:rsidR="007751B5" w:rsidRPr="007751B5" w:rsidRDefault="007751B5" w:rsidP="00294D0C">
      <w:pPr>
        <w:autoSpaceDE w:val="0"/>
        <w:autoSpaceDN w:val="0"/>
        <w:adjustRightInd w:val="0"/>
        <w:ind w:left="-567"/>
        <w:jc w:val="both"/>
        <w:rPr>
          <w:rFonts w:cs="Arial"/>
          <w:color w:val="000000" w:themeColor="text1"/>
          <w:szCs w:val="20"/>
          <w:lang w:val="sl-SI" w:eastAsia="sl-SI"/>
        </w:rPr>
      </w:pPr>
      <w:r w:rsidRPr="007751B5">
        <w:rPr>
          <w:rFonts w:cs="Arial"/>
          <w:color w:val="000000" w:themeColor="text1"/>
          <w:szCs w:val="20"/>
          <w:lang w:val="sl-SI" w:eastAsia="sl-SI"/>
        </w:rPr>
        <w:t>V 11. členu se v drugem odstavku namesto prvega stavka dodata nova stavka, ki se glasita:</w:t>
      </w:r>
    </w:p>
    <w:p w:rsidR="00294D0C" w:rsidRDefault="00294D0C" w:rsidP="00294D0C">
      <w:pPr>
        <w:overflowPunct w:val="0"/>
        <w:autoSpaceDE w:val="0"/>
        <w:autoSpaceDN w:val="0"/>
        <w:adjustRightInd w:val="0"/>
        <w:ind w:left="-567"/>
        <w:jc w:val="both"/>
        <w:textAlignment w:val="baseline"/>
        <w:rPr>
          <w:rFonts w:cs="Arial"/>
          <w:color w:val="000000" w:themeColor="text1"/>
          <w:szCs w:val="20"/>
          <w:lang w:val="sl-SI"/>
        </w:rPr>
      </w:pPr>
    </w:p>
    <w:p w:rsidR="007751B5" w:rsidRPr="007751B5" w:rsidRDefault="007751B5" w:rsidP="00294D0C">
      <w:pPr>
        <w:overflowPunct w:val="0"/>
        <w:autoSpaceDE w:val="0"/>
        <w:autoSpaceDN w:val="0"/>
        <w:adjustRightInd w:val="0"/>
        <w:ind w:left="-567"/>
        <w:jc w:val="both"/>
        <w:textAlignment w:val="baseline"/>
        <w:rPr>
          <w:rFonts w:cs="Arial"/>
          <w:color w:val="000000" w:themeColor="text1"/>
          <w:szCs w:val="20"/>
          <w:lang w:val="sl-SI"/>
        </w:rPr>
      </w:pPr>
      <w:r w:rsidRPr="007751B5">
        <w:rPr>
          <w:rFonts w:cs="Arial"/>
          <w:color w:val="000000" w:themeColor="text1"/>
          <w:szCs w:val="20"/>
          <w:lang w:val="sl-SI"/>
        </w:rPr>
        <w:t>»Dodatek za opravljanje finančnih nalog znaša 304,21 eura. Dodatek za opravljanje varnostnih ter drugih nalog znaša 200,00 eurov.«.</w:t>
      </w:r>
    </w:p>
    <w:p w:rsidR="007751B5" w:rsidRPr="007751B5" w:rsidRDefault="007751B5" w:rsidP="00294D0C">
      <w:pPr>
        <w:autoSpaceDE w:val="0"/>
        <w:autoSpaceDN w:val="0"/>
        <w:adjustRightInd w:val="0"/>
        <w:ind w:left="-567"/>
        <w:rPr>
          <w:rFonts w:eastAsia="Calibri" w:cs="Arial"/>
          <w:b/>
          <w:color w:val="000000" w:themeColor="text1"/>
          <w:szCs w:val="20"/>
          <w:lang w:val="sl-SI"/>
        </w:rPr>
      </w:pPr>
    </w:p>
    <w:p w:rsidR="007751B5" w:rsidRPr="007751B5" w:rsidRDefault="007751B5" w:rsidP="00294D0C">
      <w:pPr>
        <w:autoSpaceDE w:val="0"/>
        <w:autoSpaceDN w:val="0"/>
        <w:adjustRightInd w:val="0"/>
        <w:jc w:val="center"/>
        <w:rPr>
          <w:rFonts w:eastAsia="Calibri" w:cs="Arial"/>
          <w:b/>
          <w:color w:val="000000" w:themeColor="text1"/>
          <w:szCs w:val="20"/>
          <w:lang w:val="sl-SI"/>
        </w:rPr>
      </w:pPr>
      <w:r w:rsidRPr="007751B5">
        <w:rPr>
          <w:rFonts w:eastAsia="Calibri" w:cs="Arial"/>
          <w:b/>
          <w:color w:val="000000" w:themeColor="text1"/>
          <w:szCs w:val="20"/>
          <w:lang w:val="sl-SI"/>
        </w:rPr>
        <w:t>4. člen</w:t>
      </w:r>
    </w:p>
    <w:p w:rsidR="00294D0C" w:rsidRDefault="00294D0C" w:rsidP="00294D0C">
      <w:pPr>
        <w:ind w:left="-567"/>
        <w:jc w:val="both"/>
        <w:rPr>
          <w:rFonts w:cs="Arial"/>
          <w:color w:val="000000" w:themeColor="text1"/>
          <w:szCs w:val="20"/>
          <w:lang w:val="sl-SI"/>
        </w:rPr>
      </w:pPr>
    </w:p>
    <w:p w:rsidR="007751B5" w:rsidRPr="00294D0C" w:rsidRDefault="007751B5" w:rsidP="00294D0C">
      <w:pPr>
        <w:ind w:left="-567"/>
        <w:jc w:val="both"/>
        <w:rPr>
          <w:rFonts w:cs="Arial"/>
          <w:color w:val="000000" w:themeColor="text1"/>
          <w:szCs w:val="20"/>
          <w:lang w:val="sl-SI"/>
        </w:rPr>
      </w:pPr>
      <w:r w:rsidRPr="007751B5">
        <w:rPr>
          <w:rFonts w:cs="Arial"/>
          <w:color w:val="000000" w:themeColor="text1"/>
          <w:szCs w:val="20"/>
          <w:lang w:val="sl-SI"/>
        </w:rPr>
        <w:t>V 22. členu se v šestem odstavku črta besedilo »pete,« in »,</w:t>
      </w:r>
      <w:r w:rsidR="00A865DE">
        <w:rPr>
          <w:rFonts w:cs="Arial"/>
          <w:color w:val="000000" w:themeColor="text1"/>
          <w:szCs w:val="20"/>
          <w:lang w:val="sl-SI"/>
        </w:rPr>
        <w:t xml:space="preserve"> </w:t>
      </w:r>
      <w:r w:rsidRPr="007751B5">
        <w:rPr>
          <w:rFonts w:cs="Arial"/>
          <w:color w:val="000000" w:themeColor="text1"/>
          <w:szCs w:val="20"/>
          <w:lang w:val="sl-SI"/>
        </w:rPr>
        <w:t>osemnajste«.</w:t>
      </w:r>
    </w:p>
    <w:p w:rsidR="00480AFF" w:rsidRDefault="00480AFF" w:rsidP="00294D0C">
      <w:pPr>
        <w:autoSpaceDE w:val="0"/>
        <w:autoSpaceDN w:val="0"/>
        <w:adjustRightInd w:val="0"/>
        <w:ind w:left="-567"/>
        <w:jc w:val="center"/>
        <w:rPr>
          <w:rFonts w:eastAsia="Calibri" w:cs="Arial"/>
          <w:b/>
          <w:color w:val="000000" w:themeColor="text1"/>
          <w:szCs w:val="20"/>
          <w:lang w:val="sl-SI"/>
        </w:rPr>
      </w:pPr>
    </w:p>
    <w:p w:rsidR="007751B5" w:rsidRDefault="007751B5" w:rsidP="00A865DE">
      <w:pPr>
        <w:autoSpaceDE w:val="0"/>
        <w:autoSpaceDN w:val="0"/>
        <w:adjustRightInd w:val="0"/>
        <w:jc w:val="center"/>
        <w:rPr>
          <w:rFonts w:eastAsia="Calibri" w:cs="Arial"/>
          <w:b/>
          <w:color w:val="000000" w:themeColor="text1"/>
          <w:szCs w:val="20"/>
          <w:lang w:val="sl-SI"/>
        </w:rPr>
      </w:pPr>
      <w:r w:rsidRPr="007751B5">
        <w:rPr>
          <w:rFonts w:eastAsia="Calibri" w:cs="Arial"/>
          <w:b/>
          <w:color w:val="000000" w:themeColor="text1"/>
          <w:szCs w:val="20"/>
          <w:lang w:val="sl-SI"/>
        </w:rPr>
        <w:t>5. člen</w:t>
      </w:r>
      <w:bookmarkStart w:id="7" w:name="_Hlk13736175"/>
      <w:bookmarkEnd w:id="4"/>
    </w:p>
    <w:p w:rsidR="00294D0C" w:rsidRPr="007751B5" w:rsidRDefault="00294D0C" w:rsidP="00294D0C">
      <w:pPr>
        <w:autoSpaceDE w:val="0"/>
        <w:autoSpaceDN w:val="0"/>
        <w:adjustRightInd w:val="0"/>
        <w:ind w:left="-567"/>
        <w:jc w:val="center"/>
        <w:rPr>
          <w:rFonts w:eastAsia="Calibri" w:cs="Arial"/>
          <w:b/>
          <w:color w:val="000000" w:themeColor="text1"/>
          <w:szCs w:val="20"/>
          <w:lang w:val="sl-SI"/>
        </w:rPr>
      </w:pPr>
    </w:p>
    <w:p w:rsidR="007751B5" w:rsidRPr="007751B5" w:rsidRDefault="007751B5" w:rsidP="00294D0C">
      <w:pPr>
        <w:autoSpaceDE w:val="0"/>
        <w:autoSpaceDN w:val="0"/>
        <w:adjustRightInd w:val="0"/>
        <w:ind w:left="-567"/>
        <w:jc w:val="both"/>
        <w:rPr>
          <w:rFonts w:cs="Arial"/>
          <w:color w:val="000000" w:themeColor="text1"/>
          <w:szCs w:val="20"/>
          <w:lang w:val="sl-SI" w:eastAsia="sl-SI"/>
        </w:rPr>
      </w:pPr>
      <w:r w:rsidRPr="007751B5">
        <w:rPr>
          <w:rFonts w:cs="Arial"/>
          <w:color w:val="000000" w:themeColor="text1"/>
          <w:szCs w:val="20"/>
          <w:lang w:val="sl-SI" w:eastAsia="sl-SI"/>
        </w:rPr>
        <w:lastRenderedPageBreak/>
        <w:t xml:space="preserve">V 32. členu se v drugem odstavku besedilo »srednji tečaj Banke Slovenije« nadomesti z besedilom </w:t>
      </w:r>
      <w:r w:rsidRPr="007751B5">
        <w:rPr>
          <w:rFonts w:cs="Arial"/>
          <w:color w:val="000000" w:themeColor="text1"/>
          <w:szCs w:val="20"/>
          <w:lang w:val="sl-SI"/>
        </w:rPr>
        <w:t>»referenčni tečaj Evropske centralne banke, ki ga objavlja Banka Slovenije</w:t>
      </w:r>
      <w:r w:rsidR="004122BB">
        <w:rPr>
          <w:rFonts w:cs="Arial"/>
          <w:color w:val="000000" w:themeColor="text1"/>
          <w:szCs w:val="20"/>
          <w:lang w:val="sl-SI"/>
        </w:rPr>
        <w:t>,</w:t>
      </w:r>
      <w:r w:rsidRPr="007751B5">
        <w:rPr>
          <w:rFonts w:cs="Arial"/>
          <w:color w:val="000000" w:themeColor="text1"/>
          <w:szCs w:val="20"/>
          <w:lang w:val="sl-SI" w:eastAsia="sl-SI"/>
        </w:rPr>
        <w:t>«.</w:t>
      </w:r>
    </w:p>
    <w:p w:rsidR="00294D0C" w:rsidRDefault="00294D0C" w:rsidP="00294D0C">
      <w:pPr>
        <w:autoSpaceDE w:val="0"/>
        <w:autoSpaceDN w:val="0"/>
        <w:adjustRightInd w:val="0"/>
        <w:ind w:left="-567"/>
        <w:jc w:val="both"/>
        <w:rPr>
          <w:rFonts w:cs="Arial"/>
          <w:color w:val="000000" w:themeColor="text1"/>
          <w:szCs w:val="20"/>
          <w:lang w:val="sl-SI" w:eastAsia="sl-SI"/>
        </w:rPr>
      </w:pPr>
    </w:p>
    <w:p w:rsidR="007751B5" w:rsidRDefault="007751B5" w:rsidP="00AF0E2E">
      <w:pPr>
        <w:autoSpaceDE w:val="0"/>
        <w:autoSpaceDN w:val="0"/>
        <w:adjustRightInd w:val="0"/>
        <w:ind w:left="-567"/>
        <w:jc w:val="both"/>
        <w:rPr>
          <w:rFonts w:cs="Arial"/>
          <w:color w:val="000000" w:themeColor="text1"/>
          <w:szCs w:val="20"/>
          <w:lang w:val="sl-SI" w:eastAsia="sl-SI"/>
        </w:rPr>
      </w:pPr>
      <w:r w:rsidRPr="007751B5">
        <w:rPr>
          <w:rFonts w:cs="Arial"/>
          <w:color w:val="000000" w:themeColor="text1"/>
          <w:szCs w:val="20"/>
          <w:lang w:val="sl-SI" w:eastAsia="sl-SI"/>
        </w:rPr>
        <w:t>V devetem odstavku</w:t>
      </w:r>
      <w:r w:rsidR="004122BB">
        <w:rPr>
          <w:rFonts w:cs="Arial"/>
          <w:color w:val="000000" w:themeColor="text1"/>
          <w:szCs w:val="20"/>
          <w:lang w:val="sl-SI" w:eastAsia="sl-SI"/>
        </w:rPr>
        <w:t xml:space="preserve"> </w:t>
      </w:r>
      <w:r w:rsidRPr="007751B5">
        <w:rPr>
          <w:rFonts w:cs="Arial"/>
          <w:color w:val="000000" w:themeColor="text1"/>
          <w:szCs w:val="20"/>
          <w:lang w:val="sl-SI" w:eastAsia="sl-SI"/>
        </w:rPr>
        <w:t>se</w:t>
      </w:r>
      <w:r w:rsidR="00CF322E">
        <w:rPr>
          <w:rFonts w:cs="Arial"/>
          <w:color w:val="000000" w:themeColor="text1"/>
          <w:szCs w:val="20"/>
          <w:lang w:val="sl-SI" w:eastAsia="sl-SI"/>
        </w:rPr>
        <w:t xml:space="preserve"> v</w:t>
      </w:r>
      <w:r w:rsidRPr="007751B5">
        <w:rPr>
          <w:rFonts w:cs="Arial"/>
          <w:color w:val="000000" w:themeColor="text1"/>
          <w:szCs w:val="20"/>
          <w:lang w:val="sl-SI" w:eastAsia="sl-SI"/>
        </w:rPr>
        <w:t xml:space="preserve"> </w:t>
      </w:r>
      <w:r w:rsidR="00CF322E">
        <w:rPr>
          <w:rFonts w:cs="Arial"/>
          <w:color w:val="000000" w:themeColor="text1"/>
          <w:szCs w:val="20"/>
          <w:lang w:val="sl-SI" w:eastAsia="sl-SI"/>
        </w:rPr>
        <w:t>prvem stavku besedilo »</w:t>
      </w:r>
      <w:r w:rsidR="00CF322E" w:rsidRPr="00CF322E">
        <w:rPr>
          <w:rFonts w:cs="Arial"/>
          <w:color w:val="000000" w:themeColor="text1"/>
          <w:szCs w:val="20"/>
          <w:lang w:val="sl-SI" w:eastAsia="sl-SI"/>
        </w:rPr>
        <w:t>Učiteljem slovenščine in lektorjem na tujih univerzah</w:t>
      </w:r>
      <w:r w:rsidR="00CF322E">
        <w:rPr>
          <w:rFonts w:cs="Arial"/>
          <w:color w:val="000000" w:themeColor="text1"/>
          <w:szCs w:val="20"/>
          <w:lang w:val="sl-SI" w:eastAsia="sl-SI"/>
        </w:rPr>
        <w:t>« nadomesti z besedilom »</w:t>
      </w:r>
      <w:r w:rsidR="00AF0E2E">
        <w:rPr>
          <w:rFonts w:cs="Arial"/>
          <w:color w:val="000000" w:themeColor="text1"/>
          <w:szCs w:val="20"/>
          <w:lang w:val="sl-SI" w:eastAsia="sl-SI"/>
        </w:rPr>
        <w:t>U</w:t>
      </w:r>
      <w:r w:rsidR="00CF322E" w:rsidRPr="00CF322E">
        <w:rPr>
          <w:rFonts w:cs="Arial"/>
          <w:color w:val="000000" w:themeColor="text1"/>
          <w:szCs w:val="20"/>
          <w:lang w:val="sl-SI" w:eastAsia="sl-SI"/>
        </w:rPr>
        <w:t>čiteljem slovenščine</w:t>
      </w:r>
      <w:r w:rsidR="004122BB">
        <w:rPr>
          <w:rFonts w:cs="Arial"/>
          <w:color w:val="000000" w:themeColor="text1"/>
          <w:szCs w:val="20"/>
          <w:lang w:val="sl-SI" w:eastAsia="sl-SI"/>
        </w:rPr>
        <w:t xml:space="preserve"> in</w:t>
      </w:r>
      <w:r w:rsidR="00CF322E" w:rsidRPr="00CF322E">
        <w:rPr>
          <w:rFonts w:cs="Arial"/>
          <w:color w:val="000000" w:themeColor="text1"/>
          <w:szCs w:val="20"/>
          <w:lang w:val="sl-SI" w:eastAsia="sl-SI"/>
        </w:rPr>
        <w:t xml:space="preserve"> lektorjem na tujih univerzah</w:t>
      </w:r>
      <w:r w:rsidR="004122BB">
        <w:rPr>
          <w:rFonts w:cs="Arial"/>
          <w:color w:val="000000" w:themeColor="text1"/>
          <w:szCs w:val="20"/>
          <w:lang w:val="sl-SI" w:eastAsia="sl-SI"/>
        </w:rPr>
        <w:t xml:space="preserve"> ter drugim</w:t>
      </w:r>
      <w:r w:rsidR="00AF0E2E">
        <w:rPr>
          <w:rFonts w:cs="Arial"/>
          <w:color w:val="000000" w:themeColor="text1"/>
          <w:szCs w:val="20"/>
          <w:lang w:val="sl-SI" w:eastAsia="sl-SI"/>
        </w:rPr>
        <w:t xml:space="preserve"> učitelje</w:t>
      </w:r>
      <w:r w:rsidR="004122BB">
        <w:rPr>
          <w:rFonts w:cs="Arial"/>
          <w:color w:val="000000" w:themeColor="text1"/>
          <w:szCs w:val="20"/>
          <w:lang w:val="sl-SI" w:eastAsia="sl-SI"/>
        </w:rPr>
        <w:t>m</w:t>
      </w:r>
      <w:r w:rsidR="00AF0E2E">
        <w:rPr>
          <w:rFonts w:cs="Arial"/>
          <w:color w:val="000000" w:themeColor="text1"/>
          <w:szCs w:val="20"/>
          <w:lang w:val="sl-SI" w:eastAsia="sl-SI"/>
        </w:rPr>
        <w:t xml:space="preserve"> na delu v tujini«. Drugi stavek</w:t>
      </w:r>
      <w:r w:rsidR="00CF322E">
        <w:rPr>
          <w:rFonts w:cs="Arial"/>
          <w:color w:val="000000" w:themeColor="text1"/>
          <w:szCs w:val="20"/>
          <w:lang w:val="sl-SI" w:eastAsia="sl-SI"/>
        </w:rPr>
        <w:t xml:space="preserve"> devet</w:t>
      </w:r>
      <w:r w:rsidR="00AF0E2E">
        <w:rPr>
          <w:rFonts w:cs="Arial"/>
          <w:color w:val="000000" w:themeColor="text1"/>
          <w:szCs w:val="20"/>
          <w:lang w:val="sl-SI" w:eastAsia="sl-SI"/>
        </w:rPr>
        <w:t>ega</w:t>
      </w:r>
      <w:r w:rsidR="00CF322E">
        <w:rPr>
          <w:rFonts w:cs="Arial"/>
          <w:color w:val="000000" w:themeColor="text1"/>
          <w:szCs w:val="20"/>
          <w:lang w:val="sl-SI" w:eastAsia="sl-SI"/>
        </w:rPr>
        <w:t xml:space="preserve"> odstavk</w:t>
      </w:r>
      <w:r w:rsidR="00AF0E2E">
        <w:rPr>
          <w:rFonts w:cs="Arial"/>
          <w:color w:val="000000" w:themeColor="text1"/>
          <w:szCs w:val="20"/>
          <w:lang w:val="sl-SI" w:eastAsia="sl-SI"/>
        </w:rPr>
        <w:t>a se</w:t>
      </w:r>
      <w:r w:rsidR="00CF322E">
        <w:rPr>
          <w:rFonts w:cs="Arial"/>
          <w:color w:val="000000" w:themeColor="text1"/>
          <w:szCs w:val="20"/>
          <w:lang w:val="sl-SI" w:eastAsia="sl-SI"/>
        </w:rPr>
        <w:t xml:space="preserve"> </w:t>
      </w:r>
      <w:r w:rsidRPr="007751B5">
        <w:rPr>
          <w:rFonts w:cs="Arial"/>
          <w:color w:val="000000" w:themeColor="text1"/>
          <w:szCs w:val="20"/>
          <w:lang w:val="sl-SI" w:eastAsia="sl-SI"/>
        </w:rPr>
        <w:t>črta.</w:t>
      </w:r>
      <w:bookmarkEnd w:id="7"/>
    </w:p>
    <w:p w:rsidR="00A865DE" w:rsidRPr="007751B5" w:rsidRDefault="00A865DE" w:rsidP="00294D0C">
      <w:pPr>
        <w:autoSpaceDE w:val="0"/>
        <w:autoSpaceDN w:val="0"/>
        <w:adjustRightInd w:val="0"/>
        <w:ind w:left="-567"/>
        <w:jc w:val="both"/>
        <w:rPr>
          <w:rFonts w:eastAsia="Calibri" w:cs="Arial"/>
          <w:color w:val="000000" w:themeColor="text1"/>
          <w:szCs w:val="20"/>
          <w:lang w:val="sl-SI"/>
        </w:rPr>
      </w:pPr>
    </w:p>
    <w:p w:rsidR="007751B5" w:rsidRDefault="007751B5" w:rsidP="00294D0C">
      <w:pPr>
        <w:autoSpaceDE w:val="0"/>
        <w:autoSpaceDN w:val="0"/>
        <w:adjustRightInd w:val="0"/>
        <w:ind w:left="-567"/>
        <w:jc w:val="center"/>
        <w:rPr>
          <w:rFonts w:eastAsia="Calibri" w:cs="Arial"/>
          <w:b/>
          <w:color w:val="000000" w:themeColor="text1"/>
          <w:szCs w:val="20"/>
          <w:lang w:val="sl-SI"/>
        </w:rPr>
      </w:pPr>
      <w:r w:rsidRPr="007751B5">
        <w:rPr>
          <w:rFonts w:eastAsia="Calibri" w:cs="Arial"/>
          <w:b/>
          <w:color w:val="000000" w:themeColor="text1"/>
          <w:szCs w:val="20"/>
          <w:lang w:val="sl-SI"/>
        </w:rPr>
        <w:t>PREHODNA IN KONČNA DOLOČBA</w:t>
      </w:r>
      <w:bookmarkStart w:id="8" w:name="_Hlk11735257"/>
    </w:p>
    <w:p w:rsidR="00480AFF" w:rsidRPr="007751B5" w:rsidRDefault="00480AFF" w:rsidP="00CF430C">
      <w:pPr>
        <w:autoSpaceDE w:val="0"/>
        <w:autoSpaceDN w:val="0"/>
        <w:adjustRightInd w:val="0"/>
        <w:jc w:val="both"/>
        <w:rPr>
          <w:rFonts w:eastAsia="Calibri" w:cs="Arial"/>
          <w:color w:val="000000" w:themeColor="text1"/>
          <w:szCs w:val="20"/>
          <w:lang w:val="sl-SI"/>
        </w:rPr>
      </w:pPr>
    </w:p>
    <w:p w:rsidR="007751B5" w:rsidRDefault="00CF322E" w:rsidP="00294D0C">
      <w:pPr>
        <w:autoSpaceDE w:val="0"/>
        <w:autoSpaceDN w:val="0"/>
        <w:adjustRightInd w:val="0"/>
        <w:ind w:left="-567"/>
        <w:jc w:val="center"/>
        <w:rPr>
          <w:rFonts w:eastAsia="Calibri" w:cs="Arial"/>
          <w:b/>
          <w:color w:val="000000" w:themeColor="text1"/>
          <w:szCs w:val="20"/>
          <w:lang w:val="sl-SI"/>
        </w:rPr>
      </w:pPr>
      <w:r>
        <w:rPr>
          <w:rFonts w:eastAsia="Calibri" w:cs="Arial"/>
          <w:b/>
          <w:color w:val="000000" w:themeColor="text1"/>
          <w:szCs w:val="20"/>
          <w:lang w:val="sl-SI"/>
        </w:rPr>
        <w:t>6</w:t>
      </w:r>
      <w:r w:rsidR="007751B5" w:rsidRPr="007751B5">
        <w:rPr>
          <w:rFonts w:eastAsia="Calibri" w:cs="Arial"/>
          <w:b/>
          <w:color w:val="000000" w:themeColor="text1"/>
          <w:szCs w:val="20"/>
          <w:lang w:val="sl-SI"/>
        </w:rPr>
        <w:t>. člen</w:t>
      </w:r>
    </w:p>
    <w:p w:rsidR="00480AFF" w:rsidRPr="007751B5" w:rsidRDefault="00480AFF" w:rsidP="00294D0C">
      <w:pPr>
        <w:autoSpaceDE w:val="0"/>
        <w:autoSpaceDN w:val="0"/>
        <w:adjustRightInd w:val="0"/>
        <w:ind w:left="-567"/>
        <w:jc w:val="center"/>
        <w:rPr>
          <w:rFonts w:eastAsia="Calibri" w:cs="Arial"/>
          <w:b/>
          <w:color w:val="000000" w:themeColor="text1"/>
          <w:szCs w:val="20"/>
          <w:lang w:val="sl-SI"/>
        </w:rPr>
      </w:pPr>
    </w:p>
    <w:p w:rsidR="007751B5" w:rsidRPr="007751B5" w:rsidRDefault="007751B5" w:rsidP="00294D0C">
      <w:pPr>
        <w:ind w:left="-567"/>
        <w:jc w:val="both"/>
        <w:rPr>
          <w:rFonts w:cs="Arial"/>
          <w:color w:val="000000" w:themeColor="text1"/>
          <w:szCs w:val="20"/>
          <w:lang w:val="sl-SI"/>
        </w:rPr>
      </w:pPr>
      <w:r w:rsidRPr="007751B5">
        <w:rPr>
          <w:rFonts w:cs="Arial"/>
          <w:color w:val="000000" w:themeColor="text1"/>
          <w:szCs w:val="20"/>
          <w:lang w:val="sl-SI"/>
        </w:rPr>
        <w:t>Ne glede na določbo 3. člena te uredbe se javnim uslužbencem, ki bi jim po tej uredbi pripadal dodatek za opravljanje dodatnih nalog v nižjem znesku, kot ga prejemajo do uveljavitve te uredbe, do poteka razporeditve na delo v tujini izplačuje dodatek za opravljanje dodatnih nalog v višini, kot je bila določena pred uveljavitvijo te uredbe.</w:t>
      </w:r>
    </w:p>
    <w:p w:rsidR="007751B5" w:rsidRPr="007751B5" w:rsidRDefault="007751B5" w:rsidP="00294D0C">
      <w:pPr>
        <w:autoSpaceDE w:val="0"/>
        <w:autoSpaceDN w:val="0"/>
        <w:adjustRightInd w:val="0"/>
        <w:ind w:left="-567"/>
        <w:jc w:val="both"/>
        <w:rPr>
          <w:rFonts w:cs="Arial"/>
          <w:color w:val="000000" w:themeColor="text1"/>
          <w:szCs w:val="20"/>
          <w:lang w:val="sl-SI" w:eastAsia="sl-SI"/>
        </w:rPr>
      </w:pPr>
      <w:r w:rsidRPr="007751B5">
        <w:rPr>
          <w:rFonts w:cs="Arial"/>
          <w:color w:val="000000" w:themeColor="text1"/>
          <w:szCs w:val="20"/>
          <w:lang w:val="sl-SI" w:eastAsia="sl-SI"/>
        </w:rPr>
        <w:t xml:space="preserve"> </w:t>
      </w:r>
    </w:p>
    <w:p w:rsidR="007751B5" w:rsidRDefault="00CF322E" w:rsidP="00294D0C">
      <w:pPr>
        <w:autoSpaceDE w:val="0"/>
        <w:autoSpaceDN w:val="0"/>
        <w:adjustRightInd w:val="0"/>
        <w:ind w:left="-567"/>
        <w:jc w:val="center"/>
        <w:rPr>
          <w:rFonts w:eastAsia="Calibri" w:cs="Arial"/>
          <w:b/>
          <w:color w:val="000000" w:themeColor="text1"/>
          <w:szCs w:val="20"/>
          <w:lang w:val="sl-SI"/>
        </w:rPr>
      </w:pPr>
      <w:r>
        <w:rPr>
          <w:rFonts w:eastAsia="Calibri" w:cs="Arial"/>
          <w:b/>
          <w:color w:val="000000" w:themeColor="text1"/>
          <w:szCs w:val="20"/>
          <w:lang w:val="sl-SI"/>
        </w:rPr>
        <w:t>7</w:t>
      </w:r>
      <w:r w:rsidR="007751B5" w:rsidRPr="007751B5">
        <w:rPr>
          <w:rFonts w:eastAsia="Calibri" w:cs="Arial"/>
          <w:b/>
          <w:color w:val="000000" w:themeColor="text1"/>
          <w:szCs w:val="20"/>
          <w:lang w:val="sl-SI"/>
        </w:rPr>
        <w:t>. člen</w:t>
      </w:r>
    </w:p>
    <w:p w:rsidR="00480AFF" w:rsidRPr="007751B5" w:rsidRDefault="00480AFF" w:rsidP="00294D0C">
      <w:pPr>
        <w:autoSpaceDE w:val="0"/>
        <w:autoSpaceDN w:val="0"/>
        <w:adjustRightInd w:val="0"/>
        <w:ind w:left="-567"/>
        <w:jc w:val="center"/>
        <w:rPr>
          <w:rFonts w:eastAsia="Calibri" w:cs="Arial"/>
          <w:b/>
          <w:color w:val="000000" w:themeColor="text1"/>
          <w:szCs w:val="20"/>
          <w:lang w:val="sl-SI"/>
        </w:rPr>
      </w:pPr>
    </w:p>
    <w:bookmarkEnd w:id="8"/>
    <w:p w:rsidR="007751B5" w:rsidRDefault="007751B5" w:rsidP="00294D0C">
      <w:pPr>
        <w:ind w:left="-567"/>
        <w:jc w:val="both"/>
        <w:rPr>
          <w:rFonts w:cs="Arial"/>
          <w:color w:val="000000" w:themeColor="text1"/>
          <w:szCs w:val="20"/>
          <w:lang w:val="sl-SI"/>
        </w:rPr>
      </w:pPr>
      <w:r w:rsidRPr="007751B5">
        <w:rPr>
          <w:rFonts w:cs="Arial"/>
          <w:color w:val="000000" w:themeColor="text1"/>
          <w:szCs w:val="20"/>
          <w:lang w:val="sl-SI"/>
        </w:rPr>
        <w:t>Ta uredba začne veljati 1. februarja 2020.</w:t>
      </w:r>
    </w:p>
    <w:p w:rsidR="00480AFF" w:rsidRDefault="00480AFF" w:rsidP="00294D0C">
      <w:pPr>
        <w:ind w:left="-567"/>
        <w:jc w:val="both"/>
        <w:rPr>
          <w:rFonts w:cs="Arial"/>
          <w:color w:val="000000" w:themeColor="text1"/>
          <w:szCs w:val="20"/>
          <w:lang w:val="sl-SI"/>
        </w:rPr>
      </w:pPr>
    </w:p>
    <w:p w:rsidR="00480AFF" w:rsidRPr="007751B5" w:rsidRDefault="00480AFF" w:rsidP="00294D0C">
      <w:pPr>
        <w:ind w:left="-567"/>
        <w:jc w:val="both"/>
        <w:rPr>
          <w:rFonts w:cs="Arial"/>
          <w:color w:val="000000" w:themeColor="text1"/>
          <w:szCs w:val="20"/>
          <w:lang w:val="sl-SI"/>
        </w:rPr>
      </w:pPr>
    </w:p>
    <w:p w:rsidR="007751B5" w:rsidRDefault="007751B5" w:rsidP="00294D0C">
      <w:pPr>
        <w:ind w:left="-567"/>
        <w:jc w:val="center"/>
        <w:rPr>
          <w:rFonts w:eastAsia="SimSun" w:cs="Arial"/>
          <w:color w:val="000000" w:themeColor="text1"/>
          <w:szCs w:val="20"/>
          <w:lang w:val="sl-SI" w:eastAsia="zh-CN"/>
        </w:rPr>
      </w:pPr>
      <w:r>
        <w:rPr>
          <w:rFonts w:eastAsia="SimSun" w:cs="Arial"/>
          <w:color w:val="000000" w:themeColor="text1"/>
          <w:szCs w:val="20"/>
          <w:lang w:val="sl-SI" w:eastAsia="zh-CN"/>
        </w:rPr>
        <w:t xml:space="preserve">                                                                                              </w:t>
      </w:r>
      <w:r w:rsidRPr="007751B5">
        <w:rPr>
          <w:rFonts w:eastAsia="SimSun" w:cs="Arial"/>
          <w:color w:val="000000" w:themeColor="text1"/>
          <w:szCs w:val="20"/>
          <w:lang w:val="sl-SI" w:eastAsia="zh-CN"/>
        </w:rPr>
        <w:t>Vlada Republike Slovenije</w:t>
      </w:r>
    </w:p>
    <w:p w:rsidR="00294D0C" w:rsidRPr="007751B5" w:rsidRDefault="00294D0C" w:rsidP="00294D0C">
      <w:pPr>
        <w:ind w:left="-567"/>
        <w:jc w:val="center"/>
        <w:rPr>
          <w:rFonts w:eastAsia="SimSun" w:cs="Arial"/>
          <w:color w:val="000000" w:themeColor="text1"/>
          <w:szCs w:val="20"/>
          <w:lang w:val="sl-SI" w:eastAsia="zh-CN"/>
        </w:rPr>
      </w:pPr>
    </w:p>
    <w:p w:rsidR="007751B5" w:rsidRDefault="007751B5" w:rsidP="00294D0C">
      <w:pPr>
        <w:ind w:left="-567"/>
        <w:jc w:val="center"/>
        <w:rPr>
          <w:rFonts w:eastAsia="SimSun" w:cs="Arial"/>
          <w:color w:val="000000" w:themeColor="text1"/>
          <w:szCs w:val="20"/>
          <w:lang w:val="sl-SI" w:eastAsia="zh-CN"/>
        </w:rPr>
      </w:pPr>
      <w:r>
        <w:rPr>
          <w:rFonts w:eastAsia="SimSun" w:cs="Arial"/>
          <w:color w:val="000000" w:themeColor="text1"/>
          <w:szCs w:val="20"/>
          <w:lang w:val="sl-SI" w:eastAsia="zh-CN"/>
        </w:rPr>
        <w:t xml:space="preserve">                                                                                                 </w:t>
      </w:r>
      <w:r w:rsidRPr="007751B5">
        <w:rPr>
          <w:rFonts w:eastAsia="SimSun" w:cs="Arial"/>
          <w:color w:val="000000" w:themeColor="text1"/>
          <w:szCs w:val="20"/>
          <w:lang w:val="sl-SI" w:eastAsia="zh-CN"/>
        </w:rPr>
        <w:t xml:space="preserve">  Marjan Šarec</w:t>
      </w:r>
    </w:p>
    <w:p w:rsidR="00294D0C" w:rsidRPr="007751B5" w:rsidRDefault="00294D0C" w:rsidP="00294D0C">
      <w:pPr>
        <w:ind w:left="-567"/>
        <w:jc w:val="center"/>
        <w:rPr>
          <w:rFonts w:eastAsia="SimSun" w:cs="Arial"/>
          <w:color w:val="000000" w:themeColor="text1"/>
          <w:szCs w:val="20"/>
          <w:lang w:val="sl-SI" w:eastAsia="zh-CN"/>
        </w:rPr>
      </w:pPr>
    </w:p>
    <w:p w:rsidR="007751B5" w:rsidRPr="007751B5" w:rsidRDefault="007751B5" w:rsidP="00294D0C">
      <w:pPr>
        <w:ind w:left="-567"/>
        <w:jc w:val="center"/>
        <w:rPr>
          <w:rFonts w:eastAsia="Calibri" w:cs="Arial"/>
          <w:color w:val="000000" w:themeColor="text1"/>
          <w:szCs w:val="20"/>
          <w:lang w:val="sl-SI"/>
        </w:rPr>
      </w:pPr>
      <w:r w:rsidRPr="007751B5">
        <w:rPr>
          <w:rFonts w:eastAsia="SimSun" w:cs="Arial"/>
          <w:color w:val="000000" w:themeColor="text1"/>
          <w:szCs w:val="20"/>
          <w:lang w:val="sl-SI" w:eastAsia="zh-CN"/>
        </w:rPr>
        <w:t xml:space="preserve"> </w:t>
      </w:r>
      <w:r>
        <w:rPr>
          <w:rFonts w:eastAsia="SimSun" w:cs="Arial"/>
          <w:color w:val="000000" w:themeColor="text1"/>
          <w:szCs w:val="20"/>
          <w:lang w:val="sl-SI" w:eastAsia="zh-CN"/>
        </w:rPr>
        <w:t xml:space="preserve">                                                                                                   </w:t>
      </w:r>
      <w:r w:rsidRPr="007751B5">
        <w:rPr>
          <w:rFonts w:eastAsia="SimSun" w:cs="Arial"/>
          <w:color w:val="000000" w:themeColor="text1"/>
          <w:szCs w:val="20"/>
          <w:lang w:val="sl-SI" w:eastAsia="zh-CN"/>
        </w:rPr>
        <w:t xml:space="preserve">  predsednik</w:t>
      </w:r>
    </w:p>
    <w:p w:rsidR="00480AFF" w:rsidRDefault="00480AFF" w:rsidP="00294D0C">
      <w:pPr>
        <w:ind w:left="-567"/>
        <w:jc w:val="both"/>
        <w:rPr>
          <w:rFonts w:eastAsia="Calibri" w:cs="Arial"/>
          <w:color w:val="000000" w:themeColor="text1"/>
          <w:szCs w:val="20"/>
          <w:lang w:val="sl-SI"/>
        </w:rPr>
      </w:pPr>
    </w:p>
    <w:p w:rsidR="00480AFF" w:rsidRDefault="00480AFF" w:rsidP="00294D0C">
      <w:pPr>
        <w:ind w:left="-567"/>
        <w:jc w:val="both"/>
        <w:rPr>
          <w:rFonts w:eastAsia="Calibri" w:cs="Arial"/>
          <w:color w:val="000000" w:themeColor="text1"/>
          <w:szCs w:val="20"/>
          <w:lang w:val="sl-SI"/>
        </w:rPr>
      </w:pPr>
    </w:p>
    <w:p w:rsidR="00480AFF" w:rsidRDefault="00480AFF" w:rsidP="00294D0C">
      <w:pPr>
        <w:ind w:left="-567"/>
        <w:jc w:val="both"/>
        <w:rPr>
          <w:rFonts w:eastAsia="Calibri" w:cs="Arial"/>
          <w:color w:val="000000" w:themeColor="text1"/>
          <w:szCs w:val="20"/>
          <w:lang w:val="sl-SI"/>
        </w:rPr>
      </w:pPr>
    </w:p>
    <w:p w:rsidR="007751B5" w:rsidRDefault="007751B5" w:rsidP="00294D0C">
      <w:pPr>
        <w:ind w:left="-567"/>
        <w:jc w:val="both"/>
        <w:rPr>
          <w:rFonts w:eastAsia="Calibri" w:cs="Arial"/>
          <w:color w:val="000000" w:themeColor="text1"/>
          <w:szCs w:val="20"/>
          <w:lang w:val="sl-SI"/>
        </w:rPr>
      </w:pPr>
      <w:r w:rsidRPr="007751B5">
        <w:rPr>
          <w:rFonts w:eastAsia="Calibri" w:cs="Arial"/>
          <w:color w:val="000000" w:themeColor="text1"/>
          <w:szCs w:val="20"/>
          <w:lang w:val="sl-SI"/>
        </w:rPr>
        <w:t>Št. 0100-</w:t>
      </w:r>
      <w:r w:rsidR="00C11207">
        <w:rPr>
          <w:rFonts w:eastAsia="Calibri" w:cs="Arial"/>
          <w:color w:val="000000" w:themeColor="text1"/>
          <w:szCs w:val="20"/>
          <w:lang w:val="sl-SI"/>
        </w:rPr>
        <w:t>51/2020/</w:t>
      </w:r>
      <w:r w:rsidR="005D656F">
        <w:rPr>
          <w:rFonts w:eastAsia="Calibri" w:cs="Arial"/>
          <w:color w:val="000000" w:themeColor="text1"/>
          <w:szCs w:val="20"/>
          <w:lang w:val="sl-SI"/>
        </w:rPr>
        <w:t>6</w:t>
      </w:r>
    </w:p>
    <w:p w:rsidR="00294D0C" w:rsidRPr="007751B5" w:rsidRDefault="00294D0C" w:rsidP="00294D0C">
      <w:pPr>
        <w:ind w:left="-567"/>
        <w:jc w:val="both"/>
        <w:rPr>
          <w:rFonts w:eastAsia="Calibri" w:cs="Arial"/>
          <w:color w:val="000000" w:themeColor="text1"/>
          <w:szCs w:val="20"/>
          <w:lang w:val="sl-SI"/>
        </w:rPr>
      </w:pPr>
    </w:p>
    <w:p w:rsidR="007751B5" w:rsidRDefault="007751B5" w:rsidP="00294D0C">
      <w:pPr>
        <w:ind w:left="-567"/>
        <w:jc w:val="both"/>
        <w:rPr>
          <w:rFonts w:eastAsia="Calibri" w:cs="Arial"/>
          <w:color w:val="000000" w:themeColor="text1"/>
          <w:szCs w:val="20"/>
          <w:lang w:val="sl-SI"/>
        </w:rPr>
      </w:pPr>
      <w:r w:rsidRPr="007751B5">
        <w:rPr>
          <w:rFonts w:eastAsia="Calibri" w:cs="Arial"/>
          <w:color w:val="000000" w:themeColor="text1"/>
          <w:szCs w:val="20"/>
          <w:lang w:val="sl-SI"/>
        </w:rPr>
        <w:t xml:space="preserve">Ljubljana, </w:t>
      </w:r>
      <w:r w:rsidR="00A865DE">
        <w:rPr>
          <w:rFonts w:eastAsia="Calibri" w:cs="Arial"/>
          <w:color w:val="000000" w:themeColor="text1"/>
          <w:szCs w:val="20"/>
          <w:lang w:val="sl-SI"/>
        </w:rPr>
        <w:t xml:space="preserve">dne </w:t>
      </w:r>
      <w:r w:rsidRPr="007751B5">
        <w:rPr>
          <w:rFonts w:eastAsia="Calibri" w:cs="Arial"/>
          <w:color w:val="000000" w:themeColor="text1"/>
          <w:szCs w:val="20"/>
          <w:lang w:val="sl-SI"/>
        </w:rPr>
        <w:t>2</w:t>
      </w:r>
      <w:r w:rsidR="00D90152">
        <w:rPr>
          <w:rFonts w:eastAsia="Calibri" w:cs="Arial"/>
          <w:color w:val="000000" w:themeColor="text1"/>
          <w:szCs w:val="20"/>
          <w:lang w:val="sl-SI"/>
        </w:rPr>
        <w:t>8</w:t>
      </w:r>
      <w:r w:rsidRPr="007751B5">
        <w:rPr>
          <w:rFonts w:eastAsia="Calibri" w:cs="Arial"/>
          <w:color w:val="000000" w:themeColor="text1"/>
          <w:szCs w:val="20"/>
          <w:lang w:val="sl-SI"/>
        </w:rPr>
        <w:t>. januarja 2020</w:t>
      </w:r>
    </w:p>
    <w:p w:rsidR="00294D0C" w:rsidRPr="007751B5" w:rsidRDefault="00294D0C" w:rsidP="00294D0C">
      <w:pPr>
        <w:ind w:left="-567"/>
        <w:jc w:val="both"/>
        <w:rPr>
          <w:rFonts w:eastAsia="Calibri" w:cs="Arial"/>
          <w:color w:val="000000" w:themeColor="text1"/>
          <w:szCs w:val="20"/>
          <w:lang w:val="sl-SI"/>
        </w:rPr>
      </w:pPr>
    </w:p>
    <w:p w:rsidR="00C547DF" w:rsidRDefault="007751B5" w:rsidP="00294D0C">
      <w:pPr>
        <w:tabs>
          <w:tab w:val="left" w:pos="708"/>
        </w:tabs>
        <w:ind w:left="-567"/>
        <w:rPr>
          <w:rFonts w:eastAsia="Calibri" w:cs="Arial"/>
          <w:color w:val="000000" w:themeColor="text1"/>
          <w:szCs w:val="20"/>
          <w:lang w:val="sl-SI"/>
        </w:rPr>
      </w:pPr>
      <w:r w:rsidRPr="007751B5">
        <w:rPr>
          <w:rFonts w:eastAsia="Calibri" w:cs="Arial"/>
          <w:color w:val="000000" w:themeColor="text1"/>
          <w:szCs w:val="20"/>
          <w:lang w:val="sl-SI"/>
        </w:rPr>
        <w:t>EVA 2010-3130-0009</w:t>
      </w:r>
    </w:p>
    <w:p w:rsidR="00480AFF" w:rsidRDefault="00480AFF" w:rsidP="00294D0C">
      <w:pPr>
        <w:tabs>
          <w:tab w:val="left" w:pos="708"/>
        </w:tabs>
        <w:ind w:left="-567"/>
        <w:rPr>
          <w:rFonts w:eastAsia="Calibri" w:cs="Arial"/>
          <w:b/>
          <w:color w:val="000000" w:themeColor="text1"/>
          <w:szCs w:val="20"/>
          <w:lang w:val="sl-SI"/>
        </w:rPr>
      </w:pPr>
    </w:p>
    <w:p w:rsidR="00480AFF" w:rsidRDefault="00480AFF" w:rsidP="00294D0C">
      <w:pPr>
        <w:tabs>
          <w:tab w:val="left" w:pos="708"/>
        </w:tabs>
        <w:ind w:left="-567"/>
        <w:rPr>
          <w:rFonts w:eastAsia="Calibri" w:cs="Arial"/>
          <w:b/>
          <w:color w:val="000000" w:themeColor="text1"/>
          <w:szCs w:val="20"/>
          <w:lang w:val="sl-SI"/>
        </w:rPr>
      </w:pPr>
    </w:p>
    <w:p w:rsidR="00480AFF" w:rsidRDefault="00480AFF" w:rsidP="007751B5">
      <w:pPr>
        <w:tabs>
          <w:tab w:val="left" w:pos="708"/>
        </w:tabs>
        <w:spacing w:after="200" w:line="276" w:lineRule="auto"/>
        <w:ind w:left="-567"/>
        <w:rPr>
          <w:rFonts w:eastAsia="Calibri" w:cs="Arial"/>
          <w:b/>
          <w:color w:val="000000" w:themeColor="text1"/>
          <w:szCs w:val="20"/>
          <w:lang w:val="sl-SI"/>
        </w:rPr>
      </w:pPr>
    </w:p>
    <w:p w:rsidR="00480AFF" w:rsidRDefault="00480AFF" w:rsidP="007751B5">
      <w:pPr>
        <w:tabs>
          <w:tab w:val="left" w:pos="708"/>
        </w:tabs>
        <w:spacing w:after="200" w:line="276" w:lineRule="auto"/>
        <w:ind w:left="-567"/>
        <w:rPr>
          <w:rFonts w:eastAsia="Calibri" w:cs="Arial"/>
          <w:b/>
          <w:color w:val="000000" w:themeColor="text1"/>
          <w:szCs w:val="20"/>
          <w:lang w:val="sl-SI"/>
        </w:rPr>
      </w:pPr>
    </w:p>
    <w:p w:rsidR="00294D0C" w:rsidRDefault="00294D0C" w:rsidP="007751B5">
      <w:pPr>
        <w:tabs>
          <w:tab w:val="left" w:pos="708"/>
        </w:tabs>
        <w:spacing w:after="200" w:line="276" w:lineRule="auto"/>
        <w:ind w:left="-567"/>
        <w:rPr>
          <w:rFonts w:eastAsia="Calibri" w:cs="Arial"/>
          <w:b/>
          <w:color w:val="000000" w:themeColor="text1"/>
          <w:szCs w:val="20"/>
          <w:lang w:val="sl-SI"/>
        </w:rPr>
      </w:pPr>
    </w:p>
    <w:p w:rsidR="00294D0C" w:rsidRDefault="00294D0C" w:rsidP="00BE767E">
      <w:pPr>
        <w:tabs>
          <w:tab w:val="left" w:pos="708"/>
        </w:tabs>
        <w:spacing w:after="200" w:line="276" w:lineRule="auto"/>
        <w:rPr>
          <w:rFonts w:eastAsia="Calibri" w:cs="Arial"/>
          <w:b/>
          <w:color w:val="000000" w:themeColor="text1"/>
          <w:szCs w:val="20"/>
          <w:lang w:val="sl-SI"/>
        </w:rPr>
      </w:pPr>
    </w:p>
    <w:p w:rsidR="00D90152" w:rsidRDefault="00D90152" w:rsidP="007751B5">
      <w:pPr>
        <w:tabs>
          <w:tab w:val="left" w:pos="708"/>
        </w:tabs>
        <w:spacing w:after="200" w:line="276" w:lineRule="auto"/>
        <w:ind w:left="-567"/>
        <w:rPr>
          <w:rFonts w:eastAsia="Calibri" w:cs="Arial"/>
          <w:b/>
          <w:color w:val="000000" w:themeColor="text1"/>
          <w:szCs w:val="20"/>
          <w:lang w:val="sl-SI"/>
        </w:rPr>
      </w:pPr>
    </w:p>
    <w:p w:rsidR="00D90152" w:rsidRDefault="00D90152" w:rsidP="007751B5">
      <w:pPr>
        <w:tabs>
          <w:tab w:val="left" w:pos="708"/>
        </w:tabs>
        <w:spacing w:after="200" w:line="276" w:lineRule="auto"/>
        <w:ind w:left="-567"/>
        <w:rPr>
          <w:rFonts w:eastAsia="Calibri" w:cs="Arial"/>
          <w:b/>
          <w:color w:val="000000" w:themeColor="text1"/>
          <w:szCs w:val="20"/>
          <w:lang w:val="sl-SI"/>
        </w:rPr>
      </w:pPr>
    </w:p>
    <w:p w:rsidR="00D90152" w:rsidRDefault="00D90152" w:rsidP="007751B5">
      <w:pPr>
        <w:tabs>
          <w:tab w:val="left" w:pos="708"/>
        </w:tabs>
        <w:spacing w:after="200" w:line="276" w:lineRule="auto"/>
        <w:ind w:left="-567"/>
        <w:rPr>
          <w:rFonts w:eastAsia="Calibri" w:cs="Arial"/>
          <w:b/>
          <w:color w:val="000000" w:themeColor="text1"/>
          <w:szCs w:val="20"/>
          <w:lang w:val="sl-SI"/>
        </w:rPr>
      </w:pPr>
    </w:p>
    <w:p w:rsidR="00D90152" w:rsidRDefault="00D90152" w:rsidP="007751B5">
      <w:pPr>
        <w:tabs>
          <w:tab w:val="left" w:pos="708"/>
        </w:tabs>
        <w:spacing w:after="200" w:line="276" w:lineRule="auto"/>
        <w:ind w:left="-567"/>
        <w:rPr>
          <w:rFonts w:eastAsia="Calibri" w:cs="Arial"/>
          <w:b/>
          <w:color w:val="000000" w:themeColor="text1"/>
          <w:szCs w:val="20"/>
          <w:lang w:val="sl-SI"/>
        </w:rPr>
      </w:pPr>
    </w:p>
    <w:p w:rsidR="00D90152" w:rsidRDefault="00D90152" w:rsidP="007751B5">
      <w:pPr>
        <w:tabs>
          <w:tab w:val="left" w:pos="708"/>
        </w:tabs>
        <w:spacing w:after="200" w:line="276" w:lineRule="auto"/>
        <w:ind w:left="-567"/>
        <w:rPr>
          <w:rFonts w:eastAsia="Calibri" w:cs="Arial"/>
          <w:b/>
          <w:color w:val="000000" w:themeColor="text1"/>
          <w:szCs w:val="20"/>
          <w:lang w:val="sl-SI"/>
        </w:rPr>
      </w:pPr>
    </w:p>
    <w:p w:rsidR="00D90152" w:rsidRDefault="00D90152" w:rsidP="007751B5">
      <w:pPr>
        <w:tabs>
          <w:tab w:val="left" w:pos="708"/>
        </w:tabs>
        <w:spacing w:after="200" w:line="276" w:lineRule="auto"/>
        <w:ind w:left="-567"/>
        <w:rPr>
          <w:rFonts w:eastAsia="Calibri" w:cs="Arial"/>
          <w:b/>
          <w:color w:val="000000" w:themeColor="text1"/>
          <w:szCs w:val="20"/>
          <w:lang w:val="sl-SI"/>
        </w:rPr>
      </w:pPr>
    </w:p>
    <w:p w:rsidR="007751B5" w:rsidRDefault="007751B5" w:rsidP="007751B5">
      <w:pPr>
        <w:tabs>
          <w:tab w:val="left" w:pos="708"/>
        </w:tabs>
        <w:spacing w:after="200" w:line="276" w:lineRule="auto"/>
        <w:ind w:left="-567"/>
        <w:rPr>
          <w:rFonts w:eastAsia="Calibri" w:cs="Arial"/>
          <w:b/>
          <w:color w:val="000000" w:themeColor="text1"/>
          <w:szCs w:val="20"/>
          <w:lang w:val="sl-SI"/>
        </w:rPr>
      </w:pPr>
      <w:r w:rsidRPr="007751B5">
        <w:rPr>
          <w:rFonts w:eastAsia="Calibri" w:cs="Arial"/>
          <w:b/>
          <w:color w:val="000000" w:themeColor="text1"/>
          <w:szCs w:val="20"/>
          <w:lang w:val="sl-SI"/>
        </w:rPr>
        <w:lastRenderedPageBreak/>
        <w:t>OBRAZLOŽITEV</w:t>
      </w:r>
    </w:p>
    <w:p w:rsidR="00C547DF" w:rsidRPr="00545FC7" w:rsidRDefault="00C547DF" w:rsidP="00C547DF">
      <w:pPr>
        <w:numPr>
          <w:ilvl w:val="0"/>
          <w:numId w:val="15"/>
        </w:numPr>
        <w:tabs>
          <w:tab w:val="num" w:pos="284"/>
        </w:tabs>
        <w:spacing w:after="200" w:line="276" w:lineRule="auto"/>
        <w:ind w:hanging="1080"/>
        <w:jc w:val="both"/>
        <w:rPr>
          <w:rFonts w:eastAsia="Calibri" w:cs="Arial"/>
          <w:szCs w:val="20"/>
          <w:lang w:val="sl-SI"/>
        </w:rPr>
      </w:pPr>
      <w:r w:rsidRPr="00D67A64">
        <w:rPr>
          <w:rFonts w:eastAsia="Calibri" w:cs="Arial"/>
          <w:szCs w:val="20"/>
          <w:lang w:val="sl-SI"/>
        </w:rPr>
        <w:t xml:space="preserve">UVOD </w:t>
      </w:r>
    </w:p>
    <w:p w:rsidR="00C547DF" w:rsidRPr="00D9444F" w:rsidRDefault="00C547DF" w:rsidP="00C547DF">
      <w:pPr>
        <w:numPr>
          <w:ilvl w:val="0"/>
          <w:numId w:val="14"/>
        </w:numPr>
        <w:spacing w:after="200" w:line="240" w:lineRule="auto"/>
        <w:jc w:val="both"/>
        <w:rPr>
          <w:rFonts w:eastAsia="Calibri" w:cs="Arial"/>
          <w:szCs w:val="20"/>
          <w:lang w:val="sl-SI"/>
        </w:rPr>
      </w:pPr>
      <w:r w:rsidRPr="00D67A64">
        <w:rPr>
          <w:rFonts w:eastAsia="Calibri" w:cs="Arial"/>
          <w:szCs w:val="20"/>
          <w:lang w:val="sl-SI"/>
        </w:rPr>
        <w:t>Pravna podlaga (besedilo, vsebina zakonske določbe, ki je podlaga za izdajo predpisa):</w:t>
      </w:r>
    </w:p>
    <w:p w:rsidR="00C547DF" w:rsidRPr="00140FE7" w:rsidRDefault="00C547DF" w:rsidP="00C547DF">
      <w:pPr>
        <w:spacing w:after="200" w:line="276" w:lineRule="auto"/>
        <w:ind w:left="720"/>
        <w:jc w:val="both"/>
        <w:rPr>
          <w:rFonts w:eastAsia="Calibri" w:cs="Arial"/>
          <w:szCs w:val="20"/>
          <w:lang w:val="sl-SI"/>
        </w:rPr>
      </w:pPr>
      <w:r w:rsidRPr="00D67A64">
        <w:rPr>
          <w:rFonts w:eastAsia="Calibri" w:cs="Arial"/>
          <w:szCs w:val="20"/>
          <w:lang w:val="sl-SI"/>
        </w:rPr>
        <w:t xml:space="preserve">– 3. člen </w:t>
      </w:r>
      <w:r w:rsidRPr="00140FE7">
        <w:rPr>
          <w:rFonts w:eastAsia="Calibri" w:cs="Arial"/>
          <w:szCs w:val="20"/>
          <w:lang w:val="sl-SI"/>
        </w:rPr>
        <w:t xml:space="preserve">Zakona o sistemu plač v javnem sektorju </w:t>
      </w:r>
      <w:r w:rsidRPr="00D67A64">
        <w:rPr>
          <w:rFonts w:eastAsia="Calibri" w:cs="Arial"/>
          <w:szCs w:val="20"/>
          <w:lang w:val="sl-SI"/>
        </w:rPr>
        <w:t>(</w:t>
      </w:r>
      <w:r w:rsidRPr="00140FE7">
        <w:rPr>
          <w:rFonts w:eastAsia="Calibri" w:cs="Arial"/>
          <w:szCs w:val="20"/>
          <w:lang w:val="sl-SI"/>
        </w:rPr>
        <w:t xml:space="preserve">št. </w:t>
      </w:r>
      <w:hyperlink r:id="rId9" w:tgtFrame="_blank" w:tooltip="Zakon o sistemu plač v javnem sektorju (uradno prečiščeno besedilo)" w:history="1">
        <w:r w:rsidRPr="00140FE7">
          <w:rPr>
            <w:rFonts w:eastAsia="Calibri" w:cs="Arial"/>
            <w:szCs w:val="20"/>
            <w:lang w:val="sl-SI"/>
          </w:rPr>
          <w:t>108/09</w:t>
        </w:r>
      </w:hyperlink>
      <w:r w:rsidRPr="00140FE7">
        <w:rPr>
          <w:rFonts w:eastAsia="Calibri" w:cs="Arial"/>
          <w:szCs w:val="20"/>
          <w:lang w:val="sl-SI"/>
        </w:rPr>
        <w:t xml:space="preserve"> – uradno prečiščeno besedilo, </w:t>
      </w:r>
      <w:hyperlink r:id="rId10" w:tgtFrame="_blank" w:tooltip="Zakon o spremembah Zakona o sistemu plač v javnem sektorju" w:history="1">
        <w:r w:rsidRPr="00140FE7">
          <w:rPr>
            <w:rFonts w:eastAsia="Calibri" w:cs="Arial"/>
            <w:szCs w:val="20"/>
            <w:lang w:val="sl-SI"/>
          </w:rPr>
          <w:t>13/10</w:t>
        </w:r>
      </w:hyperlink>
      <w:r w:rsidRPr="00140FE7">
        <w:rPr>
          <w:rFonts w:eastAsia="Calibri" w:cs="Arial"/>
          <w:szCs w:val="20"/>
          <w:lang w:val="sl-SI"/>
        </w:rPr>
        <w:t xml:space="preserve">, </w:t>
      </w:r>
      <w:hyperlink r:id="rId11" w:tgtFrame="_blank" w:tooltip="Zakon o spremembah in dopolnitvah Zakona o sistemu plač v javnem sektorju" w:history="1">
        <w:r w:rsidRPr="00140FE7">
          <w:rPr>
            <w:rFonts w:eastAsia="Calibri" w:cs="Arial"/>
            <w:szCs w:val="20"/>
            <w:lang w:val="sl-SI"/>
          </w:rPr>
          <w:t>59/10</w:t>
        </w:r>
      </w:hyperlink>
      <w:r w:rsidRPr="00140FE7">
        <w:rPr>
          <w:rFonts w:eastAsia="Calibri" w:cs="Arial"/>
          <w:szCs w:val="20"/>
          <w:lang w:val="sl-SI"/>
        </w:rPr>
        <w:t xml:space="preserve">, </w:t>
      </w:r>
      <w:hyperlink r:id="rId12" w:tgtFrame="_blank" w:tooltip="Zakon o spremembi Zakona o sistemu plač v javnem sektorju" w:history="1">
        <w:r w:rsidRPr="00140FE7">
          <w:rPr>
            <w:rFonts w:eastAsia="Calibri" w:cs="Arial"/>
            <w:szCs w:val="20"/>
            <w:lang w:val="sl-SI"/>
          </w:rPr>
          <w:t>85/10</w:t>
        </w:r>
      </w:hyperlink>
      <w:r w:rsidRPr="00140FE7">
        <w:rPr>
          <w:rFonts w:eastAsia="Calibri" w:cs="Arial"/>
          <w:szCs w:val="20"/>
          <w:lang w:val="sl-SI"/>
        </w:rPr>
        <w:t xml:space="preserve">, </w:t>
      </w:r>
      <w:hyperlink r:id="rId13" w:tgtFrame="_blank" w:tooltip="Zakon o spremembi Zakona o sistemu plač v javnem sektorju" w:history="1">
        <w:r w:rsidRPr="00140FE7">
          <w:rPr>
            <w:rFonts w:eastAsia="Calibri" w:cs="Arial"/>
            <w:szCs w:val="20"/>
            <w:lang w:val="sl-SI"/>
          </w:rPr>
          <w:t>107/10</w:t>
        </w:r>
      </w:hyperlink>
      <w:r w:rsidRPr="00140FE7">
        <w:rPr>
          <w:rFonts w:eastAsia="Calibri" w:cs="Arial"/>
          <w:szCs w:val="20"/>
          <w:lang w:val="sl-SI"/>
        </w:rPr>
        <w:t xml:space="preserve">, </w:t>
      </w:r>
      <w:hyperlink r:id="rId14" w:tgtFrame="_blank" w:tooltip="Avtentična razlaga 49.a člena Zakona o sistemu plač v javnem sektorju" w:history="1">
        <w:r w:rsidRPr="00140FE7">
          <w:rPr>
            <w:rFonts w:eastAsia="Calibri" w:cs="Arial"/>
            <w:szCs w:val="20"/>
            <w:lang w:val="sl-SI"/>
          </w:rPr>
          <w:t>35/11</w:t>
        </w:r>
      </w:hyperlink>
      <w:r w:rsidRPr="00140FE7">
        <w:rPr>
          <w:rFonts w:eastAsia="Calibri" w:cs="Arial"/>
          <w:szCs w:val="20"/>
          <w:lang w:val="sl-SI"/>
        </w:rPr>
        <w:t xml:space="preserve">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140FE7">
          <w:rPr>
            <w:rFonts w:eastAsia="Calibri" w:cs="Arial"/>
            <w:szCs w:val="20"/>
            <w:lang w:val="sl-SI"/>
          </w:rPr>
          <w:t>27/12</w:t>
        </w:r>
      </w:hyperlink>
      <w:r w:rsidRPr="00140FE7">
        <w:rPr>
          <w:rFonts w:eastAsia="Calibri" w:cs="Arial"/>
          <w:szCs w:val="20"/>
          <w:lang w:val="sl-SI"/>
        </w:rPr>
        <w:t xml:space="preserve"> – odl. US, </w:t>
      </w:r>
      <w:hyperlink r:id="rId16" w:tgtFrame="_blank" w:tooltip="Zakon za uravnoteženje javnih financ" w:history="1">
        <w:r w:rsidRPr="00140FE7">
          <w:rPr>
            <w:rFonts w:eastAsia="Calibri" w:cs="Arial"/>
            <w:szCs w:val="20"/>
            <w:lang w:val="sl-SI"/>
          </w:rPr>
          <w:t>40/12</w:t>
        </w:r>
      </w:hyperlink>
      <w:r w:rsidRPr="00140FE7">
        <w:rPr>
          <w:rFonts w:eastAsia="Calibri" w:cs="Arial"/>
          <w:szCs w:val="20"/>
          <w:lang w:val="sl-SI"/>
        </w:rPr>
        <w:t xml:space="preserve"> – ZUJF, </w:t>
      </w:r>
      <w:hyperlink r:id="rId17" w:tgtFrame="_blank" w:tooltip="Zakon o spremembi in dopolnitvah Zakona o sistemu plač v javnem sektorju" w:history="1">
        <w:r w:rsidRPr="00140FE7">
          <w:rPr>
            <w:rFonts w:eastAsia="Calibri" w:cs="Arial"/>
            <w:szCs w:val="20"/>
            <w:lang w:val="sl-SI"/>
          </w:rPr>
          <w:t>46/13</w:t>
        </w:r>
      </w:hyperlink>
      <w:r w:rsidRPr="00140FE7">
        <w:rPr>
          <w:rFonts w:eastAsia="Calibri" w:cs="Arial"/>
          <w:szCs w:val="20"/>
          <w:lang w:val="sl-SI"/>
        </w:rPr>
        <w:t xml:space="preserve">, </w:t>
      </w:r>
      <w:hyperlink r:id="rId18" w:tgtFrame="_blank" w:tooltip="Zakon o finančni upravi" w:history="1">
        <w:r w:rsidRPr="00140FE7">
          <w:rPr>
            <w:rFonts w:eastAsia="Calibri" w:cs="Arial"/>
            <w:szCs w:val="20"/>
            <w:lang w:val="sl-SI"/>
          </w:rPr>
          <w:t>25/14</w:t>
        </w:r>
      </w:hyperlink>
      <w:r w:rsidRPr="00140FE7">
        <w:rPr>
          <w:rFonts w:eastAsia="Calibri" w:cs="Arial"/>
          <w:szCs w:val="20"/>
          <w:lang w:val="sl-SI"/>
        </w:rPr>
        <w:t xml:space="preserve"> – ZFU, </w:t>
      </w:r>
      <w:hyperlink r:id="rId19" w:tgtFrame="_blank" w:tooltip="Zakon o spremembah Zakona o sistemu plač v javnem sektorju" w:history="1">
        <w:r w:rsidRPr="00140FE7">
          <w:rPr>
            <w:rFonts w:eastAsia="Calibri" w:cs="Arial"/>
            <w:szCs w:val="20"/>
            <w:lang w:val="sl-SI"/>
          </w:rPr>
          <w:t>50/14</w:t>
        </w:r>
      </w:hyperlink>
      <w:r w:rsidRPr="00140FE7">
        <w:rPr>
          <w:rFonts w:eastAsia="Calibri" w:cs="Arial"/>
          <w:szCs w:val="20"/>
          <w:lang w:val="sl-SI"/>
        </w:rPr>
        <w:t xml:space="preserve">, </w:t>
      </w:r>
      <w:hyperlink r:id="rId20" w:tgtFrame="_blank" w:tooltip="Zakon o ukrepih na področju plač in drugih stroškov dela v javnem sektorju za leto 2015" w:history="1">
        <w:r w:rsidRPr="00140FE7">
          <w:rPr>
            <w:rFonts w:eastAsia="Calibri" w:cs="Arial"/>
            <w:szCs w:val="20"/>
            <w:lang w:val="sl-SI"/>
          </w:rPr>
          <w:t>95/14</w:t>
        </w:r>
      </w:hyperlink>
      <w:r w:rsidRPr="00140FE7">
        <w:rPr>
          <w:rFonts w:eastAsia="Calibri" w:cs="Arial"/>
          <w:szCs w:val="20"/>
          <w:lang w:val="sl-SI"/>
        </w:rPr>
        <w:t xml:space="preserve"> – ZUPPJS15, </w:t>
      </w:r>
      <w:hyperlink r:id="rId21" w:tgtFrame="_blank" w:tooltip="Zakon o dopolnitvi Zakona o sistemu plač v javnem sektorju" w:history="1">
        <w:r w:rsidRPr="00140FE7">
          <w:rPr>
            <w:rFonts w:eastAsia="Calibri" w:cs="Arial"/>
            <w:szCs w:val="20"/>
            <w:lang w:val="sl-SI"/>
          </w:rPr>
          <w:t>82/15</w:t>
        </w:r>
      </w:hyperlink>
      <w:r w:rsidRPr="00140FE7">
        <w:rPr>
          <w:rFonts w:eastAsia="Calibri" w:cs="Arial"/>
          <w:szCs w:val="20"/>
          <w:lang w:val="sl-SI"/>
        </w:rPr>
        <w:t xml:space="preserve">, </w:t>
      </w:r>
      <w:hyperlink r:id="rId22" w:tgtFrame="_blank" w:tooltip="Zakon o državnem odvetništvu" w:history="1">
        <w:r w:rsidRPr="00140FE7">
          <w:rPr>
            <w:rFonts w:eastAsia="Calibri" w:cs="Arial"/>
            <w:szCs w:val="20"/>
            <w:lang w:val="sl-SI"/>
          </w:rPr>
          <w:t>23/17</w:t>
        </w:r>
      </w:hyperlink>
      <w:r w:rsidRPr="00140FE7">
        <w:rPr>
          <w:rFonts w:eastAsia="Calibri" w:cs="Arial"/>
          <w:szCs w:val="20"/>
          <w:lang w:val="sl-SI"/>
        </w:rPr>
        <w:t xml:space="preserve"> – ZDOdv, </w:t>
      </w:r>
      <w:hyperlink r:id="rId23" w:tgtFrame="_blank" w:tooltip="Zakon o spremembah Zakona o sistemu plač v javnem sektorju" w:history="1">
        <w:r w:rsidRPr="00140FE7">
          <w:rPr>
            <w:rFonts w:eastAsia="Calibri" w:cs="Arial"/>
            <w:szCs w:val="20"/>
            <w:lang w:val="sl-SI"/>
          </w:rPr>
          <w:t>67/17</w:t>
        </w:r>
      </w:hyperlink>
      <w:r w:rsidRPr="00140FE7">
        <w:rPr>
          <w:rFonts w:eastAsia="Calibri" w:cs="Arial"/>
          <w:szCs w:val="20"/>
          <w:lang w:val="sl-SI"/>
        </w:rPr>
        <w:t xml:space="preserve"> in </w:t>
      </w:r>
      <w:hyperlink r:id="rId24" w:tgtFrame="_blank" w:tooltip="Zakon o spremembi in dopolnitvah Zakona o sistemu plač v javnem sektorju" w:history="1">
        <w:r w:rsidRPr="00140FE7">
          <w:rPr>
            <w:rFonts w:eastAsia="Calibri" w:cs="Arial"/>
            <w:szCs w:val="20"/>
            <w:lang w:val="sl-SI"/>
          </w:rPr>
          <w:t>84/18</w:t>
        </w:r>
      </w:hyperlink>
      <w:r w:rsidRPr="00140FE7">
        <w:rPr>
          <w:rFonts w:eastAsia="Calibri" w:cs="Arial"/>
          <w:szCs w:val="20"/>
          <w:lang w:val="sl-SI"/>
        </w:rPr>
        <w:t>)</w:t>
      </w:r>
      <w:r w:rsidRPr="00D67A64">
        <w:rPr>
          <w:rFonts w:eastAsia="Calibri" w:cs="Arial"/>
          <w:szCs w:val="20"/>
          <w:lang w:val="sl-SI"/>
        </w:rPr>
        <w:t>,</w:t>
      </w:r>
    </w:p>
    <w:p w:rsidR="00C547DF" w:rsidRPr="00D67A64" w:rsidRDefault="00C547DF" w:rsidP="00C547DF">
      <w:pPr>
        <w:spacing w:after="200" w:line="276" w:lineRule="auto"/>
        <w:ind w:left="720"/>
        <w:jc w:val="both"/>
        <w:rPr>
          <w:rFonts w:eastAsia="Calibri" w:cs="Arial"/>
          <w:szCs w:val="20"/>
          <w:lang w:val="sl-SI"/>
        </w:rPr>
      </w:pPr>
      <w:r w:rsidRPr="00D67A64">
        <w:rPr>
          <w:rFonts w:eastAsia="Calibri" w:cs="Arial"/>
          <w:szCs w:val="20"/>
          <w:lang w:val="sl-SI"/>
        </w:rPr>
        <w:t>– 44. člen Zakona o zunanjih zadevah (Uradni list RS, št. 113/03 – uradno prečiščeno besedilo, 20/06 – ZNOMCMO, 76/08, 108/09 in 80/10 – ZUTD</w:t>
      </w:r>
      <w:r>
        <w:rPr>
          <w:rFonts w:eastAsia="Calibri" w:cs="Arial"/>
          <w:szCs w:val="20"/>
          <w:lang w:val="sl-SI"/>
        </w:rPr>
        <w:t>,</w:t>
      </w:r>
      <w:r w:rsidRPr="00D67A64">
        <w:rPr>
          <w:rFonts w:eastAsia="Calibri" w:cs="Arial"/>
          <w:szCs w:val="20"/>
          <w:lang w:val="sl-SI"/>
        </w:rPr>
        <w:t xml:space="preserve"> 31/15</w:t>
      </w:r>
      <w:r w:rsidRPr="00A86F1B">
        <w:rPr>
          <w:lang w:val="sl-SI"/>
        </w:rPr>
        <w:t xml:space="preserve"> </w:t>
      </w:r>
      <w:r w:rsidRPr="00A86F1B">
        <w:rPr>
          <w:rFonts w:eastAsia="Calibri" w:cs="Arial"/>
          <w:szCs w:val="20"/>
          <w:lang w:val="sl-SI"/>
        </w:rPr>
        <w:t>in 30/18 – ZKZaš</w:t>
      </w:r>
      <w:r w:rsidRPr="00D67A64">
        <w:rPr>
          <w:rFonts w:eastAsia="Calibri" w:cs="Arial"/>
          <w:szCs w:val="20"/>
          <w:lang w:val="sl-SI"/>
        </w:rPr>
        <w:t>),</w:t>
      </w:r>
    </w:p>
    <w:p w:rsidR="00C547DF" w:rsidRDefault="00C547DF" w:rsidP="00C547DF">
      <w:pPr>
        <w:spacing w:after="200" w:line="276" w:lineRule="auto"/>
        <w:ind w:left="720"/>
        <w:jc w:val="both"/>
        <w:rPr>
          <w:rFonts w:eastAsia="Calibri" w:cs="Arial"/>
          <w:bCs/>
          <w:szCs w:val="20"/>
          <w:lang w:val="sl-SI"/>
        </w:rPr>
      </w:pPr>
      <w:r w:rsidRPr="00D67A64">
        <w:rPr>
          <w:rFonts w:eastAsia="Calibri" w:cs="Arial"/>
          <w:szCs w:val="20"/>
          <w:lang w:val="sl-SI"/>
        </w:rPr>
        <w:t xml:space="preserve">– 96. člen Zakona o službi v Slovenski vojski </w:t>
      </w:r>
      <w:r w:rsidRPr="00D67A64">
        <w:rPr>
          <w:rFonts w:eastAsia="Calibri" w:cs="Arial"/>
          <w:bCs/>
          <w:szCs w:val="20"/>
          <w:lang w:val="sl-SI"/>
        </w:rPr>
        <w:t xml:space="preserve">(Uradni list RS, št. </w:t>
      </w:r>
      <w:hyperlink r:id="rId25" w:tgtFrame="_blank" w:tooltip="Zakon o službi v Slovenski vojski (ZSSloV)" w:history="1">
        <w:r w:rsidRPr="00D67A64">
          <w:rPr>
            <w:rFonts w:eastAsia="Calibri" w:cs="Arial"/>
            <w:bCs/>
            <w:szCs w:val="20"/>
            <w:lang w:val="sl-SI"/>
          </w:rPr>
          <w:t>68/07</w:t>
        </w:r>
      </w:hyperlink>
      <w:r w:rsidRPr="00D67A64">
        <w:rPr>
          <w:rFonts w:eastAsia="Calibri" w:cs="Arial"/>
          <w:bCs/>
          <w:szCs w:val="20"/>
          <w:lang w:val="sl-SI"/>
        </w:rPr>
        <w:t xml:space="preserve"> in </w:t>
      </w:r>
      <w:hyperlink r:id="rId26" w:tgtFrame="_blank" w:tooltip="Zakon o spremembah in dopolnitvah Zakona o sistemu plač v javnem sektorju" w:history="1">
        <w:r w:rsidRPr="00D67A64">
          <w:rPr>
            <w:rFonts w:eastAsia="Calibri" w:cs="Arial"/>
            <w:bCs/>
            <w:szCs w:val="20"/>
            <w:lang w:val="sl-SI"/>
          </w:rPr>
          <w:t>58/08</w:t>
        </w:r>
      </w:hyperlink>
      <w:r w:rsidRPr="00D67A64">
        <w:rPr>
          <w:rFonts w:eastAsia="Calibri" w:cs="Arial"/>
          <w:bCs/>
          <w:szCs w:val="20"/>
          <w:lang w:val="sl-SI"/>
        </w:rPr>
        <w:t xml:space="preserve"> – ZSPJS-I).</w:t>
      </w:r>
    </w:p>
    <w:p w:rsidR="00C547DF" w:rsidRPr="00D67A64" w:rsidRDefault="00C547DF" w:rsidP="00C547DF">
      <w:pPr>
        <w:spacing w:after="200" w:line="276" w:lineRule="auto"/>
        <w:ind w:left="720"/>
        <w:jc w:val="both"/>
        <w:rPr>
          <w:rFonts w:eastAsia="Calibri" w:cs="Arial"/>
          <w:szCs w:val="20"/>
          <w:lang w:val="sl-SI" w:eastAsia="sl-SI"/>
        </w:rPr>
      </w:pPr>
      <w:r w:rsidRPr="00D67A64">
        <w:rPr>
          <w:rFonts w:eastAsia="Calibri" w:cs="Arial"/>
          <w:szCs w:val="20"/>
          <w:lang w:val="sl-SI"/>
        </w:rPr>
        <w:t xml:space="preserve">– </w:t>
      </w:r>
      <w:r w:rsidRPr="008C0516">
        <w:rPr>
          <w:rFonts w:eastAsia="Calibri" w:cs="Arial"/>
          <w:szCs w:val="20"/>
          <w:lang w:val="sl-SI"/>
        </w:rPr>
        <w:t>70. člena Zakona o državnem tožilstvu (Uradni list RS, št. 58/11, 21/12 – ZDU-1F, 47/12, 15/13 – ZODPol, 47/13 – ZDU-1G, 48/13 – ZSKZDČEU-1, 19/15, 23/17 – ZSSve in 36/19)</w:t>
      </w:r>
    </w:p>
    <w:p w:rsidR="00C547DF" w:rsidRPr="001A18C5" w:rsidRDefault="00C547DF" w:rsidP="00C547DF">
      <w:pPr>
        <w:numPr>
          <w:ilvl w:val="0"/>
          <w:numId w:val="14"/>
        </w:numPr>
        <w:spacing w:after="200" w:line="240" w:lineRule="auto"/>
        <w:jc w:val="both"/>
        <w:rPr>
          <w:rFonts w:eastAsia="Calibri" w:cs="Arial"/>
          <w:szCs w:val="20"/>
          <w:lang w:val="sl-SI"/>
        </w:rPr>
      </w:pPr>
      <w:r w:rsidRPr="00D67A64">
        <w:rPr>
          <w:rFonts w:eastAsia="Calibri" w:cs="Arial"/>
          <w:szCs w:val="20"/>
          <w:lang w:val="sl-SI"/>
        </w:rPr>
        <w:t>Predstavitev presoje posledic za posamezna področja, če te niso mogle biti celovito predstavljene v predlogu zakona.</w:t>
      </w:r>
    </w:p>
    <w:p w:rsidR="00C547DF" w:rsidRPr="00D67A64" w:rsidRDefault="00C547DF" w:rsidP="00C547DF">
      <w:pPr>
        <w:numPr>
          <w:ilvl w:val="0"/>
          <w:numId w:val="14"/>
        </w:numPr>
        <w:spacing w:after="200" w:line="240" w:lineRule="auto"/>
        <w:jc w:val="both"/>
        <w:rPr>
          <w:rFonts w:eastAsia="Calibri" w:cs="Arial"/>
          <w:szCs w:val="20"/>
          <w:lang w:val="sl-SI"/>
        </w:rPr>
      </w:pPr>
      <w:r w:rsidRPr="00D67A64">
        <w:rPr>
          <w:rFonts w:eastAsia="Calibri" w:cs="Arial"/>
          <w:szCs w:val="20"/>
          <w:lang w:val="sl-SI"/>
        </w:rPr>
        <w:t>Izjava o skladnosti predloga predpisa s pravnimi akti Evropske unije in korelacijska tabela, če gre za prenos direktive.</w:t>
      </w:r>
    </w:p>
    <w:p w:rsidR="007751B5" w:rsidRDefault="00C547DF" w:rsidP="00C547DF">
      <w:pPr>
        <w:spacing w:beforeLines="60" w:before="144" w:afterLines="60" w:after="144" w:line="276" w:lineRule="auto"/>
        <w:ind w:left="360" w:firstLine="348"/>
        <w:rPr>
          <w:rFonts w:eastAsia="Calibri" w:cs="Arial"/>
          <w:szCs w:val="20"/>
          <w:lang w:val="sl-SI"/>
        </w:rPr>
      </w:pPr>
      <w:r w:rsidRPr="00D67A64">
        <w:rPr>
          <w:rFonts w:eastAsia="Calibri" w:cs="Arial"/>
          <w:szCs w:val="20"/>
          <w:lang w:val="sl-SI"/>
        </w:rPr>
        <w:t>Izjava o skladnosti (format pdf) – izvoz iz baze RPS.</w:t>
      </w:r>
    </w:p>
    <w:p w:rsidR="00C547DF" w:rsidRPr="007751B5" w:rsidRDefault="00C547DF" w:rsidP="00C547DF">
      <w:pPr>
        <w:spacing w:beforeLines="60" w:before="144" w:afterLines="60" w:after="144" w:line="276" w:lineRule="auto"/>
        <w:ind w:left="360" w:firstLine="348"/>
        <w:rPr>
          <w:rFonts w:eastAsia="Calibri" w:cs="Arial"/>
          <w:szCs w:val="20"/>
          <w:lang w:val="sl-SI"/>
        </w:rPr>
      </w:pPr>
    </w:p>
    <w:p w:rsidR="007751B5" w:rsidRPr="007751B5" w:rsidRDefault="007751B5" w:rsidP="007751B5">
      <w:pPr>
        <w:pStyle w:val="podpisi"/>
        <w:ind w:left="-567"/>
        <w:rPr>
          <w:rFonts w:cs="Arial"/>
          <w:color w:val="000000" w:themeColor="text1"/>
          <w:szCs w:val="20"/>
          <w:lang w:val="sl-SI"/>
        </w:rPr>
      </w:pPr>
    </w:p>
    <w:p w:rsidR="00C547DF" w:rsidRPr="00C547DF" w:rsidRDefault="00C547DF" w:rsidP="00C547DF">
      <w:pPr>
        <w:tabs>
          <w:tab w:val="left" w:pos="708"/>
        </w:tabs>
        <w:spacing w:after="200" w:line="276" w:lineRule="auto"/>
        <w:ind w:left="360" w:hanging="360"/>
        <w:rPr>
          <w:rFonts w:eastAsia="Calibri" w:cs="Arial"/>
          <w:szCs w:val="20"/>
          <w:lang w:val="sl-SI"/>
        </w:rPr>
      </w:pPr>
      <w:r w:rsidRPr="00C547DF">
        <w:rPr>
          <w:rFonts w:eastAsia="Calibri" w:cs="Arial"/>
          <w:szCs w:val="20"/>
          <w:lang w:val="sl-SI"/>
        </w:rPr>
        <w:t>II. VSEBINSKA OBRAZLOŽITEV UREDBE</w:t>
      </w:r>
    </w:p>
    <w:p w:rsidR="00C547DF" w:rsidRDefault="00C547DF" w:rsidP="00C547DF">
      <w:pPr>
        <w:spacing w:after="200" w:line="276" w:lineRule="auto"/>
        <w:rPr>
          <w:rFonts w:eastAsia="Calibri" w:cs="Arial"/>
          <w:b/>
          <w:szCs w:val="20"/>
          <w:lang w:val="sl-SI"/>
        </w:rPr>
      </w:pPr>
      <w:r w:rsidRPr="00C547DF">
        <w:rPr>
          <w:rFonts w:eastAsia="Calibri" w:cs="Arial"/>
          <w:b/>
          <w:szCs w:val="20"/>
          <w:lang w:val="sl-SI"/>
        </w:rPr>
        <w:t>Obrazložitev k posameznim členom:</w:t>
      </w:r>
    </w:p>
    <w:p w:rsidR="00480AFF" w:rsidRPr="00C547DF" w:rsidRDefault="00480AFF" w:rsidP="00C547DF">
      <w:pPr>
        <w:spacing w:after="200" w:line="276" w:lineRule="auto"/>
        <w:rPr>
          <w:rFonts w:eastAsia="Calibri" w:cs="Arial"/>
          <w:b/>
          <w:szCs w:val="20"/>
          <w:lang w:val="sl-SI"/>
        </w:rPr>
      </w:pPr>
    </w:p>
    <w:p w:rsidR="007751B5" w:rsidRDefault="00C547DF" w:rsidP="00C547DF">
      <w:pPr>
        <w:pStyle w:val="podpisi"/>
        <w:ind w:left="-567"/>
        <w:rPr>
          <w:rFonts w:eastAsia="Calibri"/>
          <w:b/>
          <w:lang w:val="sl-SI"/>
        </w:rPr>
      </w:pPr>
      <w:r w:rsidRPr="00C547DF">
        <w:rPr>
          <w:rFonts w:eastAsia="Calibri"/>
          <w:b/>
          <w:lang w:val="sl-SI"/>
        </w:rPr>
        <w:t>K 1. členu</w:t>
      </w:r>
    </w:p>
    <w:p w:rsidR="00C547DF" w:rsidRDefault="00C547DF" w:rsidP="00C547DF">
      <w:pPr>
        <w:pStyle w:val="podpisi"/>
        <w:ind w:left="-567"/>
        <w:rPr>
          <w:rFonts w:eastAsia="Calibri"/>
          <w:b/>
          <w:lang w:val="sl-SI"/>
        </w:rPr>
      </w:pPr>
    </w:p>
    <w:p w:rsidR="00C547DF" w:rsidRDefault="00C547DF" w:rsidP="00447374">
      <w:pPr>
        <w:pStyle w:val="podpisi"/>
        <w:ind w:left="-567"/>
        <w:jc w:val="both"/>
        <w:rPr>
          <w:rFonts w:cs="Arial"/>
          <w:color w:val="000000" w:themeColor="text1"/>
          <w:szCs w:val="20"/>
          <w:lang w:val="sl-SI"/>
        </w:rPr>
      </w:pPr>
      <w:r w:rsidRPr="00C547DF">
        <w:rPr>
          <w:rFonts w:cs="Arial"/>
          <w:color w:val="000000" w:themeColor="text1"/>
          <w:szCs w:val="20"/>
          <w:lang w:val="sl-SI"/>
        </w:rPr>
        <w:t xml:space="preserve">Prvi stavek četrtega odstavka 7. člena </w:t>
      </w:r>
      <w:r w:rsidR="00C35A28">
        <w:rPr>
          <w:rFonts w:cs="Arial"/>
          <w:color w:val="000000" w:themeColor="text1"/>
          <w:szCs w:val="20"/>
          <w:lang w:val="sl-SI"/>
        </w:rPr>
        <w:t>se</w:t>
      </w:r>
      <w:r w:rsidR="00447374" w:rsidRPr="00447374">
        <w:t xml:space="preserve"> </w:t>
      </w:r>
      <w:r w:rsidR="00447374" w:rsidRPr="00447374">
        <w:rPr>
          <w:rFonts w:cs="Arial"/>
          <w:color w:val="000000" w:themeColor="text1"/>
          <w:szCs w:val="20"/>
          <w:lang w:val="sl-SI"/>
        </w:rPr>
        <w:t>spremeni tako, da sprejme vlada na predlog ministra za zunanje zadeve spremembo preglednice indeksov življenjskih stroškov, ki so določeni v prilogi 2 te uredbe, enkrat na leto, tako da se indeksi življenjskih stroškov spremenijo 1. oktobra z zadnjim objavljenim indeksom OZN pred tem datumom.</w:t>
      </w:r>
      <w:r w:rsidR="00447374">
        <w:rPr>
          <w:rFonts w:cs="Arial"/>
          <w:color w:val="000000" w:themeColor="text1"/>
          <w:szCs w:val="20"/>
          <w:lang w:val="sl-SI"/>
        </w:rPr>
        <w:t xml:space="preserve"> </w:t>
      </w:r>
      <w:r w:rsidR="00C35A28">
        <w:rPr>
          <w:rFonts w:cs="Arial"/>
          <w:color w:val="000000" w:themeColor="text1"/>
          <w:szCs w:val="20"/>
          <w:lang w:val="sl-SI"/>
        </w:rPr>
        <w:t>Praksa je pokazala, da določanje osnovnih plač v odvisnosti od indeksov življenjskih stroškov OZN pomeni pogosto nihanje osnovnih plač</w:t>
      </w:r>
      <w:r w:rsidR="004B4F52">
        <w:rPr>
          <w:rFonts w:cs="Arial"/>
          <w:color w:val="000000" w:themeColor="text1"/>
          <w:szCs w:val="20"/>
          <w:lang w:val="sl-SI"/>
        </w:rPr>
        <w:t xml:space="preserve"> za delo v tujini</w:t>
      </w:r>
      <w:r w:rsidR="00C35A28">
        <w:rPr>
          <w:rFonts w:cs="Arial"/>
          <w:color w:val="000000" w:themeColor="text1"/>
          <w:szCs w:val="20"/>
          <w:lang w:val="sl-SI"/>
        </w:rPr>
        <w:t xml:space="preserve">, pri čemer pa višina teh plač ni neposredno povezana z gibanjem življenjskih stroškov v krajih opravljanja dela </w:t>
      </w:r>
      <w:r w:rsidR="004B4F52">
        <w:rPr>
          <w:rFonts w:cs="Arial"/>
          <w:color w:val="000000" w:themeColor="text1"/>
          <w:szCs w:val="20"/>
          <w:lang w:val="sl-SI"/>
        </w:rPr>
        <w:t>javnega uslužbenca. Upoštevaje navedeno je predvideno, da se bo v prvi polovici leta 2020 uveljavila nova (ustreznejša) metodologija določanja osnovnih plač za delo v tujini, do takrat pa se za določitev osnovnih plač za delo v tujini uporabljajo indeksi življenjskih stroškov OZN, ki so bili nazadnje določeni 1. oktobra 2019.</w:t>
      </w:r>
      <w:r w:rsidR="00C35A28">
        <w:rPr>
          <w:rFonts w:cs="Arial"/>
          <w:color w:val="000000" w:themeColor="text1"/>
          <w:szCs w:val="20"/>
          <w:lang w:val="sl-SI"/>
        </w:rPr>
        <w:t xml:space="preserve">    </w:t>
      </w:r>
    </w:p>
    <w:p w:rsidR="00480AFF" w:rsidRPr="00C547DF" w:rsidRDefault="00480AFF" w:rsidP="00C547DF">
      <w:pPr>
        <w:pStyle w:val="podpisi"/>
        <w:ind w:left="-567"/>
        <w:jc w:val="both"/>
        <w:rPr>
          <w:rFonts w:cs="Arial"/>
          <w:color w:val="000000" w:themeColor="text1"/>
          <w:szCs w:val="20"/>
          <w:lang w:val="sl-SI"/>
        </w:rPr>
      </w:pPr>
    </w:p>
    <w:p w:rsidR="00C547DF" w:rsidRPr="00C547DF"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 xml:space="preserve">Zaradi enotnega obračuna plač v primeru izplačila plače za delo v tujini v lokalni valuti, se v šestem odstavku 7. člena uredbe določa tečaj, po katerem se obračunajo plače za delo v tujini, in sicer z zadnjim referenčnim tečajem Evropske centralne banke, ki ga objavlja Banka Slovenije na dan pred dvanajstim dnem v mesecu (Banka Slovenije objavlja tečajnico praviloma vsak delovni dan po 16.15 uri, razen med prazniki in sobotami ter nedeljami, ki za ta dan objavijo tečaj objavljen od zadnjega delovnega dne). </w:t>
      </w:r>
      <w:r w:rsidRPr="00C547DF">
        <w:rPr>
          <w:rFonts w:cs="Arial"/>
          <w:color w:val="000000" w:themeColor="text1"/>
          <w:szCs w:val="20"/>
          <w:lang w:val="sl-SI"/>
        </w:rPr>
        <w:lastRenderedPageBreak/>
        <w:t>Trenutno se obračun plač za delo v tujini izvaja pred obračunom plač v Mferacu, zato se predlaga, da se plače obračunajo za izplačilo po tečaju, veljavnem na dan pred 12. dnem v mesecu.</w:t>
      </w:r>
    </w:p>
    <w:p w:rsidR="00C547DF" w:rsidRPr="00C547DF" w:rsidRDefault="00C547DF" w:rsidP="00C547DF">
      <w:pPr>
        <w:pStyle w:val="podpisi"/>
        <w:ind w:left="-567"/>
        <w:jc w:val="both"/>
        <w:rPr>
          <w:rFonts w:cs="Arial"/>
          <w:color w:val="000000" w:themeColor="text1"/>
          <w:szCs w:val="20"/>
          <w:lang w:val="sl-SI"/>
        </w:rPr>
      </w:pPr>
    </w:p>
    <w:p w:rsidR="00C547DF" w:rsidRPr="00C547DF" w:rsidRDefault="00C547DF" w:rsidP="00C547DF">
      <w:pPr>
        <w:pStyle w:val="podpisi"/>
        <w:rPr>
          <w:rFonts w:cs="Arial"/>
          <w:color w:val="000000" w:themeColor="text1"/>
          <w:szCs w:val="20"/>
          <w:lang w:val="sl-SI"/>
        </w:rPr>
      </w:pPr>
    </w:p>
    <w:p w:rsidR="00C547DF" w:rsidRPr="00C547DF" w:rsidRDefault="00C547DF" w:rsidP="00C547DF">
      <w:pPr>
        <w:pStyle w:val="podpisi"/>
        <w:ind w:left="-567"/>
        <w:rPr>
          <w:rFonts w:cs="Arial"/>
          <w:b/>
          <w:color w:val="000000" w:themeColor="text1"/>
          <w:szCs w:val="20"/>
          <w:lang w:val="sl-SI"/>
        </w:rPr>
      </w:pPr>
      <w:r w:rsidRPr="00C547DF">
        <w:rPr>
          <w:rFonts w:cs="Arial"/>
          <w:b/>
          <w:color w:val="000000" w:themeColor="text1"/>
          <w:szCs w:val="20"/>
          <w:lang w:val="sl-SI"/>
        </w:rPr>
        <w:t>K 2. členu</w:t>
      </w:r>
    </w:p>
    <w:p w:rsidR="00C547DF" w:rsidRPr="00C547DF" w:rsidRDefault="00C547DF" w:rsidP="00C547DF">
      <w:pPr>
        <w:pStyle w:val="podpisi"/>
        <w:ind w:left="-567"/>
        <w:rPr>
          <w:rFonts w:cs="Arial"/>
          <w:color w:val="000000" w:themeColor="text1"/>
          <w:szCs w:val="20"/>
          <w:lang w:val="sl-SI"/>
        </w:rPr>
      </w:pPr>
    </w:p>
    <w:p w:rsidR="00C547DF" w:rsidRPr="00C547DF"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Ministrstvo za izobraževanje, znanost in šport je predlagalo spremembo 8. člena, ki določa, da tudi učiteljem dopolnilnega pouka slovenščine v tujini, učiteljem slovenščine in lektorjem na tujih univerzah pripada dodatek za posebne življenjske razmere v tujini. Zaradi navedenega se v tretjem odstavku 8. člena črta sklic na peto alinejo prvega odstavka 8. člena, ki je do sedaj določal, da jim dodatek za posebne življenjske razmere v tujini ne pripada. Po sklepu vlade št. 10007-6/2019/3 naj bi dodatek za posebne življenjske razmere, ki je opredeljen s tremi fiksnimi zneski, veljal za vse napotene javne uslužbence, ki delajo/prebivajo v enakih življenjskih okoliščinah v tujini. Z realizacijo tega predloga bodo vsi javni uslužbenci, napoteni na delo v tujino, glede prejemanja tega dodatka postavljeni v enak položaj.</w:t>
      </w:r>
    </w:p>
    <w:p w:rsidR="00480AFF" w:rsidRPr="00C547DF" w:rsidRDefault="00480AFF" w:rsidP="00C547DF">
      <w:pPr>
        <w:pStyle w:val="podpisi"/>
        <w:ind w:left="-567"/>
        <w:rPr>
          <w:rFonts w:cs="Arial"/>
          <w:color w:val="000000" w:themeColor="text1"/>
          <w:szCs w:val="20"/>
          <w:lang w:val="sl-SI"/>
        </w:rPr>
      </w:pPr>
    </w:p>
    <w:p w:rsidR="00C547DF" w:rsidRPr="00C547DF" w:rsidRDefault="00C547DF" w:rsidP="00C547DF">
      <w:pPr>
        <w:pStyle w:val="podpisi"/>
        <w:ind w:left="-567"/>
        <w:rPr>
          <w:rFonts w:cs="Arial"/>
          <w:b/>
          <w:color w:val="000000" w:themeColor="text1"/>
          <w:szCs w:val="20"/>
          <w:lang w:val="sl-SI"/>
        </w:rPr>
      </w:pPr>
      <w:r w:rsidRPr="00C547DF">
        <w:rPr>
          <w:rFonts w:cs="Arial"/>
          <w:b/>
          <w:color w:val="000000" w:themeColor="text1"/>
          <w:szCs w:val="20"/>
          <w:lang w:val="sl-SI"/>
        </w:rPr>
        <w:t>K 3. členu</w:t>
      </w:r>
    </w:p>
    <w:p w:rsidR="00C547DF" w:rsidRPr="00C547DF" w:rsidRDefault="00C547DF" w:rsidP="00C547DF">
      <w:pPr>
        <w:pStyle w:val="podpisi"/>
        <w:ind w:left="-567"/>
        <w:rPr>
          <w:rFonts w:cs="Arial"/>
          <w:color w:val="000000" w:themeColor="text1"/>
          <w:szCs w:val="20"/>
          <w:lang w:val="sl-SI"/>
        </w:rPr>
      </w:pPr>
    </w:p>
    <w:p w:rsidR="00C547DF" w:rsidRPr="00C547DF"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Dodatek za opravljanje dodatnih nalog, ki povečujejo obseg dela zaposlenih je opredeljen v veljavnem 11. členu. Po veljavni ureditvi se lahko izplača za opravljanje finančnih in varnostnih nalog zaposlenim, kot jih določa prvi odstavek 11. člena, pri tem pa je višina dodatka odvisna od tarifnega razreda, v katerega je uvrščeno delovno mesto. S spremembo prvega stavka drugega odstavka 11. člena se opušča vezavo višine dodatka za opravljanje dodatnih nalog na tarifni razred delovnega mesta, saj so naloge vodenja finančnega poslovanja in opravljanje varnostnih nalog identične, ne glede na stopnjo izobrazbe oz. tarifni razred javnega uslužbenca. Zato se določa višina dodatka posebej za opravljanje finančnih nalog v višini 304,21 eura in posebej za opravljanje varnostnih ter drugih nalog v višini 200,00 evrov.</w:t>
      </w:r>
    </w:p>
    <w:p w:rsidR="00480AFF" w:rsidRPr="00C547DF" w:rsidRDefault="00480AFF" w:rsidP="00C547DF">
      <w:pPr>
        <w:pStyle w:val="podpisi"/>
        <w:ind w:left="-567"/>
        <w:rPr>
          <w:rFonts w:cs="Arial"/>
          <w:color w:val="000000" w:themeColor="text1"/>
          <w:szCs w:val="20"/>
          <w:lang w:val="sl-SI"/>
        </w:rPr>
      </w:pPr>
    </w:p>
    <w:p w:rsidR="00C547DF" w:rsidRPr="00C547DF" w:rsidRDefault="00C547DF" w:rsidP="00C547DF">
      <w:pPr>
        <w:pStyle w:val="podpisi"/>
        <w:ind w:left="-567"/>
        <w:rPr>
          <w:rFonts w:cs="Arial"/>
          <w:b/>
          <w:color w:val="000000" w:themeColor="text1"/>
          <w:szCs w:val="20"/>
          <w:lang w:val="sl-SI"/>
        </w:rPr>
      </w:pPr>
      <w:r w:rsidRPr="00C547DF">
        <w:rPr>
          <w:rFonts w:cs="Arial"/>
          <w:b/>
          <w:color w:val="000000" w:themeColor="text1"/>
          <w:szCs w:val="20"/>
          <w:lang w:val="sl-SI"/>
        </w:rPr>
        <w:t>K 4. členu</w:t>
      </w:r>
    </w:p>
    <w:p w:rsidR="00C547DF" w:rsidRPr="00C547DF" w:rsidRDefault="00C547DF" w:rsidP="00C547DF">
      <w:pPr>
        <w:pStyle w:val="podpisi"/>
        <w:ind w:left="-567"/>
        <w:rPr>
          <w:rFonts w:cs="Arial"/>
          <w:color w:val="000000" w:themeColor="text1"/>
          <w:szCs w:val="20"/>
          <w:lang w:val="sl-SI"/>
        </w:rPr>
      </w:pPr>
    </w:p>
    <w:p w:rsidR="00C547DF" w:rsidRPr="00C547DF"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V uredbi, ki je bila objavljena v Uradnem listu RS, št. 59/19 sta bila spremenjena 27. člen (dnevnica) in 40. člen (povračilo stroškov za učenje tujega jezika) v delu, da tudi učiteljem dopolnilnega pouka slovenščine v tujini, učiteljem slovenščine in lektorjem na tujih univerzah pripada povračilo navedenih dveh stroškov.</w:t>
      </w:r>
    </w:p>
    <w:p w:rsidR="00C547DF" w:rsidRPr="00C547DF" w:rsidRDefault="00C547DF" w:rsidP="00C547DF">
      <w:pPr>
        <w:pStyle w:val="podpisi"/>
        <w:ind w:left="-567"/>
        <w:jc w:val="both"/>
        <w:rPr>
          <w:rFonts w:cs="Arial"/>
          <w:color w:val="000000" w:themeColor="text1"/>
          <w:szCs w:val="20"/>
          <w:lang w:val="sl-SI"/>
        </w:rPr>
      </w:pPr>
    </w:p>
    <w:p w:rsidR="00C547DF" w:rsidRPr="00C547DF"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 xml:space="preserve">Upoštevaje dejstvo, da gre pri tem za povezavo z 22. členom, ki določa vrste povračil, nadomestil in drugih prejemkov javnih uslužbencev v tujini, je treba redakcijsko popraviti šesti odstavek 22. člena. </w:t>
      </w:r>
    </w:p>
    <w:p w:rsidR="00480AFF" w:rsidRPr="00480AFF" w:rsidRDefault="00C547DF" w:rsidP="00294D0C">
      <w:pPr>
        <w:pStyle w:val="podpisi"/>
        <w:ind w:left="-567"/>
        <w:jc w:val="both"/>
        <w:rPr>
          <w:rFonts w:cs="Arial"/>
          <w:color w:val="000000" w:themeColor="text1"/>
          <w:szCs w:val="20"/>
          <w:lang w:val="sl-SI"/>
        </w:rPr>
      </w:pPr>
      <w:r w:rsidRPr="00C547DF">
        <w:rPr>
          <w:rFonts w:cs="Arial"/>
          <w:color w:val="000000" w:themeColor="text1"/>
          <w:szCs w:val="20"/>
          <w:lang w:val="sl-SI"/>
        </w:rPr>
        <w:t xml:space="preserve"> </w:t>
      </w:r>
    </w:p>
    <w:p w:rsidR="00C547DF" w:rsidRPr="00C547DF" w:rsidRDefault="00C547DF" w:rsidP="00C547DF">
      <w:pPr>
        <w:pStyle w:val="podpisi"/>
        <w:ind w:left="-567"/>
        <w:rPr>
          <w:rFonts w:cs="Arial"/>
          <w:b/>
          <w:color w:val="000000" w:themeColor="text1"/>
          <w:szCs w:val="20"/>
          <w:lang w:val="sl-SI"/>
        </w:rPr>
      </w:pPr>
      <w:r w:rsidRPr="00C547DF">
        <w:rPr>
          <w:rFonts w:cs="Arial"/>
          <w:b/>
          <w:color w:val="000000" w:themeColor="text1"/>
          <w:szCs w:val="20"/>
          <w:lang w:val="sl-SI"/>
        </w:rPr>
        <w:t>K 5. členu</w:t>
      </w:r>
    </w:p>
    <w:p w:rsidR="00C547DF" w:rsidRPr="00C547DF" w:rsidRDefault="00C547DF" w:rsidP="00C547DF">
      <w:pPr>
        <w:pStyle w:val="podpisi"/>
        <w:ind w:left="-567"/>
        <w:rPr>
          <w:rFonts w:cs="Arial"/>
          <w:color w:val="000000" w:themeColor="text1"/>
          <w:szCs w:val="20"/>
          <w:lang w:val="sl-SI"/>
        </w:rPr>
      </w:pPr>
    </w:p>
    <w:p w:rsidR="00C547DF" w:rsidRPr="00C547DF" w:rsidRDefault="00C547DF" w:rsidP="008E5183">
      <w:pPr>
        <w:pStyle w:val="podpisi"/>
        <w:ind w:left="-567"/>
        <w:jc w:val="both"/>
        <w:rPr>
          <w:rFonts w:cs="Arial"/>
          <w:color w:val="000000" w:themeColor="text1"/>
          <w:szCs w:val="20"/>
          <w:lang w:val="sl-SI"/>
        </w:rPr>
      </w:pPr>
      <w:r w:rsidRPr="00C547DF">
        <w:rPr>
          <w:rFonts w:cs="Arial"/>
          <w:color w:val="000000" w:themeColor="text1"/>
          <w:szCs w:val="20"/>
          <w:lang w:val="sl-SI"/>
        </w:rPr>
        <w:t>S</w:t>
      </w:r>
      <w:r w:rsidR="008E5183">
        <w:rPr>
          <w:rFonts w:cs="Arial"/>
          <w:color w:val="000000" w:themeColor="text1"/>
          <w:szCs w:val="20"/>
          <w:lang w:val="sl-SI"/>
        </w:rPr>
        <w:t xml:space="preserve"> </w:t>
      </w:r>
      <w:r w:rsidRPr="00C547DF">
        <w:rPr>
          <w:rFonts w:cs="Arial"/>
          <w:color w:val="000000" w:themeColor="text1"/>
          <w:szCs w:val="20"/>
          <w:lang w:val="sl-SI"/>
        </w:rPr>
        <w:t>črtanjem drugega stavka v devetem odstavku 32. člena</w:t>
      </w:r>
      <w:r w:rsidR="008E5183">
        <w:rPr>
          <w:rFonts w:cs="Arial"/>
          <w:color w:val="000000" w:themeColor="text1"/>
          <w:szCs w:val="20"/>
          <w:lang w:val="sl-SI"/>
        </w:rPr>
        <w:t xml:space="preserve"> </w:t>
      </w:r>
      <w:r w:rsidRPr="00C547DF">
        <w:rPr>
          <w:rFonts w:cs="Arial"/>
          <w:color w:val="000000" w:themeColor="text1"/>
          <w:szCs w:val="20"/>
          <w:lang w:val="sl-SI"/>
        </w:rPr>
        <w:t xml:space="preserve">se vsebina uskladi s stolpci iz priloge 3 (Preglednica limitov za povračilo stroškov za nastanitev javnega uslužbenca za delo v tujini) v noveli uredbe, objavljene v Uradnem listu RS št. 59/19, po kateri so učitelji </w:t>
      </w:r>
      <w:r w:rsidR="008E5183">
        <w:rPr>
          <w:rFonts w:cs="Arial"/>
          <w:color w:val="000000" w:themeColor="text1"/>
          <w:szCs w:val="20"/>
          <w:lang w:val="sl-SI"/>
        </w:rPr>
        <w:t>(tj. u</w:t>
      </w:r>
      <w:r w:rsidR="008E5183" w:rsidRPr="008E5183">
        <w:rPr>
          <w:rFonts w:cs="Arial"/>
          <w:color w:val="000000" w:themeColor="text1"/>
          <w:szCs w:val="20"/>
          <w:lang w:val="sl-SI"/>
        </w:rPr>
        <w:t>čitelj</w:t>
      </w:r>
      <w:r w:rsidR="008E5183">
        <w:rPr>
          <w:rFonts w:cs="Arial"/>
          <w:color w:val="000000" w:themeColor="text1"/>
          <w:szCs w:val="20"/>
          <w:lang w:val="sl-SI"/>
        </w:rPr>
        <w:t>i</w:t>
      </w:r>
      <w:r w:rsidR="008E5183" w:rsidRPr="008E5183">
        <w:rPr>
          <w:rFonts w:cs="Arial"/>
          <w:color w:val="000000" w:themeColor="text1"/>
          <w:szCs w:val="20"/>
          <w:lang w:val="sl-SI"/>
        </w:rPr>
        <w:t xml:space="preserve"> slovenščine</w:t>
      </w:r>
      <w:r w:rsidR="008E5183">
        <w:rPr>
          <w:rFonts w:cs="Arial"/>
          <w:color w:val="000000" w:themeColor="text1"/>
          <w:szCs w:val="20"/>
          <w:lang w:val="sl-SI"/>
        </w:rPr>
        <w:t>,</w:t>
      </w:r>
      <w:r w:rsidR="008E5183" w:rsidRPr="008E5183">
        <w:rPr>
          <w:rFonts w:cs="Arial"/>
          <w:color w:val="000000" w:themeColor="text1"/>
          <w:szCs w:val="20"/>
          <w:lang w:val="sl-SI"/>
        </w:rPr>
        <w:t xml:space="preserve"> lektorj</w:t>
      </w:r>
      <w:r w:rsidR="008E5183">
        <w:rPr>
          <w:rFonts w:cs="Arial"/>
          <w:color w:val="000000" w:themeColor="text1"/>
          <w:szCs w:val="20"/>
          <w:lang w:val="sl-SI"/>
        </w:rPr>
        <w:t>i</w:t>
      </w:r>
      <w:r w:rsidR="008E5183" w:rsidRPr="008E5183">
        <w:rPr>
          <w:rFonts w:cs="Arial"/>
          <w:color w:val="000000" w:themeColor="text1"/>
          <w:szCs w:val="20"/>
          <w:lang w:val="sl-SI"/>
        </w:rPr>
        <w:t xml:space="preserve"> na tujih univerzah ter drugi učitelj</w:t>
      </w:r>
      <w:r w:rsidR="008E5183">
        <w:rPr>
          <w:rFonts w:cs="Arial"/>
          <w:color w:val="000000" w:themeColor="text1"/>
          <w:szCs w:val="20"/>
          <w:lang w:val="sl-SI"/>
        </w:rPr>
        <w:t>i</w:t>
      </w:r>
      <w:r w:rsidR="008E5183" w:rsidRPr="008E5183">
        <w:rPr>
          <w:rFonts w:cs="Arial"/>
          <w:color w:val="000000" w:themeColor="text1"/>
          <w:szCs w:val="20"/>
          <w:lang w:val="sl-SI"/>
        </w:rPr>
        <w:t xml:space="preserve"> na delu v tujini</w:t>
      </w:r>
      <w:r w:rsidR="008E5183">
        <w:rPr>
          <w:rFonts w:cs="Arial"/>
          <w:color w:val="000000" w:themeColor="text1"/>
          <w:szCs w:val="20"/>
          <w:lang w:val="sl-SI"/>
        </w:rPr>
        <w:t xml:space="preserve">) </w:t>
      </w:r>
      <w:r w:rsidRPr="00C547DF">
        <w:rPr>
          <w:rFonts w:cs="Arial"/>
          <w:color w:val="000000" w:themeColor="text1"/>
          <w:szCs w:val="20"/>
          <w:lang w:val="sl-SI"/>
        </w:rPr>
        <w:t>glede nastanitve obravnavani kot drugi javni uslužbenci. V drugem odstavku pa se izraz srednji tečaj Banke Slovenije nadomesti z navedbo referenčnega tečaja Evropske centralne banke, ker srednji tečaj več ne obstaja. Gre za redakcijski popravek.</w:t>
      </w:r>
    </w:p>
    <w:p w:rsidR="00294D0C" w:rsidRPr="00C547DF" w:rsidRDefault="00294D0C" w:rsidP="00826DFA">
      <w:pPr>
        <w:pStyle w:val="podpisi"/>
        <w:jc w:val="both"/>
        <w:rPr>
          <w:rFonts w:cs="Arial"/>
          <w:color w:val="000000" w:themeColor="text1"/>
          <w:szCs w:val="20"/>
          <w:lang w:val="sl-SI"/>
        </w:rPr>
      </w:pPr>
    </w:p>
    <w:p w:rsidR="00C547DF" w:rsidRPr="00C547DF" w:rsidRDefault="00C547DF" w:rsidP="00C547DF">
      <w:pPr>
        <w:pStyle w:val="podpisi"/>
        <w:ind w:left="-567"/>
        <w:rPr>
          <w:rFonts w:cs="Arial"/>
          <w:b/>
          <w:color w:val="000000" w:themeColor="text1"/>
          <w:szCs w:val="20"/>
          <w:lang w:val="sl-SI"/>
        </w:rPr>
      </w:pPr>
      <w:r w:rsidRPr="00C547DF">
        <w:rPr>
          <w:rFonts w:cs="Arial"/>
          <w:b/>
          <w:color w:val="000000" w:themeColor="text1"/>
          <w:szCs w:val="20"/>
          <w:lang w:val="sl-SI"/>
        </w:rPr>
        <w:t xml:space="preserve">K </w:t>
      </w:r>
      <w:r w:rsidR="00826DFA">
        <w:rPr>
          <w:rFonts w:cs="Arial"/>
          <w:b/>
          <w:color w:val="000000" w:themeColor="text1"/>
          <w:szCs w:val="20"/>
          <w:lang w:val="sl-SI"/>
        </w:rPr>
        <w:t>6</w:t>
      </w:r>
      <w:r w:rsidRPr="00C547DF">
        <w:rPr>
          <w:rFonts w:cs="Arial"/>
          <w:b/>
          <w:color w:val="000000" w:themeColor="text1"/>
          <w:szCs w:val="20"/>
          <w:lang w:val="sl-SI"/>
        </w:rPr>
        <w:t>. členu</w:t>
      </w:r>
    </w:p>
    <w:p w:rsidR="00294D0C" w:rsidRDefault="00294D0C" w:rsidP="00C547DF">
      <w:pPr>
        <w:pStyle w:val="podpisi"/>
        <w:ind w:left="-567"/>
        <w:jc w:val="both"/>
        <w:rPr>
          <w:rFonts w:cs="Arial"/>
          <w:color w:val="000000" w:themeColor="text1"/>
          <w:szCs w:val="20"/>
          <w:lang w:val="sl-SI"/>
        </w:rPr>
      </w:pPr>
    </w:p>
    <w:p w:rsidR="00C547DF" w:rsidRPr="00C547DF"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Ker bi se nekaterim javnim uslužbencem na podlagi nove ureditve dodatek lahko znižal, se predlaga prehodna ureditev, po kateri se javnim uslužbencem, ki bi jim po novi ureditvi pripadal dodatek za opravljanje dodatnih nalog v nižjem znesku, kot so ga prejemali do uveljavitve te spremembe, do poteka razporeditve na delo v tujini, izplačuje dodatek za opravljanje dodatnih nalog v višini, kot je bila določena pred uveljavitvijo te uredbe.</w:t>
      </w:r>
    </w:p>
    <w:p w:rsidR="00480AFF" w:rsidRPr="00C547DF" w:rsidRDefault="00480AFF" w:rsidP="00C547DF">
      <w:pPr>
        <w:pStyle w:val="podpisi"/>
        <w:ind w:left="-567"/>
        <w:jc w:val="both"/>
        <w:rPr>
          <w:rFonts w:cs="Arial"/>
          <w:color w:val="000000" w:themeColor="text1"/>
          <w:szCs w:val="20"/>
          <w:lang w:val="sl-SI"/>
        </w:rPr>
      </w:pPr>
      <w:bookmarkStart w:id="9" w:name="_GoBack"/>
      <w:bookmarkEnd w:id="9"/>
    </w:p>
    <w:p w:rsidR="00C547DF" w:rsidRPr="00C547DF" w:rsidRDefault="00C547DF" w:rsidP="00C547DF">
      <w:pPr>
        <w:pStyle w:val="podpisi"/>
        <w:ind w:left="-567"/>
        <w:rPr>
          <w:rFonts w:cs="Arial"/>
          <w:b/>
          <w:color w:val="000000" w:themeColor="text1"/>
          <w:szCs w:val="20"/>
          <w:lang w:val="sl-SI"/>
        </w:rPr>
      </w:pPr>
      <w:r w:rsidRPr="00C547DF">
        <w:rPr>
          <w:rFonts w:cs="Arial"/>
          <w:b/>
          <w:color w:val="000000" w:themeColor="text1"/>
          <w:szCs w:val="20"/>
          <w:lang w:val="sl-SI"/>
        </w:rPr>
        <w:t xml:space="preserve">K </w:t>
      </w:r>
      <w:r w:rsidR="00826DFA">
        <w:rPr>
          <w:rFonts w:cs="Arial"/>
          <w:b/>
          <w:color w:val="000000" w:themeColor="text1"/>
          <w:szCs w:val="20"/>
          <w:lang w:val="sl-SI"/>
        </w:rPr>
        <w:t>7</w:t>
      </w:r>
      <w:r w:rsidRPr="00C547DF">
        <w:rPr>
          <w:rFonts w:cs="Arial"/>
          <w:b/>
          <w:color w:val="000000" w:themeColor="text1"/>
          <w:szCs w:val="20"/>
          <w:lang w:val="sl-SI"/>
        </w:rPr>
        <w:t>. členu</w:t>
      </w:r>
    </w:p>
    <w:p w:rsidR="00C547DF" w:rsidRPr="00C547DF" w:rsidRDefault="00C547DF" w:rsidP="00C547DF">
      <w:pPr>
        <w:pStyle w:val="podpisi"/>
        <w:ind w:left="-567"/>
        <w:rPr>
          <w:rFonts w:cs="Arial"/>
          <w:color w:val="000000" w:themeColor="text1"/>
          <w:szCs w:val="20"/>
          <w:lang w:val="sl-SI"/>
        </w:rPr>
      </w:pPr>
    </w:p>
    <w:p w:rsidR="00C547DF" w:rsidRPr="007751B5" w:rsidRDefault="00C547DF" w:rsidP="00C547DF">
      <w:pPr>
        <w:pStyle w:val="podpisi"/>
        <w:ind w:left="-567"/>
        <w:jc w:val="both"/>
        <w:rPr>
          <w:rFonts w:cs="Arial"/>
          <w:color w:val="000000" w:themeColor="text1"/>
          <w:szCs w:val="20"/>
          <w:lang w:val="sl-SI"/>
        </w:rPr>
      </w:pPr>
      <w:r w:rsidRPr="00C547DF">
        <w:rPr>
          <w:rFonts w:cs="Arial"/>
          <w:color w:val="000000" w:themeColor="text1"/>
          <w:szCs w:val="20"/>
          <w:lang w:val="sl-SI"/>
        </w:rPr>
        <w:t>Člen določa začetek veljavnosti uredbe, in sicer ta začne veljati 1. februarja 2020.</w:t>
      </w:r>
    </w:p>
    <w:sectPr w:rsidR="00C547DF" w:rsidRPr="007751B5" w:rsidSect="00164064">
      <w:headerReference w:type="even" r:id="rId27"/>
      <w:headerReference w:type="default" r:id="rId28"/>
      <w:footerReference w:type="even" r:id="rId29"/>
      <w:footerReference w:type="default" r:id="rId30"/>
      <w:headerReference w:type="first" r:id="rId31"/>
      <w:footerReference w:type="first" r:id="rId3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128" w:rsidRDefault="00344128">
      <w:r>
        <w:separator/>
      </w:r>
    </w:p>
  </w:endnote>
  <w:endnote w:type="continuationSeparator" w:id="0">
    <w:p w:rsidR="00344128" w:rsidRDefault="0034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128" w:rsidRDefault="00344128">
      <w:r>
        <w:separator/>
      </w:r>
    </w:p>
  </w:footnote>
  <w:footnote w:type="continuationSeparator" w:id="0">
    <w:p w:rsidR="00344128" w:rsidRDefault="0034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2F4D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C9246A"/>
    <w:multiLevelType w:val="hybridMultilevel"/>
    <w:tmpl w:val="9D146E3E"/>
    <w:lvl w:ilvl="0" w:tplc="315AC17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num w:numId="1">
    <w:abstractNumId w:val="11"/>
  </w:num>
  <w:num w:numId="2">
    <w:abstractNumId w:val="6"/>
  </w:num>
  <w:num w:numId="3">
    <w:abstractNumId w:val="9"/>
  </w:num>
  <w:num w:numId="4">
    <w:abstractNumId w:val="0"/>
  </w:num>
  <w:num w:numId="5">
    <w:abstractNumId w:val="2"/>
  </w:num>
  <w:num w:numId="6">
    <w:abstractNumId w:val="10"/>
  </w:num>
  <w:num w:numId="7">
    <w:abstractNumId w:val="4"/>
  </w:num>
  <w:num w:numId="8">
    <w:abstractNumId w:val="13"/>
  </w:num>
  <w:num w:numId="9">
    <w:abstractNumId w:val="8"/>
  </w:num>
  <w:num w:numId="10">
    <w:abstractNumId w:val="5"/>
  </w:num>
  <w:num w:numId="11">
    <w:abstractNumId w:val="12"/>
  </w:num>
  <w:num w:numId="12">
    <w:abstractNumId w:val="3"/>
  </w:num>
  <w:num w:numId="13">
    <w:abstractNumId w:val="1"/>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4"/>
    <w:rsid w:val="000102AB"/>
    <w:rsid w:val="00023A88"/>
    <w:rsid w:val="000A6401"/>
    <w:rsid w:val="000A7238"/>
    <w:rsid w:val="000B04B5"/>
    <w:rsid w:val="000E1055"/>
    <w:rsid w:val="000E43BB"/>
    <w:rsid w:val="00114353"/>
    <w:rsid w:val="00127B86"/>
    <w:rsid w:val="00131ADC"/>
    <w:rsid w:val="001357B2"/>
    <w:rsid w:val="00146949"/>
    <w:rsid w:val="00161875"/>
    <w:rsid w:val="00162821"/>
    <w:rsid w:val="00164064"/>
    <w:rsid w:val="0017478F"/>
    <w:rsid w:val="001B3F20"/>
    <w:rsid w:val="00202A77"/>
    <w:rsid w:val="00267E56"/>
    <w:rsid w:val="00271CE5"/>
    <w:rsid w:val="00282020"/>
    <w:rsid w:val="00294D0C"/>
    <w:rsid w:val="00295A22"/>
    <w:rsid w:val="002A212E"/>
    <w:rsid w:val="002A2B69"/>
    <w:rsid w:val="003275C0"/>
    <w:rsid w:val="00344128"/>
    <w:rsid w:val="003636BF"/>
    <w:rsid w:val="00371442"/>
    <w:rsid w:val="003845B4"/>
    <w:rsid w:val="00387B1A"/>
    <w:rsid w:val="003B46C4"/>
    <w:rsid w:val="003C5EE5"/>
    <w:rsid w:val="003E1C74"/>
    <w:rsid w:val="004122BB"/>
    <w:rsid w:val="00420D5D"/>
    <w:rsid w:val="00425D51"/>
    <w:rsid w:val="00447374"/>
    <w:rsid w:val="00453BC0"/>
    <w:rsid w:val="004657EE"/>
    <w:rsid w:val="00480AFF"/>
    <w:rsid w:val="00482FF5"/>
    <w:rsid w:val="00486664"/>
    <w:rsid w:val="004B4F52"/>
    <w:rsid w:val="00505F83"/>
    <w:rsid w:val="005207C5"/>
    <w:rsid w:val="00526246"/>
    <w:rsid w:val="00553104"/>
    <w:rsid w:val="00567106"/>
    <w:rsid w:val="00571297"/>
    <w:rsid w:val="005C7931"/>
    <w:rsid w:val="005D656F"/>
    <w:rsid w:val="005E1D3C"/>
    <w:rsid w:val="00625AE6"/>
    <w:rsid w:val="00632253"/>
    <w:rsid w:val="00642714"/>
    <w:rsid w:val="006455CE"/>
    <w:rsid w:val="00655841"/>
    <w:rsid w:val="00655E20"/>
    <w:rsid w:val="006955B5"/>
    <w:rsid w:val="00733017"/>
    <w:rsid w:val="007751B5"/>
    <w:rsid w:val="00783310"/>
    <w:rsid w:val="007A4A6D"/>
    <w:rsid w:val="007A75A3"/>
    <w:rsid w:val="007D1BCF"/>
    <w:rsid w:val="007D75CF"/>
    <w:rsid w:val="007E0440"/>
    <w:rsid w:val="007E6DC5"/>
    <w:rsid w:val="00803E02"/>
    <w:rsid w:val="00826DFA"/>
    <w:rsid w:val="00832EE6"/>
    <w:rsid w:val="008543D2"/>
    <w:rsid w:val="00866E80"/>
    <w:rsid w:val="00877FFC"/>
    <w:rsid w:val="0088043C"/>
    <w:rsid w:val="00884889"/>
    <w:rsid w:val="00890396"/>
    <w:rsid w:val="008906C9"/>
    <w:rsid w:val="008C5738"/>
    <w:rsid w:val="008D04F0"/>
    <w:rsid w:val="008E5183"/>
    <w:rsid w:val="008E65EB"/>
    <w:rsid w:val="008F3500"/>
    <w:rsid w:val="00915C0D"/>
    <w:rsid w:val="00924E3C"/>
    <w:rsid w:val="00944813"/>
    <w:rsid w:val="00957B61"/>
    <w:rsid w:val="009612BB"/>
    <w:rsid w:val="00972AC6"/>
    <w:rsid w:val="0098614D"/>
    <w:rsid w:val="0099437B"/>
    <w:rsid w:val="009C740A"/>
    <w:rsid w:val="009E73D7"/>
    <w:rsid w:val="00A125C5"/>
    <w:rsid w:val="00A224C8"/>
    <w:rsid w:val="00A2451C"/>
    <w:rsid w:val="00A3126E"/>
    <w:rsid w:val="00A65EE7"/>
    <w:rsid w:val="00A70133"/>
    <w:rsid w:val="00A770A6"/>
    <w:rsid w:val="00A813B1"/>
    <w:rsid w:val="00A865DE"/>
    <w:rsid w:val="00AA231B"/>
    <w:rsid w:val="00AA7DEF"/>
    <w:rsid w:val="00AB36C4"/>
    <w:rsid w:val="00AC32B2"/>
    <w:rsid w:val="00AD217D"/>
    <w:rsid w:val="00AF051B"/>
    <w:rsid w:val="00AF0E2E"/>
    <w:rsid w:val="00B01FC9"/>
    <w:rsid w:val="00B10451"/>
    <w:rsid w:val="00B17141"/>
    <w:rsid w:val="00B2563E"/>
    <w:rsid w:val="00B31575"/>
    <w:rsid w:val="00B84822"/>
    <w:rsid w:val="00B8547D"/>
    <w:rsid w:val="00B86E91"/>
    <w:rsid w:val="00BA7BBC"/>
    <w:rsid w:val="00BE767E"/>
    <w:rsid w:val="00BF75A9"/>
    <w:rsid w:val="00C11207"/>
    <w:rsid w:val="00C250D5"/>
    <w:rsid w:val="00C35666"/>
    <w:rsid w:val="00C35A28"/>
    <w:rsid w:val="00C547DF"/>
    <w:rsid w:val="00C6447B"/>
    <w:rsid w:val="00C71699"/>
    <w:rsid w:val="00C82F58"/>
    <w:rsid w:val="00C92898"/>
    <w:rsid w:val="00CA4340"/>
    <w:rsid w:val="00CB71FE"/>
    <w:rsid w:val="00CE5238"/>
    <w:rsid w:val="00CE7514"/>
    <w:rsid w:val="00CF322E"/>
    <w:rsid w:val="00CF430C"/>
    <w:rsid w:val="00D248DE"/>
    <w:rsid w:val="00D8542D"/>
    <w:rsid w:val="00D90152"/>
    <w:rsid w:val="00DC6A71"/>
    <w:rsid w:val="00E0357D"/>
    <w:rsid w:val="00E124C9"/>
    <w:rsid w:val="00E3087B"/>
    <w:rsid w:val="00E74CF8"/>
    <w:rsid w:val="00E76A2E"/>
    <w:rsid w:val="00EA0413"/>
    <w:rsid w:val="00ED1C3E"/>
    <w:rsid w:val="00ED6779"/>
    <w:rsid w:val="00F15400"/>
    <w:rsid w:val="00F240BB"/>
    <w:rsid w:val="00F47C45"/>
    <w:rsid w:val="00F57FED"/>
    <w:rsid w:val="00F72ED5"/>
    <w:rsid w:val="00FC5A9A"/>
    <w:rsid w:val="00FD03B7"/>
    <w:rsid w:val="00FE0194"/>
    <w:rsid w:val="00FE7CB6"/>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66382A2"/>
  <w15:chartTrackingRefBased/>
  <w15:docId w15:val="{30E0FF23-EF1E-400A-ADCD-652A32A5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9E73D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E73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pju.gov.si/pageuploads/DPJS/Zakonodaja/2012-01-2651-npb6.doc" TargetMode="External"/><Relationship Id="rId13" Type="http://schemas.openxmlformats.org/officeDocument/2006/relationships/hyperlink" Target="http://www.uradni-list.si/1/objava.jsp?sop=2010-01-5583" TargetMode="External"/><Relationship Id="rId18" Type="http://schemas.openxmlformats.org/officeDocument/2006/relationships/hyperlink" Target="http://www.uradni-list.si/1/objava.jsp?sop=2014-01-0961" TargetMode="External"/><Relationship Id="rId26" Type="http://schemas.openxmlformats.org/officeDocument/2006/relationships/hyperlink" Target="http://www.uradni-list.si/1/objava.jsp?urlurid=20082481" TargetMode="External"/><Relationship Id="rId3" Type="http://schemas.openxmlformats.org/officeDocument/2006/relationships/settings" Target="settings.xml"/><Relationship Id="rId21" Type="http://schemas.openxmlformats.org/officeDocument/2006/relationships/hyperlink" Target="http://www.uradni-list.si/1/objava.jsp?sop=2015-01-3254" TargetMode="External"/><Relationship Id="rId34" Type="http://schemas.openxmlformats.org/officeDocument/2006/relationships/theme" Target="theme/theme1.xml"/><Relationship Id="rId7" Type="http://schemas.openxmlformats.org/officeDocument/2006/relationships/hyperlink" Target="mailto:Gp.gs@gov.si" TargetMode="External"/><Relationship Id="rId12" Type="http://schemas.openxmlformats.org/officeDocument/2006/relationships/hyperlink" Target="http://www.uradni-list.si/1/objava.jsp?sop=2010-01-4554" TargetMode="External"/><Relationship Id="rId17" Type="http://schemas.openxmlformats.org/officeDocument/2006/relationships/hyperlink" Target="http://www.uradni-list.si/1/objava.jsp?sop=2013-01-1753" TargetMode="External"/><Relationship Id="rId25" Type="http://schemas.openxmlformats.org/officeDocument/2006/relationships/hyperlink" Target="http://www.uradni-list.si/1/objava.jsp?urlurid=2007376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4-01-394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3273" TargetMode="External"/><Relationship Id="rId24" Type="http://schemas.openxmlformats.org/officeDocument/2006/relationships/hyperlink" Target="http://www.uradni-list.si/1/objava.jsp?sop=2018-01-4122"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12-01-1121" TargetMode="External"/><Relationship Id="rId23" Type="http://schemas.openxmlformats.org/officeDocument/2006/relationships/hyperlink" Target="http://www.uradni-list.si/1/objava.jsp?sop=2017-01-3165" TargetMode="External"/><Relationship Id="rId28" Type="http://schemas.openxmlformats.org/officeDocument/2006/relationships/header" Target="header2.xml"/><Relationship Id="rId10" Type="http://schemas.openxmlformats.org/officeDocument/2006/relationships/hyperlink" Target="http://www.uradni-list.si/1/objava.jsp?sop=2010-01-0520" TargetMode="External"/><Relationship Id="rId19" Type="http://schemas.openxmlformats.org/officeDocument/2006/relationships/hyperlink" Target="http://www.uradni-list.si/1/objava.jsp?sop=2014-01-2074"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radni-list.si/1/objava.jsp?sop=2009-01-4891" TargetMode="External"/><Relationship Id="rId14" Type="http://schemas.openxmlformats.org/officeDocument/2006/relationships/hyperlink" Target="http://www.uradni-list.si/1/objava.jsp?sop=2011-01-1743" TargetMode="External"/><Relationship Id="rId22" Type="http://schemas.openxmlformats.org/officeDocument/2006/relationships/hyperlink" Target="http://www.uradni-list.si/1/objava.jsp?sop=2017-01-1206"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1</TotalTime>
  <Pages>10</Pages>
  <Words>3558</Words>
  <Characters>20286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Jerneja Pogorevc</cp:lastModifiedBy>
  <cp:revision>3</cp:revision>
  <cp:lastPrinted>2020-01-27T05:35:00Z</cp:lastPrinted>
  <dcterms:created xsi:type="dcterms:W3CDTF">2020-01-28T06:21:00Z</dcterms:created>
  <dcterms:modified xsi:type="dcterms:W3CDTF">2020-01-28T06:41:00Z</dcterms:modified>
</cp:coreProperties>
</file>