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1" w:rsidRPr="002760DC" w:rsidRDefault="002D7271" w:rsidP="002D7271">
      <w:pPr>
        <w:pStyle w:val="datumtevilka"/>
      </w:pPr>
      <w:bookmarkStart w:id="0" w:name="_Hlk18394642"/>
      <w:r w:rsidRPr="002760DC">
        <w:t xml:space="preserve">Številka: </w:t>
      </w:r>
      <w:r w:rsidRPr="002760DC">
        <w:tab/>
      </w:r>
      <w:r>
        <w:rPr>
          <w:rFonts w:cs="Arial"/>
          <w:color w:val="000000"/>
        </w:rPr>
        <w:t>00104-242/2019/7</w:t>
      </w:r>
    </w:p>
    <w:p w:rsidR="002D7271" w:rsidRDefault="002D7271" w:rsidP="002D7271">
      <w:pPr>
        <w:pStyle w:val="datumtevilka"/>
      </w:pPr>
      <w:r>
        <w:t>Datum:</w:t>
      </w:r>
      <w:r w:rsidRPr="002760DC">
        <w:tab/>
      </w:r>
      <w:r>
        <w:rPr>
          <w:rFonts w:cs="Arial"/>
          <w:color w:val="000000"/>
        </w:rPr>
        <w:t>19. 9. 2019</w:t>
      </w:r>
      <w:r w:rsidRPr="002760DC">
        <w:t xml:space="preserve"> </w:t>
      </w:r>
    </w:p>
    <w:p w:rsidR="002D7271" w:rsidRDefault="002D7271" w:rsidP="002D7271">
      <w:pPr>
        <w:pStyle w:val="datumtevilka"/>
      </w:pPr>
    </w:p>
    <w:p w:rsidR="002D7271" w:rsidRPr="002D7271" w:rsidRDefault="002D7271" w:rsidP="002D7271">
      <w:pPr>
        <w:pStyle w:val="datumtevilka"/>
        <w:rPr>
          <w:b/>
        </w:rPr>
      </w:pPr>
    </w:p>
    <w:p w:rsidR="002D7271" w:rsidRPr="002D7271" w:rsidRDefault="002D7271" w:rsidP="002D7271">
      <w:pPr>
        <w:spacing w:line="260" w:lineRule="exact"/>
        <w:jc w:val="center"/>
        <w:rPr>
          <w:b/>
        </w:rPr>
      </w:pPr>
      <w:r w:rsidRPr="002D7271">
        <w:rPr>
          <w:rFonts w:cs="Arial"/>
          <w:b/>
          <w:color w:val="000000"/>
          <w:szCs w:val="20"/>
        </w:rPr>
        <w:t xml:space="preserve">Odgovor na poslansko vprašanje dr. Franca Trčka v zvezi s </w:t>
      </w:r>
      <w:proofErr w:type="spellStart"/>
      <w:r w:rsidRPr="002D7271">
        <w:rPr>
          <w:rFonts w:cs="Arial"/>
          <w:b/>
          <w:color w:val="000000"/>
          <w:szCs w:val="20"/>
        </w:rPr>
        <w:t>paramilitarističnimi</w:t>
      </w:r>
      <w:proofErr w:type="spellEnd"/>
      <w:r w:rsidRPr="002D7271">
        <w:rPr>
          <w:rFonts w:cs="Arial"/>
          <w:b/>
          <w:color w:val="000000"/>
          <w:szCs w:val="20"/>
        </w:rPr>
        <w:t xml:space="preserve"> formacijami</w:t>
      </w:r>
    </w:p>
    <w:p w:rsidR="006B08DB" w:rsidRDefault="006B08DB" w:rsidP="002D7271">
      <w:pPr>
        <w:spacing w:line="260" w:lineRule="exact"/>
      </w:pPr>
    </w:p>
    <w:p w:rsidR="002D7271" w:rsidRDefault="002D7271" w:rsidP="002D7271">
      <w:pPr>
        <w:spacing w:line="260" w:lineRule="exact"/>
      </w:pPr>
    </w:p>
    <w:p w:rsidR="002D7271" w:rsidRDefault="002D7271" w:rsidP="002D7271">
      <w:pPr>
        <w:pStyle w:val="Naslovpredpisa"/>
        <w:spacing w:before="0" w:after="0" w:line="260" w:lineRule="exact"/>
        <w:jc w:val="both"/>
        <w:rPr>
          <w:rFonts w:cs="Arial"/>
          <w:b w:val="0"/>
        </w:rPr>
      </w:pPr>
      <w:r w:rsidRPr="00583DF5">
        <w:rPr>
          <w:rFonts w:cs="Arial"/>
          <w:b w:val="0"/>
        </w:rPr>
        <w:t xml:space="preserve">Poslanec </w:t>
      </w:r>
      <w:r>
        <w:rPr>
          <w:rFonts w:cs="Arial"/>
          <w:b w:val="0"/>
        </w:rPr>
        <w:t xml:space="preserve">Državnega zbora Republike Slovenije </w:t>
      </w:r>
      <w:r w:rsidRPr="00583DF5">
        <w:rPr>
          <w:rFonts w:cs="Arial"/>
          <w:b w:val="0"/>
        </w:rPr>
        <w:t xml:space="preserve">dr. Franc Trček je </w:t>
      </w:r>
      <w:r>
        <w:rPr>
          <w:rFonts w:cs="Arial"/>
          <w:b w:val="0"/>
        </w:rPr>
        <w:t xml:space="preserve">14. 8. 2019 preko podpredsednice Državnega zbora Republike Slovenije Tine Heferle, </w:t>
      </w:r>
      <w:r w:rsidRPr="00583DF5">
        <w:rPr>
          <w:rFonts w:cs="Arial"/>
          <w:b w:val="0"/>
        </w:rPr>
        <w:t xml:space="preserve">na Vlado Republike Slovenije naslovil pisno poslansko vprašanje v zvezi s </w:t>
      </w:r>
      <w:proofErr w:type="spellStart"/>
      <w:r w:rsidRPr="00583DF5">
        <w:rPr>
          <w:rFonts w:cs="Arial"/>
          <w:b w:val="0"/>
        </w:rPr>
        <w:t>paramilitarističnimi</w:t>
      </w:r>
      <w:proofErr w:type="spellEnd"/>
      <w:r w:rsidRPr="00583DF5">
        <w:rPr>
          <w:rFonts w:cs="Arial"/>
          <w:b w:val="0"/>
        </w:rPr>
        <w:t xml:space="preserve"> formacijami</w:t>
      </w:r>
      <w:r>
        <w:rPr>
          <w:rFonts w:cs="Arial"/>
          <w:b w:val="0"/>
        </w:rPr>
        <w:t>.</w:t>
      </w:r>
    </w:p>
    <w:p w:rsidR="002D7271" w:rsidRDefault="002D7271" w:rsidP="002D7271">
      <w:pPr>
        <w:pStyle w:val="Naslovpredpisa"/>
        <w:spacing w:before="0" w:after="0" w:line="260" w:lineRule="exact"/>
        <w:jc w:val="both"/>
        <w:rPr>
          <w:rFonts w:cs="Arial"/>
          <w:b w:val="0"/>
        </w:rPr>
      </w:pPr>
    </w:p>
    <w:p w:rsidR="002D7271" w:rsidRDefault="002D7271" w:rsidP="002D7271">
      <w:pPr>
        <w:pStyle w:val="Naslovpredpisa"/>
        <w:spacing w:before="0" w:after="0" w:line="260" w:lineRule="exact"/>
        <w:jc w:val="both"/>
        <w:rPr>
          <w:rFonts w:cs="Arial"/>
        </w:rPr>
      </w:pPr>
    </w:p>
    <w:p w:rsidR="002D7271" w:rsidRDefault="002D7271" w:rsidP="002D7271">
      <w:pPr>
        <w:spacing w:line="260" w:lineRule="exact"/>
        <w:rPr>
          <w:rFonts w:cs="Arial"/>
          <w:b/>
          <w:szCs w:val="20"/>
          <w:lang w:eastAsia="x-none"/>
        </w:rPr>
      </w:pPr>
      <w:r>
        <w:rPr>
          <w:rFonts w:cs="Arial"/>
          <w:b/>
          <w:szCs w:val="20"/>
          <w:lang w:eastAsia="x-none"/>
        </w:rPr>
        <w:t>Odgovor</w:t>
      </w:r>
      <w:r w:rsidRPr="00362EAF">
        <w:rPr>
          <w:rFonts w:cs="Arial"/>
          <w:b/>
          <w:szCs w:val="20"/>
          <w:lang w:eastAsia="x-none"/>
        </w:rPr>
        <w:t xml:space="preserve"> Vlade Republike Slovenije:</w:t>
      </w:r>
    </w:p>
    <w:p w:rsidR="002D7271" w:rsidRDefault="002D7271" w:rsidP="002D7271">
      <w:pPr>
        <w:spacing w:line="260" w:lineRule="exact"/>
        <w:rPr>
          <w:rFonts w:cs="Arial"/>
          <w:b/>
          <w:szCs w:val="20"/>
          <w:lang w:eastAsia="x-none"/>
        </w:rPr>
      </w:pPr>
    </w:p>
    <w:p w:rsidR="002D7271" w:rsidRPr="004B1A77" w:rsidRDefault="002D7271" w:rsidP="002D7271">
      <w:pPr>
        <w:spacing w:line="260" w:lineRule="exact"/>
        <w:jc w:val="both"/>
        <w:rPr>
          <w:rFonts w:cs="Arial"/>
          <w:bCs/>
          <w:szCs w:val="20"/>
        </w:rPr>
      </w:pPr>
      <w:r w:rsidRPr="004B1A77">
        <w:rPr>
          <w:rFonts w:cs="Arial"/>
          <w:bCs/>
          <w:szCs w:val="20"/>
        </w:rPr>
        <w:t>Ustava Republike Slovenije</w:t>
      </w:r>
      <w:r>
        <w:rPr>
          <w:rStyle w:val="Sprotnaopomba-sklic"/>
          <w:rFonts w:cs="Arial"/>
          <w:bCs/>
          <w:szCs w:val="20"/>
        </w:rPr>
        <w:footnoteReference w:id="1"/>
      </w:r>
      <w:r w:rsidRPr="004B1A77">
        <w:rPr>
          <w:rFonts w:cs="Arial"/>
          <w:bCs/>
          <w:szCs w:val="20"/>
        </w:rPr>
        <w:t xml:space="preserve"> med človekovimi pravicami in temeljnimi svoboščinami zagotavlja svobodo zbiranja in združevanja (42. člen). Vendar pravica do </w:t>
      </w:r>
      <w:r w:rsidRPr="004B1A77">
        <w:rPr>
          <w:rFonts w:cs="Arial"/>
          <w:bCs/>
          <w:szCs w:val="20"/>
          <w:lang w:val="x-none"/>
        </w:rPr>
        <w:t xml:space="preserve">mirnega zbiranja in javnih zborovanj </w:t>
      </w:r>
      <w:r w:rsidRPr="004B1A77">
        <w:rPr>
          <w:rFonts w:cs="Arial"/>
          <w:bCs/>
          <w:szCs w:val="20"/>
        </w:rPr>
        <w:t xml:space="preserve">ne vključuje prepovedanih ravnanj, kot so na primer posegi v osebno svobodo (19. člen Ustave RS), pravice osebnega dostojanstva in osebne varnosti (34. člen Ustave RS), ali opravljanje nalog ali pristojnosti, ki jih sme izvrševati samo država ali samoupravna lokalna skupnost (npr. delovanje v nasprotju s 121. členom Ustave RS). </w:t>
      </w:r>
    </w:p>
    <w:p w:rsidR="002D7271" w:rsidRPr="004B1A77" w:rsidRDefault="002D7271" w:rsidP="002D7271">
      <w:pPr>
        <w:spacing w:line="260" w:lineRule="exact"/>
        <w:jc w:val="both"/>
        <w:rPr>
          <w:rFonts w:cs="Arial"/>
          <w:bCs/>
          <w:szCs w:val="20"/>
        </w:rPr>
      </w:pPr>
    </w:p>
    <w:p w:rsidR="002D7271" w:rsidRPr="004B1A77" w:rsidRDefault="002D7271" w:rsidP="002D7271">
      <w:pPr>
        <w:spacing w:line="260" w:lineRule="exact"/>
        <w:jc w:val="both"/>
        <w:rPr>
          <w:rFonts w:cs="Arial"/>
          <w:bCs/>
          <w:szCs w:val="20"/>
        </w:rPr>
      </w:pPr>
      <w:r w:rsidRPr="004B1A77">
        <w:rPr>
          <w:rFonts w:cs="Arial"/>
          <w:bCs/>
          <w:szCs w:val="20"/>
        </w:rPr>
        <w:t xml:space="preserve">V kolikor bi v primerih združevanja posameznikov prišlo do poskusov storitve kaznivih dejanj (npr. </w:t>
      </w:r>
      <w:r w:rsidRPr="004B1A77">
        <w:rPr>
          <w:rFonts w:cs="Arial"/>
          <w:szCs w:val="20"/>
        </w:rPr>
        <w:t xml:space="preserve">nezakonitega odvzema prostosti ali pa kaznivih dejanj iz 33. poglavja </w:t>
      </w:r>
      <w:r>
        <w:rPr>
          <w:rFonts w:cs="Arial"/>
          <w:szCs w:val="20"/>
        </w:rPr>
        <w:t>Kazenskega zakonika (</w:t>
      </w:r>
      <w:r w:rsidRPr="004B1A77">
        <w:rPr>
          <w:rFonts w:cs="Arial"/>
          <w:szCs w:val="20"/>
        </w:rPr>
        <w:t>KZ-1</w:t>
      </w:r>
      <w:r>
        <w:rPr>
          <w:rFonts w:cs="Arial"/>
          <w:szCs w:val="20"/>
        </w:rPr>
        <w:t>)</w:t>
      </w:r>
      <w:r>
        <w:rPr>
          <w:rStyle w:val="Sprotnaopomba-sklic"/>
          <w:rFonts w:cs="Arial"/>
          <w:szCs w:val="20"/>
        </w:rPr>
        <w:footnoteReference w:id="2"/>
      </w:r>
      <w:r w:rsidRPr="004B1A77">
        <w:rPr>
          <w:rFonts w:cs="Arial"/>
          <w:szCs w:val="20"/>
        </w:rPr>
        <w:t xml:space="preserve"> zoper suverenost Republike Slovenije in njeno demokratično ustavno ureditev) </w:t>
      </w:r>
      <w:r w:rsidRPr="004B1A77">
        <w:rPr>
          <w:rFonts w:cs="Arial"/>
          <w:bCs/>
          <w:szCs w:val="20"/>
        </w:rPr>
        <w:t>ali prekrškov, imajo organi odkrivanja ali pregona storilcev kaznivih dejanj ali prekrškov pravico in dolžnost ustreznega ukrepanja.</w:t>
      </w:r>
    </w:p>
    <w:p w:rsidR="002D7271" w:rsidRPr="005C7F82" w:rsidRDefault="002D7271" w:rsidP="002D7271">
      <w:pPr>
        <w:spacing w:line="260" w:lineRule="exact"/>
        <w:jc w:val="both"/>
        <w:rPr>
          <w:rFonts w:cs="Arial"/>
          <w:b/>
          <w:color w:val="FF0000"/>
          <w:szCs w:val="20"/>
        </w:rPr>
      </w:pPr>
    </w:p>
    <w:p w:rsidR="002D7271" w:rsidRDefault="002D7271" w:rsidP="002D7271">
      <w:pPr>
        <w:pStyle w:val="Naslovpredpisa"/>
        <w:spacing w:before="0" w:after="0" w:line="260" w:lineRule="exact"/>
        <w:jc w:val="both"/>
        <w:rPr>
          <w:rFonts w:cs="Arial"/>
          <w:b w:val="0"/>
        </w:rPr>
      </w:pPr>
      <w:r w:rsidRPr="00336E6F">
        <w:rPr>
          <w:rFonts w:cs="Arial"/>
          <w:b w:val="0"/>
        </w:rPr>
        <w:t>Pristojni organi odkrivanja in pregona kaznivih dejanj ali prekrškov skladno s svojimi zakonskimi pooblastili spremljajo aktivnosti t.</w:t>
      </w:r>
      <w:r>
        <w:rPr>
          <w:rFonts w:cs="Arial"/>
          <w:b w:val="0"/>
        </w:rPr>
        <w:t xml:space="preserve"> </w:t>
      </w:r>
      <w:r w:rsidRPr="00336E6F">
        <w:rPr>
          <w:rFonts w:cs="Arial"/>
          <w:b w:val="0"/>
        </w:rPr>
        <w:t xml:space="preserve">i. »samo-organiziranih skupin« in v primeru </w:t>
      </w:r>
      <w:r>
        <w:rPr>
          <w:rFonts w:cs="Arial"/>
          <w:b w:val="0"/>
        </w:rPr>
        <w:t>protipravnih ravnanj tudi</w:t>
      </w:r>
      <w:r w:rsidRPr="00336E6F">
        <w:rPr>
          <w:rFonts w:cs="Arial"/>
          <w:b w:val="0"/>
        </w:rPr>
        <w:t xml:space="preserve"> izvedejo ustrezne zakonske ukrepe. </w:t>
      </w:r>
    </w:p>
    <w:p w:rsidR="002D7271" w:rsidRPr="00336E6F" w:rsidRDefault="002D7271" w:rsidP="002D7271">
      <w:pPr>
        <w:pStyle w:val="Naslovpredpisa"/>
        <w:spacing w:before="0" w:after="0" w:line="260" w:lineRule="exact"/>
        <w:jc w:val="both"/>
        <w:rPr>
          <w:rFonts w:cs="Arial"/>
          <w:b w:val="0"/>
        </w:rPr>
      </w:pPr>
    </w:p>
    <w:p w:rsidR="002D7271" w:rsidRPr="00336E6F" w:rsidRDefault="002D7271" w:rsidP="002D7271">
      <w:pPr>
        <w:pStyle w:val="Naslovpredpisa"/>
        <w:spacing w:before="0" w:after="0" w:line="260" w:lineRule="exact"/>
        <w:jc w:val="both"/>
        <w:rPr>
          <w:rFonts w:cs="Arial"/>
          <w:b w:val="0"/>
        </w:rPr>
      </w:pPr>
      <w:r w:rsidRPr="00336E6F">
        <w:rPr>
          <w:rFonts w:cs="Arial"/>
          <w:b w:val="0"/>
        </w:rPr>
        <w:t xml:space="preserve">Policija </w:t>
      </w:r>
      <w:r>
        <w:rPr>
          <w:rFonts w:cs="Arial"/>
          <w:b w:val="0"/>
        </w:rPr>
        <w:t xml:space="preserve">na področju javnih zbiranj </w:t>
      </w:r>
      <w:r w:rsidRPr="00336E6F">
        <w:rPr>
          <w:rFonts w:cs="Arial"/>
          <w:b w:val="0"/>
        </w:rPr>
        <w:t xml:space="preserve">ugotavlja odklonska ravnanja in kršitve ter izvaja zakonsko določene ukrepe, da bi zaščitila javni red in mir ter zagotovila varnost udeležencem in lastno varnost. </w:t>
      </w:r>
      <w:r>
        <w:rPr>
          <w:rFonts w:cs="Arial"/>
          <w:b w:val="0"/>
        </w:rPr>
        <w:t>D</w:t>
      </w:r>
      <w:r w:rsidRPr="00336E6F">
        <w:rPr>
          <w:rFonts w:cs="Arial"/>
          <w:b w:val="0"/>
        </w:rPr>
        <w:t xml:space="preserve">o sedaj v nobenem primeru ni ugotovila, da na območju Republike Slovenije delujejo </w:t>
      </w:r>
      <w:r>
        <w:rPr>
          <w:rFonts w:cs="Arial"/>
          <w:b w:val="0"/>
        </w:rPr>
        <w:t xml:space="preserve">t. i. </w:t>
      </w:r>
      <w:r w:rsidRPr="00336E6F">
        <w:rPr>
          <w:rFonts w:cs="Arial"/>
          <w:b w:val="0"/>
        </w:rPr>
        <w:t xml:space="preserve">»para-militantne skupine/formacije«, kot je to opredeljeno v 103. členu </w:t>
      </w:r>
      <w:r>
        <w:rPr>
          <w:rFonts w:cs="Arial"/>
          <w:b w:val="0"/>
        </w:rPr>
        <w:t>KZ-1</w:t>
      </w:r>
      <w:r w:rsidRPr="00336E6F">
        <w:rPr>
          <w:rFonts w:cs="Arial"/>
          <w:b w:val="0"/>
        </w:rPr>
        <w:t>.</w:t>
      </w:r>
      <w:r w:rsidRPr="00562C5E">
        <w:rPr>
          <w:rFonts w:cs="Arial"/>
          <w:b w:val="0"/>
          <w:vertAlign w:val="superscript"/>
        </w:rPr>
        <w:footnoteReference w:id="3"/>
      </w:r>
    </w:p>
    <w:p w:rsidR="002D7271" w:rsidRPr="00336E6F" w:rsidRDefault="002D7271" w:rsidP="002D7271">
      <w:pPr>
        <w:pStyle w:val="Naslovpredpisa"/>
        <w:spacing w:before="0" w:after="0" w:line="260" w:lineRule="exact"/>
        <w:jc w:val="both"/>
        <w:rPr>
          <w:rFonts w:cs="Arial"/>
          <w:b w:val="0"/>
        </w:rPr>
      </w:pPr>
      <w:r w:rsidRPr="00336E6F">
        <w:rPr>
          <w:rFonts w:cs="Arial"/>
          <w:b w:val="0"/>
        </w:rPr>
        <w:lastRenderedPageBreak/>
        <w:t>V primeru t.</w:t>
      </w:r>
      <w:r>
        <w:rPr>
          <w:rFonts w:cs="Arial"/>
          <w:b w:val="0"/>
        </w:rPr>
        <w:t xml:space="preserve"> </w:t>
      </w:r>
      <w:r w:rsidRPr="00336E6F">
        <w:rPr>
          <w:rFonts w:cs="Arial"/>
          <w:b w:val="0"/>
        </w:rPr>
        <w:t xml:space="preserve">i. štajerske </w:t>
      </w:r>
      <w:proofErr w:type="spellStart"/>
      <w:r w:rsidRPr="00336E6F">
        <w:rPr>
          <w:rFonts w:cs="Arial"/>
          <w:b w:val="0"/>
        </w:rPr>
        <w:t>varde</w:t>
      </w:r>
      <w:proofErr w:type="spellEnd"/>
      <w:r w:rsidRPr="00336E6F">
        <w:rPr>
          <w:rFonts w:cs="Arial"/>
          <w:b w:val="0"/>
        </w:rPr>
        <w:t xml:space="preserve"> </w:t>
      </w:r>
      <w:r>
        <w:rPr>
          <w:rFonts w:cs="Arial"/>
          <w:b w:val="0"/>
        </w:rPr>
        <w:t xml:space="preserve">pa </w:t>
      </w:r>
      <w:r w:rsidRPr="00336E6F">
        <w:rPr>
          <w:rFonts w:cs="Arial"/>
          <w:b w:val="0"/>
        </w:rPr>
        <w:t xml:space="preserve">je policija </w:t>
      </w:r>
      <w:r>
        <w:rPr>
          <w:rFonts w:cs="Arial"/>
          <w:b w:val="0"/>
        </w:rPr>
        <w:t xml:space="preserve">zoper znane storilce </w:t>
      </w:r>
      <w:r w:rsidRPr="00336E6F">
        <w:rPr>
          <w:rFonts w:cs="Arial"/>
          <w:b w:val="0"/>
        </w:rPr>
        <w:t>podala kazensko ovadbo za kazniv</w:t>
      </w:r>
      <w:r>
        <w:rPr>
          <w:rFonts w:cs="Arial"/>
          <w:b w:val="0"/>
        </w:rPr>
        <w:t>i</w:t>
      </w:r>
      <w:r w:rsidRPr="00336E6F">
        <w:rPr>
          <w:rFonts w:cs="Arial"/>
          <w:b w:val="0"/>
        </w:rPr>
        <w:t xml:space="preserve"> dejanj</w:t>
      </w:r>
      <w:r>
        <w:rPr>
          <w:rFonts w:cs="Arial"/>
          <w:b w:val="0"/>
        </w:rPr>
        <w:t>i</w:t>
      </w:r>
      <w:r w:rsidRPr="00336E6F">
        <w:rPr>
          <w:rFonts w:cs="Arial"/>
          <w:b w:val="0"/>
        </w:rPr>
        <w:t xml:space="preserve"> </w:t>
      </w:r>
      <w:r>
        <w:rPr>
          <w:rFonts w:cs="Arial"/>
          <w:b w:val="0"/>
        </w:rPr>
        <w:t>š</w:t>
      </w:r>
      <w:r w:rsidRPr="00336E6F">
        <w:rPr>
          <w:rFonts w:cs="Arial"/>
          <w:b w:val="0"/>
        </w:rPr>
        <w:t>čuvanj</w:t>
      </w:r>
      <w:r>
        <w:rPr>
          <w:rFonts w:cs="Arial"/>
          <w:b w:val="0"/>
        </w:rPr>
        <w:t>a</w:t>
      </w:r>
      <w:r w:rsidRPr="00336E6F">
        <w:rPr>
          <w:rFonts w:cs="Arial"/>
          <w:b w:val="0"/>
        </w:rPr>
        <w:t xml:space="preserve"> k nasilni spremembi ustavne ureditve po 359</w:t>
      </w:r>
      <w:r>
        <w:rPr>
          <w:rFonts w:cs="Arial"/>
          <w:b w:val="0"/>
        </w:rPr>
        <w:t>.</w:t>
      </w:r>
      <w:r w:rsidRPr="00336E6F">
        <w:rPr>
          <w:rFonts w:cs="Arial"/>
          <w:b w:val="0"/>
        </w:rPr>
        <w:t xml:space="preserve"> členu KZ-1 in </w:t>
      </w:r>
      <w:r>
        <w:rPr>
          <w:rFonts w:cs="Arial"/>
          <w:b w:val="0"/>
        </w:rPr>
        <w:t>o</w:t>
      </w:r>
      <w:r w:rsidRPr="00336E6F">
        <w:rPr>
          <w:rFonts w:cs="Arial"/>
          <w:b w:val="0"/>
        </w:rPr>
        <w:t>borožen</w:t>
      </w:r>
      <w:r>
        <w:rPr>
          <w:rFonts w:cs="Arial"/>
          <w:b w:val="0"/>
        </w:rPr>
        <w:t>ega</w:t>
      </w:r>
      <w:r w:rsidRPr="00336E6F">
        <w:rPr>
          <w:rFonts w:cs="Arial"/>
          <w:b w:val="0"/>
        </w:rPr>
        <w:t xml:space="preserve"> upor</w:t>
      </w:r>
      <w:r>
        <w:rPr>
          <w:rFonts w:cs="Arial"/>
          <w:b w:val="0"/>
        </w:rPr>
        <w:t>a</w:t>
      </w:r>
      <w:r w:rsidRPr="00336E6F">
        <w:rPr>
          <w:rFonts w:cs="Arial"/>
          <w:b w:val="0"/>
        </w:rPr>
        <w:t xml:space="preserve"> po </w:t>
      </w:r>
      <w:r>
        <w:rPr>
          <w:rFonts w:cs="Arial"/>
          <w:b w:val="0"/>
        </w:rPr>
        <w:t xml:space="preserve">355. </w:t>
      </w:r>
      <w:r w:rsidRPr="00336E6F">
        <w:rPr>
          <w:rFonts w:cs="Arial"/>
          <w:b w:val="0"/>
        </w:rPr>
        <w:t xml:space="preserve">členu </w:t>
      </w:r>
      <w:r>
        <w:rPr>
          <w:rFonts w:cs="Arial"/>
          <w:b w:val="0"/>
        </w:rPr>
        <w:t>KZ-1.</w:t>
      </w:r>
    </w:p>
    <w:p w:rsidR="002D7271" w:rsidRDefault="002D7271" w:rsidP="002D7271">
      <w:pPr>
        <w:pStyle w:val="Naslovpredpisa"/>
        <w:spacing w:before="0" w:after="0" w:line="260" w:lineRule="exact"/>
        <w:jc w:val="both"/>
        <w:rPr>
          <w:rFonts w:cs="Arial"/>
          <w:b w:val="0"/>
        </w:rPr>
      </w:pPr>
    </w:p>
    <w:p w:rsidR="002D7271" w:rsidRDefault="002D7271" w:rsidP="002D7271">
      <w:pPr>
        <w:pStyle w:val="Naslovpredpisa"/>
        <w:spacing w:before="0" w:after="0" w:line="260" w:lineRule="exact"/>
        <w:jc w:val="both"/>
        <w:rPr>
          <w:rFonts w:cs="Arial"/>
          <w:b w:val="0"/>
        </w:rPr>
      </w:pPr>
      <w:r w:rsidRPr="00336E6F">
        <w:rPr>
          <w:rFonts w:cs="Arial"/>
          <w:b w:val="0"/>
        </w:rPr>
        <w:t>Potrebno pa je poudariti, da interesa posameznikov, da o zaznanih varnostnih pojavih obveščajo policijo, ni moč opredeliti za protipravno dejanje.</w:t>
      </w:r>
    </w:p>
    <w:p w:rsidR="002D7271" w:rsidRPr="00336E6F" w:rsidRDefault="002D7271" w:rsidP="002D7271">
      <w:pPr>
        <w:pStyle w:val="Naslovpredpisa"/>
        <w:spacing w:before="0" w:after="0" w:line="260" w:lineRule="exact"/>
        <w:jc w:val="both"/>
        <w:rPr>
          <w:rFonts w:cs="Arial"/>
          <w:b w:val="0"/>
        </w:rPr>
      </w:pPr>
    </w:p>
    <w:p w:rsidR="002D7271" w:rsidRPr="002D7271" w:rsidRDefault="002D7271" w:rsidP="002D7271">
      <w:pPr>
        <w:spacing w:line="260" w:lineRule="exact"/>
      </w:pPr>
    </w:p>
    <w:bookmarkEnd w:id="0"/>
    <w:sectPr w:rsidR="002D7271" w:rsidRPr="002D7271" w:rsidSect="000205BB">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2D7271">
      <w:rPr>
        <w:noProof/>
      </w:rPr>
      <w:t>2</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 w:id="1">
    <w:p w:rsidR="002D7271" w:rsidRPr="00C44F38" w:rsidRDefault="002D7271" w:rsidP="002D7271">
      <w:pPr>
        <w:pStyle w:val="Sprotnaopomba-besedilo"/>
        <w:jc w:val="both"/>
        <w:rPr>
          <w:rFonts w:cs="Arial"/>
          <w:sz w:val="18"/>
          <w:szCs w:val="18"/>
        </w:rPr>
      </w:pPr>
      <w:bookmarkStart w:id="1" w:name="_GoBack"/>
      <w:r w:rsidRPr="00C44F38">
        <w:rPr>
          <w:rStyle w:val="Sprotnaopomba-sklic"/>
          <w:rFonts w:cs="Arial"/>
        </w:rPr>
        <w:footnoteRef/>
      </w:r>
      <w:r w:rsidRPr="00C44F38">
        <w:rPr>
          <w:rFonts w:cs="Arial"/>
          <w:sz w:val="18"/>
          <w:szCs w:val="18"/>
        </w:rPr>
        <w:t xml:space="preserve"> Uradni list RS, št. 33/91-I, 42/97 – UZS68, 66/00 – UZ80, 24/03 – UZ3a, 47, 68, 69/04 – UZ14, 69/04 – UZ43, 69/04 – UZ50, 68/06 – UZ121,140,143, 47/13 – UZ148, 47/13 – UZ90,97,99 in 75/16 – UZ70a</w:t>
      </w:r>
      <w:r>
        <w:rPr>
          <w:rFonts w:cs="Arial"/>
          <w:sz w:val="18"/>
          <w:szCs w:val="18"/>
        </w:rPr>
        <w:t>.</w:t>
      </w:r>
    </w:p>
  </w:footnote>
  <w:footnote w:id="2">
    <w:p w:rsidR="002D7271" w:rsidRDefault="002D7271" w:rsidP="002D7271">
      <w:pPr>
        <w:pStyle w:val="Sprotnaopomba-besedilo"/>
        <w:jc w:val="both"/>
      </w:pPr>
      <w:r w:rsidRPr="00C44F38">
        <w:rPr>
          <w:rFonts w:cs="Arial"/>
          <w:sz w:val="18"/>
          <w:szCs w:val="18"/>
        </w:rPr>
        <w:footnoteRef/>
      </w:r>
      <w:r w:rsidRPr="00C44F38">
        <w:rPr>
          <w:rFonts w:cs="Arial"/>
          <w:sz w:val="18"/>
          <w:szCs w:val="18"/>
        </w:rPr>
        <w:t xml:space="preserve"> </w:t>
      </w:r>
      <w:r w:rsidRPr="00C44F38">
        <w:rPr>
          <w:rFonts w:cs="Arial"/>
          <w:sz w:val="18"/>
          <w:szCs w:val="18"/>
        </w:rPr>
        <w:t xml:space="preserve">Uradni list RS, št. 50/12 – uradno prečiščeno besedilo, 6/16 – </w:t>
      </w:r>
      <w:proofErr w:type="spellStart"/>
      <w:r w:rsidRPr="00C44F38">
        <w:rPr>
          <w:rFonts w:cs="Arial"/>
          <w:sz w:val="18"/>
          <w:szCs w:val="18"/>
        </w:rPr>
        <w:t>popr</w:t>
      </w:r>
      <w:proofErr w:type="spellEnd"/>
      <w:r w:rsidRPr="00C44F38">
        <w:rPr>
          <w:rFonts w:cs="Arial"/>
          <w:sz w:val="18"/>
          <w:szCs w:val="18"/>
        </w:rPr>
        <w:t>., 54/15, 38/16 in 27/17</w:t>
      </w:r>
      <w:r>
        <w:rPr>
          <w:rFonts w:cs="Arial"/>
          <w:sz w:val="18"/>
          <w:szCs w:val="18"/>
        </w:rPr>
        <w:t>.</w:t>
      </w:r>
    </w:p>
  </w:footnote>
  <w:footnote w:id="3">
    <w:p w:rsidR="002D7271" w:rsidRPr="00336E6F" w:rsidRDefault="002D7271" w:rsidP="002D7271">
      <w:pPr>
        <w:jc w:val="both"/>
        <w:rPr>
          <w:rFonts w:cs="Arial"/>
          <w:color w:val="000000"/>
          <w:sz w:val="18"/>
          <w:szCs w:val="18"/>
        </w:rPr>
      </w:pPr>
      <w:r w:rsidRPr="00336E6F">
        <w:rPr>
          <w:rStyle w:val="Sprotnaopomba-sklic"/>
          <w:rFonts w:cs="Arial"/>
        </w:rPr>
        <w:footnoteRef/>
      </w:r>
      <w:r w:rsidRPr="00336E6F">
        <w:rPr>
          <w:rFonts w:cs="Arial"/>
          <w:sz w:val="18"/>
          <w:szCs w:val="18"/>
        </w:rPr>
        <w:t xml:space="preserve"> </w:t>
      </w:r>
      <w:r w:rsidRPr="00336E6F">
        <w:rPr>
          <w:rFonts w:cs="Arial"/>
          <w:color w:val="000000"/>
          <w:sz w:val="18"/>
          <w:szCs w:val="18"/>
        </w:rPr>
        <w:t>Besedna zveza "paravojaške enote" je omenjena v členu 103 KZ-1 (</w:t>
      </w:r>
      <w:r>
        <w:rPr>
          <w:rFonts w:cs="Arial"/>
          <w:color w:val="000000"/>
          <w:sz w:val="18"/>
          <w:szCs w:val="18"/>
        </w:rPr>
        <w:t>a</w:t>
      </w:r>
      <w:r w:rsidRPr="00336E6F">
        <w:rPr>
          <w:rFonts w:cs="Arial"/>
          <w:color w:val="000000"/>
          <w:sz w:val="18"/>
          <w:szCs w:val="18"/>
        </w:rPr>
        <w:t>gresija):</w:t>
      </w:r>
    </w:p>
    <w:p w:rsidR="002D7271" w:rsidRPr="00336E6F" w:rsidRDefault="002D7271" w:rsidP="002D7271">
      <w:pPr>
        <w:pStyle w:val="Sprotnaopomba-besedilo"/>
        <w:jc w:val="both"/>
        <w:rPr>
          <w:rFonts w:cs="Arial"/>
          <w:sz w:val="18"/>
          <w:szCs w:val="18"/>
        </w:rPr>
      </w:pPr>
      <w:r w:rsidRPr="00336E6F">
        <w:rPr>
          <w:rFonts w:cs="Arial"/>
          <w:sz w:val="18"/>
          <w:szCs w:val="18"/>
        </w:rPr>
        <w:t>(1) Uradna ali druga oseba s položajem učinkovitega nadzora ali možnosti odrejanja političnega ali vojaškega delovanja države, ki načrtuje, pripravi, sproži ali izvrši dejanje agresije, ki je po naravi, teži in obsegu očitna kršitev Ustanovne listine Združenih narodov, se kaznuje z zaporom najmanj petnajstih let.</w:t>
      </w:r>
    </w:p>
    <w:p w:rsidR="002D7271" w:rsidRPr="00336E6F" w:rsidRDefault="002D7271" w:rsidP="002D7271">
      <w:pPr>
        <w:pStyle w:val="Sprotnaopomba-besedilo"/>
        <w:jc w:val="both"/>
        <w:rPr>
          <w:rFonts w:cs="Arial"/>
          <w:sz w:val="18"/>
          <w:szCs w:val="18"/>
        </w:rPr>
      </w:pPr>
      <w:r w:rsidRPr="00336E6F">
        <w:rPr>
          <w:rFonts w:cs="Arial"/>
          <w:sz w:val="18"/>
          <w:szCs w:val="18"/>
        </w:rPr>
        <w:t>(2) Dejanje agresije je uporaba vojaške sile, ki je usmerjana zoper suverenost, ozemeljsko celovitost ali politično neodvisnost druge države ali na kakršen koli drug način, ki ni združljiv z Ustanovno listino Združenih narodov. Za agresijo, ne glede na napoved vojne, štejejo naslednja dejanja:</w:t>
      </w:r>
    </w:p>
    <w:p w:rsidR="002D7271" w:rsidRPr="00336E6F" w:rsidRDefault="002D7271" w:rsidP="002D7271">
      <w:pPr>
        <w:pStyle w:val="Sprotnaopomba-besedilo"/>
        <w:jc w:val="both"/>
        <w:rPr>
          <w:rFonts w:cs="Arial"/>
          <w:sz w:val="18"/>
          <w:szCs w:val="18"/>
        </w:rPr>
      </w:pPr>
      <w:r w:rsidRPr="00336E6F">
        <w:rPr>
          <w:rFonts w:cs="Arial"/>
          <w:sz w:val="18"/>
          <w:szCs w:val="18"/>
        </w:rPr>
        <w:t>1)     invazija ali oborožen napad na ozemlje, morje, zrakoplove, pristanišča ali plovila druge države, z začasno ali trajno vojaško zasedbo ali nasilno priključitvijo ozemlja te države ali njegovega dela;</w:t>
      </w:r>
    </w:p>
    <w:p w:rsidR="002D7271" w:rsidRPr="00336E6F" w:rsidRDefault="002D7271" w:rsidP="002D7271">
      <w:pPr>
        <w:pStyle w:val="Sprotnaopomba-besedilo"/>
        <w:jc w:val="both"/>
        <w:rPr>
          <w:rFonts w:cs="Arial"/>
          <w:sz w:val="18"/>
          <w:szCs w:val="18"/>
        </w:rPr>
      </w:pPr>
      <w:r w:rsidRPr="00336E6F">
        <w:rPr>
          <w:rFonts w:cs="Arial"/>
          <w:sz w:val="18"/>
          <w:szCs w:val="18"/>
        </w:rPr>
        <w:t>2)     bombardiranje ali uporaba katerega koli orožja zoper ozemlje druge države;</w:t>
      </w:r>
    </w:p>
    <w:p w:rsidR="002D7271" w:rsidRPr="00336E6F" w:rsidRDefault="002D7271" w:rsidP="002D7271">
      <w:pPr>
        <w:pStyle w:val="Sprotnaopomba-besedilo"/>
        <w:jc w:val="both"/>
        <w:rPr>
          <w:rFonts w:cs="Arial"/>
          <w:sz w:val="18"/>
          <w:szCs w:val="18"/>
        </w:rPr>
      </w:pPr>
      <w:r w:rsidRPr="00336E6F">
        <w:rPr>
          <w:rFonts w:cs="Arial"/>
          <w:sz w:val="18"/>
          <w:szCs w:val="18"/>
        </w:rPr>
        <w:t>3)     blokada pristanišč ali obale druge države;</w:t>
      </w:r>
    </w:p>
    <w:p w:rsidR="002D7271" w:rsidRPr="00336E6F" w:rsidRDefault="002D7271" w:rsidP="002D7271">
      <w:pPr>
        <w:pStyle w:val="Sprotnaopomba-besedilo"/>
        <w:rPr>
          <w:rFonts w:cs="Arial"/>
          <w:sz w:val="18"/>
          <w:szCs w:val="18"/>
        </w:rPr>
      </w:pPr>
      <w:r w:rsidRPr="00336E6F">
        <w:rPr>
          <w:rFonts w:cs="Arial"/>
          <w:sz w:val="18"/>
          <w:szCs w:val="18"/>
        </w:rPr>
        <w:t>4)     uporaba oboroženih sil, ki so na ozemlju druge države z njenim privoljenjem, v nasprotju s pogoji te privolitve ali zadrževanje teh sil po izteku časa, določenega v tej privolitvi;</w:t>
      </w:r>
    </w:p>
    <w:p w:rsidR="002D7271" w:rsidRPr="00336E6F" w:rsidRDefault="002D7271" w:rsidP="002D7271">
      <w:pPr>
        <w:pStyle w:val="Sprotnaopomba-besedilo"/>
        <w:rPr>
          <w:rFonts w:cs="Arial"/>
          <w:sz w:val="18"/>
          <w:szCs w:val="18"/>
        </w:rPr>
      </w:pPr>
      <w:r w:rsidRPr="00336E6F">
        <w:rPr>
          <w:rFonts w:cs="Arial"/>
          <w:sz w:val="18"/>
          <w:szCs w:val="18"/>
        </w:rPr>
        <w:t>5)     dopuščanje drugi državi, da uporabi ozemlje Republike Slovenije, ki je na razpolago tej državi, za izvršitev agresije na drugo državo;</w:t>
      </w:r>
    </w:p>
    <w:p w:rsidR="002D7271" w:rsidRPr="00336E6F" w:rsidRDefault="002D7271" w:rsidP="002D7271">
      <w:pPr>
        <w:pStyle w:val="Sprotnaopomba-besedilo"/>
        <w:rPr>
          <w:rFonts w:cs="Arial"/>
          <w:sz w:val="18"/>
          <w:szCs w:val="18"/>
        </w:rPr>
      </w:pPr>
      <w:r w:rsidRPr="00336E6F">
        <w:rPr>
          <w:rFonts w:cs="Arial"/>
          <w:sz w:val="18"/>
          <w:szCs w:val="18"/>
        </w:rPr>
        <w:t xml:space="preserve">6)     pošiljanje oboroženih skupin, plačancev ali </w:t>
      </w:r>
      <w:r w:rsidRPr="00336E6F">
        <w:rPr>
          <w:rFonts w:cs="Arial"/>
          <w:b/>
          <w:sz w:val="18"/>
          <w:szCs w:val="18"/>
        </w:rPr>
        <w:t>paravojaških enot</w:t>
      </w:r>
      <w:r w:rsidRPr="00336E6F">
        <w:rPr>
          <w:rFonts w:cs="Arial"/>
          <w:sz w:val="18"/>
          <w:szCs w:val="18"/>
        </w:rPr>
        <w:t xml:space="preserve"> z namenom izvajanja takih dejanj, ki po teži ustrezajo prej naštetim dejanjem.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6">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4"/>
  </w:num>
  <w:num w:numId="5">
    <w:abstractNumId w:val="9"/>
  </w:num>
  <w:num w:numId="6">
    <w:abstractNumId w:val="6"/>
  </w:num>
  <w:num w:numId="7">
    <w:abstractNumId w:val="17"/>
  </w:num>
  <w:num w:numId="8">
    <w:abstractNumId w:val="8"/>
  </w:num>
  <w:num w:numId="9">
    <w:abstractNumId w:val="7"/>
  </w:num>
  <w:num w:numId="10">
    <w:abstractNumId w:val="3"/>
  </w:num>
  <w:num w:numId="11">
    <w:abstractNumId w:val="12"/>
  </w:num>
  <w:num w:numId="12">
    <w:abstractNumId w:val="10"/>
  </w:num>
  <w:num w:numId="13">
    <w:abstractNumId w:val="4"/>
  </w:num>
  <w:num w:numId="14">
    <w:abstractNumId w:val="15"/>
  </w:num>
  <w:num w:numId="15">
    <w:abstractNumId w:val="0"/>
  </w:num>
  <w:num w:numId="16">
    <w:abstractNumId w:val="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205BB"/>
    <w:rsid w:val="000351BD"/>
    <w:rsid w:val="000552D8"/>
    <w:rsid w:val="00065F71"/>
    <w:rsid w:val="000738C3"/>
    <w:rsid w:val="000947C3"/>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D7271"/>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F25AC"/>
    <w:rsid w:val="006F5515"/>
    <w:rsid w:val="00711FD4"/>
    <w:rsid w:val="00712BE1"/>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91F03F-59AC-4B8E-8EC1-B73075CC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2019-09-18T07:36:00Z</dcterms:created>
  <dcterms:modified xsi:type="dcterms:W3CDTF">2019-09-18T07:36:00Z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