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71" w:rsidRPr="0080179D" w:rsidRDefault="0080179D" w:rsidP="0080179D">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14536/18.&#10;Subject Codes: INST 458 CES 49.&#10;Heading: SPREMNI DOPIS.&#10;Originator: za generalnega sekretarja Evropske komisije: direktor Jordi AYET PUIGARNAU.&#10;Recipient: generalni sekretar Sveta Evropske unije Jeppe TRANHOLM-MIKKELSEN.&#10;Subject: Predlog sklepa Sveta o določitvi sestave Evropskega ekonomsko-socialnega odbora.&#10;Commission Document Number: COM(2018) 783 final.&#10;Preceeding Document Number: Not Set.&#10;Location: Bruselj.&#10;Date: 4. december 2018.&#10;Interinstitutional Files: 2018/0402 (NLE).&#10;Institutional Framework: Svet Evropske unije.&#10;Language: SL.&#10;Distribution Code: PUBLIC.&#10;GUID: 5484701190831460816_0" style="width:568.5pt;height:369pt">
            <v:imagedata r:id="rId7" o:title=""/>
          </v:shape>
        </w:pict>
      </w:r>
      <w:bookmarkEnd w:id="0"/>
    </w:p>
    <w:p w:rsidR="00466D71" w:rsidRDefault="0080179D" w:rsidP="0080179D">
      <w:pPr>
        <w:pStyle w:val="EntText"/>
        <w:spacing w:before="480"/>
      </w:pPr>
      <w:bookmarkStart w:id="1" w:name="_GoBack"/>
      <w:bookmarkEnd w:id="1"/>
      <w:r>
        <w:t>Delegacije prejmejo priloženi</w:t>
      </w:r>
      <w:r w:rsidR="00466D71" w:rsidRPr="00466D71">
        <w:t xml:space="preserve"> dokument </w:t>
      </w:r>
      <w:r w:rsidR="00466D71">
        <w:fldChar w:fldCharType="begin"/>
      </w:r>
      <w:r w:rsidR="00466D71">
        <w:instrText xml:space="preserve"> QUOTE "</w:instrText>
      </w:r>
      <w:r w:rsidR="00466D71">
        <w:fldChar w:fldCharType="begin">
          <w:fldData xml:space="preserve">QwBvAG0AbQBEAG8AYwBzAHwAUwBMAA==
</w:fldData>
        </w:fldChar>
      </w:r>
      <w:r w:rsidR="00466D71">
        <w:instrText xml:space="preserve"> ADDIN "DocuWrite metadata link" </w:instrText>
      </w:r>
      <w:r w:rsidR="00466D71">
        <w:fldChar w:fldCharType="end"/>
      </w:r>
      <w:r w:rsidRPr="0080179D">
        <w:instrText>COM(2018) 783 final</w:instrText>
      </w:r>
      <w:r w:rsidR="00466D71">
        <w:instrText xml:space="preserve">" </w:instrText>
      </w:r>
      <w:r w:rsidR="00466D71">
        <w:fldChar w:fldCharType="separate"/>
      </w:r>
      <w:r w:rsidRPr="0080179D">
        <w:t>COM(2018) 783 final</w:t>
      </w:r>
      <w:r w:rsidR="00466D71">
        <w:fldChar w:fldCharType="end"/>
      </w:r>
      <w:r w:rsidR="00466D71" w:rsidRPr="00466D71">
        <w:t>.</w:t>
      </w:r>
    </w:p>
    <w:p w:rsidR="00466D71" w:rsidRDefault="00466D71" w:rsidP="00466D71">
      <w:pPr>
        <w:pStyle w:val="Lignefinal"/>
      </w:pPr>
    </w:p>
    <w:p w:rsidR="00466D71" w:rsidRDefault="00466D71" w:rsidP="0080179D">
      <w:pPr>
        <w:pStyle w:val="pj"/>
        <w:spacing w:before="120"/>
      </w:pPr>
      <w:r w:rsidRPr="0080179D">
        <w:rPr>
          <w:u w:val="single"/>
        </w:rPr>
        <w:t>Priloga</w:t>
      </w:r>
      <w:r w:rsidRPr="00466D71">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80179D" w:rsidRPr="0080179D">
        <w:instrText>COM(2018) 783 final</w:instrText>
      </w:r>
      <w:r>
        <w:instrText xml:space="preserve">" </w:instrText>
      </w:r>
      <w:r>
        <w:fldChar w:fldCharType="separate"/>
      </w:r>
      <w:r w:rsidR="0080179D" w:rsidRPr="0080179D">
        <w:t>COM(2018) 783 final</w:t>
      </w:r>
      <w:r>
        <w:fldChar w:fldCharType="end"/>
      </w:r>
    </w:p>
    <w:p w:rsidR="00466D71" w:rsidRDefault="00466D71" w:rsidP="00466D71">
      <w:pPr>
        <w:rPr>
          <w:noProof/>
        </w:rPr>
        <w:sectPr w:rsidR="00466D71" w:rsidSect="00466D71">
          <w:headerReference w:type="even" r:id="rId8"/>
          <w:headerReference w:type="default" r:id="rId9"/>
          <w:footerReference w:type="even" r:id="rId10"/>
          <w:footerReference w:type="default" r:id="rId11"/>
          <w:headerReference w:type="first" r:id="rId12"/>
          <w:footerReference w:type="first" r:id="rId13"/>
          <w:pgSz w:w="11907" w:h="16839"/>
          <w:pgMar w:top="624" w:right="1134" w:bottom="1134" w:left="1134" w:header="567" w:footer="567" w:gutter="0"/>
          <w:pgNumType w:start="0"/>
          <w:cols w:space="720"/>
          <w:titlePg/>
          <w:docGrid w:linePitch="360"/>
        </w:sectPr>
      </w:pPr>
    </w:p>
    <w:p w:rsidR="00D22201" w:rsidRDefault="00C05812">
      <w:pPr>
        <w:pStyle w:val="Pagedecouverture"/>
        <w:rPr>
          <w:noProof/>
        </w:rPr>
      </w:pPr>
      <w:r>
        <w:rPr>
          <w:noProof/>
        </w:rPr>
        <w:lastRenderedPageBreak/>
        <w:pict>
          <v:shape id="_x0000_i1026" type="#_x0000_t75" alt="60F205B8-4D13-4081-A5EE-8A2146510E26" style="width:450.75pt;height:338.25pt">
            <v:imagedata r:id="rId14" o:title=""/>
          </v:shape>
        </w:pict>
      </w:r>
    </w:p>
    <w:p w:rsidR="00D22201" w:rsidRDefault="00D22201">
      <w:pPr>
        <w:rPr>
          <w:noProof/>
        </w:rPr>
        <w:sectPr w:rsidR="00D22201">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0"/>
          <w:cols w:space="720"/>
          <w:docGrid w:linePitch="360"/>
        </w:sectPr>
      </w:pPr>
    </w:p>
    <w:p w:rsidR="00D22201" w:rsidRDefault="00466D71">
      <w:pPr>
        <w:pStyle w:val="Exposdesmotifstitre"/>
        <w:rPr>
          <w:noProof/>
        </w:rPr>
      </w:pPr>
      <w:r>
        <w:rPr>
          <w:noProof/>
        </w:rPr>
        <w:lastRenderedPageBreak/>
        <w:t>OBRAZLOŽITVENI MEMORANDUM</w:t>
      </w:r>
    </w:p>
    <w:p w:rsidR="00D22201" w:rsidRDefault="00466D71">
      <w:pPr>
        <w:pStyle w:val="ManualHeading1"/>
        <w:rPr>
          <w:noProof/>
        </w:rPr>
      </w:pPr>
      <w:r>
        <w:rPr>
          <w:noProof/>
        </w:rPr>
        <w:t>1.</w:t>
      </w:r>
      <w:r>
        <w:rPr>
          <w:noProof/>
        </w:rPr>
        <w:tab/>
        <w:t>OZADJE PREDLOGA</w:t>
      </w:r>
    </w:p>
    <w:p w:rsidR="00D22201" w:rsidRDefault="00466D71">
      <w:pPr>
        <w:pStyle w:val="ManualHeading2"/>
        <w:rPr>
          <w:rFonts w:eastAsia="Arial Unicode MS"/>
          <w:noProof/>
        </w:rPr>
      </w:pPr>
      <w:r>
        <w:rPr>
          <w:noProof/>
          <w:color w:val="000000"/>
          <w:u w:color="000000"/>
          <w:bdr w:val="nil"/>
        </w:rPr>
        <w:t>•</w:t>
      </w:r>
      <w:r>
        <w:rPr>
          <w:noProof/>
        </w:rPr>
        <w:tab/>
        <w:t>Razlogi za predlog in njegovi cilji</w:t>
      </w:r>
    </w:p>
    <w:p w:rsidR="00D22201" w:rsidRDefault="00466D71">
      <w:pPr>
        <w:pBdr>
          <w:top w:val="nil"/>
          <w:left w:val="nil"/>
          <w:bottom w:val="nil"/>
          <w:right w:val="nil"/>
          <w:between w:val="nil"/>
          <w:bar w:val="nil"/>
        </w:pBdr>
        <w:spacing w:before="0" w:after="240"/>
        <w:rPr>
          <w:noProof/>
        </w:rPr>
      </w:pPr>
      <w:r>
        <w:rPr>
          <w:noProof/>
        </w:rPr>
        <w:t>Člen 301 Pogodbe o delovanju Evropske unije (v nadaljnjem besedilu: PDEU) določa, da število članov Evropskega ekonomsko-socialnega odbora (v nadaljnjem besedilu: odbor) ne sme preseči 350 in da Svet na predlog Komisije soglasno sprejme sklep, s katerim določi sestavo odbora.</w:t>
      </w:r>
    </w:p>
    <w:p w:rsidR="00D22201" w:rsidRDefault="00466D71">
      <w:pPr>
        <w:pBdr>
          <w:top w:val="nil"/>
          <w:left w:val="nil"/>
          <w:bottom w:val="nil"/>
          <w:right w:val="nil"/>
          <w:between w:val="nil"/>
          <w:bar w:val="nil"/>
        </w:pBdr>
        <w:spacing w:before="0" w:after="240"/>
        <w:rPr>
          <w:noProof/>
        </w:rPr>
      </w:pPr>
      <w:r>
        <w:rPr>
          <w:noProof/>
        </w:rPr>
        <w:t>Člen 300(5) PDEU določa, da pravila, ki urejajo sestavo posvetovalnih organov, „redno preverja Svet ob upoštevanju gospodarskega, socialnega in demografskega razvoja v Uniji. Svet na predlog Komisije v ta namen sprejema sklepe.“</w:t>
      </w:r>
    </w:p>
    <w:p w:rsidR="00D22201" w:rsidRDefault="00466D71">
      <w:pPr>
        <w:pBdr>
          <w:top w:val="nil"/>
          <w:left w:val="nil"/>
          <w:bottom w:val="nil"/>
          <w:right w:val="nil"/>
          <w:between w:val="nil"/>
          <w:bar w:val="nil"/>
        </w:pBdr>
        <w:spacing w:before="0" w:after="240"/>
        <w:rPr>
          <w:noProof/>
        </w:rPr>
      </w:pPr>
      <w:r>
        <w:rPr>
          <w:noProof/>
        </w:rPr>
        <w:t>Z učinkom z dne 1. julija 2013 je bila s členom 23(1) Akta o pogojih pristopa Republike Hrvaške</w:t>
      </w:r>
      <w:r>
        <w:rPr>
          <w:rStyle w:val="FootnoteReference"/>
          <w:noProof/>
        </w:rPr>
        <w:footnoteReference w:id="1"/>
      </w:r>
      <w:r>
        <w:rPr>
          <w:noProof/>
        </w:rPr>
        <w:t xml:space="preserve"> prilagojena sestava odbora, s členom 23(2) pa je bilo določeno začasno povečanje števila članov odbora na 353 zaradi upoštevanja pristopa Republike Hrvaške. Za obdobje 2015–2020 je Svet 14. julija 2015 sprejel sklep o določitvi sestave odbora</w:t>
      </w:r>
      <w:r>
        <w:rPr>
          <w:rStyle w:val="FootnoteReference"/>
          <w:noProof/>
        </w:rPr>
        <w:footnoteReference w:id="2"/>
      </w:r>
      <w:r>
        <w:rPr>
          <w:noProof/>
        </w:rPr>
        <w:t>, da bi se upoštevalo največje dovoljeno število članov iz Pogodbe, tj. 350. To je pomenilo zmanjšanje števila članov za en sedež za delegacije Estonije, Cipra in Luksemburga.</w:t>
      </w:r>
    </w:p>
    <w:p w:rsidR="00D22201" w:rsidRDefault="00466D71">
      <w:pPr>
        <w:pBdr>
          <w:top w:val="nil"/>
          <w:left w:val="nil"/>
          <w:bottom w:val="nil"/>
          <w:right w:val="nil"/>
          <w:between w:val="nil"/>
          <w:bar w:val="nil"/>
        </w:pBdr>
        <w:spacing w:before="0" w:after="240"/>
        <w:rPr>
          <w:noProof/>
        </w:rPr>
      </w:pPr>
      <w:r>
        <w:rPr>
          <w:noProof/>
        </w:rPr>
        <w:t xml:space="preserve">Sedanji mandat Evropskega ekonomsko-socialnega odbora se konča 20. septembra 2020. Zato mora Svet pravočasno sprejeti sklep o sestavi odbora, in sicer preden začne postopek za naslednji mandat odbora za obdobje 2020–2025. </w:t>
      </w:r>
    </w:p>
    <w:p w:rsidR="00D22201" w:rsidRDefault="00466D71">
      <w:pPr>
        <w:pBdr>
          <w:top w:val="nil"/>
          <w:left w:val="nil"/>
          <w:bottom w:val="nil"/>
          <w:right w:val="nil"/>
          <w:between w:val="nil"/>
          <w:bar w:val="nil"/>
        </w:pBdr>
        <w:spacing w:before="0" w:after="240"/>
        <w:rPr>
          <w:noProof/>
        </w:rPr>
      </w:pPr>
      <w:r>
        <w:rPr>
          <w:noProof/>
        </w:rPr>
        <w:t xml:space="preserve">Z izstopom Združenega kraljestva iz Evropske unije 30. marca 2019 se bo sprostilo 24 sedežev v odboru. </w:t>
      </w:r>
    </w:p>
    <w:p w:rsidR="00D22201" w:rsidRDefault="00466D71">
      <w:pPr>
        <w:pBdr>
          <w:top w:val="nil"/>
          <w:left w:val="nil"/>
          <w:bottom w:val="nil"/>
          <w:right w:val="nil"/>
          <w:between w:val="nil"/>
          <w:bar w:val="nil"/>
        </w:pBdr>
        <w:spacing w:before="0" w:after="240"/>
        <w:rPr>
          <w:noProof/>
        </w:rPr>
      </w:pPr>
      <w:r>
        <w:rPr>
          <w:noProof/>
        </w:rPr>
        <w:t xml:space="preserve">Komisija meni, da bi bilo treba v čim večji meri ohraniti sedanje ravnotežje v sestavi odbora, saj je rezultat zaporednih medvladnih konferenc. </w:t>
      </w:r>
    </w:p>
    <w:p w:rsidR="00D22201" w:rsidRDefault="00466D71">
      <w:pPr>
        <w:pBdr>
          <w:top w:val="nil"/>
          <w:left w:val="nil"/>
          <w:bottom w:val="nil"/>
          <w:right w:val="nil"/>
          <w:between w:val="nil"/>
          <w:bar w:val="nil"/>
        </w:pBdr>
        <w:spacing w:before="0" w:after="240"/>
        <w:rPr>
          <w:noProof/>
        </w:rPr>
      </w:pPr>
      <w:r>
        <w:rPr>
          <w:noProof/>
        </w:rPr>
        <w:t>Zato se predlaga vrnitev treh sedežev Estoniji, Cipru in Luksemburgu, ki so se tem državam članicam odvzeli po zadnjem sklepu o določitvi sestave odbora, in ohranitev preostalih sproščenih sedežev kot rezerve za morebitne prihodnje širitve. Tako bi odbor v obdobju 2020–2025 sestavljalo 329 članov.</w:t>
      </w:r>
    </w:p>
    <w:p w:rsidR="00D22201" w:rsidRDefault="00466D71">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rsidR="00D22201" w:rsidRDefault="00466D71">
      <w:pPr>
        <w:pBdr>
          <w:top w:val="nil"/>
          <w:left w:val="nil"/>
          <w:bottom w:val="nil"/>
          <w:right w:val="nil"/>
          <w:between w:val="nil"/>
          <w:bar w:val="nil"/>
        </w:pBdr>
        <w:spacing w:before="0" w:after="240"/>
        <w:rPr>
          <w:rFonts w:eastAsia="Arial Unicode MS"/>
          <w:noProof/>
        </w:rPr>
      </w:pPr>
      <w:r>
        <w:rPr>
          <w:noProof/>
        </w:rPr>
        <w:t>Ni relevantno.</w:t>
      </w:r>
    </w:p>
    <w:p w:rsidR="00D22201" w:rsidRDefault="00466D71">
      <w:pPr>
        <w:pStyle w:val="ManualHeading2"/>
        <w:rPr>
          <w:rFonts w:eastAsia="Arial Unicode MS"/>
          <w:noProof/>
        </w:rPr>
      </w:pPr>
      <w:r>
        <w:rPr>
          <w:noProof/>
          <w:color w:val="000000"/>
          <w:u w:color="000000"/>
          <w:bdr w:val="nil"/>
        </w:rPr>
        <w:t>•</w:t>
      </w:r>
      <w:r>
        <w:rPr>
          <w:noProof/>
        </w:rPr>
        <w:tab/>
        <w:t>Skladnost z drugimi politikami Unije</w:t>
      </w:r>
    </w:p>
    <w:p w:rsidR="00D22201" w:rsidRDefault="00466D71">
      <w:pPr>
        <w:pBdr>
          <w:top w:val="nil"/>
          <w:left w:val="nil"/>
          <w:bottom w:val="nil"/>
          <w:right w:val="nil"/>
          <w:between w:val="nil"/>
          <w:bar w:val="nil"/>
        </w:pBdr>
        <w:spacing w:before="0" w:after="240"/>
        <w:rPr>
          <w:noProof/>
        </w:rPr>
      </w:pPr>
      <w:r>
        <w:rPr>
          <w:noProof/>
        </w:rPr>
        <w:t>Komisija sprejema ta predlog skupaj s predlogom o sestavi Odbora regij. Podobnost razporeditve sedežev med državami članicami v obeh odborih bi bilo treba ohraniti.</w:t>
      </w:r>
    </w:p>
    <w:p w:rsidR="00D22201" w:rsidRDefault="00466D71">
      <w:pPr>
        <w:pBdr>
          <w:top w:val="nil"/>
          <w:left w:val="nil"/>
          <w:bottom w:val="nil"/>
          <w:right w:val="nil"/>
          <w:between w:val="nil"/>
          <w:bar w:val="nil"/>
        </w:pBdr>
        <w:spacing w:before="0" w:after="240"/>
        <w:rPr>
          <w:rFonts w:eastAsia="Arial Unicode MS"/>
          <w:noProof/>
          <w:color w:val="0000FF"/>
        </w:rPr>
      </w:pPr>
      <w:r>
        <w:rPr>
          <w:noProof/>
        </w:rPr>
        <w:t xml:space="preserve">Pogodbe ne vsebujejo določb o tem, kako določiti sestavo Evropskega ekonomsko-socialnega odbora ali Odbora regij v okviru 350 dovoljenih članov. V nasprotju s tem pa so merila za sestavo Evropskega parlamenta določena v členu 14(2) Pogodbe o Evropski uniji. Medtem ko </w:t>
      </w:r>
      <w:r>
        <w:rPr>
          <w:noProof/>
        </w:rPr>
        <w:lastRenderedPageBreak/>
        <w:t>Parlament sestavljajo neposredno izvoljeni predstavniki državljanov Unije, je odbor sestavljen iz predstavnikov organizacij delodajalcev, delojemalcev in drugih predstavnikov civilne družbe (člen 300(2) PDEU). Zato je prednostna skrb pri določitvi nove sestave Evropskega ekonomsko-socialnega odbora zagotoviti, da se v odboru sliši glas delodajalcev, delojemalcev in civilne družbe, ne pa vzpostavitev neposredne povezave z velikostjo nacionalnih delegacij v odboru in številom prebivalcev posamezne države članice.</w:t>
      </w:r>
    </w:p>
    <w:p w:rsidR="00D22201" w:rsidRDefault="00466D71">
      <w:pPr>
        <w:pStyle w:val="ManualHeading1"/>
        <w:rPr>
          <w:noProof/>
        </w:rPr>
      </w:pPr>
      <w:r>
        <w:rPr>
          <w:noProof/>
        </w:rPr>
        <w:t>2.</w:t>
      </w:r>
      <w:r>
        <w:rPr>
          <w:noProof/>
        </w:rPr>
        <w:tab/>
        <w:t>PRAVNA PODLAGA, SUBSIDIARNOST IN SORAZMERNOST</w:t>
      </w:r>
    </w:p>
    <w:p w:rsidR="00D22201" w:rsidRDefault="00466D71">
      <w:pPr>
        <w:pStyle w:val="ManualHeading2"/>
        <w:rPr>
          <w:rFonts w:eastAsia="Arial Unicode MS"/>
          <w:noProof/>
          <w:u w:color="000000"/>
          <w:bdr w:val="nil"/>
        </w:rPr>
      </w:pPr>
      <w:r>
        <w:rPr>
          <w:noProof/>
        </w:rPr>
        <w:t>•</w:t>
      </w:r>
      <w:r>
        <w:rPr>
          <w:noProof/>
        </w:rPr>
        <w:tab/>
        <w:t>Pravna podlaga</w:t>
      </w:r>
    </w:p>
    <w:p w:rsidR="00D22201" w:rsidRDefault="00466D71">
      <w:pPr>
        <w:pBdr>
          <w:top w:val="nil"/>
          <w:left w:val="nil"/>
          <w:bottom w:val="nil"/>
          <w:right w:val="nil"/>
          <w:between w:val="nil"/>
          <w:bar w:val="nil"/>
        </w:pBdr>
        <w:spacing w:before="0" w:after="240"/>
        <w:rPr>
          <w:rFonts w:eastAsia="Arial Unicode MS"/>
          <w:noProof/>
        </w:rPr>
      </w:pPr>
      <w:r>
        <w:rPr>
          <w:noProof/>
        </w:rPr>
        <w:t>Predlog temelji na členu 301 PDEU, ki določa, da Svet soglasno sprejme sklep, s katerim določi sestavo odbora.</w:t>
      </w:r>
    </w:p>
    <w:p w:rsidR="00D22201" w:rsidRDefault="00466D71">
      <w:pPr>
        <w:pStyle w:val="ManualHeading2"/>
        <w:rPr>
          <w:rFonts w:eastAsia="Arial Unicode MS"/>
          <w:noProof/>
          <w:u w:color="000000"/>
          <w:bdr w:val="nil"/>
        </w:rPr>
      </w:pPr>
      <w:r>
        <w:rPr>
          <w:noProof/>
        </w:rPr>
        <w:t>•</w:t>
      </w:r>
      <w:r>
        <w:rPr>
          <w:noProof/>
        </w:rPr>
        <w:tab/>
        <w:t xml:space="preserve">Subsidiarnost (za neizključno pristojnost) </w:t>
      </w:r>
    </w:p>
    <w:p w:rsidR="00D22201" w:rsidRDefault="00466D71">
      <w:pPr>
        <w:pBdr>
          <w:top w:val="nil"/>
          <w:left w:val="nil"/>
          <w:bottom w:val="nil"/>
          <w:right w:val="nil"/>
          <w:between w:val="nil"/>
          <w:bar w:val="nil"/>
        </w:pBdr>
        <w:spacing w:before="0" w:after="240"/>
        <w:rPr>
          <w:rFonts w:eastAsia="Arial Unicode MS"/>
          <w:noProof/>
        </w:rPr>
      </w:pPr>
      <w:r>
        <w:rPr>
          <w:noProof/>
        </w:rPr>
        <w:t>Ni relevantno.</w:t>
      </w:r>
    </w:p>
    <w:p w:rsidR="00D22201" w:rsidRDefault="00466D71">
      <w:pPr>
        <w:pStyle w:val="ManualHeading2"/>
        <w:rPr>
          <w:rFonts w:eastAsia="Arial Unicode MS"/>
          <w:noProof/>
          <w:u w:color="000000"/>
          <w:bdr w:val="nil"/>
        </w:rPr>
      </w:pPr>
      <w:r>
        <w:rPr>
          <w:noProof/>
        </w:rPr>
        <w:t>•</w:t>
      </w:r>
      <w:r>
        <w:rPr>
          <w:noProof/>
        </w:rPr>
        <w:tab/>
        <w:t>Sorazmernost</w:t>
      </w:r>
    </w:p>
    <w:p w:rsidR="00D22201" w:rsidRDefault="00466D71">
      <w:pPr>
        <w:pBdr>
          <w:top w:val="nil"/>
          <w:left w:val="nil"/>
          <w:bottom w:val="nil"/>
          <w:right w:val="nil"/>
          <w:between w:val="nil"/>
          <w:bar w:val="nil"/>
        </w:pBdr>
        <w:spacing w:before="0" w:after="240"/>
        <w:rPr>
          <w:rFonts w:eastAsia="Arial Unicode MS"/>
          <w:noProof/>
        </w:rPr>
      </w:pPr>
      <w:r>
        <w:rPr>
          <w:noProof/>
        </w:rPr>
        <w:t>Ni relevantno.</w:t>
      </w:r>
    </w:p>
    <w:p w:rsidR="00D22201" w:rsidRDefault="00466D71">
      <w:pPr>
        <w:pStyle w:val="ManualHeading2"/>
        <w:rPr>
          <w:rFonts w:eastAsia="Arial Unicode MS"/>
          <w:noProof/>
          <w:u w:color="000000"/>
          <w:bdr w:val="nil"/>
        </w:rPr>
      </w:pPr>
      <w:r>
        <w:rPr>
          <w:noProof/>
        </w:rPr>
        <w:t>•</w:t>
      </w:r>
      <w:r>
        <w:rPr>
          <w:noProof/>
        </w:rPr>
        <w:tab/>
        <w:t>Izbira instrumenta</w:t>
      </w:r>
    </w:p>
    <w:p w:rsidR="00D22201" w:rsidRDefault="00466D71">
      <w:pPr>
        <w:pBdr>
          <w:top w:val="nil"/>
          <w:left w:val="nil"/>
          <w:bottom w:val="nil"/>
          <w:right w:val="nil"/>
          <w:between w:val="nil"/>
          <w:bar w:val="nil"/>
        </w:pBdr>
        <w:spacing w:before="0" w:after="240"/>
        <w:rPr>
          <w:rFonts w:eastAsia="Arial Unicode MS"/>
          <w:noProof/>
        </w:rPr>
      </w:pPr>
      <w:r>
        <w:rPr>
          <w:noProof/>
        </w:rPr>
        <w:t>Drugi odstavek člena 301 PDEU določa, da Svet na predlog Komisije soglasno sprejme sklep, s katerim določi sestavo odbora.</w:t>
      </w:r>
    </w:p>
    <w:p w:rsidR="00D22201" w:rsidRDefault="00466D71">
      <w:pPr>
        <w:pStyle w:val="ManualHeading1"/>
        <w:rPr>
          <w:noProof/>
        </w:rPr>
      </w:pPr>
      <w:r>
        <w:rPr>
          <w:noProof/>
        </w:rPr>
        <w:t>3.</w:t>
      </w:r>
      <w:r>
        <w:rPr>
          <w:noProof/>
        </w:rPr>
        <w:tab/>
        <w:t>REZULTATI NAKNADNIH OCEN, POSVETOVANJ Z ZAINTERESIRANIMI STRANMI IN OCEN UČINKA</w:t>
      </w:r>
    </w:p>
    <w:p w:rsidR="00D22201" w:rsidRDefault="00466D71">
      <w:pPr>
        <w:pStyle w:val="ManualHeading2"/>
        <w:rPr>
          <w:rFonts w:eastAsia="Arial Unicode MS"/>
          <w:noProof/>
          <w:u w:color="000000"/>
          <w:bdr w:val="nil"/>
        </w:rPr>
      </w:pPr>
      <w:r>
        <w:rPr>
          <w:noProof/>
        </w:rPr>
        <w:t>•</w:t>
      </w:r>
      <w:r>
        <w:rPr>
          <w:noProof/>
        </w:rPr>
        <w:tab/>
        <w:t>Naknadne ocene/preverjanja ustreznosti obstoječe zakonodaje</w:t>
      </w:r>
    </w:p>
    <w:p w:rsidR="00D22201" w:rsidRDefault="00466D71">
      <w:pPr>
        <w:pBdr>
          <w:top w:val="nil"/>
          <w:left w:val="nil"/>
          <w:bottom w:val="nil"/>
          <w:right w:val="nil"/>
          <w:between w:val="nil"/>
          <w:bar w:val="nil"/>
        </w:pBdr>
        <w:spacing w:before="0" w:after="240"/>
        <w:rPr>
          <w:rFonts w:eastAsia="Arial Unicode MS"/>
          <w:noProof/>
        </w:rPr>
      </w:pPr>
      <w:r>
        <w:rPr>
          <w:noProof/>
        </w:rPr>
        <w:t>Ni relevantno.</w:t>
      </w:r>
    </w:p>
    <w:p w:rsidR="00D22201" w:rsidRDefault="00466D71">
      <w:pPr>
        <w:pStyle w:val="ManualHeading2"/>
        <w:rPr>
          <w:rFonts w:eastAsia="Arial Unicode MS"/>
          <w:noProof/>
          <w:u w:color="000000"/>
          <w:bdr w:val="nil"/>
        </w:rPr>
      </w:pPr>
      <w:r>
        <w:rPr>
          <w:noProof/>
        </w:rPr>
        <w:t>•</w:t>
      </w:r>
      <w:r>
        <w:rPr>
          <w:noProof/>
        </w:rPr>
        <w:tab/>
        <w:t>Posvetovanja z zainteresiranimi stranmi</w:t>
      </w:r>
    </w:p>
    <w:p w:rsidR="00D22201" w:rsidRDefault="00466D71">
      <w:pPr>
        <w:pBdr>
          <w:top w:val="nil"/>
          <w:left w:val="nil"/>
          <w:bottom w:val="nil"/>
          <w:right w:val="nil"/>
          <w:between w:val="nil"/>
          <w:bar w:val="nil"/>
        </w:pBdr>
        <w:spacing w:before="0" w:after="240"/>
        <w:rPr>
          <w:noProof/>
        </w:rPr>
      </w:pPr>
      <w:r>
        <w:rPr>
          <w:noProof/>
        </w:rPr>
        <w:t>Komisija je pri pripravi tega predloga tesno sodelovala s predstavniki držav članic in se z njimi večkrat sestala.</w:t>
      </w:r>
    </w:p>
    <w:p w:rsidR="00D22201" w:rsidRDefault="00466D71">
      <w:pPr>
        <w:pBdr>
          <w:top w:val="nil"/>
          <w:left w:val="nil"/>
          <w:bottom w:val="nil"/>
          <w:right w:val="nil"/>
          <w:between w:val="nil"/>
          <w:bar w:val="nil"/>
        </w:pBdr>
        <w:spacing w:before="0" w:after="240"/>
        <w:rPr>
          <w:rFonts w:eastAsia="Arial Unicode MS"/>
          <w:noProof/>
        </w:rPr>
      </w:pPr>
      <w:r>
        <w:rPr>
          <w:noProof/>
        </w:rPr>
        <w:t>Evropski ekonomsko-socialni odbor je Komisiji poslal svoje priporočilo, ki temelji na sklepu njegovega predsedstva z dne 18. septembra 2018</w:t>
      </w:r>
      <w:r>
        <w:rPr>
          <w:rStyle w:val="FootnoteReference"/>
          <w:noProof/>
        </w:rPr>
        <w:footnoteReference w:id="3"/>
      </w:r>
      <w:r>
        <w:rPr>
          <w:noProof/>
        </w:rPr>
        <w:t>, naj se Estoniji, Cipru in Luksemburgu vrnejo trije sedeži, ki so se jim odvzeli leta 2015, drugi prosti sedeži pa naj se ne razdelijo, s čimer bo v mandatnem obdobju 2020–2025 v odboru 329 članov.</w:t>
      </w:r>
    </w:p>
    <w:p w:rsidR="00D22201" w:rsidRDefault="00466D71">
      <w:pPr>
        <w:pStyle w:val="ManualHeading2"/>
        <w:rPr>
          <w:rFonts w:eastAsia="Arial Unicode MS"/>
          <w:noProof/>
          <w:u w:color="000000"/>
          <w:bdr w:val="nil"/>
        </w:rPr>
      </w:pPr>
      <w:r>
        <w:rPr>
          <w:noProof/>
        </w:rPr>
        <w:t>•</w:t>
      </w:r>
      <w:r>
        <w:rPr>
          <w:noProof/>
        </w:rPr>
        <w:tab/>
        <w:t>Zbiranje in uporaba strokovnih mnenj</w:t>
      </w:r>
    </w:p>
    <w:p w:rsidR="00D22201" w:rsidRDefault="00466D71">
      <w:pPr>
        <w:pBdr>
          <w:top w:val="nil"/>
          <w:left w:val="nil"/>
          <w:bottom w:val="nil"/>
          <w:right w:val="nil"/>
          <w:between w:val="nil"/>
          <w:bar w:val="nil"/>
        </w:pBdr>
        <w:spacing w:before="0" w:after="240"/>
        <w:rPr>
          <w:rFonts w:eastAsia="Arial Unicode MS"/>
          <w:noProof/>
        </w:rPr>
      </w:pPr>
      <w:r>
        <w:rPr>
          <w:noProof/>
        </w:rPr>
        <w:t>Ni relevantno.</w:t>
      </w:r>
    </w:p>
    <w:p w:rsidR="00D22201" w:rsidRDefault="00466D71">
      <w:pPr>
        <w:pStyle w:val="ManualHeading2"/>
        <w:rPr>
          <w:rFonts w:eastAsia="Arial Unicode MS"/>
          <w:noProof/>
          <w:u w:color="000000"/>
          <w:bdr w:val="nil"/>
        </w:rPr>
      </w:pPr>
      <w:r>
        <w:rPr>
          <w:noProof/>
        </w:rPr>
        <w:t>•</w:t>
      </w:r>
      <w:r>
        <w:rPr>
          <w:noProof/>
        </w:rPr>
        <w:tab/>
        <w:t>Ocena učinka</w:t>
      </w:r>
    </w:p>
    <w:p w:rsidR="00D22201" w:rsidRDefault="00466D71">
      <w:pPr>
        <w:pBdr>
          <w:top w:val="nil"/>
          <w:left w:val="nil"/>
          <w:bottom w:val="nil"/>
          <w:right w:val="nil"/>
          <w:between w:val="nil"/>
          <w:bar w:val="nil"/>
        </w:pBdr>
        <w:spacing w:before="0" w:after="240"/>
        <w:rPr>
          <w:rFonts w:eastAsia="Arial Unicode MS"/>
          <w:noProof/>
        </w:rPr>
      </w:pPr>
      <w:r>
        <w:rPr>
          <w:noProof/>
        </w:rPr>
        <w:t>Temu predlogu ni priložena posebna ocena učinka, saj se ne pričakuje, da bi imel širše pomembne gospodarske, socialne in okoljske učinke.</w:t>
      </w:r>
    </w:p>
    <w:p w:rsidR="00D22201" w:rsidRDefault="00466D71">
      <w:pPr>
        <w:pStyle w:val="ManualHeading2"/>
        <w:rPr>
          <w:rFonts w:eastAsia="Arial Unicode MS"/>
          <w:noProof/>
          <w:u w:color="000000"/>
          <w:bdr w:val="nil"/>
        </w:rPr>
      </w:pPr>
      <w:r>
        <w:rPr>
          <w:noProof/>
        </w:rPr>
        <w:lastRenderedPageBreak/>
        <w:t>•</w:t>
      </w:r>
      <w:r>
        <w:rPr>
          <w:noProof/>
        </w:rPr>
        <w:tab/>
        <w:t>Ustreznost in poenostavitev ureditve</w:t>
      </w:r>
    </w:p>
    <w:p w:rsidR="00D22201" w:rsidRDefault="00466D71">
      <w:pPr>
        <w:pBdr>
          <w:top w:val="nil"/>
          <w:left w:val="nil"/>
          <w:bottom w:val="nil"/>
          <w:right w:val="nil"/>
          <w:between w:val="nil"/>
          <w:bar w:val="nil"/>
        </w:pBdr>
        <w:spacing w:before="0" w:after="240"/>
        <w:rPr>
          <w:rFonts w:eastAsia="Arial Unicode MS"/>
          <w:noProof/>
        </w:rPr>
      </w:pPr>
      <w:r>
        <w:rPr>
          <w:noProof/>
        </w:rPr>
        <w:t>Ni relevantno.</w:t>
      </w:r>
    </w:p>
    <w:p w:rsidR="00D22201" w:rsidRDefault="00466D71">
      <w:pPr>
        <w:pStyle w:val="ManualHeading2"/>
        <w:rPr>
          <w:rFonts w:eastAsia="Arial Unicode MS"/>
          <w:noProof/>
          <w:u w:color="000000"/>
          <w:bdr w:val="nil"/>
        </w:rPr>
      </w:pPr>
      <w:r>
        <w:rPr>
          <w:noProof/>
        </w:rPr>
        <w:t>•</w:t>
      </w:r>
      <w:r>
        <w:rPr>
          <w:noProof/>
        </w:rPr>
        <w:tab/>
        <w:t>Temeljne pravice</w:t>
      </w:r>
    </w:p>
    <w:p w:rsidR="00D22201" w:rsidRDefault="00466D71">
      <w:pPr>
        <w:pBdr>
          <w:top w:val="nil"/>
          <w:left w:val="nil"/>
          <w:bottom w:val="nil"/>
          <w:right w:val="nil"/>
          <w:between w:val="nil"/>
          <w:bar w:val="nil"/>
        </w:pBdr>
        <w:spacing w:before="0" w:after="240"/>
        <w:rPr>
          <w:rFonts w:eastAsia="Arial Unicode MS"/>
          <w:noProof/>
        </w:rPr>
      </w:pPr>
      <w:r>
        <w:rPr>
          <w:noProof/>
        </w:rPr>
        <w:t>Ni relevantno.</w:t>
      </w:r>
    </w:p>
    <w:p w:rsidR="00D22201" w:rsidRDefault="00466D71">
      <w:pPr>
        <w:pStyle w:val="ManualHeading1"/>
        <w:rPr>
          <w:noProof/>
        </w:rPr>
      </w:pPr>
      <w:r>
        <w:rPr>
          <w:noProof/>
        </w:rPr>
        <w:t>4.</w:t>
      </w:r>
      <w:r>
        <w:rPr>
          <w:noProof/>
        </w:rPr>
        <w:tab/>
        <w:t>PRORAČUNSKE POSLEDICE</w:t>
      </w:r>
    </w:p>
    <w:p w:rsidR="00D22201" w:rsidRDefault="00466D71">
      <w:pPr>
        <w:pBdr>
          <w:top w:val="nil"/>
          <w:left w:val="nil"/>
          <w:bottom w:val="nil"/>
          <w:right w:val="nil"/>
          <w:between w:val="nil"/>
          <w:bar w:val="nil"/>
        </w:pBdr>
        <w:spacing w:before="0" w:after="240"/>
        <w:rPr>
          <w:rFonts w:eastAsia="Arial Unicode MS"/>
          <w:noProof/>
        </w:rPr>
      </w:pPr>
      <w:r>
        <w:rPr>
          <w:noProof/>
        </w:rPr>
        <w:t>Z zmanjšanjem števila sedežev zaradi izstopa Združenega kraljestva iz Evropske unije bi se lahko zmanjšal skupni proračun odbora.</w:t>
      </w:r>
    </w:p>
    <w:p w:rsidR="00D22201" w:rsidRDefault="00466D71">
      <w:pPr>
        <w:pStyle w:val="ManualHeading1"/>
        <w:rPr>
          <w:noProof/>
        </w:rPr>
      </w:pPr>
      <w:r>
        <w:rPr>
          <w:noProof/>
        </w:rPr>
        <w:t>5.</w:t>
      </w:r>
      <w:r>
        <w:rPr>
          <w:noProof/>
        </w:rPr>
        <w:tab/>
        <w:t>DRUGI ELEMENTI</w:t>
      </w:r>
    </w:p>
    <w:p w:rsidR="00D22201" w:rsidRDefault="00466D71">
      <w:pPr>
        <w:pStyle w:val="ManualHeading2"/>
        <w:rPr>
          <w:rFonts w:eastAsia="Arial Unicode MS"/>
          <w:noProof/>
          <w:u w:color="000000"/>
          <w:bdr w:val="nil"/>
        </w:rPr>
      </w:pPr>
      <w:r>
        <w:rPr>
          <w:noProof/>
        </w:rPr>
        <w:t>•</w:t>
      </w:r>
      <w:r>
        <w:rPr>
          <w:noProof/>
        </w:rPr>
        <w:tab/>
        <w:t>Izvedbeni načrti ter ureditve spremljanja, ocenjevanja in poročanja</w:t>
      </w:r>
    </w:p>
    <w:p w:rsidR="00D22201" w:rsidRDefault="00466D71">
      <w:pPr>
        <w:pBdr>
          <w:top w:val="nil"/>
          <w:left w:val="nil"/>
          <w:bottom w:val="nil"/>
          <w:right w:val="nil"/>
          <w:between w:val="nil"/>
          <w:bar w:val="nil"/>
        </w:pBdr>
        <w:spacing w:before="0" w:after="240"/>
        <w:rPr>
          <w:rFonts w:eastAsia="Arial Unicode MS"/>
          <w:noProof/>
        </w:rPr>
      </w:pPr>
      <w:r>
        <w:rPr>
          <w:noProof/>
        </w:rPr>
        <w:t>Ni relevantno.</w:t>
      </w:r>
    </w:p>
    <w:p w:rsidR="00D22201" w:rsidRDefault="00466D71">
      <w:pPr>
        <w:pStyle w:val="ManualHeading2"/>
        <w:rPr>
          <w:rFonts w:eastAsia="Arial Unicode MS"/>
          <w:noProof/>
          <w:u w:color="000000"/>
          <w:bdr w:val="nil"/>
        </w:rPr>
      </w:pPr>
      <w:r>
        <w:rPr>
          <w:noProof/>
        </w:rPr>
        <w:t>•</w:t>
      </w:r>
      <w:r>
        <w:rPr>
          <w:noProof/>
        </w:rPr>
        <w:tab/>
        <w:t>Obrazložitveni dokumenti (za direktive)</w:t>
      </w:r>
    </w:p>
    <w:p w:rsidR="00D22201" w:rsidRDefault="00466D71">
      <w:pPr>
        <w:pBdr>
          <w:top w:val="nil"/>
          <w:left w:val="nil"/>
          <w:bottom w:val="nil"/>
          <w:right w:val="nil"/>
          <w:between w:val="nil"/>
          <w:bar w:val="nil"/>
        </w:pBdr>
        <w:spacing w:before="0" w:after="240"/>
        <w:rPr>
          <w:rFonts w:eastAsia="Arial Unicode MS"/>
          <w:noProof/>
        </w:rPr>
      </w:pPr>
      <w:r>
        <w:rPr>
          <w:noProof/>
        </w:rPr>
        <w:t>Ni relevantno.</w:t>
      </w:r>
    </w:p>
    <w:p w:rsidR="00D22201" w:rsidRDefault="00466D71">
      <w:pPr>
        <w:pStyle w:val="ManualHeading2"/>
        <w:rPr>
          <w:rFonts w:eastAsia="Arial Unicode MS"/>
          <w:noProof/>
          <w:u w:color="000000"/>
          <w:bdr w:val="nil"/>
        </w:rPr>
      </w:pPr>
      <w:r>
        <w:rPr>
          <w:noProof/>
        </w:rPr>
        <w:t>•</w:t>
      </w:r>
      <w:r>
        <w:rPr>
          <w:noProof/>
        </w:rPr>
        <w:tab/>
        <w:t>Začetek veljavnosti</w:t>
      </w:r>
    </w:p>
    <w:p w:rsidR="00D22201" w:rsidRDefault="00466D71">
      <w:pPr>
        <w:pBdr>
          <w:top w:val="nil"/>
          <w:left w:val="nil"/>
          <w:bottom w:val="nil"/>
          <w:right w:val="nil"/>
          <w:between w:val="nil"/>
          <w:bar w:val="nil"/>
        </w:pBdr>
        <w:spacing w:before="0" w:after="240"/>
        <w:rPr>
          <w:noProof/>
        </w:rPr>
      </w:pPr>
      <w:r>
        <w:rPr>
          <w:noProof/>
        </w:rPr>
        <w:t xml:space="preserve">Komisija predlaga, naj Svet odloži začetek uporabe tega sklepa do dneva po izteku sedanjega mandata odbora. </w:t>
      </w:r>
    </w:p>
    <w:p w:rsidR="00D22201" w:rsidRDefault="00D22201">
      <w:pPr>
        <w:rPr>
          <w:noProof/>
        </w:rPr>
        <w:sectPr w:rsidR="00D22201">
          <w:footerReference w:type="default" r:id="rId21"/>
          <w:footerReference w:type="first" r:id="rId22"/>
          <w:pgSz w:w="11907" w:h="16839"/>
          <w:pgMar w:top="1134" w:right="1417" w:bottom="1134" w:left="1417" w:header="709" w:footer="709" w:gutter="0"/>
          <w:cols w:space="708"/>
          <w:docGrid w:linePitch="360"/>
        </w:sectPr>
      </w:pPr>
    </w:p>
    <w:p w:rsidR="00D22201" w:rsidRDefault="00466D71">
      <w:pPr>
        <w:pStyle w:val="Rfrenceinterinstitutionnelle"/>
        <w:rPr>
          <w:noProof/>
        </w:rPr>
      </w:pPr>
      <w:r>
        <w:rPr>
          <w:noProof/>
        </w:rPr>
        <w:lastRenderedPageBreak/>
        <w:t>2018/0402 (NLE)</w:t>
      </w:r>
    </w:p>
    <w:p w:rsidR="00D22201" w:rsidRDefault="00466D71">
      <w:pPr>
        <w:pStyle w:val="Statut"/>
        <w:rPr>
          <w:noProof/>
        </w:rPr>
      </w:pPr>
      <w:r>
        <w:rPr>
          <w:noProof/>
        </w:rPr>
        <w:t>Predlog</w:t>
      </w:r>
    </w:p>
    <w:p w:rsidR="00D22201" w:rsidRDefault="00466D71">
      <w:pPr>
        <w:pStyle w:val="Typedudocument"/>
        <w:rPr>
          <w:noProof/>
        </w:rPr>
      </w:pPr>
      <w:r>
        <w:rPr>
          <w:noProof/>
        </w:rPr>
        <w:t>SKLEP SVETA</w:t>
      </w:r>
    </w:p>
    <w:p w:rsidR="00D22201" w:rsidRDefault="00466D71">
      <w:pPr>
        <w:pStyle w:val="Titreobjet"/>
        <w:rPr>
          <w:noProof/>
        </w:rPr>
      </w:pPr>
      <w:r>
        <w:rPr>
          <w:noProof/>
        </w:rPr>
        <w:t>o določitvi sestave Evropskega ekonomsko-socialnega odbora</w:t>
      </w:r>
    </w:p>
    <w:p w:rsidR="00D22201" w:rsidRDefault="00466D71">
      <w:pPr>
        <w:pStyle w:val="Institutionquiagit"/>
        <w:rPr>
          <w:noProof/>
        </w:rPr>
      </w:pPr>
      <w:r>
        <w:rPr>
          <w:noProof/>
        </w:rPr>
        <w:t>SVET EVROPSKE UNIJE JE –</w:t>
      </w:r>
    </w:p>
    <w:p w:rsidR="00D22201" w:rsidRDefault="00466D71">
      <w:pPr>
        <w:rPr>
          <w:noProof/>
        </w:rPr>
      </w:pPr>
      <w:r>
        <w:rPr>
          <w:noProof/>
        </w:rPr>
        <w:t>ob upoštevanju Pogodbe o delovanju Evropske unije in zlasti člena 301 Pogodbe,</w:t>
      </w:r>
    </w:p>
    <w:p w:rsidR="00D22201" w:rsidRDefault="00466D71">
      <w:pPr>
        <w:rPr>
          <w:noProof/>
        </w:rPr>
      </w:pPr>
      <w:r>
        <w:rPr>
          <w:noProof/>
        </w:rPr>
        <w:t>ob upoštevanju predloga Evropske komisije,</w:t>
      </w:r>
    </w:p>
    <w:p w:rsidR="00D22201" w:rsidRDefault="00466D71">
      <w:pPr>
        <w:rPr>
          <w:noProof/>
        </w:rPr>
      </w:pPr>
      <w:r>
        <w:rPr>
          <w:noProof/>
        </w:rPr>
        <w:t>ob upoštevanju naslednjega:</w:t>
      </w:r>
    </w:p>
    <w:p w:rsidR="00D22201" w:rsidRDefault="00466D71">
      <w:pPr>
        <w:pStyle w:val="ManualConsidrant"/>
        <w:rPr>
          <w:noProof/>
        </w:rPr>
      </w:pPr>
      <w:r>
        <w:t>(1)</w:t>
      </w:r>
      <w:r>
        <w:tab/>
      </w:r>
      <w:r>
        <w:rPr>
          <w:noProof/>
        </w:rPr>
        <w:t>Člen 300 Pogodbe določa pravila za sestavo Evropskega ekonomsko-socialnega odbora.</w:t>
      </w:r>
    </w:p>
    <w:p w:rsidR="00D22201" w:rsidRDefault="00466D71">
      <w:pPr>
        <w:pStyle w:val="ManualConsidrant"/>
        <w:rPr>
          <w:noProof/>
        </w:rPr>
      </w:pPr>
      <w:r>
        <w:t>(2)</w:t>
      </w:r>
      <w:r>
        <w:tab/>
      </w:r>
      <w:r>
        <w:rPr>
          <w:noProof/>
        </w:rPr>
        <w:t>S Sklepom Sveta (EU) 2015/1157</w:t>
      </w:r>
      <w:r>
        <w:rPr>
          <w:rStyle w:val="FootnoteReference"/>
          <w:noProof/>
        </w:rPr>
        <w:footnoteReference w:id="4"/>
      </w:r>
      <w:r>
        <w:rPr>
          <w:noProof/>
        </w:rPr>
        <w:t xml:space="preserve"> je bila sestava Evropskega ekonomsko-socialnega odbora prilagojena zaradi pristopa Hrvaške. Estoniji, Cipru in Luksemburgu se je odvzel po en sedež, da se je odpravilo razhajanje med največjim dovoljenim številom članov, ki ga določa Pogodba, in številom članov po pristopu Hrvaške.</w:t>
      </w:r>
    </w:p>
    <w:p w:rsidR="00D22201" w:rsidRDefault="00466D71">
      <w:pPr>
        <w:pStyle w:val="ManualConsidrant"/>
        <w:rPr>
          <w:noProof/>
        </w:rPr>
      </w:pPr>
      <w:r>
        <w:t>(3)</w:t>
      </w:r>
      <w:r>
        <w:tab/>
      </w:r>
      <w:r>
        <w:rPr>
          <w:noProof/>
        </w:rPr>
        <w:t xml:space="preserve">V preambuli k Sklepu (EU) 2015/1157 je navedeno, da Svet ta sklep pregleda pravočasno pred začetkom mandata odbora leta 2020. </w:t>
      </w:r>
    </w:p>
    <w:p w:rsidR="00D22201" w:rsidRDefault="00466D71">
      <w:pPr>
        <w:pStyle w:val="ManualConsidrant"/>
        <w:rPr>
          <w:noProof/>
        </w:rPr>
      </w:pPr>
      <w:r>
        <w:t>(4)</w:t>
      </w:r>
      <w:r>
        <w:tab/>
      </w:r>
      <w:r>
        <w:rPr>
          <w:noProof/>
        </w:rPr>
        <w:t>Evropski ekonomsko-socialni odbor je 18. septembra 2018 sprejel priporočila Komisiji in Svetu glede svoje prihodnje sestave</w:t>
      </w:r>
      <w:r>
        <w:rPr>
          <w:rStyle w:val="FootnoteReference"/>
          <w:noProof/>
        </w:rPr>
        <w:footnoteReference w:id="5"/>
      </w:r>
      <w:r>
        <w:rPr>
          <w:noProof/>
        </w:rPr>
        <w:t xml:space="preserve">. </w:t>
      </w:r>
    </w:p>
    <w:p w:rsidR="00D22201" w:rsidRDefault="00466D71">
      <w:pPr>
        <w:pStyle w:val="ManualConsidrant"/>
        <w:rPr>
          <w:noProof/>
        </w:rPr>
      </w:pPr>
      <w:r>
        <w:t>(5)</w:t>
      </w:r>
      <w:r>
        <w:tab/>
      </w:r>
      <w:r>
        <w:rPr>
          <w:noProof/>
        </w:rPr>
        <w:t>Sedanje ravnotežje v sestavi Evropskega ekonomsko-socialnega odbora bi bilo treba v čim večji meri ohraniti, saj je rezultat zaporednih medvladnih konferenc.</w:t>
      </w:r>
    </w:p>
    <w:p w:rsidR="00D22201" w:rsidRDefault="00466D71">
      <w:pPr>
        <w:pStyle w:val="ManualConsidrant"/>
        <w:rPr>
          <w:noProof/>
        </w:rPr>
      </w:pPr>
      <w:r>
        <w:t>(6)</w:t>
      </w:r>
      <w:r>
        <w:tab/>
      </w:r>
      <w:r>
        <w:rPr>
          <w:noProof/>
        </w:rPr>
        <w:t>Z izstopom Združenega kraljestva iz Evropske unije se bo sprostilo 24 sedežev v odboru. Posledično je mogoče ponovno vzpostaviti ravnotežje razdelitve sedežev, ki je veljalo pred sprejetjem Sklepa Sveta (EU) 2015/1157 –</w:t>
      </w:r>
    </w:p>
    <w:p w:rsidR="00D22201" w:rsidRDefault="00466D71">
      <w:pPr>
        <w:pStyle w:val="Formuledadoption"/>
        <w:rPr>
          <w:noProof/>
        </w:rPr>
      </w:pPr>
      <w:r>
        <w:rPr>
          <w:noProof/>
        </w:rPr>
        <w:t xml:space="preserve">SPREJEL NASLEDNJI SKLEP: </w:t>
      </w:r>
    </w:p>
    <w:p w:rsidR="00D22201" w:rsidRDefault="00466D71">
      <w:pPr>
        <w:pStyle w:val="Titrearticle"/>
        <w:rPr>
          <w:noProof/>
        </w:rPr>
      </w:pPr>
      <w:r>
        <w:rPr>
          <w:noProof/>
        </w:rPr>
        <w:t>Člen 1</w:t>
      </w:r>
    </w:p>
    <w:p w:rsidR="00D22201" w:rsidRDefault="00466D71">
      <w:pPr>
        <w:rPr>
          <w:rFonts w:eastAsia="Calibri"/>
          <w:noProof/>
          <w:szCs w:val="20"/>
        </w:rPr>
      </w:pPr>
      <w:r>
        <w:rPr>
          <w:noProof/>
        </w:rPr>
        <w:t>Sestava članstva Evropskega ekonomsko-socialnega odbora je naslednja:</w:t>
      </w:r>
    </w:p>
    <w:p w:rsidR="00D22201" w:rsidRDefault="00466D71">
      <w:pPr>
        <w:tabs>
          <w:tab w:val="left" w:pos="2835"/>
        </w:tabs>
        <w:rPr>
          <w:rFonts w:eastAsia="Calibri"/>
          <w:noProof/>
          <w:szCs w:val="20"/>
        </w:rPr>
      </w:pPr>
      <w:r>
        <w:rPr>
          <w:noProof/>
        </w:rPr>
        <w:t>Belgija</w:t>
      </w:r>
      <w:r>
        <w:rPr>
          <w:noProof/>
        </w:rPr>
        <w:tab/>
        <w:t>12</w:t>
      </w:r>
    </w:p>
    <w:p w:rsidR="00D22201" w:rsidRDefault="00466D71">
      <w:pPr>
        <w:tabs>
          <w:tab w:val="left" w:pos="2835"/>
        </w:tabs>
        <w:rPr>
          <w:rFonts w:eastAsia="Calibri"/>
          <w:noProof/>
          <w:szCs w:val="20"/>
        </w:rPr>
      </w:pPr>
      <w:r>
        <w:rPr>
          <w:noProof/>
        </w:rPr>
        <w:t>Bolgarija</w:t>
      </w:r>
      <w:r>
        <w:rPr>
          <w:noProof/>
        </w:rPr>
        <w:tab/>
        <w:t>12</w:t>
      </w:r>
    </w:p>
    <w:p w:rsidR="00D22201" w:rsidRDefault="00466D71">
      <w:pPr>
        <w:tabs>
          <w:tab w:val="left" w:pos="2835"/>
        </w:tabs>
        <w:rPr>
          <w:rFonts w:eastAsia="Calibri"/>
          <w:noProof/>
          <w:szCs w:val="20"/>
        </w:rPr>
      </w:pPr>
      <w:r>
        <w:rPr>
          <w:noProof/>
        </w:rPr>
        <w:t>Češka</w:t>
      </w:r>
      <w:r>
        <w:rPr>
          <w:noProof/>
        </w:rPr>
        <w:tab/>
        <w:t>12</w:t>
      </w:r>
    </w:p>
    <w:p w:rsidR="00D22201" w:rsidRDefault="00466D71">
      <w:pPr>
        <w:tabs>
          <w:tab w:val="left" w:pos="2977"/>
        </w:tabs>
        <w:rPr>
          <w:rFonts w:eastAsia="Calibri"/>
          <w:noProof/>
          <w:szCs w:val="20"/>
        </w:rPr>
      </w:pPr>
      <w:r>
        <w:rPr>
          <w:noProof/>
        </w:rPr>
        <w:t>Danska</w:t>
      </w:r>
      <w:r>
        <w:rPr>
          <w:noProof/>
        </w:rPr>
        <w:tab/>
        <w:t>9</w:t>
      </w:r>
    </w:p>
    <w:p w:rsidR="00D22201" w:rsidRDefault="00466D71">
      <w:pPr>
        <w:tabs>
          <w:tab w:val="left" w:pos="2835"/>
        </w:tabs>
        <w:rPr>
          <w:rFonts w:eastAsia="Calibri"/>
          <w:noProof/>
          <w:szCs w:val="20"/>
        </w:rPr>
      </w:pPr>
      <w:r>
        <w:rPr>
          <w:noProof/>
        </w:rPr>
        <w:t>Nemčija</w:t>
      </w:r>
      <w:r>
        <w:rPr>
          <w:noProof/>
        </w:rPr>
        <w:tab/>
        <w:t>24</w:t>
      </w:r>
    </w:p>
    <w:p w:rsidR="00D22201" w:rsidRDefault="00466D71">
      <w:pPr>
        <w:tabs>
          <w:tab w:val="left" w:pos="2977"/>
        </w:tabs>
        <w:rPr>
          <w:rFonts w:eastAsia="Calibri"/>
          <w:noProof/>
          <w:szCs w:val="20"/>
        </w:rPr>
      </w:pPr>
      <w:r>
        <w:rPr>
          <w:noProof/>
        </w:rPr>
        <w:t>Estonija</w:t>
      </w:r>
      <w:r>
        <w:rPr>
          <w:noProof/>
        </w:rPr>
        <w:tab/>
        <w:t>7</w:t>
      </w:r>
    </w:p>
    <w:p w:rsidR="00D22201" w:rsidRDefault="00466D71">
      <w:pPr>
        <w:tabs>
          <w:tab w:val="left" w:pos="2977"/>
        </w:tabs>
        <w:rPr>
          <w:rFonts w:eastAsia="Calibri"/>
          <w:noProof/>
          <w:szCs w:val="20"/>
        </w:rPr>
      </w:pPr>
      <w:r>
        <w:rPr>
          <w:noProof/>
        </w:rPr>
        <w:lastRenderedPageBreak/>
        <w:t>Irska</w:t>
      </w:r>
      <w:r>
        <w:rPr>
          <w:noProof/>
        </w:rPr>
        <w:tab/>
        <w:t>9</w:t>
      </w:r>
    </w:p>
    <w:p w:rsidR="00D22201" w:rsidRDefault="00466D71">
      <w:pPr>
        <w:tabs>
          <w:tab w:val="left" w:pos="2835"/>
        </w:tabs>
        <w:rPr>
          <w:rFonts w:eastAsia="Calibri"/>
          <w:noProof/>
          <w:szCs w:val="20"/>
        </w:rPr>
      </w:pPr>
      <w:r>
        <w:rPr>
          <w:noProof/>
        </w:rPr>
        <w:t>Grčija</w:t>
      </w:r>
      <w:r>
        <w:rPr>
          <w:noProof/>
        </w:rPr>
        <w:tab/>
        <w:t>12</w:t>
      </w:r>
    </w:p>
    <w:p w:rsidR="00D22201" w:rsidRDefault="00466D71">
      <w:pPr>
        <w:tabs>
          <w:tab w:val="left" w:pos="2835"/>
        </w:tabs>
        <w:rPr>
          <w:rFonts w:eastAsia="Calibri"/>
          <w:noProof/>
          <w:szCs w:val="20"/>
        </w:rPr>
      </w:pPr>
      <w:r>
        <w:rPr>
          <w:noProof/>
        </w:rPr>
        <w:t>Španija</w:t>
      </w:r>
      <w:r>
        <w:rPr>
          <w:noProof/>
        </w:rPr>
        <w:tab/>
        <w:t>21</w:t>
      </w:r>
    </w:p>
    <w:p w:rsidR="00D22201" w:rsidRDefault="00466D71">
      <w:pPr>
        <w:tabs>
          <w:tab w:val="left" w:pos="2835"/>
        </w:tabs>
        <w:rPr>
          <w:rFonts w:eastAsia="Calibri"/>
          <w:noProof/>
          <w:szCs w:val="20"/>
        </w:rPr>
      </w:pPr>
      <w:r>
        <w:rPr>
          <w:noProof/>
        </w:rPr>
        <w:t>Francija</w:t>
      </w:r>
      <w:r>
        <w:rPr>
          <w:noProof/>
        </w:rPr>
        <w:tab/>
        <w:t>24</w:t>
      </w:r>
    </w:p>
    <w:p w:rsidR="00D22201" w:rsidRDefault="00466D71">
      <w:pPr>
        <w:tabs>
          <w:tab w:val="left" w:pos="2977"/>
        </w:tabs>
        <w:rPr>
          <w:rFonts w:eastAsia="Calibri"/>
          <w:noProof/>
          <w:szCs w:val="20"/>
        </w:rPr>
      </w:pPr>
      <w:r>
        <w:rPr>
          <w:noProof/>
        </w:rPr>
        <w:t>Hrvaška</w:t>
      </w:r>
      <w:r>
        <w:rPr>
          <w:noProof/>
        </w:rPr>
        <w:tab/>
        <w:t>9</w:t>
      </w:r>
    </w:p>
    <w:p w:rsidR="00D22201" w:rsidRDefault="00466D71">
      <w:pPr>
        <w:tabs>
          <w:tab w:val="left" w:pos="2835"/>
        </w:tabs>
        <w:rPr>
          <w:rFonts w:eastAsia="Calibri"/>
          <w:noProof/>
          <w:szCs w:val="20"/>
        </w:rPr>
      </w:pPr>
      <w:r>
        <w:rPr>
          <w:noProof/>
        </w:rPr>
        <w:t>Italija</w:t>
      </w:r>
      <w:r>
        <w:rPr>
          <w:noProof/>
        </w:rPr>
        <w:tab/>
        <w:t>24</w:t>
      </w:r>
    </w:p>
    <w:p w:rsidR="00D22201" w:rsidRDefault="00466D71">
      <w:pPr>
        <w:tabs>
          <w:tab w:val="left" w:pos="2977"/>
        </w:tabs>
        <w:rPr>
          <w:rFonts w:eastAsia="Calibri"/>
          <w:noProof/>
          <w:szCs w:val="20"/>
        </w:rPr>
      </w:pPr>
      <w:r>
        <w:rPr>
          <w:noProof/>
        </w:rPr>
        <w:t>Ciper</w:t>
      </w:r>
      <w:r>
        <w:rPr>
          <w:noProof/>
        </w:rPr>
        <w:tab/>
        <w:t>6</w:t>
      </w:r>
    </w:p>
    <w:p w:rsidR="00D22201" w:rsidRDefault="00466D71">
      <w:pPr>
        <w:tabs>
          <w:tab w:val="left" w:pos="2977"/>
        </w:tabs>
        <w:rPr>
          <w:rFonts w:eastAsia="Calibri"/>
          <w:noProof/>
          <w:szCs w:val="20"/>
        </w:rPr>
      </w:pPr>
      <w:r>
        <w:rPr>
          <w:noProof/>
        </w:rPr>
        <w:t>Latvija</w:t>
      </w:r>
      <w:r>
        <w:rPr>
          <w:noProof/>
        </w:rPr>
        <w:tab/>
        <w:t>7</w:t>
      </w:r>
    </w:p>
    <w:p w:rsidR="00D22201" w:rsidRDefault="00466D71">
      <w:pPr>
        <w:tabs>
          <w:tab w:val="left" w:pos="2977"/>
        </w:tabs>
        <w:rPr>
          <w:rFonts w:eastAsia="Calibri"/>
          <w:noProof/>
          <w:szCs w:val="20"/>
        </w:rPr>
      </w:pPr>
      <w:r>
        <w:rPr>
          <w:noProof/>
        </w:rPr>
        <w:t>Litva</w:t>
      </w:r>
      <w:r>
        <w:rPr>
          <w:noProof/>
        </w:rPr>
        <w:tab/>
        <w:t>9</w:t>
      </w:r>
    </w:p>
    <w:p w:rsidR="00D22201" w:rsidRDefault="00466D71">
      <w:pPr>
        <w:tabs>
          <w:tab w:val="left" w:pos="2977"/>
        </w:tabs>
        <w:rPr>
          <w:rFonts w:eastAsia="Calibri"/>
          <w:noProof/>
          <w:szCs w:val="20"/>
        </w:rPr>
      </w:pPr>
      <w:r>
        <w:rPr>
          <w:noProof/>
        </w:rPr>
        <w:t>Luksemburg</w:t>
      </w:r>
      <w:r>
        <w:rPr>
          <w:noProof/>
        </w:rPr>
        <w:tab/>
        <w:t>6</w:t>
      </w:r>
    </w:p>
    <w:p w:rsidR="00D22201" w:rsidRDefault="00466D71">
      <w:pPr>
        <w:tabs>
          <w:tab w:val="left" w:pos="2835"/>
        </w:tabs>
        <w:rPr>
          <w:rFonts w:eastAsia="Calibri"/>
          <w:noProof/>
          <w:szCs w:val="20"/>
        </w:rPr>
      </w:pPr>
      <w:r>
        <w:rPr>
          <w:noProof/>
        </w:rPr>
        <w:t>Madžarska</w:t>
      </w:r>
      <w:r>
        <w:rPr>
          <w:noProof/>
        </w:rPr>
        <w:tab/>
        <w:t>12</w:t>
      </w:r>
    </w:p>
    <w:p w:rsidR="00D22201" w:rsidRDefault="00466D71">
      <w:pPr>
        <w:tabs>
          <w:tab w:val="left" w:pos="2977"/>
        </w:tabs>
        <w:rPr>
          <w:rFonts w:eastAsia="Calibri"/>
          <w:noProof/>
          <w:szCs w:val="20"/>
        </w:rPr>
      </w:pPr>
      <w:r>
        <w:rPr>
          <w:noProof/>
        </w:rPr>
        <w:t>Malta</w:t>
      </w:r>
      <w:r>
        <w:rPr>
          <w:noProof/>
        </w:rPr>
        <w:tab/>
        <w:t>5</w:t>
      </w:r>
    </w:p>
    <w:p w:rsidR="00D22201" w:rsidRDefault="00466D71">
      <w:pPr>
        <w:tabs>
          <w:tab w:val="left" w:pos="2835"/>
        </w:tabs>
        <w:rPr>
          <w:rFonts w:eastAsia="Calibri"/>
          <w:noProof/>
          <w:szCs w:val="20"/>
        </w:rPr>
      </w:pPr>
      <w:r>
        <w:rPr>
          <w:noProof/>
        </w:rPr>
        <w:t>Nizozemska</w:t>
      </w:r>
      <w:r>
        <w:rPr>
          <w:noProof/>
        </w:rPr>
        <w:tab/>
        <w:t>12</w:t>
      </w:r>
    </w:p>
    <w:p w:rsidR="00D22201" w:rsidRDefault="00466D71">
      <w:pPr>
        <w:tabs>
          <w:tab w:val="left" w:pos="2835"/>
        </w:tabs>
        <w:rPr>
          <w:rFonts w:eastAsia="Calibri"/>
          <w:noProof/>
          <w:szCs w:val="20"/>
        </w:rPr>
      </w:pPr>
      <w:r>
        <w:rPr>
          <w:noProof/>
        </w:rPr>
        <w:t>Avstrija</w:t>
      </w:r>
      <w:r>
        <w:rPr>
          <w:noProof/>
        </w:rPr>
        <w:tab/>
        <w:t>12</w:t>
      </w:r>
    </w:p>
    <w:p w:rsidR="00D22201" w:rsidRDefault="00466D71">
      <w:pPr>
        <w:tabs>
          <w:tab w:val="left" w:pos="2835"/>
        </w:tabs>
        <w:rPr>
          <w:rFonts w:eastAsia="Calibri"/>
          <w:noProof/>
          <w:szCs w:val="20"/>
        </w:rPr>
      </w:pPr>
      <w:r>
        <w:rPr>
          <w:noProof/>
        </w:rPr>
        <w:t>Poljska</w:t>
      </w:r>
      <w:r>
        <w:rPr>
          <w:noProof/>
        </w:rPr>
        <w:tab/>
        <w:t>21</w:t>
      </w:r>
    </w:p>
    <w:p w:rsidR="00D22201" w:rsidRDefault="00466D71">
      <w:pPr>
        <w:tabs>
          <w:tab w:val="left" w:pos="2835"/>
        </w:tabs>
        <w:rPr>
          <w:rFonts w:eastAsia="Calibri"/>
          <w:noProof/>
          <w:szCs w:val="20"/>
        </w:rPr>
      </w:pPr>
      <w:r>
        <w:rPr>
          <w:noProof/>
        </w:rPr>
        <w:t>Portugalska</w:t>
      </w:r>
      <w:r>
        <w:rPr>
          <w:noProof/>
        </w:rPr>
        <w:tab/>
        <w:t>12</w:t>
      </w:r>
    </w:p>
    <w:p w:rsidR="00D22201" w:rsidRDefault="00466D71">
      <w:pPr>
        <w:tabs>
          <w:tab w:val="left" w:pos="2835"/>
        </w:tabs>
        <w:rPr>
          <w:rFonts w:eastAsia="Calibri" w:cs="EUAlbertina"/>
          <w:noProof/>
          <w:szCs w:val="20"/>
        </w:rPr>
      </w:pPr>
      <w:r>
        <w:rPr>
          <w:noProof/>
        </w:rPr>
        <w:t>Romunija</w:t>
      </w:r>
      <w:r>
        <w:rPr>
          <w:noProof/>
        </w:rPr>
        <w:tab/>
        <w:t>15</w:t>
      </w:r>
    </w:p>
    <w:p w:rsidR="00D22201" w:rsidRDefault="00466D71">
      <w:pPr>
        <w:tabs>
          <w:tab w:val="left" w:pos="2977"/>
        </w:tabs>
        <w:rPr>
          <w:rFonts w:eastAsia="Calibri"/>
          <w:noProof/>
          <w:szCs w:val="20"/>
        </w:rPr>
      </w:pPr>
      <w:r>
        <w:rPr>
          <w:noProof/>
        </w:rPr>
        <w:t>Slovenija</w:t>
      </w:r>
      <w:r>
        <w:rPr>
          <w:noProof/>
        </w:rPr>
        <w:tab/>
        <w:t>7</w:t>
      </w:r>
    </w:p>
    <w:p w:rsidR="00D22201" w:rsidRDefault="00466D71">
      <w:pPr>
        <w:tabs>
          <w:tab w:val="left" w:pos="2977"/>
        </w:tabs>
        <w:rPr>
          <w:rFonts w:eastAsia="Calibri"/>
          <w:noProof/>
          <w:szCs w:val="20"/>
        </w:rPr>
      </w:pPr>
      <w:r>
        <w:rPr>
          <w:noProof/>
        </w:rPr>
        <w:t>Slovaška</w:t>
      </w:r>
      <w:r>
        <w:rPr>
          <w:noProof/>
        </w:rPr>
        <w:tab/>
        <w:t>9</w:t>
      </w:r>
    </w:p>
    <w:p w:rsidR="00D22201" w:rsidRDefault="00466D71">
      <w:pPr>
        <w:tabs>
          <w:tab w:val="left" w:pos="2977"/>
        </w:tabs>
        <w:rPr>
          <w:rFonts w:eastAsia="Calibri"/>
          <w:noProof/>
          <w:szCs w:val="20"/>
        </w:rPr>
      </w:pPr>
      <w:r>
        <w:rPr>
          <w:noProof/>
        </w:rPr>
        <w:t>Finska</w:t>
      </w:r>
      <w:r>
        <w:rPr>
          <w:noProof/>
        </w:rPr>
        <w:tab/>
        <w:t>9</w:t>
      </w:r>
    </w:p>
    <w:p w:rsidR="00D22201" w:rsidRDefault="00466D71">
      <w:pPr>
        <w:tabs>
          <w:tab w:val="left" w:pos="2835"/>
        </w:tabs>
        <w:rPr>
          <w:rFonts w:eastAsia="Calibri"/>
          <w:noProof/>
          <w:szCs w:val="20"/>
        </w:rPr>
      </w:pPr>
      <w:r>
        <w:rPr>
          <w:noProof/>
        </w:rPr>
        <w:t>Švedska</w:t>
      </w:r>
      <w:r>
        <w:rPr>
          <w:noProof/>
        </w:rPr>
        <w:tab/>
        <w:t>12.</w:t>
      </w:r>
    </w:p>
    <w:p w:rsidR="00D22201" w:rsidRDefault="00466D71">
      <w:pPr>
        <w:pStyle w:val="Titrearticle"/>
        <w:keepNext w:val="0"/>
        <w:rPr>
          <w:noProof/>
        </w:rPr>
      </w:pPr>
      <w:r>
        <w:rPr>
          <w:noProof/>
        </w:rPr>
        <w:t>Člen 2</w:t>
      </w:r>
    </w:p>
    <w:p w:rsidR="00D22201" w:rsidRDefault="00466D71">
      <w:pPr>
        <w:keepLines/>
        <w:rPr>
          <w:noProof/>
        </w:rPr>
      </w:pPr>
      <w:r>
        <w:rPr>
          <w:noProof/>
        </w:rPr>
        <w:t xml:space="preserve">Ta sklep začne veljati dvajseti dan po objavi v </w:t>
      </w:r>
      <w:r>
        <w:rPr>
          <w:i/>
          <w:noProof/>
        </w:rPr>
        <w:t>Uradnem listu Evropske unije</w:t>
      </w:r>
      <w:r>
        <w:rPr>
          <w:noProof/>
        </w:rPr>
        <w:t xml:space="preserve">. </w:t>
      </w:r>
    </w:p>
    <w:p w:rsidR="00D22201" w:rsidRDefault="00466D71">
      <w:pPr>
        <w:keepLines/>
        <w:rPr>
          <w:noProof/>
        </w:rPr>
      </w:pPr>
      <w:r>
        <w:rPr>
          <w:noProof/>
        </w:rPr>
        <w:t>Uporablja se od 21. septembra 2020.</w:t>
      </w:r>
    </w:p>
    <w:p w:rsidR="00D22201" w:rsidRDefault="00466D71">
      <w:pPr>
        <w:pStyle w:val="Titrearticle"/>
        <w:rPr>
          <w:noProof/>
        </w:rPr>
      </w:pPr>
      <w:r>
        <w:rPr>
          <w:noProof/>
        </w:rPr>
        <w:t>Člen 3</w:t>
      </w:r>
    </w:p>
    <w:p w:rsidR="00D22201" w:rsidRDefault="00466D71">
      <w:pPr>
        <w:rPr>
          <w:noProof/>
        </w:rPr>
      </w:pPr>
      <w:r>
        <w:rPr>
          <w:noProof/>
        </w:rPr>
        <w:t>Ta sklep je naslovljen na države članice.</w:t>
      </w:r>
    </w:p>
    <w:p w:rsidR="00D22201" w:rsidRDefault="00466D71">
      <w:pPr>
        <w:pStyle w:val="Fait"/>
        <w:rPr>
          <w:noProof/>
        </w:rPr>
      </w:pPr>
      <w:r>
        <w:t>V Bruslju,</w:t>
      </w:r>
    </w:p>
    <w:p w:rsidR="00D22201" w:rsidRDefault="00466D71">
      <w:pPr>
        <w:pStyle w:val="Institutionquisigne"/>
        <w:rPr>
          <w:noProof/>
        </w:rPr>
      </w:pPr>
      <w:r>
        <w:rPr>
          <w:noProof/>
        </w:rPr>
        <w:tab/>
        <w:t>Za Svet</w:t>
      </w:r>
    </w:p>
    <w:p w:rsidR="00D22201" w:rsidRDefault="00466D71">
      <w:pPr>
        <w:pStyle w:val="Personnequisigne"/>
        <w:rPr>
          <w:noProof/>
        </w:rPr>
      </w:pPr>
      <w:r>
        <w:rPr>
          <w:noProof/>
        </w:rPr>
        <w:tab/>
        <w:t>Predsednik</w:t>
      </w:r>
    </w:p>
    <w:sectPr w:rsidR="00D2220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01" w:rsidRDefault="00466D71">
      <w:pPr>
        <w:spacing w:before="0" w:after="0"/>
      </w:pPr>
      <w:r>
        <w:separator/>
      </w:r>
    </w:p>
  </w:endnote>
  <w:endnote w:type="continuationSeparator" w:id="0">
    <w:p w:rsidR="00D22201" w:rsidRDefault="00466D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01" w:rsidRPr="00466D71" w:rsidRDefault="00D22201" w:rsidP="00466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66D71" w:rsidRPr="00D94637" w:rsidTr="00466D71">
      <w:trPr>
        <w:jc w:val="center"/>
      </w:trPr>
      <w:tc>
        <w:tcPr>
          <w:tcW w:w="5000" w:type="pct"/>
          <w:gridSpan w:val="7"/>
          <w:shd w:val="clear" w:color="auto" w:fill="auto"/>
          <w:tcMar>
            <w:top w:w="57" w:type="dxa"/>
          </w:tcMar>
        </w:tcPr>
        <w:p w:rsidR="00466D71" w:rsidRPr="00D94637" w:rsidRDefault="00466D71" w:rsidP="00D94637">
          <w:pPr>
            <w:pStyle w:val="FooterText"/>
            <w:pBdr>
              <w:top w:val="single" w:sz="4" w:space="1" w:color="auto"/>
            </w:pBdr>
            <w:spacing w:before="200"/>
            <w:rPr>
              <w:sz w:val="2"/>
              <w:szCs w:val="2"/>
            </w:rPr>
          </w:pPr>
          <w:bookmarkStart w:id="2" w:name="FOOTER_STANDARD"/>
        </w:p>
      </w:tc>
    </w:tr>
    <w:tr w:rsidR="00466D71" w:rsidRPr="00B310DC" w:rsidTr="00466D71">
      <w:trPr>
        <w:jc w:val="center"/>
      </w:trPr>
      <w:tc>
        <w:tcPr>
          <w:tcW w:w="2500" w:type="pct"/>
          <w:gridSpan w:val="2"/>
          <w:shd w:val="clear" w:color="auto" w:fill="auto"/>
          <w:tcMar>
            <w:top w:w="0" w:type="dxa"/>
          </w:tcMar>
        </w:tcPr>
        <w:p w:rsidR="00466D71" w:rsidRPr="00AD7BF2" w:rsidRDefault="00466D71" w:rsidP="004F54B2">
          <w:pPr>
            <w:pStyle w:val="FooterText"/>
          </w:pPr>
          <w:r>
            <w:t>14536/18</w:t>
          </w:r>
          <w:r w:rsidRPr="002511D8">
            <w:t xml:space="preserve"> </w:t>
          </w:r>
        </w:p>
      </w:tc>
      <w:tc>
        <w:tcPr>
          <w:tcW w:w="625" w:type="pct"/>
          <w:shd w:val="clear" w:color="auto" w:fill="auto"/>
          <w:tcMar>
            <w:top w:w="0" w:type="dxa"/>
          </w:tcMar>
        </w:tcPr>
        <w:p w:rsidR="00466D71" w:rsidRPr="00AD7BF2" w:rsidRDefault="00466D71" w:rsidP="00D94637">
          <w:pPr>
            <w:pStyle w:val="FooterText"/>
            <w:jc w:val="center"/>
          </w:pPr>
        </w:p>
      </w:tc>
      <w:tc>
        <w:tcPr>
          <w:tcW w:w="1286" w:type="pct"/>
          <w:gridSpan w:val="3"/>
          <w:shd w:val="clear" w:color="auto" w:fill="auto"/>
          <w:tcMar>
            <w:top w:w="0" w:type="dxa"/>
          </w:tcMar>
        </w:tcPr>
        <w:p w:rsidR="00466D71" w:rsidRPr="002511D8" w:rsidRDefault="00466D71" w:rsidP="00D94637">
          <w:pPr>
            <w:pStyle w:val="FooterText"/>
            <w:jc w:val="center"/>
          </w:pPr>
          <w:r>
            <w:t>tu</w:t>
          </w:r>
        </w:p>
      </w:tc>
      <w:tc>
        <w:tcPr>
          <w:tcW w:w="589" w:type="pct"/>
          <w:shd w:val="clear" w:color="auto" w:fill="auto"/>
          <w:tcMar>
            <w:top w:w="0" w:type="dxa"/>
          </w:tcMar>
        </w:tcPr>
        <w:p w:rsidR="00466D71" w:rsidRPr="00B310DC" w:rsidRDefault="00466D71" w:rsidP="00466D71">
          <w:pPr>
            <w:pStyle w:val="FooterText"/>
            <w:jc w:val="right"/>
          </w:pPr>
          <w:r>
            <w:fldChar w:fldCharType="begin"/>
          </w:r>
          <w:r>
            <w:instrText xml:space="preserve"> PAGE  \* MERGEFORMAT </w:instrText>
          </w:r>
          <w:r>
            <w:fldChar w:fldCharType="separate"/>
          </w:r>
          <w:r w:rsidR="0080179D">
            <w:rPr>
              <w:noProof/>
            </w:rPr>
            <w:t>0</w:t>
          </w:r>
          <w:r>
            <w:fldChar w:fldCharType="end"/>
          </w:r>
        </w:p>
      </w:tc>
    </w:tr>
    <w:tr w:rsidR="00466D71" w:rsidRPr="00D94637" w:rsidTr="00466D71">
      <w:trPr>
        <w:jc w:val="center"/>
      </w:trPr>
      <w:tc>
        <w:tcPr>
          <w:tcW w:w="1774" w:type="pct"/>
          <w:shd w:val="clear" w:color="auto" w:fill="auto"/>
        </w:tcPr>
        <w:p w:rsidR="00466D71" w:rsidRPr="00AD7BF2" w:rsidRDefault="00466D71" w:rsidP="00D94637">
          <w:pPr>
            <w:pStyle w:val="FooterText"/>
            <w:spacing w:before="40"/>
          </w:pPr>
        </w:p>
      </w:tc>
      <w:tc>
        <w:tcPr>
          <w:tcW w:w="1455" w:type="pct"/>
          <w:gridSpan w:val="3"/>
          <w:shd w:val="clear" w:color="auto" w:fill="auto"/>
        </w:tcPr>
        <w:p w:rsidR="00466D71" w:rsidRPr="00AD7BF2" w:rsidRDefault="00466D71" w:rsidP="00D204D6">
          <w:pPr>
            <w:pStyle w:val="FooterText"/>
            <w:spacing w:before="40"/>
            <w:jc w:val="center"/>
          </w:pPr>
          <w:r>
            <w:t>GIP 2</w:t>
          </w:r>
        </w:p>
      </w:tc>
      <w:tc>
        <w:tcPr>
          <w:tcW w:w="742" w:type="pct"/>
          <w:shd w:val="clear" w:color="auto" w:fill="auto"/>
        </w:tcPr>
        <w:p w:rsidR="00466D71" w:rsidRPr="00D94637" w:rsidRDefault="00466D71" w:rsidP="002F0099">
          <w:pPr>
            <w:pStyle w:val="FooterText"/>
            <w:jc w:val="center"/>
            <w:rPr>
              <w:b/>
              <w:position w:val="-4"/>
              <w:sz w:val="36"/>
            </w:rPr>
          </w:pPr>
        </w:p>
      </w:tc>
      <w:tc>
        <w:tcPr>
          <w:tcW w:w="1029" w:type="pct"/>
          <w:gridSpan w:val="2"/>
          <w:shd w:val="clear" w:color="auto" w:fill="auto"/>
        </w:tcPr>
        <w:p w:rsidR="00466D71" w:rsidRPr="000310C2" w:rsidRDefault="00466D71" w:rsidP="00D94637">
          <w:pPr>
            <w:pStyle w:val="FooterText"/>
            <w:jc w:val="right"/>
            <w:rPr>
              <w:spacing w:val="-20"/>
              <w:sz w:val="16"/>
            </w:rPr>
          </w:pPr>
          <w:r>
            <w:rPr>
              <w:b/>
              <w:spacing w:val="-20"/>
              <w:position w:val="-4"/>
              <w:sz w:val="36"/>
            </w:rPr>
            <w:t>SL</w:t>
          </w:r>
        </w:p>
      </w:tc>
    </w:tr>
    <w:bookmarkEnd w:id="2"/>
  </w:tbl>
  <w:p w:rsidR="00D22201" w:rsidRPr="00466D71" w:rsidRDefault="00D22201" w:rsidP="00466D71">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66D71" w:rsidRPr="00D94637" w:rsidTr="00466D71">
      <w:trPr>
        <w:jc w:val="center"/>
      </w:trPr>
      <w:tc>
        <w:tcPr>
          <w:tcW w:w="5000" w:type="pct"/>
          <w:gridSpan w:val="7"/>
          <w:shd w:val="clear" w:color="auto" w:fill="auto"/>
          <w:tcMar>
            <w:top w:w="57" w:type="dxa"/>
          </w:tcMar>
        </w:tcPr>
        <w:p w:rsidR="00466D71" w:rsidRPr="00D94637" w:rsidRDefault="00466D71" w:rsidP="00D94637">
          <w:pPr>
            <w:pStyle w:val="FooterText"/>
            <w:pBdr>
              <w:top w:val="single" w:sz="4" w:space="1" w:color="auto"/>
            </w:pBdr>
            <w:spacing w:before="200"/>
            <w:rPr>
              <w:sz w:val="2"/>
              <w:szCs w:val="2"/>
            </w:rPr>
          </w:pPr>
        </w:p>
      </w:tc>
    </w:tr>
    <w:tr w:rsidR="00466D71" w:rsidRPr="00B310DC" w:rsidTr="00466D71">
      <w:trPr>
        <w:jc w:val="center"/>
      </w:trPr>
      <w:tc>
        <w:tcPr>
          <w:tcW w:w="2500" w:type="pct"/>
          <w:gridSpan w:val="2"/>
          <w:shd w:val="clear" w:color="auto" w:fill="auto"/>
          <w:tcMar>
            <w:top w:w="0" w:type="dxa"/>
          </w:tcMar>
        </w:tcPr>
        <w:p w:rsidR="00466D71" w:rsidRPr="00AD7BF2" w:rsidRDefault="00466D71" w:rsidP="004F54B2">
          <w:pPr>
            <w:pStyle w:val="FooterText"/>
          </w:pPr>
          <w:r>
            <w:t>14536/18</w:t>
          </w:r>
          <w:r w:rsidRPr="002511D8">
            <w:t xml:space="preserve"> </w:t>
          </w:r>
        </w:p>
      </w:tc>
      <w:tc>
        <w:tcPr>
          <w:tcW w:w="625" w:type="pct"/>
          <w:shd w:val="clear" w:color="auto" w:fill="auto"/>
          <w:tcMar>
            <w:top w:w="0" w:type="dxa"/>
          </w:tcMar>
        </w:tcPr>
        <w:p w:rsidR="00466D71" w:rsidRPr="00AD7BF2" w:rsidRDefault="00466D71" w:rsidP="00D94637">
          <w:pPr>
            <w:pStyle w:val="FooterText"/>
            <w:jc w:val="center"/>
          </w:pPr>
        </w:p>
      </w:tc>
      <w:tc>
        <w:tcPr>
          <w:tcW w:w="1286" w:type="pct"/>
          <w:gridSpan w:val="3"/>
          <w:shd w:val="clear" w:color="auto" w:fill="auto"/>
          <w:tcMar>
            <w:top w:w="0" w:type="dxa"/>
          </w:tcMar>
        </w:tcPr>
        <w:p w:rsidR="00466D71" w:rsidRPr="002511D8" w:rsidRDefault="00466D71" w:rsidP="00D94637">
          <w:pPr>
            <w:pStyle w:val="FooterText"/>
            <w:jc w:val="center"/>
          </w:pPr>
          <w:r>
            <w:t>tu</w:t>
          </w:r>
        </w:p>
      </w:tc>
      <w:tc>
        <w:tcPr>
          <w:tcW w:w="589" w:type="pct"/>
          <w:shd w:val="clear" w:color="auto" w:fill="auto"/>
          <w:tcMar>
            <w:top w:w="0" w:type="dxa"/>
          </w:tcMar>
        </w:tcPr>
        <w:p w:rsidR="00466D71" w:rsidRPr="00B310DC" w:rsidRDefault="00466D71" w:rsidP="00D94637">
          <w:pPr>
            <w:pStyle w:val="FooterText"/>
            <w:jc w:val="right"/>
          </w:pPr>
        </w:p>
      </w:tc>
    </w:tr>
    <w:tr w:rsidR="00466D71" w:rsidRPr="00D94637" w:rsidTr="00466D71">
      <w:trPr>
        <w:jc w:val="center"/>
      </w:trPr>
      <w:tc>
        <w:tcPr>
          <w:tcW w:w="1774" w:type="pct"/>
          <w:shd w:val="clear" w:color="auto" w:fill="auto"/>
        </w:tcPr>
        <w:p w:rsidR="00466D71" w:rsidRPr="00AD7BF2" w:rsidRDefault="00466D71" w:rsidP="00D94637">
          <w:pPr>
            <w:pStyle w:val="FooterText"/>
            <w:spacing w:before="40"/>
          </w:pPr>
        </w:p>
      </w:tc>
      <w:tc>
        <w:tcPr>
          <w:tcW w:w="1455" w:type="pct"/>
          <w:gridSpan w:val="3"/>
          <w:shd w:val="clear" w:color="auto" w:fill="auto"/>
        </w:tcPr>
        <w:p w:rsidR="00466D71" w:rsidRPr="00AD7BF2" w:rsidRDefault="00466D71" w:rsidP="00D204D6">
          <w:pPr>
            <w:pStyle w:val="FooterText"/>
            <w:spacing w:before="40"/>
            <w:jc w:val="center"/>
          </w:pPr>
          <w:r>
            <w:t>GIP 2</w:t>
          </w:r>
        </w:p>
      </w:tc>
      <w:tc>
        <w:tcPr>
          <w:tcW w:w="742" w:type="pct"/>
          <w:shd w:val="clear" w:color="auto" w:fill="auto"/>
        </w:tcPr>
        <w:p w:rsidR="00466D71" w:rsidRPr="00D94637" w:rsidRDefault="00466D71" w:rsidP="002F0099">
          <w:pPr>
            <w:pStyle w:val="FooterText"/>
            <w:jc w:val="center"/>
            <w:rPr>
              <w:b/>
              <w:position w:val="-4"/>
              <w:sz w:val="36"/>
            </w:rPr>
          </w:pPr>
        </w:p>
      </w:tc>
      <w:tc>
        <w:tcPr>
          <w:tcW w:w="1029" w:type="pct"/>
          <w:gridSpan w:val="2"/>
          <w:shd w:val="clear" w:color="auto" w:fill="auto"/>
        </w:tcPr>
        <w:p w:rsidR="00466D71" w:rsidRPr="000310C2" w:rsidRDefault="00466D71" w:rsidP="00D94637">
          <w:pPr>
            <w:pStyle w:val="FooterText"/>
            <w:jc w:val="right"/>
            <w:rPr>
              <w:spacing w:val="-20"/>
              <w:sz w:val="16"/>
            </w:rPr>
          </w:pPr>
          <w:r>
            <w:rPr>
              <w:b/>
              <w:spacing w:val="-20"/>
              <w:position w:val="-4"/>
              <w:sz w:val="36"/>
            </w:rPr>
            <w:t>SL</w:t>
          </w:r>
        </w:p>
      </w:tc>
    </w:tr>
  </w:tbl>
  <w:p w:rsidR="00D22201" w:rsidRPr="00466D71" w:rsidRDefault="00D22201" w:rsidP="00466D71">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71" w:rsidRDefault="00466D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71" w:rsidRDefault="00466D71">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71" w:rsidRDefault="00466D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01" w:rsidRDefault="00466D71">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80179D">
      <w:rPr>
        <w:noProof/>
      </w:rPr>
      <w:t>5</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01" w:rsidRDefault="00D22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01" w:rsidRDefault="00466D71">
      <w:pPr>
        <w:spacing w:before="0" w:after="0"/>
      </w:pPr>
      <w:r>
        <w:separator/>
      </w:r>
    </w:p>
  </w:footnote>
  <w:footnote w:type="continuationSeparator" w:id="0">
    <w:p w:rsidR="00D22201" w:rsidRDefault="00466D71">
      <w:pPr>
        <w:spacing w:before="0" w:after="0"/>
      </w:pPr>
      <w:r>
        <w:continuationSeparator/>
      </w:r>
    </w:p>
  </w:footnote>
  <w:footnote w:id="1">
    <w:p w:rsidR="00D22201" w:rsidRDefault="00466D71">
      <w:pPr>
        <w:pStyle w:val="FootnoteText"/>
      </w:pPr>
      <w:r>
        <w:rPr>
          <w:rStyle w:val="FootnoteReference"/>
        </w:rPr>
        <w:footnoteRef/>
      </w:r>
      <w:r>
        <w:tab/>
        <w:t>Akt o pogojih pristopa Republike Hrvaške in prilagoditvah Pogodbe o Evropski uniji, Pogodbe o delovanju Evropske unije in Pogodbe o ustanovitvi Evropske skupnosti za atomsko energijo (UL L 112, 24.4.2012, str. 6–110).</w:t>
      </w:r>
    </w:p>
  </w:footnote>
  <w:footnote w:id="2">
    <w:p w:rsidR="00D22201" w:rsidRDefault="00466D71">
      <w:pPr>
        <w:pStyle w:val="FootnoteText"/>
      </w:pPr>
      <w:r>
        <w:rPr>
          <w:rStyle w:val="FootnoteReference"/>
        </w:rPr>
        <w:footnoteRef/>
      </w:r>
      <w:r>
        <w:tab/>
        <w:t>Sklep Sveta (EU) 2015/1157 (UL L 187, 15.7.2015, str. 28–29).</w:t>
      </w:r>
    </w:p>
  </w:footnote>
  <w:footnote w:id="3">
    <w:p w:rsidR="00D22201" w:rsidRDefault="00466D71">
      <w:pPr>
        <w:pStyle w:val="FootnoteText"/>
      </w:pPr>
      <w:r>
        <w:rPr>
          <w:rStyle w:val="FootnoteReference"/>
        </w:rPr>
        <w:footnoteRef/>
      </w:r>
      <w:r>
        <w:tab/>
        <w:t>Pismo predsednika odbora Komisiji z dne 4. oktobra 2018.</w:t>
      </w:r>
    </w:p>
  </w:footnote>
  <w:footnote w:id="4">
    <w:p w:rsidR="00D22201" w:rsidRDefault="00466D71">
      <w:pPr>
        <w:pStyle w:val="FootnoteText"/>
      </w:pPr>
      <w:r>
        <w:rPr>
          <w:rStyle w:val="FootnoteReference"/>
        </w:rPr>
        <w:footnoteRef/>
      </w:r>
      <w:r>
        <w:tab/>
        <w:t>Sklep Sveta (EU) 2015/1157 z dne 14. julija 2015 o določitvi sestave Evropskega ekonomsko-socialnega odbora (UL L 187, 15.7.2015, str. 28)</w:t>
      </w:r>
    </w:p>
  </w:footnote>
  <w:footnote w:id="5">
    <w:p w:rsidR="00D22201" w:rsidRDefault="00466D71">
      <w:pPr>
        <w:pStyle w:val="FootnoteText"/>
      </w:pPr>
      <w:r>
        <w:rPr>
          <w:rStyle w:val="FootnoteReference"/>
        </w:rPr>
        <w:footnoteRef/>
      </w:r>
      <w:r>
        <w:tab/>
        <w:t>Sklep predsedstva Evropskega ekonomsko-socialnega odbora z dne 18. septembra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01" w:rsidRPr="00466D71" w:rsidRDefault="00D22201" w:rsidP="00466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01" w:rsidRPr="00466D71" w:rsidRDefault="00466D71" w:rsidP="00466D71">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01" w:rsidRPr="00466D71" w:rsidRDefault="00466D71" w:rsidP="00466D71">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71" w:rsidRDefault="00466D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71" w:rsidRDefault="00466D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71" w:rsidRDefault="00466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7E4D7C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5341D8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AA028CA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C7B068C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58CE53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9A620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F26193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8EE879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4&quot; technicalblockguid=&quot;5484701190831460816&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12-04&lt;/text&gt;_x000d__x000a_  &lt;/metadata&gt;_x000d__x000a_  &lt;metadata key=&quot;md_Prefix&quot;&gt;_x000d__x000a_    &lt;text&gt;&lt;/text&gt;_x000d__x000a_  &lt;/metadata&gt;_x000d__x000a_  &lt;metadata key=&quot;md_DocumentNumber&quot;&gt;_x000d__x000a_    &lt;text&gt;14536&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INST 458&lt;/text&gt;_x000d__x000a_      &lt;text&gt;CES 4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402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11-2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78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edlog sklepa Sveta o dolo&amp;#269;itvi sestave Evropskega ekonomsko-socialnega odbora&quot;&gt;&amp;lt;FlowDocument FontFamily=&quot;Arial Unicode MS&quot; FontSize=&quot;12&quot; LineHeight=&quot;6&quot; PageWidth=&quot;329&quot; PagePadding=&quot;0,0,0,0&quot; AllowDrop=&quot;False&quot; xmlns=&quot;http://schemas.microsoft.com/winfx/2006/xaml/presentation&quot;&amp;gt;&amp;lt;Paragraph&amp;gt;Predlog &amp;lt;Run xml:lang=&quot;sl-si&quot;&amp;gt;sklepa Sveta&amp;lt;/Run&amp;gt; o dolo&amp;#269;itvi sestave Evropskega ekonomsko-socialnega odbora&amp;lt;/Paragraph&amp;gt;&amp;lt;/FlowDocument&amp;gt;&lt;/xaml&gt;_x000d__x000a_  &lt;/metadata&gt;_x000d__x000a_  &lt;metadata key=&quot;md_SubjectFootnote&quot; /&gt;_x000d__x000a_  &lt;metadata key=&quot;md_DG&quot;&gt;_x000d__x000a_    &lt;text&gt;GIP 2&lt;/text&gt;_x000d__x000a_  &lt;/metadata&gt;_x000d__x000a_  &lt;metadata key=&quot;md_Initials&quot;&gt;_x000d__x000a_    &lt;text&gt;t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dolo&amp;#269;itvi sestave Evropskega ekonomsko-socialnega odbora&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QCDateTime" w:val="2018-12-07 13:50: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0F205B8-4D13-4081-A5EE-8A2146510E26"/>
    <w:docVar w:name="LW_COVERPAGE_TYPE" w:val="1"/>
    <w:docVar w:name="LW_CROSSREFERENCE" w:val="&lt;UNUSED&gt;"/>
    <w:docVar w:name="LW_DocType" w:val="COM"/>
    <w:docVar w:name="LW_EMISSION" w:val="28.11.2018"/>
    <w:docVar w:name="LW_EMISSION_ISODATE" w:val="2018-11-28"/>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402"/>
    <w:docVar w:name="LW_REF.II.NEW.CP_YEAR" w:val="2018"/>
    <w:docVar w:name="LW_REF.INST.NEW" w:val="COM"/>
    <w:docVar w:name="LW_REF.INST.NEW_ADOPTED" w:val="final"/>
    <w:docVar w:name="LW_REF.INST.NEW_TEXT" w:val="(2018) 7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dolo\u269?itvi sestave Evropskega ekonomsko-socialnega odbora"/>
    <w:docVar w:name="LW_TYPE.DOC.CP" w:val="SKLEP SVETA"/>
  </w:docVars>
  <w:rsids>
    <w:rsidRoot w:val="00D22201"/>
    <w:rsid w:val="00466D71"/>
    <w:rsid w:val="0080179D"/>
    <w:rsid w:val="00C05812"/>
    <w:rsid w:val="00D22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C2289"/>
  <w15:docId w15:val="{0641E670-AC05-4596-8DD7-8B1BAC71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466D71"/>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466D71"/>
    <w:pPr>
      <w:spacing w:before="0" w:after="240"/>
      <w:jc w:val="center"/>
    </w:pPr>
  </w:style>
  <w:style w:type="character" w:customStyle="1" w:styleId="TechnicalBlockChar">
    <w:name w:val="Technical Block Char"/>
    <w:basedOn w:val="DefaultParagraphFont"/>
    <w:link w:val="TechnicalBlock"/>
    <w:rsid w:val="00466D71"/>
    <w:rPr>
      <w:rFonts w:ascii="Times New Roman" w:hAnsi="Times New Roman" w:cs="Times New Roman"/>
      <w:sz w:val="24"/>
      <w:lang w:val="sl-SI"/>
    </w:rPr>
  </w:style>
  <w:style w:type="paragraph" w:customStyle="1" w:styleId="EntText">
    <w:name w:val="EntText"/>
    <w:basedOn w:val="Normal"/>
    <w:rsid w:val="00466D71"/>
    <w:pPr>
      <w:spacing w:line="360" w:lineRule="auto"/>
      <w:jc w:val="left"/>
    </w:pPr>
  </w:style>
  <w:style w:type="paragraph" w:customStyle="1" w:styleId="Lignefinal">
    <w:name w:val="Ligne final"/>
    <w:basedOn w:val="Normal"/>
    <w:next w:val="Normal"/>
    <w:rsid w:val="00466D71"/>
    <w:pPr>
      <w:pBdr>
        <w:bottom w:val="single" w:sz="4" w:space="0" w:color="000000"/>
      </w:pBdr>
      <w:spacing w:before="360" w:line="360" w:lineRule="auto"/>
      <w:ind w:left="3400" w:right="3400"/>
      <w:jc w:val="center"/>
    </w:pPr>
    <w:rPr>
      <w:b/>
    </w:rPr>
  </w:style>
  <w:style w:type="paragraph" w:customStyle="1" w:styleId="pj">
    <w:name w:val="p.j."/>
    <w:basedOn w:val="TechnicalBlock"/>
    <w:link w:val="pjChar"/>
    <w:rsid w:val="00466D71"/>
    <w:pPr>
      <w:spacing w:before="1200" w:after="120"/>
      <w:ind w:left="1440" w:hanging="1440"/>
      <w:jc w:val="left"/>
    </w:pPr>
  </w:style>
  <w:style w:type="character" w:customStyle="1" w:styleId="pjChar">
    <w:name w:val="p.j. Char"/>
    <w:basedOn w:val="TechnicalBlockChar"/>
    <w:link w:val="pj"/>
    <w:rsid w:val="00466D71"/>
    <w:rPr>
      <w:rFonts w:ascii="Times New Roman" w:hAnsi="Times New Roman" w:cs="Times New Roman"/>
      <w:sz w:val="24"/>
      <w:lang w:val="sl-SI"/>
    </w:rPr>
  </w:style>
  <w:style w:type="paragraph" w:customStyle="1" w:styleId="nbbordered">
    <w:name w:val="nb bordered"/>
    <w:basedOn w:val="TechnicalBlock"/>
    <w:link w:val="nbborderedChar"/>
    <w:rsid w:val="00466D71"/>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466D71"/>
    <w:rPr>
      <w:rFonts w:ascii="Times New Roman" w:hAnsi="Times New Roman" w:cs="Times New Roman"/>
      <w:b/>
      <w:sz w:val="24"/>
      <w:lang w:val="sl-SI"/>
    </w:rPr>
  </w:style>
  <w:style w:type="paragraph" w:customStyle="1" w:styleId="HeaderCouncil">
    <w:name w:val="Header Council"/>
    <w:basedOn w:val="pj"/>
    <w:link w:val="HeaderCouncilChar"/>
    <w:rsid w:val="00466D71"/>
    <w:pPr>
      <w:spacing w:before="0" w:after="0"/>
    </w:pPr>
    <w:rPr>
      <w:sz w:val="2"/>
    </w:rPr>
  </w:style>
  <w:style w:type="character" w:customStyle="1" w:styleId="HeaderCouncilChar">
    <w:name w:val="Header Council Char"/>
    <w:basedOn w:val="pjChar"/>
    <w:link w:val="HeaderCouncil"/>
    <w:rsid w:val="00466D71"/>
    <w:rPr>
      <w:rFonts w:ascii="Times New Roman" w:hAnsi="Times New Roman" w:cs="Times New Roman"/>
      <w:sz w:val="2"/>
      <w:lang w:val="sl-SI"/>
    </w:rPr>
  </w:style>
  <w:style w:type="paragraph" w:customStyle="1" w:styleId="HeaderCouncilLarge">
    <w:name w:val="Header Council Large"/>
    <w:basedOn w:val="pj"/>
    <w:link w:val="HeaderCouncilLargeChar"/>
    <w:rsid w:val="00466D71"/>
    <w:pPr>
      <w:spacing w:before="0" w:after="440"/>
    </w:pPr>
    <w:rPr>
      <w:sz w:val="2"/>
    </w:rPr>
  </w:style>
  <w:style w:type="character" w:customStyle="1" w:styleId="HeaderCouncilLargeChar">
    <w:name w:val="Header Council Large Char"/>
    <w:basedOn w:val="pjChar"/>
    <w:link w:val="HeaderCouncilLarge"/>
    <w:rsid w:val="00466D71"/>
    <w:rPr>
      <w:rFonts w:ascii="Times New Roman" w:hAnsi="Times New Roman" w:cs="Times New Roman"/>
      <w:sz w:val="2"/>
      <w:lang w:val="sl-SI"/>
    </w:rPr>
  </w:style>
  <w:style w:type="paragraph" w:customStyle="1" w:styleId="FooterCouncil">
    <w:name w:val="Footer Council"/>
    <w:basedOn w:val="pj"/>
    <w:link w:val="FooterCouncilChar"/>
    <w:rsid w:val="00466D71"/>
    <w:pPr>
      <w:spacing w:before="0" w:after="0"/>
    </w:pPr>
    <w:rPr>
      <w:sz w:val="2"/>
    </w:rPr>
  </w:style>
  <w:style w:type="character" w:customStyle="1" w:styleId="FooterCouncilChar">
    <w:name w:val="Footer Council Char"/>
    <w:basedOn w:val="pjChar"/>
    <w:link w:val="FooterCouncil"/>
    <w:rsid w:val="00466D71"/>
    <w:rPr>
      <w:rFonts w:ascii="Times New Roman" w:hAnsi="Times New Roman" w:cs="Times New Roman"/>
      <w:sz w:val="2"/>
      <w:lang w:val="sl-SI"/>
    </w:rPr>
  </w:style>
  <w:style w:type="paragraph" w:customStyle="1" w:styleId="FooterText">
    <w:name w:val="Footer Text"/>
    <w:basedOn w:val="Normal"/>
    <w:rsid w:val="00466D71"/>
    <w:pPr>
      <w:spacing w:before="0" w:after="0"/>
      <w:jc w:val="left"/>
    </w:pPr>
    <w:rPr>
      <w:rFonts w:eastAsia="Times New Roman"/>
      <w:szCs w:val="24"/>
      <w:lang w:val="en-GB"/>
    </w:rPr>
  </w:style>
  <w:style w:type="character" w:styleId="PlaceholderText">
    <w:name w:val="Placeholder Text"/>
    <w:basedOn w:val="DefaultParagraphFont"/>
    <w:uiPriority w:val="99"/>
    <w:semiHidden/>
    <w:rsid w:val="00466D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7</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UNGAR Tomaz</dc:creator>
  <cp:keywords/>
  <dc:description/>
  <cp:lastModifiedBy>UNGAR Tomaz</cp:lastModifiedBy>
  <cp:revision>4</cp:revision>
  <cp:lastPrinted>2018-11-19T14:21:00Z</cp:lastPrinted>
  <dcterms:created xsi:type="dcterms:W3CDTF">2018-12-07T15:06:00Z</dcterms:created>
  <dcterms:modified xsi:type="dcterms:W3CDTF">2018-12-07T15:07:00Z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DocuWrite 4.2.4, Build 20181108</vt:lpwstr>
  </property>
  <property fmtid="{D5CDD505-2E9C-101B-9397-08002B2CF9AE}" pid="5" name="Created using">
    <vt:lpwstr>DocuWrite 4.2.4, Build 20181108</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