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45" w:rsidRDefault="00DF6A45" w:rsidP="000511F0">
      <w:pPr>
        <w:widowControl w:val="0"/>
        <w:suppressAutoHyphens w:val="0"/>
        <w:jc w:val="both"/>
        <w:rPr>
          <w:rFonts w:ascii="Arial" w:hAnsi="Arial" w:cs="Arial"/>
          <w:sz w:val="20"/>
          <w:szCs w:val="20"/>
          <w:lang w:eastAsia="sl-SI"/>
        </w:rPr>
      </w:pPr>
    </w:p>
    <w:p w:rsidR="00056282" w:rsidRDefault="00056282" w:rsidP="000511F0">
      <w:pPr>
        <w:widowControl w:val="0"/>
        <w:suppressAutoHyphens w:val="0"/>
        <w:jc w:val="both"/>
        <w:rPr>
          <w:rFonts w:ascii="Arial" w:hAnsi="Arial" w:cs="Arial"/>
          <w:sz w:val="20"/>
          <w:szCs w:val="20"/>
          <w:lang w:eastAsia="sl-SI"/>
        </w:rPr>
      </w:pPr>
    </w:p>
    <w:p w:rsidR="00056282" w:rsidRDefault="00056282" w:rsidP="00056282">
      <w:pPr>
        <w:pStyle w:val="Glava"/>
        <w:tabs>
          <w:tab w:val="clear" w:pos="4320"/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7" name="Slika 7" descr="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16"/>
        </w:rPr>
        <w:t xml:space="preserve">             </w:t>
      </w:r>
      <w:proofErr w:type="spellStart"/>
      <w:r>
        <w:rPr>
          <w:rFonts w:cs="Arial"/>
          <w:sz w:val="16"/>
        </w:rPr>
        <w:t>Gregorčičeva</w:t>
      </w:r>
      <w:proofErr w:type="spellEnd"/>
      <w:r>
        <w:rPr>
          <w:rFonts w:cs="Arial"/>
          <w:sz w:val="16"/>
        </w:rPr>
        <w:t xml:space="preserve"> 20–25, Sl-1001 Ljubljana</w:t>
      </w:r>
      <w:r>
        <w:rPr>
          <w:rFonts w:cs="Arial"/>
          <w:sz w:val="16"/>
        </w:rPr>
        <w:tab/>
        <w:t>T: +386 1 478 1000</w:t>
      </w:r>
    </w:p>
    <w:p w:rsidR="00056282" w:rsidRDefault="00056282" w:rsidP="00056282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ab/>
        <w:t>F: +386 1 478 1607</w:t>
      </w:r>
    </w:p>
    <w:p w:rsidR="00056282" w:rsidRDefault="00056282" w:rsidP="00056282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ab/>
        <w:t>E: gp.gs@gov.si</w:t>
      </w:r>
    </w:p>
    <w:p w:rsidR="00056282" w:rsidRDefault="00056282" w:rsidP="00056282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ab/>
        <w:t>http://www.vlada.si/</w:t>
      </w:r>
    </w:p>
    <w:p w:rsidR="00056282" w:rsidRDefault="00056282" w:rsidP="000511F0">
      <w:pPr>
        <w:widowControl w:val="0"/>
        <w:suppressAutoHyphens w:val="0"/>
        <w:jc w:val="both"/>
        <w:rPr>
          <w:rFonts w:ascii="Arial" w:hAnsi="Arial" w:cs="Arial"/>
          <w:sz w:val="20"/>
          <w:szCs w:val="20"/>
          <w:lang w:eastAsia="sl-SI"/>
        </w:rPr>
      </w:pPr>
    </w:p>
    <w:p w:rsidR="00056282" w:rsidRPr="002760DC" w:rsidRDefault="00056282" w:rsidP="00056282">
      <w:pPr>
        <w:pStyle w:val="datumtevilka"/>
        <w:rPr>
          <w:lang w:val="sl-SI"/>
        </w:rPr>
      </w:pPr>
      <w:r w:rsidRPr="002760DC">
        <w:rPr>
          <w:lang w:val="sl-SI"/>
        </w:rPr>
        <w:t xml:space="preserve">Številka: </w:t>
      </w:r>
      <w:r w:rsidRPr="002760DC">
        <w:rPr>
          <w:lang w:val="sl-SI"/>
        </w:rPr>
        <w:tab/>
      </w:r>
      <w:r>
        <w:rPr>
          <w:rFonts w:cs="Arial"/>
          <w:color w:val="000000"/>
          <w:lang w:val="sl-SI"/>
        </w:rPr>
        <w:t>00104-285/2019/5</w:t>
      </w:r>
    </w:p>
    <w:p w:rsidR="00056282" w:rsidRPr="002760DC" w:rsidRDefault="00056282" w:rsidP="00056282">
      <w:pPr>
        <w:pStyle w:val="datumtevilka"/>
        <w:rPr>
          <w:lang w:val="sl-SI"/>
        </w:rPr>
      </w:pPr>
      <w:r>
        <w:rPr>
          <w:lang w:val="sl-SI"/>
        </w:rPr>
        <w:t>Datum:</w:t>
      </w:r>
      <w:r w:rsidRPr="002760DC">
        <w:rPr>
          <w:lang w:val="sl-SI"/>
        </w:rPr>
        <w:tab/>
      </w:r>
      <w:r>
        <w:rPr>
          <w:rFonts w:cs="Arial"/>
          <w:color w:val="000000"/>
          <w:lang w:eastAsia="sl-SI"/>
        </w:rPr>
        <w:t>17. 10. 2019</w:t>
      </w:r>
      <w:r w:rsidRPr="002760DC">
        <w:rPr>
          <w:lang w:val="sl-SI"/>
        </w:rPr>
        <w:t xml:space="preserve"> </w:t>
      </w:r>
    </w:p>
    <w:p w:rsidR="00056282" w:rsidRPr="002760DC" w:rsidRDefault="00056282" w:rsidP="00056282"/>
    <w:p w:rsidR="00056282" w:rsidRDefault="00056282" w:rsidP="0005628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56282" w:rsidRPr="00056282" w:rsidRDefault="00056282" w:rsidP="0005628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56282">
        <w:rPr>
          <w:rFonts w:ascii="Arial" w:hAnsi="Arial" w:cs="Arial"/>
          <w:b/>
          <w:color w:val="000000"/>
          <w:sz w:val="20"/>
          <w:szCs w:val="20"/>
        </w:rPr>
        <w:t>Odgovor na poslansko vprašanje dr. Mateja T. Vatovca v zvezi s tranzitnim prometom</w:t>
      </w:r>
    </w:p>
    <w:p w:rsidR="00056282" w:rsidRDefault="00056282" w:rsidP="000511F0">
      <w:pPr>
        <w:widowControl w:val="0"/>
        <w:suppressAutoHyphens w:val="0"/>
        <w:jc w:val="both"/>
        <w:rPr>
          <w:rFonts w:ascii="Arial" w:hAnsi="Arial" w:cs="Arial"/>
          <w:sz w:val="20"/>
          <w:szCs w:val="20"/>
          <w:lang w:eastAsia="sl-SI"/>
        </w:rPr>
      </w:pPr>
    </w:p>
    <w:p w:rsidR="000511F0" w:rsidRPr="000511F0" w:rsidRDefault="000511F0" w:rsidP="000511F0">
      <w:pPr>
        <w:widowControl w:val="0"/>
        <w:suppressAutoHyphens w:val="0"/>
        <w:jc w:val="both"/>
        <w:rPr>
          <w:rFonts w:ascii="Arial" w:hAnsi="Arial" w:cs="Arial"/>
          <w:sz w:val="20"/>
          <w:szCs w:val="20"/>
          <w:lang w:eastAsia="sl-SI"/>
        </w:rPr>
      </w:pPr>
    </w:p>
    <w:p w:rsidR="00421B34" w:rsidRPr="005803E0" w:rsidRDefault="00421B34" w:rsidP="00421B34">
      <w:pPr>
        <w:widowControl w:val="0"/>
        <w:suppressAutoHyphens w:val="0"/>
        <w:jc w:val="both"/>
        <w:rPr>
          <w:rFonts w:ascii="Arial" w:hAnsi="Arial" w:cs="Arial"/>
          <w:sz w:val="20"/>
          <w:szCs w:val="20"/>
          <w:lang w:eastAsia="sl-SI"/>
        </w:rPr>
      </w:pPr>
      <w:r w:rsidRPr="005803E0">
        <w:rPr>
          <w:rFonts w:ascii="Arial" w:hAnsi="Arial" w:cs="Arial"/>
          <w:color w:val="000000"/>
          <w:sz w:val="20"/>
          <w:szCs w:val="20"/>
        </w:rPr>
        <w:t xml:space="preserve">Vlada Republike Slovenije (v nadaljnjem besedilu: vlada) posreduje Državnemu zboru Republike Slovenije  Odgovor </w:t>
      </w:r>
      <w:r w:rsidR="00052502" w:rsidRPr="005803E0">
        <w:rPr>
          <w:rFonts w:ascii="Arial" w:hAnsi="Arial" w:cs="Arial"/>
          <w:color w:val="000000"/>
          <w:sz w:val="20"/>
          <w:szCs w:val="20"/>
        </w:rPr>
        <w:t>vlade</w:t>
      </w:r>
      <w:r w:rsidRPr="005803E0">
        <w:rPr>
          <w:rFonts w:ascii="Arial" w:hAnsi="Arial" w:cs="Arial"/>
          <w:color w:val="000000"/>
          <w:sz w:val="20"/>
          <w:szCs w:val="20"/>
        </w:rPr>
        <w:t xml:space="preserve"> na pisno poslansko vprašanje v zvezi</w:t>
      </w:r>
      <w:r w:rsidR="006B271C">
        <w:rPr>
          <w:rFonts w:ascii="Arial" w:hAnsi="Arial" w:cs="Arial"/>
          <w:color w:val="000000"/>
          <w:sz w:val="20"/>
          <w:szCs w:val="20"/>
        </w:rPr>
        <w:t xml:space="preserve"> </w:t>
      </w:r>
      <w:r w:rsidR="0044423F">
        <w:rPr>
          <w:rFonts w:ascii="Arial" w:hAnsi="Arial" w:cs="Arial"/>
          <w:color w:val="000000"/>
          <w:sz w:val="20"/>
          <w:szCs w:val="20"/>
        </w:rPr>
        <w:t>s tranzitnim prometom</w:t>
      </w:r>
      <w:r w:rsidRPr="005803E0">
        <w:rPr>
          <w:rFonts w:ascii="Arial" w:hAnsi="Arial" w:cs="Arial"/>
          <w:color w:val="000000"/>
          <w:sz w:val="20"/>
          <w:szCs w:val="20"/>
        </w:rPr>
        <w:t xml:space="preserve">, ki ga je vladi zastavil poslanec </w:t>
      </w:r>
      <w:r w:rsidR="006B5266">
        <w:rPr>
          <w:rFonts w:ascii="Arial" w:hAnsi="Arial" w:cs="Arial"/>
          <w:color w:val="000000"/>
          <w:sz w:val="20"/>
          <w:szCs w:val="20"/>
        </w:rPr>
        <w:t xml:space="preserve">dr. </w:t>
      </w:r>
      <w:r w:rsidR="0044423F">
        <w:rPr>
          <w:rFonts w:ascii="Arial" w:hAnsi="Arial" w:cs="Arial"/>
          <w:color w:val="000000"/>
          <w:sz w:val="20"/>
          <w:szCs w:val="20"/>
        </w:rPr>
        <w:t xml:space="preserve">Matej T. Vatovec </w:t>
      </w:r>
      <w:r w:rsidR="006B5266">
        <w:rPr>
          <w:rFonts w:ascii="Arial" w:hAnsi="Arial" w:cs="Arial"/>
          <w:color w:val="000000"/>
          <w:sz w:val="20"/>
          <w:szCs w:val="20"/>
        </w:rPr>
        <w:t xml:space="preserve">dne </w:t>
      </w:r>
      <w:r w:rsidR="00293FA0">
        <w:rPr>
          <w:rFonts w:ascii="Arial" w:hAnsi="Arial" w:cs="Arial"/>
          <w:color w:val="000000"/>
          <w:sz w:val="20"/>
          <w:szCs w:val="20"/>
        </w:rPr>
        <w:t>1</w:t>
      </w:r>
      <w:r w:rsidR="0044423F">
        <w:rPr>
          <w:rFonts w:ascii="Arial" w:hAnsi="Arial" w:cs="Arial"/>
          <w:color w:val="000000"/>
          <w:sz w:val="20"/>
          <w:szCs w:val="20"/>
        </w:rPr>
        <w:t>0</w:t>
      </w:r>
      <w:r w:rsidR="00293FA0">
        <w:rPr>
          <w:rFonts w:ascii="Arial" w:hAnsi="Arial" w:cs="Arial"/>
          <w:color w:val="000000"/>
          <w:sz w:val="20"/>
          <w:szCs w:val="20"/>
        </w:rPr>
        <w:t>.</w:t>
      </w:r>
      <w:r w:rsidR="0044423F">
        <w:rPr>
          <w:rFonts w:ascii="Arial" w:hAnsi="Arial" w:cs="Arial"/>
          <w:color w:val="000000"/>
          <w:sz w:val="20"/>
          <w:szCs w:val="20"/>
        </w:rPr>
        <w:t>9</w:t>
      </w:r>
      <w:r w:rsidR="006B5266">
        <w:rPr>
          <w:rFonts w:ascii="Arial" w:hAnsi="Arial" w:cs="Arial"/>
          <w:color w:val="000000"/>
          <w:sz w:val="20"/>
          <w:szCs w:val="20"/>
        </w:rPr>
        <w:t>.2019</w:t>
      </w:r>
      <w:r w:rsidR="00D6551C">
        <w:rPr>
          <w:rFonts w:ascii="Arial" w:hAnsi="Arial" w:cs="Arial"/>
          <w:color w:val="000000"/>
          <w:sz w:val="20"/>
          <w:szCs w:val="20"/>
        </w:rPr>
        <w:t xml:space="preserve"> (</w:t>
      </w:r>
      <w:r w:rsidR="006B5266">
        <w:rPr>
          <w:rFonts w:ascii="Arial" w:hAnsi="Arial" w:cs="Arial"/>
          <w:color w:val="000000"/>
          <w:sz w:val="20"/>
          <w:szCs w:val="20"/>
        </w:rPr>
        <w:t>številka: 020-07/19</w:t>
      </w:r>
      <w:r w:rsidR="00A52025">
        <w:rPr>
          <w:rFonts w:ascii="Arial" w:hAnsi="Arial" w:cs="Arial"/>
          <w:color w:val="000000"/>
          <w:sz w:val="20"/>
          <w:szCs w:val="20"/>
        </w:rPr>
        <w:t>-</w:t>
      </w:r>
      <w:r w:rsidR="00293FA0">
        <w:rPr>
          <w:rFonts w:ascii="Arial" w:hAnsi="Arial" w:cs="Arial"/>
          <w:color w:val="000000"/>
          <w:sz w:val="20"/>
          <w:szCs w:val="20"/>
        </w:rPr>
        <w:t>1</w:t>
      </w:r>
      <w:r w:rsidR="0044423F">
        <w:rPr>
          <w:rFonts w:ascii="Arial" w:hAnsi="Arial" w:cs="Arial"/>
          <w:color w:val="000000"/>
          <w:sz w:val="20"/>
          <w:szCs w:val="20"/>
        </w:rPr>
        <w:t>337</w:t>
      </w:r>
      <w:r w:rsidR="00293FA0">
        <w:rPr>
          <w:rFonts w:ascii="Arial" w:hAnsi="Arial" w:cs="Arial"/>
          <w:color w:val="000000"/>
          <w:sz w:val="20"/>
          <w:szCs w:val="20"/>
        </w:rPr>
        <w:t>/1 z dne 1</w:t>
      </w:r>
      <w:r w:rsidR="0044423F">
        <w:rPr>
          <w:rFonts w:ascii="Arial" w:hAnsi="Arial" w:cs="Arial"/>
          <w:color w:val="000000"/>
          <w:sz w:val="20"/>
          <w:szCs w:val="20"/>
        </w:rPr>
        <w:t>0</w:t>
      </w:r>
      <w:r w:rsidR="00A52025">
        <w:rPr>
          <w:rFonts w:ascii="Arial" w:hAnsi="Arial" w:cs="Arial"/>
          <w:color w:val="000000"/>
          <w:sz w:val="20"/>
          <w:szCs w:val="20"/>
        </w:rPr>
        <w:t>.</w:t>
      </w:r>
      <w:r w:rsidR="0044423F">
        <w:rPr>
          <w:rFonts w:ascii="Arial" w:hAnsi="Arial" w:cs="Arial"/>
          <w:color w:val="000000"/>
          <w:sz w:val="20"/>
          <w:szCs w:val="20"/>
        </w:rPr>
        <w:t>9</w:t>
      </w:r>
      <w:r w:rsidR="00A52025">
        <w:rPr>
          <w:rFonts w:ascii="Arial" w:hAnsi="Arial" w:cs="Arial"/>
          <w:color w:val="000000"/>
          <w:sz w:val="20"/>
          <w:szCs w:val="20"/>
        </w:rPr>
        <w:t>.201</w:t>
      </w:r>
      <w:r w:rsidR="006B5266">
        <w:rPr>
          <w:rFonts w:ascii="Arial" w:hAnsi="Arial" w:cs="Arial"/>
          <w:color w:val="000000"/>
          <w:sz w:val="20"/>
          <w:szCs w:val="20"/>
        </w:rPr>
        <w:t>9</w:t>
      </w:r>
      <w:r w:rsidR="00A52025">
        <w:rPr>
          <w:rFonts w:ascii="Arial" w:hAnsi="Arial" w:cs="Arial"/>
          <w:color w:val="000000"/>
          <w:sz w:val="20"/>
          <w:szCs w:val="20"/>
        </w:rPr>
        <w:t>)</w:t>
      </w:r>
    </w:p>
    <w:p w:rsidR="00421B34" w:rsidRDefault="00421B34" w:rsidP="000511F0">
      <w:pPr>
        <w:widowControl w:val="0"/>
        <w:suppressAutoHyphens w:val="0"/>
        <w:jc w:val="both"/>
        <w:rPr>
          <w:rFonts w:ascii="Arial" w:hAnsi="Arial" w:cs="Arial"/>
          <w:sz w:val="20"/>
          <w:szCs w:val="20"/>
          <w:lang w:eastAsia="sl-SI"/>
        </w:rPr>
      </w:pPr>
    </w:p>
    <w:p w:rsidR="005C336E" w:rsidRDefault="00DF6A45" w:rsidP="000511F0">
      <w:pPr>
        <w:widowControl w:val="0"/>
        <w:suppressAutoHyphens w:val="0"/>
        <w:jc w:val="both"/>
        <w:rPr>
          <w:rFonts w:ascii="Arial" w:hAnsi="Arial" w:cs="Arial"/>
          <w:sz w:val="20"/>
          <w:szCs w:val="20"/>
          <w:lang w:eastAsia="sl-SI"/>
        </w:rPr>
      </w:pPr>
      <w:r w:rsidRPr="000511F0">
        <w:rPr>
          <w:rFonts w:ascii="Arial" w:hAnsi="Arial" w:cs="Arial"/>
          <w:sz w:val="20"/>
          <w:szCs w:val="20"/>
          <w:lang w:eastAsia="sl-SI"/>
        </w:rPr>
        <w:t>Poslan</w:t>
      </w:r>
      <w:r w:rsidR="002B63DC">
        <w:rPr>
          <w:rFonts w:ascii="Arial" w:hAnsi="Arial" w:cs="Arial"/>
          <w:sz w:val="20"/>
          <w:szCs w:val="20"/>
          <w:lang w:eastAsia="sl-SI"/>
        </w:rPr>
        <w:t>e</w:t>
      </w:r>
      <w:r w:rsidRPr="000511F0">
        <w:rPr>
          <w:rFonts w:ascii="Arial" w:hAnsi="Arial" w:cs="Arial"/>
          <w:sz w:val="20"/>
          <w:szCs w:val="20"/>
          <w:lang w:eastAsia="sl-SI"/>
        </w:rPr>
        <w:t xml:space="preserve">c Državnega zbora Republike Slovenije, </w:t>
      </w:r>
      <w:r w:rsidR="004F5A0B" w:rsidRPr="000511F0">
        <w:rPr>
          <w:rFonts w:ascii="Arial" w:hAnsi="Arial" w:cs="Arial"/>
          <w:sz w:val="20"/>
          <w:szCs w:val="20"/>
          <w:lang w:eastAsia="sl-SI"/>
        </w:rPr>
        <w:t>dr.</w:t>
      </w:r>
      <w:r w:rsidR="005C336E">
        <w:rPr>
          <w:rFonts w:ascii="Arial" w:hAnsi="Arial" w:cs="Arial"/>
          <w:sz w:val="20"/>
          <w:szCs w:val="20"/>
          <w:lang w:eastAsia="sl-SI"/>
        </w:rPr>
        <w:t xml:space="preserve"> Matej T. Vatovec</w:t>
      </w:r>
      <w:r w:rsidR="00803B69">
        <w:rPr>
          <w:rFonts w:ascii="Arial" w:hAnsi="Arial" w:cs="Arial"/>
          <w:sz w:val="20"/>
          <w:szCs w:val="20"/>
          <w:lang w:eastAsia="sl-SI"/>
        </w:rPr>
        <w:t>,</w:t>
      </w:r>
      <w:r w:rsidR="002B63DC">
        <w:rPr>
          <w:rFonts w:ascii="Arial" w:hAnsi="Arial" w:cs="Arial"/>
          <w:sz w:val="20"/>
          <w:szCs w:val="20"/>
          <w:lang w:eastAsia="sl-SI"/>
        </w:rPr>
        <w:t xml:space="preserve"> </w:t>
      </w:r>
      <w:r w:rsidR="005C336E">
        <w:rPr>
          <w:rFonts w:ascii="Arial" w:hAnsi="Arial" w:cs="Arial"/>
          <w:sz w:val="20"/>
          <w:szCs w:val="20"/>
          <w:lang w:eastAsia="sl-SI"/>
        </w:rPr>
        <w:t>sprašuje, kolikšen je največji dopusten obseg prometa na železniški progi Divača – Koper in kakšne ukrepe se predvideva, če bo obseg presežen že pred začetkom obratovanja novega tira. V nadaljevanju ga zanima, za koliko bi se povečala kapaciteta proge, če bi povečali dolžino postajnih tirov s trenutnih 520m na evropski standard 750m ter zakaj ta in morebitni drugi ukrepi za povečanje zmogljivosti sedanje proge niso predvideni</w:t>
      </w:r>
      <w:r w:rsidR="00ED7DEB">
        <w:rPr>
          <w:rFonts w:ascii="Arial" w:hAnsi="Arial" w:cs="Arial"/>
          <w:sz w:val="20"/>
          <w:szCs w:val="20"/>
          <w:lang w:eastAsia="sl-SI"/>
        </w:rPr>
        <w:t>. V nadaljevanju sprašuje ali se in kakšni  konkretni ukrepi se načrtujejo za omejitev cestnega tovornega prometa v Koper. Ob tem pa ali se namerava na državni ravni pristopiti k omejevanju cestnega tovornega prometa, zlasti tranzitnega, ali se bo dopuščalo neomejeno rast prometa, ki se bo omogočala z vedno novimi širitvami in modernizacijo cest. Če se namerava pristopiti k omejevanju prometa  naj se navede predvidene ukrepe in kdaj bodo izvedeni in kakšen učinek na promet naj bi imeli. V zaključku sprašuje, kaj konkretno se namerava storiti za to, da bi več tovora v tranzitu, ki poteka iz smeri Hrvaške in Madžarske proti Avstriji in Italiji ter obratno bilo prepeljano po železnici.</w:t>
      </w:r>
    </w:p>
    <w:p w:rsidR="005C336E" w:rsidRDefault="005C336E" w:rsidP="000511F0">
      <w:pPr>
        <w:widowControl w:val="0"/>
        <w:suppressAutoHyphens w:val="0"/>
        <w:jc w:val="both"/>
        <w:rPr>
          <w:rFonts w:ascii="Arial" w:hAnsi="Arial" w:cs="Arial"/>
          <w:sz w:val="20"/>
          <w:szCs w:val="20"/>
          <w:lang w:eastAsia="sl-SI"/>
        </w:rPr>
      </w:pPr>
    </w:p>
    <w:p w:rsidR="00293FA0" w:rsidRDefault="00293FA0" w:rsidP="000511F0">
      <w:pPr>
        <w:widowControl w:val="0"/>
        <w:suppressAutoHyphens w:val="0"/>
        <w:jc w:val="both"/>
        <w:rPr>
          <w:rFonts w:ascii="Arial" w:hAnsi="Arial" w:cs="Arial"/>
          <w:sz w:val="20"/>
          <w:szCs w:val="20"/>
          <w:lang w:eastAsia="sl-SI"/>
        </w:rPr>
      </w:pPr>
    </w:p>
    <w:p w:rsidR="00421B34" w:rsidRDefault="00421B34" w:rsidP="00421B34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zvezi z navedenim</w:t>
      </w:r>
      <w:r w:rsidR="00805B17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 vprašanj</w:t>
      </w:r>
      <w:r w:rsidR="00805B17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 vlada podaja naslednji odgovor:</w:t>
      </w:r>
    </w:p>
    <w:p w:rsidR="00E3270A" w:rsidRDefault="00E3270A" w:rsidP="000511F0">
      <w:pPr>
        <w:widowControl w:val="0"/>
        <w:suppressAutoHyphens w:val="0"/>
        <w:jc w:val="both"/>
        <w:rPr>
          <w:rFonts w:ascii="Arial" w:hAnsi="Arial" w:cs="Arial"/>
          <w:sz w:val="20"/>
          <w:szCs w:val="20"/>
          <w:lang w:eastAsia="sl-SI"/>
        </w:rPr>
      </w:pPr>
      <w:bookmarkStart w:id="0" w:name="_GoBack"/>
      <w:bookmarkEnd w:id="0"/>
    </w:p>
    <w:p w:rsidR="00D716CA" w:rsidRDefault="00D716CA" w:rsidP="000511F0">
      <w:pPr>
        <w:widowControl w:val="0"/>
        <w:suppressAutoHyphens w:val="0"/>
        <w:jc w:val="both"/>
        <w:rPr>
          <w:rFonts w:ascii="Arial" w:hAnsi="Arial" w:cs="Arial"/>
          <w:sz w:val="20"/>
          <w:szCs w:val="20"/>
          <w:lang w:eastAsia="sl-SI"/>
        </w:rPr>
      </w:pPr>
    </w:p>
    <w:p w:rsidR="00B6460F" w:rsidRDefault="00B6460F" w:rsidP="000511F0">
      <w:pPr>
        <w:widowControl w:val="0"/>
        <w:suppressAutoHyphens w:val="0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Ministrstvo za infrastrukturo je v zvezi z zmogljivostjo prog pridobilo podatke</w:t>
      </w:r>
      <w:r w:rsidR="00401523">
        <w:rPr>
          <w:rFonts w:ascii="Arial" w:hAnsi="Arial" w:cs="Arial"/>
          <w:sz w:val="20"/>
          <w:szCs w:val="20"/>
          <w:lang w:eastAsia="sl-SI"/>
        </w:rPr>
        <w:t xml:space="preserve"> in odg</w:t>
      </w:r>
      <w:r w:rsidR="009D72C4">
        <w:rPr>
          <w:rFonts w:ascii="Arial" w:hAnsi="Arial" w:cs="Arial"/>
          <w:sz w:val="20"/>
          <w:szCs w:val="20"/>
          <w:lang w:eastAsia="sl-SI"/>
        </w:rPr>
        <w:t>o</w:t>
      </w:r>
      <w:r w:rsidR="00401523">
        <w:rPr>
          <w:rFonts w:ascii="Arial" w:hAnsi="Arial" w:cs="Arial"/>
          <w:sz w:val="20"/>
          <w:szCs w:val="20"/>
          <w:lang w:eastAsia="sl-SI"/>
        </w:rPr>
        <w:t>vore</w:t>
      </w:r>
      <w:r>
        <w:rPr>
          <w:rFonts w:ascii="Arial" w:hAnsi="Arial" w:cs="Arial"/>
          <w:sz w:val="20"/>
          <w:szCs w:val="20"/>
          <w:lang w:eastAsia="sl-SI"/>
        </w:rPr>
        <w:t xml:space="preserve"> upravljavca javne železniške infrastrukture to je podjetje SŽ – </w:t>
      </w:r>
      <w:r w:rsidR="0041075C">
        <w:rPr>
          <w:rFonts w:ascii="Arial" w:hAnsi="Arial" w:cs="Arial"/>
          <w:sz w:val="20"/>
          <w:szCs w:val="20"/>
          <w:lang w:eastAsia="sl-SI"/>
        </w:rPr>
        <w:t>Infrastruktura</w:t>
      </w:r>
      <w:r>
        <w:rPr>
          <w:rFonts w:ascii="Arial" w:hAnsi="Arial" w:cs="Arial"/>
          <w:sz w:val="20"/>
          <w:szCs w:val="20"/>
          <w:lang w:eastAsia="sl-SI"/>
        </w:rPr>
        <w:t xml:space="preserve"> d.o.o., ki v svojem odgovoru navaja:</w:t>
      </w:r>
    </w:p>
    <w:p w:rsidR="00D716CA" w:rsidRDefault="00D716CA" w:rsidP="00B6460F">
      <w:pPr>
        <w:widowControl w:val="0"/>
        <w:suppressAutoHyphens w:val="0"/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p w:rsidR="00D716CA" w:rsidRDefault="00D716CA" w:rsidP="00B6460F">
      <w:pPr>
        <w:widowControl w:val="0"/>
        <w:suppressAutoHyphens w:val="0"/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p w:rsidR="00B6460F" w:rsidRPr="00B6460F" w:rsidRDefault="00B6460F" w:rsidP="00B6460F">
      <w:pPr>
        <w:widowControl w:val="0"/>
        <w:suppressAutoHyphens w:val="0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B6460F">
        <w:rPr>
          <w:rFonts w:ascii="Arial" w:hAnsi="Arial" w:cs="Arial"/>
          <w:i/>
          <w:sz w:val="20"/>
          <w:szCs w:val="20"/>
          <w:lang w:eastAsia="sl-SI"/>
        </w:rPr>
        <w:t>»Zmogljivost in izkoriščenosti prog JŽI v Republiki Sloveniji je izvedena po »UIC kodeksu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B6460F">
        <w:rPr>
          <w:rFonts w:ascii="Arial" w:hAnsi="Arial" w:cs="Arial"/>
          <w:i/>
          <w:sz w:val="20"/>
          <w:szCs w:val="20"/>
          <w:lang w:eastAsia="sl-SI"/>
        </w:rPr>
        <w:t>406 – Zmogljivosti« (II. izdaja, junij 2013), kjer je prepustna zmogljivost odseka Divača –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B6460F">
        <w:rPr>
          <w:rFonts w:ascii="Arial" w:hAnsi="Arial" w:cs="Arial"/>
          <w:i/>
          <w:sz w:val="20"/>
          <w:szCs w:val="20"/>
          <w:lang w:eastAsia="sl-SI"/>
        </w:rPr>
        <w:t>Koper do vključno leta 2018 znašala 90 vlakov na dan, od leta 2019 dalje pa le-ta znaša 94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B6460F">
        <w:rPr>
          <w:rFonts w:ascii="Arial" w:hAnsi="Arial" w:cs="Arial"/>
          <w:i/>
          <w:sz w:val="20"/>
          <w:szCs w:val="20"/>
          <w:lang w:eastAsia="sl-SI"/>
        </w:rPr>
        <w:t>vlakov na dan. Maksimalna prevozna zmogljivost tega odseka na letnem nivoju pa je do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B6460F">
        <w:rPr>
          <w:rFonts w:ascii="Arial" w:hAnsi="Arial" w:cs="Arial"/>
          <w:i/>
          <w:sz w:val="20"/>
          <w:szCs w:val="20"/>
          <w:lang w:eastAsia="sl-SI"/>
        </w:rPr>
        <w:t>vključno leta 2018 znašala 12 mio ton na leto. Z investicijskimi ukrepi s strani lastnika,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B6460F">
        <w:rPr>
          <w:rFonts w:ascii="Arial" w:hAnsi="Arial" w:cs="Arial"/>
          <w:i/>
          <w:sz w:val="20"/>
          <w:szCs w:val="20"/>
          <w:lang w:eastAsia="sl-SI"/>
        </w:rPr>
        <w:t>oziroma Direkcije RS za infrastrukturo, sta bila v zadnjih dveh letih, s ciljem povečanja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B6460F">
        <w:rPr>
          <w:rFonts w:ascii="Arial" w:hAnsi="Arial" w:cs="Arial"/>
          <w:i/>
          <w:sz w:val="20"/>
          <w:szCs w:val="20"/>
          <w:lang w:eastAsia="sl-SI"/>
        </w:rPr>
        <w:t xml:space="preserve">zmogljivosti tega odseka, zaključena gradnja </w:t>
      </w:r>
      <w:proofErr w:type="spellStart"/>
      <w:r w:rsidRPr="00B6460F">
        <w:rPr>
          <w:rFonts w:ascii="Arial" w:hAnsi="Arial" w:cs="Arial"/>
          <w:i/>
          <w:sz w:val="20"/>
          <w:szCs w:val="20"/>
          <w:lang w:eastAsia="sl-SI"/>
        </w:rPr>
        <w:t>izvlečnega</w:t>
      </w:r>
      <w:proofErr w:type="spellEnd"/>
      <w:r w:rsidRPr="00B6460F">
        <w:rPr>
          <w:rFonts w:ascii="Arial" w:hAnsi="Arial" w:cs="Arial"/>
          <w:i/>
          <w:sz w:val="20"/>
          <w:szCs w:val="20"/>
          <w:lang w:eastAsia="sl-SI"/>
        </w:rPr>
        <w:t xml:space="preserve"> tira med Koprom in Dekani v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B6460F">
        <w:rPr>
          <w:rFonts w:ascii="Arial" w:hAnsi="Arial" w:cs="Arial"/>
          <w:i/>
          <w:sz w:val="20"/>
          <w:szCs w:val="20"/>
          <w:lang w:eastAsia="sl-SI"/>
        </w:rPr>
        <w:t xml:space="preserve">dolžini 1,2 km ter postavljena nova </w:t>
      </w:r>
      <w:proofErr w:type="spellStart"/>
      <w:r w:rsidRPr="00B6460F">
        <w:rPr>
          <w:rFonts w:ascii="Arial" w:hAnsi="Arial" w:cs="Arial"/>
          <w:i/>
          <w:sz w:val="20"/>
          <w:szCs w:val="20"/>
          <w:lang w:eastAsia="sl-SI"/>
        </w:rPr>
        <w:t>elektro</w:t>
      </w:r>
      <w:proofErr w:type="spellEnd"/>
      <w:r w:rsidRPr="00B6460F">
        <w:rPr>
          <w:rFonts w:ascii="Arial" w:hAnsi="Arial" w:cs="Arial"/>
          <w:i/>
          <w:sz w:val="20"/>
          <w:szCs w:val="20"/>
          <w:lang w:eastAsia="sl-SI"/>
        </w:rPr>
        <w:t>-napajalna postaja v Hrastovljah za dodatno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B6460F">
        <w:rPr>
          <w:rFonts w:ascii="Arial" w:hAnsi="Arial" w:cs="Arial"/>
          <w:i/>
          <w:sz w:val="20"/>
          <w:szCs w:val="20"/>
          <w:lang w:eastAsia="sl-SI"/>
        </w:rPr>
        <w:t>napajanje voznega voda. Gre za dva infrastruktura parametra, ki sta povečala tudi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B6460F">
        <w:rPr>
          <w:rFonts w:ascii="Arial" w:hAnsi="Arial" w:cs="Arial"/>
          <w:i/>
          <w:sz w:val="20"/>
          <w:szCs w:val="20"/>
          <w:lang w:eastAsia="sl-SI"/>
        </w:rPr>
        <w:t>teoretično prevozno zmogljivost odseka Divača – Koper na maksimalno 14 mio ton na leto,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B6460F">
        <w:rPr>
          <w:rFonts w:ascii="Arial" w:hAnsi="Arial" w:cs="Arial"/>
          <w:i/>
          <w:sz w:val="20"/>
          <w:szCs w:val="20"/>
          <w:lang w:eastAsia="sl-SI"/>
        </w:rPr>
        <w:t xml:space="preserve">katera pa v fazi realizacije predvsem </w:t>
      </w:r>
      <w:proofErr w:type="spellStart"/>
      <w:r w:rsidRPr="00B6460F">
        <w:rPr>
          <w:rFonts w:ascii="Arial" w:hAnsi="Arial" w:cs="Arial"/>
          <w:i/>
          <w:sz w:val="20"/>
          <w:szCs w:val="20"/>
          <w:lang w:eastAsia="sl-SI"/>
        </w:rPr>
        <w:t>zavisi</w:t>
      </w:r>
      <w:proofErr w:type="spellEnd"/>
      <w:r w:rsidRPr="00B6460F">
        <w:rPr>
          <w:rFonts w:ascii="Arial" w:hAnsi="Arial" w:cs="Arial"/>
          <w:i/>
          <w:sz w:val="20"/>
          <w:szCs w:val="20"/>
          <w:lang w:eastAsia="sl-SI"/>
        </w:rPr>
        <w:t xml:space="preserve"> od strukture tovora prevoznikov (lahki / težki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B6460F">
        <w:rPr>
          <w:rFonts w:ascii="Arial" w:hAnsi="Arial" w:cs="Arial"/>
          <w:i/>
          <w:sz w:val="20"/>
          <w:szCs w:val="20"/>
          <w:lang w:eastAsia="sl-SI"/>
        </w:rPr>
        <w:t>vlaki).</w:t>
      </w:r>
      <w:r w:rsidR="00BE62E6">
        <w:rPr>
          <w:rFonts w:ascii="Arial" w:hAnsi="Arial" w:cs="Arial"/>
          <w:i/>
          <w:sz w:val="20"/>
          <w:szCs w:val="20"/>
          <w:lang w:eastAsia="sl-SI"/>
        </w:rPr>
        <w:t xml:space="preserve"> </w:t>
      </w:r>
    </w:p>
    <w:p w:rsidR="00BE62E6" w:rsidRDefault="00BE62E6" w:rsidP="00B6460F">
      <w:pPr>
        <w:widowControl w:val="0"/>
        <w:suppressAutoHyphens w:val="0"/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p w:rsidR="00B6460F" w:rsidRDefault="00B6460F" w:rsidP="00B6460F">
      <w:pPr>
        <w:widowControl w:val="0"/>
        <w:suppressAutoHyphens w:val="0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B6460F">
        <w:rPr>
          <w:rFonts w:ascii="Arial" w:hAnsi="Arial" w:cs="Arial"/>
          <w:i/>
          <w:sz w:val="20"/>
          <w:szCs w:val="20"/>
          <w:lang w:eastAsia="sl-SI"/>
        </w:rPr>
        <w:t>Z uporabljeno metodologijo za izračun prepustne zmogljivosti po UIC Kodeksu 406 je</w:t>
      </w:r>
      <w:r w:rsidR="00BE62E6"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B6460F">
        <w:rPr>
          <w:rFonts w:ascii="Arial" w:hAnsi="Arial" w:cs="Arial"/>
          <w:i/>
          <w:sz w:val="20"/>
          <w:szCs w:val="20"/>
          <w:lang w:eastAsia="sl-SI"/>
        </w:rPr>
        <w:t>upoštevana izkoriščenost odseka v višini 60 % zmogljivosti (pri progah za mešani promet),kar pomeni tekoč in neoviran železniški promet.</w:t>
      </w:r>
    </w:p>
    <w:p w:rsidR="00BE62E6" w:rsidRPr="00B6460F" w:rsidRDefault="00BE62E6" w:rsidP="00B6460F">
      <w:pPr>
        <w:widowControl w:val="0"/>
        <w:suppressAutoHyphens w:val="0"/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p w:rsidR="00B6460F" w:rsidRPr="00B6460F" w:rsidRDefault="00B6460F" w:rsidP="00B6460F">
      <w:pPr>
        <w:widowControl w:val="0"/>
        <w:suppressAutoHyphens w:val="0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B6460F">
        <w:rPr>
          <w:rFonts w:ascii="Arial" w:hAnsi="Arial" w:cs="Arial"/>
          <w:i/>
          <w:sz w:val="20"/>
          <w:szCs w:val="20"/>
          <w:lang w:eastAsia="sl-SI"/>
        </w:rPr>
        <w:t>Obseg prometa na progi (Divača) cepišče Prešnica – Koper od januarja 2017 do vključno</w:t>
      </w:r>
      <w:r w:rsidR="00BE62E6"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B6460F">
        <w:rPr>
          <w:rFonts w:ascii="Arial" w:hAnsi="Arial" w:cs="Arial"/>
          <w:i/>
          <w:sz w:val="20"/>
          <w:szCs w:val="20"/>
          <w:lang w:eastAsia="sl-SI"/>
        </w:rPr>
        <w:t>avgusta 2019 s prepustno zmogljivostjo je prikazan v naslednji tabeli:</w:t>
      </w:r>
    </w:p>
    <w:p w:rsidR="00B6460F" w:rsidRDefault="00B6460F" w:rsidP="000511F0">
      <w:pPr>
        <w:widowControl w:val="0"/>
        <w:suppressAutoHyphens w:val="0"/>
        <w:jc w:val="both"/>
        <w:rPr>
          <w:rFonts w:ascii="Arial" w:hAnsi="Arial" w:cs="Arial"/>
          <w:sz w:val="20"/>
          <w:szCs w:val="20"/>
          <w:lang w:eastAsia="sl-SI"/>
        </w:rPr>
      </w:pPr>
    </w:p>
    <w:p w:rsidR="001D2AE7" w:rsidRDefault="001D2AE7" w:rsidP="000511F0">
      <w:pPr>
        <w:widowControl w:val="0"/>
        <w:suppressAutoHyphens w:val="0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lastRenderedPageBreak/>
        <w:drawing>
          <wp:inline distT="0" distB="0" distL="0" distR="0">
            <wp:extent cx="6115685" cy="3401695"/>
            <wp:effectExtent l="0" t="0" r="0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AE7" w:rsidRDefault="001D2AE7" w:rsidP="000511F0">
      <w:pPr>
        <w:widowControl w:val="0"/>
        <w:suppressAutoHyphens w:val="0"/>
        <w:jc w:val="both"/>
        <w:rPr>
          <w:rFonts w:ascii="Arial" w:hAnsi="Arial" w:cs="Arial"/>
          <w:sz w:val="20"/>
          <w:szCs w:val="20"/>
          <w:lang w:eastAsia="sl-SI"/>
        </w:rPr>
      </w:pPr>
    </w:p>
    <w:p w:rsidR="001D2AE7" w:rsidRDefault="001D2AE7" w:rsidP="000511F0">
      <w:pPr>
        <w:widowControl w:val="0"/>
        <w:suppressAutoHyphens w:val="0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>
            <wp:extent cx="6115685" cy="25527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00A" w:rsidRDefault="00F5500A" w:rsidP="000511F0">
      <w:pPr>
        <w:widowControl w:val="0"/>
        <w:suppressAutoHyphens w:val="0"/>
        <w:jc w:val="both"/>
        <w:rPr>
          <w:rFonts w:ascii="Arial" w:hAnsi="Arial" w:cs="Arial"/>
          <w:sz w:val="20"/>
          <w:szCs w:val="20"/>
          <w:lang w:eastAsia="sl-SI"/>
        </w:rPr>
      </w:pPr>
    </w:p>
    <w:p w:rsidR="00F5500A" w:rsidRDefault="00F5500A" w:rsidP="000511F0">
      <w:pPr>
        <w:widowControl w:val="0"/>
        <w:suppressAutoHyphens w:val="0"/>
        <w:jc w:val="both"/>
        <w:rPr>
          <w:rFonts w:ascii="Arial" w:hAnsi="Arial" w:cs="Arial"/>
          <w:sz w:val="20"/>
          <w:szCs w:val="20"/>
          <w:lang w:eastAsia="sl-SI"/>
        </w:rPr>
      </w:pPr>
    </w:p>
    <w:p w:rsidR="001D2AE7" w:rsidRDefault="001D2AE7" w:rsidP="000511F0">
      <w:pPr>
        <w:widowControl w:val="0"/>
        <w:suppressAutoHyphens w:val="0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>
            <wp:extent cx="6115685" cy="177736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C5E" w:rsidRDefault="00A82C5E" w:rsidP="000511F0">
      <w:pPr>
        <w:widowControl w:val="0"/>
        <w:suppressAutoHyphens w:val="0"/>
        <w:jc w:val="both"/>
        <w:rPr>
          <w:rFonts w:ascii="Arial" w:hAnsi="Arial" w:cs="Arial"/>
          <w:sz w:val="20"/>
          <w:szCs w:val="20"/>
          <w:lang w:eastAsia="sl-SI"/>
        </w:rPr>
      </w:pPr>
    </w:p>
    <w:p w:rsidR="0041075C" w:rsidRDefault="0041075C" w:rsidP="00A82C5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 w:eastAsia="sl-SI"/>
        </w:rPr>
      </w:pPr>
    </w:p>
    <w:p w:rsidR="0041075C" w:rsidRDefault="0041075C" w:rsidP="00A82C5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 w:eastAsia="sl-SI"/>
        </w:rPr>
      </w:pPr>
    </w:p>
    <w:p w:rsidR="0041075C" w:rsidRDefault="0041075C" w:rsidP="00A82C5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 w:eastAsia="sl-SI"/>
        </w:rPr>
      </w:pPr>
    </w:p>
    <w:p w:rsidR="0041075C" w:rsidRDefault="0041075C" w:rsidP="00A82C5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 w:eastAsia="sl-SI"/>
        </w:rPr>
      </w:pPr>
    </w:p>
    <w:p w:rsidR="0041075C" w:rsidRDefault="0041075C" w:rsidP="00A82C5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 w:eastAsia="sl-SI"/>
        </w:rPr>
      </w:pPr>
    </w:p>
    <w:p w:rsidR="00A82C5E" w:rsidRPr="0041075C" w:rsidRDefault="00A82C5E" w:rsidP="00A82C5E">
      <w:pPr>
        <w:suppressAutoHyphens w:val="0"/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lang w:eastAsia="sl-SI"/>
        </w:rPr>
      </w:pPr>
      <w:r w:rsidRPr="0041075C">
        <w:rPr>
          <w:rFonts w:ascii="Arial" w:hAnsi="Arial" w:cs="Arial"/>
          <w:i/>
          <w:iCs/>
          <w:sz w:val="20"/>
          <w:szCs w:val="20"/>
          <w:lang w:eastAsia="sl-SI"/>
        </w:rPr>
        <w:lastRenderedPageBreak/>
        <w:t>Po napovedih je na obstoječi progi Divača – Koper predvidena 3,35 % letna stopnja rasti tovornega prometa. Na tej podlagi je v naslednji tabeli prikazana napoved tovora v neto tonah ter dnevno število vlakov do leta 2026 (do izgradnje drugega tira) brez omejitev na železniški infrastrukturi</w:t>
      </w:r>
      <w:r w:rsidRPr="0041075C">
        <w:rPr>
          <w:rFonts w:ascii="TimesNewRomanPS-ItalicMT" w:hAnsi="TimesNewRomanPS-ItalicMT" w:cs="TimesNewRomanPS-ItalicMT"/>
          <w:i/>
          <w:iCs/>
          <w:lang w:eastAsia="sl-SI"/>
        </w:rPr>
        <w:t>.</w:t>
      </w:r>
    </w:p>
    <w:p w:rsidR="00D34491" w:rsidRPr="009D72C4" w:rsidRDefault="00D34491" w:rsidP="00A82C5E">
      <w:pPr>
        <w:suppressAutoHyphens w:val="0"/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lang w:eastAsia="sl-SI"/>
        </w:rPr>
      </w:pPr>
    </w:p>
    <w:p w:rsidR="00D34491" w:rsidRDefault="00D34491" w:rsidP="00A82C5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>
            <wp:extent cx="6115685" cy="286004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F4C" w:rsidRDefault="00D50F4C" w:rsidP="00D50F4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D50F4C">
        <w:rPr>
          <w:rFonts w:ascii="Arial" w:hAnsi="Arial" w:cs="Arial"/>
          <w:i/>
          <w:sz w:val="20"/>
          <w:szCs w:val="20"/>
          <w:lang w:eastAsia="sl-SI"/>
        </w:rPr>
        <w:t>Glede na napoved rasti prometa in zmogljivost obstoječe proge Divača – Koper,izkoriščenost prepustne zmogljivosti proge presega 100% od leta 2014 dalje in bo v letu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50F4C">
        <w:rPr>
          <w:rFonts w:ascii="Arial" w:hAnsi="Arial" w:cs="Arial"/>
          <w:i/>
          <w:sz w:val="20"/>
          <w:szCs w:val="20"/>
          <w:lang w:eastAsia="sl-SI"/>
        </w:rPr>
        <w:t>2026 dosegla 131 %.</w:t>
      </w:r>
    </w:p>
    <w:p w:rsidR="00D50F4C" w:rsidRPr="00D50F4C" w:rsidRDefault="00D50F4C" w:rsidP="00D50F4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p w:rsidR="00D50F4C" w:rsidRDefault="00D50F4C" w:rsidP="00D50F4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D50F4C">
        <w:rPr>
          <w:rFonts w:ascii="Arial" w:hAnsi="Arial" w:cs="Arial"/>
          <w:i/>
          <w:sz w:val="20"/>
          <w:szCs w:val="20"/>
          <w:lang w:eastAsia="sl-SI"/>
        </w:rPr>
        <w:t>V kolikor znaša izkoriščenost prepustne zmogljivosti preko 100 %, proga ali odsek proge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50F4C">
        <w:rPr>
          <w:rFonts w:ascii="Arial" w:hAnsi="Arial" w:cs="Arial"/>
          <w:i/>
          <w:sz w:val="20"/>
          <w:szCs w:val="20"/>
          <w:lang w:eastAsia="sl-SI"/>
        </w:rPr>
        <w:t>predstavlja ozko grlo, kar se kaže v nižji kvaliteti transportnih storitev, zaradi česar je bil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50F4C">
        <w:rPr>
          <w:rFonts w:ascii="Arial" w:hAnsi="Arial" w:cs="Arial"/>
          <w:i/>
          <w:sz w:val="20"/>
          <w:szCs w:val="20"/>
          <w:lang w:eastAsia="sl-SI"/>
        </w:rPr>
        <w:t>odsek proge Divača – Koper v juliju 2018 razglašen za »preobremenjeno infrastrukturo«.</w:t>
      </w:r>
    </w:p>
    <w:p w:rsidR="00D50F4C" w:rsidRPr="00D50F4C" w:rsidRDefault="00D50F4C" w:rsidP="00D50F4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p w:rsidR="00D50F4C" w:rsidRDefault="00D50F4C" w:rsidP="00D50F4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D50F4C">
        <w:rPr>
          <w:rFonts w:ascii="Arial" w:hAnsi="Arial" w:cs="Arial"/>
          <w:i/>
          <w:sz w:val="20"/>
          <w:szCs w:val="20"/>
          <w:lang w:eastAsia="sl-SI"/>
        </w:rPr>
        <w:t>Skladno s III. poglavjem Uredbe o dodeljevanju vlakovnih poti, uporabnini in režimu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50F4C">
        <w:rPr>
          <w:rFonts w:ascii="Arial" w:hAnsi="Arial" w:cs="Arial"/>
          <w:i/>
          <w:sz w:val="20"/>
          <w:szCs w:val="20"/>
          <w:lang w:eastAsia="sl-SI"/>
        </w:rPr>
        <w:t>učinkovitosti na javni žel</w:t>
      </w:r>
      <w:r w:rsidR="00545909">
        <w:rPr>
          <w:rFonts w:ascii="Arial" w:hAnsi="Arial" w:cs="Arial"/>
          <w:i/>
          <w:sz w:val="20"/>
          <w:szCs w:val="20"/>
          <w:lang w:eastAsia="sl-SI"/>
        </w:rPr>
        <w:t>ezniški infrastrukturi (Uradni</w:t>
      </w:r>
      <w:r w:rsidRPr="00D50F4C">
        <w:rPr>
          <w:rFonts w:ascii="Arial" w:hAnsi="Arial" w:cs="Arial"/>
          <w:i/>
          <w:sz w:val="20"/>
          <w:szCs w:val="20"/>
          <w:lang w:eastAsia="sl-SI"/>
        </w:rPr>
        <w:t xml:space="preserve"> list RS</w:t>
      </w:r>
      <w:r w:rsidR="00545909">
        <w:rPr>
          <w:rFonts w:ascii="Arial" w:hAnsi="Arial" w:cs="Arial"/>
          <w:i/>
          <w:sz w:val="20"/>
          <w:szCs w:val="20"/>
          <w:lang w:eastAsia="sl-SI"/>
        </w:rPr>
        <w:t>,</w:t>
      </w:r>
      <w:r w:rsidRPr="00D50F4C">
        <w:rPr>
          <w:rFonts w:ascii="Arial" w:hAnsi="Arial" w:cs="Arial"/>
          <w:i/>
          <w:sz w:val="20"/>
          <w:szCs w:val="20"/>
          <w:lang w:eastAsia="sl-SI"/>
        </w:rPr>
        <w:t xml:space="preserve"> št. 44/2016</w:t>
      </w:r>
      <w:r w:rsidR="00545909">
        <w:rPr>
          <w:rFonts w:ascii="Arial" w:hAnsi="Arial" w:cs="Arial"/>
          <w:i/>
          <w:sz w:val="20"/>
          <w:szCs w:val="20"/>
          <w:lang w:eastAsia="sl-SI"/>
        </w:rPr>
        <w:t xml:space="preserve"> in 16/19</w:t>
      </w:r>
      <w:r w:rsidRPr="00D50F4C">
        <w:rPr>
          <w:rFonts w:ascii="Arial" w:hAnsi="Arial" w:cs="Arial"/>
          <w:i/>
          <w:sz w:val="20"/>
          <w:szCs w:val="20"/>
          <w:lang w:eastAsia="sl-SI"/>
        </w:rPr>
        <w:t>) je upravljavec v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50F4C">
        <w:rPr>
          <w:rFonts w:ascii="Arial" w:hAnsi="Arial" w:cs="Arial"/>
          <w:i/>
          <w:sz w:val="20"/>
          <w:szCs w:val="20"/>
          <w:lang w:eastAsia="sl-SI"/>
        </w:rPr>
        <w:t>januarju 2019 izdelal analizo zmogljivosti za obdobje 2014-2018, katera je pokazala, da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50F4C">
        <w:rPr>
          <w:rFonts w:ascii="Arial" w:hAnsi="Arial" w:cs="Arial"/>
          <w:i/>
          <w:sz w:val="20"/>
          <w:szCs w:val="20"/>
          <w:lang w:eastAsia="sl-SI"/>
        </w:rPr>
        <w:t>odstotek izkoriščenosti tega odseka v zadnjih letih nenehno konstantno raste in že nekaj časa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50F4C">
        <w:rPr>
          <w:rFonts w:ascii="Arial" w:hAnsi="Arial" w:cs="Arial"/>
          <w:i/>
          <w:sz w:val="20"/>
          <w:szCs w:val="20"/>
          <w:lang w:eastAsia="sl-SI"/>
        </w:rPr>
        <w:t>v povprečju presega 100%, kjer je potrebno upoštevati tudi dejstvo, da je del ponudbe v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50F4C">
        <w:rPr>
          <w:rFonts w:ascii="Arial" w:hAnsi="Arial" w:cs="Arial"/>
          <w:i/>
          <w:sz w:val="20"/>
          <w:szCs w:val="20"/>
          <w:lang w:eastAsia="sl-SI"/>
        </w:rPr>
        <w:t>potniškem prometu že danes preusmerjen na nadomestne avtobuse. Obseg tovornega prometa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50F4C">
        <w:rPr>
          <w:rFonts w:ascii="Arial" w:hAnsi="Arial" w:cs="Arial"/>
          <w:i/>
          <w:sz w:val="20"/>
          <w:szCs w:val="20"/>
          <w:lang w:eastAsia="sl-SI"/>
        </w:rPr>
        <w:t>na odseku Divača – Koper v obdobju zadnjih 30 let se je več kot potrojil. V letu 2017 je bilo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50F4C">
        <w:rPr>
          <w:rFonts w:ascii="Arial" w:hAnsi="Arial" w:cs="Arial"/>
          <w:i/>
          <w:sz w:val="20"/>
          <w:szCs w:val="20"/>
          <w:lang w:eastAsia="sl-SI"/>
        </w:rPr>
        <w:t>po progi prepeljanih rekordnih 12,9 milijonov neto</w:t>
      </w:r>
      <w:r w:rsidR="00545909"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50F4C">
        <w:rPr>
          <w:rFonts w:ascii="Arial" w:hAnsi="Arial" w:cs="Arial"/>
          <w:i/>
          <w:sz w:val="20"/>
          <w:szCs w:val="20"/>
          <w:lang w:eastAsia="sl-SI"/>
        </w:rPr>
        <w:t>ton, kar se je odražalo tudi v visoki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50F4C">
        <w:rPr>
          <w:rFonts w:ascii="Arial" w:hAnsi="Arial" w:cs="Arial"/>
          <w:i/>
          <w:sz w:val="20"/>
          <w:szCs w:val="20"/>
          <w:lang w:eastAsia="sl-SI"/>
        </w:rPr>
        <w:t>izkoriščenosti zmogljivosti proge, ki je v letu 2017 znašala kar 105%. Glede na norme UIC, ki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50F4C">
        <w:rPr>
          <w:rFonts w:ascii="Arial" w:hAnsi="Arial" w:cs="Arial"/>
          <w:i/>
          <w:sz w:val="20"/>
          <w:szCs w:val="20"/>
          <w:lang w:eastAsia="sl-SI"/>
        </w:rPr>
        <w:t>obravnavajo izkoriščenost zmogljivosti, je proga Divača-Koper z vidika obsega prometa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50F4C">
        <w:rPr>
          <w:rFonts w:ascii="Arial" w:hAnsi="Arial" w:cs="Arial"/>
          <w:i/>
          <w:sz w:val="20"/>
          <w:szCs w:val="20"/>
          <w:lang w:eastAsia="sl-SI"/>
        </w:rPr>
        <w:t>preobremenjena, saj je v obdobju od 2014 do 2018 bila izkoriščena več kot 100%. Investicija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50F4C">
        <w:rPr>
          <w:rFonts w:ascii="Arial" w:hAnsi="Arial" w:cs="Arial"/>
          <w:i/>
          <w:sz w:val="20"/>
          <w:szCs w:val="20"/>
          <w:lang w:eastAsia="sl-SI"/>
        </w:rPr>
        <w:t xml:space="preserve">v </w:t>
      </w:r>
      <w:proofErr w:type="spellStart"/>
      <w:r w:rsidRPr="00D50F4C">
        <w:rPr>
          <w:rFonts w:ascii="Arial" w:hAnsi="Arial" w:cs="Arial"/>
          <w:i/>
          <w:sz w:val="20"/>
          <w:szCs w:val="20"/>
          <w:lang w:eastAsia="sl-SI"/>
        </w:rPr>
        <w:t>izvlečni</w:t>
      </w:r>
      <w:proofErr w:type="spellEnd"/>
      <w:r w:rsidRPr="00D50F4C">
        <w:rPr>
          <w:rFonts w:ascii="Arial" w:hAnsi="Arial" w:cs="Arial"/>
          <w:i/>
          <w:sz w:val="20"/>
          <w:szCs w:val="20"/>
          <w:lang w:eastAsia="sl-SI"/>
        </w:rPr>
        <w:t xml:space="preserve"> tir in </w:t>
      </w:r>
      <w:proofErr w:type="spellStart"/>
      <w:r w:rsidRPr="00D50F4C">
        <w:rPr>
          <w:rFonts w:ascii="Arial" w:hAnsi="Arial" w:cs="Arial"/>
          <w:i/>
          <w:sz w:val="20"/>
          <w:szCs w:val="20"/>
          <w:lang w:eastAsia="sl-SI"/>
        </w:rPr>
        <w:t>pENP</w:t>
      </w:r>
      <w:proofErr w:type="spellEnd"/>
      <w:r w:rsidRPr="00D50F4C">
        <w:rPr>
          <w:rFonts w:ascii="Arial" w:hAnsi="Arial" w:cs="Arial"/>
          <w:i/>
          <w:sz w:val="20"/>
          <w:szCs w:val="20"/>
          <w:lang w:eastAsia="sl-SI"/>
        </w:rPr>
        <w:t xml:space="preserve"> Hrastovlje je sicer povečala zmogljivost proge za 4 vlake na dan, a je to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50F4C">
        <w:rPr>
          <w:rFonts w:ascii="Arial" w:hAnsi="Arial" w:cs="Arial"/>
          <w:i/>
          <w:sz w:val="20"/>
          <w:szCs w:val="20"/>
          <w:lang w:eastAsia="sl-SI"/>
        </w:rPr>
        <w:t>zgolj kratkotrajen učinek, ki se z visoko rastjo tovornega prometa izniči v 1-2 letih.</w:t>
      </w:r>
    </w:p>
    <w:p w:rsidR="00ED6900" w:rsidRDefault="00ED6900" w:rsidP="00D50F4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p w:rsidR="00ED6900" w:rsidRDefault="00ED6900" w:rsidP="00ED690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ED6900">
        <w:rPr>
          <w:rFonts w:ascii="Arial" w:hAnsi="Arial" w:cs="Arial"/>
          <w:i/>
          <w:sz w:val="20"/>
          <w:szCs w:val="20"/>
          <w:lang w:eastAsia="sl-SI"/>
        </w:rPr>
        <w:t>Na podlagi analize zmogljivosti in z upoštevanjem 29. člena navedene uredbe je upravljavec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ED6900">
        <w:rPr>
          <w:rFonts w:ascii="Arial" w:hAnsi="Arial" w:cs="Arial"/>
          <w:i/>
          <w:sz w:val="20"/>
          <w:szCs w:val="20"/>
          <w:lang w:eastAsia="sl-SI"/>
        </w:rPr>
        <w:t>izdelal Načrt razširitve zmogljivosti na preobremenjeni infrastrukturi odseka Divača – Koper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ED6900">
        <w:rPr>
          <w:rFonts w:ascii="Arial" w:hAnsi="Arial" w:cs="Arial"/>
          <w:i/>
          <w:sz w:val="20"/>
          <w:szCs w:val="20"/>
          <w:lang w:eastAsia="sl-SI"/>
        </w:rPr>
        <w:t>z predlogom določenih organizacijskih in infrastrukturnih ukrepov, kateri pa imajo poleg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ED6900">
        <w:rPr>
          <w:rFonts w:ascii="Arial" w:hAnsi="Arial" w:cs="Arial"/>
          <w:i/>
          <w:sz w:val="20"/>
          <w:szCs w:val="20"/>
          <w:lang w:eastAsia="sl-SI"/>
        </w:rPr>
        <w:t xml:space="preserve">pozitivnih, tudi določene negativne učinke (gl. </w:t>
      </w:r>
      <w:hyperlink r:id="rId14" w:history="1">
        <w:r w:rsidR="001B56F8" w:rsidRPr="00DB5D3F">
          <w:rPr>
            <w:rStyle w:val="Hiperpovezava"/>
            <w:rFonts w:ascii="Arial" w:hAnsi="Arial" w:cs="Arial"/>
            <w:i/>
            <w:sz w:val="20"/>
            <w:szCs w:val="20"/>
            <w:lang w:eastAsia="sl-SI"/>
          </w:rPr>
          <w:t>https://www.slozeleznice.si/sl/infrastruktura/dostop-do-infrastrukture/preobremenjena-infrastruktura</w:t>
        </w:r>
      </w:hyperlink>
      <w:r w:rsidRPr="00ED6900">
        <w:rPr>
          <w:rFonts w:ascii="Arial" w:hAnsi="Arial" w:cs="Arial"/>
          <w:i/>
          <w:sz w:val="20"/>
          <w:szCs w:val="20"/>
          <w:lang w:eastAsia="sl-SI"/>
        </w:rPr>
        <w:t>).</w:t>
      </w:r>
    </w:p>
    <w:p w:rsidR="001B56F8" w:rsidRDefault="001B56F8" w:rsidP="00ED690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p w:rsidR="00DC1816" w:rsidRPr="00DC1816" w:rsidRDefault="00DC1816" w:rsidP="00DC181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DC1816">
        <w:rPr>
          <w:rFonts w:ascii="Arial" w:hAnsi="Arial" w:cs="Arial"/>
          <w:i/>
          <w:sz w:val="20"/>
          <w:szCs w:val="20"/>
          <w:lang w:eastAsia="sl-SI"/>
        </w:rPr>
        <w:t>1. Organizacijski ukrepi:</w:t>
      </w:r>
    </w:p>
    <w:p w:rsidR="00DC1816" w:rsidRPr="00DC1816" w:rsidRDefault="00DC1816" w:rsidP="00DC181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DC1816">
        <w:rPr>
          <w:rFonts w:ascii="Arial" w:hAnsi="Arial" w:cs="Arial"/>
          <w:i/>
          <w:sz w:val="20"/>
          <w:szCs w:val="20"/>
          <w:lang w:eastAsia="sl-SI"/>
        </w:rPr>
        <w:t>− Zmanjšanje števila lokomotivskih vlakov z dodajanjem le-teh na sklep tovornih vlakov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C1816">
        <w:rPr>
          <w:rFonts w:ascii="Arial" w:hAnsi="Arial" w:cs="Arial"/>
          <w:i/>
          <w:sz w:val="20"/>
          <w:szCs w:val="20"/>
          <w:lang w:eastAsia="sl-SI"/>
        </w:rPr>
        <w:t xml:space="preserve">v smeri proti Kopru, pri čemer se kaže slabost v daljšem </w:t>
      </w:r>
      <w:proofErr w:type="spellStart"/>
      <w:r w:rsidRPr="00DC1816">
        <w:rPr>
          <w:rFonts w:ascii="Arial" w:hAnsi="Arial" w:cs="Arial"/>
          <w:i/>
          <w:sz w:val="20"/>
          <w:szCs w:val="20"/>
          <w:lang w:eastAsia="sl-SI"/>
        </w:rPr>
        <w:t>obrtu</w:t>
      </w:r>
      <w:proofErr w:type="spellEnd"/>
      <w:r w:rsidRPr="00DC1816">
        <w:rPr>
          <w:rFonts w:ascii="Arial" w:hAnsi="Arial" w:cs="Arial"/>
          <w:i/>
          <w:sz w:val="20"/>
          <w:szCs w:val="20"/>
          <w:lang w:eastAsia="sl-SI"/>
        </w:rPr>
        <w:t xml:space="preserve"> vlečnih vozil, kar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C1816">
        <w:rPr>
          <w:rFonts w:ascii="Arial" w:hAnsi="Arial" w:cs="Arial"/>
          <w:i/>
          <w:sz w:val="20"/>
          <w:szCs w:val="20"/>
          <w:lang w:eastAsia="sl-SI"/>
        </w:rPr>
        <w:t>pomeni, da je za enako število vlakov potrebno zagotoviti večje število lokomotiv.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C1816">
        <w:rPr>
          <w:rFonts w:ascii="Arial" w:hAnsi="Arial" w:cs="Arial"/>
          <w:i/>
          <w:sz w:val="20"/>
          <w:szCs w:val="20"/>
          <w:lang w:eastAsia="sl-SI"/>
        </w:rPr>
        <w:t>Sprememba organizacije prometa prinaša zgolj minimalno razbremenitev proge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C1816">
        <w:rPr>
          <w:rFonts w:ascii="Arial" w:hAnsi="Arial" w:cs="Arial"/>
          <w:i/>
          <w:sz w:val="20"/>
          <w:szCs w:val="20"/>
          <w:lang w:eastAsia="sl-SI"/>
        </w:rPr>
        <w:t>oziroma njene izkoriščenosti. Ukrep zmanjševanja števila lokomotivskih vlakov v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C1816">
        <w:rPr>
          <w:rFonts w:ascii="Arial" w:hAnsi="Arial" w:cs="Arial"/>
          <w:i/>
          <w:sz w:val="20"/>
          <w:szCs w:val="20"/>
          <w:lang w:eastAsia="sl-SI"/>
        </w:rPr>
        <w:t>praksi zato ni najbolj realen.</w:t>
      </w:r>
    </w:p>
    <w:p w:rsidR="001B56F8" w:rsidRDefault="00DC1816" w:rsidP="00DC181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DC1816">
        <w:rPr>
          <w:rFonts w:ascii="Arial" w:hAnsi="Arial" w:cs="Arial"/>
          <w:i/>
          <w:sz w:val="20"/>
          <w:szCs w:val="20"/>
          <w:lang w:eastAsia="sl-SI"/>
        </w:rPr>
        <w:t>− Vožnja tovornih vlakov v snopih, za kar je potrebno na odseku Divača – Koper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C1816">
        <w:rPr>
          <w:rFonts w:ascii="Arial" w:hAnsi="Arial" w:cs="Arial"/>
          <w:i/>
          <w:sz w:val="20"/>
          <w:szCs w:val="20"/>
          <w:lang w:eastAsia="sl-SI"/>
        </w:rPr>
        <w:t>zagotavljati večje število lokomotiv, saj sta za okoli 80 % tovornih vlakov v smeri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C1816">
        <w:rPr>
          <w:rFonts w:ascii="Arial" w:hAnsi="Arial" w:cs="Arial"/>
          <w:i/>
          <w:sz w:val="20"/>
          <w:szCs w:val="20"/>
          <w:lang w:eastAsia="sl-SI"/>
        </w:rPr>
        <w:t>Koper – Divača potrebni po dve lokomotivi. Vožnja tovornih vlakov v snopih je poleg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C1816">
        <w:rPr>
          <w:rFonts w:ascii="Arial" w:hAnsi="Arial" w:cs="Arial"/>
          <w:i/>
          <w:sz w:val="20"/>
          <w:szCs w:val="20"/>
          <w:lang w:eastAsia="sl-SI"/>
        </w:rPr>
        <w:t>infrastrukture odvisna tudi od zadostnega števila lokomotiv, le-te pa so v domeni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DC1816">
        <w:rPr>
          <w:rFonts w:ascii="Arial" w:hAnsi="Arial" w:cs="Arial"/>
          <w:i/>
          <w:sz w:val="20"/>
          <w:szCs w:val="20"/>
          <w:lang w:eastAsia="sl-SI"/>
        </w:rPr>
        <w:t>železniških prevoznikov.</w:t>
      </w:r>
    </w:p>
    <w:p w:rsidR="00F32643" w:rsidRDefault="00F32643" w:rsidP="00DC181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p w:rsidR="00EF1912" w:rsidRDefault="00EF1912" w:rsidP="00DC181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p w:rsidR="00EF1912" w:rsidRDefault="00EF1912" w:rsidP="00DC181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p w:rsidR="00EF1912" w:rsidRDefault="00EF1912" w:rsidP="00DC181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p w:rsidR="00D115B9" w:rsidRDefault="00D115B9" w:rsidP="00F3264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p w:rsidR="00F32643" w:rsidRPr="00F32643" w:rsidRDefault="00F32643" w:rsidP="00F3264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F32643">
        <w:rPr>
          <w:rFonts w:ascii="Arial" w:hAnsi="Arial" w:cs="Arial"/>
          <w:i/>
          <w:sz w:val="20"/>
          <w:szCs w:val="20"/>
          <w:lang w:eastAsia="sl-SI"/>
        </w:rPr>
        <w:t>2. Infrastrukturni ukrepi:</w:t>
      </w:r>
    </w:p>
    <w:p w:rsidR="00F32643" w:rsidRPr="00F32643" w:rsidRDefault="00F32643" w:rsidP="00F3264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F32643">
        <w:rPr>
          <w:rFonts w:ascii="Arial" w:hAnsi="Arial" w:cs="Arial"/>
          <w:i/>
          <w:sz w:val="20"/>
          <w:szCs w:val="20"/>
          <w:lang w:eastAsia="sl-SI"/>
        </w:rPr>
        <w:t>− Sanacija počasnih voženj, katere so posledica različnih dejavnikov (slabo stanje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proge, požarna ogroženost,….) in negativno vplivajo na odvijanje železniškega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prometa, saj se s tem znižuje hitrost vlakov, podaljšujejo vozni časi ter povečuje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poraba energije za vlekov vlakov. Počasne vožnje se, glede na razpoložljiva finančna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sredstva, odpravljajo v okviru rednega in investicijskega vzdrževanja (obnov). V letih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od 2016 do danes je bilo na odseku Divača – Koper na ta način obnovljenih 6,9 km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tirov, izvedeni so bili protipožarni ukrepi z gradnjo protipožarnih zidov (</w:t>
      </w:r>
      <w:proofErr w:type="spellStart"/>
      <w:r w:rsidRPr="00F32643">
        <w:rPr>
          <w:rFonts w:ascii="Arial" w:hAnsi="Arial" w:cs="Arial"/>
          <w:i/>
          <w:sz w:val="20"/>
          <w:szCs w:val="20"/>
          <w:lang w:eastAsia="sl-SI"/>
        </w:rPr>
        <w:t>gabionov</w:t>
      </w:r>
      <w:proofErr w:type="spellEnd"/>
      <w:r w:rsidRPr="00F32643">
        <w:rPr>
          <w:rFonts w:ascii="Arial" w:hAnsi="Arial" w:cs="Arial"/>
          <w:i/>
          <w:sz w:val="20"/>
          <w:szCs w:val="20"/>
          <w:lang w:eastAsia="sl-SI"/>
        </w:rPr>
        <w:t>) v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skupni dolžini 540 m in zaščita brežin z brizganim betonom v skupni dolžini 2.301 m, s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čemer je zagotovljena boljša varnost prometa v času razglašene požarne ogroženosti z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manj počasnimi vožnjami. V letih 2016 – 2018 je bilo izvedenih skupaj 103.080 m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strojnih regulacij tirov ter 31 strojnih regulacij kretnic. V letošnjem letu je bilo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trenutno izvedeno 26.650 m strojnih regulacij tirov ter 29 strojnih regulacij kretnic.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</w:p>
    <w:p w:rsidR="00F32643" w:rsidRDefault="00F32643" w:rsidP="00F3264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F32643">
        <w:rPr>
          <w:rFonts w:ascii="Arial" w:hAnsi="Arial" w:cs="Arial"/>
          <w:i/>
          <w:sz w:val="20"/>
          <w:szCs w:val="20"/>
          <w:lang w:eastAsia="sl-SI"/>
        </w:rPr>
        <w:t>− Investicijski ukrepi z nadgradnjo obstoječih postaj ali z gradnjo novih, kjer bi bilo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potrebno pripraviti projektno dokumentacijo, jih prostorsko umestiti (DPN), odkupiti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vsa potrebna zemljišča, ter ukrepe (pod prometom na obstoječi progi) na koncu tudi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izvesti, kar pa je predvsem s časovnega vidika – torej do izgradnje II. tira zelo težko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izvedljivo. Glede na dejstvo, da bo II. tir predvidoma predan v obratovanje v letu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2026, se poraja vprašanje o smiselnosti nadgradnje obstoječih postaj ali gradnje novih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postaj na obstoječem tiru Divača – Koper.</w:t>
      </w:r>
    </w:p>
    <w:p w:rsidR="00F32643" w:rsidRPr="00F32643" w:rsidRDefault="00F32643" w:rsidP="00F3264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p w:rsidR="00F32643" w:rsidRDefault="00F32643" w:rsidP="00F3264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F32643">
        <w:rPr>
          <w:rFonts w:ascii="Arial" w:hAnsi="Arial" w:cs="Arial"/>
          <w:i/>
          <w:sz w:val="20"/>
          <w:szCs w:val="20"/>
          <w:lang w:eastAsia="sl-SI"/>
        </w:rPr>
        <w:t>S povečanjem dolžine postajnih tirov na odseku Divača – Koper na 740 m (v skladu s TEN</w:t>
      </w:r>
      <w:r>
        <w:rPr>
          <w:rFonts w:ascii="Arial" w:hAnsi="Arial" w:cs="Arial"/>
          <w:i/>
          <w:sz w:val="20"/>
          <w:szCs w:val="20"/>
          <w:lang w:eastAsia="sl-SI"/>
        </w:rPr>
        <w:t>-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T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uredbo) bi to sicer pomenilo več prepeljanega tovora – povečala bi se prevozna zmogljivost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proge v tonah, prepustna zmogljivost v številu vlakov pa bi ostala nespremenjena. Poudariti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je potrebno tudi, da podaljšanje tirov samo na posta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jah na tem odseku ne bi prineslo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bistvenih pozitivnih učinkov, temveč bi bilo potrebno podaljšati postajne tire tudi na ostalih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postajah enotirnih prog na relaciji Koper – Hodoš in Koper Šentilj. Na odseku Divača –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Koper danes največje mase vlakov dosegajo 1.700 ton (ruda), za kar sta potrebni dve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lokomotivi. Podaljševanje obstoječih tirov in gradnja dodatnih tirov na postajah med Divačo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in Koprom bi bila pod posebnimi pogoji mogoča na postajah Rodik in Rižana. Podaljševanje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tirov na postajah Hrastovlje in Črnotiče je zaradi njune neugodne lege skoraj neizvedljivo,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ker se postaji nahajate na o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dseku proge z največjimi nagibi,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ki dosegajo med 22 in 25</w:t>
      </w:r>
      <w:r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promilov, kar pomeni, da se proga na vsakih 1000 metrov vzpne za 25 metrov. Vsak gradbeni</w:t>
      </w:r>
      <w:r w:rsidR="00C544B5"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poseg v železniško infrastrukturo pa na enotirni progi pomeni zaporo proge in s tem</w:t>
      </w:r>
      <w:r w:rsidR="00C544B5"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zmanjšanje njene razpoložljivosti ter prepustne in prevozne zmogljivosti, kar pa je v dani</w:t>
      </w:r>
      <w:r w:rsidR="00C544B5"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situaciji nesprejemljivo.</w:t>
      </w:r>
    </w:p>
    <w:p w:rsidR="00C544B5" w:rsidRPr="00F32643" w:rsidRDefault="00C544B5" w:rsidP="00F3264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p w:rsidR="00F32643" w:rsidRDefault="00F32643" w:rsidP="00F3264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F32643">
        <w:rPr>
          <w:rFonts w:ascii="Arial" w:hAnsi="Arial" w:cs="Arial"/>
          <w:i/>
          <w:sz w:val="20"/>
          <w:szCs w:val="20"/>
          <w:lang w:eastAsia="sl-SI"/>
        </w:rPr>
        <w:t>Samo obratovanje tovornih vlakov dolžine 740 m je pogojeno z več dejavniki, med drugim sta</w:t>
      </w:r>
      <w:r w:rsidR="00C544B5"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ključna dolžina postajnih tirov in pa upori proge, ki jih mora premagati tovorni vlak z eno ali</w:t>
      </w:r>
      <w:r w:rsidR="00C544B5"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dvema lokomotivama. Dolžina tovornih vlakov je odvisna tudi od njihove mase, vsakega</w:t>
      </w:r>
      <w:r w:rsidR="00C544B5"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tovornega vlaka se pač ne da podaljšati. Vlaki z rudami in ostalim tovorom, ki ima visoko</w:t>
      </w:r>
      <w:r w:rsidR="00C544B5"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specifično težo (premog, fosfati,….) so običajno kratki in težki. Podaljšujejo pa se lahko lažji</w:t>
      </w:r>
      <w:r w:rsidR="00C544B5"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vlaki, kot so prazni vlaki (samo vagoni brez tovora), nekateri kontejnerski vlaki in pa</w:t>
      </w:r>
      <w:r w:rsidR="00C544B5">
        <w:rPr>
          <w:rFonts w:ascii="Arial" w:hAnsi="Arial" w:cs="Arial"/>
          <w:i/>
          <w:sz w:val="20"/>
          <w:szCs w:val="20"/>
          <w:lang w:eastAsia="sl-SI"/>
        </w:rPr>
        <w:t xml:space="preserve"> </w:t>
      </w:r>
      <w:r w:rsidRPr="00F32643">
        <w:rPr>
          <w:rFonts w:ascii="Arial" w:hAnsi="Arial" w:cs="Arial"/>
          <w:i/>
          <w:sz w:val="20"/>
          <w:szCs w:val="20"/>
          <w:lang w:eastAsia="sl-SI"/>
        </w:rPr>
        <w:t>avtovlaki.</w:t>
      </w:r>
      <w:r w:rsidR="0053631E">
        <w:rPr>
          <w:rFonts w:ascii="Arial" w:hAnsi="Arial" w:cs="Arial"/>
          <w:i/>
          <w:sz w:val="20"/>
          <w:szCs w:val="20"/>
          <w:lang w:eastAsia="sl-SI"/>
        </w:rPr>
        <w:t>»</w:t>
      </w:r>
      <w:r w:rsidR="00C526DC">
        <w:rPr>
          <w:rFonts w:ascii="Arial" w:hAnsi="Arial" w:cs="Arial"/>
          <w:i/>
          <w:sz w:val="20"/>
          <w:szCs w:val="20"/>
          <w:lang w:eastAsia="sl-SI"/>
        </w:rPr>
        <w:t>.</w:t>
      </w:r>
    </w:p>
    <w:p w:rsidR="003E335D" w:rsidRDefault="003E335D" w:rsidP="00F3264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p w:rsidR="003E335D" w:rsidRDefault="000B7D36" w:rsidP="00F3264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Posebej je potrebno navesti, da t</w:t>
      </w:r>
      <w:r w:rsidRPr="000B7D36">
        <w:rPr>
          <w:rFonts w:ascii="Arial" w:hAnsi="Arial" w:cs="Arial"/>
          <w:sz w:val="20"/>
          <w:szCs w:val="20"/>
          <w:lang w:eastAsia="sl-SI"/>
        </w:rPr>
        <w:t>ranzitnega prometa</w:t>
      </w:r>
      <w:r>
        <w:rPr>
          <w:rFonts w:ascii="Arial" w:hAnsi="Arial" w:cs="Arial"/>
          <w:sz w:val="20"/>
          <w:szCs w:val="20"/>
          <w:lang w:eastAsia="sl-SI"/>
        </w:rPr>
        <w:t xml:space="preserve"> cestnih</w:t>
      </w:r>
      <w:r w:rsidRPr="000B7D36">
        <w:rPr>
          <w:rFonts w:ascii="Arial" w:hAnsi="Arial" w:cs="Arial"/>
          <w:sz w:val="20"/>
          <w:szCs w:val="20"/>
          <w:lang w:eastAsia="sl-SI"/>
        </w:rPr>
        <w:t xml:space="preserve"> tovornih vozil ni možno omejevati na podlagi zakonodaje EU s področja prevozov v cestnem prometu. Iz teh predpisov izhaja, da lahko prevozniki s sedežem v EU opravljajo cestne prevoze znotraj EU z licenco Skupnosti. Republika Slovenija pa lahko na podlagi sklenjenih bilateralnih sporazumov z drugimi državami (</w:t>
      </w:r>
      <w:r>
        <w:rPr>
          <w:rFonts w:ascii="Arial" w:hAnsi="Arial" w:cs="Arial"/>
          <w:sz w:val="20"/>
          <w:szCs w:val="20"/>
          <w:lang w:eastAsia="sl-SI"/>
        </w:rPr>
        <w:t xml:space="preserve">po </w:t>
      </w:r>
      <w:r w:rsidRPr="000B7D36">
        <w:rPr>
          <w:rFonts w:ascii="Arial" w:hAnsi="Arial" w:cs="Arial"/>
          <w:sz w:val="20"/>
          <w:szCs w:val="20"/>
          <w:lang w:eastAsia="sl-SI"/>
        </w:rPr>
        <w:t>sistem</w:t>
      </w:r>
      <w:r>
        <w:rPr>
          <w:rFonts w:ascii="Arial" w:hAnsi="Arial" w:cs="Arial"/>
          <w:sz w:val="20"/>
          <w:szCs w:val="20"/>
          <w:lang w:eastAsia="sl-SI"/>
        </w:rPr>
        <w:t>u</w:t>
      </w:r>
      <w:r w:rsidRPr="000B7D36">
        <w:rPr>
          <w:rFonts w:ascii="Arial" w:hAnsi="Arial" w:cs="Arial"/>
          <w:sz w:val="20"/>
          <w:szCs w:val="20"/>
          <w:lang w:eastAsia="sl-SI"/>
        </w:rPr>
        <w:t xml:space="preserve"> dovolilnic) omejuje promet, ki ga izvajajo prevozniki, ki sedeža svojega podjetja nimajo v eni od držav članic EU. Za prevoznike teh držav promet ni neposredno liberaliziran, temveč so z nekaterimi državami dogovorjene omejene kvote dovolilnic. Na ta način se lahko deloma omejuje tranzitni promet tovornih </w:t>
      </w:r>
      <w:r>
        <w:rPr>
          <w:rFonts w:ascii="Arial" w:hAnsi="Arial" w:cs="Arial"/>
          <w:sz w:val="20"/>
          <w:szCs w:val="20"/>
          <w:lang w:eastAsia="sl-SI"/>
        </w:rPr>
        <w:t xml:space="preserve">cestnih </w:t>
      </w:r>
      <w:r w:rsidRPr="000B7D36">
        <w:rPr>
          <w:rFonts w:ascii="Arial" w:hAnsi="Arial" w:cs="Arial"/>
          <w:sz w:val="20"/>
          <w:szCs w:val="20"/>
          <w:lang w:eastAsia="sl-SI"/>
        </w:rPr>
        <w:t>vozil preko Republike Slovenije.</w:t>
      </w:r>
    </w:p>
    <w:p w:rsidR="00350560" w:rsidRDefault="00350560" w:rsidP="00F3264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l-SI"/>
        </w:rPr>
      </w:pPr>
    </w:p>
    <w:p w:rsidR="00350560" w:rsidRPr="003E335D" w:rsidRDefault="00350560" w:rsidP="00F3264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V zvezi s cestninami je potrebno opozoriti, da le te v osnovnem pogledu predstavljajo</w:t>
      </w:r>
      <w:r w:rsidRPr="00350560">
        <w:rPr>
          <w:rFonts w:ascii="Arial" w:hAnsi="Arial" w:cs="Arial"/>
          <w:sz w:val="20"/>
          <w:szCs w:val="20"/>
          <w:lang w:eastAsia="sl-SI"/>
        </w:rPr>
        <w:t xml:space="preserve"> odme</w:t>
      </w:r>
      <w:r>
        <w:rPr>
          <w:rFonts w:ascii="Arial" w:hAnsi="Arial" w:cs="Arial"/>
          <w:sz w:val="20"/>
          <w:szCs w:val="20"/>
          <w:lang w:eastAsia="sl-SI"/>
        </w:rPr>
        <w:t>ro</w:t>
      </w:r>
      <w:r w:rsidRPr="00350560">
        <w:rPr>
          <w:rFonts w:ascii="Arial" w:hAnsi="Arial" w:cs="Arial"/>
          <w:sz w:val="20"/>
          <w:szCs w:val="20"/>
          <w:lang w:eastAsia="sl-SI"/>
        </w:rPr>
        <w:t xml:space="preserve"> za povračilo škode, ki jo vozilo povzroči cestni infrastrukturi. Cestnina mora biti določena </w:t>
      </w:r>
      <w:proofErr w:type="spellStart"/>
      <w:r w:rsidRPr="00350560">
        <w:rPr>
          <w:rFonts w:ascii="Arial" w:hAnsi="Arial" w:cs="Arial"/>
          <w:sz w:val="20"/>
          <w:szCs w:val="20"/>
          <w:lang w:eastAsia="sl-SI"/>
        </w:rPr>
        <w:t>nediskriminatorno</w:t>
      </w:r>
      <w:proofErr w:type="spellEnd"/>
      <w:r w:rsidRPr="00350560">
        <w:rPr>
          <w:rFonts w:ascii="Arial" w:hAnsi="Arial" w:cs="Arial"/>
          <w:sz w:val="20"/>
          <w:szCs w:val="20"/>
          <w:lang w:eastAsia="sl-SI"/>
        </w:rPr>
        <w:t xml:space="preserve">, kar pomeni, da vozilom v tranzitu, ki so običajno registrirana v tujini, ni dovoljeno zaračunavati višjih cestnin kot npr. domačim uporabnikom. </w:t>
      </w:r>
      <w:r>
        <w:rPr>
          <w:rFonts w:ascii="Arial" w:hAnsi="Arial" w:cs="Arial"/>
          <w:sz w:val="20"/>
          <w:szCs w:val="20"/>
          <w:lang w:eastAsia="sl-SI"/>
        </w:rPr>
        <w:t>D</w:t>
      </w:r>
      <w:r w:rsidRPr="00350560">
        <w:rPr>
          <w:rFonts w:ascii="Arial" w:hAnsi="Arial" w:cs="Arial"/>
          <w:sz w:val="20"/>
          <w:szCs w:val="20"/>
          <w:lang w:eastAsia="sl-SI"/>
        </w:rPr>
        <w:t xml:space="preserve">oločanje višine cestnine </w:t>
      </w:r>
      <w:r>
        <w:rPr>
          <w:rFonts w:ascii="Arial" w:hAnsi="Arial" w:cs="Arial"/>
          <w:sz w:val="20"/>
          <w:szCs w:val="20"/>
          <w:lang w:eastAsia="sl-SI"/>
        </w:rPr>
        <w:t xml:space="preserve">na cestninskih cestah je </w:t>
      </w:r>
      <w:r w:rsidRPr="00350560">
        <w:rPr>
          <w:rFonts w:ascii="Arial" w:hAnsi="Arial" w:cs="Arial"/>
          <w:sz w:val="20"/>
          <w:szCs w:val="20"/>
          <w:lang w:eastAsia="sl-SI"/>
        </w:rPr>
        <w:t xml:space="preserve">v skladu z evropsko pravno </w:t>
      </w:r>
      <w:proofErr w:type="spellStart"/>
      <w:r w:rsidRPr="00350560">
        <w:rPr>
          <w:rFonts w:ascii="Arial" w:hAnsi="Arial" w:cs="Arial"/>
          <w:sz w:val="20"/>
          <w:szCs w:val="20"/>
          <w:lang w:eastAsia="sl-SI"/>
        </w:rPr>
        <w:t>regulativo</w:t>
      </w:r>
      <w:proofErr w:type="spellEnd"/>
      <w:r w:rsidRPr="00350560">
        <w:rPr>
          <w:rFonts w:ascii="Arial" w:hAnsi="Arial" w:cs="Arial"/>
          <w:sz w:val="20"/>
          <w:szCs w:val="20"/>
          <w:lang w:eastAsia="sl-SI"/>
        </w:rPr>
        <w:t xml:space="preserve"> omejeno s stroški, ki jih ima upravljavec cestninskih cest z omrežjem cestninskih cest. To pomeni, da višine cestnine ni mogoče neomejeno zviševati, ker nas pri tem zavezuje upoštevanje stroškov cestninskih cest in njihova porazdelitev med posameznimi cestninskimi razredi, v katere se uvršča</w:t>
      </w:r>
      <w:r w:rsidR="00826381">
        <w:rPr>
          <w:rFonts w:ascii="Arial" w:hAnsi="Arial" w:cs="Arial"/>
          <w:sz w:val="20"/>
          <w:szCs w:val="20"/>
          <w:lang w:eastAsia="sl-SI"/>
        </w:rPr>
        <w:t>jo posamezne kategorije vozil tako, da so pričakovanja v z</w:t>
      </w:r>
      <w:r w:rsidR="00813653">
        <w:rPr>
          <w:rFonts w:ascii="Arial" w:hAnsi="Arial" w:cs="Arial"/>
          <w:sz w:val="20"/>
          <w:szCs w:val="20"/>
          <w:lang w:eastAsia="sl-SI"/>
        </w:rPr>
        <w:t>v</w:t>
      </w:r>
      <w:r w:rsidR="00826381">
        <w:rPr>
          <w:rFonts w:ascii="Arial" w:hAnsi="Arial" w:cs="Arial"/>
          <w:sz w:val="20"/>
          <w:szCs w:val="20"/>
          <w:lang w:eastAsia="sl-SI"/>
        </w:rPr>
        <w:t xml:space="preserve">ezi z možnostjo preusmeritve cestnega tovornega prometa </w:t>
      </w:r>
      <w:proofErr w:type="spellStart"/>
      <w:r w:rsidR="00826381">
        <w:rPr>
          <w:rFonts w:ascii="Arial" w:hAnsi="Arial" w:cs="Arial"/>
          <w:sz w:val="20"/>
          <w:szCs w:val="20"/>
          <w:lang w:eastAsia="sl-SI"/>
        </w:rPr>
        <w:t>preoptimistična</w:t>
      </w:r>
      <w:proofErr w:type="spellEnd"/>
      <w:r w:rsidR="00826381">
        <w:rPr>
          <w:rFonts w:ascii="Arial" w:hAnsi="Arial" w:cs="Arial"/>
          <w:sz w:val="20"/>
          <w:szCs w:val="20"/>
          <w:lang w:eastAsia="sl-SI"/>
        </w:rPr>
        <w:t>.</w:t>
      </w:r>
    </w:p>
    <w:p w:rsidR="00401523" w:rsidRPr="00D50F4C" w:rsidRDefault="00401523" w:rsidP="00F3264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sectPr w:rsidR="00401523" w:rsidRPr="00D50F4C" w:rsidSect="00EF683E">
      <w:headerReference w:type="default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 w:code="9"/>
      <w:pgMar w:top="1134" w:right="1134" w:bottom="993" w:left="1134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6FB" w:rsidRDefault="006D06FB">
      <w:r>
        <w:separator/>
      </w:r>
    </w:p>
  </w:endnote>
  <w:endnote w:type="continuationSeparator" w:id="0">
    <w:p w:rsidR="006D06FB" w:rsidRDefault="006D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DC3" w:rsidRPr="008A57C5" w:rsidRDefault="00924DC3">
    <w:pPr>
      <w:pStyle w:val="Noga"/>
      <w:jc w:val="center"/>
      <w:rPr>
        <w:rFonts w:ascii="Arial" w:hAnsi="Arial" w:cs="Arial"/>
        <w:sz w:val="20"/>
        <w:szCs w:val="20"/>
      </w:rPr>
    </w:pPr>
    <w:r w:rsidRPr="008A57C5">
      <w:rPr>
        <w:rFonts w:ascii="Arial" w:hAnsi="Arial" w:cs="Arial"/>
        <w:sz w:val="20"/>
        <w:szCs w:val="20"/>
      </w:rPr>
      <w:t xml:space="preserve">Stran </w:t>
    </w:r>
    <w:r w:rsidR="005033D9" w:rsidRPr="008A57C5">
      <w:rPr>
        <w:rFonts w:ascii="Arial" w:hAnsi="Arial" w:cs="Arial"/>
        <w:bCs/>
        <w:sz w:val="20"/>
        <w:szCs w:val="20"/>
      </w:rPr>
      <w:fldChar w:fldCharType="begin"/>
    </w:r>
    <w:r w:rsidRPr="008A57C5">
      <w:rPr>
        <w:rFonts w:ascii="Arial" w:hAnsi="Arial" w:cs="Arial"/>
        <w:bCs/>
        <w:sz w:val="20"/>
        <w:szCs w:val="20"/>
      </w:rPr>
      <w:instrText>PAGE</w:instrText>
    </w:r>
    <w:r w:rsidR="005033D9" w:rsidRPr="008A57C5">
      <w:rPr>
        <w:rFonts w:ascii="Arial" w:hAnsi="Arial" w:cs="Arial"/>
        <w:bCs/>
        <w:sz w:val="20"/>
        <w:szCs w:val="20"/>
      </w:rPr>
      <w:fldChar w:fldCharType="separate"/>
    </w:r>
    <w:r w:rsidR="00056282">
      <w:rPr>
        <w:rFonts w:ascii="Arial" w:hAnsi="Arial" w:cs="Arial"/>
        <w:bCs/>
        <w:noProof/>
        <w:sz w:val="20"/>
        <w:szCs w:val="20"/>
      </w:rPr>
      <w:t>2</w:t>
    </w:r>
    <w:r w:rsidR="005033D9" w:rsidRPr="008A57C5">
      <w:rPr>
        <w:rFonts w:ascii="Arial" w:hAnsi="Arial" w:cs="Arial"/>
        <w:bCs/>
        <w:sz w:val="20"/>
        <w:szCs w:val="20"/>
      </w:rPr>
      <w:fldChar w:fldCharType="end"/>
    </w:r>
    <w:r w:rsidRPr="008A57C5">
      <w:rPr>
        <w:rFonts w:ascii="Arial" w:hAnsi="Arial" w:cs="Arial"/>
        <w:sz w:val="20"/>
        <w:szCs w:val="20"/>
      </w:rPr>
      <w:t xml:space="preserve"> od </w:t>
    </w:r>
    <w:r w:rsidR="005033D9" w:rsidRPr="008A57C5">
      <w:rPr>
        <w:rFonts w:ascii="Arial" w:hAnsi="Arial" w:cs="Arial"/>
        <w:bCs/>
        <w:sz w:val="20"/>
        <w:szCs w:val="20"/>
      </w:rPr>
      <w:fldChar w:fldCharType="begin"/>
    </w:r>
    <w:r w:rsidRPr="008A57C5">
      <w:rPr>
        <w:rFonts w:ascii="Arial" w:hAnsi="Arial" w:cs="Arial"/>
        <w:bCs/>
        <w:sz w:val="20"/>
        <w:szCs w:val="20"/>
      </w:rPr>
      <w:instrText>NUMPAGES</w:instrText>
    </w:r>
    <w:r w:rsidR="005033D9" w:rsidRPr="008A57C5">
      <w:rPr>
        <w:rFonts w:ascii="Arial" w:hAnsi="Arial" w:cs="Arial"/>
        <w:bCs/>
        <w:sz w:val="20"/>
        <w:szCs w:val="20"/>
      </w:rPr>
      <w:fldChar w:fldCharType="separate"/>
    </w:r>
    <w:r w:rsidR="00056282">
      <w:rPr>
        <w:rFonts w:ascii="Arial" w:hAnsi="Arial" w:cs="Arial"/>
        <w:bCs/>
        <w:noProof/>
        <w:sz w:val="20"/>
        <w:szCs w:val="20"/>
      </w:rPr>
      <w:t>4</w:t>
    </w:r>
    <w:r w:rsidR="005033D9" w:rsidRPr="008A57C5">
      <w:rPr>
        <w:rFonts w:ascii="Arial" w:hAnsi="Arial" w:cs="Arial"/>
        <w:bCs/>
        <w:sz w:val="20"/>
        <w:szCs w:val="20"/>
      </w:rPr>
      <w:fldChar w:fldCharType="end"/>
    </w:r>
  </w:p>
  <w:p w:rsidR="00924DC3" w:rsidRDefault="00924DC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DC3" w:rsidRDefault="00924DC3" w:rsidP="004E0EBF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6FB" w:rsidRDefault="006D06FB">
      <w:r>
        <w:separator/>
      </w:r>
    </w:p>
  </w:footnote>
  <w:footnote w:type="continuationSeparator" w:id="0">
    <w:p w:rsidR="006D06FB" w:rsidRDefault="006D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DC3" w:rsidRPr="001B1D79" w:rsidRDefault="00924DC3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DC3" w:rsidRPr="00125A68" w:rsidRDefault="00F05E3B" w:rsidP="004E0EB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9D46349" wp14:editId="53F1BF69">
              <wp:simplePos x="0" y="0"/>
              <wp:positionH relativeFrom="column">
                <wp:posOffset>1493520</wp:posOffset>
              </wp:positionH>
              <wp:positionV relativeFrom="paragraph">
                <wp:posOffset>54610</wp:posOffset>
              </wp:positionV>
              <wp:extent cx="4702175" cy="3943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DC3" w:rsidRPr="00106C6A" w:rsidRDefault="00924DC3" w:rsidP="004E0EBF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  <w:p w:rsidR="00924DC3" w:rsidRPr="00106C6A" w:rsidRDefault="00924DC3" w:rsidP="004E0EBF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6pt;margin-top:4.3pt;width:370.25pt;height:31.0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MSqwIAAKk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" filled="f" stroked="f">
              <v:textbox inset="0,0,0,0">
                <w:txbxContent>
                  <w:p w:rsidR="00924DC3" w:rsidRPr="00106C6A" w:rsidRDefault="00924DC3" w:rsidP="004E0EBF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  <w:p w:rsidR="00924DC3" w:rsidRPr="00106C6A" w:rsidRDefault="00924DC3" w:rsidP="004E0EBF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4FC"/>
    <w:multiLevelType w:val="multilevel"/>
    <w:tmpl w:val="BB06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8141DF0"/>
    <w:multiLevelType w:val="hybridMultilevel"/>
    <w:tmpl w:val="5590FA16"/>
    <w:lvl w:ilvl="0" w:tplc="6F520862">
      <w:numFmt w:val="bullet"/>
      <w:lvlText w:val="−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1715C8"/>
    <w:multiLevelType w:val="hybridMultilevel"/>
    <w:tmpl w:val="7A3814A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37F6F"/>
    <w:multiLevelType w:val="multilevel"/>
    <w:tmpl w:val="4ECE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numFmt w:val="bullet"/>
      <w:lvlText w:val="−"/>
      <w:lvlJc w:val="center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4A4288"/>
    <w:multiLevelType w:val="hybridMultilevel"/>
    <w:tmpl w:val="2C88CF9E"/>
    <w:lvl w:ilvl="0" w:tplc="6F520862">
      <w:numFmt w:val="bullet"/>
      <w:lvlText w:val="−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92B51"/>
    <w:multiLevelType w:val="hybridMultilevel"/>
    <w:tmpl w:val="F6D4D5C8"/>
    <w:lvl w:ilvl="0" w:tplc="6F520862">
      <w:numFmt w:val="bullet"/>
      <w:lvlText w:val="−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520862">
      <w:numFmt w:val="bullet"/>
      <w:lvlText w:val="−"/>
      <w:lvlJc w:val="center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</w:num>
  <w:num w:numId="3">
    <w:abstractNumId w:val="10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9E"/>
    <w:rsid w:val="000009F0"/>
    <w:rsid w:val="000025D6"/>
    <w:rsid w:val="00005BAD"/>
    <w:rsid w:val="000124AE"/>
    <w:rsid w:val="000210D9"/>
    <w:rsid w:val="0004591F"/>
    <w:rsid w:val="00045A1B"/>
    <w:rsid w:val="000511F0"/>
    <w:rsid w:val="00052502"/>
    <w:rsid w:val="00056282"/>
    <w:rsid w:val="00062652"/>
    <w:rsid w:val="000664A6"/>
    <w:rsid w:val="000669DC"/>
    <w:rsid w:val="00073F55"/>
    <w:rsid w:val="00083DD6"/>
    <w:rsid w:val="00084E28"/>
    <w:rsid w:val="00085912"/>
    <w:rsid w:val="00093625"/>
    <w:rsid w:val="00094B99"/>
    <w:rsid w:val="000A01D2"/>
    <w:rsid w:val="000B5B31"/>
    <w:rsid w:val="000B7D36"/>
    <w:rsid w:val="000C10EF"/>
    <w:rsid w:val="000D318B"/>
    <w:rsid w:val="000D7F9E"/>
    <w:rsid w:val="000E138A"/>
    <w:rsid w:val="000E3CA5"/>
    <w:rsid w:val="000E5DD0"/>
    <w:rsid w:val="00100532"/>
    <w:rsid w:val="00106F61"/>
    <w:rsid w:val="00111056"/>
    <w:rsid w:val="00130492"/>
    <w:rsid w:val="001325E3"/>
    <w:rsid w:val="0013633E"/>
    <w:rsid w:val="001365C0"/>
    <w:rsid w:val="0014446B"/>
    <w:rsid w:val="00152792"/>
    <w:rsid w:val="00155F2A"/>
    <w:rsid w:val="00157431"/>
    <w:rsid w:val="00160B85"/>
    <w:rsid w:val="0016731F"/>
    <w:rsid w:val="00172684"/>
    <w:rsid w:val="00173EA9"/>
    <w:rsid w:val="00187CBF"/>
    <w:rsid w:val="001A18F9"/>
    <w:rsid w:val="001A7795"/>
    <w:rsid w:val="001A799D"/>
    <w:rsid w:val="001B2882"/>
    <w:rsid w:val="001B4FE4"/>
    <w:rsid w:val="001B56F8"/>
    <w:rsid w:val="001B6A98"/>
    <w:rsid w:val="001C0982"/>
    <w:rsid w:val="001C35FB"/>
    <w:rsid w:val="001C3B39"/>
    <w:rsid w:val="001C3D95"/>
    <w:rsid w:val="001C661D"/>
    <w:rsid w:val="001D0A74"/>
    <w:rsid w:val="001D0F6B"/>
    <w:rsid w:val="001D2AE7"/>
    <w:rsid w:val="001D68BA"/>
    <w:rsid w:val="001E1C29"/>
    <w:rsid w:val="001F13B0"/>
    <w:rsid w:val="001F2F45"/>
    <w:rsid w:val="001F3974"/>
    <w:rsid w:val="001F4CA7"/>
    <w:rsid w:val="001F4FBB"/>
    <w:rsid w:val="001F54A6"/>
    <w:rsid w:val="001F7F86"/>
    <w:rsid w:val="00204922"/>
    <w:rsid w:val="00210801"/>
    <w:rsid w:val="002129E8"/>
    <w:rsid w:val="0021307B"/>
    <w:rsid w:val="00213A82"/>
    <w:rsid w:val="00213B2B"/>
    <w:rsid w:val="002273F3"/>
    <w:rsid w:val="00236229"/>
    <w:rsid w:val="002522CC"/>
    <w:rsid w:val="002559EA"/>
    <w:rsid w:val="00255CC0"/>
    <w:rsid w:val="00261938"/>
    <w:rsid w:val="002627C2"/>
    <w:rsid w:val="00262E98"/>
    <w:rsid w:val="00264C72"/>
    <w:rsid w:val="0029079E"/>
    <w:rsid w:val="002908F8"/>
    <w:rsid w:val="00293FA0"/>
    <w:rsid w:val="00295896"/>
    <w:rsid w:val="002969B4"/>
    <w:rsid w:val="002A2F69"/>
    <w:rsid w:val="002B1FCB"/>
    <w:rsid w:val="002B46CC"/>
    <w:rsid w:val="002B63DC"/>
    <w:rsid w:val="002B6A13"/>
    <w:rsid w:val="002B7264"/>
    <w:rsid w:val="002D21D6"/>
    <w:rsid w:val="002E4B67"/>
    <w:rsid w:val="002F1537"/>
    <w:rsid w:val="002F7C1F"/>
    <w:rsid w:val="00304DB3"/>
    <w:rsid w:val="0031490A"/>
    <w:rsid w:val="00321A0B"/>
    <w:rsid w:val="003249AF"/>
    <w:rsid w:val="00324F1E"/>
    <w:rsid w:val="0033353D"/>
    <w:rsid w:val="003408EB"/>
    <w:rsid w:val="003424D5"/>
    <w:rsid w:val="00350560"/>
    <w:rsid w:val="00351E9E"/>
    <w:rsid w:val="00361FF1"/>
    <w:rsid w:val="00372CF5"/>
    <w:rsid w:val="003738CE"/>
    <w:rsid w:val="00374EF1"/>
    <w:rsid w:val="00374F11"/>
    <w:rsid w:val="003805D1"/>
    <w:rsid w:val="00384DBC"/>
    <w:rsid w:val="00387A94"/>
    <w:rsid w:val="00392153"/>
    <w:rsid w:val="003962F9"/>
    <w:rsid w:val="003B06ED"/>
    <w:rsid w:val="003B0A70"/>
    <w:rsid w:val="003D0258"/>
    <w:rsid w:val="003D39C9"/>
    <w:rsid w:val="003D46EF"/>
    <w:rsid w:val="003D7079"/>
    <w:rsid w:val="003E335D"/>
    <w:rsid w:val="003E48FD"/>
    <w:rsid w:val="003E554F"/>
    <w:rsid w:val="003E7FE0"/>
    <w:rsid w:val="003F6EDE"/>
    <w:rsid w:val="003F712A"/>
    <w:rsid w:val="00401523"/>
    <w:rsid w:val="00405802"/>
    <w:rsid w:val="00407B0F"/>
    <w:rsid w:val="0041075C"/>
    <w:rsid w:val="0041104D"/>
    <w:rsid w:val="00421B34"/>
    <w:rsid w:val="004320FD"/>
    <w:rsid w:val="00435610"/>
    <w:rsid w:val="004358B0"/>
    <w:rsid w:val="0044423F"/>
    <w:rsid w:val="004520F5"/>
    <w:rsid w:val="00456E3C"/>
    <w:rsid w:val="004634FC"/>
    <w:rsid w:val="004751DC"/>
    <w:rsid w:val="0048687A"/>
    <w:rsid w:val="0049466E"/>
    <w:rsid w:val="00495A58"/>
    <w:rsid w:val="004977FA"/>
    <w:rsid w:val="004B0F99"/>
    <w:rsid w:val="004B1782"/>
    <w:rsid w:val="004B3002"/>
    <w:rsid w:val="004B5AA8"/>
    <w:rsid w:val="004B74BF"/>
    <w:rsid w:val="004C0C6E"/>
    <w:rsid w:val="004C6141"/>
    <w:rsid w:val="004C6C5E"/>
    <w:rsid w:val="004D49C0"/>
    <w:rsid w:val="004D6E02"/>
    <w:rsid w:val="004E0EBF"/>
    <w:rsid w:val="004E1E21"/>
    <w:rsid w:val="004E49C6"/>
    <w:rsid w:val="004F5A0B"/>
    <w:rsid w:val="005033D9"/>
    <w:rsid w:val="00512719"/>
    <w:rsid w:val="00514E9D"/>
    <w:rsid w:val="005166D6"/>
    <w:rsid w:val="00522CC0"/>
    <w:rsid w:val="005262D6"/>
    <w:rsid w:val="00526454"/>
    <w:rsid w:val="0053224E"/>
    <w:rsid w:val="0053533D"/>
    <w:rsid w:val="0053631E"/>
    <w:rsid w:val="00537926"/>
    <w:rsid w:val="00540562"/>
    <w:rsid w:val="00542BBC"/>
    <w:rsid w:val="00545909"/>
    <w:rsid w:val="00547640"/>
    <w:rsid w:val="005536BB"/>
    <w:rsid w:val="00555567"/>
    <w:rsid w:val="0055560F"/>
    <w:rsid w:val="00555D1A"/>
    <w:rsid w:val="005567B0"/>
    <w:rsid w:val="00563183"/>
    <w:rsid w:val="0056745F"/>
    <w:rsid w:val="0057064F"/>
    <w:rsid w:val="00573F1E"/>
    <w:rsid w:val="00575BF5"/>
    <w:rsid w:val="005803E0"/>
    <w:rsid w:val="00582CA5"/>
    <w:rsid w:val="0058728C"/>
    <w:rsid w:val="005920CD"/>
    <w:rsid w:val="00592EDE"/>
    <w:rsid w:val="005A080E"/>
    <w:rsid w:val="005A3FE7"/>
    <w:rsid w:val="005A6AB2"/>
    <w:rsid w:val="005B496B"/>
    <w:rsid w:val="005B7499"/>
    <w:rsid w:val="005C0811"/>
    <w:rsid w:val="005C2389"/>
    <w:rsid w:val="005C336E"/>
    <w:rsid w:val="005C35C5"/>
    <w:rsid w:val="005D79C1"/>
    <w:rsid w:val="005E7231"/>
    <w:rsid w:val="005F1C7A"/>
    <w:rsid w:val="006006EF"/>
    <w:rsid w:val="00610D60"/>
    <w:rsid w:val="006163F3"/>
    <w:rsid w:val="00617207"/>
    <w:rsid w:val="00626AE4"/>
    <w:rsid w:val="006306EE"/>
    <w:rsid w:val="00635C49"/>
    <w:rsid w:val="00635C64"/>
    <w:rsid w:val="00636F49"/>
    <w:rsid w:val="0064040A"/>
    <w:rsid w:val="006459BC"/>
    <w:rsid w:val="0064691E"/>
    <w:rsid w:val="006538B5"/>
    <w:rsid w:val="00655EE5"/>
    <w:rsid w:val="006621A2"/>
    <w:rsid w:val="006671BF"/>
    <w:rsid w:val="00667828"/>
    <w:rsid w:val="00686881"/>
    <w:rsid w:val="00693042"/>
    <w:rsid w:val="00697657"/>
    <w:rsid w:val="006B271C"/>
    <w:rsid w:val="006B5177"/>
    <w:rsid w:val="006B5266"/>
    <w:rsid w:val="006B5B90"/>
    <w:rsid w:val="006B6F11"/>
    <w:rsid w:val="006C6635"/>
    <w:rsid w:val="006D06FB"/>
    <w:rsid w:val="006D0A81"/>
    <w:rsid w:val="006D1543"/>
    <w:rsid w:val="006D74DA"/>
    <w:rsid w:val="006E193E"/>
    <w:rsid w:val="006E2A6B"/>
    <w:rsid w:val="006F06C4"/>
    <w:rsid w:val="00702C08"/>
    <w:rsid w:val="00710016"/>
    <w:rsid w:val="00716458"/>
    <w:rsid w:val="0072230D"/>
    <w:rsid w:val="00725F0E"/>
    <w:rsid w:val="007326C3"/>
    <w:rsid w:val="00746C99"/>
    <w:rsid w:val="00752F66"/>
    <w:rsid w:val="007546D3"/>
    <w:rsid w:val="0076414B"/>
    <w:rsid w:val="007641A7"/>
    <w:rsid w:val="007654C2"/>
    <w:rsid w:val="007676E0"/>
    <w:rsid w:val="00770C8C"/>
    <w:rsid w:val="00780852"/>
    <w:rsid w:val="007818FB"/>
    <w:rsid w:val="0079015E"/>
    <w:rsid w:val="00791A0B"/>
    <w:rsid w:val="007A0635"/>
    <w:rsid w:val="007B59E8"/>
    <w:rsid w:val="007C00C8"/>
    <w:rsid w:val="007C1046"/>
    <w:rsid w:val="007C4609"/>
    <w:rsid w:val="007D6F41"/>
    <w:rsid w:val="007E0ACF"/>
    <w:rsid w:val="007E421F"/>
    <w:rsid w:val="007E44E8"/>
    <w:rsid w:val="007F1806"/>
    <w:rsid w:val="007F57A7"/>
    <w:rsid w:val="00802CD9"/>
    <w:rsid w:val="00803B69"/>
    <w:rsid w:val="00805B17"/>
    <w:rsid w:val="00807024"/>
    <w:rsid w:val="00810300"/>
    <w:rsid w:val="00812977"/>
    <w:rsid w:val="00813653"/>
    <w:rsid w:val="00824438"/>
    <w:rsid w:val="00824540"/>
    <w:rsid w:val="00826381"/>
    <w:rsid w:val="00827105"/>
    <w:rsid w:val="008274DA"/>
    <w:rsid w:val="008401C9"/>
    <w:rsid w:val="00842158"/>
    <w:rsid w:val="008440D0"/>
    <w:rsid w:val="00866627"/>
    <w:rsid w:val="00880661"/>
    <w:rsid w:val="008950D6"/>
    <w:rsid w:val="008A25AE"/>
    <w:rsid w:val="008A4285"/>
    <w:rsid w:val="008A4458"/>
    <w:rsid w:val="008A57C5"/>
    <w:rsid w:val="008A5CCA"/>
    <w:rsid w:val="008B1A82"/>
    <w:rsid w:val="008B7427"/>
    <w:rsid w:val="008D2EB5"/>
    <w:rsid w:val="008E0F05"/>
    <w:rsid w:val="008E3806"/>
    <w:rsid w:val="008E3A96"/>
    <w:rsid w:val="008F00D8"/>
    <w:rsid w:val="008F4420"/>
    <w:rsid w:val="008F5168"/>
    <w:rsid w:val="009017AA"/>
    <w:rsid w:val="0090732B"/>
    <w:rsid w:val="0091080C"/>
    <w:rsid w:val="0091121E"/>
    <w:rsid w:val="009113D5"/>
    <w:rsid w:val="00917458"/>
    <w:rsid w:val="00924DC3"/>
    <w:rsid w:val="0093313C"/>
    <w:rsid w:val="00937690"/>
    <w:rsid w:val="00941F82"/>
    <w:rsid w:val="009459C3"/>
    <w:rsid w:val="00952B14"/>
    <w:rsid w:val="00976E6B"/>
    <w:rsid w:val="00982C9B"/>
    <w:rsid w:val="00983BFF"/>
    <w:rsid w:val="00984596"/>
    <w:rsid w:val="00984A47"/>
    <w:rsid w:val="00984B66"/>
    <w:rsid w:val="009867DD"/>
    <w:rsid w:val="00993A30"/>
    <w:rsid w:val="009A0C8B"/>
    <w:rsid w:val="009B1C6F"/>
    <w:rsid w:val="009B57A8"/>
    <w:rsid w:val="009B7830"/>
    <w:rsid w:val="009C385C"/>
    <w:rsid w:val="009C7CC8"/>
    <w:rsid w:val="009D2E28"/>
    <w:rsid w:val="009D6ECC"/>
    <w:rsid w:val="009D72C4"/>
    <w:rsid w:val="009D7319"/>
    <w:rsid w:val="009E2A03"/>
    <w:rsid w:val="009E62E2"/>
    <w:rsid w:val="00A00061"/>
    <w:rsid w:val="00A01634"/>
    <w:rsid w:val="00A104A6"/>
    <w:rsid w:val="00A146EA"/>
    <w:rsid w:val="00A168D6"/>
    <w:rsid w:val="00A30299"/>
    <w:rsid w:val="00A37B71"/>
    <w:rsid w:val="00A37BCF"/>
    <w:rsid w:val="00A4029F"/>
    <w:rsid w:val="00A41EF1"/>
    <w:rsid w:val="00A52025"/>
    <w:rsid w:val="00A52B2A"/>
    <w:rsid w:val="00A53D04"/>
    <w:rsid w:val="00A55F59"/>
    <w:rsid w:val="00A7198C"/>
    <w:rsid w:val="00A746C5"/>
    <w:rsid w:val="00A74FBF"/>
    <w:rsid w:val="00A82C5E"/>
    <w:rsid w:val="00A84F6E"/>
    <w:rsid w:val="00A903F6"/>
    <w:rsid w:val="00A9056D"/>
    <w:rsid w:val="00A94F7A"/>
    <w:rsid w:val="00AA11A4"/>
    <w:rsid w:val="00AA515E"/>
    <w:rsid w:val="00AA5EBF"/>
    <w:rsid w:val="00AC1E0B"/>
    <w:rsid w:val="00AD0F7A"/>
    <w:rsid w:val="00AD204E"/>
    <w:rsid w:val="00AD3450"/>
    <w:rsid w:val="00AD7C72"/>
    <w:rsid w:val="00AE6174"/>
    <w:rsid w:val="00AE6D2A"/>
    <w:rsid w:val="00AF4D93"/>
    <w:rsid w:val="00AF5F1B"/>
    <w:rsid w:val="00AF714F"/>
    <w:rsid w:val="00AF7A0A"/>
    <w:rsid w:val="00B03D8C"/>
    <w:rsid w:val="00B100FC"/>
    <w:rsid w:val="00B10A23"/>
    <w:rsid w:val="00B1529A"/>
    <w:rsid w:val="00B24F82"/>
    <w:rsid w:val="00B3349D"/>
    <w:rsid w:val="00B430E2"/>
    <w:rsid w:val="00B4480C"/>
    <w:rsid w:val="00B53330"/>
    <w:rsid w:val="00B53C5A"/>
    <w:rsid w:val="00B55FD4"/>
    <w:rsid w:val="00B561AD"/>
    <w:rsid w:val="00B62176"/>
    <w:rsid w:val="00B621B8"/>
    <w:rsid w:val="00B62DC6"/>
    <w:rsid w:val="00B6460F"/>
    <w:rsid w:val="00B7214E"/>
    <w:rsid w:val="00B72AD8"/>
    <w:rsid w:val="00B81AC1"/>
    <w:rsid w:val="00B86DD0"/>
    <w:rsid w:val="00B94BD5"/>
    <w:rsid w:val="00B95A96"/>
    <w:rsid w:val="00B97B05"/>
    <w:rsid w:val="00BA0162"/>
    <w:rsid w:val="00BA2793"/>
    <w:rsid w:val="00BB14D1"/>
    <w:rsid w:val="00BB4C79"/>
    <w:rsid w:val="00BB6505"/>
    <w:rsid w:val="00BC5FA0"/>
    <w:rsid w:val="00BC6532"/>
    <w:rsid w:val="00BC6F2E"/>
    <w:rsid w:val="00BD1902"/>
    <w:rsid w:val="00BD2E0C"/>
    <w:rsid w:val="00BD4DFB"/>
    <w:rsid w:val="00BD6342"/>
    <w:rsid w:val="00BE1185"/>
    <w:rsid w:val="00BE3C6C"/>
    <w:rsid w:val="00BE61D4"/>
    <w:rsid w:val="00BE62E6"/>
    <w:rsid w:val="00BF30C5"/>
    <w:rsid w:val="00BF656E"/>
    <w:rsid w:val="00BF6D2F"/>
    <w:rsid w:val="00C22072"/>
    <w:rsid w:val="00C31F55"/>
    <w:rsid w:val="00C526DC"/>
    <w:rsid w:val="00C5301F"/>
    <w:rsid w:val="00C5366D"/>
    <w:rsid w:val="00C544B5"/>
    <w:rsid w:val="00C5734F"/>
    <w:rsid w:val="00C653AF"/>
    <w:rsid w:val="00C82965"/>
    <w:rsid w:val="00C94D11"/>
    <w:rsid w:val="00C9700B"/>
    <w:rsid w:val="00CA3036"/>
    <w:rsid w:val="00CA5CC3"/>
    <w:rsid w:val="00CB1B05"/>
    <w:rsid w:val="00CB4A1E"/>
    <w:rsid w:val="00CB7B7A"/>
    <w:rsid w:val="00CC282C"/>
    <w:rsid w:val="00CC2B5F"/>
    <w:rsid w:val="00CC7A68"/>
    <w:rsid w:val="00CD1BFC"/>
    <w:rsid w:val="00CD30A2"/>
    <w:rsid w:val="00CD34CB"/>
    <w:rsid w:val="00CD504D"/>
    <w:rsid w:val="00CF1248"/>
    <w:rsid w:val="00D11434"/>
    <w:rsid w:val="00D115B9"/>
    <w:rsid w:val="00D16A5C"/>
    <w:rsid w:val="00D20667"/>
    <w:rsid w:val="00D20F4E"/>
    <w:rsid w:val="00D233A0"/>
    <w:rsid w:val="00D234A7"/>
    <w:rsid w:val="00D30B5B"/>
    <w:rsid w:val="00D3201B"/>
    <w:rsid w:val="00D32A74"/>
    <w:rsid w:val="00D3433B"/>
    <w:rsid w:val="00D34491"/>
    <w:rsid w:val="00D50F4C"/>
    <w:rsid w:val="00D52E31"/>
    <w:rsid w:val="00D6551C"/>
    <w:rsid w:val="00D65680"/>
    <w:rsid w:val="00D65BA6"/>
    <w:rsid w:val="00D66C5A"/>
    <w:rsid w:val="00D712F4"/>
    <w:rsid w:val="00D716CA"/>
    <w:rsid w:val="00D74459"/>
    <w:rsid w:val="00D92091"/>
    <w:rsid w:val="00D95876"/>
    <w:rsid w:val="00DA33FC"/>
    <w:rsid w:val="00DA7FCC"/>
    <w:rsid w:val="00DB29DB"/>
    <w:rsid w:val="00DB75E4"/>
    <w:rsid w:val="00DC1816"/>
    <w:rsid w:val="00DC3D13"/>
    <w:rsid w:val="00DC3F9B"/>
    <w:rsid w:val="00DC57F2"/>
    <w:rsid w:val="00DD06CF"/>
    <w:rsid w:val="00DD5021"/>
    <w:rsid w:val="00DE23F7"/>
    <w:rsid w:val="00DE305B"/>
    <w:rsid w:val="00DF0789"/>
    <w:rsid w:val="00DF6A45"/>
    <w:rsid w:val="00DF7AEF"/>
    <w:rsid w:val="00E0215C"/>
    <w:rsid w:val="00E13549"/>
    <w:rsid w:val="00E2012E"/>
    <w:rsid w:val="00E20732"/>
    <w:rsid w:val="00E20E59"/>
    <w:rsid w:val="00E21A6F"/>
    <w:rsid w:val="00E30BAA"/>
    <w:rsid w:val="00E3270A"/>
    <w:rsid w:val="00E4514B"/>
    <w:rsid w:val="00E50485"/>
    <w:rsid w:val="00E54A4C"/>
    <w:rsid w:val="00E75100"/>
    <w:rsid w:val="00E75F47"/>
    <w:rsid w:val="00E83003"/>
    <w:rsid w:val="00E858C4"/>
    <w:rsid w:val="00E87DF9"/>
    <w:rsid w:val="00E911C0"/>
    <w:rsid w:val="00E92B63"/>
    <w:rsid w:val="00E93C78"/>
    <w:rsid w:val="00E96DB5"/>
    <w:rsid w:val="00E96E36"/>
    <w:rsid w:val="00EA602F"/>
    <w:rsid w:val="00EB2452"/>
    <w:rsid w:val="00EB6A28"/>
    <w:rsid w:val="00EB77BB"/>
    <w:rsid w:val="00EC07B0"/>
    <w:rsid w:val="00EC0C13"/>
    <w:rsid w:val="00ED273C"/>
    <w:rsid w:val="00ED6900"/>
    <w:rsid w:val="00ED7DEB"/>
    <w:rsid w:val="00EF1912"/>
    <w:rsid w:val="00EF683E"/>
    <w:rsid w:val="00F02B4B"/>
    <w:rsid w:val="00F04E8E"/>
    <w:rsid w:val="00F05E3B"/>
    <w:rsid w:val="00F32643"/>
    <w:rsid w:val="00F33995"/>
    <w:rsid w:val="00F3464C"/>
    <w:rsid w:val="00F42005"/>
    <w:rsid w:val="00F47C78"/>
    <w:rsid w:val="00F5111D"/>
    <w:rsid w:val="00F5500A"/>
    <w:rsid w:val="00F7196D"/>
    <w:rsid w:val="00F72F9F"/>
    <w:rsid w:val="00F767C9"/>
    <w:rsid w:val="00F84B91"/>
    <w:rsid w:val="00F86D6E"/>
    <w:rsid w:val="00F959EE"/>
    <w:rsid w:val="00F97F85"/>
    <w:rsid w:val="00FA1A7A"/>
    <w:rsid w:val="00FC1102"/>
    <w:rsid w:val="00FC1EC0"/>
    <w:rsid w:val="00FE0B7B"/>
    <w:rsid w:val="00FE2404"/>
    <w:rsid w:val="00FE4909"/>
    <w:rsid w:val="00FF1848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138A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0E138A"/>
    <w:pPr>
      <w:keepNext/>
      <w:suppressAutoHyphens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0E138A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0E138A"/>
    <w:pPr>
      <w:tabs>
        <w:tab w:val="center" w:pos="4536"/>
        <w:tab w:val="right" w:pos="9072"/>
      </w:tabs>
    </w:pPr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link w:val="Naslov1"/>
    <w:rsid w:val="000E138A"/>
    <w:rPr>
      <w:rFonts w:ascii="Arial" w:hAnsi="Arial" w:cs="Arial"/>
      <w:b/>
      <w:bCs/>
      <w:kern w:val="32"/>
      <w:sz w:val="32"/>
      <w:szCs w:val="32"/>
      <w:lang w:val="sl-SI" w:eastAsia="en-US" w:bidi="ar-SA"/>
    </w:rPr>
  </w:style>
  <w:style w:type="paragraph" w:customStyle="1" w:styleId="Odstavekseznama1">
    <w:name w:val="Odstavek seznama1"/>
    <w:basedOn w:val="Navaden"/>
    <w:qFormat/>
    <w:rsid w:val="000E138A"/>
    <w:pPr>
      <w:suppressAutoHyphens w:val="0"/>
      <w:ind w:left="720"/>
      <w:contextualSpacing/>
    </w:pPr>
    <w:rPr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0E138A"/>
    <w:pPr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0E138A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0E138A"/>
    <w:pPr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0E138A"/>
    <w:pPr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0E138A"/>
    <w:pPr>
      <w:suppressAutoHyphens w:val="0"/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0E138A"/>
    <w:pPr>
      <w:numPr>
        <w:numId w:val="1"/>
      </w:numPr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0E138A"/>
    <w:rPr>
      <w:rFonts w:ascii="Arial" w:hAnsi="Arial" w:cs="Arial"/>
      <w:b/>
      <w:sz w:val="22"/>
      <w:szCs w:val="22"/>
    </w:rPr>
  </w:style>
  <w:style w:type="paragraph" w:customStyle="1" w:styleId="Alineazatoko">
    <w:name w:val="Alinea za točko"/>
    <w:basedOn w:val="Navaden"/>
    <w:link w:val="AlineazatokoZnak"/>
    <w:qFormat/>
    <w:rsid w:val="000E138A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E138A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rsid w:val="000E138A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E138A"/>
    <w:pPr>
      <w:numPr>
        <w:numId w:val="2"/>
      </w:numPr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Alineazaodstavkom">
    <w:name w:val="Alinea za odstavkom"/>
    <w:basedOn w:val="Alineazatoko"/>
    <w:link w:val="AlineazaodstavkomZnak"/>
    <w:qFormat/>
    <w:rsid w:val="000E138A"/>
    <w:pPr>
      <w:ind w:left="709" w:hanging="284"/>
    </w:pPr>
  </w:style>
  <w:style w:type="character" w:customStyle="1" w:styleId="AlineazaodstavkomZnak">
    <w:name w:val="Alinea za odstavkom Znak"/>
    <w:link w:val="Alineazaodstavkom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sek">
    <w:name w:val="Odsek"/>
    <w:basedOn w:val="Oddelek"/>
    <w:link w:val="OdsekZnak"/>
    <w:qFormat/>
    <w:rsid w:val="000E138A"/>
  </w:style>
  <w:style w:type="character" w:customStyle="1" w:styleId="OdsekZnak">
    <w:name w:val="Odsek Znak"/>
    <w:basedOn w:val="OddelekZnak1"/>
    <w:link w:val="Odsek"/>
    <w:rsid w:val="000E138A"/>
    <w:rPr>
      <w:rFonts w:ascii="Arial" w:hAnsi="Arial" w:cs="Arial"/>
      <w:b/>
      <w:sz w:val="22"/>
      <w:szCs w:val="22"/>
    </w:rPr>
  </w:style>
  <w:style w:type="table" w:customStyle="1" w:styleId="Tabelamrea1">
    <w:name w:val="Tabela – mreža1"/>
    <w:basedOn w:val="Navadnatabela"/>
    <w:rsid w:val="000E138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0E138A"/>
    <w:pPr>
      <w:tabs>
        <w:tab w:val="center" w:pos="4320"/>
        <w:tab w:val="right" w:pos="8640"/>
      </w:tabs>
      <w:suppressAutoHyphens w:val="0"/>
      <w:spacing w:line="260" w:lineRule="atLeast"/>
    </w:pPr>
    <w:rPr>
      <w:rFonts w:ascii="Arial" w:hAnsi="Arial"/>
      <w:sz w:val="20"/>
      <w:lang w:val="en-US" w:eastAsia="en-US"/>
    </w:rPr>
  </w:style>
  <w:style w:type="paragraph" w:styleId="Besedilooblaka">
    <w:name w:val="Balloon Text"/>
    <w:basedOn w:val="Navaden"/>
    <w:semiHidden/>
    <w:rsid w:val="00DC3F9B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8A57C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13633E"/>
    <w:rPr>
      <w:rFonts w:ascii="Arial" w:hAnsi="Arial"/>
      <w:szCs w:val="24"/>
      <w:lang w:val="en-US" w:eastAsia="en-US"/>
    </w:rPr>
  </w:style>
  <w:style w:type="character" w:customStyle="1" w:styleId="outputtext">
    <w:name w:val="outputtext"/>
    <w:rsid w:val="00880661"/>
  </w:style>
  <w:style w:type="character" w:customStyle="1" w:styleId="Pripombasklic1">
    <w:name w:val="Pripomba – sklic1"/>
    <w:rsid w:val="004B0F99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rsid w:val="004B0F99"/>
    <w:rPr>
      <w:sz w:val="20"/>
      <w:szCs w:val="20"/>
    </w:rPr>
  </w:style>
  <w:style w:type="character" w:customStyle="1" w:styleId="PripombabesediloZnak">
    <w:name w:val="Pripomba – besedilo Znak"/>
    <w:link w:val="Pripombabesedilo1"/>
    <w:rsid w:val="004B0F99"/>
    <w:rPr>
      <w:lang w:eastAsia="ar-SA"/>
    </w:rPr>
  </w:style>
  <w:style w:type="paragraph" w:customStyle="1" w:styleId="Zadevapripombe1">
    <w:name w:val="Zadeva pripombe1"/>
    <w:basedOn w:val="Pripombabesedilo1"/>
    <w:next w:val="Pripombabesedilo1"/>
    <w:link w:val="ZadevapripombeZnak"/>
    <w:rsid w:val="004B0F99"/>
    <w:rPr>
      <w:b/>
      <w:bCs/>
    </w:rPr>
  </w:style>
  <w:style w:type="character" w:customStyle="1" w:styleId="ZadevapripombeZnak">
    <w:name w:val="Zadeva pripombe Znak"/>
    <w:link w:val="Zadevapripombe1"/>
    <w:rsid w:val="004B0F99"/>
    <w:rPr>
      <w:b/>
      <w:bCs/>
      <w:lang w:eastAsia="ar-SA"/>
    </w:rPr>
  </w:style>
  <w:style w:type="character" w:customStyle="1" w:styleId="OdstavekseznamaZnak">
    <w:name w:val="Odstavek seznama Znak"/>
    <w:link w:val="Odstavekseznama"/>
    <w:uiPriority w:val="34"/>
    <w:locked/>
    <w:rsid w:val="000664A6"/>
    <w:rPr>
      <w:rFonts w:ascii="Arial" w:hAnsi="Arial" w:cs="Arial"/>
      <w:szCs w:val="24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0664A6"/>
    <w:pPr>
      <w:suppressAutoHyphens w:val="0"/>
      <w:spacing w:line="260" w:lineRule="atLeast"/>
      <w:ind w:left="720"/>
      <w:contextualSpacing/>
    </w:pPr>
    <w:rPr>
      <w:rFonts w:ascii="Arial" w:hAnsi="Arial"/>
      <w:sz w:val="20"/>
      <w:lang w:val="en-US" w:eastAsia="en-US"/>
    </w:rPr>
  </w:style>
  <w:style w:type="paragraph" w:customStyle="1" w:styleId="datumtevilka">
    <w:name w:val="datum številka"/>
    <w:basedOn w:val="Navaden"/>
    <w:qFormat/>
    <w:rsid w:val="00056282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138A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0E138A"/>
    <w:pPr>
      <w:keepNext/>
      <w:suppressAutoHyphens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0E138A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0E138A"/>
    <w:pPr>
      <w:tabs>
        <w:tab w:val="center" w:pos="4536"/>
        <w:tab w:val="right" w:pos="9072"/>
      </w:tabs>
    </w:pPr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link w:val="Naslov1"/>
    <w:rsid w:val="000E138A"/>
    <w:rPr>
      <w:rFonts w:ascii="Arial" w:hAnsi="Arial" w:cs="Arial"/>
      <w:b/>
      <w:bCs/>
      <w:kern w:val="32"/>
      <w:sz w:val="32"/>
      <w:szCs w:val="32"/>
      <w:lang w:val="sl-SI" w:eastAsia="en-US" w:bidi="ar-SA"/>
    </w:rPr>
  </w:style>
  <w:style w:type="paragraph" w:customStyle="1" w:styleId="Odstavekseznama1">
    <w:name w:val="Odstavek seznama1"/>
    <w:basedOn w:val="Navaden"/>
    <w:qFormat/>
    <w:rsid w:val="000E138A"/>
    <w:pPr>
      <w:suppressAutoHyphens w:val="0"/>
      <w:ind w:left="720"/>
      <w:contextualSpacing/>
    </w:pPr>
    <w:rPr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0E138A"/>
    <w:pPr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0E138A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0E138A"/>
    <w:pPr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0E138A"/>
    <w:pPr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0E138A"/>
    <w:pPr>
      <w:suppressAutoHyphens w:val="0"/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0E138A"/>
    <w:pPr>
      <w:numPr>
        <w:numId w:val="1"/>
      </w:numPr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0E138A"/>
    <w:rPr>
      <w:rFonts w:ascii="Arial" w:hAnsi="Arial" w:cs="Arial"/>
      <w:b/>
      <w:sz w:val="22"/>
      <w:szCs w:val="22"/>
    </w:rPr>
  </w:style>
  <w:style w:type="paragraph" w:customStyle="1" w:styleId="Alineazatoko">
    <w:name w:val="Alinea za točko"/>
    <w:basedOn w:val="Navaden"/>
    <w:link w:val="AlineazatokoZnak"/>
    <w:qFormat/>
    <w:rsid w:val="000E138A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E138A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rsid w:val="000E138A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E138A"/>
    <w:pPr>
      <w:numPr>
        <w:numId w:val="2"/>
      </w:numPr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Alineazaodstavkom">
    <w:name w:val="Alinea za odstavkom"/>
    <w:basedOn w:val="Alineazatoko"/>
    <w:link w:val="AlineazaodstavkomZnak"/>
    <w:qFormat/>
    <w:rsid w:val="000E138A"/>
    <w:pPr>
      <w:ind w:left="709" w:hanging="284"/>
    </w:pPr>
  </w:style>
  <w:style w:type="character" w:customStyle="1" w:styleId="AlineazaodstavkomZnak">
    <w:name w:val="Alinea za odstavkom Znak"/>
    <w:link w:val="Alineazaodstavkom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sek">
    <w:name w:val="Odsek"/>
    <w:basedOn w:val="Oddelek"/>
    <w:link w:val="OdsekZnak"/>
    <w:qFormat/>
    <w:rsid w:val="000E138A"/>
  </w:style>
  <w:style w:type="character" w:customStyle="1" w:styleId="OdsekZnak">
    <w:name w:val="Odsek Znak"/>
    <w:basedOn w:val="OddelekZnak1"/>
    <w:link w:val="Odsek"/>
    <w:rsid w:val="000E138A"/>
    <w:rPr>
      <w:rFonts w:ascii="Arial" w:hAnsi="Arial" w:cs="Arial"/>
      <w:b/>
      <w:sz w:val="22"/>
      <w:szCs w:val="22"/>
    </w:rPr>
  </w:style>
  <w:style w:type="table" w:customStyle="1" w:styleId="Tabelamrea1">
    <w:name w:val="Tabela – mreža1"/>
    <w:basedOn w:val="Navadnatabela"/>
    <w:rsid w:val="000E138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0E138A"/>
    <w:pPr>
      <w:tabs>
        <w:tab w:val="center" w:pos="4320"/>
        <w:tab w:val="right" w:pos="8640"/>
      </w:tabs>
      <w:suppressAutoHyphens w:val="0"/>
      <w:spacing w:line="260" w:lineRule="atLeast"/>
    </w:pPr>
    <w:rPr>
      <w:rFonts w:ascii="Arial" w:hAnsi="Arial"/>
      <w:sz w:val="20"/>
      <w:lang w:val="en-US" w:eastAsia="en-US"/>
    </w:rPr>
  </w:style>
  <w:style w:type="paragraph" w:styleId="Besedilooblaka">
    <w:name w:val="Balloon Text"/>
    <w:basedOn w:val="Navaden"/>
    <w:semiHidden/>
    <w:rsid w:val="00DC3F9B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8A57C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13633E"/>
    <w:rPr>
      <w:rFonts w:ascii="Arial" w:hAnsi="Arial"/>
      <w:szCs w:val="24"/>
      <w:lang w:val="en-US" w:eastAsia="en-US"/>
    </w:rPr>
  </w:style>
  <w:style w:type="character" w:customStyle="1" w:styleId="outputtext">
    <w:name w:val="outputtext"/>
    <w:rsid w:val="00880661"/>
  </w:style>
  <w:style w:type="character" w:customStyle="1" w:styleId="Pripombasklic1">
    <w:name w:val="Pripomba – sklic1"/>
    <w:rsid w:val="004B0F99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rsid w:val="004B0F99"/>
    <w:rPr>
      <w:sz w:val="20"/>
      <w:szCs w:val="20"/>
    </w:rPr>
  </w:style>
  <w:style w:type="character" w:customStyle="1" w:styleId="PripombabesediloZnak">
    <w:name w:val="Pripomba – besedilo Znak"/>
    <w:link w:val="Pripombabesedilo1"/>
    <w:rsid w:val="004B0F99"/>
    <w:rPr>
      <w:lang w:eastAsia="ar-SA"/>
    </w:rPr>
  </w:style>
  <w:style w:type="paragraph" w:customStyle="1" w:styleId="Zadevapripombe1">
    <w:name w:val="Zadeva pripombe1"/>
    <w:basedOn w:val="Pripombabesedilo1"/>
    <w:next w:val="Pripombabesedilo1"/>
    <w:link w:val="ZadevapripombeZnak"/>
    <w:rsid w:val="004B0F99"/>
    <w:rPr>
      <w:b/>
      <w:bCs/>
    </w:rPr>
  </w:style>
  <w:style w:type="character" w:customStyle="1" w:styleId="ZadevapripombeZnak">
    <w:name w:val="Zadeva pripombe Znak"/>
    <w:link w:val="Zadevapripombe1"/>
    <w:rsid w:val="004B0F99"/>
    <w:rPr>
      <w:b/>
      <w:bCs/>
      <w:lang w:eastAsia="ar-SA"/>
    </w:rPr>
  </w:style>
  <w:style w:type="character" w:customStyle="1" w:styleId="OdstavekseznamaZnak">
    <w:name w:val="Odstavek seznama Znak"/>
    <w:link w:val="Odstavekseznama"/>
    <w:uiPriority w:val="34"/>
    <w:locked/>
    <w:rsid w:val="000664A6"/>
    <w:rPr>
      <w:rFonts w:ascii="Arial" w:hAnsi="Arial" w:cs="Arial"/>
      <w:szCs w:val="24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0664A6"/>
    <w:pPr>
      <w:suppressAutoHyphens w:val="0"/>
      <w:spacing w:line="260" w:lineRule="atLeast"/>
      <w:ind w:left="720"/>
      <w:contextualSpacing/>
    </w:pPr>
    <w:rPr>
      <w:rFonts w:ascii="Arial" w:hAnsi="Arial"/>
      <w:sz w:val="20"/>
      <w:lang w:val="en-US" w:eastAsia="en-US"/>
    </w:rPr>
  </w:style>
  <w:style w:type="paragraph" w:customStyle="1" w:styleId="datumtevilka">
    <w:name w:val="datum številka"/>
    <w:basedOn w:val="Navaden"/>
    <w:qFormat/>
    <w:rsid w:val="00056282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070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slozeleznice.si/sl/infrastruktura/dostop-do-infrastrukture/preobremenjena-infrastruktur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785E7-8FB5-4576-AB14-68218663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1710</Words>
  <Characters>10020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MZP</Company>
  <LinksUpToDate>false</LinksUpToDate>
  <CharactersWithSpaces>11707</CharactersWithSpaces>
  <SharedDoc>false</SharedDoc>
  <HLinks>
    <vt:vector size="12" baseType="variant"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6422572</vt:i4>
      </vt:variant>
      <vt:variant>
        <vt:i4>0</vt:i4>
      </vt:variant>
      <vt:variant>
        <vt:i4>0</vt:i4>
      </vt:variant>
      <vt:variant>
        <vt:i4>5</vt:i4>
      </vt:variant>
      <vt:variant>
        <vt:lpwstr>http://www.mzi.gov.si/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Kondić</dc:creator>
  <cp:lastModifiedBy>LVidergar</cp:lastModifiedBy>
  <cp:revision>3</cp:revision>
  <cp:lastPrinted>2019-09-17T12:54:00Z</cp:lastPrinted>
  <dcterms:created xsi:type="dcterms:W3CDTF">2019-10-16T08:44:00Z</dcterms:created>
  <dcterms:modified xsi:type="dcterms:W3CDTF">2019-10-16T08:47:00Z</dcterms:modified>
</cp:coreProperties>
</file>