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01" w:rsidRPr="00F55715" w:rsidRDefault="00D60601" w:rsidP="00D60601">
      <w:pPr>
        <w:spacing w:line="240" w:lineRule="auto"/>
        <w:rPr>
          <w:rFonts w:ascii="Arial" w:eastAsia="Times New Roman" w:hAnsi="Arial" w:cs="Arial"/>
          <w:b/>
          <w:sz w:val="20"/>
          <w:szCs w:val="20"/>
          <w:u w:val="single"/>
          <w:lang w:eastAsia="sl-SI"/>
        </w:rPr>
      </w:pPr>
      <w:bookmarkStart w:id="0" w:name="_GoBack"/>
      <w:bookmarkEnd w:id="0"/>
      <w:r w:rsidRPr="00F55715">
        <w:rPr>
          <w:rFonts w:ascii="Arial" w:eastAsia="Times New Roman" w:hAnsi="Arial" w:cs="Arial"/>
          <w:b/>
          <w:sz w:val="20"/>
          <w:szCs w:val="20"/>
          <w:u w:val="single"/>
          <w:lang w:eastAsia="sl-SI"/>
        </w:rPr>
        <w:t>OSNUTEK PODZAKONSKEGA AKTA</w:t>
      </w:r>
    </w:p>
    <w:p w:rsidR="00D60601" w:rsidRPr="00F55715" w:rsidRDefault="00D60601" w:rsidP="00D60601">
      <w:pPr>
        <w:pBdr>
          <w:bottom w:val="single" w:sz="6" w:space="1" w:color="auto"/>
        </w:pBdr>
        <w:spacing w:after="120" w:line="240" w:lineRule="auto"/>
        <w:jc w:val="both"/>
        <w:rPr>
          <w:rFonts w:ascii="Arial" w:eastAsia="Times New Roman" w:hAnsi="Arial" w:cs="Arial"/>
          <w:vanish/>
          <w:sz w:val="20"/>
          <w:szCs w:val="20"/>
          <w:lang w:eastAsia="sl-SI"/>
        </w:rPr>
      </w:pPr>
      <w:r w:rsidRPr="00F55715">
        <w:rPr>
          <w:rFonts w:ascii="Arial" w:eastAsia="Times New Roman" w:hAnsi="Arial" w:cs="Arial"/>
          <w:vanish/>
          <w:sz w:val="20"/>
          <w:szCs w:val="20"/>
          <w:lang w:eastAsia="sl-SI"/>
        </w:rPr>
        <w:t>Vrh obrazca</w:t>
      </w:r>
    </w:p>
    <w:p w:rsidR="00D60601" w:rsidRPr="00F55715" w:rsidRDefault="00D60601" w:rsidP="00D60601">
      <w:pPr>
        <w:spacing w:after="120" w:line="240" w:lineRule="auto"/>
        <w:jc w:val="both"/>
        <w:rPr>
          <w:rFonts w:ascii="Arial" w:eastAsia="Times New Roman" w:hAnsi="Arial" w:cs="Arial"/>
          <w:vanish/>
          <w:sz w:val="20"/>
          <w:szCs w:val="20"/>
          <w:lang w:eastAsia="sl-SI"/>
        </w:rPr>
      </w:pPr>
    </w:p>
    <w:p w:rsidR="00D60601" w:rsidRPr="00F55715" w:rsidRDefault="00D60601" w:rsidP="00D60601">
      <w:pPr>
        <w:spacing w:after="120" w:line="240" w:lineRule="auto"/>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 xml:space="preserve">Na podlagi 381.a člena Energetskega zakona (Uradni list RS, št. 60/19 – uradno prečiščeno besedilo in __/20) izdaja </w:t>
      </w:r>
      <w:r w:rsidR="00060956">
        <w:rPr>
          <w:rFonts w:ascii="Arial" w:eastAsia="Times New Roman" w:hAnsi="Arial" w:cs="Arial"/>
          <w:sz w:val="20"/>
          <w:szCs w:val="20"/>
          <w:lang w:eastAsia="sl-SI"/>
        </w:rPr>
        <w:t xml:space="preserve">Vlada Republike Slovenije </w:t>
      </w:r>
    </w:p>
    <w:p w:rsidR="00D60601" w:rsidRPr="00F55715" w:rsidRDefault="00060956" w:rsidP="00D60601">
      <w:pPr>
        <w:spacing w:after="120" w:line="240" w:lineRule="auto"/>
        <w:jc w:val="center"/>
        <w:rPr>
          <w:rFonts w:ascii="Arial" w:eastAsia="Times New Roman" w:hAnsi="Arial" w:cs="Arial"/>
          <w:b/>
          <w:bCs/>
          <w:spacing w:val="40"/>
          <w:sz w:val="20"/>
          <w:szCs w:val="20"/>
          <w:lang w:eastAsia="sl-SI"/>
        </w:rPr>
      </w:pPr>
      <w:r>
        <w:rPr>
          <w:rFonts w:ascii="Arial" w:eastAsia="Times New Roman" w:hAnsi="Arial" w:cs="Arial"/>
          <w:b/>
          <w:bCs/>
          <w:spacing w:val="40"/>
          <w:sz w:val="20"/>
          <w:szCs w:val="20"/>
          <w:lang w:eastAsia="sl-SI"/>
        </w:rPr>
        <w:t>UREDBO</w:t>
      </w:r>
    </w:p>
    <w:p w:rsidR="00D60601" w:rsidRPr="00F55715" w:rsidRDefault="00D60601" w:rsidP="00D60601">
      <w:pPr>
        <w:spacing w:after="120" w:line="240" w:lineRule="auto"/>
        <w:jc w:val="center"/>
        <w:rPr>
          <w:rFonts w:ascii="Arial" w:eastAsia="Times New Roman" w:hAnsi="Arial" w:cs="Arial"/>
          <w:b/>
          <w:sz w:val="20"/>
          <w:szCs w:val="20"/>
          <w:lang w:eastAsia="sl-SI"/>
        </w:rPr>
      </w:pPr>
      <w:r w:rsidRPr="00F55715">
        <w:rPr>
          <w:rFonts w:ascii="Arial" w:eastAsia="Times New Roman" w:hAnsi="Arial" w:cs="Arial"/>
          <w:b/>
          <w:bCs/>
          <w:sz w:val="20"/>
          <w:szCs w:val="20"/>
          <w:lang w:eastAsia="sl-SI"/>
        </w:rPr>
        <w:t xml:space="preserve">o finančnih spodbudah za </w:t>
      </w:r>
      <w:r w:rsidRPr="00F55715">
        <w:rPr>
          <w:rFonts w:ascii="Arial" w:eastAsia="Times New Roman" w:hAnsi="Arial" w:cs="Arial"/>
          <w:b/>
          <w:sz w:val="20"/>
          <w:szCs w:val="20"/>
          <w:lang w:eastAsia="sl-SI"/>
        </w:rPr>
        <w:t>spodbujanje ukrepov za rabo alternativnih goriv v prometu</w:t>
      </w:r>
    </w:p>
    <w:p w:rsidR="00D60601" w:rsidRPr="00F55715" w:rsidRDefault="00D60601" w:rsidP="00D60601">
      <w:pPr>
        <w:spacing w:after="120" w:line="240" w:lineRule="auto"/>
        <w:jc w:val="center"/>
        <w:rPr>
          <w:rFonts w:ascii="Arial" w:eastAsia="Times New Roman" w:hAnsi="Arial" w:cs="Arial"/>
          <w:bCs/>
          <w:sz w:val="20"/>
          <w:szCs w:val="20"/>
          <w:lang w:eastAsia="sl-SI"/>
        </w:rPr>
      </w:pPr>
    </w:p>
    <w:p w:rsidR="00D60601" w:rsidRPr="00F55715" w:rsidRDefault="00D60601" w:rsidP="00D60601">
      <w:pPr>
        <w:spacing w:after="120" w:line="240" w:lineRule="auto"/>
        <w:jc w:val="center"/>
        <w:rPr>
          <w:rFonts w:ascii="Arial" w:eastAsia="Times New Roman" w:hAnsi="Arial" w:cs="Arial"/>
          <w:sz w:val="20"/>
          <w:szCs w:val="20"/>
          <w:lang w:eastAsia="sl-SI"/>
        </w:rPr>
      </w:pPr>
      <w:r w:rsidRPr="00F55715">
        <w:rPr>
          <w:rFonts w:ascii="Arial" w:eastAsia="Times New Roman" w:hAnsi="Arial" w:cs="Arial"/>
          <w:sz w:val="20"/>
          <w:szCs w:val="20"/>
          <w:lang w:eastAsia="sl-SI"/>
        </w:rPr>
        <w:t>I. SPLOŠNE DOLOČBE</w:t>
      </w:r>
    </w:p>
    <w:p w:rsidR="00D60601" w:rsidRPr="00F55715" w:rsidRDefault="00D60601" w:rsidP="00D60601">
      <w:pPr>
        <w:spacing w:after="120" w:line="240" w:lineRule="auto"/>
        <w:jc w:val="center"/>
        <w:rPr>
          <w:rFonts w:ascii="Arial" w:eastAsia="Times New Roman" w:hAnsi="Arial" w:cs="Arial"/>
          <w:bCs/>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(vsebina)</w:t>
      </w:r>
    </w:p>
    <w:p w:rsidR="00D60601" w:rsidRPr="00F55715" w:rsidRDefault="00D60601" w:rsidP="00D60601">
      <w:pPr>
        <w:numPr>
          <w:ilvl w:val="0"/>
          <w:numId w:val="3"/>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 xml:space="preserve">Ta </w:t>
      </w:r>
      <w:r w:rsidR="00060956">
        <w:rPr>
          <w:rFonts w:ascii="Arial" w:eastAsia="Times New Roman" w:hAnsi="Arial" w:cs="Arial"/>
          <w:sz w:val="20"/>
          <w:szCs w:val="20"/>
          <w:lang w:eastAsia="sl-SI"/>
        </w:rPr>
        <w:t>uredba</w:t>
      </w:r>
      <w:r w:rsidRPr="00F55715">
        <w:rPr>
          <w:rFonts w:ascii="Arial" w:eastAsia="Times New Roman" w:hAnsi="Arial" w:cs="Arial"/>
          <w:sz w:val="20"/>
          <w:szCs w:val="20"/>
          <w:lang w:eastAsia="sl-SI"/>
        </w:rPr>
        <w:t xml:space="preserve"> določa vrste finančnih spodbud za spodbujanje ukrepov za rabo alternativnih goriv v prometu, pogoje in merila za njihovo dodelitev, upravičence do finančnih spodbud, vodenje evidenc in poročanje</w:t>
      </w:r>
      <w:r w:rsidR="00CB2525" w:rsidRPr="00F55715">
        <w:rPr>
          <w:rFonts w:ascii="Arial" w:eastAsia="Times New Roman" w:hAnsi="Arial" w:cs="Arial"/>
          <w:sz w:val="20"/>
          <w:szCs w:val="20"/>
          <w:lang w:eastAsia="sl-SI"/>
        </w:rPr>
        <w:t>.</w:t>
      </w:r>
    </w:p>
    <w:p w:rsidR="00D60601" w:rsidRPr="00F55715" w:rsidRDefault="00060956" w:rsidP="00D60601">
      <w:pPr>
        <w:numPr>
          <w:ilvl w:val="0"/>
          <w:numId w:val="3"/>
        </w:numPr>
        <w:spacing w:after="120" w:line="240" w:lineRule="auto"/>
        <w:ind w:left="357" w:hanging="357"/>
        <w:contextualSpacing/>
        <w:jc w:val="both"/>
        <w:rPr>
          <w:rFonts w:ascii="Arial" w:eastAsia="Calibri" w:hAnsi="Arial" w:cs="Arial"/>
          <w:sz w:val="20"/>
          <w:szCs w:val="20"/>
        </w:rPr>
      </w:pPr>
      <w:r>
        <w:rPr>
          <w:rFonts w:ascii="Arial" w:eastAsia="Calibri" w:hAnsi="Arial" w:cs="Arial"/>
          <w:sz w:val="20"/>
          <w:szCs w:val="20"/>
        </w:rPr>
        <w:t>Spodbude po tej</w:t>
      </w:r>
      <w:r w:rsidR="00D60601" w:rsidRPr="00F55715">
        <w:rPr>
          <w:rFonts w:ascii="Arial" w:eastAsia="Calibri" w:hAnsi="Arial" w:cs="Arial"/>
          <w:sz w:val="20"/>
          <w:szCs w:val="20"/>
        </w:rPr>
        <w:t xml:space="preserve"> </w:t>
      </w:r>
      <w:r>
        <w:rPr>
          <w:rFonts w:ascii="Arial" w:eastAsia="Calibri" w:hAnsi="Arial" w:cs="Arial"/>
          <w:sz w:val="20"/>
          <w:szCs w:val="20"/>
        </w:rPr>
        <w:t>uredbi</w:t>
      </w:r>
      <w:r w:rsidR="00D60601" w:rsidRPr="00F55715">
        <w:rPr>
          <w:rFonts w:ascii="Arial" w:eastAsia="Calibri" w:hAnsi="Arial" w:cs="Arial"/>
          <w:sz w:val="20"/>
          <w:szCs w:val="20"/>
        </w:rPr>
        <w:t xml:space="preserve"> dodeljuje</w:t>
      </w:r>
      <w:r w:rsidR="00CB2525" w:rsidRPr="00F55715">
        <w:rPr>
          <w:rFonts w:ascii="Arial" w:eastAsia="Calibri" w:hAnsi="Arial" w:cs="Arial"/>
          <w:sz w:val="20"/>
          <w:szCs w:val="20"/>
        </w:rPr>
        <w:t>ta</w:t>
      </w:r>
      <w:r w:rsidR="00D60601" w:rsidRPr="00F55715">
        <w:rPr>
          <w:rFonts w:ascii="Arial" w:eastAsia="Calibri" w:hAnsi="Arial" w:cs="Arial"/>
          <w:sz w:val="20"/>
          <w:szCs w:val="20"/>
        </w:rPr>
        <w:t xml:space="preserve"> ministrstvo, pristojno za energijo</w:t>
      </w:r>
      <w:r w:rsidR="00DA0BC2" w:rsidRPr="00F55715">
        <w:rPr>
          <w:rFonts w:ascii="Arial" w:eastAsia="Calibri" w:hAnsi="Arial" w:cs="Arial"/>
          <w:sz w:val="20"/>
          <w:szCs w:val="20"/>
        </w:rPr>
        <w:t>, in</w:t>
      </w:r>
      <w:r w:rsidR="00D60601" w:rsidRPr="00F55715">
        <w:rPr>
          <w:rFonts w:ascii="Arial" w:eastAsia="Calibri" w:hAnsi="Arial" w:cs="Arial"/>
          <w:sz w:val="20"/>
          <w:szCs w:val="20"/>
        </w:rPr>
        <w:t xml:space="preserve"> in Eko sklad, Slovenski okoljski javni sklad, v skladu:</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z Uredbo o vzpostavitvi infrastrukture za alternativna goriva v prometu (Uradni list RS, št. 41/17),</w:t>
      </w:r>
    </w:p>
    <w:p w:rsidR="00D60601" w:rsidRPr="00F55715" w:rsidRDefault="00D60601" w:rsidP="00D60601">
      <w:pPr>
        <w:numPr>
          <w:ilvl w:val="0"/>
          <w:numId w:val="2"/>
        </w:numPr>
        <w:spacing w:after="0" w:line="240" w:lineRule="auto"/>
        <w:ind w:left="714"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s Strategijo na področju razvoja trga za vzpostavitev ustrezne infrastrukture v zvezi z alternativnimi gorivi v prometnem sektorju v Republiki Sloveniji,</w:t>
      </w:r>
    </w:p>
    <w:p w:rsidR="00D60601" w:rsidRPr="00F55715" w:rsidRDefault="00CB2525" w:rsidP="00D60601">
      <w:pPr>
        <w:numPr>
          <w:ilvl w:val="0"/>
          <w:numId w:val="2"/>
        </w:numPr>
        <w:spacing w:after="120" w:line="240" w:lineRule="auto"/>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 xml:space="preserve">z </w:t>
      </w:r>
      <w:r w:rsidR="00D60601" w:rsidRPr="00F55715">
        <w:rPr>
          <w:rFonts w:ascii="Arial" w:eastAsia="Times New Roman" w:hAnsi="Arial" w:cs="Arial"/>
          <w:sz w:val="20"/>
          <w:szCs w:val="20"/>
          <w:lang w:eastAsia="sl-SI"/>
        </w:rPr>
        <w:t>Akcijskim programom za alternativna goriva v prometu.</w:t>
      </w:r>
    </w:p>
    <w:p w:rsidR="00D60601" w:rsidRPr="00F55715" w:rsidRDefault="00D60601" w:rsidP="00D60601">
      <w:pPr>
        <w:spacing w:after="120" w:line="240" w:lineRule="auto"/>
        <w:ind w:firstLine="1021"/>
        <w:jc w:val="both"/>
        <w:rPr>
          <w:rFonts w:ascii="Arial" w:eastAsia="Times New Roman" w:hAnsi="Arial" w:cs="Arial"/>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(pomen izrazov)</w:t>
      </w:r>
    </w:p>
    <w:p w:rsidR="00D60601" w:rsidRPr="00F55715" w:rsidRDefault="00D60601" w:rsidP="00D60601">
      <w:pPr>
        <w:spacing w:after="120" w:line="240" w:lineRule="auto"/>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Izrazi, uporabljeni v te</w:t>
      </w:r>
      <w:r w:rsidR="00060956">
        <w:rPr>
          <w:rFonts w:ascii="Arial" w:eastAsia="Times New Roman" w:hAnsi="Arial" w:cs="Arial"/>
          <w:sz w:val="20"/>
          <w:szCs w:val="20"/>
          <w:lang w:eastAsia="sl-SI"/>
        </w:rPr>
        <w:t>j uredbi</w:t>
      </w:r>
      <w:r w:rsidRPr="00F55715">
        <w:rPr>
          <w:rFonts w:ascii="Arial" w:eastAsia="Times New Roman" w:hAnsi="Arial" w:cs="Arial"/>
          <w:sz w:val="20"/>
          <w:szCs w:val="20"/>
          <w:lang w:eastAsia="sl-SI"/>
        </w:rPr>
        <w:t>, imajo enak pomen kot izrazi, ki so opredeljeni v:</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Uredbi Komisije (EU) št. 651/2014 z dne 17. junija 2014 o razglasitvi nekaterih vrst pomoči za združljive z notranjim trgom pri uporabi členov 107 in 108 Pogodbe (UL L št. 187 z dne 26. 6. 2014, str. 1; v nadaljnjem besedilu: Uredba (EU) št. 651/2014) in</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Uredbi Komisije (EU) št. 1407/2013 z dne 18. decembra 2013 o uporabi členov 107 in 108 Pogodbe o delovanju Evropske unije pri pomoči de minimis (UL L št. 352 z dne 24. 12. 2013, str. 1; v nadaljnjem besedilu: Uredba (EU) št. 1407/2013).</w:t>
      </w:r>
    </w:p>
    <w:p w:rsidR="00D60601" w:rsidRPr="00F55715" w:rsidRDefault="00D60601" w:rsidP="00D60601">
      <w:pPr>
        <w:spacing w:after="120" w:line="240" w:lineRule="auto"/>
        <w:jc w:val="both"/>
        <w:rPr>
          <w:rFonts w:ascii="Arial" w:eastAsia="Times New Roman" w:hAnsi="Arial" w:cs="Arial"/>
          <w:bCs/>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w:t>
      </w:r>
      <w:r w:rsidR="00CA43A7" w:rsidRPr="00F55715">
        <w:rPr>
          <w:rFonts w:ascii="Arial" w:eastAsia="Times New Roman" w:hAnsi="Arial" w:cs="Arial"/>
          <w:bCs/>
          <w:sz w:val="20"/>
          <w:szCs w:val="20"/>
          <w:lang w:eastAsia="sl-SI"/>
        </w:rPr>
        <w:t>način in pogoji za dodeljevanje finančnih spodbud</w:t>
      </w:r>
      <w:r w:rsidRPr="00F55715">
        <w:rPr>
          <w:rFonts w:ascii="Arial" w:eastAsia="Times New Roman" w:hAnsi="Arial" w:cs="Arial"/>
          <w:bCs/>
          <w:sz w:val="20"/>
          <w:szCs w:val="20"/>
          <w:lang w:eastAsia="sl-SI"/>
        </w:rPr>
        <w:t>)</w:t>
      </w:r>
    </w:p>
    <w:p w:rsidR="00D60601" w:rsidRPr="00F55715" w:rsidRDefault="00D60601" w:rsidP="00D60601">
      <w:pPr>
        <w:spacing w:after="120" w:line="240" w:lineRule="auto"/>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 xml:space="preserve">Finančne spodbude za spodbujanje ukrepov za rabo alternativnih goriv v prometu (v nadaljnjem besedilu: spodbude) se dodeljujejo kot državne pomoči, kot </w:t>
      </w:r>
      <w:r w:rsidR="00CB2525" w:rsidRPr="00F55715">
        <w:rPr>
          <w:rFonts w:ascii="Arial" w:eastAsia="Times New Roman" w:hAnsi="Arial" w:cs="Arial"/>
          <w:sz w:val="20"/>
          <w:szCs w:val="20"/>
          <w:lang w:eastAsia="sl-SI"/>
        </w:rPr>
        <w:t xml:space="preserve">spodbude, ki se dodeljujejo po pravilu </w:t>
      </w:r>
      <w:r w:rsidRPr="00F55715">
        <w:rPr>
          <w:rFonts w:ascii="Arial" w:eastAsia="Times New Roman" w:hAnsi="Arial" w:cs="Arial"/>
          <w:sz w:val="20"/>
          <w:szCs w:val="20"/>
          <w:lang w:eastAsia="sl-SI"/>
        </w:rPr>
        <w:t>»de minimis« in kot druge finančne spodbude.</w:t>
      </w:r>
    </w:p>
    <w:p w:rsidR="00D60601" w:rsidRPr="00F55715" w:rsidRDefault="00D60601" w:rsidP="00D60601">
      <w:pPr>
        <w:spacing w:after="120" w:line="240" w:lineRule="auto"/>
        <w:jc w:val="both"/>
        <w:rPr>
          <w:rFonts w:ascii="Arial" w:eastAsia="Times New Roman" w:hAnsi="Arial" w:cs="Arial"/>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(merila)</w:t>
      </w:r>
    </w:p>
    <w:p w:rsidR="00D60601" w:rsidRPr="00F55715" w:rsidRDefault="00D60601" w:rsidP="00D60601">
      <w:pPr>
        <w:spacing w:after="120" w:line="240" w:lineRule="auto"/>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Spodbude se dodeljujejo z javnim razpisom ali pozivom ob upoštevanju naslednjih meril:</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stroškovne učinkovitosti,</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 xml:space="preserve">količine </w:t>
      </w:r>
      <w:r w:rsidR="00CB2525" w:rsidRPr="00F55715">
        <w:rPr>
          <w:rFonts w:ascii="Arial" w:eastAsia="Times New Roman" w:hAnsi="Arial" w:cs="Arial"/>
          <w:bCs/>
          <w:sz w:val="20"/>
          <w:szCs w:val="20"/>
          <w:lang w:eastAsia="sl-SI"/>
        </w:rPr>
        <w:t xml:space="preserve">energije, </w:t>
      </w:r>
      <w:r w:rsidRPr="00F55715">
        <w:rPr>
          <w:rFonts w:ascii="Arial" w:eastAsia="Times New Roman" w:hAnsi="Arial" w:cs="Arial"/>
          <w:bCs/>
          <w:sz w:val="20"/>
          <w:szCs w:val="20"/>
          <w:lang w:eastAsia="sl-SI"/>
        </w:rPr>
        <w:t>proizvedene iz obnovljivih virov energije,</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zmanjšanja količine izpustov prašnih delcev,</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zmanjšanja količine izpustov toplogrednih plinov,</w:t>
      </w:r>
      <w:r w:rsidR="00CB2525" w:rsidRPr="00F55715">
        <w:rPr>
          <w:rFonts w:ascii="Arial" w:eastAsia="Times New Roman" w:hAnsi="Arial" w:cs="Arial"/>
          <w:bCs/>
          <w:sz w:val="20"/>
          <w:szCs w:val="20"/>
          <w:lang w:eastAsia="sl-SI"/>
        </w:rPr>
        <w:t xml:space="preserve"> ali</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zmanjšanje emisij hrupa.</w:t>
      </w:r>
    </w:p>
    <w:p w:rsidR="00D60601" w:rsidRPr="00F55715" w:rsidRDefault="00D60601" w:rsidP="00D60601">
      <w:pPr>
        <w:spacing w:after="120" w:line="240" w:lineRule="auto"/>
        <w:jc w:val="both"/>
        <w:rPr>
          <w:rFonts w:ascii="Arial" w:eastAsia="Times New Roman" w:hAnsi="Arial" w:cs="Arial"/>
          <w:sz w:val="20"/>
          <w:szCs w:val="20"/>
          <w:lang w:eastAsia="sl-SI"/>
        </w:rPr>
      </w:pPr>
    </w:p>
    <w:p w:rsidR="00D60601" w:rsidRPr="00F55715" w:rsidRDefault="00D60601" w:rsidP="00D60601">
      <w:pPr>
        <w:spacing w:after="120" w:line="240" w:lineRule="auto"/>
        <w:jc w:val="center"/>
        <w:rPr>
          <w:rFonts w:ascii="Arial" w:eastAsia="Times New Roman" w:hAnsi="Arial" w:cs="Arial"/>
          <w:sz w:val="20"/>
          <w:szCs w:val="20"/>
          <w:lang w:eastAsia="sl-SI"/>
        </w:rPr>
      </w:pPr>
      <w:r w:rsidRPr="00F55715">
        <w:rPr>
          <w:rFonts w:ascii="Arial" w:eastAsia="Times New Roman" w:hAnsi="Arial" w:cs="Arial"/>
          <w:sz w:val="20"/>
          <w:szCs w:val="20"/>
          <w:lang w:eastAsia="sl-SI"/>
        </w:rPr>
        <w:t>II. MERILA ZA SPODBUDE TER OKOLJSKI VIDIKI IN CILJI</w:t>
      </w: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(merila za spodbude)</w:t>
      </w:r>
    </w:p>
    <w:p w:rsidR="00D60601" w:rsidRPr="00F55715" w:rsidRDefault="00D60601" w:rsidP="00D60601">
      <w:pPr>
        <w:spacing w:after="120" w:line="240" w:lineRule="auto"/>
        <w:jc w:val="both"/>
        <w:rPr>
          <w:rFonts w:ascii="Arial" w:eastAsia="Times New Roman" w:hAnsi="Arial" w:cs="Arial"/>
          <w:sz w:val="20"/>
          <w:szCs w:val="20"/>
          <w:shd w:val="clear" w:color="auto" w:fill="FFFFFF"/>
          <w:lang w:eastAsia="sl-SI"/>
        </w:rPr>
      </w:pPr>
      <w:r w:rsidRPr="00F55715">
        <w:rPr>
          <w:rFonts w:ascii="Arial" w:eastAsia="Times New Roman" w:hAnsi="Arial" w:cs="Arial"/>
          <w:sz w:val="20"/>
          <w:szCs w:val="20"/>
          <w:lang w:eastAsia="sl-SI"/>
        </w:rPr>
        <w:lastRenderedPageBreak/>
        <w:t xml:space="preserve">Za spodbujanje ukrepov za rabo alternativnih goriv v prometu se lahko spodbude dodelijo za vozila, energente, </w:t>
      </w:r>
      <w:r w:rsidRPr="00F55715">
        <w:rPr>
          <w:rFonts w:ascii="Arial" w:eastAsia="Times New Roman" w:hAnsi="Arial" w:cs="Arial"/>
          <w:sz w:val="20"/>
          <w:szCs w:val="20"/>
          <w:shd w:val="clear" w:color="auto" w:fill="FFFFFF"/>
          <w:lang w:eastAsia="sl-SI"/>
        </w:rPr>
        <w:t>blago, storitve ali gradnje, ki imajo v primerjavi z običajnimi vozili, energenti, blagom, storitvami in gradnjami v celotni življenjski dobi manjši vpliv na okolje in zagotavljajo varčevanje z naravnimi viri, materiali in energijo ter imajo enake ali boljše funkcionalnosti.</w:t>
      </w:r>
    </w:p>
    <w:p w:rsidR="00D60601" w:rsidRPr="00F55715" w:rsidRDefault="00D60601" w:rsidP="00D60601">
      <w:pPr>
        <w:spacing w:after="120" w:line="240" w:lineRule="auto"/>
        <w:jc w:val="both"/>
        <w:rPr>
          <w:rFonts w:ascii="Arial" w:eastAsia="Times New Roman" w:hAnsi="Arial" w:cs="Arial"/>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sz w:val="20"/>
          <w:szCs w:val="20"/>
          <w:lang w:eastAsia="sl-SI"/>
        </w:rPr>
      </w:pPr>
      <w:r w:rsidRPr="00F55715">
        <w:rPr>
          <w:rFonts w:ascii="Arial" w:eastAsia="Times New Roman" w:hAnsi="Arial" w:cs="Arial"/>
          <w:sz w:val="20"/>
          <w:szCs w:val="20"/>
          <w:lang w:eastAsia="sl-SI"/>
        </w:rPr>
        <w:t>(okoljski vidiki in cilji)</w:t>
      </w:r>
    </w:p>
    <w:p w:rsidR="00D60601" w:rsidRPr="00F55715" w:rsidRDefault="00D60601" w:rsidP="00D60601">
      <w:pPr>
        <w:numPr>
          <w:ilvl w:val="0"/>
          <w:numId w:val="4"/>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Za spodbujanje ukrepov za rabo alternativnih goriv v prometu morajo biti upoštevani zlasti naslednji okoljski vidiki:</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energijska učinkovitost in uporaba obnovljivih virov energije;</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učinkovita in ponovna raba vode;</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učinkovita raba virov;</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 xml:space="preserve">preprečevanje nevarnosti za zdravje ali okolje, zlasti onesnaževanje zraka, voda in tal; </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ponovna raba sekundarnih surovin in izdelkov ter preprečevanje in zmanjševanje nastajanja odpadkov, vključno zaradi daljše življenjske dobe blaga ali gradnje, spodbujanje popravil, priprave in predelave odsluženih izdelkov ter recikliranje.</w:t>
      </w:r>
    </w:p>
    <w:p w:rsidR="00D60601" w:rsidRPr="00F55715" w:rsidRDefault="00D60601" w:rsidP="00D60601">
      <w:pPr>
        <w:numPr>
          <w:ilvl w:val="0"/>
          <w:numId w:val="4"/>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Za spodbujanje ukrepov za rabo alternativnih goriv v prometu morajo biti upoštevani zlasti naslednji okoljski cilji:</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cestna vozila morajo imeti najmanj 10</w:t>
      </w:r>
      <w:r w:rsidR="00644CBA"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 xml:space="preserve"> manjše emisije, ki jih kot najvišje dovoljene določa zadnji standard EURO; </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cestna vozila morajo uporabljati obnovljive oziroma alternativne vire energije, razen vozil za opravljanje zakonsko določenih nalog policije</w:t>
      </w:r>
      <w:r w:rsidR="00BF7DC8" w:rsidRPr="00F55715">
        <w:rPr>
          <w:rFonts w:ascii="Arial" w:eastAsia="Times New Roman" w:hAnsi="Arial" w:cs="Arial"/>
          <w:bCs/>
          <w:sz w:val="20"/>
          <w:szCs w:val="20"/>
          <w:lang w:eastAsia="sl-SI"/>
        </w:rPr>
        <w:t xml:space="preserve"> in Slovenske vojske</w:t>
      </w:r>
      <w:r w:rsidRPr="00F55715">
        <w:rPr>
          <w:rFonts w:ascii="Arial" w:eastAsia="Times New Roman" w:hAnsi="Arial" w:cs="Arial"/>
          <w:bCs/>
          <w:sz w:val="20"/>
          <w:szCs w:val="20"/>
          <w:lang w:eastAsia="sl-SI"/>
        </w:rPr>
        <w:t xml:space="preserve">; </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delež pnevmatik, ki so uvrščene v najvišji energijski razred, dostopen na trgu, mora znašati najmanj 90</w:t>
      </w:r>
      <w:r w:rsidR="00644CBA"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 števila vseh artiklov pnevmatik;</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 xml:space="preserve">delež električne energije, pridobljene iz obnovljivih virov oziroma soproizvodnje električne energije z visokim izkoristkom, znaša najmanj </w:t>
      </w:r>
      <w:r w:rsidR="00644CBA" w:rsidRPr="00F55715">
        <w:rPr>
          <w:rFonts w:ascii="Arial" w:eastAsia="Times New Roman" w:hAnsi="Arial" w:cs="Arial"/>
          <w:bCs/>
          <w:sz w:val="20"/>
          <w:szCs w:val="20"/>
          <w:lang w:eastAsia="sl-SI"/>
        </w:rPr>
        <w:t>50 </w:t>
      </w:r>
      <w:r w:rsidRPr="00F55715">
        <w:rPr>
          <w:rFonts w:ascii="Arial" w:eastAsia="Times New Roman" w:hAnsi="Arial" w:cs="Arial"/>
          <w:bCs/>
          <w:sz w:val="20"/>
          <w:szCs w:val="20"/>
          <w:lang w:eastAsia="sl-SI"/>
        </w:rPr>
        <w:t>%;</w:t>
      </w:r>
    </w:p>
    <w:p w:rsidR="00D60601" w:rsidRPr="00F55715" w:rsidRDefault="00D60601" w:rsidP="00D60601">
      <w:pPr>
        <w:numPr>
          <w:ilvl w:val="0"/>
          <w:numId w:val="4"/>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Pri spodbujanju vzpostavljanja polnilne infrastrukture za uporabo alternativnih goriv v prometu se upošteva še:</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delež grelnikov vode, grelnikov prostorov in njihovih kombinacij ter hranilnikov tople vode, ki so uvrščeni v najvišji energijski razred, dostopen na trgu, znaša najmanj 85</w:t>
      </w:r>
      <w:r w:rsidR="00644CBA"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delež sanitarnih armatur, ki so nameščene v nestanovanjskih prostorih za več uporabnikov in pogosto uporabo ter omogočajo omejitev časa posamezne uporabe vode, znaša najmanj 70 %;</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delež splakovalnih sistemov iz opreme za stranišča na splakovanje in opreme za pisoarje, ki vključuje napravo za varčevanje z vodo, znaša najmanj 60</w:t>
      </w:r>
      <w:r w:rsidR="00644CBA"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delež recikliranega  gradbenega lesa v leseni stenski plošči znaša najmanj 10</w:t>
      </w:r>
      <w:r w:rsidR="00644CBA"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delež lesa ali lesnih tvoriv v stavbah znaša najmanj 30</w:t>
      </w:r>
      <w:r w:rsidR="004461AE"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 prostornine vgrajenih materialov (brez notranje opreme, plošče pritlične etaže in pod njo ležečih konstrukcij), razen če predpis ali namen uporabe to prepoveduje ali onemogoča, pri čemer je lahko delež lesa za tretjino manjši, če se v stavbo vgradi najmanj 10</w:t>
      </w:r>
      <w:r w:rsidR="004461AE"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 gradbenih proizvodov, ki imajo znak za okolje tipa I ali III;</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delež električnih sijalk, ki so uvrščene v najvišji energijski razred, dostopen na trgu, znaša najmanj 90</w:t>
      </w:r>
      <w:r w:rsidR="004461AE"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delež svetilk, ki omogoča uporabo električnih sijalk, uvrščenih v najvišji energijski razred, dostopen na trgu, znaša najmanj 90</w:t>
      </w:r>
      <w:r w:rsidR="004461AE"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razsvetljava v notranjih prostorih omogoča uporabo predstikalnih naprav z možnostjo zatemnjevanja pri najmanj 40</w:t>
      </w:r>
      <w:r w:rsidR="004461AE"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 vseh sijalk;</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delež univerzalnih čistil, ki ustrezajo kriterijem glede strupenosti za vodno okolje in zahtevam za pridobitev znaka za okolje EU za čistila za trdne površine glede izločenih ali prepovedanih sestavin, znaša glede na prostornino vseh artiklov univerzalnih čistil najmanj 30</w:t>
      </w:r>
      <w:r w:rsidR="009659AC"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delež okrasnih rastlin, ki so prilagojene lokalnim razmeram gojenja, znaša najmanj 70</w:t>
      </w:r>
      <w:r w:rsidR="009659AC"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 pri čemer ni dopustno naročati invazivnih tujerodnih vrst okrasnih rastlin;</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delež okrasnih medonosnih rastlin znaša najmanj 25</w:t>
      </w:r>
      <w:r w:rsidR="009659AC"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w:t>
      </w:r>
    </w:p>
    <w:p w:rsidR="00D60601" w:rsidRPr="00F55715" w:rsidRDefault="00D60601" w:rsidP="00D60601">
      <w:pPr>
        <w:numPr>
          <w:ilvl w:val="0"/>
          <w:numId w:val="4"/>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lastRenderedPageBreak/>
        <w:t>Za alternativni vir energije štejejo energenti kot jih določa Direktiva št.</w:t>
      </w:r>
      <w:r w:rsidR="009659AC"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2014/94(EU) o vzpostavitvi infrastrukture za alternativna goriva (Alternative Fuels Infrastructure Directive).</w:t>
      </w:r>
    </w:p>
    <w:p w:rsidR="00D60601" w:rsidRPr="00F55715" w:rsidRDefault="00D60601" w:rsidP="00D60601">
      <w:pPr>
        <w:spacing w:after="120" w:line="240" w:lineRule="auto"/>
        <w:jc w:val="both"/>
        <w:rPr>
          <w:rFonts w:ascii="Arial" w:eastAsia="Times New Roman" w:hAnsi="Arial" w:cs="Arial"/>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sz w:val="20"/>
          <w:szCs w:val="20"/>
          <w:lang w:eastAsia="sl-SI"/>
        </w:rPr>
      </w:pPr>
      <w:r w:rsidRPr="00F55715">
        <w:rPr>
          <w:rFonts w:ascii="Arial" w:eastAsia="Times New Roman" w:hAnsi="Arial" w:cs="Arial"/>
          <w:sz w:val="20"/>
          <w:szCs w:val="20"/>
          <w:lang w:eastAsia="sl-SI"/>
        </w:rPr>
        <w:t>(način vključevanja okoljskih vidikov)</w:t>
      </w:r>
    </w:p>
    <w:p w:rsidR="00D60601" w:rsidRPr="00F55715" w:rsidRDefault="00D60601" w:rsidP="00D60601">
      <w:pPr>
        <w:numPr>
          <w:ilvl w:val="0"/>
          <w:numId w:val="5"/>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Vozila, energenti, blago, storitev ali gradnja morajo biti okoljsko manj obremenjujoči</w:t>
      </w:r>
      <w:r w:rsidR="00000102" w:rsidRPr="00F55715">
        <w:rPr>
          <w:rFonts w:ascii="Arial" w:eastAsia="Times New Roman" w:hAnsi="Arial" w:cs="Arial"/>
          <w:sz w:val="20"/>
          <w:szCs w:val="20"/>
          <w:lang w:eastAsia="sl-SI"/>
        </w:rPr>
        <w:t xml:space="preserve"> </w:t>
      </w:r>
      <w:r w:rsidR="00000102" w:rsidRPr="00F55715">
        <w:rPr>
          <w:rFonts w:ascii="Arial" w:eastAsia="Times New Roman" w:hAnsi="Arial" w:cs="Arial"/>
          <w:sz w:val="20"/>
          <w:szCs w:val="20"/>
          <w:shd w:val="clear" w:color="auto" w:fill="FFFFFF"/>
          <w:lang w:eastAsia="sl-SI"/>
        </w:rPr>
        <w:t>v primerjavi z običajnimi vozili, energenti, blagom, storitvami in gradnjami v celotni življenjski dobi, tako, da imajo manjši vpliv na okolje in zagotavljajo varčevanje z naravnimi viri, materiali in energijo ter imajo enake ali boljše funkcionalnosti</w:t>
      </w:r>
      <w:r w:rsidRPr="00F55715">
        <w:rPr>
          <w:rFonts w:ascii="Arial" w:eastAsia="Times New Roman" w:hAnsi="Arial" w:cs="Arial"/>
          <w:sz w:val="20"/>
          <w:szCs w:val="20"/>
          <w:lang w:eastAsia="sl-SI"/>
        </w:rPr>
        <w:t>.</w:t>
      </w:r>
    </w:p>
    <w:p w:rsidR="00D60601" w:rsidRPr="00F55715" w:rsidRDefault="00D60601" w:rsidP="00D60601">
      <w:pPr>
        <w:numPr>
          <w:ilvl w:val="0"/>
          <w:numId w:val="5"/>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Okoljske vidiki se opredeli na enega ali več naslednjih načinov:</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v tehničnih specifikacijah kot tehnični standard, zahtevo glede delovanja, funkcionalnost ali drugo značilnost predmeta,</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 xml:space="preserve">kot pogoj za </w:t>
      </w:r>
      <w:r w:rsidR="00C255F4" w:rsidRPr="00F55715">
        <w:rPr>
          <w:rFonts w:ascii="Arial" w:eastAsia="Times New Roman" w:hAnsi="Arial" w:cs="Arial"/>
          <w:bCs/>
          <w:sz w:val="20"/>
          <w:szCs w:val="20"/>
          <w:lang w:eastAsia="sl-SI"/>
        </w:rPr>
        <w:t xml:space="preserve">prijavo </w:t>
      </w:r>
      <w:r w:rsidRPr="00F55715">
        <w:rPr>
          <w:rFonts w:ascii="Arial" w:eastAsia="Times New Roman" w:hAnsi="Arial" w:cs="Arial"/>
          <w:bCs/>
          <w:sz w:val="20"/>
          <w:szCs w:val="20"/>
          <w:lang w:eastAsia="sl-SI"/>
        </w:rPr>
        <w:t>gospodarskega subjekta na javni razpis ali poziv,</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 xml:space="preserve">kot merilo za </w:t>
      </w:r>
      <w:r w:rsidR="00C255F4" w:rsidRPr="00F55715">
        <w:rPr>
          <w:rFonts w:ascii="Arial" w:eastAsia="Times New Roman" w:hAnsi="Arial" w:cs="Arial"/>
          <w:bCs/>
          <w:sz w:val="20"/>
          <w:szCs w:val="20"/>
          <w:lang w:eastAsia="sl-SI"/>
        </w:rPr>
        <w:t xml:space="preserve">prijavo </w:t>
      </w:r>
      <w:r w:rsidRPr="00F55715">
        <w:rPr>
          <w:rFonts w:ascii="Arial" w:eastAsia="Times New Roman" w:hAnsi="Arial" w:cs="Arial"/>
          <w:bCs/>
          <w:sz w:val="20"/>
          <w:szCs w:val="20"/>
          <w:lang w:eastAsia="sl-SI"/>
        </w:rPr>
        <w:t>gospodarskega subjekta na javni razpis ali poziv, zlasti ob upoštevanju stroškov v življenjski dobi blaga, storitve ali gradnje v skladu s 85. členom ZJN-3.</w:t>
      </w:r>
    </w:p>
    <w:p w:rsidR="00D60601" w:rsidRPr="00F55715" w:rsidRDefault="00D60601" w:rsidP="00D60601">
      <w:pPr>
        <w:numPr>
          <w:ilvl w:val="0"/>
          <w:numId w:val="5"/>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V postopku javnega razpisa ali poziva se merila praviloma opredeli tako, da se vsaj eno izmed meril oziroma del stroškov v življenjski dobi nanaša na okoljske vidike in cilje iz prejšnjega člena.</w:t>
      </w:r>
    </w:p>
    <w:p w:rsidR="00D60601" w:rsidRPr="00F55715" w:rsidRDefault="00D60601" w:rsidP="00D60601">
      <w:pPr>
        <w:numPr>
          <w:ilvl w:val="0"/>
          <w:numId w:val="5"/>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Zmanjšanje okoljskih obremenitev se lahko spodbuja tudi tako, da:</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se kot posebno določilo javnega razpisa ali poziva določi, da mora gospodarski subjekt v času izvedbe vzpostaviti sistem ravnanja z okoljem ali pridobiti znak za okolje tipa</w:t>
      </w:r>
      <w:r w:rsidR="00F67F77"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I ali začeti postopek za vzpostavitev sistema ravnanja z okoljem ali pridobitev znaka za okolje tipa</w:t>
      </w:r>
      <w:r w:rsidR="00F67F77"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I,</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 xml:space="preserve">se kot posebno določilo javnega razpisa ali poziva določi, da mora gospodarski subjekt, ki nima vzpostavljenega sistema ravnanja z okoljem, med trajanjem pogodbe za nekaj odstotkov izboljšati </w:t>
      </w:r>
      <w:r w:rsidR="00C255F4" w:rsidRPr="00F55715">
        <w:rPr>
          <w:rFonts w:ascii="Arial" w:eastAsia="Times New Roman" w:hAnsi="Arial" w:cs="Arial"/>
          <w:bCs/>
          <w:sz w:val="20"/>
          <w:szCs w:val="20"/>
          <w:lang w:eastAsia="sl-SI"/>
        </w:rPr>
        <w:t>»</w:t>
      </w:r>
      <w:r w:rsidRPr="00F55715">
        <w:rPr>
          <w:rFonts w:ascii="Arial" w:eastAsia="Times New Roman" w:hAnsi="Arial" w:cs="Arial"/>
          <w:bCs/>
          <w:sz w:val="20"/>
          <w:szCs w:val="20"/>
          <w:lang w:eastAsia="sl-SI"/>
        </w:rPr>
        <w:t>ogljični odtis</w:t>
      </w:r>
      <w:r w:rsidR="00C255F4" w:rsidRPr="00F55715">
        <w:rPr>
          <w:rFonts w:ascii="Arial" w:eastAsia="Times New Roman" w:hAnsi="Arial" w:cs="Arial"/>
          <w:bCs/>
          <w:sz w:val="20"/>
          <w:szCs w:val="20"/>
          <w:lang w:eastAsia="sl-SI"/>
        </w:rPr>
        <w:t>«</w:t>
      </w:r>
      <w:r w:rsidRPr="00F55715">
        <w:rPr>
          <w:rFonts w:ascii="Arial" w:eastAsia="Times New Roman" w:hAnsi="Arial" w:cs="Arial"/>
          <w:bCs/>
          <w:sz w:val="20"/>
          <w:szCs w:val="20"/>
          <w:lang w:eastAsia="sl-SI"/>
        </w:rPr>
        <w:t xml:space="preserve"> svoje organizacije ali izdelka, ki je predmet javnega razpisa ali poziva,</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vlogo subjekta, ki ima vzpostavljen sistem ravnanja z okoljem, ali ponudbo z izdelki z znakom za okolje tipa I v sklopu meril za oddajo javnega naročila oceni kot boljšo,</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se s posebnim orodjem pred začetkom postopka javnega razpisa ali poziva, med njim ali ko je končan, izračuna oziroma pridobi izračun emisij CO</w:t>
      </w:r>
      <w:r w:rsidRPr="00F55715">
        <w:rPr>
          <w:rFonts w:ascii="Arial" w:eastAsia="Times New Roman" w:hAnsi="Arial" w:cs="Arial"/>
          <w:bCs/>
          <w:sz w:val="20"/>
          <w:szCs w:val="20"/>
          <w:vertAlign w:val="subscript"/>
          <w:lang w:eastAsia="sl-SI"/>
        </w:rPr>
        <w:t>2</w:t>
      </w:r>
      <w:r w:rsidRPr="00F55715">
        <w:rPr>
          <w:rFonts w:ascii="Arial" w:eastAsia="Times New Roman" w:hAnsi="Arial" w:cs="Arial"/>
          <w:bCs/>
          <w:sz w:val="20"/>
          <w:szCs w:val="20"/>
          <w:lang w:eastAsia="sl-SI"/>
        </w:rPr>
        <w:t xml:space="preserve"> oziroma stroškov v življenjski dobi vozila, energenta, blaga, storitve ali gradnje, ki je predmet javnega razpisa ali poziva, ter ugotovitve primerja s predhodnimi podatki ali konkurenčnimi vozili, energenti</w:t>
      </w:r>
      <w:r w:rsidR="00F67F77" w:rsidRPr="00F55715">
        <w:rPr>
          <w:rFonts w:ascii="Arial" w:eastAsia="Times New Roman" w:hAnsi="Arial" w:cs="Arial"/>
          <w:bCs/>
          <w:sz w:val="20"/>
          <w:szCs w:val="20"/>
          <w:lang w:eastAsia="sl-SI"/>
        </w:rPr>
        <w:t>,</w:t>
      </w:r>
      <w:r w:rsidRPr="00F55715">
        <w:rPr>
          <w:rFonts w:ascii="Arial" w:eastAsia="Times New Roman" w:hAnsi="Arial" w:cs="Arial"/>
          <w:bCs/>
          <w:sz w:val="20"/>
          <w:szCs w:val="20"/>
          <w:lang w:eastAsia="sl-SI"/>
        </w:rPr>
        <w:t xml:space="preserve"> blagom, storitvami ali gradnjami.</w:t>
      </w:r>
    </w:p>
    <w:p w:rsidR="00D60601" w:rsidRPr="00F55715" w:rsidRDefault="00D60601" w:rsidP="00D60601">
      <w:pPr>
        <w:numPr>
          <w:ilvl w:val="0"/>
          <w:numId w:val="5"/>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 xml:space="preserve">Za spodbujanje okoljskih inovacij </w:t>
      </w:r>
      <w:r w:rsidR="00C255F4" w:rsidRPr="00F55715">
        <w:rPr>
          <w:rFonts w:ascii="Arial" w:eastAsia="Times New Roman" w:hAnsi="Arial" w:cs="Arial"/>
          <w:sz w:val="20"/>
          <w:szCs w:val="20"/>
          <w:lang w:eastAsia="sl-SI"/>
        </w:rPr>
        <w:t xml:space="preserve"> (nova tehnologija, izdelek, proces, postopke ali storitev, ki lahko prispeva k varstvu okolja ali učinkovitejši rabi virov) </w:t>
      </w:r>
      <w:r w:rsidRPr="00F55715">
        <w:rPr>
          <w:rFonts w:ascii="Arial" w:eastAsia="Times New Roman" w:hAnsi="Arial" w:cs="Arial"/>
          <w:sz w:val="20"/>
          <w:szCs w:val="20"/>
          <w:lang w:eastAsia="sl-SI"/>
        </w:rPr>
        <w:t>in prehod v krožno gospodarstvo, se v dokumentaciji v zvezi z oddajo javnega razpisa ali poziva v tehničnih specifikacijah namesto tehničnih standardov opredeli funkcionalne zahteve predmeta javnega razpisa ali poziva.</w:t>
      </w:r>
    </w:p>
    <w:p w:rsidR="00D60601" w:rsidRPr="00F55715" w:rsidRDefault="00D60601" w:rsidP="00D60601">
      <w:pPr>
        <w:numPr>
          <w:ilvl w:val="0"/>
          <w:numId w:val="5"/>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Kadar je to skladno s stroškovno učinkovitostjo, ekonomsko izvedljivostjo, širšo trajnostjo, tehnično ustreznostjo in zadostno konkurenco ter je predmet javnega razpisa ali poziva vezan na rabo energije, se okoljski vidik energijske učinkovitosti v postopek javnega razpisa ali poziva vključi na enega ali več načinov iz drugega odstavka tega člena, pri čemer se zahtevo ali merilo opredeli s sklicevanjem na najvišji razred energijske učinkovitosti, ki ga</w:t>
      </w:r>
      <w:r w:rsidR="00C255F4" w:rsidRPr="00F55715">
        <w:rPr>
          <w:rFonts w:ascii="Arial" w:eastAsia="Times New Roman" w:hAnsi="Arial" w:cs="Arial"/>
          <w:sz w:val="20"/>
          <w:szCs w:val="20"/>
          <w:lang w:eastAsia="sl-SI"/>
        </w:rPr>
        <w:t xml:space="preserve">, </w:t>
      </w:r>
      <w:r w:rsidR="008A2E8E" w:rsidRPr="00F55715">
        <w:rPr>
          <w:rFonts w:ascii="Arial" w:eastAsia="Times New Roman" w:hAnsi="Arial" w:cs="Arial"/>
          <w:sz w:val="20"/>
          <w:szCs w:val="20"/>
          <w:shd w:val="clear" w:color="auto" w:fill="FFFFFF"/>
          <w:lang w:eastAsia="sl-SI"/>
        </w:rPr>
        <w:t>vozilo, energenti, blago, storitve in gradnje</w:t>
      </w:r>
      <w:r w:rsidR="008A2E8E" w:rsidRPr="00F55715">
        <w:rPr>
          <w:rFonts w:ascii="Arial" w:eastAsia="Times New Roman" w:hAnsi="Arial" w:cs="Arial"/>
          <w:sz w:val="20"/>
          <w:szCs w:val="20"/>
          <w:lang w:eastAsia="sl-SI"/>
        </w:rPr>
        <w:t xml:space="preserve"> </w:t>
      </w:r>
      <w:r w:rsidRPr="00F55715">
        <w:rPr>
          <w:rFonts w:ascii="Arial" w:eastAsia="Times New Roman" w:hAnsi="Arial" w:cs="Arial"/>
          <w:sz w:val="20"/>
          <w:szCs w:val="20"/>
          <w:lang w:eastAsia="sl-SI"/>
        </w:rPr>
        <w:t>dosega</w:t>
      </w:r>
      <w:r w:rsidR="008A2E8E" w:rsidRPr="00F55715">
        <w:rPr>
          <w:rFonts w:ascii="Arial" w:eastAsia="Times New Roman" w:hAnsi="Arial" w:cs="Arial"/>
          <w:sz w:val="20"/>
          <w:szCs w:val="20"/>
          <w:lang w:eastAsia="sl-SI"/>
        </w:rPr>
        <w:t>jo</w:t>
      </w:r>
      <w:r w:rsidRPr="00F55715">
        <w:rPr>
          <w:rFonts w:ascii="Arial" w:eastAsia="Times New Roman" w:hAnsi="Arial" w:cs="Arial"/>
          <w:sz w:val="20"/>
          <w:szCs w:val="20"/>
          <w:lang w:eastAsia="sl-SI"/>
        </w:rPr>
        <w:t xml:space="preserve"> na trgu. Javni razpis ali poziv se oblikuje tako, da se glede na celoten predmet javnega razpisa ali poziva doseže najboljša mogoča energijska učinkovitost. Javne razpise ali pozive za storitve, ki imajo znaten energetski vidik, pa se izvaja ob upoštevanju možnosti dolgoročnega prihranka energije. Pri tem se zahteva, da ponudniki storitve opravljajo z uporabo blaga, ki izpolnjuje zahteve najvišjega razreda energijske učinkovitosti, razen če uporaba blaga ni neposredno povezana s predmetom javnega razpisa ali poziva.</w:t>
      </w:r>
    </w:p>
    <w:p w:rsidR="00D60601" w:rsidRPr="00F55715" w:rsidRDefault="00D60601" w:rsidP="00D60601">
      <w:pPr>
        <w:numPr>
          <w:ilvl w:val="0"/>
          <w:numId w:val="5"/>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Pri javnih razpisih ali pozivih za cestna vozila, razen tovornega ali delovnega vozila za zbiranje odpadkov, se kot merilo pri javnem razpisu ali pozivu uporabi Metodologijo za oceno operativnih stroškov v življenjski dobi vozila, ki je Priloga 2 in sestavni del Uredbe o zelenem javnem naročanju (Uradni list RS, št. 51/17 in 64/19), in vključuje vsaj stroške porabljene energije in emisij CO</w:t>
      </w:r>
      <w:r w:rsidRPr="00F55715">
        <w:rPr>
          <w:rFonts w:ascii="Arial" w:eastAsia="Times New Roman" w:hAnsi="Arial" w:cs="Arial"/>
          <w:sz w:val="20"/>
          <w:szCs w:val="20"/>
          <w:vertAlign w:val="subscript"/>
          <w:lang w:eastAsia="sl-SI"/>
        </w:rPr>
        <w:t>2</w:t>
      </w:r>
      <w:r w:rsidRPr="00F55715">
        <w:rPr>
          <w:rFonts w:ascii="Arial" w:eastAsia="Times New Roman" w:hAnsi="Arial" w:cs="Arial"/>
          <w:sz w:val="20"/>
          <w:szCs w:val="20"/>
          <w:lang w:eastAsia="sl-SI"/>
        </w:rPr>
        <w:t>, NO</w:t>
      </w:r>
      <w:r w:rsidRPr="00F55715">
        <w:rPr>
          <w:rFonts w:ascii="Arial" w:eastAsia="Times New Roman" w:hAnsi="Arial" w:cs="Arial"/>
          <w:sz w:val="20"/>
          <w:szCs w:val="20"/>
          <w:vertAlign w:val="subscript"/>
          <w:lang w:eastAsia="sl-SI"/>
        </w:rPr>
        <w:t>x</w:t>
      </w:r>
      <w:r w:rsidRPr="00F55715">
        <w:rPr>
          <w:rFonts w:ascii="Arial" w:eastAsia="Times New Roman" w:hAnsi="Arial" w:cs="Arial"/>
          <w:sz w:val="20"/>
          <w:szCs w:val="20"/>
          <w:lang w:eastAsia="sl-SI"/>
        </w:rPr>
        <w:t>, NMHC in prašnih delcev. Kadar metodologije za oceno operativnih stroškov v življenjski dobi vozila ni mogoče uporabiti zaradi pomanjkljivih informacij o emisijah CO</w:t>
      </w:r>
      <w:r w:rsidRPr="00F55715">
        <w:rPr>
          <w:rFonts w:ascii="Arial" w:eastAsia="Times New Roman" w:hAnsi="Arial" w:cs="Arial"/>
          <w:sz w:val="20"/>
          <w:szCs w:val="20"/>
          <w:vertAlign w:val="subscript"/>
          <w:lang w:eastAsia="sl-SI"/>
        </w:rPr>
        <w:t>2</w:t>
      </w:r>
      <w:r w:rsidRPr="00F55715">
        <w:rPr>
          <w:rFonts w:ascii="Arial" w:eastAsia="Times New Roman" w:hAnsi="Arial" w:cs="Arial"/>
          <w:sz w:val="20"/>
          <w:szCs w:val="20"/>
          <w:lang w:eastAsia="sl-SI"/>
        </w:rPr>
        <w:t>, NO</w:t>
      </w:r>
      <w:r w:rsidRPr="00F55715">
        <w:rPr>
          <w:rFonts w:ascii="Arial" w:eastAsia="Times New Roman" w:hAnsi="Arial" w:cs="Arial"/>
          <w:sz w:val="20"/>
          <w:szCs w:val="20"/>
          <w:vertAlign w:val="subscript"/>
          <w:lang w:eastAsia="sl-SI"/>
        </w:rPr>
        <w:t>x</w:t>
      </w:r>
      <w:r w:rsidRPr="00F55715">
        <w:rPr>
          <w:rFonts w:ascii="Arial" w:eastAsia="Times New Roman" w:hAnsi="Arial" w:cs="Arial"/>
          <w:sz w:val="20"/>
          <w:szCs w:val="20"/>
          <w:lang w:eastAsia="sl-SI"/>
        </w:rPr>
        <w:t>, NMHC in prašnih delcev ali nedostopnosti informacij o emisijah CO</w:t>
      </w:r>
      <w:r w:rsidRPr="00F55715">
        <w:rPr>
          <w:rFonts w:ascii="Arial" w:eastAsia="Times New Roman" w:hAnsi="Arial" w:cs="Arial"/>
          <w:sz w:val="20"/>
          <w:szCs w:val="20"/>
          <w:vertAlign w:val="subscript"/>
          <w:lang w:eastAsia="sl-SI"/>
        </w:rPr>
        <w:t>2</w:t>
      </w:r>
      <w:r w:rsidRPr="00F55715">
        <w:rPr>
          <w:rFonts w:ascii="Arial" w:eastAsia="Times New Roman" w:hAnsi="Arial" w:cs="Arial"/>
          <w:sz w:val="20"/>
          <w:szCs w:val="20"/>
          <w:lang w:eastAsia="sl-SI"/>
        </w:rPr>
        <w:t>, NO</w:t>
      </w:r>
      <w:r w:rsidRPr="00F55715">
        <w:rPr>
          <w:rFonts w:ascii="Arial" w:eastAsia="Times New Roman" w:hAnsi="Arial" w:cs="Arial"/>
          <w:sz w:val="20"/>
          <w:szCs w:val="20"/>
          <w:vertAlign w:val="subscript"/>
          <w:lang w:eastAsia="sl-SI"/>
        </w:rPr>
        <w:t>x</w:t>
      </w:r>
      <w:r w:rsidRPr="00F55715">
        <w:rPr>
          <w:rFonts w:ascii="Arial" w:eastAsia="Times New Roman" w:hAnsi="Arial" w:cs="Arial"/>
          <w:sz w:val="20"/>
          <w:szCs w:val="20"/>
          <w:lang w:eastAsia="sl-SI"/>
        </w:rPr>
        <w:t xml:space="preserve">, NMHC in prašnih delcev v </w:t>
      </w:r>
      <w:r w:rsidRPr="00F55715">
        <w:rPr>
          <w:rFonts w:ascii="Arial" w:eastAsia="Times New Roman" w:hAnsi="Arial" w:cs="Arial"/>
          <w:sz w:val="20"/>
          <w:szCs w:val="20"/>
          <w:lang w:eastAsia="sl-SI"/>
        </w:rPr>
        <w:lastRenderedPageBreak/>
        <w:t>ustrezni merski enoti, ki bi glede na druge parametre za izračun ocene operativnih stroškov v življenjski dobi vozila omogočale izračun stroškov, se v tehničnih specifikacijah opredeli minimalne tehnične zahteve za energetsko in okoljsko sprejemljivost, zlasti glede emisij CO</w:t>
      </w:r>
      <w:r w:rsidRPr="00F55715">
        <w:rPr>
          <w:rFonts w:ascii="Arial" w:eastAsia="Times New Roman" w:hAnsi="Arial" w:cs="Arial"/>
          <w:sz w:val="20"/>
          <w:szCs w:val="20"/>
          <w:vertAlign w:val="subscript"/>
          <w:lang w:eastAsia="sl-SI"/>
        </w:rPr>
        <w:t>2</w:t>
      </w:r>
      <w:r w:rsidRPr="00F55715">
        <w:rPr>
          <w:rFonts w:ascii="Arial" w:eastAsia="Times New Roman" w:hAnsi="Arial" w:cs="Arial"/>
          <w:sz w:val="20"/>
          <w:szCs w:val="20"/>
          <w:lang w:eastAsia="sl-SI"/>
        </w:rPr>
        <w:t>, NO</w:t>
      </w:r>
      <w:r w:rsidRPr="00F55715">
        <w:rPr>
          <w:rFonts w:ascii="Arial" w:eastAsia="Times New Roman" w:hAnsi="Arial" w:cs="Arial"/>
          <w:sz w:val="20"/>
          <w:szCs w:val="20"/>
          <w:vertAlign w:val="subscript"/>
          <w:lang w:eastAsia="sl-SI"/>
        </w:rPr>
        <w:t>x</w:t>
      </w:r>
      <w:r w:rsidRPr="00F55715">
        <w:rPr>
          <w:rFonts w:ascii="Arial" w:eastAsia="Times New Roman" w:hAnsi="Arial" w:cs="Arial"/>
          <w:sz w:val="20"/>
          <w:szCs w:val="20"/>
          <w:lang w:eastAsia="sl-SI"/>
        </w:rPr>
        <w:t>, NMHC in prašnih delcev.</w:t>
      </w:r>
    </w:p>
    <w:p w:rsidR="00D60601" w:rsidRPr="00F55715" w:rsidRDefault="00D60601" w:rsidP="00D60601">
      <w:pPr>
        <w:spacing w:after="120" w:line="240" w:lineRule="auto"/>
        <w:ind w:left="1021"/>
        <w:jc w:val="both"/>
        <w:rPr>
          <w:rFonts w:ascii="Arial" w:eastAsia="Times New Roman" w:hAnsi="Arial" w:cs="Arial"/>
          <w:sz w:val="20"/>
          <w:szCs w:val="20"/>
          <w:lang w:eastAsia="sl-SI"/>
        </w:rPr>
      </w:pPr>
    </w:p>
    <w:p w:rsidR="00D60601" w:rsidRPr="00F55715" w:rsidRDefault="00D60601" w:rsidP="00D60601">
      <w:pPr>
        <w:spacing w:after="120" w:line="240" w:lineRule="auto"/>
        <w:jc w:val="center"/>
        <w:rPr>
          <w:rFonts w:ascii="Arial" w:eastAsia="Times New Roman" w:hAnsi="Arial" w:cs="Arial"/>
          <w:sz w:val="20"/>
          <w:szCs w:val="20"/>
          <w:lang w:eastAsia="sl-SI"/>
        </w:rPr>
      </w:pPr>
      <w:r w:rsidRPr="00F55715">
        <w:rPr>
          <w:rFonts w:ascii="Arial" w:eastAsia="Times New Roman" w:hAnsi="Arial" w:cs="Arial"/>
          <w:sz w:val="20"/>
          <w:szCs w:val="20"/>
          <w:lang w:eastAsia="sl-SI"/>
        </w:rPr>
        <w:t>III. KUMULACIJA</w:t>
      </w: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(kumulacija spodbud)</w:t>
      </w:r>
    </w:p>
    <w:p w:rsidR="00D60601" w:rsidRPr="00F55715" w:rsidRDefault="00D60601" w:rsidP="00D60601">
      <w:pPr>
        <w:numPr>
          <w:ilvl w:val="0"/>
          <w:numId w:val="6"/>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Pri dodelitvi državnih pomoči se upoštevajo najvišje dovoljene intenzivnosti sofinanciranja upravičenih stroškov v okviru posameznih naložb ter skupni znesek državne pomoči za dejavnost, projekt ali podjetje, ki prejema pomoč. Skupna višina dodeljenih sredstev državne pomoči za iste upravičene stroške ne sme presegati zgornje meje intenzivnosti državne pomoči, ki jo določajo predpisi s področja državnih pomoči, ne glede na to, iz katerih proračunskih virov je pomoč dodeljena.</w:t>
      </w:r>
    </w:p>
    <w:p w:rsidR="00D60601" w:rsidRPr="00F55715" w:rsidRDefault="00D60601" w:rsidP="00D60601">
      <w:pPr>
        <w:numPr>
          <w:ilvl w:val="0"/>
          <w:numId w:val="6"/>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Dodelitev državnih pomoči ni združljiva s pomočjo »de minimis« za iste upravičene stroške, če bi bile s tem presežene dovoljene meje intenzivnosti pomoči iz 15.</w:t>
      </w:r>
      <w:r w:rsidR="00F161D9"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člena te</w:t>
      </w:r>
      <w:r w:rsidR="00060956">
        <w:rPr>
          <w:rFonts w:ascii="Arial" w:eastAsia="Times New Roman" w:hAnsi="Arial" w:cs="Arial"/>
          <w:sz w:val="20"/>
          <w:szCs w:val="20"/>
          <w:lang w:eastAsia="sl-SI"/>
        </w:rPr>
        <w:t xml:space="preserve"> uredbe</w:t>
      </w:r>
      <w:r w:rsidRPr="00F55715">
        <w:rPr>
          <w:rFonts w:ascii="Arial" w:eastAsia="Times New Roman" w:hAnsi="Arial" w:cs="Arial"/>
          <w:sz w:val="20"/>
          <w:szCs w:val="20"/>
          <w:lang w:eastAsia="sl-SI"/>
        </w:rPr>
        <w:t>.</w:t>
      </w:r>
    </w:p>
    <w:p w:rsidR="00D60601" w:rsidRPr="00F55715" w:rsidRDefault="00D60601" w:rsidP="00D60601">
      <w:pPr>
        <w:numPr>
          <w:ilvl w:val="0"/>
          <w:numId w:val="6"/>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Znesek in vir vseh spodbud, ki jih je prijavitelj prejel za projekt, ki je predmet prijave, mora biti naveden v prijavi.</w:t>
      </w:r>
    </w:p>
    <w:p w:rsidR="00D60601" w:rsidRPr="00F55715" w:rsidRDefault="00D60601" w:rsidP="00D60601">
      <w:pPr>
        <w:numPr>
          <w:ilvl w:val="0"/>
          <w:numId w:val="6"/>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Za kumulacijo državnih pomoči se upoštevajo določbe 8.</w:t>
      </w:r>
      <w:r w:rsidR="00F161D9"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člena Uredbe (EU) št</w:t>
      </w:r>
      <w:r w:rsidR="00F161D9"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 xml:space="preserve"> 651/2014.</w:t>
      </w:r>
    </w:p>
    <w:p w:rsidR="00D60601" w:rsidRPr="00F55715" w:rsidRDefault="00D60601" w:rsidP="00D60601">
      <w:pPr>
        <w:numPr>
          <w:ilvl w:val="0"/>
          <w:numId w:val="6"/>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Pomoč »de minimis« se ne sme kumulirati z državno pomočjo v zvezi z istimi upravičenimi stroški ali državno pomočjo za isti ukrep za financiranje tveganja, če se s takšno kumulacijo preseže največja intenzivnost državnih pomoči iz 15.</w:t>
      </w:r>
      <w:r w:rsidR="00F161D9"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člena te</w:t>
      </w:r>
      <w:r w:rsidR="00060956">
        <w:rPr>
          <w:rFonts w:ascii="Arial" w:eastAsia="Times New Roman" w:hAnsi="Arial" w:cs="Arial"/>
          <w:sz w:val="20"/>
          <w:szCs w:val="20"/>
          <w:lang w:eastAsia="sl-SI"/>
        </w:rPr>
        <w:t xml:space="preserve"> uredbe</w:t>
      </w:r>
      <w:r w:rsidRPr="00F55715">
        <w:rPr>
          <w:rFonts w:ascii="Arial" w:eastAsia="Times New Roman" w:hAnsi="Arial" w:cs="Arial"/>
          <w:sz w:val="20"/>
          <w:szCs w:val="20"/>
          <w:lang w:eastAsia="sl-SI"/>
        </w:rPr>
        <w:t xml:space="preserve"> ali znesek državne pomoči, določen za posebne okoliščine vsakega primera. Pomoč »de minimis«, ki ni dodeljena za določene upravičene stroške ali je navedenim stroškom ni mogoče pripisati, se lahko kumulira z drugo državno pomočjo.</w:t>
      </w:r>
    </w:p>
    <w:p w:rsidR="00D60601" w:rsidRPr="00F55715" w:rsidRDefault="00D60601" w:rsidP="00D60601">
      <w:pPr>
        <w:spacing w:after="120" w:line="240" w:lineRule="auto"/>
        <w:jc w:val="both"/>
        <w:rPr>
          <w:rFonts w:ascii="Arial" w:eastAsia="Times New Roman" w:hAnsi="Arial" w:cs="Arial"/>
          <w:sz w:val="20"/>
          <w:szCs w:val="20"/>
          <w:lang w:eastAsia="sl-SI"/>
        </w:rPr>
      </w:pPr>
    </w:p>
    <w:p w:rsidR="00D60601" w:rsidRPr="00F55715" w:rsidRDefault="00D60601" w:rsidP="00D60601">
      <w:pPr>
        <w:spacing w:after="120" w:line="240" w:lineRule="auto"/>
        <w:jc w:val="center"/>
        <w:rPr>
          <w:rFonts w:ascii="Arial" w:eastAsia="Times New Roman" w:hAnsi="Arial" w:cs="Arial"/>
          <w:sz w:val="20"/>
          <w:szCs w:val="20"/>
          <w:lang w:eastAsia="sl-SI"/>
        </w:rPr>
      </w:pPr>
      <w:r w:rsidRPr="00F55715">
        <w:rPr>
          <w:rFonts w:ascii="Arial" w:eastAsia="Times New Roman" w:hAnsi="Arial" w:cs="Arial"/>
          <w:sz w:val="20"/>
          <w:szCs w:val="20"/>
          <w:lang w:eastAsia="sl-SI"/>
        </w:rPr>
        <w:t>IV. SPODBUDE, KI SE DODELJUJEJO KOT DRŽAVNE POMOČI</w:t>
      </w: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(vrsta)</w:t>
      </w:r>
    </w:p>
    <w:p w:rsidR="00D60601" w:rsidRPr="00F55715" w:rsidRDefault="00D60601" w:rsidP="00D60601">
      <w:pPr>
        <w:numPr>
          <w:ilvl w:val="0"/>
          <w:numId w:val="7"/>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Državne pomoči, ki se dodeljujejo na podlagi te</w:t>
      </w:r>
      <w:r w:rsidR="00060956">
        <w:rPr>
          <w:rFonts w:ascii="Arial" w:eastAsia="Times New Roman" w:hAnsi="Arial" w:cs="Arial"/>
          <w:sz w:val="20"/>
          <w:szCs w:val="20"/>
          <w:lang w:eastAsia="sl-SI"/>
        </w:rPr>
        <w:t xml:space="preserve"> uredbe</w:t>
      </w:r>
      <w:r w:rsidRPr="00F55715">
        <w:rPr>
          <w:rFonts w:ascii="Arial" w:eastAsia="Times New Roman" w:hAnsi="Arial" w:cs="Arial"/>
          <w:sz w:val="20"/>
          <w:szCs w:val="20"/>
          <w:lang w:eastAsia="sl-SI"/>
        </w:rPr>
        <w:t>, se dodeljujejo v skladu z Uredbo (EU) št.</w:t>
      </w:r>
      <w:r w:rsidR="00F161D9"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651/2014 in zajemajo tudi državne pomoči majhnim in srednjim podjetjem za sofinanciranje študij, vključno z energetskimi pregledi.</w:t>
      </w:r>
    </w:p>
    <w:p w:rsidR="00D60601" w:rsidRPr="00F55715" w:rsidRDefault="00D60601" w:rsidP="00D60601">
      <w:pPr>
        <w:numPr>
          <w:ilvl w:val="0"/>
          <w:numId w:val="7"/>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Velikost majhnih in srednjih podjetij se presoja v skladu s prilogo</w:t>
      </w:r>
      <w:r w:rsidR="00F161D9"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1 Uredbe (EU) št.</w:t>
      </w:r>
      <w:r w:rsidR="00F161D9"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651/2014.</w:t>
      </w:r>
    </w:p>
    <w:p w:rsidR="00D60601" w:rsidRPr="00F55715" w:rsidRDefault="00D60601" w:rsidP="00D60601">
      <w:pPr>
        <w:spacing w:after="120" w:line="240" w:lineRule="auto"/>
        <w:jc w:val="both"/>
        <w:rPr>
          <w:rFonts w:ascii="Arial" w:eastAsia="Times New Roman" w:hAnsi="Arial" w:cs="Arial"/>
          <w:bCs/>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(vrste naložb, za katere se lahko dodelijo državne pomoči)</w:t>
      </w:r>
    </w:p>
    <w:p w:rsidR="00D60601" w:rsidRPr="00F55715" w:rsidRDefault="00D60601" w:rsidP="00D60601">
      <w:pPr>
        <w:numPr>
          <w:ilvl w:val="0"/>
          <w:numId w:val="8"/>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Državne pomoči se posebej dodeli v obliki nepovratnih sredstev za:</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spodbujanje vzpostavljanja infrastrukture za alternativna goriva v prometu v skladu z Uredbo o vzpostavitvi infrastrukture za alternativna goriva v prometu (Uradni list RS, št.</w:t>
      </w:r>
      <w:r w:rsidR="00F161D9"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41/17),</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spodbujanje uvajanja vozil na alternativna goriva v prometu,</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izvajanje drugih ukrepov v skladu z Akcijskim programom za alternativna goriva v prometu.</w:t>
      </w:r>
    </w:p>
    <w:p w:rsidR="00D60601" w:rsidRPr="00F55715" w:rsidRDefault="00D60601" w:rsidP="00D60601">
      <w:pPr>
        <w:numPr>
          <w:ilvl w:val="0"/>
          <w:numId w:val="8"/>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Državne pomoči se lahko dodeli v obliki nepovratnih sredstev tudi za sofinanciranje študij, vključno z energetskimi pregledi, in začetnih naložb v projekte, ki omogočajo:</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preseganje veljavnih standardov EU za varstvo okolja oziroma povišanje ravni varstva okolja v odsotnosti standardov EU,</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učinkovito rabo energije,</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rabo obnovljivih virov energije,</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soproizvodnjo toplote in električne energije z visokim izkoristkom,</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učinkovito daljinsko ogrevanje in hlajenje,</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učinkovito upravljanje z elektroenergetskim omrežjem ali inteligentna energetska omrežja.</w:t>
      </w:r>
    </w:p>
    <w:p w:rsidR="00D60601" w:rsidRPr="00F55715" w:rsidRDefault="00D60601" w:rsidP="00D60601">
      <w:pPr>
        <w:numPr>
          <w:ilvl w:val="0"/>
          <w:numId w:val="8"/>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lastRenderedPageBreak/>
        <w:t>Projekti, za katere se dodeljujejo državne pomoči, se podrobneje določijo v javnem razpisu.</w:t>
      </w:r>
    </w:p>
    <w:p w:rsidR="00D60601" w:rsidRPr="00F55715" w:rsidRDefault="00D60601" w:rsidP="00D60601">
      <w:pPr>
        <w:numPr>
          <w:ilvl w:val="0"/>
          <w:numId w:val="8"/>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 xml:space="preserve">Državnih pomoči se ne dodeli za naložbe v naslednje dejavnosti: </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primarno proizvodnjo kmetijskih proizvodov iz seznama v Prilogi</w:t>
      </w:r>
      <w:r w:rsidR="00F161D9"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I k Pogodbi o ustanovitvi Evropske skupnosti (UL C št. 321E z dne 29.</w:t>
      </w:r>
      <w:r w:rsidR="00F161D9"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12</w:t>
      </w:r>
      <w:r w:rsidR="00F161D9"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 xml:space="preserve"> 2006, str.</w:t>
      </w:r>
      <w:r w:rsidR="00F161D9"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183), plutastih proizvodov in proizvodov, ki posnemajo ali nadomeščajo mleko in mlečne proizvode,</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predelavo in trženje kmetijskih proizvodov v primerih:</w:t>
      </w:r>
    </w:p>
    <w:p w:rsidR="00D60601" w:rsidRPr="00F55715" w:rsidRDefault="00D60601" w:rsidP="00D60601">
      <w:pPr>
        <w:numPr>
          <w:ilvl w:val="0"/>
          <w:numId w:val="9"/>
        </w:numPr>
        <w:spacing w:after="0" w:line="240" w:lineRule="auto"/>
        <w:ind w:left="1066" w:hanging="357"/>
        <w:jc w:val="both"/>
        <w:rPr>
          <w:rFonts w:ascii="Arial" w:eastAsia="Times New Roman" w:hAnsi="Arial" w:cs="Arial"/>
          <w:bCs/>
          <w:sz w:val="20"/>
          <w:szCs w:val="20"/>
          <w:lang w:eastAsia="sl-SI"/>
        </w:rPr>
      </w:pPr>
      <w:r w:rsidRPr="00F55715">
        <w:rPr>
          <w:rFonts w:ascii="Arial" w:eastAsia="Times New Roman" w:hAnsi="Arial" w:cs="Arial"/>
          <w:sz w:val="20"/>
          <w:szCs w:val="20"/>
          <w:lang w:eastAsia="sl-SI"/>
        </w:rPr>
        <w:t>kadar je znesek državne pomoči določen na podlagi cene oziroma količine takih proizvodov, ki jih je podjetje bodisi kupilo od primarnih proizvajalcev bodisi jih je dalo zadevno podjetje na trg,</w:t>
      </w:r>
    </w:p>
    <w:p w:rsidR="00D60601" w:rsidRPr="00F55715" w:rsidRDefault="00D60601" w:rsidP="00D60601">
      <w:pPr>
        <w:numPr>
          <w:ilvl w:val="0"/>
          <w:numId w:val="9"/>
        </w:numPr>
        <w:spacing w:after="120" w:line="240" w:lineRule="auto"/>
        <w:jc w:val="both"/>
        <w:rPr>
          <w:rFonts w:ascii="Arial" w:eastAsia="Times New Roman" w:hAnsi="Arial" w:cs="Arial"/>
          <w:bCs/>
          <w:sz w:val="20"/>
          <w:szCs w:val="20"/>
          <w:lang w:eastAsia="sl-SI"/>
        </w:rPr>
      </w:pPr>
      <w:r w:rsidRPr="00F55715">
        <w:rPr>
          <w:rFonts w:ascii="Arial" w:eastAsia="Times New Roman" w:hAnsi="Arial" w:cs="Arial"/>
          <w:sz w:val="20"/>
          <w:szCs w:val="20"/>
          <w:lang w:eastAsia="sl-SI"/>
        </w:rPr>
        <w:t>kadar je državna pomoč pogojena s tem, da se delno ali v celoti prenese na primarne proizvajalce:</w:t>
      </w:r>
    </w:p>
    <w:p w:rsidR="00D60601" w:rsidRPr="00F55715" w:rsidRDefault="00D60601" w:rsidP="00D60601">
      <w:pPr>
        <w:numPr>
          <w:ilvl w:val="1"/>
          <w:numId w:val="2"/>
        </w:numPr>
        <w:spacing w:after="0" w:line="240" w:lineRule="auto"/>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ribištvo, ribogojništvo in akvakultura,</w:t>
      </w:r>
    </w:p>
    <w:p w:rsidR="00D60601" w:rsidRPr="00F55715" w:rsidRDefault="00D60601" w:rsidP="00D60601">
      <w:pPr>
        <w:numPr>
          <w:ilvl w:val="1"/>
          <w:numId w:val="2"/>
        </w:numPr>
        <w:spacing w:after="0" w:line="240" w:lineRule="auto"/>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premogovništvo,</w:t>
      </w:r>
    </w:p>
    <w:p w:rsidR="00D60601" w:rsidRPr="00F55715" w:rsidRDefault="00D60601" w:rsidP="00D60601">
      <w:pPr>
        <w:numPr>
          <w:ilvl w:val="1"/>
          <w:numId w:val="2"/>
        </w:numPr>
        <w:spacing w:after="0" w:line="240" w:lineRule="auto"/>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jeklarstvo,</w:t>
      </w:r>
    </w:p>
    <w:p w:rsidR="00D60601" w:rsidRPr="00F55715" w:rsidRDefault="00D60601" w:rsidP="00D60601">
      <w:pPr>
        <w:numPr>
          <w:ilvl w:val="1"/>
          <w:numId w:val="2"/>
        </w:numPr>
        <w:spacing w:after="0" w:line="240" w:lineRule="auto"/>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 xml:space="preserve">promet, </w:t>
      </w:r>
    </w:p>
    <w:p w:rsidR="00D60601" w:rsidRPr="00F55715" w:rsidRDefault="00D60601" w:rsidP="00D60601">
      <w:pPr>
        <w:numPr>
          <w:ilvl w:val="1"/>
          <w:numId w:val="2"/>
        </w:numPr>
        <w:spacing w:after="0" w:line="240" w:lineRule="auto"/>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ladjedelništvo,</w:t>
      </w:r>
    </w:p>
    <w:p w:rsidR="00D60601" w:rsidRPr="00F55715" w:rsidRDefault="00D60601" w:rsidP="00D60601">
      <w:pPr>
        <w:numPr>
          <w:ilvl w:val="1"/>
          <w:numId w:val="2"/>
        </w:numPr>
        <w:spacing w:after="0" w:line="240" w:lineRule="auto"/>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industrijo sintetičnih vlaken,</w:t>
      </w:r>
    </w:p>
    <w:p w:rsidR="00D60601" w:rsidRPr="00F55715" w:rsidRDefault="00D60601" w:rsidP="00D60601">
      <w:pPr>
        <w:numPr>
          <w:ilvl w:val="1"/>
          <w:numId w:val="2"/>
        </w:numPr>
        <w:spacing w:after="0" w:line="240" w:lineRule="auto"/>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proizvodnjo orožja in streliva,</w:t>
      </w:r>
    </w:p>
    <w:p w:rsidR="00D60601" w:rsidRPr="00F55715" w:rsidRDefault="00D60601" w:rsidP="00D60601">
      <w:pPr>
        <w:numPr>
          <w:ilvl w:val="1"/>
          <w:numId w:val="2"/>
        </w:numPr>
        <w:spacing w:after="0" w:line="240" w:lineRule="auto"/>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izvajanje okoljskih študij t.i. energetski pregledi za velik</w:t>
      </w:r>
      <w:r w:rsidR="00BF7DC8" w:rsidRPr="00F55715">
        <w:rPr>
          <w:rFonts w:ascii="Arial" w:eastAsia="Times New Roman" w:hAnsi="Arial" w:cs="Arial"/>
          <w:bCs/>
          <w:sz w:val="20"/>
          <w:szCs w:val="20"/>
          <w:lang w:eastAsia="sl-SI"/>
        </w:rPr>
        <w:t>edružbe</w:t>
      </w:r>
      <w:r w:rsidRPr="00F55715">
        <w:rPr>
          <w:rFonts w:ascii="Arial" w:eastAsia="Times New Roman" w:hAnsi="Arial" w:cs="Arial"/>
          <w:bCs/>
          <w:sz w:val="20"/>
          <w:szCs w:val="20"/>
          <w:lang w:eastAsia="sl-SI"/>
        </w:rPr>
        <w:t>,</w:t>
      </w:r>
    </w:p>
    <w:p w:rsidR="00D60601" w:rsidRPr="00F55715" w:rsidRDefault="00D60601" w:rsidP="00D60601">
      <w:pPr>
        <w:numPr>
          <w:ilvl w:val="1"/>
          <w:numId w:val="2"/>
        </w:numPr>
        <w:spacing w:after="120" w:line="240" w:lineRule="auto"/>
        <w:ind w:left="143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zaprtje nekonkurenčnih premogovnikov.</w:t>
      </w:r>
    </w:p>
    <w:p w:rsidR="00D60601" w:rsidRPr="00F55715" w:rsidRDefault="00D60601" w:rsidP="00D60601">
      <w:pPr>
        <w:numPr>
          <w:ilvl w:val="0"/>
          <w:numId w:val="8"/>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Državna pomoč se ne dodeli za dejavnosti, povezane z izvozom, ki so neposredno povezane z izvoženimi količinami, z vzpostavitvijo in delovanjem distribucijske mreže ali z drugimi tekočimi stroški v zvezi z izvozno dejavnostjo.</w:t>
      </w:r>
    </w:p>
    <w:p w:rsidR="00D60601" w:rsidRPr="00F55715" w:rsidRDefault="00D60601" w:rsidP="00D60601">
      <w:pPr>
        <w:numPr>
          <w:ilvl w:val="0"/>
          <w:numId w:val="8"/>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Državna pomoč za naložbe za nakup novih prevoznih sredstev za cestni promet, ki podjetjem omogoča preseganje standardov EU oziroma povišanje ravni varstva okolja v odsotnosti standardov EU (v nadaljevanju: okoljska pomoč), se po te</w:t>
      </w:r>
      <w:r w:rsidR="00060956">
        <w:rPr>
          <w:rFonts w:ascii="Arial" w:eastAsia="Times New Roman" w:hAnsi="Arial" w:cs="Arial"/>
          <w:sz w:val="20"/>
          <w:szCs w:val="20"/>
          <w:lang w:eastAsia="sl-SI"/>
        </w:rPr>
        <w:t>j uredbi</w:t>
      </w:r>
      <w:r w:rsidRPr="00F55715">
        <w:rPr>
          <w:rFonts w:ascii="Arial" w:eastAsia="Times New Roman" w:hAnsi="Arial" w:cs="Arial"/>
          <w:sz w:val="20"/>
          <w:szCs w:val="20"/>
          <w:lang w:eastAsia="sl-SI"/>
        </w:rPr>
        <w:t xml:space="preserve"> smatra za upravičeno in se lahko dodeli, če so izpolnjeni naslednji pogoji:</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 xml:space="preserve">naložba upravičencu omogoča, da poviša raven varstva okolja s svojimi dejavnostmi s preseganjem veljavnih standardov EU, ne glede na obstoj obveznih nacionalnih standardov, ki so </w:t>
      </w:r>
      <w:r w:rsidR="008A2E8E" w:rsidRPr="00F55715">
        <w:rPr>
          <w:rFonts w:ascii="Arial" w:eastAsia="Times New Roman" w:hAnsi="Arial" w:cs="Arial"/>
          <w:bCs/>
          <w:sz w:val="20"/>
          <w:szCs w:val="20"/>
          <w:lang w:eastAsia="sl-SI"/>
        </w:rPr>
        <w:t xml:space="preserve">morda </w:t>
      </w:r>
      <w:r w:rsidRPr="00F55715">
        <w:rPr>
          <w:rFonts w:ascii="Arial" w:eastAsia="Times New Roman" w:hAnsi="Arial" w:cs="Arial"/>
          <w:bCs/>
          <w:sz w:val="20"/>
          <w:szCs w:val="20"/>
          <w:lang w:eastAsia="sl-SI"/>
        </w:rPr>
        <w:t>strožji od standardov EU;</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naložba upravičencu omogoča, da poviša raven varstva okolja s svojimi dejavnostmi v odsotnosti standardov EU.</w:t>
      </w:r>
    </w:p>
    <w:p w:rsidR="00D60601" w:rsidRPr="00F55715" w:rsidRDefault="00D60601" w:rsidP="00D60601">
      <w:pPr>
        <w:numPr>
          <w:ilvl w:val="0"/>
          <w:numId w:val="8"/>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Pomoč za nakup novih transportnih vozil za cestni promet, ki izpolnjujejo sprejete standarde EU, se smatra za upravičeno in se lahko dodeli, če je bil nakup izveden pred njihovim začetkom veljavnosti in kadar se novi standardi EU, ko bodo obvezni, ne uporabljajo z veljavnostjo za nazaj za že kupljena vozila.</w:t>
      </w:r>
    </w:p>
    <w:p w:rsidR="00D60601" w:rsidRPr="00F55715" w:rsidRDefault="00D60601" w:rsidP="00D60601">
      <w:pPr>
        <w:numPr>
          <w:ilvl w:val="0"/>
          <w:numId w:val="8"/>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Pomoč za naknadno opremljanje obstoječih vozil za cestni promet z okoljevarstvenim namenom se smatra za upravičeno in se lahko dodeli, če se obstoječa prevozna sredstva nadgradijo v skladu z okoljskimi standardi, ki na dan začetka obratovanja teh prevoznih sredstev še niso bili veljavni ali če za obstoječa prevozna sredstva ne veljajo nobeni okoljski standardi. Ko ti standardi začnejo veljati, se ne uporabljajo retroaktivno za navedena prevozna sredstva.</w:t>
      </w:r>
    </w:p>
    <w:p w:rsidR="00D60601" w:rsidRPr="00F55715" w:rsidRDefault="00D60601" w:rsidP="00D60601">
      <w:pPr>
        <w:spacing w:after="120" w:line="240" w:lineRule="auto"/>
        <w:jc w:val="both"/>
        <w:rPr>
          <w:rFonts w:ascii="Arial" w:eastAsia="Times New Roman" w:hAnsi="Arial" w:cs="Arial"/>
          <w:bCs/>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(upravičenci)</w:t>
      </w:r>
    </w:p>
    <w:p w:rsidR="00D60601" w:rsidRPr="00F55715" w:rsidRDefault="00D60601" w:rsidP="00D60601">
      <w:pPr>
        <w:spacing w:after="120" w:line="240" w:lineRule="auto"/>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Upravičenci za dodelitev državnih pomoči so:</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 xml:space="preserve">gospodarske družbe in samostojni podjetniki posamezniki po Zakonu o gospodarskih družbah (Uradni list RS, št. 42/06, 60/06, 26/07 – ZSDU-B, 33/07 – ZSReg-B, 67/07 – ZTFI, 10/08, 68/08, 42/09, 33/11, 91/11, 32/12, 57/12, 44/13 – odl. US, 82/13, 55/15, </w:t>
      </w:r>
      <w:hyperlink r:id="rId7" w:tgtFrame="_blank" w:tooltip="Zakon o spremembah in dopolnitvah Zakona o gospodarskih družbah" w:history="1">
        <w:r w:rsidRPr="00F55715">
          <w:rPr>
            <w:rFonts w:ascii="Arial" w:eastAsia="Times New Roman" w:hAnsi="Arial" w:cs="Arial"/>
            <w:bCs/>
            <w:sz w:val="20"/>
            <w:szCs w:val="20"/>
            <w:lang w:eastAsia="sl-SI"/>
          </w:rPr>
          <w:t>15/17</w:t>
        </w:r>
      </w:hyperlink>
      <w:r w:rsidRPr="00F55715">
        <w:rPr>
          <w:rFonts w:ascii="Arial" w:eastAsia="Times New Roman" w:hAnsi="Arial" w:cs="Arial"/>
          <w:bCs/>
          <w:sz w:val="20"/>
          <w:szCs w:val="20"/>
          <w:lang w:eastAsia="sl-SI"/>
        </w:rPr>
        <w:t xml:space="preserve"> in </w:t>
      </w:r>
      <w:hyperlink r:id="rId8" w:tgtFrame="_blank" w:tooltip="Zakon o poslovni skrivnosti" w:history="1">
        <w:r w:rsidRPr="00F55715">
          <w:rPr>
            <w:rFonts w:ascii="Arial" w:eastAsia="Times New Roman" w:hAnsi="Arial" w:cs="Arial"/>
            <w:bCs/>
            <w:sz w:val="20"/>
            <w:szCs w:val="20"/>
            <w:lang w:eastAsia="sl-SI"/>
          </w:rPr>
          <w:t>22/19</w:t>
        </w:r>
      </w:hyperlink>
      <w:r w:rsidRPr="00F55715">
        <w:rPr>
          <w:rFonts w:ascii="Arial" w:eastAsia="Times New Roman" w:hAnsi="Arial" w:cs="Arial"/>
          <w:bCs/>
          <w:sz w:val="20"/>
          <w:szCs w:val="20"/>
          <w:lang w:eastAsia="sl-SI"/>
        </w:rPr>
        <w:t xml:space="preserve"> – ZPosS) in</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 xml:space="preserve">zadruge po Zakonu o zadrugah (Uradni list RS, št. </w:t>
      </w:r>
      <w:r w:rsidRPr="00F55715">
        <w:rPr>
          <w:rFonts w:ascii="Arial" w:eastAsia="Times New Roman" w:hAnsi="Arial" w:cs="Arial"/>
          <w:sz w:val="20"/>
          <w:szCs w:val="20"/>
          <w:lang w:eastAsia="sl-SI"/>
        </w:rPr>
        <w:t>97/09 – uradno prečiščeno besedilo</w:t>
      </w:r>
      <w:r w:rsidRPr="00F55715">
        <w:rPr>
          <w:rFonts w:ascii="Arial" w:eastAsia="Times New Roman" w:hAnsi="Arial" w:cs="Arial"/>
          <w:bCs/>
          <w:sz w:val="20"/>
          <w:szCs w:val="20"/>
          <w:lang w:eastAsia="sl-SI"/>
        </w:rPr>
        <w:t>), ki nameravajo izvesti začetno naložbo v projekte iz prvega odstavka 8. člena te</w:t>
      </w:r>
      <w:r w:rsidR="00060956">
        <w:rPr>
          <w:rFonts w:ascii="Arial" w:eastAsia="Times New Roman" w:hAnsi="Arial" w:cs="Arial"/>
          <w:bCs/>
          <w:sz w:val="20"/>
          <w:szCs w:val="20"/>
          <w:lang w:eastAsia="sl-SI"/>
        </w:rPr>
        <w:t xml:space="preserve"> uredbe</w:t>
      </w:r>
      <w:r w:rsidRPr="00F55715">
        <w:rPr>
          <w:rFonts w:ascii="Arial" w:eastAsia="Times New Roman" w:hAnsi="Arial" w:cs="Arial"/>
          <w:bCs/>
          <w:sz w:val="20"/>
          <w:szCs w:val="20"/>
          <w:lang w:eastAsia="sl-SI"/>
        </w:rPr>
        <w:t>.</w:t>
      </w:r>
    </w:p>
    <w:p w:rsidR="00D60601" w:rsidRPr="00F55715" w:rsidRDefault="00D60601" w:rsidP="00D60601">
      <w:pPr>
        <w:spacing w:after="120" w:line="240" w:lineRule="auto"/>
        <w:jc w:val="both"/>
        <w:rPr>
          <w:rFonts w:ascii="Arial" w:eastAsia="Times New Roman" w:hAnsi="Arial" w:cs="Arial"/>
          <w:bCs/>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lastRenderedPageBreak/>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(spodbujevalni učinek)</w:t>
      </w:r>
    </w:p>
    <w:p w:rsidR="00D60601" w:rsidRPr="00F55715" w:rsidRDefault="00D60601" w:rsidP="00D60601">
      <w:pPr>
        <w:spacing w:after="120" w:line="240" w:lineRule="auto"/>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Šteje se, da ima državna pomoč spodbujevalni učinek, če prijavitelj predloži pisni zahtevek za državno pomoč pred začetkom izvajanja projekta ali dejavnosti. Zahtevek za odobritev državne pomoči mora vsebovati najmanj naslednje podatke:</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ime in velikost podjetja;</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opis projekta, vključno z datumi začetka in zaključka;</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lokacija projekta;</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seznam stroškov projekta;</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vrsta pomoči in znesek javnega financiranja, potrebnega za projekt.</w:t>
      </w:r>
    </w:p>
    <w:p w:rsidR="00D60601" w:rsidRPr="00F55715" w:rsidRDefault="00D60601" w:rsidP="00D60601">
      <w:pPr>
        <w:spacing w:after="120" w:line="240" w:lineRule="auto"/>
        <w:jc w:val="both"/>
        <w:rPr>
          <w:rFonts w:ascii="Arial" w:eastAsia="Times New Roman" w:hAnsi="Arial" w:cs="Arial"/>
          <w:bCs/>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(upravičeni stroški)</w:t>
      </w:r>
    </w:p>
    <w:p w:rsidR="00D60601" w:rsidRPr="00F55715" w:rsidRDefault="00D60601" w:rsidP="00D60601">
      <w:pPr>
        <w:spacing w:after="120" w:line="240" w:lineRule="auto"/>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Sofinancirajo se naslednji upravičeni stroški začetnih naložb projektov iz prvega in drugega odstavka 10.</w:t>
      </w:r>
      <w:r w:rsidR="00C0261C"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člena te</w:t>
      </w:r>
      <w:r w:rsidR="00060956">
        <w:rPr>
          <w:rFonts w:ascii="Arial" w:eastAsia="Times New Roman" w:hAnsi="Arial" w:cs="Arial"/>
          <w:sz w:val="20"/>
          <w:szCs w:val="20"/>
          <w:lang w:eastAsia="sl-SI"/>
        </w:rPr>
        <w:t xml:space="preserve"> uredbe</w:t>
      </w:r>
      <w:r w:rsidRPr="00F55715">
        <w:rPr>
          <w:rFonts w:ascii="Arial" w:eastAsia="Times New Roman" w:hAnsi="Arial" w:cs="Arial"/>
          <w:sz w:val="20"/>
          <w:szCs w:val="20"/>
          <w:lang w:eastAsia="sl-SI"/>
        </w:rPr>
        <w:t xml:space="preserve"> na področju uvajanja uporabe alternativnih goriv v prometu:</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upravičeni stroški za preseganje veljavnih standardov EU ali zvišanje ravni varstva okolja v odsotnosti standardov EU, ki se določijo skladno s petim odstavkom 36.</w:t>
      </w:r>
      <w:r w:rsidR="006F3354"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člena Uredbe (EU) št.</w:t>
      </w:r>
      <w:r w:rsidR="006F3354"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651/2014;</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upravičeni stroški za doseganje višje ravni energetske učinkovitosti, ki se določijo skladno s tretjim odstavkom 38.</w:t>
      </w:r>
      <w:r w:rsidR="006F3354"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člena Uredbe (EU) št.</w:t>
      </w:r>
      <w:r w:rsidR="006F3354"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651/2014;</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upravičeni stroški za spodbujanje proizvodnje energije iz obnovljivih virov in vgradnjo sistemov za samooskrbo z električno energijo iz obnovljivih virov energije, ki so sestavljeni iz naprave za proizvodnjo električne energije z izkoriščanjem obnovljivih virov energije</w:t>
      </w:r>
      <w:r w:rsidR="003927A3" w:rsidRPr="00F55715">
        <w:rPr>
          <w:rFonts w:ascii="Arial" w:eastAsia="Times New Roman" w:hAnsi="Arial" w:cs="Arial"/>
          <w:bCs/>
          <w:sz w:val="20"/>
          <w:szCs w:val="20"/>
          <w:lang w:eastAsia="sl-SI"/>
        </w:rPr>
        <w:t xml:space="preserve"> in</w:t>
      </w:r>
      <w:r w:rsidRPr="00F55715">
        <w:rPr>
          <w:rFonts w:ascii="Arial" w:eastAsia="Times New Roman" w:hAnsi="Arial" w:cs="Arial"/>
          <w:bCs/>
          <w:sz w:val="20"/>
          <w:szCs w:val="20"/>
          <w:lang w:eastAsia="sl-SI"/>
        </w:rPr>
        <w:t xml:space="preserve"> hranilnika energije, ki se določijo v skladu s šestim odstavkom 41.</w:t>
      </w:r>
      <w:r w:rsidR="006F3354"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člena Uredbe (EU) št.</w:t>
      </w:r>
      <w:r w:rsidR="006F3354"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651/2014;</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upravičeni stroški za izvedbo pilotnih in demonstracijskih projektov na področju uvajanja alternativnih goriv v prometu</w:t>
      </w:r>
      <w:r w:rsidR="008A5001" w:rsidRPr="00F55715">
        <w:rPr>
          <w:rFonts w:ascii="Arial" w:eastAsia="Times New Roman" w:hAnsi="Arial" w:cs="Arial"/>
          <w:bCs/>
          <w:sz w:val="20"/>
          <w:szCs w:val="20"/>
          <w:lang w:eastAsia="sl-SI"/>
        </w:rPr>
        <w:t>.</w:t>
      </w:r>
    </w:p>
    <w:p w:rsidR="00D60601" w:rsidRPr="00F55715" w:rsidRDefault="00D60601" w:rsidP="00D60601">
      <w:pPr>
        <w:spacing w:after="120" w:line="240" w:lineRule="auto"/>
        <w:jc w:val="both"/>
        <w:rPr>
          <w:rFonts w:ascii="Arial" w:eastAsia="Times New Roman" w:hAnsi="Arial" w:cs="Arial"/>
          <w:bCs/>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(pogoji za dodelitev državnih pomoči)</w:t>
      </w:r>
    </w:p>
    <w:p w:rsidR="00D60601" w:rsidRPr="00F55715" w:rsidRDefault="00D60601" w:rsidP="00D60601">
      <w:pPr>
        <w:numPr>
          <w:ilvl w:val="0"/>
          <w:numId w:val="10"/>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Državna pomoč se dodeli na podlagi javnega razpisa ali poziva za naložbo, ki ima zaključeno finančno konstrukcijo in zagotovljene finančne vire za izvedbo celotne naložbe. Če kakšen izmed finančnih virov na dan oddaje prijave na razpis še ni zagotovljen, mora prijavitelj podati izjavo, da bo sredstva nadomestil iz lastnih virov, če ti viri ne bodo pridobljeni.</w:t>
      </w:r>
    </w:p>
    <w:p w:rsidR="00D60601" w:rsidRPr="00F55715" w:rsidRDefault="00D60601" w:rsidP="00D60601">
      <w:pPr>
        <w:numPr>
          <w:ilvl w:val="0"/>
          <w:numId w:val="10"/>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Za naložbo mora biti izdelana in s strani odgovorne osebe prijavitelja potrjena investicijska dokumentacija (v nadaljnjem besedilu: ID), ki je izdelana v skladu z uredbo, ki določa enotno metodologijo za pripravo in obravnavo investicijske dokumentacije na področju javnih financ. ID ne sme biti starejša kot eno leto in mora jasno izkazovati namen ter izpolnjevanje vseh pogojev in zahtev razpisa.</w:t>
      </w:r>
    </w:p>
    <w:p w:rsidR="00D60601" w:rsidRPr="00F55715" w:rsidRDefault="00D60601" w:rsidP="00D60601">
      <w:pPr>
        <w:numPr>
          <w:ilvl w:val="0"/>
          <w:numId w:val="10"/>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Državnih pomoči se ne dodeli, če:</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je naložbeni projekt za iste upravičene stroške, ki vsebuje elemente državnih pomoči že sofinanciran iz drugih sredstev državnega, lokalnega ali proračuna EU in če skupna višina prejetih sredstev iz tega naslova presega najvišje dovoljene višine sofinanciranja, ki jih določajo pravila s področja državnih pomoči,</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je investitor insolventen,</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je investitor v stanju kapitalske neustreznosti v skladu s predpisi o finančnem poslovanju podjetij,</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je zoper investitorja uveden postopek prisilne poravnave, stečajni postopek ali postopek likvidacije,</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je investitor naveden na seznamu podjetij, s katerimi državni organi ne smejo poslovati v skladu z zakonom, ki ureja preprečevanje korupcije,</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ima investitor neporavnane obveznosti do Republike Slovenije,</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je investitor ob oddaji vloge za dodelitev spodbude v postopku pridobivanja finančne pomoči ali prejema pomoč za reševanje in prestrukturiranje gospodarskih družb v težavah,</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lastRenderedPageBreak/>
        <w:t>je investitor »podjetje v težavah« v skladu z 18.</w:t>
      </w:r>
      <w:r w:rsidR="008A5001"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točko 2.</w:t>
      </w:r>
      <w:r w:rsidR="008A5001"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člena Uredbe (EU) št.</w:t>
      </w:r>
      <w:r w:rsidR="008A5001"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651/2014.</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 xml:space="preserve">ima investitor neporavnan nalog za vračilo za preveč izplačane pomoči po pravilu </w:t>
      </w:r>
      <w:r w:rsidR="008A5001" w:rsidRPr="00F55715">
        <w:rPr>
          <w:rFonts w:ascii="Arial" w:eastAsia="Times New Roman" w:hAnsi="Arial" w:cs="Arial"/>
          <w:bCs/>
          <w:sz w:val="20"/>
          <w:szCs w:val="20"/>
          <w:lang w:eastAsia="sl-SI"/>
        </w:rPr>
        <w:t>»</w:t>
      </w:r>
      <w:r w:rsidRPr="00F55715">
        <w:rPr>
          <w:rFonts w:ascii="Arial" w:eastAsia="Times New Roman" w:hAnsi="Arial" w:cs="Arial"/>
          <w:bCs/>
          <w:sz w:val="20"/>
          <w:szCs w:val="20"/>
          <w:lang w:eastAsia="sl-SI"/>
        </w:rPr>
        <w:t>de minimis</w:t>
      </w:r>
      <w:r w:rsidR="008A5001" w:rsidRPr="00F55715">
        <w:rPr>
          <w:rFonts w:ascii="Arial" w:eastAsia="Times New Roman" w:hAnsi="Arial" w:cs="Arial"/>
          <w:bCs/>
          <w:sz w:val="20"/>
          <w:szCs w:val="20"/>
          <w:lang w:eastAsia="sl-SI"/>
        </w:rPr>
        <w:t>«</w:t>
      </w:r>
      <w:r w:rsidRPr="00F55715">
        <w:rPr>
          <w:rFonts w:ascii="Arial" w:eastAsia="Times New Roman" w:hAnsi="Arial" w:cs="Arial"/>
          <w:bCs/>
          <w:sz w:val="20"/>
          <w:szCs w:val="20"/>
          <w:lang w:eastAsia="sl-SI"/>
        </w:rPr>
        <w:t xml:space="preserve"> ali državne pomoči na podlagi predhodnega poziva Ministrstva za finance,</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je investitor naslovnik neporavnanega naloga za izterjavo zaradi predhodne odločbe Evropske komisije, ki je pomoč razglasila za nezakonito in nezdružljivo s skupnim trgom.</w:t>
      </w:r>
    </w:p>
    <w:p w:rsidR="00D60601" w:rsidRPr="00F55715" w:rsidRDefault="00D60601" w:rsidP="00D60601">
      <w:pPr>
        <w:numPr>
          <w:ilvl w:val="0"/>
          <w:numId w:val="10"/>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Državna pomoč se lahko dodeli le za sofinanciranje naložbe, ki ima spodbujevalni učinek.</w:t>
      </w:r>
    </w:p>
    <w:p w:rsidR="00D60601" w:rsidRPr="00F55715" w:rsidRDefault="00D60601" w:rsidP="00D60601">
      <w:pPr>
        <w:numPr>
          <w:ilvl w:val="0"/>
          <w:numId w:val="10"/>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Državna pomoč za spodbujanje uvajanja uporabe alternativnih goriv v prometu se dodeli v skladu z 41., 43., 44., 48.</w:t>
      </w:r>
      <w:r w:rsidR="008A5001"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členi Uredbe (EU) št.</w:t>
      </w:r>
      <w:r w:rsidR="00E81108"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651/2014.</w:t>
      </w:r>
    </w:p>
    <w:p w:rsidR="00D60601" w:rsidRPr="00F55715" w:rsidRDefault="00D60601" w:rsidP="004E00DF">
      <w:pPr>
        <w:numPr>
          <w:ilvl w:val="0"/>
          <w:numId w:val="10"/>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Državna pomoč za naložbe, ki omogoča preseganje standardov EU za varstvo okolja oziroma povišanje ravni varstva okolja v odsotnosti standardov EU, se dodeli v skladu z določili prvega, drugega in tretjega odstavka 36.</w:t>
      </w:r>
      <w:r w:rsidR="00E81108"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člena Uredbe (EU) št.</w:t>
      </w:r>
      <w:r w:rsidR="00E81108"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651/2014.</w:t>
      </w:r>
    </w:p>
    <w:p w:rsidR="00D60601" w:rsidRPr="00F55715" w:rsidRDefault="00D60601" w:rsidP="00D60601">
      <w:pPr>
        <w:numPr>
          <w:ilvl w:val="0"/>
          <w:numId w:val="10"/>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Državna pomoč za naložbe za spodbujanje energije iz obnovljivih virov in sistemov za samooskrbo se dodeli v skladu z določili prvega do petega odstavka 41.</w:t>
      </w:r>
      <w:r w:rsidR="00E81108"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člena Uredbe (EU) št.</w:t>
      </w:r>
      <w:r w:rsidR="00E81108"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651/2014.</w:t>
      </w:r>
    </w:p>
    <w:p w:rsidR="00D60601" w:rsidRPr="00F55715" w:rsidRDefault="00D60601" w:rsidP="00D60601">
      <w:pPr>
        <w:spacing w:after="120" w:line="240" w:lineRule="auto"/>
        <w:jc w:val="both"/>
        <w:rPr>
          <w:rFonts w:ascii="Arial" w:eastAsia="Times New Roman" w:hAnsi="Arial" w:cs="Arial"/>
          <w:bCs/>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(intenzivnost državnih pomoči)</w:t>
      </w:r>
    </w:p>
    <w:p w:rsidR="00D60601" w:rsidRPr="00F55715" w:rsidRDefault="00D60601" w:rsidP="00D60601">
      <w:pPr>
        <w:numPr>
          <w:ilvl w:val="0"/>
          <w:numId w:val="11"/>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Intenzivnost državnih pomoči v upravičenih stroških začetnih naložb projektov na področjih iz 10.</w:t>
      </w:r>
      <w:r w:rsidR="00E81108"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člena te</w:t>
      </w:r>
      <w:r w:rsidR="00060956">
        <w:rPr>
          <w:rFonts w:ascii="Arial" w:eastAsia="Times New Roman" w:hAnsi="Arial" w:cs="Arial"/>
          <w:sz w:val="20"/>
          <w:szCs w:val="20"/>
          <w:lang w:eastAsia="sl-SI"/>
        </w:rPr>
        <w:t xml:space="preserve"> uredbe</w:t>
      </w:r>
      <w:r w:rsidRPr="00F55715">
        <w:rPr>
          <w:rFonts w:ascii="Arial" w:eastAsia="Times New Roman" w:hAnsi="Arial" w:cs="Arial"/>
          <w:sz w:val="20"/>
          <w:szCs w:val="20"/>
          <w:lang w:eastAsia="sl-SI"/>
        </w:rPr>
        <w:t xml:space="preserve"> ne sme presegati:</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preseganje veljavnih standardov EU za varstvo okolja oziroma povišanje ravni varstva okolja v odsotnosti standardov EU: 40</w:t>
      </w:r>
      <w:r w:rsidR="00E81108"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 upravičenih stroškov;</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učinkovita raba energije: 30</w:t>
      </w:r>
      <w:r w:rsidR="00E81108"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 upravičenih stroškov;</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proizvodnja energije iz obnovljivih virov energije:</w:t>
      </w:r>
    </w:p>
    <w:p w:rsidR="00D60601" w:rsidRPr="00F55715" w:rsidRDefault="00D60601" w:rsidP="00D60601">
      <w:pPr>
        <w:numPr>
          <w:ilvl w:val="0"/>
          <w:numId w:val="12"/>
        </w:numPr>
        <w:spacing w:after="0" w:line="240" w:lineRule="auto"/>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45</w:t>
      </w:r>
      <w:r w:rsidR="00E81108"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 upravičenih stroškov, če so upravičeni stroški izračunani na podlagi točke (a) ali (b) šestega odstavka 41.</w:t>
      </w:r>
      <w:r w:rsidR="00E81108"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člena Uredbe (EU) št.</w:t>
      </w:r>
      <w:r w:rsidR="00E81108"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651/2014;</w:t>
      </w:r>
    </w:p>
    <w:p w:rsidR="00D60601" w:rsidRPr="00F55715" w:rsidRDefault="00D60601" w:rsidP="00D60601">
      <w:pPr>
        <w:numPr>
          <w:ilvl w:val="0"/>
          <w:numId w:val="12"/>
        </w:numPr>
        <w:spacing w:after="120" w:line="240" w:lineRule="auto"/>
        <w:ind w:left="1066"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30</w:t>
      </w:r>
      <w:r w:rsidR="00E81108"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 upravičenih stroškov, če so upravičeni stroški izračunani na podlagi točke (c) šestega odstavka 41.</w:t>
      </w:r>
      <w:r w:rsidR="00E81108"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člena Uredbe (EU) št.</w:t>
      </w:r>
      <w:r w:rsidR="00E81108"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651/2014;</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študije: 50</w:t>
      </w:r>
      <w:r w:rsidR="00E81108" w:rsidRPr="00F55715">
        <w:rPr>
          <w:rFonts w:ascii="Arial" w:eastAsia="Times New Roman" w:hAnsi="Arial" w:cs="Arial"/>
          <w:bCs/>
          <w:sz w:val="20"/>
          <w:szCs w:val="20"/>
          <w:lang w:eastAsia="sl-SI"/>
        </w:rPr>
        <w:t xml:space="preserve"> </w:t>
      </w:r>
      <w:r w:rsidRPr="00F55715">
        <w:rPr>
          <w:rFonts w:ascii="Arial" w:eastAsia="Times New Roman" w:hAnsi="Arial" w:cs="Arial"/>
          <w:bCs/>
          <w:sz w:val="20"/>
          <w:szCs w:val="20"/>
          <w:lang w:eastAsia="sl-SI"/>
        </w:rPr>
        <w:t>% upravičenih stroškov;</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izvedba pilotnih in demonstracijskih projektov na področju  uvajanja uporabe alternativnih goriv v prometu: višine razlike med upravičenimi stroški in poslovnim dobičkom naložbe; poslovni dobiček se predhodno odšteje od upravičenih stroškov ali preko mehanizma za vračilo sredstev.</w:t>
      </w:r>
    </w:p>
    <w:p w:rsidR="00D60601" w:rsidRPr="00F55715" w:rsidRDefault="00D60601" w:rsidP="00D60601">
      <w:pPr>
        <w:numPr>
          <w:ilvl w:val="0"/>
          <w:numId w:val="11"/>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Intenzivnost državnih pomoči se lahko dodatno poveča za 20 odstotnih točk za državno pomoč, dodeljeno malim podjetjem in za 10 odstotnih točk za državno pomoč, dodeljeno srednjim podjetjem. Povečanje ne velja za energetsko infrastrukturo.</w:t>
      </w:r>
    </w:p>
    <w:p w:rsidR="00D60601" w:rsidRPr="00F55715" w:rsidRDefault="00D60601" w:rsidP="00D60601">
      <w:pPr>
        <w:numPr>
          <w:ilvl w:val="0"/>
          <w:numId w:val="11"/>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Intenzivnost državnih pomoči se lahko dodatno poveča za 15 odstotnih točk za naložbe na območjih (a) in za 5 odstotnih točk za naložbe na območjih (c), določenih v Uredbi o karti regionalne pomoči za obdobje 2014–2020 (Uradni list RS, št.</w:t>
      </w:r>
      <w:r w:rsidR="00E81108"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103/13). Povečanje ne velja za študije in energetsko infrastrukturo.</w:t>
      </w:r>
    </w:p>
    <w:p w:rsidR="00D60601" w:rsidRPr="00F55715" w:rsidRDefault="00D60601" w:rsidP="00D60601">
      <w:pPr>
        <w:numPr>
          <w:ilvl w:val="0"/>
          <w:numId w:val="11"/>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Intenzivnost državnih pomoči se podrobneje določi z javnim razpisom glede na razpoložljiva sredstva in v skladu z Uredbo (EU) št.</w:t>
      </w:r>
      <w:r w:rsidR="00E81108"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651/2014.</w:t>
      </w:r>
    </w:p>
    <w:p w:rsidR="00D60601" w:rsidRPr="00F55715" w:rsidRDefault="00D60601" w:rsidP="00D60601">
      <w:pPr>
        <w:spacing w:after="120" w:line="240" w:lineRule="auto"/>
        <w:jc w:val="both"/>
        <w:rPr>
          <w:rFonts w:ascii="Arial" w:eastAsia="Times New Roman" w:hAnsi="Arial" w:cs="Arial"/>
          <w:bCs/>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(najvišja vrednost državne pomoči)</w:t>
      </w:r>
    </w:p>
    <w:p w:rsidR="00D60601" w:rsidRPr="00F55715" w:rsidRDefault="00D60601" w:rsidP="00D60601">
      <w:pPr>
        <w:spacing w:after="120" w:line="240" w:lineRule="auto"/>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Najvišji zneski za dodeljevanje državnih pomoči za naslednje projekte so:</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za naložbe glede preseganje veljavnih standardov EU za varstvo okolja oziroma povišanje ravni varstva okolja v odsotnosti standardov EU do 15.000.000</w:t>
      </w:r>
      <w:r w:rsidR="00E81108"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erov na podjetje in na naložbeni projekt;</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za naložbe za spodbujanje energije iz obnovljivih virov do 15.000.000</w:t>
      </w:r>
      <w:r w:rsidR="00E81108"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eurov na podjetje in na naložbeni projekt;</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za okoljske študije do 15.000.000</w:t>
      </w:r>
      <w:r w:rsidR="00E81108"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eurov na podjetje in na naložbeni projekt;</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lastRenderedPageBreak/>
        <w:t>za izvedbo pilotnih in demonstracijskih projektov na področju uvajanja uporabe alternativnih goriv v prometu 15.000.000 eurov na podjetje in na naložbeni projekt.</w:t>
      </w:r>
    </w:p>
    <w:p w:rsidR="00D60601" w:rsidRPr="00F55715" w:rsidRDefault="00D60601" w:rsidP="00D60601">
      <w:pPr>
        <w:spacing w:after="120" w:line="240" w:lineRule="auto"/>
        <w:jc w:val="both"/>
        <w:rPr>
          <w:rFonts w:ascii="Arial" w:eastAsia="Times New Roman" w:hAnsi="Arial" w:cs="Arial"/>
          <w:sz w:val="20"/>
          <w:szCs w:val="20"/>
          <w:lang w:eastAsia="sl-SI"/>
        </w:rPr>
      </w:pPr>
    </w:p>
    <w:p w:rsidR="00D60601" w:rsidRPr="00F55715" w:rsidRDefault="00D60601" w:rsidP="00D60601">
      <w:pPr>
        <w:spacing w:after="120" w:line="240" w:lineRule="auto"/>
        <w:jc w:val="center"/>
        <w:rPr>
          <w:rFonts w:ascii="Arial" w:eastAsia="Times New Roman" w:hAnsi="Arial" w:cs="Arial"/>
          <w:sz w:val="20"/>
          <w:szCs w:val="20"/>
          <w:lang w:eastAsia="sl-SI"/>
        </w:rPr>
      </w:pPr>
      <w:r w:rsidRPr="00F55715">
        <w:rPr>
          <w:rFonts w:ascii="Arial" w:eastAsia="Times New Roman" w:hAnsi="Arial" w:cs="Arial"/>
          <w:sz w:val="20"/>
          <w:szCs w:val="20"/>
          <w:lang w:eastAsia="sl-SI"/>
        </w:rPr>
        <w:t>VI. SPODBUDE, KI SE DODELJUJEJO PO NAČELU »DE MINIMIS«</w:t>
      </w: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(postopek)</w:t>
      </w:r>
    </w:p>
    <w:p w:rsidR="00D60601" w:rsidRPr="00F55715" w:rsidRDefault="00D60601" w:rsidP="00D60601">
      <w:pPr>
        <w:numPr>
          <w:ilvl w:val="0"/>
          <w:numId w:val="13"/>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»De minimis« pomoči se dodeljujejo v skladu z Uredbo (EU) št.</w:t>
      </w:r>
      <w:r w:rsidR="001A5A38"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1407/2013 in po postopku, ki ga za dodelitev subvencij, posojil in drugih oblik sofinanciranja iz državnega proračuna določajo predpisi, ki urejajo postopke za izvrševanje proračuna Republike Slovenije.</w:t>
      </w:r>
    </w:p>
    <w:p w:rsidR="00D60601" w:rsidRPr="00F55715" w:rsidRDefault="00D60601" w:rsidP="00D60601">
      <w:pPr>
        <w:numPr>
          <w:ilvl w:val="0"/>
          <w:numId w:val="13"/>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Podjetje, ki prejme pomoč po pravilu »de minimis«, se presoja glede na definicijo enotnega podjetja, definiranega v 2.</w:t>
      </w:r>
      <w:r w:rsidR="001A5A38"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členu Uredbe (EU) št.</w:t>
      </w:r>
      <w:r w:rsidR="001A5A38"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1407/2013.</w:t>
      </w:r>
    </w:p>
    <w:p w:rsidR="00D60601" w:rsidRPr="00F55715" w:rsidRDefault="00D60601" w:rsidP="00D60601">
      <w:pPr>
        <w:spacing w:after="120" w:line="240" w:lineRule="auto"/>
        <w:jc w:val="both"/>
        <w:rPr>
          <w:rFonts w:ascii="Arial" w:eastAsia="Times New Roman" w:hAnsi="Arial" w:cs="Arial"/>
          <w:bCs/>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(vrste naložb, za katere se dodeli »de minimis« pomoč)</w:t>
      </w:r>
    </w:p>
    <w:p w:rsidR="00D60601" w:rsidRPr="00F55715" w:rsidRDefault="00D60601" w:rsidP="00D60601">
      <w:pPr>
        <w:numPr>
          <w:ilvl w:val="0"/>
          <w:numId w:val="14"/>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Pomoč »de minimis« se v obliki nepovratnih sredstev dodeljuje za:</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 xml:space="preserve">sofinanciranje naložbenih projektov iz prvega odstavka </w:t>
      </w:r>
      <w:r w:rsidR="00BA3375" w:rsidRPr="00F55715">
        <w:rPr>
          <w:rFonts w:ascii="Arial" w:eastAsia="Times New Roman" w:hAnsi="Arial" w:cs="Arial"/>
          <w:bCs/>
          <w:sz w:val="20"/>
          <w:szCs w:val="20"/>
          <w:lang w:eastAsia="sl-SI"/>
        </w:rPr>
        <w:t>10</w:t>
      </w:r>
      <w:r w:rsidRPr="00F55715">
        <w:rPr>
          <w:rFonts w:ascii="Arial" w:eastAsia="Times New Roman" w:hAnsi="Arial" w:cs="Arial"/>
          <w:bCs/>
          <w:sz w:val="20"/>
          <w:szCs w:val="20"/>
          <w:lang w:eastAsia="sl-SI"/>
        </w:rPr>
        <w:t>.</w:t>
      </w:r>
      <w:r w:rsidR="001A5A38"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člena te</w:t>
      </w:r>
      <w:r w:rsidR="00060956">
        <w:rPr>
          <w:rFonts w:ascii="Arial" w:eastAsia="Times New Roman" w:hAnsi="Arial" w:cs="Arial"/>
          <w:bCs/>
          <w:sz w:val="20"/>
          <w:szCs w:val="20"/>
          <w:lang w:eastAsia="sl-SI"/>
        </w:rPr>
        <w:t xml:space="preserve"> uredbe</w:t>
      </w:r>
      <w:r w:rsidRPr="00F55715">
        <w:rPr>
          <w:rFonts w:ascii="Arial" w:eastAsia="Times New Roman" w:hAnsi="Arial" w:cs="Arial"/>
          <w:bCs/>
          <w:sz w:val="20"/>
          <w:szCs w:val="20"/>
          <w:lang w:eastAsia="sl-SI"/>
        </w:rPr>
        <w:t>;</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sofinanciranje študij, vključno z energetskimi pregledi, za velik</w:t>
      </w:r>
      <w:r w:rsidR="003927A3" w:rsidRPr="00F55715">
        <w:rPr>
          <w:rFonts w:ascii="Arial" w:eastAsia="Times New Roman" w:hAnsi="Arial" w:cs="Arial"/>
          <w:bCs/>
          <w:sz w:val="20"/>
          <w:szCs w:val="20"/>
          <w:lang w:eastAsia="sl-SI"/>
        </w:rPr>
        <w:t>e</w:t>
      </w:r>
      <w:r w:rsidRPr="00F55715">
        <w:rPr>
          <w:rFonts w:ascii="Arial" w:eastAsia="Times New Roman" w:hAnsi="Arial" w:cs="Arial"/>
          <w:bCs/>
          <w:sz w:val="20"/>
          <w:szCs w:val="20"/>
          <w:lang w:eastAsia="sl-SI"/>
        </w:rPr>
        <w:t xml:space="preserve"> </w:t>
      </w:r>
      <w:r w:rsidR="003927A3" w:rsidRPr="00F55715">
        <w:rPr>
          <w:rFonts w:ascii="Arial" w:eastAsia="Times New Roman" w:hAnsi="Arial" w:cs="Arial"/>
          <w:bCs/>
          <w:sz w:val="20"/>
          <w:szCs w:val="20"/>
          <w:lang w:eastAsia="sl-SI"/>
        </w:rPr>
        <w:t>družbe</w:t>
      </w:r>
      <w:r w:rsidRPr="00F55715">
        <w:rPr>
          <w:rFonts w:ascii="Arial" w:eastAsia="Times New Roman" w:hAnsi="Arial" w:cs="Arial"/>
          <w:bCs/>
          <w:sz w:val="20"/>
          <w:szCs w:val="20"/>
          <w:lang w:eastAsia="sl-SI"/>
        </w:rPr>
        <w:t>.</w:t>
      </w:r>
    </w:p>
    <w:p w:rsidR="00D60601" w:rsidRPr="00F55715" w:rsidRDefault="00D60601" w:rsidP="00D60601">
      <w:pPr>
        <w:numPr>
          <w:ilvl w:val="0"/>
          <w:numId w:val="14"/>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Pomoč »de minimis« se ne dodeljuje:</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podjetjem na področju ribištva in akvakulture, kakor ju zajema Uredba Sveta (ES) št.</w:t>
      </w:r>
      <w:r w:rsidR="00960D5D"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104/2000 z dne 17.</w:t>
      </w:r>
      <w:r w:rsidR="00960D5D"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decembra 1999 o skupni ureditvi trgov za ribiške proizvode in proizvode iz ribogojstva (UL L št. 17 z dne 21.</w:t>
      </w:r>
      <w:r w:rsidR="00960D5D"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1.</w:t>
      </w:r>
      <w:r w:rsidR="00960D5D"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2000, str.</w:t>
      </w:r>
      <w:r w:rsidR="00960D5D"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22), zadnjič spremenjene z Uredbo Sveta (ES) št.</w:t>
      </w:r>
      <w:r w:rsidR="00960D5D"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1759/2006 z dne 28.</w:t>
      </w:r>
      <w:r w:rsidR="00960D5D"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novembra 2006 o spremembi Uredbe (ES) št.</w:t>
      </w:r>
      <w:r w:rsidR="00960D5D"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104/2000 o skupni ureditvi trgov za ribiške proizvode in proizvode iz ribogojstva (UL L št. 335 z dne 1.</w:t>
      </w:r>
      <w:r w:rsidR="00960D5D"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12.</w:t>
      </w:r>
      <w:r w:rsidR="00960D5D"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2006, str.</w:t>
      </w:r>
      <w:r w:rsidR="00960D5D"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3);</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podjetjem na področju primarne proizvodnje kmetijskih proizvodov;</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podjetjem na področju predelave in trženja kmetijskih proizvodov, v primerih:</w:t>
      </w:r>
    </w:p>
    <w:p w:rsidR="00D60601" w:rsidRPr="00F55715" w:rsidRDefault="00D60601" w:rsidP="00D60601">
      <w:pPr>
        <w:numPr>
          <w:ilvl w:val="0"/>
          <w:numId w:val="15"/>
        </w:numPr>
        <w:spacing w:after="0" w:line="240" w:lineRule="auto"/>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kadar je znesek državne pomoči določen na podlagi cene oziroma količine takih proizvodov, ki so kupljeni od primarnih proizvajalcev ali jih je na trg dalo zadevno podjetje;</w:t>
      </w:r>
    </w:p>
    <w:p w:rsidR="00D60601" w:rsidRPr="00F55715" w:rsidRDefault="00D60601" w:rsidP="00D60601">
      <w:pPr>
        <w:numPr>
          <w:ilvl w:val="0"/>
          <w:numId w:val="15"/>
        </w:numPr>
        <w:spacing w:after="120" w:line="240" w:lineRule="auto"/>
        <w:ind w:left="1066"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kadar je državna pomoč pogojena s tem, da se delno ali v celoti prenese na primarne proizvajalce:</w:t>
      </w:r>
    </w:p>
    <w:p w:rsidR="00D60601" w:rsidRPr="00F55715" w:rsidRDefault="00D60601" w:rsidP="00D60601">
      <w:pPr>
        <w:numPr>
          <w:ilvl w:val="1"/>
          <w:numId w:val="2"/>
        </w:numPr>
        <w:spacing w:after="0" w:line="240" w:lineRule="auto"/>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podjetjem iz sektorja premogovništva;</w:t>
      </w:r>
    </w:p>
    <w:p w:rsidR="00D60601" w:rsidRPr="00F55715" w:rsidRDefault="00D60601" w:rsidP="00D60601">
      <w:pPr>
        <w:numPr>
          <w:ilvl w:val="1"/>
          <w:numId w:val="2"/>
        </w:numPr>
        <w:spacing w:after="0" w:line="240" w:lineRule="auto"/>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podjetjem v težavah;</w:t>
      </w:r>
    </w:p>
    <w:p w:rsidR="00D60601" w:rsidRPr="00F55715" w:rsidRDefault="00D60601" w:rsidP="00D60601">
      <w:pPr>
        <w:numPr>
          <w:ilvl w:val="1"/>
          <w:numId w:val="2"/>
        </w:numPr>
        <w:spacing w:after="0" w:line="240" w:lineRule="auto"/>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podjetjem za z izvozom povezane dejavnosti v tretje države ali države članice, kot je državna pomoč, neposredno povezana z izvoženimi količinami, z ustanovitvijo in delovanjem distribucijske mreže ali drugimi tekočimi izdatki, povezanimi z izvozno dejavnostjo;</w:t>
      </w:r>
    </w:p>
    <w:p w:rsidR="00D60601" w:rsidRPr="00F55715" w:rsidRDefault="00D60601" w:rsidP="00D60601">
      <w:pPr>
        <w:numPr>
          <w:ilvl w:val="1"/>
          <w:numId w:val="2"/>
        </w:numPr>
        <w:spacing w:after="0" w:line="240" w:lineRule="auto"/>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za nabavo vozil za cestni prevoz tovora podjetjem, ki opravljajo cestne prevoze blaga.</w:t>
      </w:r>
    </w:p>
    <w:p w:rsidR="00D60601" w:rsidRPr="00F55715" w:rsidRDefault="00D60601" w:rsidP="00D60601">
      <w:pPr>
        <w:spacing w:after="120" w:line="240" w:lineRule="auto"/>
        <w:jc w:val="both"/>
        <w:rPr>
          <w:rFonts w:ascii="Arial" w:eastAsia="Times New Roman" w:hAnsi="Arial" w:cs="Arial"/>
          <w:bCs/>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(upravičenci)</w:t>
      </w:r>
    </w:p>
    <w:p w:rsidR="00D60601" w:rsidRPr="00F55715" w:rsidRDefault="00D60601" w:rsidP="00D60601">
      <w:pPr>
        <w:numPr>
          <w:ilvl w:val="0"/>
          <w:numId w:val="16"/>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Upravičenci za dodelitev »de minimis« pomoči za izvedbo začetnih naložb v projekte 10.</w:t>
      </w:r>
      <w:r w:rsidR="00960D5D"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člena te</w:t>
      </w:r>
      <w:r w:rsidR="00060956">
        <w:rPr>
          <w:rFonts w:ascii="Arial" w:eastAsia="Times New Roman" w:hAnsi="Arial" w:cs="Arial"/>
          <w:sz w:val="20"/>
          <w:szCs w:val="20"/>
          <w:lang w:eastAsia="sl-SI"/>
        </w:rPr>
        <w:t xml:space="preserve"> uredbe</w:t>
      </w:r>
      <w:r w:rsidRPr="00F55715">
        <w:rPr>
          <w:rFonts w:ascii="Arial" w:eastAsia="Times New Roman" w:hAnsi="Arial" w:cs="Arial"/>
          <w:sz w:val="20"/>
          <w:szCs w:val="20"/>
          <w:lang w:eastAsia="sl-SI"/>
        </w:rPr>
        <w:t xml:space="preserve"> so:</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 xml:space="preserve">gospodarske družbe in samostojni podjetniki posamezniki po Zakonu o gospodarskih družbah (Uradni list RS, št. 42/06, 60/06, 26/07 – ZSDU-B, 33/07 – ZSReg-B, 67/07 – ZTFI, 10/08, 68/08, 42/09, 33/11, 91/11, 32/12, 57/12, 44/13 – odl. US, 82/13 in 55/15, </w:t>
      </w:r>
      <w:hyperlink r:id="rId9" w:tgtFrame="_blank" w:tooltip="Zakon o spremembah in dopolnitvah Zakona o gospodarskih družbah" w:history="1">
        <w:r w:rsidRPr="00F55715">
          <w:rPr>
            <w:rFonts w:ascii="Arial" w:eastAsia="Times New Roman" w:hAnsi="Arial" w:cs="Arial"/>
            <w:bCs/>
            <w:sz w:val="20"/>
            <w:szCs w:val="20"/>
            <w:lang w:eastAsia="sl-SI"/>
          </w:rPr>
          <w:t>15/17</w:t>
        </w:r>
      </w:hyperlink>
      <w:r w:rsidRPr="00F55715">
        <w:rPr>
          <w:rFonts w:ascii="Arial" w:eastAsia="Times New Roman" w:hAnsi="Arial" w:cs="Arial"/>
          <w:bCs/>
          <w:sz w:val="20"/>
          <w:szCs w:val="20"/>
          <w:lang w:eastAsia="sl-SI"/>
        </w:rPr>
        <w:t xml:space="preserve"> in </w:t>
      </w:r>
      <w:hyperlink r:id="rId10" w:tgtFrame="_blank" w:tooltip="Zakon o poslovni skrivnosti" w:history="1">
        <w:r w:rsidRPr="00F55715">
          <w:rPr>
            <w:rFonts w:ascii="Arial" w:eastAsia="Times New Roman" w:hAnsi="Arial" w:cs="Arial"/>
            <w:bCs/>
            <w:sz w:val="20"/>
            <w:szCs w:val="20"/>
            <w:lang w:eastAsia="sl-SI"/>
          </w:rPr>
          <w:t>22/19</w:t>
        </w:r>
      </w:hyperlink>
      <w:r w:rsidRPr="00F55715">
        <w:rPr>
          <w:rFonts w:ascii="Arial" w:eastAsia="Times New Roman" w:hAnsi="Arial" w:cs="Arial"/>
          <w:bCs/>
          <w:sz w:val="20"/>
          <w:szCs w:val="20"/>
          <w:lang w:eastAsia="sl-SI"/>
        </w:rPr>
        <w:t xml:space="preserve"> – ZPosS)) in</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zadruge po Zakonu o zadrugah (Uradni list RS, št. 97/09 – uradno prečiščeno besedilo).</w:t>
      </w:r>
    </w:p>
    <w:p w:rsidR="00D60601" w:rsidRPr="00F55715" w:rsidRDefault="00D60601" w:rsidP="00D60601">
      <w:pPr>
        <w:numPr>
          <w:ilvl w:val="0"/>
          <w:numId w:val="16"/>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»De minimis« pomoč se ne dodeli:</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 xml:space="preserve">iz razlogov, navedenih v drugem odstavku </w:t>
      </w:r>
      <w:r w:rsidR="004400E7" w:rsidRPr="00F55715">
        <w:rPr>
          <w:rFonts w:ascii="Arial" w:eastAsia="Times New Roman" w:hAnsi="Arial" w:cs="Arial"/>
          <w:bCs/>
          <w:sz w:val="20"/>
          <w:szCs w:val="20"/>
          <w:lang w:eastAsia="sl-SI"/>
        </w:rPr>
        <w:t>18</w:t>
      </w:r>
      <w:r w:rsidRPr="00F55715">
        <w:rPr>
          <w:rFonts w:ascii="Arial" w:eastAsia="Times New Roman" w:hAnsi="Arial" w:cs="Arial"/>
          <w:bCs/>
          <w:sz w:val="20"/>
          <w:szCs w:val="20"/>
          <w:lang w:eastAsia="sl-SI"/>
        </w:rPr>
        <w:t>.</w:t>
      </w:r>
      <w:r w:rsidR="00960D5D"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člena te</w:t>
      </w:r>
      <w:r w:rsidR="00060956">
        <w:rPr>
          <w:rFonts w:ascii="Arial" w:eastAsia="Times New Roman" w:hAnsi="Arial" w:cs="Arial"/>
          <w:bCs/>
          <w:sz w:val="20"/>
          <w:szCs w:val="20"/>
          <w:lang w:eastAsia="sl-SI"/>
        </w:rPr>
        <w:t xml:space="preserve"> uredbe</w:t>
      </w:r>
      <w:r w:rsidRPr="00F55715">
        <w:rPr>
          <w:rFonts w:ascii="Arial" w:eastAsia="Times New Roman" w:hAnsi="Arial" w:cs="Arial"/>
          <w:bCs/>
          <w:sz w:val="20"/>
          <w:szCs w:val="20"/>
          <w:lang w:eastAsia="sl-SI"/>
        </w:rPr>
        <w:t>,</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lastRenderedPageBreak/>
        <w:t>ali če skupni znesek »de minimis« pomoči, ki jih je enotno podjetje pridobilo v zadnjih treh proračunskih letih presega 200.000 eurov, za podjetja iz sektorja cestnega prevoza blaga in potniškega prometa pa 100.000 eurov,</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ali če ima prijavitelj na dan, ko je bila oddana vloga za dodelitev »de minimis« pomoči, zapadle, neplačane obveznosti do Republike Slovenije v zvezi s plačili prispevkov za socialno varnost ali v zvezi s plačili davkov v vrednosti 50 eurov ali več.</w:t>
      </w:r>
    </w:p>
    <w:p w:rsidR="00D60601" w:rsidRPr="00F55715" w:rsidRDefault="00D60601" w:rsidP="00D60601">
      <w:pPr>
        <w:spacing w:after="120" w:line="240" w:lineRule="auto"/>
        <w:jc w:val="both"/>
        <w:rPr>
          <w:rFonts w:ascii="Arial" w:eastAsia="Times New Roman" w:hAnsi="Arial" w:cs="Arial"/>
          <w:bCs/>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(upravičeni stroški)</w:t>
      </w:r>
    </w:p>
    <w:p w:rsidR="00D60601" w:rsidRPr="00F55715" w:rsidRDefault="00D60601" w:rsidP="00D60601">
      <w:pPr>
        <w:numPr>
          <w:ilvl w:val="0"/>
          <w:numId w:val="17"/>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K upravičenim stroškom naložbenih projektov za dodeljevanje »de minimis« pomoči se štejejo upravičeni stroški, ki so navedeni v 13.</w:t>
      </w:r>
      <w:r w:rsidR="00960D5D"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člen</w:t>
      </w:r>
      <w:r w:rsidR="003718D5" w:rsidRPr="00F55715">
        <w:rPr>
          <w:rFonts w:ascii="Arial" w:eastAsia="Times New Roman" w:hAnsi="Arial" w:cs="Arial"/>
          <w:sz w:val="20"/>
          <w:szCs w:val="20"/>
          <w:lang w:eastAsia="sl-SI"/>
        </w:rPr>
        <w:t>u</w:t>
      </w:r>
      <w:r w:rsidRPr="00F55715">
        <w:rPr>
          <w:rFonts w:ascii="Arial" w:eastAsia="Times New Roman" w:hAnsi="Arial" w:cs="Arial"/>
          <w:sz w:val="20"/>
          <w:szCs w:val="20"/>
          <w:lang w:eastAsia="sl-SI"/>
        </w:rPr>
        <w:t xml:space="preserve"> </w:t>
      </w:r>
      <w:r w:rsidR="00060956">
        <w:rPr>
          <w:rFonts w:ascii="Arial" w:eastAsia="Times New Roman" w:hAnsi="Arial" w:cs="Arial"/>
          <w:sz w:val="20"/>
          <w:szCs w:val="20"/>
          <w:lang w:eastAsia="sl-SI"/>
        </w:rPr>
        <w:t>te uredbe</w:t>
      </w:r>
      <w:r w:rsidRPr="00F55715">
        <w:rPr>
          <w:rFonts w:ascii="Arial" w:eastAsia="Times New Roman" w:hAnsi="Arial" w:cs="Arial"/>
          <w:sz w:val="20"/>
          <w:szCs w:val="20"/>
          <w:lang w:eastAsia="sl-SI"/>
        </w:rPr>
        <w:t>.</w:t>
      </w:r>
    </w:p>
    <w:p w:rsidR="00D60601" w:rsidRPr="00F55715" w:rsidRDefault="00D60601" w:rsidP="00D60601">
      <w:pPr>
        <w:numPr>
          <w:ilvl w:val="0"/>
          <w:numId w:val="17"/>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Upravičeni stroški študij so stroški zunanjih izvajalcev.</w:t>
      </w:r>
    </w:p>
    <w:p w:rsidR="00D60601" w:rsidRPr="00F55715" w:rsidRDefault="00D60601" w:rsidP="00D60601">
      <w:pPr>
        <w:spacing w:after="120" w:line="240" w:lineRule="auto"/>
        <w:jc w:val="both"/>
        <w:rPr>
          <w:rFonts w:ascii="Arial" w:eastAsia="Times New Roman" w:hAnsi="Arial" w:cs="Arial"/>
          <w:bCs/>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(pogoji za dodelitev »de minimis« pomoči)</w:t>
      </w:r>
    </w:p>
    <w:p w:rsidR="00D60601" w:rsidRPr="00F55715" w:rsidRDefault="00D60601" w:rsidP="00D60601">
      <w:pPr>
        <w:numPr>
          <w:ilvl w:val="0"/>
          <w:numId w:val="18"/>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 xml:space="preserve">»De minimis« pomoči za naložbene projekte iz prvega odstavka </w:t>
      </w:r>
      <w:r w:rsidR="0008798E" w:rsidRPr="00F55715">
        <w:rPr>
          <w:rFonts w:ascii="Arial" w:eastAsia="Times New Roman" w:hAnsi="Arial" w:cs="Arial"/>
          <w:sz w:val="20"/>
          <w:szCs w:val="20"/>
          <w:lang w:eastAsia="sl-SI"/>
        </w:rPr>
        <w:t>10</w:t>
      </w:r>
      <w:r w:rsidRPr="00F55715">
        <w:rPr>
          <w:rFonts w:ascii="Arial" w:eastAsia="Times New Roman" w:hAnsi="Arial" w:cs="Arial"/>
          <w:sz w:val="20"/>
          <w:szCs w:val="20"/>
          <w:lang w:eastAsia="sl-SI"/>
        </w:rPr>
        <w:t>.</w:t>
      </w:r>
      <w:r w:rsidR="00960D5D"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 xml:space="preserve">člena </w:t>
      </w:r>
      <w:r w:rsidR="00060956">
        <w:rPr>
          <w:rFonts w:ascii="Arial" w:eastAsia="Times New Roman" w:hAnsi="Arial" w:cs="Arial"/>
          <w:sz w:val="20"/>
          <w:szCs w:val="20"/>
          <w:lang w:eastAsia="sl-SI"/>
        </w:rPr>
        <w:t>te uredbe</w:t>
      </w:r>
      <w:r w:rsidRPr="00F55715">
        <w:rPr>
          <w:rFonts w:ascii="Arial" w:eastAsia="Times New Roman" w:hAnsi="Arial" w:cs="Arial"/>
          <w:sz w:val="20"/>
          <w:szCs w:val="20"/>
          <w:lang w:eastAsia="sl-SI"/>
        </w:rPr>
        <w:t xml:space="preserve"> se podeli pod pogoji, ki so navedeni v 1</w:t>
      </w:r>
      <w:r w:rsidR="00BB4872" w:rsidRPr="00F55715">
        <w:rPr>
          <w:rFonts w:ascii="Arial" w:eastAsia="Times New Roman" w:hAnsi="Arial" w:cs="Arial"/>
          <w:sz w:val="20"/>
          <w:szCs w:val="20"/>
          <w:lang w:eastAsia="sl-SI"/>
        </w:rPr>
        <w:t>4</w:t>
      </w:r>
      <w:r w:rsidRPr="00F55715">
        <w:rPr>
          <w:rFonts w:ascii="Arial" w:eastAsia="Times New Roman" w:hAnsi="Arial" w:cs="Arial"/>
          <w:sz w:val="20"/>
          <w:szCs w:val="20"/>
          <w:lang w:eastAsia="sl-SI"/>
        </w:rPr>
        <w:t>.</w:t>
      </w:r>
      <w:r w:rsidR="004C6988"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 xml:space="preserve">členu </w:t>
      </w:r>
      <w:r w:rsidR="00060956">
        <w:rPr>
          <w:rFonts w:ascii="Arial" w:eastAsia="Times New Roman" w:hAnsi="Arial" w:cs="Arial"/>
          <w:sz w:val="20"/>
          <w:szCs w:val="20"/>
          <w:lang w:eastAsia="sl-SI"/>
        </w:rPr>
        <w:t>te uredbe</w:t>
      </w:r>
      <w:r w:rsidRPr="00F55715">
        <w:rPr>
          <w:rFonts w:ascii="Arial" w:eastAsia="Times New Roman" w:hAnsi="Arial" w:cs="Arial"/>
          <w:sz w:val="20"/>
          <w:szCs w:val="20"/>
          <w:lang w:eastAsia="sl-SI"/>
        </w:rPr>
        <w:t>.</w:t>
      </w:r>
    </w:p>
    <w:p w:rsidR="00D60601" w:rsidRPr="00F55715" w:rsidRDefault="00D60601" w:rsidP="00D60601">
      <w:pPr>
        <w:numPr>
          <w:ilvl w:val="0"/>
          <w:numId w:val="18"/>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Pogoji za dodelitev spodbud za študije so:</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prejemnik »de minimis« pomoči za stroške študij, vključno z energetskimi pregledi mora sam pokriti najmanj polovico stroškov storitve,</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za izvedbo energetskega pregleda objekta na isti lokaciji se odobri »de minimis« pomoč po preteku najmanj pet let od zaključka prejšnjega energetskega pregleda,</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namembnost</w:t>
      </w:r>
      <w:r w:rsidR="00BB4872" w:rsidRPr="00F55715">
        <w:rPr>
          <w:rFonts w:ascii="Arial" w:eastAsia="Times New Roman" w:hAnsi="Arial" w:cs="Arial"/>
          <w:bCs/>
          <w:sz w:val="20"/>
          <w:szCs w:val="20"/>
          <w:lang w:eastAsia="sl-SI"/>
        </w:rPr>
        <w:t>i</w:t>
      </w:r>
      <w:r w:rsidRPr="00F55715">
        <w:rPr>
          <w:rFonts w:ascii="Arial" w:eastAsia="Times New Roman" w:hAnsi="Arial" w:cs="Arial"/>
          <w:bCs/>
          <w:sz w:val="20"/>
          <w:szCs w:val="20"/>
          <w:lang w:eastAsia="sl-SI"/>
        </w:rPr>
        <w:t xml:space="preserve"> objekta</w:t>
      </w:r>
      <w:r w:rsidR="00BB4872" w:rsidRPr="00F55715">
        <w:rPr>
          <w:rFonts w:ascii="Arial" w:eastAsia="Times New Roman" w:hAnsi="Arial" w:cs="Arial"/>
          <w:bCs/>
          <w:sz w:val="20"/>
          <w:szCs w:val="20"/>
          <w:lang w:eastAsia="sl-SI"/>
        </w:rPr>
        <w:t>, ki je bil predmet</w:t>
      </w:r>
      <w:r w:rsidRPr="00F55715">
        <w:rPr>
          <w:rFonts w:ascii="Arial" w:eastAsia="Times New Roman" w:hAnsi="Arial" w:cs="Arial"/>
          <w:bCs/>
          <w:sz w:val="20"/>
          <w:szCs w:val="20"/>
          <w:lang w:eastAsia="sl-SI"/>
        </w:rPr>
        <w:t xml:space="preserve"> </w:t>
      </w:r>
      <w:r w:rsidR="00CB3E2A" w:rsidRPr="00F55715">
        <w:rPr>
          <w:rFonts w:ascii="Arial" w:eastAsia="Times New Roman" w:hAnsi="Arial" w:cs="Arial"/>
          <w:bCs/>
          <w:sz w:val="20"/>
          <w:szCs w:val="20"/>
          <w:lang w:eastAsia="sl-SI"/>
        </w:rPr>
        <w:t xml:space="preserve">izvedenega </w:t>
      </w:r>
      <w:r w:rsidRPr="00F55715">
        <w:rPr>
          <w:rFonts w:ascii="Arial" w:eastAsia="Times New Roman" w:hAnsi="Arial" w:cs="Arial"/>
          <w:bCs/>
          <w:sz w:val="20"/>
          <w:szCs w:val="20"/>
          <w:lang w:eastAsia="sl-SI"/>
        </w:rPr>
        <w:t>energetskega pregleda</w:t>
      </w:r>
      <w:r w:rsidR="00BB4872" w:rsidRPr="00F55715">
        <w:rPr>
          <w:rFonts w:ascii="Arial" w:eastAsia="Times New Roman" w:hAnsi="Arial" w:cs="Arial"/>
          <w:bCs/>
          <w:sz w:val="20"/>
          <w:szCs w:val="20"/>
          <w:lang w:eastAsia="sl-SI"/>
        </w:rPr>
        <w:t>,</w:t>
      </w:r>
      <w:r w:rsidRPr="00F55715">
        <w:rPr>
          <w:rFonts w:ascii="Arial" w:eastAsia="Times New Roman" w:hAnsi="Arial" w:cs="Arial"/>
          <w:bCs/>
          <w:sz w:val="20"/>
          <w:szCs w:val="20"/>
          <w:lang w:eastAsia="sl-SI"/>
        </w:rPr>
        <w:t xml:space="preserve"> se ne sme spremeniti vsaj pet let po izvedenem pregledu,</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 xml:space="preserve">stroški študij priprave investicijske dokumentacije za projekte določene v </w:t>
      </w:r>
      <w:r w:rsidR="00BB4872" w:rsidRPr="00F55715">
        <w:rPr>
          <w:rFonts w:ascii="Arial" w:eastAsia="Times New Roman" w:hAnsi="Arial" w:cs="Arial"/>
          <w:bCs/>
          <w:sz w:val="20"/>
          <w:szCs w:val="20"/>
          <w:lang w:eastAsia="sl-SI"/>
        </w:rPr>
        <w:t xml:space="preserve">drugem </w:t>
      </w:r>
      <w:r w:rsidRPr="00F55715">
        <w:rPr>
          <w:rFonts w:ascii="Arial" w:eastAsia="Times New Roman" w:hAnsi="Arial" w:cs="Arial"/>
          <w:bCs/>
          <w:sz w:val="20"/>
          <w:szCs w:val="20"/>
          <w:lang w:eastAsia="sl-SI"/>
        </w:rPr>
        <w:t xml:space="preserve">odstavku </w:t>
      </w:r>
      <w:r w:rsidR="00BB4872" w:rsidRPr="00F55715">
        <w:rPr>
          <w:rFonts w:ascii="Arial" w:eastAsia="Times New Roman" w:hAnsi="Arial" w:cs="Arial"/>
          <w:bCs/>
          <w:sz w:val="20"/>
          <w:szCs w:val="20"/>
          <w:lang w:eastAsia="sl-SI"/>
        </w:rPr>
        <w:t>10</w:t>
      </w:r>
      <w:r w:rsidRPr="00F55715">
        <w:rPr>
          <w:rFonts w:ascii="Arial" w:eastAsia="Times New Roman" w:hAnsi="Arial" w:cs="Arial"/>
          <w:bCs/>
          <w:sz w:val="20"/>
          <w:szCs w:val="20"/>
          <w:lang w:eastAsia="sl-SI"/>
        </w:rPr>
        <w:t xml:space="preserve">. člena </w:t>
      </w:r>
      <w:r w:rsidR="00060956">
        <w:rPr>
          <w:rFonts w:ascii="Arial" w:eastAsia="Times New Roman" w:hAnsi="Arial" w:cs="Arial"/>
          <w:sz w:val="20"/>
          <w:szCs w:val="20"/>
          <w:lang w:eastAsia="sl-SI"/>
        </w:rPr>
        <w:t>te uredbe</w:t>
      </w:r>
      <w:r w:rsidRPr="00F55715">
        <w:rPr>
          <w:rFonts w:ascii="Arial" w:eastAsia="Times New Roman" w:hAnsi="Arial" w:cs="Arial"/>
          <w:bCs/>
          <w:sz w:val="20"/>
          <w:szCs w:val="20"/>
          <w:lang w:eastAsia="sl-SI"/>
        </w:rPr>
        <w:t xml:space="preserve"> v fazi načrtovanja so upravičeni, če je zadnji strošek študij priprave investicijske dokumentacije za te vrste projektov nastal pred najmanj tremi leti.</w:t>
      </w:r>
    </w:p>
    <w:p w:rsidR="00D60601" w:rsidRPr="00F55715" w:rsidRDefault="00D60601" w:rsidP="00D60601">
      <w:pPr>
        <w:spacing w:after="120" w:line="240" w:lineRule="auto"/>
        <w:jc w:val="both"/>
        <w:rPr>
          <w:rFonts w:ascii="Arial" w:eastAsia="Times New Roman" w:hAnsi="Arial" w:cs="Arial"/>
          <w:bCs/>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(intenzivnost »de minimis« pomoči)</w:t>
      </w:r>
    </w:p>
    <w:p w:rsidR="00D60601" w:rsidRPr="00F55715" w:rsidRDefault="00D60601" w:rsidP="00D60601">
      <w:pPr>
        <w:numPr>
          <w:ilvl w:val="0"/>
          <w:numId w:val="19"/>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Dodeljena »de minimis« pomoč za naložbene projekte na področjih iz 10.</w:t>
      </w:r>
      <w:r w:rsidR="00E235EB"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 xml:space="preserve">člena </w:t>
      </w:r>
      <w:r w:rsidR="00060956">
        <w:rPr>
          <w:rFonts w:ascii="Arial" w:eastAsia="Times New Roman" w:hAnsi="Arial" w:cs="Arial"/>
          <w:sz w:val="20"/>
          <w:szCs w:val="20"/>
          <w:lang w:eastAsia="sl-SI"/>
        </w:rPr>
        <w:t>te uredbe</w:t>
      </w:r>
      <w:r w:rsidRPr="00F55715">
        <w:rPr>
          <w:rFonts w:ascii="Arial" w:eastAsia="Times New Roman" w:hAnsi="Arial" w:cs="Arial"/>
          <w:sz w:val="20"/>
          <w:szCs w:val="20"/>
          <w:lang w:eastAsia="sl-SI"/>
        </w:rPr>
        <w:t xml:space="preserve"> lahko znaša največ 30</w:t>
      </w:r>
      <w:r w:rsidR="00E235EB"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odstotkov vrednosti upravičenih stroškov naložbe.</w:t>
      </w:r>
    </w:p>
    <w:p w:rsidR="00D60601" w:rsidRPr="00F55715" w:rsidRDefault="00D60601" w:rsidP="00D60601">
      <w:pPr>
        <w:numPr>
          <w:ilvl w:val="0"/>
          <w:numId w:val="19"/>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Pri srednje velikih podjetjih se zgornja meja višine dodeljene »de minimis« pomoči, določena v skladu s prejšnjim odstavkom, lahko poveča za 10</w:t>
      </w:r>
      <w:r w:rsidR="00E235EB"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odstotnih točk, pri malih podjetjih pa za 20</w:t>
      </w:r>
      <w:r w:rsidR="00E235EB"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odstotnih točk.</w:t>
      </w:r>
    </w:p>
    <w:p w:rsidR="00D60601" w:rsidRPr="00F55715" w:rsidRDefault="00D60601" w:rsidP="00D60601">
      <w:pPr>
        <w:numPr>
          <w:ilvl w:val="0"/>
          <w:numId w:val="19"/>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Intenzivnost »de minimis« pomoči se podrobneje določi z javnim razpisom glede na razpoložljiva sredstva in v skladu z Uredbo (EU) št.</w:t>
      </w:r>
      <w:r w:rsidR="00B91BF7"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1407/2014.</w:t>
      </w:r>
    </w:p>
    <w:p w:rsidR="00D60601" w:rsidRPr="00F55715" w:rsidRDefault="00D60601" w:rsidP="00D60601">
      <w:pPr>
        <w:spacing w:after="120" w:line="240" w:lineRule="auto"/>
        <w:jc w:val="both"/>
        <w:rPr>
          <w:rFonts w:ascii="Arial" w:eastAsia="Times New Roman" w:hAnsi="Arial" w:cs="Arial"/>
          <w:bCs/>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(najvišja vrednost pomoči)</w:t>
      </w:r>
    </w:p>
    <w:p w:rsidR="00D60601" w:rsidRPr="00F55715" w:rsidRDefault="00D60601" w:rsidP="00D60601">
      <w:pPr>
        <w:numPr>
          <w:ilvl w:val="0"/>
          <w:numId w:val="20"/>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Skupni znesek pomoči »de minimis«, ki se lahko dodeli enotnemu podjetju, ne sme presegati 200.000 eurov v obdobju treh proračunskih let, ne glede na obliko in namen pomoči ter vira proračunskih sredstev.</w:t>
      </w:r>
    </w:p>
    <w:p w:rsidR="00D60601" w:rsidRPr="00F55715" w:rsidRDefault="00D60601" w:rsidP="00D60601">
      <w:pPr>
        <w:numPr>
          <w:ilvl w:val="0"/>
          <w:numId w:val="20"/>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Najvišji znesek »de minimis« pomoči za stroške študij z upoštevanjem prejšnjega odstavka tega člena znaša do polovice upravičenih stroškov.</w:t>
      </w:r>
    </w:p>
    <w:p w:rsidR="00CB3E2A" w:rsidRPr="00F55715" w:rsidRDefault="00CB3E2A" w:rsidP="00CB3E2A">
      <w:pPr>
        <w:spacing w:after="120" w:line="240" w:lineRule="auto"/>
        <w:jc w:val="both"/>
        <w:rPr>
          <w:rFonts w:ascii="Arial" w:eastAsia="Times New Roman" w:hAnsi="Arial" w:cs="Arial"/>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(opredelitev, izjave in spremljanje)</w:t>
      </w:r>
    </w:p>
    <w:p w:rsidR="00D60601" w:rsidRPr="00F55715" w:rsidRDefault="00D60601" w:rsidP="00D60601">
      <w:pPr>
        <w:numPr>
          <w:ilvl w:val="0"/>
          <w:numId w:val="21"/>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lastRenderedPageBreak/>
        <w:t>V primeru razdelitev, združitev ali pripojitev podjetij je potrebno upoštevati določbe osmega in devetega odstavka 3.</w:t>
      </w:r>
      <w:r w:rsidR="00B678EE"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člena Uredbe (EU) št.</w:t>
      </w:r>
      <w:r w:rsidR="00B678EE"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1407/2013.</w:t>
      </w:r>
    </w:p>
    <w:p w:rsidR="00D60601" w:rsidRPr="00F55715" w:rsidRDefault="00D60601" w:rsidP="00D60601">
      <w:pPr>
        <w:numPr>
          <w:ilvl w:val="0"/>
          <w:numId w:val="21"/>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Ministrstvo bo od prejemnika pomoči pred dodelitvijo sredstev pridobilo pisno izjavo o:</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 xml:space="preserve">vseh drugih pomočeh </w:t>
      </w:r>
      <w:r w:rsidR="00B678EE" w:rsidRPr="00F55715">
        <w:rPr>
          <w:rFonts w:ascii="Arial" w:eastAsia="Times New Roman" w:hAnsi="Arial" w:cs="Arial"/>
          <w:bCs/>
          <w:sz w:val="20"/>
          <w:szCs w:val="20"/>
          <w:lang w:eastAsia="sl-SI"/>
        </w:rPr>
        <w:t>»</w:t>
      </w:r>
      <w:r w:rsidRPr="00F55715">
        <w:rPr>
          <w:rFonts w:ascii="Arial" w:eastAsia="Times New Roman" w:hAnsi="Arial" w:cs="Arial"/>
          <w:bCs/>
          <w:sz w:val="20"/>
          <w:szCs w:val="20"/>
          <w:lang w:eastAsia="sl-SI"/>
        </w:rPr>
        <w:t>de minimis</w:t>
      </w:r>
      <w:r w:rsidR="00B678EE" w:rsidRPr="00F55715">
        <w:rPr>
          <w:rFonts w:ascii="Arial" w:eastAsia="Times New Roman" w:hAnsi="Arial" w:cs="Arial"/>
          <w:bCs/>
          <w:sz w:val="20"/>
          <w:szCs w:val="20"/>
          <w:lang w:eastAsia="sl-SI"/>
        </w:rPr>
        <w:t>«</w:t>
      </w:r>
      <w:r w:rsidRPr="00F55715">
        <w:rPr>
          <w:rFonts w:ascii="Arial" w:eastAsia="Times New Roman" w:hAnsi="Arial" w:cs="Arial"/>
          <w:bCs/>
          <w:sz w:val="20"/>
          <w:szCs w:val="20"/>
          <w:lang w:eastAsia="sl-SI"/>
        </w:rPr>
        <w:t>, ki jih je podjetje prejelo na podlagi te ali drugih uredb »de minimis« v predhodnih dveh in v tekočem proračunskem letu;</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drugih že prejetih (ali zaprošenih) pomočeh za iste upravičene stroške.</w:t>
      </w:r>
    </w:p>
    <w:p w:rsidR="00D60601" w:rsidRPr="00F55715" w:rsidRDefault="00D60601" w:rsidP="00D60601">
      <w:pPr>
        <w:numPr>
          <w:ilvl w:val="0"/>
          <w:numId w:val="21"/>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Ministrstvo bo pisno obvestilo prejemnika:</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da je pomoč dodeljena po pravilu »de minimis« v skladu z Uredbo (EU) št.</w:t>
      </w:r>
      <w:r w:rsidR="00B678EE"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1407/2013;</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o znesku »de minimis« pomoči.</w:t>
      </w:r>
    </w:p>
    <w:p w:rsidR="00D60601" w:rsidRPr="00F55715" w:rsidRDefault="00D60601" w:rsidP="00D60601">
      <w:pPr>
        <w:spacing w:after="120" w:line="240" w:lineRule="auto"/>
        <w:jc w:val="both"/>
        <w:rPr>
          <w:rFonts w:ascii="Arial" w:eastAsia="Times New Roman" w:hAnsi="Arial" w:cs="Arial"/>
          <w:sz w:val="20"/>
          <w:szCs w:val="20"/>
          <w:lang w:eastAsia="sl-SI"/>
        </w:rPr>
      </w:pPr>
    </w:p>
    <w:p w:rsidR="00D60601" w:rsidRPr="00F55715" w:rsidRDefault="00D60601" w:rsidP="00D60601">
      <w:pPr>
        <w:spacing w:after="120" w:line="240" w:lineRule="auto"/>
        <w:jc w:val="center"/>
        <w:rPr>
          <w:rFonts w:ascii="Arial" w:eastAsia="Times New Roman" w:hAnsi="Arial" w:cs="Arial"/>
          <w:sz w:val="20"/>
          <w:szCs w:val="20"/>
          <w:lang w:eastAsia="sl-SI"/>
        </w:rPr>
      </w:pPr>
      <w:r w:rsidRPr="00F55715">
        <w:rPr>
          <w:rFonts w:ascii="Arial" w:eastAsia="Times New Roman" w:hAnsi="Arial" w:cs="Arial"/>
          <w:sz w:val="20"/>
          <w:szCs w:val="20"/>
          <w:lang w:eastAsia="sl-SI"/>
        </w:rPr>
        <w:t>VII. SUBVENCIJE IN INVESTICIJSKI TRANSFERJI</w:t>
      </w: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(druge spodbude)</w:t>
      </w:r>
    </w:p>
    <w:p w:rsidR="00D60601" w:rsidRPr="00F55715" w:rsidRDefault="00D60601" w:rsidP="00D60601">
      <w:pPr>
        <w:spacing w:after="120" w:line="240" w:lineRule="auto"/>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Spodbude za izvedbo naložbenih projektov in za naročilo svetovalnih storitev s področja uvajanja uporabe alternativnih goriv v prometu, ki se ne dodeljujejo kot državne pomoči ali »de minimis« pomoči, se dodeljujejo v obliki nepovratnih sredstev.</w:t>
      </w:r>
    </w:p>
    <w:p w:rsidR="00D60601" w:rsidRPr="00F55715" w:rsidRDefault="00D60601" w:rsidP="00D60601">
      <w:pPr>
        <w:spacing w:after="120" w:line="240" w:lineRule="auto"/>
        <w:jc w:val="both"/>
        <w:rPr>
          <w:rFonts w:ascii="Arial" w:eastAsia="Times New Roman" w:hAnsi="Arial" w:cs="Arial"/>
          <w:bCs/>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(postopek dodeljevanja subvencij in investicijskih transferjev)</w:t>
      </w:r>
    </w:p>
    <w:p w:rsidR="00D60601" w:rsidRPr="00F55715" w:rsidRDefault="00D60601" w:rsidP="00D60601">
      <w:pPr>
        <w:spacing w:after="120" w:line="240" w:lineRule="auto"/>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Subvencije in investicijski transferji se dodeljujejo na javnem razpisu po postopkih, ki jih določajo predpisi o izvrševanju proračuna Republike Slovenije.</w:t>
      </w:r>
    </w:p>
    <w:p w:rsidR="00D60601" w:rsidRPr="00F55715" w:rsidRDefault="00D60601" w:rsidP="00D60601">
      <w:pPr>
        <w:spacing w:after="120" w:line="240" w:lineRule="auto"/>
        <w:jc w:val="both"/>
        <w:rPr>
          <w:rFonts w:ascii="Arial" w:eastAsia="Times New Roman" w:hAnsi="Arial" w:cs="Arial"/>
          <w:bCs/>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(vrste projektov, za katere se lahko dodelijo subvencije ali investicijski transferji)</w:t>
      </w:r>
    </w:p>
    <w:p w:rsidR="00D60601" w:rsidRPr="00F55715" w:rsidRDefault="00D60601" w:rsidP="00D60601">
      <w:pPr>
        <w:spacing w:after="120" w:line="240" w:lineRule="auto"/>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Projekti, za katere se lahko dodelijo subvencije in investicijski transferji, so:</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naložbeni projekti iz 10.</w:t>
      </w:r>
      <w:r w:rsidR="00B678EE" w:rsidRPr="00F55715">
        <w:rPr>
          <w:rFonts w:ascii="Arial" w:eastAsia="Times New Roman" w:hAnsi="Arial" w:cs="Arial"/>
          <w:bCs/>
          <w:sz w:val="20"/>
          <w:szCs w:val="20"/>
          <w:lang w:eastAsia="sl-SI"/>
        </w:rPr>
        <w:t> </w:t>
      </w:r>
      <w:r w:rsidRPr="00F55715">
        <w:rPr>
          <w:rFonts w:ascii="Arial" w:eastAsia="Times New Roman" w:hAnsi="Arial" w:cs="Arial"/>
          <w:bCs/>
          <w:sz w:val="20"/>
          <w:szCs w:val="20"/>
          <w:lang w:eastAsia="sl-SI"/>
        </w:rPr>
        <w:t xml:space="preserve">člena </w:t>
      </w:r>
      <w:r w:rsidR="00060956">
        <w:rPr>
          <w:rFonts w:ascii="Arial" w:eastAsia="Times New Roman" w:hAnsi="Arial" w:cs="Arial"/>
          <w:sz w:val="20"/>
          <w:szCs w:val="20"/>
          <w:lang w:eastAsia="sl-SI"/>
        </w:rPr>
        <w:t>te uredbe</w:t>
      </w:r>
      <w:r w:rsidRPr="00F55715">
        <w:rPr>
          <w:rFonts w:ascii="Arial" w:eastAsia="Times New Roman" w:hAnsi="Arial" w:cs="Arial"/>
          <w:bCs/>
          <w:sz w:val="20"/>
          <w:szCs w:val="20"/>
          <w:lang w:eastAsia="sl-SI"/>
        </w:rPr>
        <w:t>,</w:t>
      </w:r>
    </w:p>
    <w:p w:rsidR="00D60601" w:rsidRPr="00F55715" w:rsidRDefault="00D60601" w:rsidP="00D60601">
      <w:pPr>
        <w:numPr>
          <w:ilvl w:val="0"/>
          <w:numId w:val="2"/>
        </w:numPr>
        <w:spacing w:after="12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strošek študij, vključno z energetskimi pregledi.</w:t>
      </w:r>
    </w:p>
    <w:p w:rsidR="00D60601" w:rsidRPr="00F55715" w:rsidRDefault="00D60601" w:rsidP="00D60601">
      <w:pPr>
        <w:spacing w:after="120" w:line="240" w:lineRule="auto"/>
        <w:jc w:val="both"/>
        <w:rPr>
          <w:rFonts w:ascii="Arial" w:eastAsia="Times New Roman" w:hAnsi="Arial" w:cs="Arial"/>
          <w:bCs/>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(upravičenci)</w:t>
      </w:r>
    </w:p>
    <w:p w:rsidR="00D60601" w:rsidRPr="00F55715" w:rsidRDefault="00D60601" w:rsidP="00D60601">
      <w:pPr>
        <w:numPr>
          <w:ilvl w:val="0"/>
          <w:numId w:val="22"/>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Upravičenci za pridobitev subvencij za naložbe iz prvega odstavka 10.</w:t>
      </w:r>
      <w:r w:rsidR="00B678EE"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 xml:space="preserve">člena </w:t>
      </w:r>
      <w:r w:rsidR="00060956">
        <w:rPr>
          <w:rFonts w:ascii="Arial" w:eastAsia="Times New Roman" w:hAnsi="Arial" w:cs="Arial"/>
          <w:sz w:val="20"/>
          <w:szCs w:val="20"/>
          <w:lang w:eastAsia="sl-SI"/>
        </w:rPr>
        <w:t>te uredbe</w:t>
      </w:r>
      <w:r w:rsidRPr="00F55715">
        <w:rPr>
          <w:rFonts w:ascii="Arial" w:eastAsia="Times New Roman" w:hAnsi="Arial" w:cs="Arial"/>
          <w:sz w:val="20"/>
          <w:szCs w:val="20"/>
          <w:lang w:eastAsia="sl-SI"/>
        </w:rPr>
        <w:t xml:space="preserve"> so:</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investitorji za vzpostavljanje infrastrukture za alternativna goriva v prometu;</w:t>
      </w:r>
    </w:p>
    <w:p w:rsidR="00D60601" w:rsidRPr="00F55715" w:rsidRDefault="00D60601" w:rsidP="00D60601">
      <w:pPr>
        <w:numPr>
          <w:ilvl w:val="0"/>
          <w:numId w:val="2"/>
        </w:numPr>
        <w:spacing w:after="0" w:line="240" w:lineRule="auto"/>
        <w:ind w:left="714" w:hanging="357"/>
        <w:jc w:val="both"/>
        <w:rPr>
          <w:rFonts w:ascii="Arial" w:eastAsia="Times New Roman" w:hAnsi="Arial" w:cs="Arial"/>
          <w:bCs/>
          <w:sz w:val="20"/>
          <w:szCs w:val="20"/>
          <w:lang w:eastAsia="sl-SI"/>
        </w:rPr>
      </w:pPr>
      <w:r w:rsidRPr="00F55715">
        <w:rPr>
          <w:rFonts w:ascii="Arial" w:eastAsia="Times New Roman" w:hAnsi="Arial" w:cs="Arial"/>
          <w:bCs/>
          <w:sz w:val="20"/>
          <w:szCs w:val="20"/>
          <w:lang w:eastAsia="sl-SI"/>
        </w:rPr>
        <w:t xml:space="preserve">izvajalci </w:t>
      </w:r>
      <w:r w:rsidR="002D5A62" w:rsidRPr="00F55715">
        <w:rPr>
          <w:rFonts w:ascii="Arial" w:eastAsia="Times New Roman" w:hAnsi="Arial" w:cs="Arial"/>
          <w:bCs/>
          <w:sz w:val="20"/>
          <w:szCs w:val="20"/>
          <w:lang w:eastAsia="sl-SI"/>
        </w:rPr>
        <w:t xml:space="preserve">prevoza v </w:t>
      </w:r>
      <w:r w:rsidRPr="00F55715">
        <w:rPr>
          <w:rFonts w:ascii="Arial" w:eastAsia="Times New Roman" w:hAnsi="Arial" w:cs="Arial"/>
          <w:bCs/>
          <w:sz w:val="20"/>
          <w:szCs w:val="20"/>
          <w:lang w:eastAsia="sl-SI"/>
        </w:rPr>
        <w:t>cestne</w:t>
      </w:r>
      <w:r w:rsidR="002D5A62" w:rsidRPr="00F55715">
        <w:rPr>
          <w:rFonts w:ascii="Arial" w:eastAsia="Times New Roman" w:hAnsi="Arial" w:cs="Arial"/>
          <w:bCs/>
          <w:sz w:val="20"/>
          <w:szCs w:val="20"/>
          <w:lang w:eastAsia="sl-SI"/>
        </w:rPr>
        <w:t>m</w:t>
      </w:r>
      <w:r w:rsidRPr="00F55715">
        <w:rPr>
          <w:rFonts w:ascii="Arial" w:eastAsia="Times New Roman" w:hAnsi="Arial" w:cs="Arial"/>
          <w:bCs/>
          <w:sz w:val="20"/>
          <w:szCs w:val="20"/>
          <w:lang w:eastAsia="sl-SI"/>
        </w:rPr>
        <w:t xml:space="preserve"> promet</w:t>
      </w:r>
      <w:r w:rsidR="002D5A62" w:rsidRPr="00F55715">
        <w:rPr>
          <w:rFonts w:ascii="Arial" w:eastAsia="Times New Roman" w:hAnsi="Arial" w:cs="Arial"/>
          <w:bCs/>
          <w:sz w:val="20"/>
          <w:szCs w:val="20"/>
          <w:lang w:eastAsia="sl-SI"/>
        </w:rPr>
        <w:t>u</w:t>
      </w:r>
      <w:r w:rsidRPr="00F55715">
        <w:rPr>
          <w:rFonts w:ascii="Arial" w:eastAsia="Times New Roman" w:hAnsi="Arial" w:cs="Arial"/>
          <w:bCs/>
          <w:sz w:val="20"/>
          <w:szCs w:val="20"/>
          <w:lang w:eastAsia="sl-SI"/>
        </w:rPr>
        <w:t xml:space="preserve">, ki so registrirani in imajo licenco za opravljanje dejavnosti prevoza v cestnem prometu. </w:t>
      </w:r>
    </w:p>
    <w:p w:rsidR="00D60601" w:rsidRPr="00F55715" w:rsidRDefault="00D60601" w:rsidP="00D60601">
      <w:pPr>
        <w:spacing w:after="120" w:line="240" w:lineRule="auto"/>
        <w:ind w:firstLine="1021"/>
        <w:jc w:val="both"/>
        <w:rPr>
          <w:rFonts w:ascii="Arial" w:eastAsia="Times New Roman" w:hAnsi="Arial" w:cs="Arial"/>
          <w:sz w:val="20"/>
          <w:szCs w:val="20"/>
          <w:lang w:eastAsia="sl-SI"/>
        </w:rPr>
      </w:pPr>
    </w:p>
    <w:p w:rsidR="00D60601" w:rsidRPr="00F55715" w:rsidRDefault="00D60601" w:rsidP="00D60601">
      <w:pPr>
        <w:numPr>
          <w:ilvl w:val="0"/>
          <w:numId w:val="22"/>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Upravičenci za pridobitev investicijskih transferjev za naložbe iz drugega odstavka 10.</w:t>
      </w:r>
      <w:r w:rsidR="00534555"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 xml:space="preserve">člena </w:t>
      </w:r>
      <w:r w:rsidR="00060956">
        <w:rPr>
          <w:rFonts w:ascii="Arial" w:eastAsia="Times New Roman" w:hAnsi="Arial" w:cs="Arial"/>
          <w:sz w:val="20"/>
          <w:szCs w:val="20"/>
          <w:lang w:eastAsia="sl-SI"/>
        </w:rPr>
        <w:t>te uredbe</w:t>
      </w:r>
      <w:r w:rsidRPr="00F55715">
        <w:rPr>
          <w:rFonts w:ascii="Arial" w:eastAsia="Times New Roman" w:hAnsi="Arial" w:cs="Arial"/>
          <w:sz w:val="20"/>
          <w:szCs w:val="20"/>
          <w:lang w:eastAsia="sl-SI"/>
        </w:rPr>
        <w:t xml:space="preserve"> so </w:t>
      </w:r>
      <w:r w:rsidRPr="00F55715">
        <w:rPr>
          <w:rFonts w:ascii="Arial" w:eastAsia="Times New Roman" w:hAnsi="Arial" w:cs="Arial"/>
          <w:bCs/>
          <w:sz w:val="20"/>
          <w:szCs w:val="20"/>
          <w:lang w:eastAsia="sl-SI"/>
        </w:rPr>
        <w:t>občine in drugi subjekti, ki ne opravljajo pridobitne dejavnosti (javni skladi, javne agencije, javni zavodi, ustanove, društva, verske skupnosti, ipd), za stroške študij, vključno z energetskimi pregledi in naložbene projekte.</w:t>
      </w:r>
    </w:p>
    <w:p w:rsidR="00D60601" w:rsidRPr="00F55715" w:rsidRDefault="00D60601" w:rsidP="00D60601">
      <w:pPr>
        <w:spacing w:after="120" w:line="240" w:lineRule="auto"/>
        <w:jc w:val="both"/>
        <w:rPr>
          <w:rFonts w:ascii="Arial" w:eastAsia="Times New Roman" w:hAnsi="Arial" w:cs="Arial"/>
          <w:bCs/>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(upravičeni stroški)</w:t>
      </w:r>
    </w:p>
    <w:p w:rsidR="00D60601" w:rsidRPr="00F55715" w:rsidRDefault="00D60601" w:rsidP="00D60601">
      <w:pPr>
        <w:numPr>
          <w:ilvl w:val="0"/>
          <w:numId w:val="23"/>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K upravičenim stroškom naložbenih projektov za dodeljevanje subvencij in investicijskih transferjev se štejejo upravičeni stroški, navedeni v 13.</w:t>
      </w:r>
      <w:r w:rsidR="00534555"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 xml:space="preserve">členu </w:t>
      </w:r>
      <w:r w:rsidR="00060956">
        <w:rPr>
          <w:rFonts w:ascii="Arial" w:eastAsia="Times New Roman" w:hAnsi="Arial" w:cs="Arial"/>
          <w:sz w:val="20"/>
          <w:szCs w:val="20"/>
          <w:lang w:eastAsia="sl-SI"/>
        </w:rPr>
        <w:t>te uredbe</w:t>
      </w:r>
      <w:r w:rsidRPr="00F55715">
        <w:rPr>
          <w:rFonts w:ascii="Arial" w:eastAsia="Times New Roman" w:hAnsi="Arial" w:cs="Arial"/>
          <w:sz w:val="20"/>
          <w:szCs w:val="20"/>
          <w:lang w:eastAsia="sl-SI"/>
        </w:rPr>
        <w:t>, pri čemer se kot naložbeni projekti upoštevajo vse naložbe v projekte za uvajanje uporabe alternativnih goriv v prometu.</w:t>
      </w:r>
    </w:p>
    <w:p w:rsidR="00D60601" w:rsidRPr="00F55715" w:rsidRDefault="00D60601" w:rsidP="00D60601">
      <w:pPr>
        <w:numPr>
          <w:ilvl w:val="0"/>
          <w:numId w:val="23"/>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Upravičeni stroški študij so stroški zunanjih izvajalcev.</w:t>
      </w:r>
    </w:p>
    <w:p w:rsidR="00D60601" w:rsidRPr="00F55715" w:rsidRDefault="00D60601" w:rsidP="00D60601">
      <w:pPr>
        <w:numPr>
          <w:ilvl w:val="0"/>
          <w:numId w:val="23"/>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lastRenderedPageBreak/>
        <w:t>Upravičeni stroški za naložbe iz 10</w:t>
      </w:r>
      <w:r w:rsidR="00534555"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 xml:space="preserve">člena </w:t>
      </w:r>
      <w:r w:rsidR="00060956">
        <w:rPr>
          <w:rFonts w:ascii="Arial" w:eastAsia="Times New Roman" w:hAnsi="Arial" w:cs="Arial"/>
          <w:sz w:val="20"/>
          <w:szCs w:val="20"/>
          <w:lang w:eastAsia="sl-SI"/>
        </w:rPr>
        <w:t>te uredbe</w:t>
      </w:r>
      <w:r w:rsidRPr="00F55715">
        <w:rPr>
          <w:rFonts w:ascii="Arial" w:eastAsia="Times New Roman" w:hAnsi="Arial" w:cs="Arial"/>
          <w:sz w:val="20"/>
          <w:szCs w:val="20"/>
          <w:lang w:eastAsia="sl-SI"/>
        </w:rPr>
        <w:t xml:space="preserve"> so dodatni stroški naložbe, ki so potrebni za preseganje veljavnih standardov Unije ali zvišanje ravni varstva okolja v odsotnosti standardov Unije.</w:t>
      </w: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(pogoji za dodelitev subvencij in investicijskih transferjev)</w:t>
      </w:r>
    </w:p>
    <w:p w:rsidR="00D60601" w:rsidRPr="00F55715" w:rsidRDefault="00D60601" w:rsidP="00D60601">
      <w:pPr>
        <w:spacing w:after="120" w:line="240" w:lineRule="auto"/>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Za dodelitev subvencij se uporabljajo pogoji, ki so določeni v 21.</w:t>
      </w:r>
      <w:r w:rsidR="00534555"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 xml:space="preserve">členu </w:t>
      </w:r>
      <w:r w:rsidR="00060956">
        <w:rPr>
          <w:rFonts w:ascii="Arial" w:eastAsia="Times New Roman" w:hAnsi="Arial" w:cs="Arial"/>
          <w:sz w:val="20"/>
          <w:szCs w:val="20"/>
          <w:lang w:eastAsia="sl-SI"/>
        </w:rPr>
        <w:t>te uredbe</w:t>
      </w:r>
      <w:r w:rsidRPr="00F55715">
        <w:rPr>
          <w:rFonts w:ascii="Arial" w:eastAsia="Times New Roman" w:hAnsi="Arial" w:cs="Arial"/>
          <w:sz w:val="20"/>
          <w:szCs w:val="20"/>
          <w:lang w:eastAsia="sl-SI"/>
        </w:rPr>
        <w:t>.</w:t>
      </w:r>
    </w:p>
    <w:p w:rsidR="00D60601" w:rsidRPr="00F55715" w:rsidRDefault="00D60601" w:rsidP="00D60601">
      <w:pPr>
        <w:spacing w:after="120" w:line="240" w:lineRule="auto"/>
        <w:jc w:val="both"/>
        <w:rPr>
          <w:rFonts w:ascii="Arial" w:eastAsia="Times New Roman" w:hAnsi="Arial" w:cs="Arial"/>
          <w:bCs/>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(intenzivnost subvencij in investicijskih transferjev)</w:t>
      </w:r>
    </w:p>
    <w:p w:rsidR="00D60601" w:rsidRPr="00F55715" w:rsidRDefault="00D60601" w:rsidP="00D60601">
      <w:pPr>
        <w:numPr>
          <w:ilvl w:val="0"/>
          <w:numId w:val="24"/>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Dodeljene subvencije ali investicijski transferji ne smejo presegati vrednosti upravičenih stroškov naložbe oziroma 50</w:t>
      </w:r>
      <w:r w:rsidR="00534555" w:rsidRPr="00F55715">
        <w:rPr>
          <w:rFonts w:ascii="Arial" w:eastAsia="Times New Roman" w:hAnsi="Arial" w:cs="Arial"/>
          <w:sz w:val="20"/>
          <w:szCs w:val="20"/>
          <w:lang w:eastAsia="sl-SI"/>
        </w:rPr>
        <w:t> </w:t>
      </w:r>
      <w:r w:rsidRPr="00F55715">
        <w:rPr>
          <w:rFonts w:ascii="Arial" w:eastAsia="Times New Roman" w:hAnsi="Arial" w:cs="Arial"/>
          <w:sz w:val="20"/>
          <w:szCs w:val="20"/>
          <w:lang w:eastAsia="sl-SI"/>
        </w:rPr>
        <w:t>odstotkov stroškov svetovalne storitve.</w:t>
      </w:r>
    </w:p>
    <w:p w:rsidR="00D60601" w:rsidRPr="00F55715" w:rsidRDefault="00D60601" w:rsidP="00D60601">
      <w:pPr>
        <w:numPr>
          <w:ilvl w:val="0"/>
          <w:numId w:val="24"/>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Intenzivnost subvencij in investicijskih transferjev se podrobneje določi z javnim razpisom glede na razpoložljiva sredstva.</w:t>
      </w:r>
    </w:p>
    <w:p w:rsidR="00D60601" w:rsidRPr="00F55715" w:rsidRDefault="00D60601" w:rsidP="00D60601">
      <w:pPr>
        <w:numPr>
          <w:ilvl w:val="0"/>
          <w:numId w:val="24"/>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Intenzivnost subvencije ali investicijskega transferja je lahko pri posameznem javnem razpisu različna glede na celovitost naložbe.</w:t>
      </w:r>
    </w:p>
    <w:p w:rsidR="00D60601" w:rsidRPr="00F55715" w:rsidRDefault="00D60601" w:rsidP="00D60601">
      <w:pPr>
        <w:spacing w:after="120" w:line="240" w:lineRule="auto"/>
        <w:jc w:val="both"/>
        <w:rPr>
          <w:rFonts w:ascii="Arial" w:eastAsia="Times New Roman" w:hAnsi="Arial" w:cs="Arial"/>
          <w:sz w:val="20"/>
          <w:szCs w:val="20"/>
          <w:lang w:eastAsia="sl-SI"/>
        </w:rPr>
      </w:pPr>
    </w:p>
    <w:p w:rsidR="00D60601" w:rsidRPr="00F55715" w:rsidRDefault="00D60601" w:rsidP="00D60601">
      <w:pPr>
        <w:spacing w:after="120" w:line="240" w:lineRule="auto"/>
        <w:jc w:val="center"/>
        <w:rPr>
          <w:rFonts w:ascii="Arial" w:eastAsia="Times New Roman" w:hAnsi="Arial" w:cs="Arial"/>
          <w:sz w:val="20"/>
          <w:szCs w:val="20"/>
          <w:lang w:eastAsia="sl-SI"/>
        </w:rPr>
      </w:pPr>
      <w:r w:rsidRPr="00F55715">
        <w:rPr>
          <w:rFonts w:ascii="Arial" w:eastAsia="Times New Roman" w:hAnsi="Arial" w:cs="Arial"/>
          <w:sz w:val="20"/>
          <w:szCs w:val="20"/>
          <w:lang w:eastAsia="sl-SI"/>
        </w:rPr>
        <w:t>VII. VODENJE EVIDENC IN POROČANJE</w:t>
      </w: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(vodenje dokumentacije javnega razpisa ali poziva)</w:t>
      </w:r>
    </w:p>
    <w:p w:rsidR="00D60601" w:rsidRPr="00F55715" w:rsidRDefault="00D60601" w:rsidP="00D60601">
      <w:pPr>
        <w:numPr>
          <w:ilvl w:val="0"/>
          <w:numId w:val="25"/>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Ministrstvo, pristojno za energijo (v nadaljnjem besedilu: ministrstvo), vodi dokumentacijo javnega razpisa ali poziva, na podlagi katerega se dodeljujejo spodbude. Dokumentacija vsebuje podatke o prejemnikih, vrsti upravičenih stroškov, višini spodbude, pogojih in rokih izplačila spodbude.</w:t>
      </w:r>
    </w:p>
    <w:p w:rsidR="00D60601" w:rsidRPr="00F55715" w:rsidRDefault="00D60601" w:rsidP="00D60601">
      <w:pPr>
        <w:numPr>
          <w:ilvl w:val="0"/>
          <w:numId w:val="25"/>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Dokumentacijo javnega razpisa je potrebno hraniti 10 let od zadnje dodelitve pomoči.</w:t>
      </w:r>
    </w:p>
    <w:p w:rsidR="00D60601" w:rsidRPr="00F55715" w:rsidRDefault="00D60601" w:rsidP="00D60601">
      <w:pPr>
        <w:spacing w:after="120" w:line="240" w:lineRule="auto"/>
        <w:jc w:val="both"/>
        <w:rPr>
          <w:rFonts w:ascii="Arial" w:eastAsia="Times New Roman" w:hAnsi="Arial" w:cs="Arial"/>
          <w:bCs/>
          <w:sz w:val="20"/>
          <w:szCs w:val="20"/>
          <w:lang w:eastAsia="sl-SI"/>
        </w:rPr>
      </w:pP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(poročanje)</w:t>
      </w:r>
    </w:p>
    <w:p w:rsidR="00D60601" w:rsidRPr="00F55715" w:rsidRDefault="00D60601" w:rsidP="00D60601">
      <w:pPr>
        <w:numPr>
          <w:ilvl w:val="0"/>
          <w:numId w:val="26"/>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 xml:space="preserve">Prejemniki spodbud so dolžni 3 leta po začetku obratovanja naložbe letno poročati o obratovanju in učinkih izvedene naložbe na področju uvajanja </w:t>
      </w:r>
      <w:r w:rsidR="002D5A62" w:rsidRPr="00F55715">
        <w:rPr>
          <w:rFonts w:ascii="Arial" w:eastAsia="Times New Roman" w:hAnsi="Arial" w:cs="Arial"/>
          <w:sz w:val="20"/>
          <w:szCs w:val="20"/>
          <w:lang w:eastAsia="sl-SI"/>
        </w:rPr>
        <w:t xml:space="preserve">in izvajanja </w:t>
      </w:r>
      <w:r w:rsidRPr="00F55715">
        <w:rPr>
          <w:rFonts w:ascii="Arial" w:eastAsia="Times New Roman" w:hAnsi="Arial" w:cs="Arial"/>
          <w:sz w:val="20"/>
          <w:szCs w:val="20"/>
          <w:lang w:eastAsia="sl-SI"/>
        </w:rPr>
        <w:t>uporabe alternativnih goriv v prometu. Način poročanja se določi v javnem razpisu.</w:t>
      </w:r>
    </w:p>
    <w:p w:rsidR="00D60601" w:rsidRPr="00F55715" w:rsidRDefault="00D60601" w:rsidP="00D60601">
      <w:pPr>
        <w:numPr>
          <w:ilvl w:val="0"/>
          <w:numId w:val="26"/>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Vsebina poročila mora obsegati vsaj podatke o doseganju kazalnikov in razloge za njihovo odstopanje z navedbo popravljalnih ukrepov.</w:t>
      </w:r>
    </w:p>
    <w:p w:rsidR="00D60601" w:rsidRPr="00F55715" w:rsidRDefault="00D60601" w:rsidP="00D60601">
      <w:pPr>
        <w:numPr>
          <w:ilvl w:val="0"/>
          <w:numId w:val="26"/>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Ministrstvo v 30 dneh po nakazilu državne pomoči prejemniku in v 15 dneh po dodelitvi sredstev »de minimis« posreduje podatke o izplačani državni pomoči oziroma »de minimis« pomoči ministrstvu, pristojnemu za finance.</w:t>
      </w:r>
    </w:p>
    <w:p w:rsidR="00D60601" w:rsidRPr="00F55715" w:rsidRDefault="00D60601" w:rsidP="00D60601">
      <w:pPr>
        <w:numPr>
          <w:ilvl w:val="0"/>
          <w:numId w:val="26"/>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Ministrstvo informacijo o dodelitvah spodbud objavi na spletni strani.</w:t>
      </w:r>
    </w:p>
    <w:p w:rsidR="00D60601" w:rsidRPr="00F55715" w:rsidRDefault="00D60601" w:rsidP="00D60601">
      <w:pPr>
        <w:numPr>
          <w:ilvl w:val="0"/>
          <w:numId w:val="26"/>
        </w:numPr>
        <w:spacing w:after="120" w:line="240" w:lineRule="auto"/>
        <w:ind w:left="357" w:hanging="357"/>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 xml:space="preserve">V primeru, da ministrstvo kadarkoli med postopkom ali po izvršeni investiciji ugotovi, da prejemnik ob sklenitvi pogodbe ni dal pravih podatkov oziroma je dal </w:t>
      </w:r>
      <w:r w:rsidR="00192AB2" w:rsidRPr="00F55715">
        <w:rPr>
          <w:rFonts w:ascii="Arial" w:eastAsia="Times New Roman" w:hAnsi="Arial" w:cs="Arial"/>
          <w:sz w:val="20"/>
          <w:szCs w:val="20"/>
          <w:lang w:eastAsia="sl-SI"/>
        </w:rPr>
        <w:t>zavajajočo</w:t>
      </w:r>
      <w:r w:rsidRPr="00F55715">
        <w:rPr>
          <w:rFonts w:ascii="Arial" w:eastAsia="Times New Roman" w:hAnsi="Arial" w:cs="Arial"/>
          <w:sz w:val="20"/>
          <w:szCs w:val="20"/>
          <w:lang w:eastAsia="sl-SI"/>
        </w:rPr>
        <w:t xml:space="preserve"> izjavo ali so bila sredstva državne pomoči uporabljena nenamensko ali ministrstvo ugotovi druge kršitve pravilnika ali uredb, ministrstvo izterja celoten znesek državne pomoči z zakonskimi zamudnimi obrestmi od plačila državne pomoči do izplačila.</w:t>
      </w:r>
    </w:p>
    <w:p w:rsidR="00D60601" w:rsidRPr="00F55715" w:rsidRDefault="00D60601" w:rsidP="00D60601">
      <w:pPr>
        <w:spacing w:after="120" w:line="240" w:lineRule="auto"/>
        <w:jc w:val="both"/>
        <w:rPr>
          <w:rFonts w:ascii="Arial" w:eastAsia="Times New Roman" w:hAnsi="Arial" w:cs="Arial"/>
          <w:sz w:val="20"/>
          <w:szCs w:val="20"/>
          <w:lang w:eastAsia="sl-SI"/>
        </w:rPr>
      </w:pPr>
    </w:p>
    <w:p w:rsidR="00D60601" w:rsidRPr="00F55715" w:rsidRDefault="00D60601" w:rsidP="00D60601">
      <w:pPr>
        <w:spacing w:after="120" w:line="240" w:lineRule="auto"/>
        <w:jc w:val="center"/>
        <w:rPr>
          <w:rFonts w:ascii="Arial" w:eastAsia="Times New Roman" w:hAnsi="Arial" w:cs="Arial"/>
          <w:sz w:val="20"/>
          <w:szCs w:val="20"/>
          <w:lang w:eastAsia="sl-SI"/>
        </w:rPr>
      </w:pPr>
      <w:r w:rsidRPr="00F55715">
        <w:rPr>
          <w:rFonts w:ascii="Arial" w:eastAsia="Times New Roman" w:hAnsi="Arial" w:cs="Arial"/>
          <w:sz w:val="20"/>
          <w:szCs w:val="20"/>
          <w:lang w:eastAsia="sl-SI"/>
        </w:rPr>
        <w:t>VIII. KONČNA DOLOČBA</w:t>
      </w:r>
    </w:p>
    <w:p w:rsidR="00D60601" w:rsidRPr="00F55715" w:rsidRDefault="00D60601" w:rsidP="00D60601">
      <w:pPr>
        <w:numPr>
          <w:ilvl w:val="0"/>
          <w:numId w:val="1"/>
        </w:numPr>
        <w:spacing w:after="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člen</w:t>
      </w:r>
    </w:p>
    <w:p w:rsidR="00D60601" w:rsidRPr="00F55715" w:rsidRDefault="00D60601" w:rsidP="00D60601">
      <w:pPr>
        <w:spacing w:after="120" w:line="240" w:lineRule="auto"/>
        <w:jc w:val="center"/>
        <w:rPr>
          <w:rFonts w:ascii="Arial" w:eastAsia="Times New Roman" w:hAnsi="Arial" w:cs="Arial"/>
          <w:bCs/>
          <w:sz w:val="20"/>
          <w:szCs w:val="20"/>
          <w:lang w:eastAsia="sl-SI"/>
        </w:rPr>
      </w:pPr>
      <w:r w:rsidRPr="00F55715">
        <w:rPr>
          <w:rFonts w:ascii="Arial" w:eastAsia="Times New Roman" w:hAnsi="Arial" w:cs="Arial"/>
          <w:bCs/>
          <w:sz w:val="20"/>
          <w:szCs w:val="20"/>
          <w:lang w:eastAsia="sl-SI"/>
        </w:rPr>
        <w:t>(začetek veljavnosti)</w:t>
      </w:r>
    </w:p>
    <w:p w:rsidR="00D60601" w:rsidRPr="00F55715" w:rsidRDefault="00D60601" w:rsidP="00D60601">
      <w:pPr>
        <w:spacing w:after="120" w:line="240" w:lineRule="auto"/>
        <w:jc w:val="both"/>
        <w:rPr>
          <w:rFonts w:ascii="Arial" w:eastAsia="Times New Roman" w:hAnsi="Arial" w:cs="Arial"/>
          <w:sz w:val="20"/>
          <w:szCs w:val="20"/>
          <w:lang w:eastAsia="sl-SI"/>
        </w:rPr>
      </w:pPr>
      <w:r w:rsidRPr="00F55715">
        <w:rPr>
          <w:rFonts w:ascii="Arial" w:eastAsia="Times New Roman" w:hAnsi="Arial" w:cs="Arial"/>
          <w:sz w:val="20"/>
          <w:szCs w:val="20"/>
          <w:lang w:eastAsia="sl-SI"/>
        </w:rPr>
        <w:t xml:space="preserve">Ta </w:t>
      </w:r>
      <w:r w:rsidR="00060956">
        <w:rPr>
          <w:rFonts w:ascii="Arial" w:eastAsia="Times New Roman" w:hAnsi="Arial" w:cs="Arial"/>
          <w:sz w:val="20"/>
          <w:szCs w:val="20"/>
          <w:lang w:eastAsia="sl-SI"/>
        </w:rPr>
        <w:t>uredba</w:t>
      </w:r>
      <w:r w:rsidRPr="00F55715">
        <w:rPr>
          <w:rFonts w:ascii="Arial" w:eastAsia="Times New Roman" w:hAnsi="Arial" w:cs="Arial"/>
          <w:sz w:val="20"/>
          <w:szCs w:val="20"/>
          <w:lang w:eastAsia="sl-SI"/>
        </w:rPr>
        <w:t xml:space="preserve"> začne veljati petnajst dni po objavi v Uradnem listu Republike Slovenije.</w:t>
      </w:r>
    </w:p>
    <w:p w:rsidR="00D60601" w:rsidRPr="00F55715" w:rsidRDefault="000A41BC" w:rsidP="00D60601">
      <w:pPr>
        <w:spacing w:after="120" w:line="240" w:lineRule="auto"/>
        <w:jc w:val="both"/>
        <w:rPr>
          <w:rFonts w:ascii="Arial" w:eastAsia="Times New Roman" w:hAnsi="Arial" w:cs="Arial"/>
          <w:vanish/>
          <w:sz w:val="20"/>
          <w:szCs w:val="20"/>
          <w:lang w:eastAsia="sl-SI"/>
        </w:rPr>
      </w:pPr>
      <w:r>
        <w:rPr>
          <w:rFonts w:ascii="Arial" w:eastAsia="Times New Roman" w:hAnsi="Arial" w:cs="Arial"/>
          <w:vanish/>
          <w:sz w:val="20"/>
          <w:szCs w:val="20"/>
          <w:lang w:eastAsia="sl-SI"/>
        </w:rPr>
        <w:pict>
          <v:rect id="_x0000_i1025" style="width:0;height:1.5pt" o:hralign="center" o:hrstd="t" o:hrnoshade="t" o:hr="t" fillcolor="#476596" stroked="f"/>
        </w:pict>
      </w:r>
    </w:p>
    <w:p w:rsidR="00D60601" w:rsidRPr="00F55715" w:rsidRDefault="00D60601" w:rsidP="00D60601">
      <w:pPr>
        <w:spacing w:after="120" w:line="240" w:lineRule="auto"/>
        <w:jc w:val="both"/>
        <w:rPr>
          <w:rFonts w:ascii="Arial" w:eastAsia="Times New Roman" w:hAnsi="Arial" w:cs="Arial"/>
          <w:vanish/>
          <w:sz w:val="20"/>
          <w:szCs w:val="20"/>
          <w:lang w:eastAsia="sl-SI"/>
        </w:rPr>
      </w:pPr>
      <w:r w:rsidRPr="00F55715">
        <w:rPr>
          <w:rFonts w:ascii="Arial" w:eastAsia="Times New Roman" w:hAnsi="Arial" w:cs="Arial"/>
          <w:bCs/>
          <w:vanish/>
          <w:sz w:val="20"/>
          <w:szCs w:val="20"/>
          <w:lang w:eastAsia="sl-SI"/>
        </w:rPr>
        <w:t>Predpisi in drugi akti, ki so podlaga za sprejetje tega predpisa</w:t>
      </w:r>
      <w:r w:rsidRPr="00F55715">
        <w:rPr>
          <w:rFonts w:ascii="Arial" w:eastAsia="Times New Roman" w:hAnsi="Arial" w:cs="Arial"/>
          <w:vanish/>
          <w:sz w:val="20"/>
          <w:szCs w:val="20"/>
          <w:lang w:eastAsia="sl-SI"/>
        </w:rPr>
        <w:t xml:space="preserve"> </w:t>
      </w:r>
    </w:p>
    <w:p w:rsidR="00D60601" w:rsidRPr="00F55715" w:rsidRDefault="00D60601" w:rsidP="00D60601">
      <w:pPr>
        <w:spacing w:after="120" w:line="240" w:lineRule="auto"/>
        <w:jc w:val="both"/>
        <w:rPr>
          <w:rFonts w:ascii="Arial" w:eastAsia="Times New Roman" w:hAnsi="Arial" w:cs="Arial"/>
          <w:vanish/>
          <w:sz w:val="20"/>
          <w:szCs w:val="20"/>
          <w:lang w:eastAsia="sl-SI"/>
        </w:rPr>
      </w:pPr>
      <w:r w:rsidRPr="00F55715">
        <w:rPr>
          <w:rFonts w:ascii="Arial" w:eastAsia="Times New Roman" w:hAnsi="Arial" w:cs="Arial"/>
          <w:vanish/>
          <w:sz w:val="20"/>
          <w:szCs w:val="20"/>
          <w:lang w:eastAsia="sl-SI"/>
        </w:rPr>
        <w:t xml:space="preserve">   </w:t>
      </w:r>
    </w:p>
    <w:p w:rsidR="00D60601" w:rsidRPr="00F55715" w:rsidRDefault="000A41BC" w:rsidP="00D60601">
      <w:pPr>
        <w:spacing w:after="120" w:line="240" w:lineRule="auto"/>
        <w:jc w:val="both"/>
        <w:rPr>
          <w:rFonts w:ascii="Arial" w:eastAsia="Times New Roman" w:hAnsi="Arial" w:cs="Arial"/>
          <w:vanish/>
          <w:sz w:val="20"/>
          <w:szCs w:val="20"/>
          <w:lang w:eastAsia="sl-SI"/>
        </w:rPr>
      </w:pPr>
      <w:r>
        <w:rPr>
          <w:rFonts w:ascii="Arial" w:eastAsia="Times New Roman" w:hAnsi="Arial" w:cs="Arial"/>
          <w:vanish/>
          <w:sz w:val="20"/>
          <w:szCs w:val="20"/>
          <w:lang w:eastAsia="sl-SI"/>
        </w:rPr>
        <w:pict>
          <v:rect id="_x0000_i1026" style="width:0;height:1.5pt" o:hralign="center" o:hrstd="t" o:hrnoshade="t" o:hr="t" fillcolor="#476596" stroked="f"/>
        </w:pict>
      </w:r>
    </w:p>
    <w:p w:rsidR="00D60601" w:rsidRPr="00F55715" w:rsidRDefault="00D60601" w:rsidP="00D60601">
      <w:pPr>
        <w:spacing w:after="120" w:line="240" w:lineRule="auto"/>
        <w:jc w:val="both"/>
        <w:rPr>
          <w:rFonts w:ascii="Arial" w:eastAsia="Times New Roman" w:hAnsi="Arial" w:cs="Arial"/>
          <w:vanish/>
          <w:sz w:val="20"/>
          <w:szCs w:val="20"/>
          <w:lang w:eastAsia="sl-SI"/>
        </w:rPr>
      </w:pPr>
      <w:r w:rsidRPr="00F55715">
        <w:rPr>
          <w:rFonts w:ascii="Arial" w:eastAsia="Times New Roman" w:hAnsi="Arial" w:cs="Arial"/>
          <w:bCs/>
          <w:vanish/>
          <w:sz w:val="20"/>
          <w:szCs w:val="20"/>
          <w:lang w:eastAsia="sl-SI"/>
        </w:rPr>
        <w:t xml:space="preserve">Organi </w:t>
      </w:r>
    </w:p>
    <w:p w:rsidR="00D60601" w:rsidRPr="00F55715" w:rsidRDefault="000A41BC" w:rsidP="00D60601">
      <w:pPr>
        <w:spacing w:after="120" w:line="240" w:lineRule="auto"/>
        <w:jc w:val="both"/>
        <w:rPr>
          <w:rFonts w:ascii="Arial" w:eastAsia="Times New Roman" w:hAnsi="Arial" w:cs="Arial"/>
          <w:vanish/>
          <w:sz w:val="20"/>
          <w:szCs w:val="20"/>
          <w:lang w:eastAsia="sl-SI"/>
        </w:rPr>
      </w:pPr>
      <w:r>
        <w:rPr>
          <w:rFonts w:ascii="Arial" w:eastAsia="Times New Roman" w:hAnsi="Arial" w:cs="Arial"/>
          <w:vanish/>
          <w:sz w:val="20"/>
          <w:szCs w:val="20"/>
          <w:lang w:eastAsia="sl-SI"/>
        </w:rPr>
        <w:pict>
          <v:rect id="_x0000_i1027" style="width:0;height:1.5pt" o:hralign="center" o:hrstd="t" o:hrnoshade="t" o:hr="t" fillcolor="#476596" stroked="f"/>
        </w:pict>
      </w:r>
    </w:p>
    <w:p w:rsidR="00D60601" w:rsidRPr="00F55715" w:rsidRDefault="00D60601" w:rsidP="00D60601">
      <w:pPr>
        <w:spacing w:after="120" w:line="240" w:lineRule="auto"/>
        <w:jc w:val="both"/>
        <w:rPr>
          <w:rFonts w:ascii="Arial" w:eastAsia="Times New Roman" w:hAnsi="Arial" w:cs="Arial"/>
          <w:vanish/>
          <w:sz w:val="20"/>
          <w:szCs w:val="20"/>
          <w:lang w:eastAsia="sl-SI"/>
        </w:rPr>
      </w:pPr>
      <w:r w:rsidRPr="00F55715">
        <w:rPr>
          <w:rFonts w:ascii="Arial" w:eastAsia="Times New Roman" w:hAnsi="Arial" w:cs="Arial"/>
          <w:bCs/>
          <w:vanish/>
          <w:sz w:val="20"/>
          <w:szCs w:val="20"/>
          <w:lang w:eastAsia="sl-SI"/>
        </w:rPr>
        <w:t>EUROVOC deskriptorji</w:t>
      </w:r>
      <w:r w:rsidRPr="00F55715">
        <w:rPr>
          <w:rFonts w:ascii="Arial" w:eastAsia="Times New Roman" w:hAnsi="Arial" w:cs="Arial"/>
          <w:vanish/>
          <w:sz w:val="20"/>
          <w:szCs w:val="20"/>
          <w:lang w:eastAsia="sl-SI"/>
        </w:rPr>
        <w:t xml:space="preserve"> </w:t>
      </w:r>
    </w:p>
    <w:p w:rsidR="00D60601" w:rsidRPr="00F55715" w:rsidRDefault="000A41BC" w:rsidP="00D60601">
      <w:pPr>
        <w:spacing w:after="120" w:line="240" w:lineRule="auto"/>
        <w:jc w:val="both"/>
        <w:rPr>
          <w:rFonts w:ascii="Arial" w:eastAsia="Times New Roman" w:hAnsi="Arial" w:cs="Arial"/>
          <w:vanish/>
          <w:sz w:val="20"/>
          <w:szCs w:val="20"/>
          <w:lang w:eastAsia="sl-SI"/>
        </w:rPr>
      </w:pPr>
      <w:r>
        <w:rPr>
          <w:rFonts w:ascii="Arial" w:eastAsia="Times New Roman" w:hAnsi="Arial" w:cs="Arial"/>
          <w:vanish/>
          <w:sz w:val="20"/>
          <w:szCs w:val="20"/>
          <w:lang w:eastAsia="sl-SI"/>
        </w:rPr>
        <w:pict>
          <v:rect id="_x0000_i1028" style="width:0;height:1.5pt" o:hralign="center" o:hrstd="t" o:hrnoshade="t" o:hr="t" fillcolor="#476596" stroked="f"/>
        </w:pict>
      </w:r>
    </w:p>
    <w:p w:rsidR="00D60601" w:rsidRPr="00F55715" w:rsidRDefault="00D60601" w:rsidP="00D60601">
      <w:pPr>
        <w:spacing w:after="120" w:line="240" w:lineRule="auto"/>
        <w:jc w:val="both"/>
        <w:rPr>
          <w:rFonts w:ascii="Arial" w:eastAsia="Times New Roman" w:hAnsi="Arial" w:cs="Arial"/>
          <w:vanish/>
          <w:sz w:val="20"/>
          <w:szCs w:val="20"/>
          <w:lang w:eastAsia="sl-SI"/>
        </w:rPr>
      </w:pPr>
    </w:p>
    <w:p w:rsidR="00D60601" w:rsidRPr="00EA4FE1" w:rsidRDefault="00D60601" w:rsidP="00D60601">
      <w:pPr>
        <w:pBdr>
          <w:top w:val="single" w:sz="6" w:space="1" w:color="auto"/>
        </w:pBdr>
        <w:spacing w:after="120" w:line="240" w:lineRule="auto"/>
        <w:jc w:val="both"/>
        <w:rPr>
          <w:rFonts w:ascii="Arial" w:eastAsia="Times New Roman" w:hAnsi="Arial" w:cs="Arial"/>
          <w:vanish/>
          <w:sz w:val="20"/>
          <w:szCs w:val="20"/>
          <w:lang w:eastAsia="sl-SI"/>
        </w:rPr>
      </w:pPr>
      <w:r w:rsidRPr="00F55715">
        <w:rPr>
          <w:rFonts w:ascii="Arial" w:eastAsia="Times New Roman" w:hAnsi="Arial" w:cs="Arial"/>
          <w:vanish/>
          <w:sz w:val="20"/>
          <w:szCs w:val="20"/>
          <w:lang w:eastAsia="sl-SI"/>
        </w:rPr>
        <w:t>Dno obrazca</w:t>
      </w:r>
    </w:p>
    <w:p w:rsidR="005A78BA" w:rsidRDefault="00D60601" w:rsidP="00D60601">
      <w:r w:rsidRPr="00EA4FE1">
        <w:rPr>
          <w:rFonts w:ascii="Arial" w:eastAsia="Times New Roman" w:hAnsi="Arial" w:cs="Arial"/>
          <w:sz w:val="20"/>
          <w:szCs w:val="20"/>
          <w:lang w:eastAsia="sl-SI"/>
        </w:rPr>
        <w:t> </w:t>
      </w:r>
    </w:p>
    <w:sectPr w:rsidR="005A78B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7D8" w:rsidRDefault="001667D8" w:rsidP="00CE3F7D">
      <w:pPr>
        <w:spacing w:after="0" w:line="240" w:lineRule="auto"/>
      </w:pPr>
      <w:r>
        <w:separator/>
      </w:r>
    </w:p>
  </w:endnote>
  <w:endnote w:type="continuationSeparator" w:id="0">
    <w:p w:rsidR="001667D8" w:rsidRDefault="001667D8" w:rsidP="00CE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194244"/>
      <w:docPartObj>
        <w:docPartGallery w:val="Page Numbers (Bottom of Page)"/>
        <w:docPartUnique/>
      </w:docPartObj>
    </w:sdtPr>
    <w:sdtEndPr/>
    <w:sdtContent>
      <w:p w:rsidR="00DA0BC2" w:rsidRDefault="00DA0BC2">
        <w:pPr>
          <w:pStyle w:val="Noga"/>
          <w:jc w:val="right"/>
        </w:pPr>
        <w:r>
          <w:fldChar w:fldCharType="begin"/>
        </w:r>
        <w:r>
          <w:instrText>PAGE   \* MERGEFORMAT</w:instrText>
        </w:r>
        <w:r>
          <w:fldChar w:fldCharType="separate"/>
        </w:r>
        <w:r w:rsidR="000A41BC">
          <w:rPr>
            <w:noProof/>
          </w:rPr>
          <w:t>1</w:t>
        </w:r>
        <w:r>
          <w:fldChar w:fldCharType="end"/>
        </w:r>
      </w:p>
    </w:sdtContent>
  </w:sdt>
  <w:p w:rsidR="00DA0BC2" w:rsidRDefault="00DA0BC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7D8" w:rsidRDefault="001667D8" w:rsidP="00CE3F7D">
      <w:pPr>
        <w:spacing w:after="0" w:line="240" w:lineRule="auto"/>
      </w:pPr>
      <w:r>
        <w:separator/>
      </w:r>
    </w:p>
  </w:footnote>
  <w:footnote w:type="continuationSeparator" w:id="0">
    <w:p w:rsidR="001667D8" w:rsidRDefault="001667D8" w:rsidP="00CE3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5FD3"/>
    <w:multiLevelType w:val="hybridMultilevel"/>
    <w:tmpl w:val="0E0E883E"/>
    <w:lvl w:ilvl="0" w:tplc="6AFA99FE">
      <w:start w:val="1"/>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8778EF"/>
    <w:multiLevelType w:val="hybridMultilevel"/>
    <w:tmpl w:val="17ACA014"/>
    <w:lvl w:ilvl="0" w:tplc="A3DA6D22">
      <w:start w:val="1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AF3B81"/>
    <w:multiLevelType w:val="hybridMultilevel"/>
    <w:tmpl w:val="F734193E"/>
    <w:lvl w:ilvl="0" w:tplc="45C4C65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092DE9"/>
    <w:multiLevelType w:val="hybridMultilevel"/>
    <w:tmpl w:val="3432D7DE"/>
    <w:lvl w:ilvl="0" w:tplc="E6C6D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FE4C39"/>
    <w:multiLevelType w:val="hybridMultilevel"/>
    <w:tmpl w:val="B79EAB68"/>
    <w:lvl w:ilvl="0" w:tplc="91EEFD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5540998"/>
    <w:multiLevelType w:val="hybridMultilevel"/>
    <w:tmpl w:val="3432D7DE"/>
    <w:lvl w:ilvl="0" w:tplc="E6C6D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A67FEA"/>
    <w:multiLevelType w:val="hybridMultilevel"/>
    <w:tmpl w:val="3432D7DE"/>
    <w:lvl w:ilvl="0" w:tplc="E6C6D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5D1C26"/>
    <w:multiLevelType w:val="hybridMultilevel"/>
    <w:tmpl w:val="3432D7DE"/>
    <w:lvl w:ilvl="0" w:tplc="E6C6D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0483ACA"/>
    <w:multiLevelType w:val="hybridMultilevel"/>
    <w:tmpl w:val="3432D7DE"/>
    <w:lvl w:ilvl="0" w:tplc="E6C6D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14075E6"/>
    <w:multiLevelType w:val="hybridMultilevel"/>
    <w:tmpl w:val="3432D7DE"/>
    <w:lvl w:ilvl="0" w:tplc="E6C6D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82156F1"/>
    <w:multiLevelType w:val="hybridMultilevel"/>
    <w:tmpl w:val="3432D7DE"/>
    <w:lvl w:ilvl="0" w:tplc="E6C6D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9AF7184"/>
    <w:multiLevelType w:val="hybridMultilevel"/>
    <w:tmpl w:val="3432D7DE"/>
    <w:lvl w:ilvl="0" w:tplc="E6C6D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A6124C1"/>
    <w:multiLevelType w:val="hybridMultilevel"/>
    <w:tmpl w:val="3432D7DE"/>
    <w:lvl w:ilvl="0" w:tplc="E6C6D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B72F62"/>
    <w:multiLevelType w:val="hybridMultilevel"/>
    <w:tmpl w:val="3432D7DE"/>
    <w:lvl w:ilvl="0" w:tplc="E6C6D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37918C7"/>
    <w:multiLevelType w:val="hybridMultilevel"/>
    <w:tmpl w:val="85FA624A"/>
    <w:lvl w:ilvl="0" w:tplc="04240017">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15:restartNumberingAfterBreak="0">
    <w:nsid w:val="54DE0504"/>
    <w:multiLevelType w:val="hybridMultilevel"/>
    <w:tmpl w:val="3432D7DE"/>
    <w:lvl w:ilvl="0" w:tplc="E6C6D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6BE023F"/>
    <w:multiLevelType w:val="hybridMultilevel"/>
    <w:tmpl w:val="3432D7DE"/>
    <w:lvl w:ilvl="0" w:tplc="E6C6D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563930"/>
    <w:multiLevelType w:val="hybridMultilevel"/>
    <w:tmpl w:val="85FA624A"/>
    <w:lvl w:ilvl="0" w:tplc="04240017">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5BAD3BA7"/>
    <w:multiLevelType w:val="hybridMultilevel"/>
    <w:tmpl w:val="3432D7DE"/>
    <w:lvl w:ilvl="0" w:tplc="E6C6D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1443548"/>
    <w:multiLevelType w:val="hybridMultilevel"/>
    <w:tmpl w:val="85FA624A"/>
    <w:lvl w:ilvl="0" w:tplc="04240017">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616947F9"/>
    <w:multiLevelType w:val="hybridMultilevel"/>
    <w:tmpl w:val="3432D7DE"/>
    <w:lvl w:ilvl="0" w:tplc="E6C6D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2DF41D8"/>
    <w:multiLevelType w:val="hybridMultilevel"/>
    <w:tmpl w:val="3432D7DE"/>
    <w:lvl w:ilvl="0" w:tplc="E6C6D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1AD5B83"/>
    <w:multiLevelType w:val="hybridMultilevel"/>
    <w:tmpl w:val="3432D7DE"/>
    <w:lvl w:ilvl="0" w:tplc="E6C6D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336323C"/>
    <w:multiLevelType w:val="hybridMultilevel"/>
    <w:tmpl w:val="3432D7DE"/>
    <w:lvl w:ilvl="0" w:tplc="E6C6D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3A4279E"/>
    <w:multiLevelType w:val="hybridMultilevel"/>
    <w:tmpl w:val="3432D7DE"/>
    <w:lvl w:ilvl="0" w:tplc="E6C6D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BEC687E"/>
    <w:multiLevelType w:val="hybridMultilevel"/>
    <w:tmpl w:val="3432D7DE"/>
    <w:lvl w:ilvl="0" w:tplc="E6C6D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E68360A"/>
    <w:multiLevelType w:val="hybridMultilevel"/>
    <w:tmpl w:val="3432D7DE"/>
    <w:lvl w:ilvl="0" w:tplc="E6C6D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8"/>
  </w:num>
  <w:num w:numId="5">
    <w:abstractNumId w:val="16"/>
  </w:num>
  <w:num w:numId="6">
    <w:abstractNumId w:val="25"/>
  </w:num>
  <w:num w:numId="7">
    <w:abstractNumId w:val="13"/>
  </w:num>
  <w:num w:numId="8">
    <w:abstractNumId w:val="22"/>
  </w:num>
  <w:num w:numId="9">
    <w:abstractNumId w:val="14"/>
  </w:num>
  <w:num w:numId="10">
    <w:abstractNumId w:val="21"/>
  </w:num>
  <w:num w:numId="11">
    <w:abstractNumId w:val="18"/>
  </w:num>
  <w:num w:numId="12">
    <w:abstractNumId w:val="19"/>
  </w:num>
  <w:num w:numId="13">
    <w:abstractNumId w:val="23"/>
  </w:num>
  <w:num w:numId="14">
    <w:abstractNumId w:val="5"/>
  </w:num>
  <w:num w:numId="15">
    <w:abstractNumId w:val="17"/>
  </w:num>
  <w:num w:numId="16">
    <w:abstractNumId w:val="12"/>
  </w:num>
  <w:num w:numId="17">
    <w:abstractNumId w:val="24"/>
  </w:num>
  <w:num w:numId="18">
    <w:abstractNumId w:val="15"/>
  </w:num>
  <w:num w:numId="19">
    <w:abstractNumId w:val="11"/>
  </w:num>
  <w:num w:numId="20">
    <w:abstractNumId w:val="20"/>
  </w:num>
  <w:num w:numId="21">
    <w:abstractNumId w:val="3"/>
  </w:num>
  <w:num w:numId="22">
    <w:abstractNumId w:val="26"/>
  </w:num>
  <w:num w:numId="23">
    <w:abstractNumId w:val="9"/>
  </w:num>
  <w:num w:numId="24">
    <w:abstractNumId w:val="7"/>
  </w:num>
  <w:num w:numId="25">
    <w:abstractNumId w:val="10"/>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01"/>
    <w:rsid w:val="00000102"/>
    <w:rsid w:val="00023875"/>
    <w:rsid w:val="00060956"/>
    <w:rsid w:val="0008655D"/>
    <w:rsid w:val="0008798E"/>
    <w:rsid w:val="000A41BC"/>
    <w:rsid w:val="000A433F"/>
    <w:rsid w:val="000D1229"/>
    <w:rsid w:val="000D70B8"/>
    <w:rsid w:val="000E091B"/>
    <w:rsid w:val="000E3B88"/>
    <w:rsid w:val="00110078"/>
    <w:rsid w:val="00121D00"/>
    <w:rsid w:val="001667D8"/>
    <w:rsid w:val="00167122"/>
    <w:rsid w:val="00192AB2"/>
    <w:rsid w:val="001A5A38"/>
    <w:rsid w:val="001B0042"/>
    <w:rsid w:val="001B5D11"/>
    <w:rsid w:val="001C5C66"/>
    <w:rsid w:val="001C7EB8"/>
    <w:rsid w:val="001D6CE0"/>
    <w:rsid w:val="001E0591"/>
    <w:rsid w:val="001F1DCA"/>
    <w:rsid w:val="001F22C4"/>
    <w:rsid w:val="001F6F97"/>
    <w:rsid w:val="002650E2"/>
    <w:rsid w:val="002D5A62"/>
    <w:rsid w:val="002D5FA9"/>
    <w:rsid w:val="002E584F"/>
    <w:rsid w:val="00302254"/>
    <w:rsid w:val="00311F7D"/>
    <w:rsid w:val="003201D5"/>
    <w:rsid w:val="003223CF"/>
    <w:rsid w:val="003234EB"/>
    <w:rsid w:val="00364120"/>
    <w:rsid w:val="003718D5"/>
    <w:rsid w:val="003867E8"/>
    <w:rsid w:val="00387428"/>
    <w:rsid w:val="003927A3"/>
    <w:rsid w:val="003A16CD"/>
    <w:rsid w:val="003B7207"/>
    <w:rsid w:val="003C1DAB"/>
    <w:rsid w:val="003D32C1"/>
    <w:rsid w:val="003F0457"/>
    <w:rsid w:val="003F2D8B"/>
    <w:rsid w:val="0040518D"/>
    <w:rsid w:val="004102AF"/>
    <w:rsid w:val="00414C28"/>
    <w:rsid w:val="00415868"/>
    <w:rsid w:val="00421C56"/>
    <w:rsid w:val="004325C4"/>
    <w:rsid w:val="00437533"/>
    <w:rsid w:val="004400E7"/>
    <w:rsid w:val="004461AE"/>
    <w:rsid w:val="004A6D50"/>
    <w:rsid w:val="004B121A"/>
    <w:rsid w:val="004B592A"/>
    <w:rsid w:val="004C6988"/>
    <w:rsid w:val="004D3EAA"/>
    <w:rsid w:val="004E00DF"/>
    <w:rsid w:val="00512CAD"/>
    <w:rsid w:val="00520498"/>
    <w:rsid w:val="005254E3"/>
    <w:rsid w:val="00534555"/>
    <w:rsid w:val="00546764"/>
    <w:rsid w:val="0057153E"/>
    <w:rsid w:val="005A78BA"/>
    <w:rsid w:val="005F046A"/>
    <w:rsid w:val="00602F7E"/>
    <w:rsid w:val="006066D2"/>
    <w:rsid w:val="00613462"/>
    <w:rsid w:val="00644CBA"/>
    <w:rsid w:val="006462E6"/>
    <w:rsid w:val="00691666"/>
    <w:rsid w:val="006B57C7"/>
    <w:rsid w:val="006C010E"/>
    <w:rsid w:val="006C0AE0"/>
    <w:rsid w:val="006F3354"/>
    <w:rsid w:val="00741821"/>
    <w:rsid w:val="00744D7D"/>
    <w:rsid w:val="0077463A"/>
    <w:rsid w:val="007B0A16"/>
    <w:rsid w:val="007B0DB8"/>
    <w:rsid w:val="007B482E"/>
    <w:rsid w:val="007C4F8B"/>
    <w:rsid w:val="007E6E2E"/>
    <w:rsid w:val="0081659D"/>
    <w:rsid w:val="00837BD0"/>
    <w:rsid w:val="008537F6"/>
    <w:rsid w:val="00867BED"/>
    <w:rsid w:val="008A2E8E"/>
    <w:rsid w:val="008A5001"/>
    <w:rsid w:val="008D3FA9"/>
    <w:rsid w:val="008E6358"/>
    <w:rsid w:val="00916503"/>
    <w:rsid w:val="00917149"/>
    <w:rsid w:val="00956FC1"/>
    <w:rsid w:val="00960D5D"/>
    <w:rsid w:val="009659AC"/>
    <w:rsid w:val="00970378"/>
    <w:rsid w:val="00972764"/>
    <w:rsid w:val="00972A18"/>
    <w:rsid w:val="00973B18"/>
    <w:rsid w:val="00997960"/>
    <w:rsid w:val="009A02C1"/>
    <w:rsid w:val="009C3052"/>
    <w:rsid w:val="009D3A15"/>
    <w:rsid w:val="009E354A"/>
    <w:rsid w:val="009E66FE"/>
    <w:rsid w:val="00A03EE0"/>
    <w:rsid w:val="00A23BB2"/>
    <w:rsid w:val="00A35C08"/>
    <w:rsid w:val="00A44338"/>
    <w:rsid w:val="00A4586C"/>
    <w:rsid w:val="00A4599B"/>
    <w:rsid w:val="00A52C17"/>
    <w:rsid w:val="00A56EA6"/>
    <w:rsid w:val="00A70DE1"/>
    <w:rsid w:val="00A770F4"/>
    <w:rsid w:val="00AE08E3"/>
    <w:rsid w:val="00AE589C"/>
    <w:rsid w:val="00AF3AC6"/>
    <w:rsid w:val="00B03587"/>
    <w:rsid w:val="00B04490"/>
    <w:rsid w:val="00B13089"/>
    <w:rsid w:val="00B54693"/>
    <w:rsid w:val="00B658B5"/>
    <w:rsid w:val="00B678EE"/>
    <w:rsid w:val="00B9123F"/>
    <w:rsid w:val="00B91BF7"/>
    <w:rsid w:val="00BA3375"/>
    <w:rsid w:val="00BB11E2"/>
    <w:rsid w:val="00BB2B00"/>
    <w:rsid w:val="00BB4872"/>
    <w:rsid w:val="00BF7DC8"/>
    <w:rsid w:val="00C01E84"/>
    <w:rsid w:val="00C0261C"/>
    <w:rsid w:val="00C16016"/>
    <w:rsid w:val="00C16FF2"/>
    <w:rsid w:val="00C255F4"/>
    <w:rsid w:val="00C25C84"/>
    <w:rsid w:val="00C4554E"/>
    <w:rsid w:val="00CA43A7"/>
    <w:rsid w:val="00CA7D4D"/>
    <w:rsid w:val="00CB2525"/>
    <w:rsid w:val="00CB3E2A"/>
    <w:rsid w:val="00CC3675"/>
    <w:rsid w:val="00CC7B33"/>
    <w:rsid w:val="00CE3F7D"/>
    <w:rsid w:val="00D41681"/>
    <w:rsid w:val="00D60601"/>
    <w:rsid w:val="00D616A3"/>
    <w:rsid w:val="00DA0BC2"/>
    <w:rsid w:val="00DC020E"/>
    <w:rsid w:val="00DE0FCB"/>
    <w:rsid w:val="00E12363"/>
    <w:rsid w:val="00E12E70"/>
    <w:rsid w:val="00E235EB"/>
    <w:rsid w:val="00E55457"/>
    <w:rsid w:val="00E81108"/>
    <w:rsid w:val="00E93C93"/>
    <w:rsid w:val="00EE4011"/>
    <w:rsid w:val="00EE4F65"/>
    <w:rsid w:val="00F006E8"/>
    <w:rsid w:val="00F02D47"/>
    <w:rsid w:val="00F15E9D"/>
    <w:rsid w:val="00F161D9"/>
    <w:rsid w:val="00F55715"/>
    <w:rsid w:val="00F56C7F"/>
    <w:rsid w:val="00F660EA"/>
    <w:rsid w:val="00F67F77"/>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11B53DF9-45A4-482E-9D78-17D822F0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601"/>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E3F7D"/>
    <w:pPr>
      <w:tabs>
        <w:tab w:val="center" w:pos="4536"/>
        <w:tab w:val="right" w:pos="9072"/>
      </w:tabs>
      <w:spacing w:after="0" w:line="240" w:lineRule="auto"/>
    </w:pPr>
  </w:style>
  <w:style w:type="character" w:customStyle="1" w:styleId="GlavaZnak">
    <w:name w:val="Glava Znak"/>
    <w:basedOn w:val="Privzetapisavaodstavka"/>
    <w:link w:val="Glava"/>
    <w:rsid w:val="00CE3F7D"/>
    <w:rPr>
      <w:rFonts w:asciiTheme="minorHAnsi" w:eastAsiaTheme="minorHAnsi" w:hAnsiTheme="minorHAnsi" w:cstheme="minorBidi"/>
      <w:sz w:val="22"/>
      <w:szCs w:val="22"/>
      <w:lang w:eastAsia="en-US"/>
    </w:rPr>
  </w:style>
  <w:style w:type="paragraph" w:styleId="Noga">
    <w:name w:val="footer"/>
    <w:basedOn w:val="Navaden"/>
    <w:link w:val="NogaZnak"/>
    <w:uiPriority w:val="99"/>
    <w:rsid w:val="00CE3F7D"/>
    <w:pPr>
      <w:tabs>
        <w:tab w:val="center" w:pos="4536"/>
        <w:tab w:val="right" w:pos="9072"/>
      </w:tabs>
      <w:spacing w:after="0" w:line="240" w:lineRule="auto"/>
    </w:pPr>
  </w:style>
  <w:style w:type="character" w:customStyle="1" w:styleId="NogaZnak">
    <w:name w:val="Noga Znak"/>
    <w:basedOn w:val="Privzetapisavaodstavka"/>
    <w:link w:val="Noga"/>
    <w:uiPriority w:val="99"/>
    <w:rsid w:val="00CE3F7D"/>
    <w:rPr>
      <w:rFonts w:asciiTheme="minorHAnsi" w:eastAsiaTheme="minorHAnsi" w:hAnsiTheme="minorHAnsi" w:cstheme="minorBidi"/>
      <w:sz w:val="22"/>
      <w:szCs w:val="22"/>
      <w:lang w:eastAsia="en-US"/>
    </w:rPr>
  </w:style>
  <w:style w:type="character" w:styleId="Pripombasklic">
    <w:name w:val="annotation reference"/>
    <w:basedOn w:val="Privzetapisavaodstavka"/>
    <w:rsid w:val="00644CBA"/>
    <w:rPr>
      <w:sz w:val="16"/>
      <w:szCs w:val="16"/>
    </w:rPr>
  </w:style>
  <w:style w:type="paragraph" w:styleId="Pripombabesedilo">
    <w:name w:val="annotation text"/>
    <w:basedOn w:val="Navaden"/>
    <w:link w:val="PripombabesediloZnak"/>
    <w:rsid w:val="00644CBA"/>
    <w:pPr>
      <w:spacing w:line="240" w:lineRule="auto"/>
    </w:pPr>
    <w:rPr>
      <w:sz w:val="20"/>
      <w:szCs w:val="20"/>
    </w:rPr>
  </w:style>
  <w:style w:type="character" w:customStyle="1" w:styleId="PripombabesediloZnak">
    <w:name w:val="Pripomba – besedilo Znak"/>
    <w:basedOn w:val="Privzetapisavaodstavka"/>
    <w:link w:val="Pripombabesedilo"/>
    <w:rsid w:val="00644CBA"/>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rsid w:val="00644CBA"/>
    <w:rPr>
      <w:b/>
      <w:bCs/>
    </w:rPr>
  </w:style>
  <w:style w:type="character" w:customStyle="1" w:styleId="ZadevapripombeZnak">
    <w:name w:val="Zadeva pripombe Znak"/>
    <w:basedOn w:val="PripombabesediloZnak"/>
    <w:link w:val="Zadevapripombe"/>
    <w:rsid w:val="00644CBA"/>
    <w:rPr>
      <w:rFonts w:asciiTheme="minorHAnsi" w:eastAsiaTheme="minorHAnsi" w:hAnsiTheme="minorHAnsi" w:cstheme="minorBidi"/>
      <w:b/>
      <w:bCs/>
      <w:lang w:eastAsia="en-US"/>
    </w:rPr>
  </w:style>
  <w:style w:type="paragraph" w:styleId="Besedilooblaka">
    <w:name w:val="Balloon Text"/>
    <w:basedOn w:val="Navaden"/>
    <w:link w:val="BesedilooblakaZnak"/>
    <w:rsid w:val="00644CB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644CBA"/>
    <w:rPr>
      <w:rFonts w:ascii="Tahoma" w:eastAsiaTheme="minorHAnsi" w:hAnsi="Tahoma" w:cs="Tahoma"/>
      <w:sz w:val="16"/>
      <w:szCs w:val="16"/>
      <w:lang w:eastAsia="en-US"/>
    </w:rPr>
  </w:style>
  <w:style w:type="character" w:styleId="Hiperpovezava">
    <w:name w:val="Hyperlink"/>
    <w:basedOn w:val="Privzetapisavaodstavka"/>
    <w:uiPriority w:val="99"/>
    <w:unhideWhenUsed/>
    <w:rsid w:val="006F3354"/>
    <w:rPr>
      <w:color w:val="0000FF"/>
      <w:u w:val="single"/>
    </w:rPr>
  </w:style>
  <w:style w:type="paragraph" w:styleId="Revizija">
    <w:name w:val="Revision"/>
    <w:hidden/>
    <w:uiPriority w:val="99"/>
    <w:semiHidden/>
    <w:rsid w:val="00B91BF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9-01-09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17-01-07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radni-list.si/1/objava.jsp?sop=2019-01-0914" TargetMode="External"/><Relationship Id="rId4" Type="http://schemas.openxmlformats.org/officeDocument/2006/relationships/webSettings" Target="webSettings.xml"/><Relationship Id="rId9" Type="http://schemas.openxmlformats.org/officeDocument/2006/relationships/hyperlink" Target="http://www.uradni-list.si/1/objava.jsp?sop=2017-01-073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5115</Words>
  <Characters>29156</Characters>
  <Application>Microsoft Office Word</Application>
  <DocSecurity>0</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34203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 Švarc</dc:creator>
  <cp:lastModifiedBy>Vesna Kondić</cp:lastModifiedBy>
  <cp:revision>2</cp:revision>
  <dcterms:created xsi:type="dcterms:W3CDTF">2020-01-23T07:51:00Z</dcterms:created>
  <dcterms:modified xsi:type="dcterms:W3CDTF">2020-01-23T07:51:00Z</dcterms:modified>
</cp:coreProperties>
</file>