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5A40" w14:textId="77777777" w:rsidR="00462D42" w:rsidRDefault="00462D42" w:rsidP="00462D42">
      <w:pPr>
        <w:pStyle w:val="datumtevilka"/>
      </w:pPr>
    </w:p>
    <w:p w14:paraId="54786684" w14:textId="5FA0F54E" w:rsidR="00462D42" w:rsidRPr="002760DC" w:rsidRDefault="00462D42" w:rsidP="00462D42">
      <w:pPr>
        <w:pStyle w:val="datumtevilka"/>
      </w:pPr>
      <w:r w:rsidRPr="002760DC">
        <w:t xml:space="preserve">Številka: </w:t>
      </w:r>
      <w:r w:rsidRPr="002760DC">
        <w:tab/>
      </w:r>
      <w:r w:rsidR="00B9158C">
        <w:rPr>
          <w:color w:val="000000"/>
        </w:rPr>
        <w:t>30300-6/2019/3</w:t>
      </w:r>
    </w:p>
    <w:p w14:paraId="2A01AA19" w14:textId="77777777" w:rsidR="00462D42" w:rsidRPr="002760DC" w:rsidRDefault="00462D42" w:rsidP="00462D42">
      <w:pPr>
        <w:pStyle w:val="datumtevilka"/>
      </w:pPr>
      <w:r>
        <w:t>Datum:</w:t>
      </w:r>
      <w:r w:rsidRPr="002760DC">
        <w:t xml:space="preserve"> </w:t>
      </w:r>
      <w:r w:rsidRPr="002760DC">
        <w:tab/>
      </w:r>
      <w:r>
        <w:rPr>
          <w:color w:val="000000"/>
        </w:rPr>
        <w:t>19. 9. 2019</w:t>
      </w:r>
      <w:r w:rsidRPr="002760DC">
        <w:t xml:space="preserve"> </w:t>
      </w:r>
    </w:p>
    <w:p w14:paraId="319BE4CA" w14:textId="77777777" w:rsidR="00462D42" w:rsidRDefault="00462D42" w:rsidP="00727775">
      <w:pPr>
        <w:spacing w:after="160"/>
        <w:rPr>
          <w:rFonts w:cs="Arial"/>
          <w:b/>
          <w:sz w:val="28"/>
          <w:szCs w:val="28"/>
          <w:lang w:val="sl-SI" w:eastAsia="sl-SI"/>
        </w:rPr>
      </w:pPr>
    </w:p>
    <w:p w14:paraId="1E39BC83" w14:textId="0CF86656" w:rsidR="00FA7969" w:rsidRPr="00462D42" w:rsidRDefault="00462D42" w:rsidP="00462D42">
      <w:pPr>
        <w:spacing w:line="260" w:lineRule="exact"/>
        <w:jc w:val="center"/>
        <w:rPr>
          <w:rFonts w:cs="Arial"/>
          <w:b/>
          <w:sz w:val="20"/>
          <w:szCs w:val="20"/>
          <w:lang w:val="sl-SI" w:eastAsia="sl-SI"/>
        </w:rPr>
      </w:pPr>
      <w:r w:rsidRPr="00462D42">
        <w:rPr>
          <w:rFonts w:cs="Arial"/>
          <w:b/>
          <w:sz w:val="20"/>
          <w:szCs w:val="20"/>
          <w:lang w:val="sl-SI" w:eastAsia="sl-SI"/>
        </w:rPr>
        <w:t>NAČRT IZVAJANJA FINANČN</w:t>
      </w:r>
      <w:r>
        <w:rPr>
          <w:rFonts w:cs="Arial"/>
          <w:b/>
          <w:sz w:val="20"/>
          <w:szCs w:val="20"/>
          <w:lang w:val="sl-SI" w:eastAsia="sl-SI"/>
        </w:rPr>
        <w:t>IH INSTRUMENTOV ZA OBDOBJE 2020–</w:t>
      </w:r>
      <w:r w:rsidRPr="00462D42">
        <w:rPr>
          <w:rFonts w:cs="Arial"/>
          <w:b/>
          <w:sz w:val="20"/>
          <w:szCs w:val="20"/>
          <w:lang w:val="sl-SI" w:eastAsia="sl-SI"/>
        </w:rPr>
        <w:t>2023</w:t>
      </w:r>
      <w:r w:rsidR="00866280">
        <w:rPr>
          <w:rFonts w:cs="Arial"/>
          <w:b/>
          <w:sz w:val="20"/>
          <w:szCs w:val="20"/>
          <w:lang w:val="sl-SI" w:eastAsia="sl-SI"/>
        </w:rPr>
        <w:t xml:space="preserve"> (MGRT)</w:t>
      </w:r>
      <w:bookmarkStart w:id="0" w:name="_GoBack"/>
      <w:bookmarkEnd w:id="0"/>
    </w:p>
    <w:p w14:paraId="49B2EC10" w14:textId="77777777" w:rsidR="00FA7969" w:rsidRPr="00462D42" w:rsidRDefault="00FA7969" w:rsidP="00462D42">
      <w:pPr>
        <w:spacing w:line="260" w:lineRule="exact"/>
        <w:jc w:val="both"/>
        <w:rPr>
          <w:rFonts w:cs="Arial"/>
          <w:sz w:val="20"/>
          <w:szCs w:val="20"/>
          <w:lang w:val="sl-SI"/>
        </w:rPr>
      </w:pPr>
    </w:p>
    <w:p w14:paraId="7016FFB2" w14:textId="181E9C86"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 xml:space="preserve">Skladno s </w:t>
      </w:r>
      <w:r w:rsidR="00F94316" w:rsidRPr="00462D42">
        <w:rPr>
          <w:rFonts w:cs="Arial"/>
          <w:sz w:val="20"/>
          <w:szCs w:val="20"/>
          <w:lang w:val="sl-SI"/>
        </w:rPr>
        <w:t>13</w:t>
      </w:r>
      <w:r w:rsidRPr="00462D42">
        <w:rPr>
          <w:rFonts w:cs="Arial"/>
          <w:sz w:val="20"/>
          <w:szCs w:val="20"/>
          <w:lang w:val="sl-SI"/>
        </w:rPr>
        <w:t xml:space="preserve">. členom </w:t>
      </w:r>
      <w:r w:rsidR="00F94316" w:rsidRPr="00462D42">
        <w:rPr>
          <w:rFonts w:cs="Arial"/>
          <w:sz w:val="20"/>
          <w:szCs w:val="20"/>
          <w:lang w:val="sl-SI"/>
        </w:rPr>
        <w:t xml:space="preserve">Zakona o javnih financah </w:t>
      </w:r>
      <w:r w:rsidRPr="00462D42">
        <w:rPr>
          <w:rFonts w:cs="Arial"/>
          <w:sz w:val="20"/>
          <w:szCs w:val="20"/>
          <w:lang w:val="sl-SI"/>
        </w:rPr>
        <w:t>je sestavni del obrazložitve predloga</w:t>
      </w:r>
      <w:r w:rsidR="00CF43EA" w:rsidRPr="00462D42">
        <w:rPr>
          <w:rFonts w:cs="Arial"/>
          <w:sz w:val="20"/>
          <w:szCs w:val="20"/>
          <w:lang w:val="sl-SI"/>
        </w:rPr>
        <w:t xml:space="preserve"> </w:t>
      </w:r>
      <w:r w:rsidR="00C15EAB" w:rsidRPr="00462D42">
        <w:rPr>
          <w:rFonts w:cs="Arial"/>
          <w:sz w:val="20"/>
          <w:szCs w:val="20"/>
          <w:lang w:val="sl-SI"/>
        </w:rPr>
        <w:t>proračun</w:t>
      </w:r>
      <w:r w:rsidR="00CF43EA" w:rsidRPr="00462D42">
        <w:rPr>
          <w:rFonts w:cs="Arial"/>
          <w:sz w:val="20"/>
          <w:szCs w:val="20"/>
          <w:lang w:val="sl-SI"/>
        </w:rPr>
        <w:t xml:space="preserve">a </w:t>
      </w:r>
      <w:r w:rsidR="004B2892" w:rsidRPr="00462D42">
        <w:rPr>
          <w:rFonts w:cs="Arial"/>
          <w:sz w:val="20"/>
          <w:szCs w:val="20"/>
          <w:lang w:val="sl-SI"/>
        </w:rPr>
        <w:t>tudi N</w:t>
      </w:r>
      <w:r w:rsidRPr="00462D42">
        <w:rPr>
          <w:rFonts w:cs="Arial"/>
          <w:sz w:val="20"/>
          <w:szCs w:val="20"/>
          <w:lang w:val="sl-SI"/>
        </w:rPr>
        <w:t>ačrt izvajanja finančnih instrumentov</w:t>
      </w:r>
      <w:r w:rsidR="004B2892" w:rsidRPr="00462D42">
        <w:rPr>
          <w:rFonts w:cs="Arial"/>
          <w:sz w:val="20"/>
          <w:szCs w:val="20"/>
          <w:lang w:val="sl-SI"/>
        </w:rPr>
        <w:t xml:space="preserve"> za obdobje 2020</w:t>
      </w:r>
      <w:r w:rsidR="00462D42">
        <w:rPr>
          <w:rFonts w:cs="Arial"/>
          <w:sz w:val="20"/>
          <w:szCs w:val="20"/>
          <w:lang w:val="sl-SI"/>
        </w:rPr>
        <w:t>–</w:t>
      </w:r>
      <w:r w:rsidR="004B2892" w:rsidRPr="00462D42">
        <w:rPr>
          <w:rFonts w:cs="Arial"/>
          <w:sz w:val="20"/>
          <w:szCs w:val="20"/>
          <w:lang w:val="sl-SI"/>
        </w:rPr>
        <w:t>2023</w:t>
      </w:r>
      <w:r w:rsidR="00F94316" w:rsidRPr="00462D42">
        <w:rPr>
          <w:rFonts w:cs="Arial"/>
          <w:sz w:val="20"/>
          <w:szCs w:val="20"/>
          <w:lang w:val="sl-SI"/>
        </w:rPr>
        <w:t xml:space="preserve">. </w:t>
      </w:r>
      <w:r w:rsidR="004F0A95" w:rsidRPr="00462D42">
        <w:rPr>
          <w:rFonts w:cs="Arial"/>
          <w:sz w:val="20"/>
          <w:szCs w:val="20"/>
          <w:lang w:val="sl-SI"/>
        </w:rPr>
        <w:t xml:space="preserve">V </w:t>
      </w:r>
      <w:r w:rsidR="004F0A95" w:rsidRPr="00462D42">
        <w:rPr>
          <w:rFonts w:cs="Arial"/>
          <w:sz w:val="20"/>
          <w:szCs w:val="20"/>
          <w:lang w:val="sl-SI" w:eastAsia="sl-SI"/>
        </w:rPr>
        <w:t>6. točki sklepa št. 41003-5/2019/9</w:t>
      </w:r>
      <w:r w:rsidR="004F0A95" w:rsidRPr="00462D42">
        <w:rPr>
          <w:rFonts w:cs="Arial"/>
          <w:color w:val="000000"/>
          <w:sz w:val="20"/>
          <w:szCs w:val="20"/>
          <w:lang w:val="sl-SI"/>
        </w:rPr>
        <w:t xml:space="preserve">, </w:t>
      </w:r>
      <w:r w:rsidR="004F0A95" w:rsidRPr="00462D42">
        <w:rPr>
          <w:rFonts w:cs="Arial"/>
          <w:sz w:val="20"/>
          <w:szCs w:val="20"/>
          <w:lang w:val="sl-SI"/>
        </w:rPr>
        <w:t xml:space="preserve">sprejetega dne 4. 7. 2019 na 38. redni seji Vlade Republike Slovenije </w:t>
      </w:r>
      <w:r w:rsidR="009327C3" w:rsidRPr="00462D42">
        <w:rPr>
          <w:rFonts w:cs="Arial"/>
          <w:sz w:val="20"/>
          <w:szCs w:val="20"/>
          <w:lang w:val="sl-SI"/>
        </w:rPr>
        <w:t>(</w:t>
      </w:r>
      <w:r w:rsidR="009327C3">
        <w:rPr>
          <w:rFonts w:cs="Arial"/>
          <w:sz w:val="20"/>
          <w:szCs w:val="20"/>
          <w:lang w:val="sl-SI"/>
        </w:rPr>
        <w:t xml:space="preserve">v nadaljnjem besedilu: Vlada RS) </w:t>
      </w:r>
      <w:r w:rsidR="00F94316" w:rsidRPr="00462D42">
        <w:rPr>
          <w:rFonts w:cs="Arial"/>
          <w:sz w:val="20"/>
          <w:szCs w:val="20"/>
          <w:lang w:val="sl-SI"/>
        </w:rPr>
        <w:t xml:space="preserve">pa je določeno, da se v načrtu izvajanja </w:t>
      </w:r>
      <w:r w:rsidR="009327C3">
        <w:rPr>
          <w:rFonts w:cs="Arial"/>
          <w:sz w:val="20"/>
          <w:szCs w:val="20"/>
          <w:lang w:val="sl-SI"/>
        </w:rPr>
        <w:t xml:space="preserve">finančnih inštrumentov (v nadaljnjem besedilu: </w:t>
      </w:r>
      <w:r w:rsidR="00F94316" w:rsidRPr="00462D42">
        <w:rPr>
          <w:rFonts w:cs="Arial"/>
          <w:sz w:val="20"/>
          <w:szCs w:val="20"/>
          <w:lang w:val="sl-SI"/>
        </w:rPr>
        <w:t>FI</w:t>
      </w:r>
      <w:r w:rsidR="009327C3">
        <w:rPr>
          <w:rFonts w:cs="Arial"/>
          <w:sz w:val="20"/>
          <w:szCs w:val="20"/>
          <w:lang w:val="sl-SI"/>
        </w:rPr>
        <w:t>)</w:t>
      </w:r>
      <w:r w:rsidR="00F94316" w:rsidRPr="00462D42">
        <w:rPr>
          <w:rFonts w:cs="Arial"/>
          <w:sz w:val="20"/>
          <w:szCs w:val="20"/>
          <w:lang w:val="sl-SI"/>
        </w:rPr>
        <w:t xml:space="preserve"> opredelijo </w:t>
      </w:r>
      <w:r w:rsidRPr="00462D42">
        <w:rPr>
          <w:rFonts w:cs="Arial"/>
          <w:sz w:val="20"/>
          <w:szCs w:val="20"/>
          <w:lang w:val="sl-SI"/>
        </w:rPr>
        <w:t>ukrepi, oblike, obseg sredstev in terminski n</w:t>
      </w:r>
      <w:r w:rsidR="004F0A95" w:rsidRPr="00462D42">
        <w:rPr>
          <w:rFonts w:cs="Arial"/>
          <w:sz w:val="20"/>
          <w:szCs w:val="20"/>
          <w:lang w:val="sl-SI"/>
        </w:rPr>
        <w:t>ačrt izplačil sredstev upravljav</w:t>
      </w:r>
      <w:r w:rsidRPr="00462D42">
        <w:rPr>
          <w:rFonts w:cs="Arial"/>
          <w:sz w:val="20"/>
          <w:szCs w:val="20"/>
          <w:lang w:val="sl-SI"/>
        </w:rPr>
        <w:t>cu FI oziroma vplačil v sklad skladov.</w:t>
      </w:r>
    </w:p>
    <w:p w14:paraId="0E84CC32" w14:textId="77777777" w:rsidR="00D51F37" w:rsidRPr="00462D42" w:rsidRDefault="00D51F37" w:rsidP="00462D42">
      <w:pPr>
        <w:spacing w:line="260" w:lineRule="exact"/>
        <w:jc w:val="both"/>
        <w:rPr>
          <w:rFonts w:cs="Arial"/>
          <w:sz w:val="20"/>
          <w:szCs w:val="20"/>
          <w:lang w:val="sl-SI"/>
        </w:rPr>
      </w:pPr>
    </w:p>
    <w:p w14:paraId="3D5C405B" w14:textId="4D0196E7" w:rsidR="00FA7969" w:rsidRPr="009327C3" w:rsidRDefault="00FA7969" w:rsidP="00462D42">
      <w:pPr>
        <w:pStyle w:val="Naslov1"/>
        <w:numPr>
          <w:ilvl w:val="0"/>
          <w:numId w:val="25"/>
        </w:numPr>
        <w:spacing w:after="0" w:line="260" w:lineRule="exact"/>
        <w:jc w:val="both"/>
        <w:rPr>
          <w:sz w:val="20"/>
          <w:szCs w:val="20"/>
          <w:lang w:val="sl-SI"/>
        </w:rPr>
      </w:pPr>
      <w:r w:rsidRPr="009327C3">
        <w:rPr>
          <w:sz w:val="20"/>
          <w:szCs w:val="20"/>
          <w:lang w:val="sl-SI"/>
        </w:rPr>
        <w:t>Uvodno pojasnilo</w:t>
      </w:r>
    </w:p>
    <w:p w14:paraId="171DC418" w14:textId="77777777" w:rsidR="00FA7969" w:rsidRPr="00462D42" w:rsidRDefault="00FA7969" w:rsidP="00462D42">
      <w:pPr>
        <w:spacing w:line="260" w:lineRule="exact"/>
        <w:jc w:val="both"/>
        <w:rPr>
          <w:rFonts w:cs="Arial"/>
          <w:sz w:val="20"/>
          <w:szCs w:val="20"/>
          <w:lang w:val="sl-SI"/>
        </w:rPr>
      </w:pPr>
    </w:p>
    <w:p w14:paraId="6BF888CF" w14:textId="0599CF41"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 xml:space="preserve">Partnerski sporazum </w:t>
      </w:r>
      <w:r w:rsidR="003B17FF" w:rsidRPr="00462D42">
        <w:rPr>
          <w:rFonts w:cs="Arial"/>
          <w:sz w:val="20"/>
          <w:szCs w:val="20"/>
          <w:lang w:val="sl-SI"/>
        </w:rPr>
        <w:t xml:space="preserve">med Slovenijo in Evropsko komisijo za obdobje 2014–2020 </w:t>
      </w:r>
      <w:r w:rsidRPr="00462D42">
        <w:rPr>
          <w:rFonts w:cs="Arial"/>
          <w:sz w:val="20"/>
          <w:szCs w:val="20"/>
          <w:lang w:val="sl-SI"/>
        </w:rPr>
        <w:t>je podlaga za finančne podatke in programske informacije v povezavi s sredstvi Evropskih strukturnih in investicijskih skladov (</w:t>
      </w:r>
      <w:r w:rsidR="009327C3">
        <w:rPr>
          <w:rFonts w:cs="Arial"/>
          <w:sz w:val="20"/>
          <w:szCs w:val="20"/>
          <w:lang w:val="sl-SI"/>
        </w:rPr>
        <w:t xml:space="preserve">v nadaljnjem besedilu: </w:t>
      </w:r>
      <w:r w:rsidRPr="00462D42">
        <w:rPr>
          <w:rFonts w:cs="Arial"/>
          <w:sz w:val="20"/>
          <w:szCs w:val="20"/>
          <w:lang w:val="sl-SI"/>
        </w:rPr>
        <w:t>ESI skladov). Operativni program za izvajanje evropske kohezijske politike</w:t>
      </w:r>
      <w:r w:rsidR="002A0EFE" w:rsidRPr="00462D42">
        <w:rPr>
          <w:rFonts w:cs="Arial"/>
          <w:sz w:val="20"/>
          <w:szCs w:val="20"/>
          <w:lang w:val="sl-SI"/>
        </w:rPr>
        <w:t xml:space="preserve"> v </w:t>
      </w:r>
      <w:r w:rsidR="00984A5B" w:rsidRPr="00462D42">
        <w:rPr>
          <w:rFonts w:cs="Arial"/>
          <w:sz w:val="20"/>
          <w:szCs w:val="20"/>
          <w:lang w:val="sl-SI"/>
        </w:rPr>
        <w:t xml:space="preserve">programskem </w:t>
      </w:r>
      <w:r w:rsidR="002A0EFE" w:rsidRPr="00462D42">
        <w:rPr>
          <w:rFonts w:cs="Arial"/>
          <w:sz w:val="20"/>
          <w:szCs w:val="20"/>
          <w:lang w:val="sl-SI"/>
        </w:rPr>
        <w:t>obdobju</w:t>
      </w:r>
      <w:r w:rsidR="00FB4E17" w:rsidRPr="00462D42">
        <w:rPr>
          <w:rFonts w:cs="Arial"/>
          <w:sz w:val="20"/>
          <w:szCs w:val="20"/>
          <w:lang w:val="sl-SI"/>
        </w:rPr>
        <w:t xml:space="preserve"> </w:t>
      </w:r>
      <w:r w:rsidR="003B17FF" w:rsidRPr="00462D42">
        <w:rPr>
          <w:rFonts w:cs="Arial"/>
          <w:sz w:val="20"/>
          <w:szCs w:val="20"/>
          <w:lang w:val="sl-SI"/>
        </w:rPr>
        <w:t>2014–2020 (</w:t>
      </w:r>
      <w:r w:rsidR="009327C3">
        <w:rPr>
          <w:rFonts w:cs="Arial"/>
          <w:sz w:val="20"/>
          <w:szCs w:val="20"/>
          <w:lang w:val="sl-SI"/>
        </w:rPr>
        <w:t xml:space="preserve">v nadaljnjem besedilu: </w:t>
      </w:r>
      <w:r w:rsidR="003B17FF" w:rsidRPr="00462D42">
        <w:rPr>
          <w:rFonts w:cs="Arial"/>
          <w:sz w:val="20"/>
          <w:szCs w:val="20"/>
          <w:lang w:val="sl-SI"/>
        </w:rPr>
        <w:t xml:space="preserve">operativni program) </w:t>
      </w:r>
      <w:r w:rsidRPr="00462D42">
        <w:rPr>
          <w:rFonts w:cs="Arial"/>
          <w:sz w:val="20"/>
          <w:szCs w:val="20"/>
          <w:lang w:val="sl-SI"/>
        </w:rPr>
        <w:t>je programska struktura, na podlagi katere bodo s pomočjo FI angažirana sredstva za vzpostavitev pričakovanih rezultatov naložbenih ciljev FI v ok</w:t>
      </w:r>
      <w:r w:rsidR="00861EB5" w:rsidRPr="00462D42">
        <w:rPr>
          <w:rFonts w:cs="Arial"/>
          <w:sz w:val="20"/>
          <w:szCs w:val="20"/>
          <w:lang w:val="sl-SI"/>
        </w:rPr>
        <w:t>viru štirih prednostnih naložb.</w:t>
      </w:r>
    </w:p>
    <w:p w14:paraId="38A560F7" w14:textId="77777777" w:rsidR="00FA7969" w:rsidRPr="00462D42" w:rsidRDefault="00FA7969" w:rsidP="00462D42">
      <w:pPr>
        <w:spacing w:line="260" w:lineRule="exact"/>
        <w:jc w:val="both"/>
        <w:rPr>
          <w:rFonts w:cs="Arial"/>
          <w:sz w:val="20"/>
          <w:szCs w:val="20"/>
          <w:lang w:val="sl-SI"/>
        </w:rPr>
      </w:pPr>
    </w:p>
    <w:p w14:paraId="3B85AFA2" w14:textId="7E9313F9"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FI se izvajajo po principu sklada skladov, ki jih izvajalec</w:t>
      </w:r>
      <w:r w:rsidR="00F94316" w:rsidRPr="00462D42">
        <w:rPr>
          <w:rFonts w:cs="Arial"/>
          <w:sz w:val="20"/>
          <w:szCs w:val="20"/>
          <w:lang w:val="sl-SI"/>
        </w:rPr>
        <w:t xml:space="preserve"> sklada skladov, SID banka</w:t>
      </w:r>
      <w:r w:rsidR="00C13896" w:rsidRPr="00462D42">
        <w:rPr>
          <w:rFonts w:cs="Arial"/>
          <w:sz w:val="20"/>
          <w:szCs w:val="20"/>
          <w:lang w:val="sl-SI"/>
        </w:rPr>
        <w:t xml:space="preserve"> d.</w:t>
      </w:r>
      <w:r w:rsidR="009327C3">
        <w:rPr>
          <w:rFonts w:cs="Arial"/>
          <w:sz w:val="20"/>
          <w:szCs w:val="20"/>
          <w:lang w:val="sl-SI"/>
        </w:rPr>
        <w:t> </w:t>
      </w:r>
      <w:r w:rsidR="00C13896" w:rsidRPr="00462D42">
        <w:rPr>
          <w:rFonts w:cs="Arial"/>
          <w:sz w:val="20"/>
          <w:szCs w:val="20"/>
          <w:lang w:val="sl-SI"/>
        </w:rPr>
        <w:t>d.</w:t>
      </w:r>
      <w:r w:rsidR="00F94316" w:rsidRPr="00462D42">
        <w:rPr>
          <w:rFonts w:cs="Arial"/>
          <w:sz w:val="20"/>
          <w:szCs w:val="20"/>
          <w:lang w:val="sl-SI"/>
        </w:rPr>
        <w:t>, izvaja (i) prek</w:t>
      </w:r>
      <w:r w:rsidR="00C13896" w:rsidRPr="00462D42">
        <w:rPr>
          <w:rFonts w:cs="Arial"/>
          <w:sz w:val="20"/>
          <w:szCs w:val="20"/>
          <w:lang w:val="sl-SI"/>
        </w:rPr>
        <w:t>o</w:t>
      </w:r>
      <w:r w:rsidR="009327C3">
        <w:rPr>
          <w:rFonts w:cs="Arial"/>
          <w:sz w:val="20"/>
          <w:szCs w:val="20"/>
          <w:lang w:val="sl-SI"/>
        </w:rPr>
        <w:t xml:space="preserve"> </w:t>
      </w:r>
      <w:r w:rsidRPr="00462D42">
        <w:rPr>
          <w:rFonts w:cs="Arial"/>
          <w:sz w:val="20"/>
          <w:szCs w:val="20"/>
          <w:lang w:val="sl-SI"/>
        </w:rPr>
        <w:t xml:space="preserve">finančnih posrednikov, ki jih </w:t>
      </w:r>
      <w:r w:rsidR="00A467E1" w:rsidRPr="00462D42">
        <w:rPr>
          <w:rFonts w:cs="Arial"/>
          <w:sz w:val="20"/>
          <w:szCs w:val="20"/>
          <w:lang w:val="sl-SI"/>
        </w:rPr>
        <w:t>je/</w:t>
      </w:r>
      <w:r w:rsidRPr="00462D42">
        <w:rPr>
          <w:rFonts w:cs="Arial"/>
          <w:sz w:val="20"/>
          <w:szCs w:val="20"/>
          <w:lang w:val="sl-SI"/>
        </w:rPr>
        <w:t>bo izbral</w:t>
      </w:r>
      <w:r w:rsidR="00C13896" w:rsidRPr="00462D42">
        <w:rPr>
          <w:rFonts w:cs="Arial"/>
          <w:sz w:val="20"/>
          <w:szCs w:val="20"/>
          <w:lang w:val="sl-SI"/>
        </w:rPr>
        <w:t>a</w:t>
      </w:r>
      <w:r w:rsidRPr="00462D42">
        <w:rPr>
          <w:rFonts w:cs="Arial"/>
          <w:sz w:val="20"/>
          <w:szCs w:val="20"/>
          <w:lang w:val="sl-SI"/>
        </w:rPr>
        <w:t xml:space="preserve"> skladno s pravili javnega naročanja ali jih bo izvajal</w:t>
      </w:r>
      <w:r w:rsidR="00C13896" w:rsidRPr="00462D42">
        <w:rPr>
          <w:rFonts w:cs="Arial"/>
          <w:sz w:val="20"/>
          <w:szCs w:val="20"/>
          <w:lang w:val="sl-SI"/>
        </w:rPr>
        <w:t>a</w:t>
      </w:r>
      <w:r w:rsidRPr="00462D42">
        <w:rPr>
          <w:rFonts w:cs="Arial"/>
          <w:sz w:val="20"/>
          <w:szCs w:val="20"/>
          <w:lang w:val="sl-SI"/>
        </w:rPr>
        <w:t xml:space="preserve"> </w:t>
      </w:r>
      <w:r w:rsidR="00A467E1" w:rsidRPr="00462D42">
        <w:rPr>
          <w:rFonts w:cs="Arial"/>
          <w:sz w:val="20"/>
          <w:szCs w:val="20"/>
          <w:lang w:val="sl-SI"/>
        </w:rPr>
        <w:t xml:space="preserve">oz. jih izvaja </w:t>
      </w:r>
      <w:r w:rsidRPr="00462D42">
        <w:rPr>
          <w:rFonts w:cs="Arial"/>
          <w:sz w:val="20"/>
          <w:szCs w:val="20"/>
          <w:lang w:val="sl-SI"/>
        </w:rPr>
        <w:t>(</w:t>
      </w:r>
      <w:proofErr w:type="spellStart"/>
      <w:r w:rsidRPr="00462D42">
        <w:rPr>
          <w:rFonts w:cs="Arial"/>
          <w:sz w:val="20"/>
          <w:szCs w:val="20"/>
          <w:lang w:val="sl-SI"/>
        </w:rPr>
        <w:t>ii</w:t>
      </w:r>
      <w:proofErr w:type="spellEnd"/>
      <w:r w:rsidRPr="00462D42">
        <w:rPr>
          <w:rFonts w:cs="Arial"/>
          <w:sz w:val="20"/>
          <w:szCs w:val="20"/>
          <w:lang w:val="sl-SI"/>
        </w:rPr>
        <w:t>) neposredno sam</w:t>
      </w:r>
      <w:r w:rsidR="00C13896" w:rsidRPr="00462D42">
        <w:rPr>
          <w:rFonts w:cs="Arial"/>
          <w:sz w:val="20"/>
          <w:szCs w:val="20"/>
          <w:lang w:val="sl-SI"/>
        </w:rPr>
        <w:t>a</w:t>
      </w:r>
      <w:r w:rsidRPr="00462D42">
        <w:rPr>
          <w:rFonts w:cs="Arial"/>
          <w:sz w:val="20"/>
          <w:szCs w:val="20"/>
          <w:lang w:val="sl-SI"/>
        </w:rPr>
        <w:t xml:space="preserve">. </w:t>
      </w:r>
      <w:r w:rsidR="00DC1316" w:rsidRPr="00462D42">
        <w:rPr>
          <w:rFonts w:cs="Arial"/>
          <w:sz w:val="20"/>
          <w:szCs w:val="20"/>
          <w:lang w:val="sl-SI"/>
        </w:rPr>
        <w:t xml:space="preserve">V primeru, ko izvajalec sklada skladov </w:t>
      </w:r>
      <w:r w:rsidR="00F94316" w:rsidRPr="00462D42">
        <w:rPr>
          <w:rFonts w:cs="Arial"/>
          <w:sz w:val="20"/>
          <w:szCs w:val="20"/>
          <w:lang w:val="sl-SI"/>
        </w:rPr>
        <w:t>FI</w:t>
      </w:r>
      <w:r w:rsidR="00A467E1" w:rsidRPr="00462D42">
        <w:rPr>
          <w:rFonts w:cs="Arial"/>
          <w:sz w:val="20"/>
          <w:szCs w:val="20"/>
          <w:lang w:val="sl-SI"/>
        </w:rPr>
        <w:t xml:space="preserve"> izvaja sam</w:t>
      </w:r>
      <w:r w:rsidR="00DC1316" w:rsidRPr="00462D42">
        <w:rPr>
          <w:rFonts w:cs="Arial"/>
          <w:sz w:val="20"/>
          <w:szCs w:val="20"/>
          <w:lang w:val="sl-SI"/>
        </w:rPr>
        <w:t xml:space="preserve">, </w:t>
      </w:r>
      <w:r w:rsidR="00A467E1" w:rsidRPr="00462D42">
        <w:rPr>
          <w:rFonts w:cs="Arial"/>
          <w:sz w:val="20"/>
          <w:szCs w:val="20"/>
          <w:lang w:val="sl-SI"/>
        </w:rPr>
        <w:t>so</w:t>
      </w:r>
      <w:r w:rsidR="00C72B58" w:rsidRPr="00462D42">
        <w:rPr>
          <w:rFonts w:cs="Arial"/>
          <w:sz w:val="20"/>
          <w:szCs w:val="20"/>
          <w:lang w:val="sl-SI"/>
        </w:rPr>
        <w:t xml:space="preserve"> </w:t>
      </w:r>
      <w:r w:rsidR="00DC1316" w:rsidRPr="00462D42">
        <w:rPr>
          <w:rFonts w:cs="Arial"/>
          <w:sz w:val="20"/>
          <w:szCs w:val="20"/>
          <w:lang w:val="sl-SI"/>
        </w:rPr>
        <w:t xml:space="preserve">pogoji opredeljeni v </w:t>
      </w:r>
      <w:r w:rsidR="009327C3">
        <w:rPr>
          <w:rFonts w:cs="Arial"/>
          <w:sz w:val="20"/>
          <w:szCs w:val="20"/>
          <w:lang w:val="sl-SI"/>
        </w:rPr>
        <w:t xml:space="preserve">Sporazumu o financiranju </w:t>
      </w:r>
      <w:r w:rsidR="009327C3" w:rsidRPr="00462D42">
        <w:rPr>
          <w:rFonts w:cs="Arial"/>
          <w:sz w:val="20"/>
          <w:szCs w:val="20"/>
          <w:lang w:val="sl-SI"/>
        </w:rPr>
        <w:t>(</w:t>
      </w:r>
      <w:r w:rsidR="009327C3">
        <w:rPr>
          <w:rFonts w:cs="Arial"/>
          <w:sz w:val="20"/>
          <w:szCs w:val="20"/>
          <w:lang w:val="sl-SI"/>
        </w:rPr>
        <w:t xml:space="preserve">v nadaljnjem besedilu: </w:t>
      </w:r>
      <w:proofErr w:type="spellStart"/>
      <w:r w:rsidR="00C13896" w:rsidRPr="00462D42">
        <w:rPr>
          <w:rFonts w:cs="Arial"/>
          <w:sz w:val="20"/>
          <w:szCs w:val="20"/>
          <w:lang w:val="sl-SI"/>
        </w:rPr>
        <w:t>SoF</w:t>
      </w:r>
      <w:proofErr w:type="spellEnd"/>
      <w:r w:rsidR="009327C3">
        <w:rPr>
          <w:rFonts w:cs="Arial"/>
          <w:sz w:val="20"/>
          <w:szCs w:val="20"/>
          <w:lang w:val="sl-SI"/>
        </w:rPr>
        <w:t>)</w:t>
      </w:r>
      <w:r w:rsidR="00DC1316" w:rsidRPr="00462D42">
        <w:rPr>
          <w:rFonts w:cs="Arial"/>
          <w:sz w:val="20"/>
          <w:szCs w:val="20"/>
          <w:lang w:val="sl-SI"/>
        </w:rPr>
        <w:t xml:space="preserve">. </w:t>
      </w:r>
      <w:r w:rsidRPr="00462D42">
        <w:rPr>
          <w:rFonts w:cs="Arial"/>
          <w:sz w:val="20"/>
          <w:szCs w:val="20"/>
          <w:lang w:val="sl-SI"/>
        </w:rPr>
        <w:t>Ključni akterji pri izvajanju FI so poleg izvajalca sklada skladov še Ministrstvo za gospodarski razvoj in tehnologijo, Ministrstvo za finance, Ministrstvo za infrastrukturo, Ministrstvo za okolje in prostor, Služba Vlade R</w:t>
      </w:r>
      <w:r w:rsidR="009327C3">
        <w:rPr>
          <w:rFonts w:cs="Arial"/>
          <w:sz w:val="20"/>
          <w:szCs w:val="20"/>
          <w:lang w:val="sl-SI"/>
        </w:rPr>
        <w:t xml:space="preserve">epublike </w:t>
      </w:r>
      <w:r w:rsidRPr="00462D42">
        <w:rPr>
          <w:rFonts w:cs="Arial"/>
          <w:sz w:val="20"/>
          <w:szCs w:val="20"/>
          <w:lang w:val="sl-SI"/>
        </w:rPr>
        <w:t>S</w:t>
      </w:r>
      <w:r w:rsidR="009327C3">
        <w:rPr>
          <w:rFonts w:cs="Arial"/>
          <w:sz w:val="20"/>
          <w:szCs w:val="20"/>
          <w:lang w:val="sl-SI"/>
        </w:rPr>
        <w:t xml:space="preserve">lovenije </w:t>
      </w:r>
      <w:r w:rsidRPr="00462D42">
        <w:rPr>
          <w:rFonts w:cs="Arial"/>
          <w:sz w:val="20"/>
          <w:szCs w:val="20"/>
          <w:lang w:val="sl-SI"/>
        </w:rPr>
        <w:t>za razvoj in</w:t>
      </w:r>
      <w:r w:rsidR="00984A5B" w:rsidRPr="00462D42">
        <w:rPr>
          <w:rFonts w:cs="Arial"/>
          <w:sz w:val="20"/>
          <w:szCs w:val="20"/>
          <w:lang w:val="sl-SI"/>
        </w:rPr>
        <w:t xml:space="preserve"> evropsko</w:t>
      </w:r>
      <w:r w:rsidRPr="00462D42">
        <w:rPr>
          <w:rFonts w:cs="Arial"/>
          <w:sz w:val="20"/>
          <w:szCs w:val="20"/>
          <w:lang w:val="sl-SI"/>
        </w:rPr>
        <w:t xml:space="preserve"> kohezijsko politiko </w:t>
      </w:r>
      <w:r w:rsidR="009327C3">
        <w:rPr>
          <w:rFonts w:cs="Arial"/>
          <w:sz w:val="20"/>
          <w:szCs w:val="20"/>
          <w:lang w:val="sl-SI"/>
        </w:rPr>
        <w:t xml:space="preserve">ter </w:t>
      </w:r>
      <w:r w:rsidRPr="00462D42">
        <w:rPr>
          <w:rFonts w:cs="Arial"/>
          <w:sz w:val="20"/>
          <w:szCs w:val="20"/>
          <w:lang w:val="sl-SI"/>
        </w:rPr>
        <w:t>Združenje mestnih občin Slovenije.</w:t>
      </w:r>
    </w:p>
    <w:p w14:paraId="12AFB3C5" w14:textId="77777777" w:rsidR="00FA7969" w:rsidRPr="00462D42" w:rsidRDefault="00FA7969" w:rsidP="00462D42">
      <w:pPr>
        <w:spacing w:line="260" w:lineRule="exact"/>
        <w:jc w:val="both"/>
        <w:rPr>
          <w:rFonts w:cs="Arial"/>
          <w:sz w:val="20"/>
          <w:szCs w:val="20"/>
          <w:lang w:val="sl-SI"/>
        </w:rPr>
      </w:pPr>
    </w:p>
    <w:p w14:paraId="79903ED7" w14:textId="45742A1E"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 xml:space="preserve">Vlada </w:t>
      </w:r>
      <w:r w:rsidR="00BC479D" w:rsidRPr="00462D42">
        <w:rPr>
          <w:rFonts w:cs="Arial"/>
          <w:sz w:val="20"/>
          <w:szCs w:val="20"/>
          <w:lang w:val="sl-SI"/>
        </w:rPr>
        <w:t>RS je</w:t>
      </w:r>
      <w:r w:rsidR="003B17FF" w:rsidRPr="00462D42">
        <w:rPr>
          <w:rFonts w:cs="Arial"/>
          <w:sz w:val="20"/>
          <w:szCs w:val="20"/>
          <w:lang w:val="sl-SI"/>
        </w:rPr>
        <w:t xml:space="preserve"> dala soglasje </w:t>
      </w:r>
      <w:r w:rsidR="001B3292" w:rsidRPr="00462D42">
        <w:rPr>
          <w:rFonts w:cs="Arial"/>
          <w:sz w:val="20"/>
          <w:szCs w:val="20"/>
          <w:lang w:val="sl-SI"/>
        </w:rPr>
        <w:t>h</w:t>
      </w:r>
      <w:r w:rsidR="003B17FF" w:rsidRPr="00462D42">
        <w:rPr>
          <w:rFonts w:cs="Arial"/>
          <w:sz w:val="20"/>
          <w:szCs w:val="20"/>
          <w:lang w:val="sl-SI"/>
        </w:rPr>
        <w:t xml:space="preserve"> </w:t>
      </w:r>
      <w:r w:rsidRPr="00462D42">
        <w:rPr>
          <w:rFonts w:cs="Arial"/>
          <w:sz w:val="20"/>
          <w:szCs w:val="20"/>
          <w:lang w:val="sl-SI"/>
        </w:rPr>
        <w:t xml:space="preserve">Ključnim elementom </w:t>
      </w:r>
      <w:r w:rsidR="004B2892" w:rsidRPr="00462D42">
        <w:rPr>
          <w:rFonts w:cs="Arial"/>
          <w:sz w:val="20"/>
          <w:szCs w:val="20"/>
          <w:lang w:val="sl-SI"/>
        </w:rPr>
        <w:t>FI</w:t>
      </w:r>
      <w:r w:rsidRPr="00462D42">
        <w:rPr>
          <w:rFonts w:cs="Arial"/>
          <w:sz w:val="20"/>
          <w:szCs w:val="20"/>
          <w:lang w:val="sl-SI"/>
        </w:rPr>
        <w:t xml:space="preserve"> v </w:t>
      </w:r>
      <w:r w:rsidR="003B17FF" w:rsidRPr="00462D42">
        <w:rPr>
          <w:rFonts w:cs="Arial"/>
          <w:sz w:val="20"/>
          <w:szCs w:val="20"/>
          <w:lang w:val="sl-SI"/>
        </w:rPr>
        <w:t>programskem obdobju 2014–2020</w:t>
      </w:r>
      <w:r w:rsidRPr="00462D42">
        <w:rPr>
          <w:rFonts w:cs="Arial"/>
          <w:sz w:val="20"/>
          <w:szCs w:val="20"/>
          <w:lang w:val="sl-SI"/>
        </w:rPr>
        <w:t xml:space="preserve"> s sklepom </w:t>
      </w:r>
      <w:r w:rsidR="009327C3">
        <w:rPr>
          <w:rFonts w:cs="Arial"/>
          <w:sz w:val="20"/>
          <w:szCs w:val="20"/>
          <w:lang w:val="sl-SI"/>
        </w:rPr>
        <w:br/>
      </w:r>
      <w:r w:rsidRPr="00462D42">
        <w:rPr>
          <w:rFonts w:cs="Arial"/>
          <w:sz w:val="20"/>
          <w:szCs w:val="20"/>
          <w:lang w:val="sl-SI"/>
        </w:rPr>
        <w:t xml:space="preserve">št. </w:t>
      </w:r>
      <w:r w:rsidRPr="00462D42">
        <w:rPr>
          <w:rFonts w:cs="Arial"/>
          <w:sz w:val="20"/>
          <w:szCs w:val="20"/>
          <w:lang w:val="sl-SI" w:eastAsia="sl-SI"/>
        </w:rPr>
        <w:t xml:space="preserve">30300-4/2017/4 </w:t>
      </w:r>
      <w:r w:rsidR="009327C3">
        <w:rPr>
          <w:rFonts w:cs="Arial"/>
          <w:sz w:val="20"/>
          <w:szCs w:val="20"/>
          <w:lang w:val="sl-SI"/>
        </w:rPr>
        <w:t>dne 15. </w:t>
      </w:r>
      <w:r w:rsidRPr="00462D42">
        <w:rPr>
          <w:rFonts w:cs="Arial"/>
          <w:sz w:val="20"/>
          <w:szCs w:val="20"/>
          <w:lang w:val="sl-SI"/>
        </w:rPr>
        <w:t>6.</w:t>
      </w:r>
      <w:r w:rsidR="009327C3">
        <w:rPr>
          <w:rFonts w:cs="Arial"/>
          <w:sz w:val="20"/>
          <w:szCs w:val="20"/>
          <w:lang w:val="sl-SI"/>
        </w:rPr>
        <w:t> </w:t>
      </w:r>
      <w:r w:rsidRPr="00462D42">
        <w:rPr>
          <w:rFonts w:cs="Arial"/>
          <w:sz w:val="20"/>
          <w:szCs w:val="20"/>
          <w:lang w:val="sl-SI"/>
        </w:rPr>
        <w:t>2017</w:t>
      </w:r>
      <w:r w:rsidR="003D6BD4" w:rsidRPr="00462D42">
        <w:rPr>
          <w:rFonts w:cs="Arial"/>
          <w:sz w:val="20"/>
          <w:szCs w:val="20"/>
          <w:lang w:val="sl-SI"/>
        </w:rPr>
        <w:t>, ki so bili spremenjeni na seji Vlade RS dne 28.</w:t>
      </w:r>
      <w:r w:rsidR="009327C3">
        <w:rPr>
          <w:rFonts w:cs="Arial"/>
          <w:sz w:val="20"/>
          <w:szCs w:val="20"/>
          <w:lang w:val="sl-SI"/>
        </w:rPr>
        <w:t> </w:t>
      </w:r>
      <w:r w:rsidR="003D6BD4" w:rsidRPr="00462D42">
        <w:rPr>
          <w:rFonts w:cs="Arial"/>
          <w:sz w:val="20"/>
          <w:szCs w:val="20"/>
          <w:lang w:val="sl-SI"/>
        </w:rPr>
        <w:t>9.</w:t>
      </w:r>
      <w:r w:rsidR="009327C3">
        <w:rPr>
          <w:rFonts w:cs="Arial"/>
          <w:sz w:val="20"/>
          <w:szCs w:val="20"/>
          <w:lang w:val="sl-SI"/>
        </w:rPr>
        <w:t> </w:t>
      </w:r>
      <w:r w:rsidR="003D6BD4" w:rsidRPr="00462D42">
        <w:rPr>
          <w:rFonts w:cs="Arial"/>
          <w:sz w:val="20"/>
          <w:szCs w:val="20"/>
          <w:lang w:val="sl-SI"/>
        </w:rPr>
        <w:t>2017</w:t>
      </w:r>
      <w:r w:rsidRPr="00462D42">
        <w:rPr>
          <w:rFonts w:cs="Arial"/>
          <w:sz w:val="20"/>
          <w:szCs w:val="20"/>
          <w:lang w:val="sl-SI"/>
        </w:rPr>
        <w:t>. Dokument predstavlja usmeritve za izvajanje FI v obdobju 2014</w:t>
      </w:r>
      <w:r w:rsidR="009327C3">
        <w:rPr>
          <w:rFonts w:cs="Arial"/>
          <w:sz w:val="20"/>
          <w:szCs w:val="20"/>
          <w:lang w:val="sl-SI"/>
        </w:rPr>
        <w:t>–</w:t>
      </w:r>
      <w:r w:rsidRPr="00462D42">
        <w:rPr>
          <w:rFonts w:cs="Arial"/>
          <w:sz w:val="20"/>
          <w:szCs w:val="20"/>
          <w:lang w:val="sl-SI"/>
        </w:rPr>
        <w:t>2020.</w:t>
      </w:r>
      <w:r w:rsidR="001C320C" w:rsidRPr="00462D42">
        <w:rPr>
          <w:rFonts w:cs="Arial"/>
          <w:sz w:val="20"/>
          <w:szCs w:val="20"/>
          <w:lang w:val="sl-SI"/>
        </w:rPr>
        <w:t xml:space="preserve"> Ministrstvo za gospodarski razvoj in tehnologijo je na tej podlagi sklenilo sporazum o financiranju dne 24.</w:t>
      </w:r>
      <w:r w:rsidR="009327C3">
        <w:rPr>
          <w:rFonts w:cs="Arial"/>
          <w:sz w:val="20"/>
          <w:szCs w:val="20"/>
          <w:lang w:val="sl-SI"/>
        </w:rPr>
        <w:t> </w:t>
      </w:r>
      <w:r w:rsidR="001C320C" w:rsidRPr="00462D42">
        <w:rPr>
          <w:rFonts w:cs="Arial"/>
          <w:sz w:val="20"/>
          <w:szCs w:val="20"/>
          <w:lang w:val="sl-SI"/>
        </w:rPr>
        <w:t>11.</w:t>
      </w:r>
      <w:r w:rsidR="009327C3">
        <w:rPr>
          <w:rFonts w:cs="Arial"/>
          <w:sz w:val="20"/>
          <w:szCs w:val="20"/>
          <w:lang w:val="sl-SI"/>
        </w:rPr>
        <w:t> </w:t>
      </w:r>
      <w:r w:rsidR="001C320C" w:rsidRPr="00462D42">
        <w:rPr>
          <w:rFonts w:cs="Arial"/>
          <w:sz w:val="20"/>
          <w:szCs w:val="20"/>
          <w:lang w:val="sl-SI"/>
        </w:rPr>
        <w:t xml:space="preserve">2017 in vplačalo prvo tranšo v višini 63,25 mio EUR </w:t>
      </w:r>
      <w:r w:rsidR="004223D6" w:rsidRPr="00462D42">
        <w:rPr>
          <w:rFonts w:cs="Arial"/>
          <w:sz w:val="20"/>
          <w:szCs w:val="20"/>
          <w:lang w:val="sl-SI"/>
        </w:rPr>
        <w:t>dne</w:t>
      </w:r>
      <w:r w:rsidR="005743CB" w:rsidRPr="00462D42">
        <w:rPr>
          <w:rFonts w:cs="Arial"/>
          <w:sz w:val="20"/>
          <w:szCs w:val="20"/>
          <w:lang w:val="sl-SI"/>
        </w:rPr>
        <w:t xml:space="preserve"> 7.</w:t>
      </w:r>
      <w:r w:rsidR="009327C3">
        <w:rPr>
          <w:rFonts w:cs="Arial"/>
          <w:sz w:val="20"/>
          <w:szCs w:val="20"/>
          <w:lang w:val="sl-SI"/>
        </w:rPr>
        <w:t> </w:t>
      </w:r>
      <w:r w:rsidR="005743CB" w:rsidRPr="00462D42">
        <w:rPr>
          <w:rFonts w:cs="Arial"/>
          <w:sz w:val="20"/>
          <w:szCs w:val="20"/>
          <w:lang w:val="sl-SI"/>
        </w:rPr>
        <w:t>12.</w:t>
      </w:r>
      <w:r w:rsidR="009327C3">
        <w:rPr>
          <w:rFonts w:cs="Arial"/>
          <w:sz w:val="20"/>
          <w:szCs w:val="20"/>
          <w:lang w:val="sl-SI"/>
        </w:rPr>
        <w:t> </w:t>
      </w:r>
      <w:r w:rsidR="005743CB" w:rsidRPr="00462D42">
        <w:rPr>
          <w:rFonts w:cs="Arial"/>
          <w:sz w:val="20"/>
          <w:szCs w:val="20"/>
          <w:lang w:val="sl-SI"/>
        </w:rPr>
        <w:t>2017</w:t>
      </w:r>
      <w:r w:rsidR="001C320C" w:rsidRPr="00462D42">
        <w:rPr>
          <w:rFonts w:cs="Arial"/>
          <w:sz w:val="20"/>
          <w:szCs w:val="20"/>
          <w:lang w:val="sl-SI"/>
        </w:rPr>
        <w:t>.</w:t>
      </w:r>
    </w:p>
    <w:p w14:paraId="172FC8FC" w14:textId="2810A9C0" w:rsidR="001C320C" w:rsidRPr="00462D42" w:rsidRDefault="001C320C" w:rsidP="00462D42">
      <w:pPr>
        <w:spacing w:line="260" w:lineRule="exact"/>
        <w:jc w:val="both"/>
        <w:rPr>
          <w:rFonts w:cs="Arial"/>
          <w:sz w:val="20"/>
          <w:szCs w:val="20"/>
          <w:lang w:val="sl-SI"/>
        </w:rPr>
      </w:pPr>
    </w:p>
    <w:p w14:paraId="0FD21F30" w14:textId="1AC55986" w:rsidR="00DF26BA" w:rsidRPr="00462D42" w:rsidRDefault="00DF26BA" w:rsidP="00462D42">
      <w:pPr>
        <w:spacing w:line="260" w:lineRule="exact"/>
        <w:jc w:val="both"/>
        <w:rPr>
          <w:rFonts w:cs="Arial"/>
          <w:sz w:val="20"/>
          <w:szCs w:val="20"/>
          <w:lang w:val="sl-SI"/>
        </w:rPr>
      </w:pPr>
      <w:r w:rsidRPr="00462D42">
        <w:rPr>
          <w:rFonts w:cs="Arial"/>
          <w:sz w:val="20"/>
          <w:szCs w:val="20"/>
          <w:lang w:val="sl-SI"/>
        </w:rPr>
        <w:t>SID je na podlagi izvedenih tržnih analiz, intenzivnih pogovorov z deležniki finančnega sektorja, ugotovljene neodzivnosti oziroma nezainteresiranosti finančnih institucij (tako javnih kot zasebnih), da bi prevzele vlogo finančnih posrednikov za finančne instrumente, in z namenom hitrejše realizacije načrtovanih FI ter pravočasne zagotovitve drugega črpanja v zadnjem kvartalu 2019, v</w:t>
      </w:r>
      <w:r w:rsidR="009327C3">
        <w:rPr>
          <w:rFonts w:cs="Arial"/>
          <w:sz w:val="20"/>
          <w:szCs w:val="20"/>
          <w:lang w:val="sl-SI"/>
        </w:rPr>
        <w:t xml:space="preserve"> </w:t>
      </w:r>
      <w:r w:rsidRPr="00462D42">
        <w:rPr>
          <w:rFonts w:cs="Arial"/>
          <w:sz w:val="20"/>
          <w:szCs w:val="20"/>
          <w:lang w:val="sl-SI"/>
        </w:rPr>
        <w:t xml:space="preserve">začetku decembra 2018, v skladu z določili podpisanega </w:t>
      </w:r>
      <w:proofErr w:type="spellStart"/>
      <w:r w:rsidRPr="00462D42">
        <w:rPr>
          <w:rFonts w:cs="Arial"/>
          <w:sz w:val="20"/>
          <w:szCs w:val="20"/>
          <w:lang w:val="sl-SI"/>
        </w:rPr>
        <w:t>SoF</w:t>
      </w:r>
      <w:proofErr w:type="spellEnd"/>
      <w:r w:rsidRPr="00462D42">
        <w:rPr>
          <w:rFonts w:cs="Arial"/>
          <w:sz w:val="20"/>
          <w:szCs w:val="20"/>
          <w:lang w:val="sl-SI"/>
        </w:rPr>
        <w:t>, naslovil na PO-MGRT vlogo</w:t>
      </w:r>
      <w:r w:rsidR="00D529AA" w:rsidRPr="00462D42">
        <w:rPr>
          <w:rFonts w:cs="Arial"/>
          <w:sz w:val="20"/>
          <w:szCs w:val="20"/>
          <w:lang w:val="sl-SI"/>
        </w:rPr>
        <w:t xml:space="preserve">, da </w:t>
      </w:r>
      <w:r w:rsidRPr="00462D42">
        <w:rPr>
          <w:rFonts w:cs="Arial"/>
          <w:sz w:val="20"/>
          <w:szCs w:val="20"/>
          <w:lang w:val="sl-SI"/>
        </w:rPr>
        <w:t>SID postane neposredni izvajalec za naslednje FI: »EKP Posojila za RRI«, »EKP Posojila za celovito energetsko prenovo javnih stavb« in »EKP Posojila za urbani razvoj«. Zahtevek je obravnaval tudi UOFI decembra 2018 ter podprl predlog, pri tem pa poudaril, da je potrebno v PFN 2019 upoštevati zaveze in cilje »Akcijskega načrta za pospešitev črpanja sredstev iz Operativnega programa za izvajanje evropske kohezijske politike v obdobju 2014</w:t>
      </w:r>
      <w:r w:rsidR="009327C3">
        <w:rPr>
          <w:rFonts w:cs="Arial"/>
          <w:sz w:val="20"/>
          <w:szCs w:val="20"/>
          <w:lang w:val="sl-SI"/>
        </w:rPr>
        <w:t>–</w:t>
      </w:r>
      <w:r w:rsidRPr="00462D42">
        <w:rPr>
          <w:rFonts w:cs="Arial"/>
          <w:sz w:val="20"/>
          <w:szCs w:val="20"/>
          <w:lang w:val="sl-SI"/>
        </w:rPr>
        <w:t>2020«, ki ga je V</w:t>
      </w:r>
      <w:r w:rsidR="009327C3">
        <w:rPr>
          <w:rFonts w:cs="Arial"/>
          <w:sz w:val="20"/>
          <w:szCs w:val="20"/>
          <w:lang w:val="sl-SI"/>
        </w:rPr>
        <w:t xml:space="preserve">lada </w:t>
      </w:r>
      <w:r w:rsidRPr="00462D42">
        <w:rPr>
          <w:rFonts w:cs="Arial"/>
          <w:sz w:val="20"/>
          <w:szCs w:val="20"/>
          <w:lang w:val="sl-SI"/>
        </w:rPr>
        <w:t>RS sprejela v decembru 2018.</w:t>
      </w:r>
    </w:p>
    <w:p w14:paraId="15CAEB34" w14:textId="77777777" w:rsidR="00DF26BA" w:rsidRPr="00462D42" w:rsidRDefault="00DF26BA" w:rsidP="00462D42">
      <w:pPr>
        <w:spacing w:line="260" w:lineRule="exact"/>
        <w:jc w:val="both"/>
        <w:rPr>
          <w:rFonts w:cs="Arial"/>
          <w:sz w:val="20"/>
          <w:szCs w:val="20"/>
          <w:lang w:val="sl-SI"/>
        </w:rPr>
      </w:pPr>
    </w:p>
    <w:p w14:paraId="2BC0007E" w14:textId="77C3569F" w:rsidR="00184BE9" w:rsidRPr="00462D42" w:rsidRDefault="00184BE9" w:rsidP="00462D42">
      <w:pPr>
        <w:pStyle w:val="Naslov1"/>
        <w:numPr>
          <w:ilvl w:val="0"/>
          <w:numId w:val="25"/>
        </w:numPr>
        <w:spacing w:after="0" w:line="260" w:lineRule="exact"/>
        <w:jc w:val="both"/>
        <w:rPr>
          <w:sz w:val="20"/>
          <w:szCs w:val="20"/>
          <w:lang w:val="sl-SI"/>
        </w:rPr>
      </w:pPr>
      <w:r w:rsidRPr="00462D42">
        <w:rPr>
          <w:sz w:val="20"/>
          <w:szCs w:val="20"/>
          <w:lang w:val="sl-SI"/>
        </w:rPr>
        <w:lastRenderedPageBreak/>
        <w:t>Dokumenti dolgoročnega razvojnega načrtovanja</w:t>
      </w:r>
    </w:p>
    <w:p w14:paraId="7FDFA714" w14:textId="77777777" w:rsidR="00184BE9" w:rsidRPr="00462D42" w:rsidRDefault="00184BE9" w:rsidP="00462D42">
      <w:pPr>
        <w:spacing w:line="260" w:lineRule="exact"/>
        <w:jc w:val="both"/>
        <w:rPr>
          <w:rFonts w:cs="Arial"/>
          <w:sz w:val="20"/>
          <w:szCs w:val="20"/>
          <w:lang w:val="sl-SI"/>
        </w:rPr>
      </w:pPr>
    </w:p>
    <w:p w14:paraId="4219AB24" w14:textId="1500636C" w:rsidR="00184BE9" w:rsidRPr="00462D42" w:rsidRDefault="00184BE9" w:rsidP="00462D42">
      <w:pPr>
        <w:spacing w:line="260" w:lineRule="exact"/>
        <w:jc w:val="both"/>
        <w:rPr>
          <w:rFonts w:cs="Arial"/>
          <w:sz w:val="20"/>
          <w:szCs w:val="20"/>
          <w:lang w:val="sl-SI"/>
        </w:rPr>
      </w:pPr>
      <w:r w:rsidRPr="00462D42">
        <w:rPr>
          <w:rFonts w:cs="Arial"/>
          <w:sz w:val="20"/>
          <w:szCs w:val="20"/>
          <w:lang w:val="sl-SI"/>
        </w:rPr>
        <w:t xml:space="preserve">Skladno z Zakonom o javnih financah (Uradni list RS, št. 11/11 – uradno prečiščeno besedilo, </w:t>
      </w:r>
      <w:r w:rsidR="009327C3">
        <w:rPr>
          <w:rFonts w:cs="Arial"/>
          <w:sz w:val="20"/>
          <w:szCs w:val="20"/>
          <w:lang w:val="sl-SI"/>
        </w:rPr>
        <w:br/>
      </w:r>
      <w:r w:rsidRPr="00462D42">
        <w:rPr>
          <w:rFonts w:cs="Arial"/>
          <w:sz w:val="20"/>
          <w:szCs w:val="20"/>
          <w:lang w:val="sl-SI"/>
        </w:rPr>
        <w:t xml:space="preserve">14/13 – popr., 101/13, 55/15 – </w:t>
      </w:r>
      <w:proofErr w:type="spellStart"/>
      <w:r w:rsidRPr="00462D42">
        <w:rPr>
          <w:rFonts w:cs="Arial"/>
          <w:sz w:val="20"/>
          <w:szCs w:val="20"/>
          <w:lang w:val="sl-SI"/>
        </w:rPr>
        <w:t>ZFisP</w:t>
      </w:r>
      <w:proofErr w:type="spellEnd"/>
      <w:r w:rsidR="00CC2BF5" w:rsidRPr="00462D42">
        <w:rPr>
          <w:rFonts w:cs="Arial"/>
          <w:sz w:val="20"/>
          <w:szCs w:val="20"/>
          <w:lang w:val="sl-SI"/>
        </w:rPr>
        <w:t xml:space="preserve">, </w:t>
      </w:r>
      <w:r w:rsidRPr="00462D42">
        <w:rPr>
          <w:rFonts w:cs="Arial"/>
          <w:sz w:val="20"/>
          <w:szCs w:val="20"/>
          <w:lang w:val="sl-SI"/>
        </w:rPr>
        <w:t>96/15 – ZIPRS1617</w:t>
      </w:r>
      <w:r w:rsidR="00CC2BF5" w:rsidRPr="00462D42">
        <w:rPr>
          <w:rFonts w:cs="Arial"/>
          <w:sz w:val="20"/>
          <w:szCs w:val="20"/>
          <w:lang w:val="sl-SI"/>
        </w:rPr>
        <w:t xml:space="preserve"> in 13/18</w:t>
      </w:r>
      <w:r w:rsidRPr="00462D42">
        <w:rPr>
          <w:rFonts w:cs="Arial"/>
          <w:sz w:val="20"/>
          <w:szCs w:val="20"/>
          <w:lang w:val="sl-SI"/>
        </w:rPr>
        <w:t>) in Uredbo o dokumentih razvojnega načrtovanja in postopkih za pripravo predloga državnega proračuna (Uradni list RS, št. 54/10</w:t>
      </w:r>
      <w:r w:rsidR="006B1C57" w:rsidRPr="00462D42">
        <w:rPr>
          <w:rFonts w:cs="Arial"/>
          <w:sz w:val="20"/>
          <w:szCs w:val="20"/>
          <w:lang w:val="sl-SI"/>
        </w:rPr>
        <w:t xml:space="preserve"> in 35/18</w:t>
      </w:r>
      <w:r w:rsidRPr="00462D42">
        <w:rPr>
          <w:rFonts w:cs="Arial"/>
          <w:sz w:val="20"/>
          <w:szCs w:val="20"/>
          <w:lang w:val="sl-SI"/>
        </w:rPr>
        <w:t xml:space="preserve">) je vsebina </w:t>
      </w:r>
      <w:r w:rsidR="00FB4E17" w:rsidRPr="00462D42">
        <w:rPr>
          <w:rFonts w:cs="Arial"/>
          <w:sz w:val="20"/>
          <w:szCs w:val="20"/>
          <w:lang w:val="sl-SI"/>
        </w:rPr>
        <w:t>p</w:t>
      </w:r>
      <w:r w:rsidRPr="00462D42">
        <w:rPr>
          <w:rFonts w:cs="Arial"/>
          <w:sz w:val="20"/>
          <w:szCs w:val="20"/>
          <w:lang w:val="sl-SI"/>
        </w:rPr>
        <w:t>re</w:t>
      </w:r>
      <w:r w:rsidR="00FB4E17" w:rsidRPr="00462D42">
        <w:rPr>
          <w:rFonts w:cs="Arial"/>
          <w:sz w:val="20"/>
          <w:szCs w:val="20"/>
          <w:lang w:val="sl-SI"/>
        </w:rPr>
        <w:t>d</w:t>
      </w:r>
      <w:r w:rsidRPr="00462D42">
        <w:rPr>
          <w:rFonts w:cs="Arial"/>
          <w:sz w:val="20"/>
          <w:szCs w:val="20"/>
          <w:lang w:val="sl-SI"/>
        </w:rPr>
        <w:t xml:space="preserve">loga Načrta utemeljena </w:t>
      </w:r>
      <w:r w:rsidR="00C15EAB" w:rsidRPr="00462D42">
        <w:rPr>
          <w:rFonts w:cs="Arial"/>
          <w:sz w:val="20"/>
          <w:szCs w:val="20"/>
          <w:lang w:val="sl-SI"/>
        </w:rPr>
        <w:t xml:space="preserve">z </w:t>
      </w:r>
      <w:r w:rsidRPr="00462D42">
        <w:rPr>
          <w:rFonts w:cs="Arial"/>
          <w:sz w:val="20"/>
          <w:szCs w:val="20"/>
          <w:lang w:val="sl-SI"/>
        </w:rPr>
        <w:t>dokumenti dolgoročnega r</w:t>
      </w:r>
      <w:r w:rsidR="005E58E3" w:rsidRPr="00462D42">
        <w:rPr>
          <w:rFonts w:cs="Arial"/>
          <w:sz w:val="20"/>
          <w:szCs w:val="20"/>
          <w:lang w:val="sl-SI"/>
        </w:rPr>
        <w:t>azvojnega načrtovanja, in sicer</w:t>
      </w:r>
      <w:r w:rsidR="00FB4E17" w:rsidRPr="00462D42">
        <w:rPr>
          <w:rFonts w:cs="Arial"/>
          <w:sz w:val="20"/>
          <w:szCs w:val="20"/>
          <w:lang w:val="sl-SI"/>
        </w:rPr>
        <w:t xml:space="preserve"> </w:t>
      </w:r>
      <w:r w:rsidRPr="00462D42">
        <w:rPr>
          <w:rFonts w:cs="Arial"/>
          <w:sz w:val="20"/>
          <w:szCs w:val="20"/>
          <w:lang w:val="sl-SI"/>
        </w:rPr>
        <w:t>Strategij</w:t>
      </w:r>
      <w:r w:rsidR="006336CB" w:rsidRPr="00462D42">
        <w:rPr>
          <w:rFonts w:cs="Arial"/>
          <w:sz w:val="20"/>
          <w:szCs w:val="20"/>
          <w:lang w:val="sl-SI"/>
        </w:rPr>
        <w:t>o</w:t>
      </w:r>
      <w:r w:rsidRPr="00462D42">
        <w:rPr>
          <w:rFonts w:cs="Arial"/>
          <w:sz w:val="20"/>
          <w:szCs w:val="20"/>
          <w:lang w:val="sl-SI"/>
        </w:rPr>
        <w:t xml:space="preserve"> razvoja Slovenije kot krovnim dolgoročnim strateškim dokumentom razvojnega načrtovanja, Programom državnih razvojnih prioritet in investicij, ki predstavlja srednjeročno izvedbeno operacionalizacijo Strategije razvoja Slovenije</w:t>
      </w:r>
      <w:r w:rsidR="006336CB" w:rsidRPr="00462D42">
        <w:rPr>
          <w:rFonts w:cs="Arial"/>
          <w:sz w:val="20"/>
          <w:szCs w:val="20"/>
          <w:lang w:val="sl-SI"/>
        </w:rPr>
        <w:t>,</w:t>
      </w:r>
      <w:r w:rsidRPr="00462D42">
        <w:rPr>
          <w:rFonts w:cs="Arial"/>
          <w:sz w:val="20"/>
          <w:szCs w:val="20"/>
          <w:lang w:val="sl-SI"/>
        </w:rPr>
        <w:t xml:space="preserve"> in Nacionalnim reformnim programom ter dokumenti evropske kohezijske politike za obdobje </w:t>
      </w:r>
      <w:r w:rsidR="004F0A95" w:rsidRPr="00462D42">
        <w:rPr>
          <w:rFonts w:cs="Arial"/>
          <w:sz w:val="20"/>
          <w:szCs w:val="20"/>
          <w:lang w:val="sl-SI"/>
        </w:rPr>
        <w:t>2014–2020</w:t>
      </w:r>
      <w:r w:rsidRPr="00462D42">
        <w:rPr>
          <w:rFonts w:cs="Arial"/>
          <w:sz w:val="20"/>
          <w:szCs w:val="20"/>
          <w:lang w:val="sl-SI"/>
        </w:rPr>
        <w:t>.</w:t>
      </w:r>
    </w:p>
    <w:p w14:paraId="6DC76E19" w14:textId="77777777" w:rsidR="00184BE9" w:rsidRPr="00462D42" w:rsidRDefault="00184BE9" w:rsidP="00462D42">
      <w:pPr>
        <w:spacing w:line="260" w:lineRule="exact"/>
        <w:jc w:val="both"/>
        <w:rPr>
          <w:rFonts w:cs="Arial"/>
          <w:sz w:val="20"/>
          <w:szCs w:val="20"/>
          <w:lang w:val="sl-SI"/>
        </w:rPr>
      </w:pPr>
    </w:p>
    <w:p w14:paraId="01B2A7E3" w14:textId="7AF3735F" w:rsidR="00DE6355" w:rsidRPr="00462D42" w:rsidRDefault="00184BE9" w:rsidP="00462D42">
      <w:pPr>
        <w:spacing w:line="260" w:lineRule="exact"/>
        <w:jc w:val="both"/>
        <w:rPr>
          <w:rFonts w:cs="Arial"/>
          <w:sz w:val="20"/>
          <w:szCs w:val="20"/>
          <w:lang w:val="sl-SI"/>
        </w:rPr>
      </w:pPr>
      <w:r w:rsidRPr="00462D42">
        <w:rPr>
          <w:rFonts w:cs="Arial"/>
          <w:sz w:val="20"/>
          <w:szCs w:val="20"/>
          <w:lang w:val="sl-SI"/>
        </w:rPr>
        <w:t xml:space="preserve">Poleg strateških in programskih dokumentov je bila pripravljena predhodna ocena, osredotočena na </w:t>
      </w:r>
      <w:r w:rsidR="00F94316" w:rsidRPr="00462D42">
        <w:rPr>
          <w:rFonts w:cs="Arial"/>
          <w:sz w:val="20"/>
          <w:szCs w:val="20"/>
          <w:lang w:val="sl-SI"/>
        </w:rPr>
        <w:t>FI</w:t>
      </w:r>
      <w:r w:rsidRPr="00462D42">
        <w:rPr>
          <w:rFonts w:cs="Arial"/>
          <w:sz w:val="20"/>
          <w:szCs w:val="20"/>
          <w:lang w:val="sl-SI"/>
        </w:rPr>
        <w:t xml:space="preserve"> v Sloveniji v programskem obdobju </w:t>
      </w:r>
      <w:r w:rsidR="004F0A95" w:rsidRPr="00462D42">
        <w:rPr>
          <w:rFonts w:cs="Arial"/>
          <w:sz w:val="20"/>
          <w:szCs w:val="20"/>
          <w:lang w:val="sl-SI"/>
        </w:rPr>
        <w:t>2014–2020</w:t>
      </w:r>
      <w:r w:rsidRPr="00462D42">
        <w:rPr>
          <w:rFonts w:cs="Arial"/>
          <w:sz w:val="20"/>
          <w:szCs w:val="20"/>
          <w:lang w:val="sl-SI"/>
        </w:rPr>
        <w:t xml:space="preserve">, z namenom ugotoviti, kateri </w:t>
      </w:r>
      <w:r w:rsidR="00F94316" w:rsidRPr="00462D42">
        <w:rPr>
          <w:rFonts w:cs="Arial"/>
          <w:sz w:val="20"/>
          <w:szCs w:val="20"/>
          <w:lang w:val="sl-SI"/>
        </w:rPr>
        <w:t>FI</w:t>
      </w:r>
      <w:r w:rsidRPr="00462D42">
        <w:rPr>
          <w:rFonts w:cs="Arial"/>
          <w:sz w:val="20"/>
          <w:szCs w:val="20"/>
          <w:lang w:val="sl-SI"/>
        </w:rPr>
        <w:t xml:space="preserve"> in na kakšen način lahko spodbudijo in pospešijo naložbe v štiri naložbena področja </w:t>
      </w:r>
      <w:r w:rsidR="003B17FF" w:rsidRPr="00462D42">
        <w:rPr>
          <w:rFonts w:cs="Arial"/>
          <w:sz w:val="20"/>
          <w:szCs w:val="20"/>
          <w:lang w:val="sl-SI"/>
        </w:rPr>
        <w:t xml:space="preserve">operativnega </w:t>
      </w:r>
      <w:r w:rsidRPr="00462D42">
        <w:rPr>
          <w:rFonts w:cs="Arial"/>
          <w:sz w:val="20"/>
          <w:szCs w:val="20"/>
          <w:lang w:val="sl-SI"/>
        </w:rPr>
        <w:t xml:space="preserve">programa. </w:t>
      </w:r>
      <w:r w:rsidR="00984A5B" w:rsidRPr="00462D42">
        <w:rPr>
          <w:rFonts w:cs="Arial"/>
          <w:sz w:val="20"/>
          <w:szCs w:val="20"/>
          <w:lang w:val="sl-SI"/>
        </w:rPr>
        <w:t xml:space="preserve">Predhodna ocena </w:t>
      </w:r>
      <w:r w:rsidR="004B2892" w:rsidRPr="00462D42">
        <w:rPr>
          <w:rFonts w:cs="Arial"/>
          <w:sz w:val="20"/>
          <w:szCs w:val="20"/>
          <w:lang w:val="sl-SI"/>
        </w:rPr>
        <w:t>FI</w:t>
      </w:r>
      <w:r w:rsidR="00984A5B" w:rsidRPr="00462D42">
        <w:rPr>
          <w:rFonts w:cs="Arial"/>
          <w:sz w:val="20"/>
          <w:szCs w:val="20"/>
          <w:lang w:val="sl-SI"/>
        </w:rPr>
        <w:t xml:space="preserve"> v Sloveniji in dodatno mnenje Evropske investicijske banke predstavljata v</w:t>
      </w:r>
      <w:r w:rsidRPr="00462D42">
        <w:rPr>
          <w:rFonts w:cs="Arial"/>
          <w:sz w:val="20"/>
          <w:szCs w:val="20"/>
          <w:lang w:val="sl-SI"/>
        </w:rPr>
        <w:t>sebinsk</w:t>
      </w:r>
      <w:r w:rsidR="00984A5B" w:rsidRPr="00462D42">
        <w:rPr>
          <w:rFonts w:cs="Arial"/>
          <w:sz w:val="20"/>
          <w:szCs w:val="20"/>
          <w:lang w:val="sl-SI"/>
        </w:rPr>
        <w:t>o</w:t>
      </w:r>
      <w:r w:rsidRPr="00462D42">
        <w:rPr>
          <w:rFonts w:cs="Arial"/>
          <w:sz w:val="20"/>
          <w:szCs w:val="20"/>
          <w:lang w:val="sl-SI"/>
        </w:rPr>
        <w:t xml:space="preserve"> podlag</w:t>
      </w:r>
      <w:r w:rsidR="00984A5B" w:rsidRPr="00462D42">
        <w:rPr>
          <w:rFonts w:cs="Arial"/>
          <w:sz w:val="20"/>
          <w:szCs w:val="20"/>
          <w:lang w:val="sl-SI"/>
        </w:rPr>
        <w:t>o</w:t>
      </w:r>
      <w:r w:rsidRPr="00462D42">
        <w:rPr>
          <w:rFonts w:cs="Arial"/>
          <w:sz w:val="20"/>
          <w:szCs w:val="20"/>
          <w:lang w:val="sl-SI"/>
        </w:rPr>
        <w:t xml:space="preserve"> za pripravo Ključnih elementov </w:t>
      </w:r>
      <w:r w:rsidR="004B2892" w:rsidRPr="00462D42">
        <w:rPr>
          <w:rFonts w:cs="Arial"/>
          <w:sz w:val="20"/>
          <w:szCs w:val="20"/>
          <w:lang w:val="sl-SI"/>
        </w:rPr>
        <w:t>FI</w:t>
      </w:r>
      <w:r w:rsidR="003B17FF" w:rsidRPr="00462D42">
        <w:rPr>
          <w:rFonts w:cs="Arial"/>
          <w:sz w:val="20"/>
          <w:szCs w:val="20"/>
          <w:lang w:val="sl-SI"/>
        </w:rPr>
        <w:t xml:space="preserve"> v programskem obdobju 2014–2020</w:t>
      </w:r>
      <w:r w:rsidR="00984A5B" w:rsidRPr="00462D42">
        <w:rPr>
          <w:rFonts w:cs="Arial"/>
          <w:sz w:val="20"/>
          <w:szCs w:val="20"/>
          <w:lang w:val="sl-SI"/>
        </w:rPr>
        <w:t>.</w:t>
      </w:r>
      <w:r w:rsidRPr="00462D42">
        <w:rPr>
          <w:rFonts w:cs="Arial"/>
          <w:sz w:val="20"/>
          <w:szCs w:val="20"/>
          <w:lang w:val="sl-SI"/>
        </w:rPr>
        <w:t xml:space="preserve"> </w:t>
      </w:r>
      <w:r w:rsidR="00984A5B" w:rsidRPr="00462D42">
        <w:rPr>
          <w:rFonts w:cs="Arial"/>
          <w:sz w:val="20"/>
          <w:szCs w:val="20"/>
          <w:lang w:val="sl-SI"/>
        </w:rPr>
        <w:t>Pri</w:t>
      </w:r>
      <w:r w:rsidRPr="00462D42">
        <w:rPr>
          <w:rFonts w:cs="Arial"/>
          <w:sz w:val="20"/>
          <w:szCs w:val="20"/>
          <w:lang w:val="sl-SI"/>
        </w:rPr>
        <w:t>kaza</w:t>
      </w:r>
      <w:r w:rsidR="00984A5B" w:rsidRPr="00462D42">
        <w:rPr>
          <w:rFonts w:cs="Arial"/>
          <w:sz w:val="20"/>
          <w:szCs w:val="20"/>
          <w:lang w:val="sl-SI"/>
        </w:rPr>
        <w:t>n</w:t>
      </w:r>
      <w:r w:rsidRPr="00462D42">
        <w:rPr>
          <w:rFonts w:cs="Arial"/>
          <w:sz w:val="20"/>
          <w:szCs w:val="20"/>
          <w:lang w:val="sl-SI"/>
        </w:rPr>
        <w:t xml:space="preserve">a </w:t>
      </w:r>
      <w:r w:rsidR="00984A5B" w:rsidRPr="00462D42">
        <w:rPr>
          <w:rFonts w:cs="Arial"/>
          <w:sz w:val="20"/>
          <w:szCs w:val="20"/>
          <w:lang w:val="sl-SI"/>
        </w:rPr>
        <w:t xml:space="preserve">je bila </w:t>
      </w:r>
      <w:r w:rsidRPr="00462D42">
        <w:rPr>
          <w:rFonts w:cs="Arial"/>
          <w:sz w:val="20"/>
          <w:szCs w:val="20"/>
          <w:lang w:val="sl-SI"/>
        </w:rPr>
        <w:t>vr</w:t>
      </w:r>
      <w:r w:rsidR="003B17FF" w:rsidRPr="00462D42">
        <w:rPr>
          <w:rFonts w:cs="Arial"/>
          <w:sz w:val="20"/>
          <w:szCs w:val="20"/>
          <w:lang w:val="sl-SI"/>
        </w:rPr>
        <w:t>zel financiranja na področju mali</w:t>
      </w:r>
      <w:r w:rsidR="006B1C57" w:rsidRPr="00462D42">
        <w:rPr>
          <w:rFonts w:cs="Arial"/>
          <w:sz w:val="20"/>
          <w:szCs w:val="20"/>
          <w:lang w:val="sl-SI"/>
        </w:rPr>
        <w:t>h</w:t>
      </w:r>
      <w:r w:rsidR="003B17FF" w:rsidRPr="00462D42">
        <w:rPr>
          <w:rFonts w:cs="Arial"/>
          <w:sz w:val="20"/>
          <w:szCs w:val="20"/>
          <w:lang w:val="sl-SI"/>
        </w:rPr>
        <w:t xml:space="preserve"> in srednje velikih podjetij</w:t>
      </w:r>
      <w:r w:rsidRPr="00462D42">
        <w:rPr>
          <w:rFonts w:cs="Arial"/>
          <w:sz w:val="20"/>
          <w:szCs w:val="20"/>
          <w:lang w:val="sl-SI"/>
        </w:rPr>
        <w:t xml:space="preserve">, </w:t>
      </w:r>
      <w:r w:rsidR="003B17FF" w:rsidRPr="00462D42">
        <w:rPr>
          <w:rFonts w:cs="Arial"/>
          <w:sz w:val="20"/>
          <w:szCs w:val="20"/>
          <w:lang w:val="sl-SI"/>
        </w:rPr>
        <w:t>raziskav, razvoja in inovacij</w:t>
      </w:r>
      <w:r w:rsidRPr="00462D42">
        <w:rPr>
          <w:rFonts w:cs="Arial"/>
          <w:sz w:val="20"/>
          <w:szCs w:val="20"/>
          <w:lang w:val="sl-SI"/>
        </w:rPr>
        <w:t>, energetske učinkovitost in urbanega razvoja</w:t>
      </w:r>
      <w:r w:rsidR="006336CB" w:rsidRPr="00462D42">
        <w:rPr>
          <w:rFonts w:cs="Arial"/>
          <w:sz w:val="20"/>
          <w:szCs w:val="20"/>
          <w:lang w:val="sl-SI"/>
        </w:rPr>
        <w:t xml:space="preserve">. Med samim izvajanjem </w:t>
      </w:r>
      <w:r w:rsidR="004B2892" w:rsidRPr="00462D42">
        <w:rPr>
          <w:rFonts w:cs="Arial"/>
          <w:sz w:val="20"/>
          <w:szCs w:val="20"/>
          <w:lang w:val="sl-SI"/>
        </w:rPr>
        <w:t>FI</w:t>
      </w:r>
      <w:r w:rsidR="006336CB" w:rsidRPr="00462D42">
        <w:rPr>
          <w:rFonts w:cs="Arial"/>
          <w:sz w:val="20"/>
          <w:szCs w:val="20"/>
          <w:lang w:val="sl-SI"/>
        </w:rPr>
        <w:t xml:space="preserve"> in na podlagi razmer na trgu je izvajalec sklada skladov ugotovil, da je potrebno prilagoditi poslovno finančni načrt sklada skladov </w:t>
      </w:r>
      <w:r w:rsidR="004F0A95" w:rsidRPr="00462D42">
        <w:rPr>
          <w:rFonts w:cs="Arial"/>
          <w:sz w:val="20"/>
          <w:szCs w:val="20"/>
          <w:lang w:val="sl-SI"/>
        </w:rPr>
        <w:t>2014–2020</w:t>
      </w:r>
      <w:r w:rsidR="006336CB" w:rsidRPr="00462D42">
        <w:rPr>
          <w:rFonts w:cs="Arial"/>
          <w:sz w:val="20"/>
          <w:szCs w:val="20"/>
          <w:lang w:val="sl-SI"/>
        </w:rPr>
        <w:t xml:space="preserve"> in naložbeno strategijo</w:t>
      </w:r>
      <w:r w:rsidR="00DE6355" w:rsidRPr="00462D42">
        <w:rPr>
          <w:rFonts w:cs="Arial"/>
          <w:sz w:val="20"/>
          <w:szCs w:val="20"/>
          <w:lang w:val="sl-SI"/>
        </w:rPr>
        <w:t>.</w:t>
      </w:r>
    </w:p>
    <w:p w14:paraId="16DBD462" w14:textId="77777777" w:rsidR="00DE6355" w:rsidRPr="00462D42" w:rsidRDefault="00DE6355" w:rsidP="00462D42">
      <w:pPr>
        <w:spacing w:line="260" w:lineRule="exact"/>
        <w:jc w:val="both"/>
        <w:rPr>
          <w:rFonts w:cs="Arial"/>
          <w:sz w:val="20"/>
          <w:szCs w:val="20"/>
          <w:lang w:val="sl-SI"/>
        </w:rPr>
      </w:pPr>
    </w:p>
    <w:p w14:paraId="6B7BF851" w14:textId="379C3463" w:rsidR="005D0B9A" w:rsidRPr="00462D42" w:rsidRDefault="005D0B9A" w:rsidP="00462D42">
      <w:pPr>
        <w:spacing w:line="260" w:lineRule="exact"/>
        <w:jc w:val="both"/>
        <w:rPr>
          <w:rFonts w:cs="Arial"/>
          <w:sz w:val="20"/>
          <w:szCs w:val="20"/>
          <w:lang w:val="sl-SI"/>
        </w:rPr>
      </w:pPr>
      <w:r w:rsidRPr="00462D42">
        <w:rPr>
          <w:rFonts w:cs="Arial"/>
          <w:sz w:val="20"/>
          <w:szCs w:val="20"/>
          <w:lang w:val="sl-SI"/>
        </w:rPr>
        <w:t xml:space="preserve">Ključne spremembe poslovno finančnega načrta </w:t>
      </w:r>
      <w:r w:rsidR="009327C3" w:rsidRPr="00462D42">
        <w:rPr>
          <w:rFonts w:cs="Arial"/>
          <w:sz w:val="20"/>
          <w:szCs w:val="20"/>
          <w:lang w:val="sl-SI"/>
        </w:rPr>
        <w:t>(</w:t>
      </w:r>
      <w:r w:rsidR="009327C3">
        <w:rPr>
          <w:rFonts w:cs="Arial"/>
          <w:sz w:val="20"/>
          <w:szCs w:val="20"/>
          <w:lang w:val="sl-SI"/>
        </w:rPr>
        <w:t xml:space="preserve">v nadaljnjem besedilu: </w:t>
      </w:r>
      <w:r w:rsidR="005743CB" w:rsidRPr="00462D42">
        <w:rPr>
          <w:rFonts w:cs="Arial"/>
          <w:sz w:val="20"/>
          <w:szCs w:val="20"/>
          <w:lang w:val="sl-SI"/>
        </w:rPr>
        <w:t xml:space="preserve">PFN) </w:t>
      </w:r>
      <w:r w:rsidRPr="00462D42">
        <w:rPr>
          <w:rFonts w:cs="Arial"/>
          <w:sz w:val="20"/>
          <w:szCs w:val="20"/>
          <w:lang w:val="sl-SI"/>
        </w:rPr>
        <w:t xml:space="preserve">se nanašajo na izločitev FI Portfeljske </w:t>
      </w:r>
      <w:proofErr w:type="spellStart"/>
      <w:r w:rsidRPr="00462D42">
        <w:rPr>
          <w:rFonts w:cs="Arial"/>
          <w:sz w:val="20"/>
          <w:szCs w:val="20"/>
          <w:lang w:val="sl-SI"/>
        </w:rPr>
        <w:t>mikrogarancije</w:t>
      </w:r>
      <w:proofErr w:type="spellEnd"/>
      <w:r w:rsidRPr="00462D42">
        <w:rPr>
          <w:rFonts w:cs="Arial"/>
          <w:sz w:val="20"/>
          <w:szCs w:val="20"/>
          <w:lang w:val="sl-SI"/>
        </w:rPr>
        <w:t xml:space="preserve"> za MSP (2014</w:t>
      </w:r>
      <w:r w:rsidR="009327C3">
        <w:rPr>
          <w:rFonts w:cs="Arial"/>
          <w:sz w:val="20"/>
          <w:szCs w:val="20"/>
          <w:lang w:val="sl-SI"/>
        </w:rPr>
        <w:t>–</w:t>
      </w:r>
      <w:r w:rsidRPr="00462D42">
        <w:rPr>
          <w:rFonts w:cs="Arial"/>
          <w:sz w:val="20"/>
          <w:szCs w:val="20"/>
          <w:lang w:val="sl-SI"/>
        </w:rPr>
        <w:t xml:space="preserve">2020) iz PFN, na višino razpoložljivih zneskov EKP sredstev za izvajanje </w:t>
      </w:r>
      <w:r w:rsidR="004B2892" w:rsidRPr="00462D42">
        <w:rPr>
          <w:rFonts w:cs="Arial"/>
          <w:sz w:val="20"/>
          <w:szCs w:val="20"/>
          <w:lang w:val="sl-SI"/>
        </w:rPr>
        <w:t>FI</w:t>
      </w:r>
      <w:r w:rsidRPr="00462D42">
        <w:rPr>
          <w:rFonts w:cs="Arial"/>
          <w:sz w:val="20"/>
          <w:szCs w:val="20"/>
          <w:lang w:val="sl-SI"/>
        </w:rPr>
        <w:t>, kjer se zaradi vpliva nižjega z</w:t>
      </w:r>
      <w:r w:rsidR="005743CB" w:rsidRPr="00462D42">
        <w:rPr>
          <w:rFonts w:cs="Arial"/>
          <w:sz w:val="20"/>
          <w:szCs w:val="20"/>
          <w:lang w:val="sl-SI"/>
        </w:rPr>
        <w:t>neska provizije za upravljanje s</w:t>
      </w:r>
      <w:r w:rsidRPr="00462D42">
        <w:rPr>
          <w:rFonts w:cs="Arial"/>
          <w:sz w:val="20"/>
          <w:szCs w:val="20"/>
          <w:lang w:val="sl-SI"/>
        </w:rPr>
        <w:t xml:space="preserve">klada skladov zaradi neposrednega izvajanja </w:t>
      </w:r>
      <w:r w:rsidR="004B2892" w:rsidRPr="00462D42">
        <w:rPr>
          <w:rFonts w:cs="Arial"/>
          <w:sz w:val="20"/>
          <w:szCs w:val="20"/>
          <w:lang w:val="sl-SI"/>
        </w:rPr>
        <w:t>FI</w:t>
      </w:r>
      <w:r w:rsidRPr="00462D42">
        <w:rPr>
          <w:rFonts w:cs="Arial"/>
          <w:sz w:val="20"/>
          <w:szCs w:val="20"/>
          <w:lang w:val="sl-SI"/>
        </w:rPr>
        <w:t xml:space="preserve"> razpoložljiva sredstva povečajo. Instrument Posojila za MSP je predviden kot ukrep</w:t>
      </w:r>
      <w:r w:rsidR="009327C3">
        <w:rPr>
          <w:rFonts w:cs="Arial"/>
          <w:sz w:val="20"/>
          <w:szCs w:val="20"/>
          <w:lang w:val="sl-SI"/>
        </w:rPr>
        <w:t xml:space="preserve">, </w:t>
      </w:r>
      <w:r w:rsidRPr="00462D42">
        <w:rPr>
          <w:rFonts w:cs="Arial"/>
          <w:sz w:val="20"/>
          <w:szCs w:val="20"/>
          <w:lang w:val="sl-SI"/>
        </w:rPr>
        <w:t xml:space="preserve">skladen </w:t>
      </w:r>
      <w:r w:rsidR="005743CB" w:rsidRPr="00462D42">
        <w:rPr>
          <w:rFonts w:cs="Arial"/>
          <w:sz w:val="20"/>
          <w:szCs w:val="20"/>
          <w:lang w:val="sl-SI"/>
        </w:rPr>
        <w:t xml:space="preserve">s </w:t>
      </w:r>
      <w:proofErr w:type="spellStart"/>
      <w:r w:rsidR="005743CB" w:rsidRPr="00462D42">
        <w:rPr>
          <w:rFonts w:cs="Arial"/>
          <w:sz w:val="20"/>
          <w:szCs w:val="20"/>
          <w:lang w:val="sl-SI"/>
        </w:rPr>
        <w:t>So</w:t>
      </w:r>
      <w:r w:rsidRPr="00462D42">
        <w:rPr>
          <w:rFonts w:cs="Arial"/>
          <w:sz w:val="20"/>
          <w:szCs w:val="20"/>
          <w:lang w:val="sl-SI"/>
        </w:rPr>
        <w:t>F</w:t>
      </w:r>
      <w:proofErr w:type="spellEnd"/>
      <w:r w:rsidR="009327C3">
        <w:rPr>
          <w:rFonts w:cs="Arial"/>
          <w:sz w:val="20"/>
          <w:szCs w:val="20"/>
          <w:lang w:val="sl-SI"/>
        </w:rPr>
        <w:t xml:space="preserve">, </w:t>
      </w:r>
      <w:r w:rsidRPr="00462D42">
        <w:rPr>
          <w:rFonts w:cs="Arial"/>
          <w:sz w:val="20"/>
          <w:szCs w:val="20"/>
          <w:lang w:val="sl-SI"/>
        </w:rPr>
        <w:t xml:space="preserve">in se bo izvajal v primeru nedoseganja ciljnih kazalnikov oz. iz razloga nezadostnega obsega plasiranj EKP sredstev do končnih prejemnikov na podlagi drugih </w:t>
      </w:r>
      <w:r w:rsidR="004B2892" w:rsidRPr="00462D42">
        <w:rPr>
          <w:rFonts w:cs="Arial"/>
          <w:sz w:val="20"/>
          <w:szCs w:val="20"/>
          <w:lang w:val="sl-SI"/>
        </w:rPr>
        <w:t>FI</w:t>
      </w:r>
      <w:r w:rsidRPr="00462D42">
        <w:rPr>
          <w:rFonts w:cs="Arial"/>
          <w:sz w:val="20"/>
          <w:szCs w:val="20"/>
          <w:lang w:val="sl-SI"/>
        </w:rPr>
        <w:t xml:space="preserve"> v okviru istega </w:t>
      </w:r>
      <w:r w:rsidR="00DE6355" w:rsidRPr="00462D42">
        <w:rPr>
          <w:rFonts w:cs="Arial"/>
          <w:sz w:val="20"/>
          <w:szCs w:val="20"/>
          <w:lang w:val="sl-SI"/>
        </w:rPr>
        <w:t>naložbenega področja.</w:t>
      </w:r>
    </w:p>
    <w:p w14:paraId="5C391676" w14:textId="77777777" w:rsidR="00DE6355" w:rsidRPr="00462D42" w:rsidRDefault="00DE6355" w:rsidP="00462D42">
      <w:pPr>
        <w:spacing w:line="260" w:lineRule="exact"/>
        <w:jc w:val="both"/>
        <w:rPr>
          <w:rFonts w:cs="Arial"/>
          <w:sz w:val="20"/>
          <w:szCs w:val="20"/>
          <w:lang w:val="sl-SI"/>
        </w:rPr>
      </w:pPr>
    </w:p>
    <w:p w14:paraId="0D72D772" w14:textId="54D0FBAE" w:rsidR="00DE6355" w:rsidRPr="00462D42" w:rsidRDefault="00DE6355" w:rsidP="00462D42">
      <w:pPr>
        <w:spacing w:line="260" w:lineRule="exact"/>
        <w:jc w:val="both"/>
        <w:rPr>
          <w:rFonts w:cs="Arial"/>
          <w:sz w:val="20"/>
          <w:szCs w:val="20"/>
          <w:lang w:val="sl-SI"/>
        </w:rPr>
      </w:pPr>
      <w:r w:rsidRPr="00462D42">
        <w:rPr>
          <w:rFonts w:cs="Arial"/>
          <w:sz w:val="20"/>
          <w:szCs w:val="20"/>
          <w:lang w:val="sl-SI"/>
        </w:rPr>
        <w:t>Spremenjen dokument Naložbena strategija ne vsebuje več FI EKP portfelj</w:t>
      </w:r>
      <w:r w:rsidR="009327C3">
        <w:rPr>
          <w:rFonts w:cs="Arial"/>
          <w:sz w:val="20"/>
          <w:szCs w:val="20"/>
          <w:lang w:val="sl-SI"/>
        </w:rPr>
        <w:t xml:space="preserve">ske </w:t>
      </w:r>
      <w:proofErr w:type="spellStart"/>
      <w:r w:rsidR="009327C3">
        <w:rPr>
          <w:rFonts w:cs="Arial"/>
          <w:sz w:val="20"/>
          <w:szCs w:val="20"/>
          <w:lang w:val="sl-SI"/>
        </w:rPr>
        <w:t>mikrogarancije</w:t>
      </w:r>
      <w:proofErr w:type="spellEnd"/>
      <w:r w:rsidR="009327C3">
        <w:rPr>
          <w:rFonts w:cs="Arial"/>
          <w:sz w:val="20"/>
          <w:szCs w:val="20"/>
          <w:lang w:val="sl-SI"/>
        </w:rPr>
        <w:t xml:space="preserve"> za MSP (2014–</w:t>
      </w:r>
      <w:r w:rsidRPr="00462D42">
        <w:rPr>
          <w:rFonts w:cs="Arial"/>
          <w:sz w:val="20"/>
          <w:szCs w:val="20"/>
          <w:lang w:val="sl-SI"/>
        </w:rPr>
        <w:t xml:space="preserve">2020), kjer se razpoložljiva kvota prenese na FI EKP Portfeljske garancije za </w:t>
      </w:r>
      <w:r w:rsidR="009327C3">
        <w:rPr>
          <w:rFonts w:cs="Arial"/>
          <w:sz w:val="20"/>
          <w:szCs w:val="20"/>
          <w:lang w:val="sl-SI"/>
        </w:rPr>
        <w:br/>
      </w:r>
      <w:r w:rsidRPr="00462D42">
        <w:rPr>
          <w:rFonts w:cs="Arial"/>
          <w:sz w:val="20"/>
          <w:szCs w:val="20"/>
          <w:lang w:val="sl-SI"/>
        </w:rPr>
        <w:t>MSP</w:t>
      </w:r>
      <w:r w:rsidR="009327C3">
        <w:rPr>
          <w:rFonts w:cs="Arial"/>
          <w:sz w:val="20"/>
          <w:szCs w:val="20"/>
          <w:lang w:val="sl-SI"/>
        </w:rPr>
        <w:t xml:space="preserve"> </w:t>
      </w:r>
      <w:r w:rsidRPr="00462D42">
        <w:rPr>
          <w:rFonts w:cs="Arial"/>
          <w:sz w:val="20"/>
          <w:szCs w:val="20"/>
          <w:lang w:val="sl-SI"/>
        </w:rPr>
        <w:t>(2014</w:t>
      </w:r>
      <w:r w:rsidR="009327C3">
        <w:rPr>
          <w:rFonts w:cs="Arial"/>
          <w:sz w:val="20"/>
          <w:szCs w:val="20"/>
          <w:lang w:val="sl-SI"/>
        </w:rPr>
        <w:t>–</w:t>
      </w:r>
      <w:r w:rsidRPr="00462D42">
        <w:rPr>
          <w:rFonts w:cs="Arial"/>
          <w:sz w:val="20"/>
          <w:szCs w:val="20"/>
          <w:lang w:val="sl-SI"/>
        </w:rPr>
        <w:t xml:space="preserve">2020). Razpoložljivi zneski EKP sredstev za izvajanje </w:t>
      </w:r>
      <w:r w:rsidR="004B2892" w:rsidRPr="00462D42">
        <w:rPr>
          <w:rFonts w:cs="Arial"/>
          <w:sz w:val="20"/>
          <w:szCs w:val="20"/>
          <w:lang w:val="sl-SI"/>
        </w:rPr>
        <w:t>FI</w:t>
      </w:r>
      <w:r w:rsidRPr="00462D42">
        <w:rPr>
          <w:rFonts w:cs="Arial"/>
          <w:sz w:val="20"/>
          <w:szCs w:val="20"/>
          <w:lang w:val="sl-SI"/>
        </w:rPr>
        <w:t xml:space="preserve"> so zaradi nižjega zneska nadomestila (provizije) za upravljanje Sklada skladov zaradi neposrednega izvajanja </w:t>
      </w:r>
      <w:r w:rsidR="004B2892" w:rsidRPr="00462D42">
        <w:rPr>
          <w:rFonts w:cs="Arial"/>
          <w:sz w:val="20"/>
          <w:szCs w:val="20"/>
          <w:lang w:val="sl-SI"/>
        </w:rPr>
        <w:t>FI</w:t>
      </w:r>
      <w:r w:rsidRPr="00462D42">
        <w:rPr>
          <w:rFonts w:cs="Arial"/>
          <w:sz w:val="20"/>
          <w:szCs w:val="20"/>
          <w:lang w:val="sl-SI"/>
        </w:rPr>
        <w:t>, na ravni Sklada skladov višji, kar pomeni, ob upoštevanju časovne komponente začetka izvajanja posameznih FI, da so zato tudi višji zneski razpoložljivih EKP sredstev pri tistih FI, ki jih neposredno ne izvaja SID.</w:t>
      </w:r>
    </w:p>
    <w:p w14:paraId="3DA04999" w14:textId="77777777" w:rsidR="005D0B9A" w:rsidRPr="00462D42" w:rsidRDefault="005D0B9A" w:rsidP="00462D42">
      <w:pPr>
        <w:spacing w:line="260" w:lineRule="exact"/>
        <w:jc w:val="both"/>
        <w:rPr>
          <w:rFonts w:cs="Arial"/>
          <w:sz w:val="20"/>
          <w:szCs w:val="20"/>
          <w:lang w:val="sl-SI"/>
        </w:rPr>
      </w:pPr>
    </w:p>
    <w:p w14:paraId="718C14BA" w14:textId="7054177A" w:rsidR="00184BE9" w:rsidRPr="00462D42" w:rsidRDefault="005D0B9A" w:rsidP="00462D42">
      <w:pPr>
        <w:spacing w:line="260" w:lineRule="exact"/>
        <w:jc w:val="both"/>
        <w:rPr>
          <w:rFonts w:cs="Arial"/>
          <w:sz w:val="20"/>
          <w:szCs w:val="20"/>
          <w:lang w:val="sl-SI"/>
        </w:rPr>
      </w:pPr>
      <w:r w:rsidRPr="00462D42">
        <w:rPr>
          <w:rFonts w:cs="Arial"/>
          <w:sz w:val="20"/>
          <w:szCs w:val="20"/>
          <w:lang w:val="sl-SI"/>
        </w:rPr>
        <w:t>Spremenjena dokumenta sta bila podlaga za sklenitev Aneksa št.</w:t>
      </w:r>
      <w:r w:rsidR="009327C3">
        <w:rPr>
          <w:rFonts w:cs="Arial"/>
          <w:sz w:val="20"/>
          <w:szCs w:val="20"/>
          <w:lang w:val="sl-SI"/>
        </w:rPr>
        <w:t> </w:t>
      </w:r>
      <w:r w:rsidRPr="00462D42">
        <w:rPr>
          <w:rFonts w:cs="Arial"/>
          <w:sz w:val="20"/>
          <w:szCs w:val="20"/>
          <w:lang w:val="sl-SI"/>
        </w:rPr>
        <w:t xml:space="preserve">1, ki izvajalcu sklada skladov omogoča neposredno izvajanje </w:t>
      </w:r>
      <w:r w:rsidR="004B2892" w:rsidRPr="00462D42">
        <w:rPr>
          <w:rFonts w:cs="Arial"/>
          <w:sz w:val="20"/>
          <w:szCs w:val="20"/>
          <w:lang w:val="sl-SI"/>
        </w:rPr>
        <w:t>FI</w:t>
      </w:r>
      <w:r w:rsidRPr="00462D42">
        <w:rPr>
          <w:rFonts w:cs="Arial"/>
          <w:sz w:val="20"/>
          <w:szCs w:val="20"/>
          <w:lang w:val="sl-SI"/>
        </w:rPr>
        <w:t xml:space="preserve"> RRI posojila, posojila za energetsko učinkovitost in posojila za urbani razvoj.</w:t>
      </w:r>
    </w:p>
    <w:p w14:paraId="26041430" w14:textId="77777777" w:rsidR="00184BE9" w:rsidRPr="00462D42" w:rsidRDefault="00184BE9" w:rsidP="00462D42">
      <w:pPr>
        <w:spacing w:line="260" w:lineRule="exact"/>
        <w:jc w:val="both"/>
        <w:rPr>
          <w:rFonts w:cs="Arial"/>
          <w:sz w:val="20"/>
          <w:szCs w:val="20"/>
          <w:lang w:val="sl-SI"/>
        </w:rPr>
      </w:pPr>
    </w:p>
    <w:p w14:paraId="54ABDE2E" w14:textId="5E231D2A" w:rsidR="00184BE9" w:rsidRPr="00462D42" w:rsidRDefault="00184BE9" w:rsidP="00462D42">
      <w:pPr>
        <w:spacing w:line="260" w:lineRule="exact"/>
        <w:jc w:val="both"/>
        <w:rPr>
          <w:rFonts w:cs="Arial"/>
          <w:sz w:val="20"/>
          <w:szCs w:val="20"/>
          <w:lang w:val="sl-SI"/>
        </w:rPr>
      </w:pPr>
      <w:r w:rsidRPr="00462D42">
        <w:rPr>
          <w:rFonts w:cs="Arial"/>
          <w:sz w:val="20"/>
          <w:szCs w:val="20"/>
          <w:lang w:val="sl-SI"/>
        </w:rPr>
        <w:t xml:space="preserve">Predhodna ocena </w:t>
      </w:r>
      <w:r w:rsidR="004B2892" w:rsidRPr="00462D42">
        <w:rPr>
          <w:rFonts w:cs="Arial"/>
          <w:sz w:val="20"/>
          <w:szCs w:val="20"/>
          <w:lang w:val="sl-SI"/>
        </w:rPr>
        <w:t>FI</w:t>
      </w:r>
      <w:r w:rsidRPr="00462D42">
        <w:rPr>
          <w:rFonts w:cs="Arial"/>
          <w:sz w:val="20"/>
          <w:szCs w:val="20"/>
          <w:lang w:val="sl-SI"/>
        </w:rPr>
        <w:t xml:space="preserve"> v Sloveniji kot najbolj optimalno rešitev predlaga izvajanje </w:t>
      </w:r>
      <w:r w:rsidR="004B2892" w:rsidRPr="00462D42">
        <w:rPr>
          <w:rFonts w:cs="Arial"/>
          <w:sz w:val="20"/>
          <w:szCs w:val="20"/>
          <w:lang w:val="sl-SI"/>
        </w:rPr>
        <w:t>FI</w:t>
      </w:r>
      <w:r w:rsidRPr="00462D42">
        <w:rPr>
          <w:rFonts w:cs="Arial"/>
          <w:sz w:val="20"/>
          <w:szCs w:val="20"/>
          <w:lang w:val="sl-SI"/>
        </w:rPr>
        <w:t xml:space="preserve"> preko sklada skladov. Zato se imenuje en posredniški organ za vse FI, ki izbere </w:t>
      </w:r>
      <w:r w:rsidR="00F94316" w:rsidRPr="00462D42">
        <w:rPr>
          <w:rFonts w:cs="Arial"/>
          <w:sz w:val="20"/>
          <w:szCs w:val="20"/>
          <w:lang w:val="sl-SI"/>
        </w:rPr>
        <w:t>izvajalca</w:t>
      </w:r>
      <w:r w:rsidRPr="00462D42">
        <w:rPr>
          <w:rFonts w:cs="Arial"/>
          <w:sz w:val="20"/>
          <w:szCs w:val="20"/>
          <w:lang w:val="sl-SI"/>
        </w:rPr>
        <w:t xml:space="preserve"> sklada skladov, na podlagi zakona, ki ureja javna naročila. Princip sklada skladov zavezuje </w:t>
      </w:r>
      <w:r w:rsidR="00F94316" w:rsidRPr="00462D42">
        <w:rPr>
          <w:rFonts w:cs="Arial"/>
          <w:sz w:val="20"/>
          <w:szCs w:val="20"/>
          <w:lang w:val="sl-SI"/>
        </w:rPr>
        <w:t>izvajalca</w:t>
      </w:r>
      <w:r w:rsidRPr="00462D42">
        <w:rPr>
          <w:rFonts w:cs="Arial"/>
          <w:sz w:val="20"/>
          <w:szCs w:val="20"/>
          <w:lang w:val="sl-SI"/>
        </w:rPr>
        <w:t xml:space="preserve"> sklada skladov k izvajanju FI (i) preko finančnih posrednikov (npr.</w:t>
      </w:r>
      <w:r w:rsidR="004223D6" w:rsidRPr="00462D42">
        <w:rPr>
          <w:rFonts w:cs="Arial"/>
          <w:sz w:val="20"/>
          <w:szCs w:val="20"/>
          <w:lang w:val="sl-SI"/>
        </w:rPr>
        <w:t xml:space="preserve"> poslovnih bank, javnih skladov</w:t>
      </w:r>
      <w:r w:rsidRPr="00462D42">
        <w:rPr>
          <w:rFonts w:cs="Arial"/>
          <w:sz w:val="20"/>
          <w:szCs w:val="20"/>
          <w:lang w:val="sl-SI"/>
        </w:rPr>
        <w:t xml:space="preserve"> </w:t>
      </w:r>
      <w:r w:rsidR="004223D6" w:rsidRPr="00462D42">
        <w:rPr>
          <w:rFonts w:cs="Arial"/>
          <w:sz w:val="20"/>
          <w:szCs w:val="20"/>
          <w:lang w:val="sl-SI"/>
        </w:rPr>
        <w:t>itd.</w:t>
      </w:r>
      <w:r w:rsidRPr="00462D42">
        <w:rPr>
          <w:rFonts w:cs="Arial"/>
          <w:sz w:val="20"/>
          <w:szCs w:val="20"/>
          <w:lang w:val="sl-SI"/>
        </w:rPr>
        <w:t>) ali (</w:t>
      </w:r>
      <w:proofErr w:type="spellStart"/>
      <w:r w:rsidRPr="00462D42">
        <w:rPr>
          <w:rFonts w:cs="Arial"/>
          <w:sz w:val="20"/>
          <w:szCs w:val="20"/>
          <w:lang w:val="sl-SI"/>
        </w:rPr>
        <w:t>ii</w:t>
      </w:r>
      <w:proofErr w:type="spellEnd"/>
      <w:r w:rsidRPr="00462D42">
        <w:rPr>
          <w:rFonts w:cs="Arial"/>
          <w:sz w:val="20"/>
          <w:szCs w:val="20"/>
          <w:lang w:val="sl-SI"/>
        </w:rPr>
        <w:t>) neposredno sam.</w:t>
      </w:r>
    </w:p>
    <w:p w14:paraId="0D81A57C" w14:textId="77777777" w:rsidR="0065545C" w:rsidRPr="00462D42" w:rsidRDefault="0065545C" w:rsidP="00462D42">
      <w:pPr>
        <w:spacing w:line="260" w:lineRule="exact"/>
        <w:jc w:val="both"/>
        <w:rPr>
          <w:rFonts w:cs="Arial"/>
          <w:sz w:val="20"/>
          <w:szCs w:val="20"/>
          <w:lang w:val="sl-SI"/>
        </w:rPr>
      </w:pPr>
    </w:p>
    <w:p w14:paraId="454D8BC1" w14:textId="68A488B9" w:rsidR="00184BE9" w:rsidRPr="00462D42" w:rsidRDefault="0065545C" w:rsidP="00462D42">
      <w:pPr>
        <w:spacing w:line="260" w:lineRule="exact"/>
        <w:jc w:val="both"/>
        <w:rPr>
          <w:rFonts w:cs="Arial"/>
          <w:sz w:val="20"/>
          <w:szCs w:val="20"/>
          <w:lang w:val="sl-SI"/>
        </w:rPr>
      </w:pPr>
      <w:r w:rsidRPr="00462D42">
        <w:rPr>
          <w:rFonts w:cs="Arial"/>
          <w:sz w:val="20"/>
          <w:szCs w:val="20"/>
          <w:lang w:val="sl-SI"/>
        </w:rPr>
        <w:t>Stra</w:t>
      </w:r>
      <w:r w:rsidR="006336CB" w:rsidRPr="00462D42">
        <w:rPr>
          <w:rFonts w:cs="Arial"/>
          <w:sz w:val="20"/>
          <w:szCs w:val="20"/>
          <w:lang w:val="sl-SI"/>
        </w:rPr>
        <w:t>tegija</w:t>
      </w:r>
      <w:r w:rsidRPr="00462D42">
        <w:rPr>
          <w:rFonts w:cs="Arial"/>
          <w:sz w:val="20"/>
          <w:szCs w:val="20"/>
          <w:lang w:val="sl-SI"/>
        </w:rPr>
        <w:t xml:space="preserve"> razvoja Slovenije 2030 opredeljuje pet strateških usmeritev (vključujoča, odporna, varna in odgovorna družba, učenje za in skozi vse življenje, visoko produktivno gospodarstvo, ki ustvarja dodano vrednost za vse, ohranjeno zdravo naravno okolje, visoka stopnja sodelovanja, usposobljenosti in učinkovitosti upravljanja), ki se povezujejo z dvanajstimi cilji. Na doseganje določenih ciljev (npr. gospodarska stabilnost, konkurenčen in družbeno odgovoren podjetniški sektor, ni</w:t>
      </w:r>
      <w:r w:rsidR="00EC6C49" w:rsidRPr="00462D42">
        <w:rPr>
          <w:rFonts w:cs="Arial"/>
          <w:sz w:val="20"/>
          <w:szCs w:val="20"/>
          <w:lang w:val="sl-SI"/>
        </w:rPr>
        <w:t>zkoogljično krožno gospodarstvo</w:t>
      </w:r>
      <w:r w:rsidRPr="00462D42">
        <w:rPr>
          <w:rFonts w:cs="Arial"/>
          <w:sz w:val="20"/>
          <w:szCs w:val="20"/>
          <w:lang w:val="sl-SI"/>
        </w:rPr>
        <w:t xml:space="preserve"> itd.) se usmerjajo tudi FI, ki </w:t>
      </w:r>
      <w:r w:rsidR="00184BE9" w:rsidRPr="00462D42">
        <w:rPr>
          <w:rFonts w:cs="Arial"/>
          <w:sz w:val="20"/>
          <w:szCs w:val="20"/>
          <w:lang w:val="sl-SI"/>
        </w:rPr>
        <w:t>bodo neposredno namenjeni vrzelim na področjih raziskav, razvoj</w:t>
      </w:r>
      <w:r w:rsidR="00BE391C" w:rsidRPr="00462D42">
        <w:rPr>
          <w:rFonts w:cs="Arial"/>
          <w:sz w:val="20"/>
          <w:szCs w:val="20"/>
          <w:lang w:val="sl-SI"/>
        </w:rPr>
        <w:t>a</w:t>
      </w:r>
      <w:r w:rsidR="00184BE9" w:rsidRPr="00462D42">
        <w:rPr>
          <w:rFonts w:cs="Arial"/>
          <w:sz w:val="20"/>
          <w:szCs w:val="20"/>
          <w:lang w:val="sl-SI"/>
        </w:rPr>
        <w:t xml:space="preserve"> in inovacij</w:t>
      </w:r>
      <w:r w:rsidR="000C437D" w:rsidRPr="00462D42">
        <w:rPr>
          <w:rFonts w:cs="Arial"/>
          <w:sz w:val="20"/>
          <w:szCs w:val="20"/>
          <w:lang w:val="sl-SI"/>
        </w:rPr>
        <w:t xml:space="preserve">, </w:t>
      </w:r>
      <w:r w:rsidR="00184BE9" w:rsidRPr="00462D42">
        <w:rPr>
          <w:rFonts w:cs="Arial"/>
          <w:sz w:val="20"/>
          <w:szCs w:val="20"/>
          <w:lang w:val="sl-SI"/>
        </w:rPr>
        <w:t>malih in srednje velikih podjetij</w:t>
      </w:r>
      <w:r w:rsidR="000C437D" w:rsidRPr="00462D42">
        <w:rPr>
          <w:rFonts w:cs="Arial"/>
          <w:sz w:val="20"/>
          <w:szCs w:val="20"/>
          <w:lang w:val="sl-SI"/>
        </w:rPr>
        <w:t>, urbanega razvoja in energetske učinkovitosti</w:t>
      </w:r>
      <w:r w:rsidR="00184BE9" w:rsidRPr="00462D42">
        <w:rPr>
          <w:rFonts w:cs="Arial"/>
          <w:sz w:val="20"/>
          <w:szCs w:val="20"/>
          <w:lang w:val="sl-SI"/>
        </w:rPr>
        <w:t>.</w:t>
      </w:r>
    </w:p>
    <w:p w14:paraId="4AF73EA8" w14:textId="77777777" w:rsidR="00184BE9" w:rsidRPr="00462D42" w:rsidRDefault="00184BE9" w:rsidP="00462D42">
      <w:pPr>
        <w:spacing w:line="260" w:lineRule="exact"/>
        <w:jc w:val="both"/>
        <w:rPr>
          <w:rFonts w:cs="Arial"/>
          <w:sz w:val="20"/>
          <w:szCs w:val="20"/>
          <w:lang w:val="sl-SI"/>
        </w:rPr>
      </w:pPr>
    </w:p>
    <w:p w14:paraId="7CDF33E7" w14:textId="53DAC0D0" w:rsidR="00392822" w:rsidRPr="00462D42" w:rsidRDefault="001A3E75" w:rsidP="00462D42">
      <w:pPr>
        <w:spacing w:line="260" w:lineRule="exact"/>
        <w:jc w:val="both"/>
        <w:rPr>
          <w:rFonts w:cs="Arial"/>
          <w:sz w:val="20"/>
          <w:szCs w:val="20"/>
          <w:lang w:val="sl-SI"/>
        </w:rPr>
      </w:pPr>
      <w:r w:rsidRPr="00462D42">
        <w:rPr>
          <w:rFonts w:cs="Arial"/>
          <w:sz w:val="20"/>
          <w:szCs w:val="20"/>
          <w:lang w:val="sl-SI"/>
        </w:rPr>
        <w:t xml:space="preserve">Nacionalni reformni program podaja osnovne usmeritve in cilje, ki jih zasleduje vlada, ob spoštovanju skupnih EU pravil in omejitev pri gibanjih tako v javnih financah kot na širšem makroekonomskem področju. </w:t>
      </w:r>
      <w:r w:rsidR="00174262" w:rsidRPr="00462D42">
        <w:rPr>
          <w:rFonts w:cs="Arial"/>
          <w:sz w:val="20"/>
          <w:szCs w:val="20"/>
          <w:lang w:val="sl-SI"/>
        </w:rPr>
        <w:t>Nacionalni reformni program 2019–2020 v poglavju Financiranje podjetij navaja, da je potrebno nadaljnje razvijanje alternativnih virov financiranja za hitrorastoča podjetja, saj ti ukrepi prispevajo izboljšanju financiranja MSP in s tem k dvigu produktivnosti, večji dodani vrednosti na zaposlenega v podprtih podjetjih in k ohranjanju novih delovnih mest ter odpiranju novih.</w:t>
      </w:r>
    </w:p>
    <w:p w14:paraId="0058D051" w14:textId="2A995056" w:rsidR="00FA7969" w:rsidRPr="00462D42" w:rsidRDefault="00025D80" w:rsidP="00462D42">
      <w:pPr>
        <w:spacing w:line="260" w:lineRule="exact"/>
        <w:jc w:val="both"/>
        <w:rPr>
          <w:rFonts w:cs="Arial"/>
          <w:sz w:val="20"/>
          <w:szCs w:val="20"/>
          <w:lang w:val="sl-SI"/>
        </w:rPr>
      </w:pPr>
      <w:r w:rsidRPr="00462D42">
        <w:rPr>
          <w:rFonts w:cs="Arial"/>
          <w:sz w:val="20"/>
          <w:szCs w:val="20"/>
          <w:lang w:val="sl-SI"/>
        </w:rPr>
        <w:t xml:space="preserve"> </w:t>
      </w:r>
    </w:p>
    <w:p w14:paraId="6A3C628E" w14:textId="70180D20" w:rsidR="00FA7969" w:rsidRPr="00462D42" w:rsidRDefault="00B74EDB" w:rsidP="00462D42">
      <w:pPr>
        <w:pStyle w:val="Naslov1"/>
        <w:numPr>
          <w:ilvl w:val="0"/>
          <w:numId w:val="25"/>
        </w:numPr>
        <w:spacing w:after="0" w:line="260" w:lineRule="exact"/>
        <w:jc w:val="both"/>
        <w:rPr>
          <w:sz w:val="20"/>
          <w:szCs w:val="20"/>
          <w:lang w:val="sl-SI"/>
        </w:rPr>
      </w:pPr>
      <w:r w:rsidRPr="00462D42">
        <w:rPr>
          <w:sz w:val="20"/>
          <w:szCs w:val="20"/>
          <w:lang w:val="sl-SI"/>
        </w:rPr>
        <w:t xml:space="preserve">Oblike </w:t>
      </w:r>
      <w:r w:rsidR="00FA7969" w:rsidRPr="00462D42">
        <w:rPr>
          <w:sz w:val="20"/>
          <w:szCs w:val="20"/>
          <w:lang w:val="sl-SI"/>
        </w:rPr>
        <w:t>finančn</w:t>
      </w:r>
      <w:r w:rsidRPr="00462D42">
        <w:rPr>
          <w:sz w:val="20"/>
          <w:szCs w:val="20"/>
          <w:lang w:val="sl-SI"/>
        </w:rPr>
        <w:t>ih</w:t>
      </w:r>
      <w:r w:rsidR="00FA7969" w:rsidRPr="00462D42">
        <w:rPr>
          <w:sz w:val="20"/>
          <w:szCs w:val="20"/>
          <w:lang w:val="sl-SI"/>
        </w:rPr>
        <w:t xml:space="preserve"> </w:t>
      </w:r>
      <w:r w:rsidRPr="00462D42">
        <w:rPr>
          <w:sz w:val="20"/>
          <w:szCs w:val="20"/>
          <w:lang w:val="sl-SI"/>
        </w:rPr>
        <w:t>instrumentov</w:t>
      </w:r>
    </w:p>
    <w:p w14:paraId="299DC518" w14:textId="77777777" w:rsidR="00FA7969" w:rsidRPr="00462D42" w:rsidRDefault="00FA7969" w:rsidP="00462D42">
      <w:pPr>
        <w:spacing w:line="260" w:lineRule="exact"/>
        <w:jc w:val="both"/>
        <w:rPr>
          <w:rFonts w:cs="Arial"/>
          <w:sz w:val="20"/>
          <w:szCs w:val="20"/>
          <w:lang w:val="sl-SI"/>
        </w:rPr>
      </w:pPr>
    </w:p>
    <w:p w14:paraId="1774084F" w14:textId="5AD6B2F2" w:rsidR="00FA7969" w:rsidRPr="00462D42" w:rsidRDefault="007B364F" w:rsidP="00462D42">
      <w:pPr>
        <w:spacing w:line="260" w:lineRule="exact"/>
        <w:jc w:val="both"/>
        <w:rPr>
          <w:rFonts w:cs="Arial"/>
          <w:sz w:val="20"/>
          <w:szCs w:val="20"/>
          <w:lang w:val="sl-SI"/>
        </w:rPr>
      </w:pPr>
      <w:r w:rsidRPr="00462D42">
        <w:rPr>
          <w:rFonts w:cs="Arial"/>
          <w:sz w:val="20"/>
          <w:szCs w:val="20"/>
          <w:lang w:val="sl-SI"/>
        </w:rPr>
        <w:t xml:space="preserve">Načrt izvajanja FI temelji na Predhodni </w:t>
      </w:r>
      <w:r w:rsidR="00FA7969" w:rsidRPr="00462D42">
        <w:rPr>
          <w:rFonts w:cs="Arial"/>
          <w:sz w:val="20"/>
          <w:szCs w:val="20"/>
          <w:lang w:val="sl-SI"/>
        </w:rPr>
        <w:t>ocen</w:t>
      </w:r>
      <w:r w:rsidRPr="00462D42">
        <w:rPr>
          <w:rFonts w:cs="Arial"/>
          <w:sz w:val="20"/>
          <w:szCs w:val="20"/>
          <w:lang w:val="sl-SI"/>
        </w:rPr>
        <w:t>i</w:t>
      </w:r>
      <w:r w:rsidR="00FA7969" w:rsidRPr="00462D42">
        <w:rPr>
          <w:rFonts w:cs="Arial"/>
          <w:sz w:val="20"/>
          <w:szCs w:val="20"/>
          <w:lang w:val="sl-SI"/>
        </w:rPr>
        <w:t xml:space="preserve"> </w:t>
      </w:r>
      <w:r w:rsidR="004B2892" w:rsidRPr="00462D42">
        <w:rPr>
          <w:rFonts w:cs="Arial"/>
          <w:sz w:val="20"/>
          <w:szCs w:val="20"/>
          <w:lang w:val="sl-SI"/>
        </w:rPr>
        <w:t>FI</w:t>
      </w:r>
      <w:r w:rsidR="00FA7969" w:rsidRPr="00462D42">
        <w:rPr>
          <w:rFonts w:cs="Arial"/>
          <w:sz w:val="20"/>
          <w:szCs w:val="20"/>
          <w:lang w:val="sl-SI"/>
        </w:rPr>
        <w:t xml:space="preserve"> v Sloveniji (PWC, končno poročilo, dne 27.</w:t>
      </w:r>
      <w:r w:rsidR="0014087F">
        <w:rPr>
          <w:rFonts w:cs="Arial"/>
          <w:sz w:val="20"/>
          <w:szCs w:val="20"/>
          <w:lang w:val="sl-SI"/>
        </w:rPr>
        <w:t> </w:t>
      </w:r>
      <w:r w:rsidR="00FA7969" w:rsidRPr="00462D42">
        <w:rPr>
          <w:rFonts w:cs="Arial"/>
          <w:sz w:val="20"/>
          <w:szCs w:val="20"/>
          <w:lang w:val="sl-SI"/>
        </w:rPr>
        <w:t>11.</w:t>
      </w:r>
      <w:r w:rsidR="0014087F">
        <w:rPr>
          <w:rFonts w:cs="Arial"/>
          <w:sz w:val="20"/>
          <w:szCs w:val="20"/>
          <w:lang w:val="sl-SI"/>
        </w:rPr>
        <w:t> </w:t>
      </w:r>
      <w:r w:rsidR="00FA7969" w:rsidRPr="00462D42">
        <w:rPr>
          <w:rFonts w:cs="Arial"/>
          <w:sz w:val="20"/>
          <w:szCs w:val="20"/>
          <w:lang w:val="sl-SI"/>
        </w:rPr>
        <w:t xml:space="preserve">2015) </w:t>
      </w:r>
      <w:r w:rsidR="0014087F" w:rsidRPr="00462D42">
        <w:rPr>
          <w:rFonts w:cs="Arial"/>
          <w:sz w:val="20"/>
          <w:szCs w:val="20"/>
          <w:lang w:val="sl-SI"/>
        </w:rPr>
        <w:t>(</w:t>
      </w:r>
      <w:r w:rsidR="0014087F">
        <w:rPr>
          <w:rFonts w:cs="Arial"/>
          <w:sz w:val="20"/>
          <w:szCs w:val="20"/>
          <w:lang w:val="sl-SI"/>
        </w:rPr>
        <w:t xml:space="preserve">v nadaljnjem besedilu: </w:t>
      </w:r>
      <w:r w:rsidR="00FA7969" w:rsidRPr="00462D42">
        <w:rPr>
          <w:rFonts w:cs="Arial"/>
          <w:sz w:val="20"/>
          <w:szCs w:val="20"/>
          <w:lang w:val="sl-SI"/>
        </w:rPr>
        <w:t>predhodna ocena) in Analiz</w:t>
      </w:r>
      <w:r w:rsidRPr="00462D42">
        <w:rPr>
          <w:rFonts w:cs="Arial"/>
          <w:sz w:val="20"/>
          <w:szCs w:val="20"/>
          <w:lang w:val="sl-SI"/>
        </w:rPr>
        <w:t>i</w:t>
      </w:r>
      <w:r w:rsidR="00FA7969" w:rsidRPr="00462D42">
        <w:rPr>
          <w:rFonts w:cs="Arial"/>
          <w:sz w:val="20"/>
          <w:szCs w:val="20"/>
          <w:lang w:val="sl-SI"/>
        </w:rPr>
        <w:t xml:space="preserve"> Evropske investicijske banke</w:t>
      </w:r>
      <w:r w:rsidRPr="00462D42">
        <w:rPr>
          <w:rFonts w:cs="Arial"/>
          <w:sz w:val="20"/>
          <w:szCs w:val="20"/>
          <w:lang w:val="sl-SI"/>
        </w:rPr>
        <w:t>, kjer</w:t>
      </w:r>
      <w:r w:rsidR="00FA7969" w:rsidRPr="00462D42">
        <w:rPr>
          <w:rFonts w:cs="Arial"/>
          <w:sz w:val="20"/>
          <w:szCs w:val="20"/>
          <w:lang w:val="sl-SI"/>
        </w:rPr>
        <w:t xml:space="preserve"> je bilo ugotovljeno, da obstajajo finančne vrzeli za izvajanje FI na področjih RRI, MSP, energetske učinkovitosti ter urbanega razvoja:</w:t>
      </w:r>
    </w:p>
    <w:p w14:paraId="596F6A9B" w14:textId="6A113459" w:rsidR="00FA7969" w:rsidRPr="00462D42" w:rsidRDefault="0014087F" w:rsidP="0014087F">
      <w:pPr>
        <w:pStyle w:val="Naslov2"/>
        <w:keepLines/>
        <w:numPr>
          <w:ilvl w:val="0"/>
          <w:numId w:val="0"/>
        </w:numPr>
        <w:spacing w:after="0" w:line="260" w:lineRule="exact"/>
        <w:jc w:val="both"/>
        <w:rPr>
          <w:sz w:val="20"/>
          <w:szCs w:val="20"/>
          <w:lang w:val="sl-SI"/>
        </w:rPr>
      </w:pPr>
      <w:r>
        <w:rPr>
          <w:sz w:val="20"/>
          <w:szCs w:val="20"/>
          <w:lang w:val="sl-SI"/>
        </w:rPr>
        <w:t>–</w:t>
      </w:r>
      <w:r>
        <w:rPr>
          <w:sz w:val="20"/>
          <w:szCs w:val="20"/>
          <w:lang w:val="sl-SI"/>
        </w:rPr>
        <w:tab/>
      </w:r>
      <w:r w:rsidR="00FA7969" w:rsidRPr="00462D42">
        <w:rPr>
          <w:sz w:val="20"/>
          <w:szCs w:val="20"/>
          <w:lang w:val="sl-SI"/>
        </w:rPr>
        <w:t>Raziskave, razvoj in inovacije (RRI)</w:t>
      </w:r>
    </w:p>
    <w:p w14:paraId="2259A715" w14:textId="490E050C"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Vlaganje v RRI je v Sloveniji ključnega pomena za razvoj podjetij. Intenzivnost investicij v raziskave in razvoj v Sloveniji, ki je povezana z bruto izdatki za razvoj in raziskave, se je v zadnjem desetletju povečala.</w:t>
      </w:r>
    </w:p>
    <w:p w14:paraId="646BA43F" w14:textId="23736A69" w:rsidR="00FA7969" w:rsidRPr="00462D42" w:rsidRDefault="0014087F" w:rsidP="0014087F">
      <w:pPr>
        <w:pStyle w:val="Naslov2"/>
        <w:keepLines/>
        <w:numPr>
          <w:ilvl w:val="0"/>
          <w:numId w:val="0"/>
        </w:numPr>
        <w:spacing w:after="0" w:line="260" w:lineRule="exact"/>
        <w:jc w:val="both"/>
        <w:rPr>
          <w:sz w:val="20"/>
          <w:szCs w:val="20"/>
          <w:lang w:val="sl-SI"/>
        </w:rPr>
      </w:pPr>
      <w:r>
        <w:rPr>
          <w:sz w:val="20"/>
          <w:szCs w:val="20"/>
          <w:lang w:val="sl-SI"/>
        </w:rPr>
        <w:t>–</w:t>
      </w:r>
      <w:r>
        <w:rPr>
          <w:sz w:val="20"/>
          <w:szCs w:val="20"/>
          <w:lang w:val="sl-SI"/>
        </w:rPr>
        <w:tab/>
      </w:r>
      <w:r w:rsidR="00FA7969" w:rsidRPr="00462D42">
        <w:rPr>
          <w:sz w:val="20"/>
          <w:szCs w:val="20"/>
          <w:lang w:val="sl-SI"/>
        </w:rPr>
        <w:t>Mala in srednje velika podjetja (MSP)</w:t>
      </w:r>
    </w:p>
    <w:p w14:paraId="1088FA01" w14:textId="240E559E"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Glavni izziv pri ohranjanju gospodarske rasti in konkurenčnosti je krepitev sposobnosti in zmogljivosti podjetij ter njihove zmožnosti odziva na družbene izzive. Na strani ponudbe je analiza izpostavila, da se komercialne banke ne soočajo z likvidnostnimi težavami, vendar so kljub temu posojila pripravljene dajati le stabilnim MSP z zanesljivimi prihodnjimi denarnimi tokovi. Na strani povpraševanja je ugotovljeno, da MSP potrebujejo obratni kapital, da bi kratkoročno ostali operativni. Ugotovitve potencialnih vrzeli financiranja razkrivajo težave MSP pri dostopanju do kratkoročnega posojilnega financiranja. MSP pa uporabljajo srednje in dolgoročno dolžniško financiranje v Sloveniji. Posojila potrebujejo tako za financiranje obnove opreme kot tudi za investic</w:t>
      </w:r>
      <w:r w:rsidR="00EC6C49" w:rsidRPr="00462D42">
        <w:rPr>
          <w:rFonts w:cs="Arial"/>
          <w:sz w:val="20"/>
          <w:szCs w:val="20"/>
          <w:lang w:val="sl-SI"/>
        </w:rPr>
        <w:t>ije in širjenje dejavnosti.</w:t>
      </w:r>
    </w:p>
    <w:p w14:paraId="71EBA82A" w14:textId="4E90E9E6" w:rsidR="00FA7969" w:rsidRPr="00462D42" w:rsidRDefault="0014087F" w:rsidP="0014087F">
      <w:pPr>
        <w:pStyle w:val="Naslov2"/>
        <w:keepLines/>
        <w:numPr>
          <w:ilvl w:val="0"/>
          <w:numId w:val="0"/>
        </w:numPr>
        <w:spacing w:after="0" w:line="260" w:lineRule="exact"/>
        <w:jc w:val="both"/>
        <w:rPr>
          <w:sz w:val="20"/>
          <w:szCs w:val="20"/>
          <w:lang w:val="sl-SI"/>
        </w:rPr>
      </w:pPr>
      <w:r>
        <w:rPr>
          <w:sz w:val="20"/>
          <w:szCs w:val="20"/>
          <w:lang w:val="sl-SI"/>
        </w:rPr>
        <w:t>–</w:t>
      </w:r>
      <w:r>
        <w:rPr>
          <w:sz w:val="20"/>
          <w:szCs w:val="20"/>
          <w:lang w:val="sl-SI"/>
        </w:rPr>
        <w:tab/>
      </w:r>
      <w:r w:rsidR="00FA7969" w:rsidRPr="00462D42">
        <w:rPr>
          <w:sz w:val="20"/>
          <w:szCs w:val="20"/>
          <w:lang w:val="sl-SI"/>
        </w:rPr>
        <w:t>Energetska učinkovitost</w:t>
      </w:r>
      <w:r w:rsidR="00DA2C30" w:rsidRPr="00462D42">
        <w:rPr>
          <w:sz w:val="20"/>
          <w:szCs w:val="20"/>
          <w:lang w:val="sl-SI"/>
        </w:rPr>
        <w:t xml:space="preserve"> (EE)</w:t>
      </w:r>
    </w:p>
    <w:p w14:paraId="789F4F1C" w14:textId="77777777"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Izboljšave na področju energetske učinkovitosti bi pripomogle k zmanjšanju splošnih emisij, kot tudi sprožile dodatne naložbe in ustvarile nova delovna mesta. Slovenska vlada je objavila več poročil, ki potrjujejo jasno zavezo k izboljšavam na tem področju, skladno s cilji in glavnimi strateškimi dokumenti na ravni EU, kot so na primer Evropa 2020, Časovni načrt za prehod na nizkoogljični energetski sistem do leta 2050, ter drugimi relevantnimi evropskimi predpisi, povezanimi z energijo.</w:t>
      </w:r>
    </w:p>
    <w:p w14:paraId="12AAEF1E" w14:textId="0388D918" w:rsidR="00FA7969" w:rsidRPr="00462D42" w:rsidRDefault="0014087F" w:rsidP="0014087F">
      <w:pPr>
        <w:pStyle w:val="Naslov2"/>
        <w:keepLines/>
        <w:numPr>
          <w:ilvl w:val="0"/>
          <w:numId w:val="0"/>
        </w:numPr>
        <w:spacing w:after="0" w:line="260" w:lineRule="exact"/>
        <w:jc w:val="both"/>
        <w:rPr>
          <w:sz w:val="20"/>
          <w:szCs w:val="20"/>
          <w:lang w:val="sl-SI"/>
        </w:rPr>
      </w:pPr>
      <w:r>
        <w:rPr>
          <w:sz w:val="20"/>
          <w:szCs w:val="20"/>
          <w:lang w:val="sl-SI"/>
        </w:rPr>
        <w:t>–</w:t>
      </w:r>
      <w:r>
        <w:rPr>
          <w:sz w:val="20"/>
          <w:szCs w:val="20"/>
          <w:lang w:val="sl-SI"/>
        </w:rPr>
        <w:tab/>
      </w:r>
      <w:r w:rsidR="00FA7969" w:rsidRPr="00462D42">
        <w:rPr>
          <w:sz w:val="20"/>
          <w:szCs w:val="20"/>
          <w:lang w:val="sl-SI"/>
        </w:rPr>
        <w:t>Urbani razvoj</w:t>
      </w:r>
      <w:r w:rsidR="00DA2C30" w:rsidRPr="00462D42">
        <w:rPr>
          <w:sz w:val="20"/>
          <w:szCs w:val="20"/>
          <w:lang w:val="sl-SI"/>
        </w:rPr>
        <w:t xml:space="preserve"> (UR)</w:t>
      </w:r>
    </w:p>
    <w:p w14:paraId="60C07257" w14:textId="1AD07824" w:rsidR="00FC4417" w:rsidRPr="00462D42" w:rsidRDefault="00FC4417" w:rsidP="00462D42">
      <w:pPr>
        <w:spacing w:line="260" w:lineRule="exact"/>
        <w:jc w:val="both"/>
        <w:rPr>
          <w:rFonts w:cs="Arial"/>
          <w:sz w:val="20"/>
          <w:szCs w:val="20"/>
          <w:lang w:val="sl-SI"/>
        </w:rPr>
      </w:pPr>
      <w:r w:rsidRPr="00462D42">
        <w:rPr>
          <w:rFonts w:cs="Arial"/>
          <w:sz w:val="20"/>
          <w:szCs w:val="20"/>
          <w:lang w:val="sl-SI"/>
        </w:rPr>
        <w:t>Mesta in druga urbana naselja predstavljajo temelj slovenskega poselitvenega sistema. Mestni življenjski slog je prisoten na večini poseljenega slovenskega ozemlja in povezuje urbana središča v tipičen policentričen sistem. Sklad za financiranje urbanega</w:t>
      </w:r>
      <w:r w:rsidR="00C13896" w:rsidRPr="00462D42">
        <w:rPr>
          <w:rFonts w:cs="Arial"/>
          <w:sz w:val="20"/>
          <w:szCs w:val="20"/>
          <w:lang w:val="sl-SI"/>
        </w:rPr>
        <w:t xml:space="preserve"> </w:t>
      </w:r>
      <w:r w:rsidRPr="00462D42">
        <w:rPr>
          <w:rFonts w:cs="Arial"/>
          <w:sz w:val="20"/>
          <w:szCs w:val="20"/>
          <w:lang w:val="sl-SI"/>
        </w:rPr>
        <w:t xml:space="preserve">razvoja bo zagotovil posojila za občine, regionalne in lokalne organe, podjetja za javne storitve in nosilce nepremičninskih projektov za izvajanje trajnostnih urbanih strategij, </w:t>
      </w:r>
      <w:r w:rsidR="00CD58D4" w:rsidRPr="00462D42">
        <w:rPr>
          <w:rFonts w:cs="Arial"/>
          <w:sz w:val="20"/>
          <w:szCs w:val="20"/>
          <w:lang w:val="sl-SI"/>
        </w:rPr>
        <w:t>ki so bile pripravljene v 11 mestnih občinah</w:t>
      </w:r>
      <w:r w:rsidRPr="00462D42">
        <w:rPr>
          <w:rFonts w:cs="Arial"/>
          <w:sz w:val="20"/>
          <w:szCs w:val="20"/>
          <w:lang w:val="sl-SI"/>
        </w:rPr>
        <w:t xml:space="preserve">. </w:t>
      </w:r>
    </w:p>
    <w:p w14:paraId="5058C991" w14:textId="11A4FF13" w:rsidR="00D51F37" w:rsidRPr="00462D42" w:rsidRDefault="00D51F37" w:rsidP="00462D42">
      <w:pPr>
        <w:spacing w:line="260" w:lineRule="exact"/>
        <w:jc w:val="both"/>
        <w:rPr>
          <w:rFonts w:cs="Arial"/>
          <w:sz w:val="20"/>
          <w:szCs w:val="20"/>
          <w:lang w:val="sl-SI"/>
        </w:rPr>
      </w:pPr>
    </w:p>
    <w:p w14:paraId="5D1CE03E" w14:textId="052E3511"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Za FI s</w:t>
      </w:r>
      <w:r w:rsidR="00637FF5" w:rsidRPr="00462D42">
        <w:rPr>
          <w:rFonts w:cs="Arial"/>
          <w:sz w:val="20"/>
          <w:szCs w:val="20"/>
          <w:lang w:val="sl-SI"/>
        </w:rPr>
        <w:t>o predvidena sredstva v okviru o</w:t>
      </w:r>
      <w:r w:rsidRPr="00462D42">
        <w:rPr>
          <w:rFonts w:cs="Arial"/>
          <w:sz w:val="20"/>
          <w:szCs w:val="20"/>
          <w:lang w:val="sl-SI"/>
        </w:rPr>
        <w:t xml:space="preserve">perativnega programa </w:t>
      </w:r>
      <w:r w:rsidR="00B74EDB" w:rsidRPr="00462D42">
        <w:rPr>
          <w:rFonts w:cs="Arial"/>
          <w:sz w:val="20"/>
          <w:szCs w:val="20"/>
          <w:lang w:val="sl-SI"/>
        </w:rPr>
        <w:t>skladno s P</w:t>
      </w:r>
      <w:r w:rsidR="00637FF5" w:rsidRPr="00462D42">
        <w:rPr>
          <w:rFonts w:cs="Arial"/>
          <w:sz w:val="20"/>
          <w:szCs w:val="20"/>
          <w:lang w:val="sl-SI"/>
        </w:rPr>
        <w:t>redhodno oceno</w:t>
      </w:r>
      <w:r w:rsidR="00B74EDB" w:rsidRPr="00462D42">
        <w:rPr>
          <w:rFonts w:cs="Arial"/>
          <w:sz w:val="20"/>
          <w:szCs w:val="20"/>
          <w:lang w:val="sl-SI"/>
        </w:rPr>
        <w:t xml:space="preserve"> FI</w:t>
      </w:r>
      <w:r w:rsidR="00637FF5" w:rsidRPr="00462D42">
        <w:rPr>
          <w:rFonts w:cs="Arial"/>
          <w:sz w:val="20"/>
          <w:szCs w:val="20"/>
          <w:lang w:val="sl-SI"/>
        </w:rPr>
        <w:t>. Cilj</w:t>
      </w:r>
      <w:r w:rsidR="00CC17D0">
        <w:rPr>
          <w:rFonts w:cs="Arial"/>
          <w:sz w:val="20"/>
          <w:szCs w:val="20"/>
          <w:lang w:val="sl-SI"/>
        </w:rPr>
        <w:t>i</w:t>
      </w:r>
      <w:r w:rsidR="00637FF5" w:rsidRPr="00462D42">
        <w:rPr>
          <w:rFonts w:cs="Arial"/>
          <w:sz w:val="20"/>
          <w:szCs w:val="20"/>
          <w:lang w:val="sl-SI"/>
        </w:rPr>
        <w:t xml:space="preserve"> operativnega programa zadevajo spodbujanje</w:t>
      </w:r>
      <w:r w:rsidRPr="00462D42">
        <w:rPr>
          <w:rFonts w:cs="Arial"/>
          <w:sz w:val="20"/>
          <w:szCs w:val="20"/>
          <w:lang w:val="sl-SI"/>
        </w:rPr>
        <w:t xml:space="preserve"> hitro rastočih in inovativnih podjetij, pa tudi drugih pravno-organizacijskih oblik poslovnih subjektov,</w:t>
      </w:r>
      <w:r w:rsidR="00637FF5" w:rsidRPr="00462D42">
        <w:rPr>
          <w:rFonts w:cs="Arial"/>
          <w:sz w:val="20"/>
          <w:szCs w:val="20"/>
          <w:lang w:val="sl-SI"/>
        </w:rPr>
        <w:t xml:space="preserve"> prek </w:t>
      </w:r>
      <w:r w:rsidRPr="00462D42">
        <w:rPr>
          <w:rFonts w:cs="Arial"/>
          <w:sz w:val="20"/>
          <w:szCs w:val="20"/>
          <w:lang w:val="sl-SI"/>
        </w:rPr>
        <w:t>razvoj</w:t>
      </w:r>
      <w:r w:rsidR="00637FF5" w:rsidRPr="00462D42">
        <w:rPr>
          <w:rFonts w:cs="Arial"/>
          <w:sz w:val="20"/>
          <w:szCs w:val="20"/>
          <w:lang w:val="sl-SI"/>
        </w:rPr>
        <w:t>a</w:t>
      </w:r>
      <w:r w:rsidRPr="00462D42">
        <w:rPr>
          <w:rFonts w:cs="Arial"/>
          <w:sz w:val="20"/>
          <w:szCs w:val="20"/>
          <w:lang w:val="sl-SI"/>
        </w:rPr>
        <w:t xml:space="preserve"> trga dolžniškega in la</w:t>
      </w:r>
      <w:r w:rsidR="00637FF5" w:rsidRPr="00462D42">
        <w:rPr>
          <w:rFonts w:cs="Arial"/>
          <w:sz w:val="20"/>
          <w:szCs w:val="20"/>
          <w:lang w:val="sl-SI"/>
        </w:rPr>
        <w:t>stniškega financiranja ter višjo dodano</w:t>
      </w:r>
      <w:r w:rsidRPr="00462D42">
        <w:rPr>
          <w:rFonts w:cs="Arial"/>
          <w:sz w:val="20"/>
          <w:szCs w:val="20"/>
          <w:lang w:val="sl-SI"/>
        </w:rPr>
        <w:t xml:space="preserve"> vrednost na zaposlenega,</w:t>
      </w:r>
      <w:r w:rsidR="00637FF5" w:rsidRPr="00462D42">
        <w:rPr>
          <w:rFonts w:cs="Arial"/>
          <w:sz w:val="20"/>
          <w:szCs w:val="20"/>
          <w:lang w:val="sl-SI"/>
        </w:rPr>
        <w:t xml:space="preserve"> kot tudi</w:t>
      </w:r>
      <w:r w:rsidRPr="00462D42">
        <w:rPr>
          <w:rFonts w:cs="Arial"/>
          <w:sz w:val="20"/>
          <w:szCs w:val="20"/>
          <w:lang w:val="sl-SI"/>
        </w:rPr>
        <w:t xml:space="preserve"> p</w:t>
      </w:r>
      <w:r w:rsidR="00637FF5" w:rsidRPr="00462D42">
        <w:rPr>
          <w:rFonts w:cs="Arial"/>
          <w:sz w:val="20"/>
          <w:szCs w:val="20"/>
          <w:lang w:val="sl-SI"/>
        </w:rPr>
        <w:t xml:space="preserve">ovečanje števila delovnih mest. </w:t>
      </w:r>
      <w:r w:rsidR="000B7F61" w:rsidRPr="00462D42">
        <w:rPr>
          <w:rFonts w:cs="Arial"/>
          <w:sz w:val="20"/>
          <w:szCs w:val="20"/>
          <w:lang w:val="sl-SI"/>
        </w:rPr>
        <w:t xml:space="preserve">Koristi in prispevek izvajanja operacije FI k ciljem </w:t>
      </w:r>
      <w:r w:rsidR="00637FF5" w:rsidRPr="00462D42">
        <w:rPr>
          <w:rFonts w:cs="Arial"/>
          <w:sz w:val="20"/>
          <w:szCs w:val="20"/>
          <w:lang w:val="sl-SI"/>
        </w:rPr>
        <w:t xml:space="preserve">operativnega programa so </w:t>
      </w:r>
      <w:r w:rsidR="000B7F61" w:rsidRPr="00462D42">
        <w:rPr>
          <w:rFonts w:cs="Arial"/>
          <w:sz w:val="20"/>
          <w:szCs w:val="20"/>
          <w:lang w:val="sl-SI"/>
        </w:rPr>
        <w:t>opredeljeni vkl</w:t>
      </w:r>
      <w:r w:rsidR="00AD655B" w:rsidRPr="00462D42">
        <w:rPr>
          <w:rFonts w:cs="Arial"/>
          <w:sz w:val="20"/>
          <w:szCs w:val="20"/>
          <w:lang w:val="sl-SI"/>
        </w:rPr>
        <w:t>jučno s kazalniki v operaciji »Finančni instrumenti 2014</w:t>
      </w:r>
      <w:r w:rsidR="0014087F">
        <w:rPr>
          <w:rFonts w:cs="Arial"/>
          <w:sz w:val="20"/>
          <w:szCs w:val="20"/>
          <w:lang w:val="sl-SI"/>
        </w:rPr>
        <w:t>–</w:t>
      </w:r>
      <w:r w:rsidR="00AD655B" w:rsidRPr="00462D42">
        <w:rPr>
          <w:rFonts w:cs="Arial"/>
          <w:sz w:val="20"/>
          <w:szCs w:val="20"/>
          <w:lang w:val="sl-SI"/>
        </w:rPr>
        <w:t>2020«</w:t>
      </w:r>
      <w:r w:rsidR="00A0634F" w:rsidRPr="00462D42">
        <w:rPr>
          <w:rFonts w:cs="Arial"/>
          <w:sz w:val="20"/>
          <w:szCs w:val="20"/>
          <w:lang w:val="sl-SI"/>
        </w:rPr>
        <w:t xml:space="preserve"> in </w:t>
      </w:r>
      <w:proofErr w:type="spellStart"/>
      <w:r w:rsidR="00A0634F" w:rsidRPr="00462D42">
        <w:rPr>
          <w:rFonts w:cs="Arial"/>
          <w:sz w:val="20"/>
          <w:szCs w:val="20"/>
          <w:lang w:val="sl-SI"/>
        </w:rPr>
        <w:t>SoF</w:t>
      </w:r>
      <w:proofErr w:type="spellEnd"/>
      <w:r w:rsidR="00A0634F" w:rsidRPr="00462D42">
        <w:rPr>
          <w:rFonts w:cs="Arial"/>
          <w:sz w:val="20"/>
          <w:szCs w:val="20"/>
          <w:lang w:val="sl-SI"/>
        </w:rPr>
        <w:t>.</w:t>
      </w:r>
    </w:p>
    <w:p w14:paraId="37D3A016" w14:textId="77777777" w:rsidR="00FA7969" w:rsidRPr="00462D42" w:rsidRDefault="00FA7969" w:rsidP="00462D42">
      <w:pPr>
        <w:spacing w:line="260" w:lineRule="exact"/>
        <w:jc w:val="both"/>
        <w:rPr>
          <w:rFonts w:cs="Arial"/>
          <w:sz w:val="20"/>
          <w:szCs w:val="20"/>
          <w:lang w:val="sl-SI"/>
        </w:rPr>
      </w:pPr>
    </w:p>
    <w:p w14:paraId="4CB1459B" w14:textId="4178BB84" w:rsidR="00FA7969" w:rsidRPr="00462D42" w:rsidRDefault="000647AD" w:rsidP="00462D42">
      <w:pPr>
        <w:spacing w:line="260" w:lineRule="exact"/>
        <w:jc w:val="both"/>
        <w:rPr>
          <w:rFonts w:cs="Arial"/>
          <w:sz w:val="20"/>
          <w:szCs w:val="20"/>
          <w:lang w:val="sl-SI"/>
        </w:rPr>
      </w:pPr>
      <w:r w:rsidRPr="00462D42">
        <w:rPr>
          <w:rFonts w:cs="Arial"/>
          <w:sz w:val="20"/>
          <w:szCs w:val="20"/>
          <w:lang w:val="sl-SI"/>
        </w:rPr>
        <w:t>Operativni program</w:t>
      </w:r>
      <w:r w:rsidR="00FA7969" w:rsidRPr="00462D42">
        <w:rPr>
          <w:rFonts w:cs="Arial"/>
          <w:sz w:val="20"/>
          <w:szCs w:val="20"/>
          <w:lang w:val="sl-SI"/>
        </w:rPr>
        <w:t xml:space="preserve"> načrtuje izvedbo FI na štirih prednostnih naložbah:</w:t>
      </w:r>
    </w:p>
    <w:p w14:paraId="47C82E70" w14:textId="2CC1F2F8" w:rsidR="00FA7969" w:rsidRPr="0014087F" w:rsidRDefault="0014087F" w:rsidP="0014087F">
      <w:pPr>
        <w:spacing w:line="260" w:lineRule="exact"/>
        <w:ind w:left="709" w:hanging="709"/>
        <w:jc w:val="both"/>
        <w:rPr>
          <w:rFonts w:cs="Arial"/>
          <w:sz w:val="20"/>
          <w:szCs w:val="20"/>
          <w:lang w:val="sl-SI"/>
        </w:rPr>
      </w:pPr>
      <w:r>
        <w:rPr>
          <w:rFonts w:cs="Arial"/>
          <w:sz w:val="20"/>
          <w:szCs w:val="20"/>
          <w:lang w:val="sl-SI"/>
        </w:rPr>
        <w:t>–</w:t>
      </w:r>
      <w:r>
        <w:rPr>
          <w:rFonts w:cs="Arial"/>
          <w:sz w:val="20"/>
          <w:szCs w:val="20"/>
          <w:lang w:val="sl-SI"/>
        </w:rPr>
        <w:tab/>
      </w:r>
      <w:r w:rsidR="00FA7969" w:rsidRPr="0014087F">
        <w:rPr>
          <w:rFonts w:cs="Arial"/>
          <w:sz w:val="20"/>
          <w:szCs w:val="20"/>
          <w:lang w:val="sl-SI"/>
        </w:rPr>
        <w:t>1.2 Spodbujanje naložb podjetij v raziskave in inovacije ter vzpostavljanje povezav in sinergij med podjetji, centri za raziskave in razvoj ter visokošolskim izobraževalnim sektorjem;</w:t>
      </w:r>
    </w:p>
    <w:p w14:paraId="65AA6470" w14:textId="03E3380B" w:rsidR="00FA7969" w:rsidRPr="0014087F" w:rsidRDefault="0014087F" w:rsidP="0014087F">
      <w:pPr>
        <w:spacing w:line="260" w:lineRule="exact"/>
        <w:ind w:left="709" w:hanging="709"/>
        <w:jc w:val="both"/>
        <w:rPr>
          <w:rFonts w:cs="Arial"/>
          <w:sz w:val="20"/>
          <w:szCs w:val="20"/>
          <w:lang w:val="sl-SI"/>
        </w:rPr>
      </w:pPr>
      <w:r>
        <w:rPr>
          <w:rFonts w:cs="Arial"/>
          <w:sz w:val="20"/>
          <w:szCs w:val="20"/>
          <w:lang w:val="sl-SI"/>
        </w:rPr>
        <w:t>–</w:t>
      </w:r>
      <w:r>
        <w:rPr>
          <w:rFonts w:cs="Arial"/>
          <w:sz w:val="20"/>
          <w:szCs w:val="20"/>
          <w:lang w:val="sl-SI"/>
        </w:rPr>
        <w:tab/>
      </w:r>
      <w:r w:rsidR="00FA7969" w:rsidRPr="0014087F">
        <w:rPr>
          <w:rFonts w:cs="Arial"/>
          <w:sz w:val="20"/>
          <w:szCs w:val="20"/>
          <w:lang w:val="sl-SI"/>
        </w:rPr>
        <w:t>3.1 Spodbujanje podjetništva, zlasti z omogočanjem lažje gospodarske izrabe novih idej in spodbujanjem ustanavljanja novih podjetij, vključno s podjetniškimi inkubatorji;</w:t>
      </w:r>
    </w:p>
    <w:p w14:paraId="54DC1027" w14:textId="6DCA1C12" w:rsidR="00FA7969" w:rsidRPr="0014087F" w:rsidRDefault="0014087F" w:rsidP="0014087F">
      <w:pPr>
        <w:spacing w:line="260" w:lineRule="exact"/>
        <w:ind w:left="709" w:hanging="709"/>
        <w:jc w:val="both"/>
        <w:rPr>
          <w:rFonts w:cs="Arial"/>
          <w:sz w:val="20"/>
          <w:szCs w:val="20"/>
          <w:lang w:val="sl-SI"/>
        </w:rPr>
      </w:pPr>
      <w:r>
        <w:rPr>
          <w:rFonts w:cs="Arial"/>
          <w:sz w:val="20"/>
          <w:szCs w:val="20"/>
          <w:lang w:val="sl-SI"/>
        </w:rPr>
        <w:lastRenderedPageBreak/>
        <w:t>–</w:t>
      </w:r>
      <w:r>
        <w:rPr>
          <w:rFonts w:cs="Arial"/>
          <w:sz w:val="20"/>
          <w:szCs w:val="20"/>
          <w:lang w:val="sl-SI"/>
        </w:rPr>
        <w:tab/>
      </w:r>
      <w:r w:rsidR="00FA7969" w:rsidRPr="0014087F">
        <w:rPr>
          <w:rFonts w:cs="Arial"/>
          <w:sz w:val="20"/>
          <w:szCs w:val="20"/>
          <w:lang w:val="sl-SI"/>
        </w:rPr>
        <w:t>4.1 Spodbujanje energetske učinkovitosti, pametnega upravljanja z energijo in uporab</w:t>
      </w:r>
      <w:r w:rsidR="006D5D4C" w:rsidRPr="0014087F">
        <w:rPr>
          <w:rFonts w:cs="Arial"/>
          <w:sz w:val="20"/>
          <w:szCs w:val="20"/>
          <w:lang w:val="sl-SI"/>
        </w:rPr>
        <w:t>e</w:t>
      </w:r>
      <w:r w:rsidR="00FA7969" w:rsidRPr="0014087F">
        <w:rPr>
          <w:rFonts w:cs="Arial"/>
          <w:sz w:val="20"/>
          <w:szCs w:val="20"/>
          <w:lang w:val="sl-SI"/>
        </w:rPr>
        <w:t xml:space="preserve"> obnovljivih virov energije v javni infrastrukturi, vključno z javnimi stavbami, in stanovanjskem sektorju;</w:t>
      </w:r>
    </w:p>
    <w:p w14:paraId="19647E7D" w14:textId="4E17159C" w:rsidR="00FA7969" w:rsidRPr="0014087F" w:rsidRDefault="0014087F" w:rsidP="0014087F">
      <w:pPr>
        <w:spacing w:line="260" w:lineRule="exact"/>
        <w:ind w:left="709" w:hanging="709"/>
        <w:jc w:val="both"/>
        <w:rPr>
          <w:rFonts w:cs="Arial"/>
          <w:sz w:val="20"/>
          <w:szCs w:val="20"/>
          <w:lang w:val="sl-SI"/>
        </w:rPr>
      </w:pPr>
      <w:r>
        <w:rPr>
          <w:rFonts w:cs="Arial"/>
          <w:sz w:val="20"/>
          <w:szCs w:val="20"/>
          <w:lang w:val="sl-SI"/>
        </w:rPr>
        <w:t>–</w:t>
      </w:r>
      <w:r>
        <w:rPr>
          <w:rFonts w:cs="Arial"/>
          <w:sz w:val="20"/>
          <w:szCs w:val="20"/>
          <w:lang w:val="sl-SI"/>
        </w:rPr>
        <w:tab/>
      </w:r>
      <w:r w:rsidR="00FA7969" w:rsidRPr="0014087F">
        <w:rPr>
          <w:rFonts w:cs="Arial"/>
          <w:sz w:val="20"/>
          <w:szCs w:val="20"/>
          <w:lang w:val="sl-SI"/>
        </w:rPr>
        <w:t>6.3 Ukrepi za izboljšanje urbanega okolja, oživitev mest, sanacijo in dekontaminacijo degradiranih zemljišč (vključno z območji, na katerih poteka preobrazba), zmanjšanje onesnaženosti zraka in spodbujanje ukrepov za zmanjšanje hrupa.</w:t>
      </w:r>
    </w:p>
    <w:p w14:paraId="3F553E7A" w14:textId="77777777" w:rsidR="00FA7969" w:rsidRPr="00462D42" w:rsidRDefault="00FA7969" w:rsidP="00462D42">
      <w:pPr>
        <w:spacing w:line="260" w:lineRule="exact"/>
        <w:jc w:val="both"/>
        <w:rPr>
          <w:rFonts w:cs="Arial"/>
          <w:sz w:val="20"/>
          <w:szCs w:val="20"/>
          <w:lang w:val="sl-SI"/>
        </w:rPr>
      </w:pPr>
    </w:p>
    <w:p w14:paraId="1B072C5F" w14:textId="00E228C8"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 xml:space="preserve">Višina pravic porabe v finančni perspektivi </w:t>
      </w:r>
      <w:r w:rsidR="004F0A95" w:rsidRPr="00462D42">
        <w:rPr>
          <w:rFonts w:cs="Arial"/>
          <w:sz w:val="20"/>
          <w:szCs w:val="20"/>
          <w:lang w:val="sl-SI"/>
        </w:rPr>
        <w:t>2014–2020</w:t>
      </w:r>
      <w:r w:rsidRPr="00462D42">
        <w:rPr>
          <w:rFonts w:cs="Arial"/>
          <w:sz w:val="20"/>
          <w:szCs w:val="20"/>
          <w:lang w:val="sl-SI"/>
        </w:rPr>
        <w:t xml:space="preserve"> na ravni posamezne prednostne naložbe </w:t>
      </w:r>
      <w:r w:rsidR="00667628" w:rsidRPr="00462D42">
        <w:rPr>
          <w:rFonts w:cs="Arial"/>
          <w:sz w:val="20"/>
          <w:szCs w:val="20"/>
          <w:lang w:val="sl-SI"/>
        </w:rPr>
        <w:t xml:space="preserve">operativnega </w:t>
      </w:r>
      <w:r w:rsidRPr="00462D42">
        <w:rPr>
          <w:rFonts w:cs="Arial"/>
          <w:sz w:val="20"/>
          <w:szCs w:val="20"/>
          <w:lang w:val="sl-SI"/>
        </w:rPr>
        <w:t xml:space="preserve">programa je prikazana po </w:t>
      </w:r>
      <w:r w:rsidR="00301F85" w:rsidRPr="00462D42">
        <w:rPr>
          <w:rFonts w:cs="Arial"/>
          <w:sz w:val="20"/>
          <w:szCs w:val="20"/>
          <w:lang w:val="sl-SI"/>
        </w:rPr>
        <w:t>prednostni naložbi</w:t>
      </w:r>
      <w:r w:rsidRPr="00462D42">
        <w:rPr>
          <w:rFonts w:cs="Arial"/>
          <w:sz w:val="20"/>
          <w:szCs w:val="20"/>
          <w:lang w:val="sl-SI"/>
        </w:rPr>
        <w:t xml:space="preserve"> </w:t>
      </w:r>
      <w:r w:rsidR="00667628" w:rsidRPr="00462D42">
        <w:rPr>
          <w:rFonts w:cs="Arial"/>
          <w:sz w:val="20"/>
          <w:szCs w:val="20"/>
          <w:lang w:val="sl-SI"/>
        </w:rPr>
        <w:t xml:space="preserve">v </w:t>
      </w:r>
      <w:r w:rsidR="00CC17D0">
        <w:rPr>
          <w:rFonts w:cs="Arial"/>
          <w:sz w:val="20"/>
          <w:szCs w:val="20"/>
          <w:lang w:val="sl-SI"/>
        </w:rPr>
        <w:t>Tabeli</w:t>
      </w:r>
      <w:r w:rsidRPr="00462D42">
        <w:rPr>
          <w:rFonts w:cs="Arial"/>
          <w:sz w:val="20"/>
          <w:szCs w:val="20"/>
          <w:lang w:val="sl-SI"/>
        </w:rPr>
        <w:t xml:space="preserve"> 1. V </w:t>
      </w:r>
      <w:r w:rsidR="00CC17D0" w:rsidRPr="00CC17D0">
        <w:rPr>
          <w:rFonts w:cs="Arial"/>
          <w:sz w:val="20"/>
          <w:szCs w:val="20"/>
          <w:lang w:val="sl-SI"/>
        </w:rPr>
        <w:t xml:space="preserve">Tabeli </w:t>
      </w:r>
      <w:r w:rsidRPr="00462D42">
        <w:rPr>
          <w:rFonts w:cs="Arial"/>
          <w:sz w:val="20"/>
          <w:szCs w:val="20"/>
          <w:lang w:val="sl-SI"/>
        </w:rPr>
        <w:t xml:space="preserve">2 je prikazan načrt FI po prispevku k domenam ukrepa in obliki financiranja. V </w:t>
      </w:r>
      <w:r w:rsidR="00CC17D0" w:rsidRPr="00CC17D0">
        <w:rPr>
          <w:rFonts w:cs="Arial"/>
          <w:sz w:val="20"/>
          <w:szCs w:val="20"/>
          <w:lang w:val="sl-SI"/>
        </w:rPr>
        <w:t>Tabeli</w:t>
      </w:r>
      <w:r w:rsidRPr="00462D42">
        <w:rPr>
          <w:rFonts w:cs="Arial"/>
          <w:sz w:val="20"/>
          <w:szCs w:val="20"/>
          <w:lang w:val="sl-SI"/>
        </w:rPr>
        <w:t xml:space="preserve"> 3 je prikazana predvidena letna di</w:t>
      </w:r>
      <w:r w:rsidR="00A0634F" w:rsidRPr="00462D42">
        <w:rPr>
          <w:rFonts w:cs="Arial"/>
          <w:sz w:val="20"/>
          <w:szCs w:val="20"/>
          <w:lang w:val="sl-SI"/>
        </w:rPr>
        <w:t>namika vplačil v sklad skladov.</w:t>
      </w:r>
    </w:p>
    <w:p w14:paraId="7D3DF5BA" w14:textId="77777777" w:rsidR="00FA7969" w:rsidRPr="00462D42" w:rsidRDefault="00FA7969" w:rsidP="00462D42">
      <w:pPr>
        <w:spacing w:line="260" w:lineRule="exact"/>
        <w:jc w:val="both"/>
        <w:rPr>
          <w:rFonts w:cs="Arial"/>
          <w:sz w:val="20"/>
          <w:szCs w:val="20"/>
          <w:lang w:val="sl-SI"/>
        </w:rPr>
      </w:pPr>
    </w:p>
    <w:p w14:paraId="330839E7" w14:textId="42DAC3B5" w:rsidR="00FA7969" w:rsidRPr="00462D42" w:rsidRDefault="00FA7969" w:rsidP="00462D42">
      <w:pPr>
        <w:pStyle w:val="Naslov2"/>
        <w:keepLines/>
        <w:numPr>
          <w:ilvl w:val="1"/>
          <w:numId w:val="25"/>
        </w:numPr>
        <w:spacing w:after="0" w:line="260" w:lineRule="exact"/>
        <w:jc w:val="both"/>
        <w:rPr>
          <w:sz w:val="20"/>
          <w:szCs w:val="20"/>
          <w:lang w:val="sl-SI"/>
        </w:rPr>
      </w:pPr>
      <w:r w:rsidRPr="00462D42">
        <w:rPr>
          <w:sz w:val="20"/>
          <w:szCs w:val="20"/>
          <w:lang w:val="sl-SI"/>
        </w:rPr>
        <w:t xml:space="preserve">Ukrepi za uresničitev ciljev </w:t>
      </w:r>
      <w:r w:rsidR="00174262" w:rsidRPr="00462D42">
        <w:rPr>
          <w:sz w:val="20"/>
          <w:szCs w:val="20"/>
          <w:lang w:val="sl-SI"/>
        </w:rPr>
        <w:t xml:space="preserve">operativnega </w:t>
      </w:r>
      <w:r w:rsidRPr="00462D42">
        <w:rPr>
          <w:sz w:val="20"/>
          <w:szCs w:val="20"/>
          <w:lang w:val="sl-SI"/>
        </w:rPr>
        <w:t xml:space="preserve">programa v obdobju </w:t>
      </w:r>
      <w:r w:rsidR="004F0A95" w:rsidRPr="00462D42">
        <w:rPr>
          <w:sz w:val="20"/>
          <w:szCs w:val="20"/>
          <w:lang w:val="sl-SI"/>
        </w:rPr>
        <w:t>2014–2020</w:t>
      </w:r>
    </w:p>
    <w:p w14:paraId="5DA22137" w14:textId="77777777" w:rsidR="00FA7969" w:rsidRPr="00462D42" w:rsidRDefault="00FA7969" w:rsidP="00462D42">
      <w:pPr>
        <w:spacing w:line="260" w:lineRule="exact"/>
        <w:jc w:val="both"/>
        <w:rPr>
          <w:rFonts w:cs="Arial"/>
          <w:sz w:val="20"/>
          <w:szCs w:val="20"/>
          <w:lang w:val="sl-SI"/>
        </w:rPr>
      </w:pPr>
    </w:p>
    <w:p w14:paraId="2FE13411" w14:textId="22168AFB"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Skladno z Uredbo Komisije (EU) št. 215/2014/ES so v okviru</w:t>
      </w:r>
      <w:r w:rsidR="00D51F37" w:rsidRPr="00462D42">
        <w:rPr>
          <w:rFonts w:cs="Arial"/>
          <w:sz w:val="20"/>
          <w:szCs w:val="20"/>
          <w:lang w:val="sl-SI"/>
        </w:rPr>
        <w:t xml:space="preserve"> posamezne prednostne naložbe operativnega programa</w:t>
      </w:r>
      <w:r w:rsidRPr="00462D42">
        <w:rPr>
          <w:rFonts w:cs="Arial"/>
          <w:sz w:val="20"/>
          <w:szCs w:val="20"/>
          <w:lang w:val="sl-SI"/>
        </w:rPr>
        <w:t xml:space="preserve"> načrtovani prispevki k ukrepom, prek kombinacij različnih FI</w:t>
      </w:r>
      <w:r w:rsidR="00D51F37" w:rsidRPr="00462D42">
        <w:rPr>
          <w:rFonts w:cs="Arial"/>
          <w:sz w:val="20"/>
          <w:szCs w:val="20"/>
          <w:lang w:val="sl-SI"/>
        </w:rPr>
        <w:t>, za uresničitev ciljev domen operativnega programa</w:t>
      </w:r>
      <w:r w:rsidRPr="00462D42">
        <w:rPr>
          <w:rFonts w:cs="Arial"/>
          <w:sz w:val="20"/>
          <w:szCs w:val="20"/>
          <w:lang w:val="sl-SI"/>
        </w:rPr>
        <w:t>:</w:t>
      </w:r>
    </w:p>
    <w:p w14:paraId="6D973808" w14:textId="77777777" w:rsidR="00FA7969" w:rsidRPr="004223D6" w:rsidRDefault="00FA7969" w:rsidP="00CE3440">
      <w:pPr>
        <w:jc w:val="both"/>
        <w:rPr>
          <w:rFonts w:cs="Arial"/>
          <w:szCs w:val="22"/>
          <w:lang w:val="sl-SI"/>
        </w:rPr>
      </w:pPr>
    </w:p>
    <w:tbl>
      <w:tblPr>
        <w:tblStyle w:val="Tabelamrea"/>
        <w:tblW w:w="5000" w:type="pct"/>
        <w:tblBorders>
          <w:top w:val="single" w:sz="4" w:space="0" w:color="000000"/>
          <w:left w:val="none" w:sz="0" w:space="0" w:color="auto"/>
          <w:bottom w:val="single" w:sz="4" w:space="0" w:color="000000"/>
          <w:right w:val="none" w:sz="0" w:space="0" w:color="auto"/>
          <w:insideH w:val="single" w:sz="4" w:space="0" w:color="000000"/>
          <w:insideV w:val="dotted" w:sz="4" w:space="0" w:color="000000"/>
        </w:tblBorders>
        <w:tblLook w:val="04A0" w:firstRow="1" w:lastRow="0" w:firstColumn="1" w:lastColumn="0" w:noHBand="0" w:noVBand="1"/>
      </w:tblPr>
      <w:tblGrid>
        <w:gridCol w:w="1461"/>
        <w:gridCol w:w="1687"/>
        <w:gridCol w:w="6133"/>
      </w:tblGrid>
      <w:tr w:rsidR="00FA7969" w:rsidRPr="004223D6" w14:paraId="3FE24356" w14:textId="77777777" w:rsidTr="00B524FD">
        <w:tc>
          <w:tcPr>
            <w:tcW w:w="1427" w:type="dxa"/>
          </w:tcPr>
          <w:p w14:paraId="5D4D6C29" w14:textId="77777777" w:rsidR="00FA7969" w:rsidRPr="004223D6" w:rsidRDefault="00FA7969" w:rsidP="00CE3440">
            <w:pPr>
              <w:jc w:val="both"/>
              <w:rPr>
                <w:rFonts w:cs="Arial"/>
                <w:b/>
                <w:szCs w:val="22"/>
                <w:lang w:val="sl-SI"/>
              </w:rPr>
            </w:pPr>
            <w:r w:rsidRPr="004223D6">
              <w:rPr>
                <w:rFonts w:cs="Arial"/>
                <w:b/>
                <w:szCs w:val="22"/>
                <w:lang w:val="sl-SI"/>
              </w:rPr>
              <w:t>Prednostna naložba</w:t>
            </w:r>
          </w:p>
        </w:tc>
        <w:tc>
          <w:tcPr>
            <w:tcW w:w="1648" w:type="dxa"/>
          </w:tcPr>
          <w:p w14:paraId="7E3B5867" w14:textId="77777777" w:rsidR="00FA7969" w:rsidRPr="004223D6" w:rsidRDefault="00FA7969" w:rsidP="00CE3440">
            <w:pPr>
              <w:jc w:val="both"/>
              <w:rPr>
                <w:rFonts w:cs="Arial"/>
                <w:b/>
                <w:szCs w:val="22"/>
                <w:lang w:val="sl-SI"/>
              </w:rPr>
            </w:pPr>
            <w:r w:rsidRPr="004223D6">
              <w:rPr>
                <w:rFonts w:cs="Arial"/>
                <w:b/>
                <w:szCs w:val="22"/>
                <w:lang w:val="sl-SI"/>
              </w:rPr>
              <w:t>Koda (domene ukrepa)</w:t>
            </w:r>
          </w:p>
        </w:tc>
        <w:tc>
          <w:tcPr>
            <w:tcW w:w="5990" w:type="dxa"/>
          </w:tcPr>
          <w:p w14:paraId="45BB5CC1" w14:textId="77777777" w:rsidR="00FA7969" w:rsidRPr="004223D6" w:rsidRDefault="00FA7969" w:rsidP="00CE3440">
            <w:pPr>
              <w:jc w:val="both"/>
              <w:rPr>
                <w:rFonts w:cs="Arial"/>
                <w:b/>
                <w:szCs w:val="22"/>
                <w:lang w:val="sl-SI"/>
              </w:rPr>
            </w:pPr>
            <w:r w:rsidRPr="004223D6">
              <w:rPr>
                <w:rFonts w:cs="Arial"/>
                <w:b/>
                <w:szCs w:val="22"/>
                <w:lang w:val="sl-SI"/>
              </w:rPr>
              <w:t>Domena ukrepa</w:t>
            </w:r>
          </w:p>
        </w:tc>
      </w:tr>
      <w:tr w:rsidR="00FA7969" w:rsidRPr="009327C3" w14:paraId="7BA102D8" w14:textId="77777777" w:rsidTr="00B524FD">
        <w:tc>
          <w:tcPr>
            <w:tcW w:w="1427" w:type="dxa"/>
          </w:tcPr>
          <w:p w14:paraId="663E114F" w14:textId="77777777" w:rsidR="00FA7969" w:rsidRPr="004223D6" w:rsidRDefault="00FA7969" w:rsidP="00CE3440">
            <w:pPr>
              <w:jc w:val="both"/>
              <w:rPr>
                <w:rFonts w:cs="Arial"/>
                <w:szCs w:val="22"/>
                <w:lang w:val="sl-SI"/>
              </w:rPr>
            </w:pPr>
            <w:r w:rsidRPr="004223D6">
              <w:rPr>
                <w:rFonts w:cs="Arial"/>
                <w:szCs w:val="22"/>
                <w:lang w:val="sl-SI"/>
              </w:rPr>
              <w:t>1.2</w:t>
            </w:r>
          </w:p>
        </w:tc>
        <w:tc>
          <w:tcPr>
            <w:tcW w:w="1648" w:type="dxa"/>
          </w:tcPr>
          <w:p w14:paraId="762AE015" w14:textId="77777777" w:rsidR="00FA7969" w:rsidRPr="004223D6" w:rsidRDefault="00FA7969" w:rsidP="00CE3440">
            <w:pPr>
              <w:jc w:val="both"/>
              <w:rPr>
                <w:rFonts w:cs="Arial"/>
                <w:szCs w:val="22"/>
                <w:lang w:val="sl-SI"/>
              </w:rPr>
            </w:pPr>
            <w:r w:rsidRPr="004223D6">
              <w:rPr>
                <w:rFonts w:cs="Arial"/>
                <w:szCs w:val="22"/>
                <w:lang w:val="sl-SI"/>
              </w:rPr>
              <w:t>056</w:t>
            </w:r>
          </w:p>
          <w:p w14:paraId="65E38468" w14:textId="77777777" w:rsidR="00FA7969" w:rsidRPr="004223D6" w:rsidRDefault="00FA7969" w:rsidP="00CE3440">
            <w:pPr>
              <w:jc w:val="both"/>
              <w:rPr>
                <w:rFonts w:cs="Arial"/>
                <w:szCs w:val="22"/>
                <w:lang w:val="sl-SI"/>
              </w:rPr>
            </w:pPr>
          </w:p>
          <w:p w14:paraId="645B7082" w14:textId="77777777" w:rsidR="00FA7969" w:rsidRPr="004223D6" w:rsidRDefault="00FA7969" w:rsidP="00CE3440">
            <w:pPr>
              <w:jc w:val="both"/>
              <w:rPr>
                <w:rFonts w:cs="Arial"/>
                <w:szCs w:val="22"/>
                <w:lang w:val="sl-SI"/>
              </w:rPr>
            </w:pPr>
          </w:p>
          <w:p w14:paraId="04A54CEB" w14:textId="77777777" w:rsidR="00FF10DB" w:rsidRPr="004223D6" w:rsidRDefault="00FF10DB" w:rsidP="00CE3440">
            <w:pPr>
              <w:jc w:val="both"/>
              <w:rPr>
                <w:rFonts w:cs="Arial"/>
                <w:szCs w:val="22"/>
                <w:lang w:val="sl-SI"/>
              </w:rPr>
            </w:pPr>
          </w:p>
          <w:p w14:paraId="22F80631" w14:textId="3A8E6AD5" w:rsidR="00FA7969" w:rsidRPr="004223D6" w:rsidRDefault="00FA7969" w:rsidP="00CE3440">
            <w:pPr>
              <w:jc w:val="both"/>
              <w:rPr>
                <w:rFonts w:cs="Arial"/>
                <w:szCs w:val="22"/>
                <w:lang w:val="sl-SI"/>
              </w:rPr>
            </w:pPr>
            <w:r w:rsidRPr="004223D6">
              <w:rPr>
                <w:rFonts w:cs="Arial"/>
                <w:szCs w:val="22"/>
                <w:lang w:val="sl-SI"/>
              </w:rPr>
              <w:t>057</w:t>
            </w:r>
          </w:p>
          <w:p w14:paraId="20124CE9" w14:textId="77777777" w:rsidR="00FA7969" w:rsidRPr="004223D6" w:rsidRDefault="00FA7969" w:rsidP="00CE3440">
            <w:pPr>
              <w:jc w:val="both"/>
              <w:rPr>
                <w:rFonts w:cs="Arial"/>
                <w:szCs w:val="22"/>
                <w:lang w:val="sl-SI"/>
              </w:rPr>
            </w:pPr>
          </w:p>
          <w:p w14:paraId="791D4894" w14:textId="77777777" w:rsidR="00FA7969" w:rsidRPr="004223D6" w:rsidRDefault="00FA7969" w:rsidP="00CE3440">
            <w:pPr>
              <w:jc w:val="both"/>
              <w:rPr>
                <w:rFonts w:cs="Arial"/>
                <w:szCs w:val="22"/>
                <w:lang w:val="sl-SI"/>
              </w:rPr>
            </w:pPr>
          </w:p>
          <w:p w14:paraId="56DC9EF5" w14:textId="77777777" w:rsidR="00FF10DB" w:rsidRPr="004223D6" w:rsidRDefault="00FF10DB" w:rsidP="00CE3440">
            <w:pPr>
              <w:jc w:val="both"/>
              <w:rPr>
                <w:rFonts w:cs="Arial"/>
                <w:szCs w:val="22"/>
                <w:lang w:val="sl-SI"/>
              </w:rPr>
            </w:pPr>
          </w:p>
          <w:p w14:paraId="73764FF9" w14:textId="61AA21B9" w:rsidR="00FA7969" w:rsidRPr="004223D6" w:rsidRDefault="00FA7969" w:rsidP="00CE3440">
            <w:pPr>
              <w:jc w:val="both"/>
              <w:rPr>
                <w:rFonts w:cs="Arial"/>
                <w:szCs w:val="22"/>
                <w:lang w:val="sl-SI"/>
              </w:rPr>
            </w:pPr>
            <w:r w:rsidRPr="004223D6">
              <w:rPr>
                <w:rFonts w:cs="Arial"/>
                <w:szCs w:val="22"/>
                <w:lang w:val="sl-SI"/>
              </w:rPr>
              <w:t>065</w:t>
            </w:r>
          </w:p>
          <w:p w14:paraId="1CE6E730" w14:textId="77777777" w:rsidR="00FA7969" w:rsidRPr="004223D6" w:rsidRDefault="00FA7969" w:rsidP="00CE3440">
            <w:pPr>
              <w:jc w:val="both"/>
              <w:rPr>
                <w:rFonts w:cs="Arial"/>
                <w:szCs w:val="22"/>
                <w:lang w:val="sl-SI"/>
              </w:rPr>
            </w:pPr>
          </w:p>
          <w:p w14:paraId="613FED49" w14:textId="77777777" w:rsidR="00FA7969" w:rsidRPr="004223D6" w:rsidRDefault="00FA7969" w:rsidP="00CE3440">
            <w:pPr>
              <w:jc w:val="both"/>
              <w:rPr>
                <w:rFonts w:cs="Arial"/>
                <w:szCs w:val="22"/>
                <w:lang w:val="sl-SI"/>
              </w:rPr>
            </w:pPr>
          </w:p>
        </w:tc>
        <w:tc>
          <w:tcPr>
            <w:tcW w:w="5990" w:type="dxa"/>
          </w:tcPr>
          <w:p w14:paraId="6C7EE2FB" w14:textId="623BCDA2" w:rsidR="00FA7969" w:rsidRPr="004223D6" w:rsidRDefault="00FA7969" w:rsidP="00CE3440">
            <w:pPr>
              <w:jc w:val="both"/>
              <w:rPr>
                <w:rFonts w:cs="Arial"/>
                <w:szCs w:val="22"/>
                <w:lang w:val="sl-SI"/>
              </w:rPr>
            </w:pPr>
            <w:r w:rsidRPr="004223D6">
              <w:rPr>
                <w:rFonts w:cs="Arial"/>
                <w:szCs w:val="22"/>
                <w:lang w:val="sl-SI"/>
              </w:rPr>
              <w:t>Naložbe v infrastrukturo, zmogljivosti in opremo MSP v neposredni povezav</w:t>
            </w:r>
            <w:r w:rsidR="00AE5FC9">
              <w:rPr>
                <w:rFonts w:cs="Arial"/>
                <w:szCs w:val="22"/>
                <w:lang w:val="sl-SI"/>
              </w:rPr>
              <w:t>i</w:t>
            </w:r>
            <w:r w:rsidRPr="004223D6">
              <w:rPr>
                <w:rFonts w:cs="Arial"/>
                <w:szCs w:val="22"/>
                <w:lang w:val="sl-SI"/>
              </w:rPr>
              <w:t xml:space="preserve"> z raziskavami in inovacijskimi dejavnostmi</w:t>
            </w:r>
          </w:p>
          <w:p w14:paraId="5AD6B2BD" w14:textId="77777777" w:rsidR="00FA7969" w:rsidRPr="004223D6" w:rsidRDefault="00FA7969" w:rsidP="00CE3440">
            <w:pPr>
              <w:jc w:val="both"/>
              <w:rPr>
                <w:rFonts w:cs="Arial"/>
                <w:szCs w:val="22"/>
                <w:lang w:val="sl-SI"/>
              </w:rPr>
            </w:pPr>
          </w:p>
          <w:p w14:paraId="7993EABA" w14:textId="13226CFA" w:rsidR="00FA7969" w:rsidRPr="004223D6" w:rsidRDefault="00FA7969" w:rsidP="00CE3440">
            <w:pPr>
              <w:jc w:val="both"/>
              <w:rPr>
                <w:rFonts w:cs="Arial"/>
                <w:szCs w:val="22"/>
                <w:lang w:val="sl-SI"/>
              </w:rPr>
            </w:pPr>
            <w:r w:rsidRPr="004223D6">
              <w:rPr>
                <w:rFonts w:cs="Arial"/>
                <w:szCs w:val="22"/>
                <w:lang w:val="sl-SI"/>
              </w:rPr>
              <w:t xml:space="preserve">Naložbe v infrastrukturo, zmogljivosti in opremo velikih družb v neposredni povezavi </w:t>
            </w:r>
            <w:r w:rsidR="0014087F">
              <w:rPr>
                <w:rFonts w:cs="Arial"/>
                <w:szCs w:val="22"/>
                <w:lang w:val="sl-SI"/>
              </w:rPr>
              <w:t xml:space="preserve">z </w:t>
            </w:r>
            <w:r w:rsidRPr="004223D6">
              <w:rPr>
                <w:rFonts w:cs="Arial"/>
                <w:szCs w:val="22"/>
                <w:lang w:val="sl-SI"/>
              </w:rPr>
              <w:t>raziskavami in inovacijskimi dejavnostmi</w:t>
            </w:r>
          </w:p>
          <w:p w14:paraId="3AA0DB41" w14:textId="77777777" w:rsidR="00FA7969" w:rsidRPr="004223D6" w:rsidRDefault="00FA7969" w:rsidP="00CE3440">
            <w:pPr>
              <w:jc w:val="both"/>
              <w:rPr>
                <w:rFonts w:cs="Arial"/>
                <w:szCs w:val="22"/>
                <w:lang w:val="sl-SI"/>
              </w:rPr>
            </w:pPr>
          </w:p>
          <w:p w14:paraId="480825DA" w14:textId="77777777" w:rsidR="00FA7969" w:rsidRPr="004223D6" w:rsidRDefault="00FA7969" w:rsidP="00CE3440">
            <w:pPr>
              <w:jc w:val="both"/>
              <w:rPr>
                <w:rFonts w:cs="Arial"/>
                <w:szCs w:val="22"/>
                <w:lang w:val="sl-SI"/>
              </w:rPr>
            </w:pPr>
            <w:r w:rsidRPr="004223D6">
              <w:rPr>
                <w:rFonts w:cs="Arial"/>
                <w:szCs w:val="22"/>
                <w:lang w:val="sl-SI"/>
              </w:rPr>
              <w:t>Raziskave in inovacijska infrastruktura, procesi, prenos tehnologije ter sodelovanje v podjetjih s poudarkom na nizkoogljičnem gospodarstvu in odpornosti na podnebne spremembe</w:t>
            </w:r>
          </w:p>
        </w:tc>
      </w:tr>
      <w:tr w:rsidR="00FA7969" w:rsidRPr="004223D6" w14:paraId="2D09388B" w14:textId="77777777" w:rsidTr="00B524FD">
        <w:tc>
          <w:tcPr>
            <w:tcW w:w="1427" w:type="dxa"/>
          </w:tcPr>
          <w:p w14:paraId="6AF712D3" w14:textId="77777777" w:rsidR="00FA7969" w:rsidRPr="004223D6" w:rsidRDefault="00FA7969" w:rsidP="00CE3440">
            <w:pPr>
              <w:jc w:val="both"/>
              <w:rPr>
                <w:rFonts w:cs="Arial"/>
                <w:szCs w:val="22"/>
                <w:lang w:val="sl-SI"/>
              </w:rPr>
            </w:pPr>
            <w:r w:rsidRPr="004223D6">
              <w:rPr>
                <w:rFonts w:cs="Arial"/>
                <w:szCs w:val="22"/>
                <w:lang w:val="sl-SI"/>
              </w:rPr>
              <w:t>3.1</w:t>
            </w:r>
          </w:p>
        </w:tc>
        <w:tc>
          <w:tcPr>
            <w:tcW w:w="1648" w:type="dxa"/>
          </w:tcPr>
          <w:p w14:paraId="239A1A52" w14:textId="77777777" w:rsidR="00FA7969" w:rsidRPr="004223D6" w:rsidRDefault="00FA7969" w:rsidP="00CE3440">
            <w:pPr>
              <w:jc w:val="both"/>
              <w:rPr>
                <w:rFonts w:cs="Arial"/>
                <w:szCs w:val="22"/>
                <w:lang w:val="sl-SI"/>
              </w:rPr>
            </w:pPr>
            <w:r w:rsidRPr="004223D6">
              <w:rPr>
                <w:rFonts w:cs="Arial"/>
                <w:szCs w:val="22"/>
                <w:lang w:val="sl-SI"/>
              </w:rPr>
              <w:t>001</w:t>
            </w:r>
          </w:p>
          <w:p w14:paraId="69F08464" w14:textId="77777777" w:rsidR="00FA7969" w:rsidRPr="004223D6" w:rsidRDefault="00FA7969" w:rsidP="00CE3440">
            <w:pPr>
              <w:jc w:val="both"/>
              <w:rPr>
                <w:rFonts w:cs="Arial"/>
                <w:szCs w:val="22"/>
                <w:lang w:val="sl-SI"/>
              </w:rPr>
            </w:pPr>
          </w:p>
          <w:p w14:paraId="0AB31CC6" w14:textId="77777777" w:rsidR="00FF10DB" w:rsidRPr="004223D6" w:rsidRDefault="00FF10DB" w:rsidP="00CE3440">
            <w:pPr>
              <w:jc w:val="both"/>
              <w:rPr>
                <w:rFonts w:cs="Arial"/>
                <w:szCs w:val="22"/>
                <w:lang w:val="sl-SI"/>
              </w:rPr>
            </w:pPr>
          </w:p>
          <w:p w14:paraId="4B13F0E8" w14:textId="4833EA5F" w:rsidR="00FA7969" w:rsidRPr="004223D6" w:rsidRDefault="00FA7969" w:rsidP="00CE3440">
            <w:pPr>
              <w:jc w:val="both"/>
              <w:rPr>
                <w:rFonts w:cs="Arial"/>
                <w:szCs w:val="22"/>
                <w:lang w:val="sl-SI"/>
              </w:rPr>
            </w:pPr>
            <w:r w:rsidRPr="004223D6">
              <w:rPr>
                <w:rFonts w:cs="Arial"/>
                <w:szCs w:val="22"/>
                <w:lang w:val="sl-SI"/>
              </w:rPr>
              <w:t>067</w:t>
            </w:r>
          </w:p>
          <w:p w14:paraId="570DC26E" w14:textId="77777777" w:rsidR="00FA7969" w:rsidRPr="004223D6" w:rsidRDefault="00FA7969" w:rsidP="00CE3440">
            <w:pPr>
              <w:jc w:val="both"/>
              <w:rPr>
                <w:rFonts w:cs="Arial"/>
                <w:szCs w:val="22"/>
                <w:lang w:val="sl-SI"/>
              </w:rPr>
            </w:pPr>
          </w:p>
          <w:p w14:paraId="45E8E11C" w14:textId="77777777" w:rsidR="00FA7969" w:rsidRPr="004223D6" w:rsidRDefault="00FA7969" w:rsidP="00CE3440">
            <w:pPr>
              <w:jc w:val="both"/>
              <w:rPr>
                <w:rFonts w:cs="Arial"/>
                <w:szCs w:val="22"/>
                <w:lang w:val="sl-SI"/>
              </w:rPr>
            </w:pPr>
          </w:p>
          <w:p w14:paraId="1210BF46" w14:textId="77777777" w:rsidR="00FA7969" w:rsidRPr="004223D6" w:rsidRDefault="00FA7969" w:rsidP="00CE3440">
            <w:pPr>
              <w:jc w:val="both"/>
              <w:rPr>
                <w:rFonts w:cs="Arial"/>
                <w:szCs w:val="22"/>
                <w:lang w:val="sl-SI"/>
              </w:rPr>
            </w:pPr>
            <w:r w:rsidRPr="004223D6">
              <w:rPr>
                <w:rFonts w:cs="Arial"/>
                <w:szCs w:val="22"/>
                <w:lang w:val="sl-SI"/>
              </w:rPr>
              <w:t>068</w:t>
            </w:r>
          </w:p>
          <w:p w14:paraId="27869A93" w14:textId="77777777" w:rsidR="00FA7969" w:rsidRPr="004223D6" w:rsidRDefault="00FA7969" w:rsidP="00CE3440">
            <w:pPr>
              <w:jc w:val="both"/>
              <w:rPr>
                <w:rFonts w:cs="Arial"/>
                <w:szCs w:val="22"/>
                <w:lang w:val="sl-SI"/>
              </w:rPr>
            </w:pPr>
          </w:p>
          <w:p w14:paraId="71E4D171" w14:textId="77777777" w:rsidR="00FA7969" w:rsidRPr="004223D6" w:rsidRDefault="00FA7969" w:rsidP="00CE3440">
            <w:pPr>
              <w:jc w:val="both"/>
              <w:rPr>
                <w:rFonts w:cs="Arial"/>
                <w:szCs w:val="22"/>
                <w:lang w:val="sl-SI"/>
              </w:rPr>
            </w:pPr>
          </w:p>
          <w:p w14:paraId="7243C64C" w14:textId="77777777" w:rsidR="00FA7969" w:rsidRPr="004223D6" w:rsidRDefault="00FA7969" w:rsidP="00CE3440">
            <w:pPr>
              <w:jc w:val="both"/>
              <w:rPr>
                <w:rFonts w:cs="Arial"/>
                <w:szCs w:val="22"/>
                <w:lang w:val="sl-SI"/>
              </w:rPr>
            </w:pPr>
            <w:r w:rsidRPr="004223D6">
              <w:rPr>
                <w:rFonts w:cs="Arial"/>
                <w:szCs w:val="22"/>
                <w:lang w:val="sl-SI"/>
              </w:rPr>
              <w:t>073</w:t>
            </w:r>
          </w:p>
        </w:tc>
        <w:tc>
          <w:tcPr>
            <w:tcW w:w="5990" w:type="dxa"/>
          </w:tcPr>
          <w:p w14:paraId="2D1B4154" w14:textId="77777777" w:rsidR="00FA7969" w:rsidRPr="004223D6" w:rsidRDefault="00FA7969" w:rsidP="00CE3440">
            <w:pPr>
              <w:jc w:val="both"/>
              <w:rPr>
                <w:rFonts w:cs="Arial"/>
                <w:szCs w:val="22"/>
                <w:lang w:val="sl-SI"/>
              </w:rPr>
            </w:pPr>
            <w:r w:rsidRPr="004223D6">
              <w:rPr>
                <w:rFonts w:cs="Arial"/>
                <w:szCs w:val="22"/>
                <w:lang w:val="sl-SI"/>
              </w:rPr>
              <w:t>Generične produktivne naložbe v mala in srednja podjetja (MSP)</w:t>
            </w:r>
          </w:p>
          <w:p w14:paraId="09A606C4" w14:textId="77777777" w:rsidR="00FA7969" w:rsidRPr="004223D6" w:rsidRDefault="00FA7969" w:rsidP="00CE3440">
            <w:pPr>
              <w:jc w:val="both"/>
              <w:rPr>
                <w:rFonts w:cs="Arial"/>
                <w:szCs w:val="22"/>
                <w:lang w:val="sl-SI"/>
              </w:rPr>
            </w:pPr>
          </w:p>
          <w:p w14:paraId="415E391D" w14:textId="77777777" w:rsidR="00FA7969" w:rsidRPr="004223D6" w:rsidRDefault="00FA7969" w:rsidP="00CE3440">
            <w:pPr>
              <w:jc w:val="both"/>
              <w:rPr>
                <w:rFonts w:cs="Arial"/>
                <w:szCs w:val="22"/>
                <w:lang w:val="sl-SI"/>
              </w:rPr>
            </w:pPr>
            <w:r w:rsidRPr="004223D6">
              <w:rPr>
                <w:rFonts w:cs="Arial"/>
                <w:szCs w:val="22"/>
                <w:lang w:val="sl-SI"/>
              </w:rPr>
              <w:t xml:space="preserve">Razvoj MSP, podpora podjetništvu in inkubatorjem (vključno s podporo „spin </w:t>
            </w:r>
            <w:proofErr w:type="spellStart"/>
            <w:r w:rsidRPr="004223D6">
              <w:rPr>
                <w:rFonts w:cs="Arial"/>
                <w:szCs w:val="22"/>
                <w:lang w:val="sl-SI"/>
              </w:rPr>
              <w:t>off</w:t>
            </w:r>
            <w:proofErr w:type="spellEnd"/>
            <w:r w:rsidRPr="004223D6">
              <w:rPr>
                <w:rFonts w:cs="Arial"/>
                <w:szCs w:val="22"/>
                <w:lang w:val="sl-SI"/>
              </w:rPr>
              <w:t xml:space="preserve">“ in „spin </w:t>
            </w:r>
            <w:proofErr w:type="spellStart"/>
            <w:r w:rsidRPr="004223D6">
              <w:rPr>
                <w:rFonts w:cs="Arial"/>
                <w:szCs w:val="22"/>
                <w:lang w:val="sl-SI"/>
              </w:rPr>
              <w:t>out</w:t>
            </w:r>
            <w:proofErr w:type="spellEnd"/>
            <w:r w:rsidRPr="004223D6">
              <w:rPr>
                <w:rFonts w:cs="Arial"/>
                <w:szCs w:val="22"/>
                <w:lang w:val="sl-SI"/>
              </w:rPr>
              <w:t>“ podjetjem)</w:t>
            </w:r>
          </w:p>
          <w:p w14:paraId="56C1D1F2" w14:textId="77777777" w:rsidR="00FA7969" w:rsidRPr="004223D6" w:rsidRDefault="00FA7969" w:rsidP="00CE3440">
            <w:pPr>
              <w:jc w:val="both"/>
              <w:rPr>
                <w:rFonts w:cs="Arial"/>
                <w:szCs w:val="22"/>
                <w:lang w:val="sl-SI"/>
              </w:rPr>
            </w:pPr>
          </w:p>
          <w:p w14:paraId="64A00488" w14:textId="77777777" w:rsidR="00FA7969" w:rsidRPr="004223D6" w:rsidRDefault="00FA7969" w:rsidP="00CE3440">
            <w:pPr>
              <w:jc w:val="both"/>
              <w:rPr>
                <w:rFonts w:cs="Arial"/>
                <w:szCs w:val="22"/>
                <w:lang w:val="sl-SI"/>
              </w:rPr>
            </w:pPr>
            <w:r w:rsidRPr="004223D6">
              <w:rPr>
                <w:rFonts w:cs="Arial"/>
                <w:szCs w:val="22"/>
                <w:lang w:val="sl-SI"/>
              </w:rPr>
              <w:t>Energetska učinkovitost in predstavitveni projekti v MSP ter podporni ukrepi</w:t>
            </w:r>
          </w:p>
          <w:p w14:paraId="69DACA84" w14:textId="77777777" w:rsidR="00FA7969" w:rsidRPr="004223D6" w:rsidRDefault="00FA7969" w:rsidP="00CE3440">
            <w:pPr>
              <w:jc w:val="both"/>
              <w:rPr>
                <w:rFonts w:cs="Arial"/>
                <w:szCs w:val="22"/>
                <w:lang w:val="sl-SI"/>
              </w:rPr>
            </w:pPr>
          </w:p>
          <w:p w14:paraId="0998267D" w14:textId="77777777" w:rsidR="00FA7969" w:rsidRPr="004223D6" w:rsidRDefault="00FA7969" w:rsidP="00CE3440">
            <w:pPr>
              <w:jc w:val="both"/>
              <w:rPr>
                <w:rFonts w:cs="Arial"/>
                <w:szCs w:val="22"/>
                <w:lang w:val="sl-SI"/>
              </w:rPr>
            </w:pPr>
            <w:r w:rsidRPr="004223D6">
              <w:rPr>
                <w:rFonts w:cs="Arial"/>
                <w:szCs w:val="22"/>
                <w:lang w:val="sl-SI"/>
              </w:rPr>
              <w:t>Podpora socialnim podjetjem (MSP)</w:t>
            </w:r>
          </w:p>
        </w:tc>
      </w:tr>
      <w:tr w:rsidR="00FA7969" w:rsidRPr="009327C3" w14:paraId="71CD8D9E" w14:textId="77777777" w:rsidTr="00B524FD">
        <w:tc>
          <w:tcPr>
            <w:tcW w:w="1427" w:type="dxa"/>
          </w:tcPr>
          <w:p w14:paraId="55CAE9A3" w14:textId="77777777" w:rsidR="00FA7969" w:rsidRPr="004223D6" w:rsidRDefault="00FA7969" w:rsidP="00CE3440">
            <w:pPr>
              <w:jc w:val="both"/>
              <w:rPr>
                <w:rFonts w:cs="Arial"/>
                <w:szCs w:val="22"/>
                <w:lang w:val="sl-SI"/>
              </w:rPr>
            </w:pPr>
            <w:r w:rsidRPr="004223D6">
              <w:rPr>
                <w:rFonts w:cs="Arial"/>
                <w:szCs w:val="22"/>
                <w:lang w:val="sl-SI"/>
              </w:rPr>
              <w:t>4.1</w:t>
            </w:r>
          </w:p>
        </w:tc>
        <w:tc>
          <w:tcPr>
            <w:tcW w:w="1648" w:type="dxa"/>
          </w:tcPr>
          <w:p w14:paraId="6471F472" w14:textId="77777777" w:rsidR="00FA7969" w:rsidRPr="004223D6" w:rsidRDefault="00FA7969" w:rsidP="00CE3440">
            <w:pPr>
              <w:jc w:val="both"/>
              <w:rPr>
                <w:rFonts w:cs="Arial"/>
                <w:szCs w:val="22"/>
                <w:lang w:val="sl-SI"/>
              </w:rPr>
            </w:pPr>
            <w:r w:rsidRPr="004223D6">
              <w:rPr>
                <w:rFonts w:cs="Arial"/>
                <w:szCs w:val="22"/>
                <w:lang w:val="sl-SI"/>
              </w:rPr>
              <w:t>013</w:t>
            </w:r>
          </w:p>
        </w:tc>
        <w:tc>
          <w:tcPr>
            <w:tcW w:w="5990" w:type="dxa"/>
          </w:tcPr>
          <w:p w14:paraId="02BB9847" w14:textId="77777777" w:rsidR="00FA7969" w:rsidRPr="004223D6" w:rsidRDefault="00FA7969" w:rsidP="00CE3440">
            <w:pPr>
              <w:jc w:val="both"/>
              <w:rPr>
                <w:rFonts w:cs="Arial"/>
                <w:szCs w:val="22"/>
                <w:lang w:val="sl-SI"/>
              </w:rPr>
            </w:pPr>
            <w:r w:rsidRPr="004223D6">
              <w:rPr>
                <w:rFonts w:cs="Arial"/>
                <w:szCs w:val="22"/>
                <w:lang w:val="sl-SI"/>
              </w:rPr>
              <w:t>Prenova javne infrastrukture za večjo energetsko učinkovitost, predstavitveni projekti in podporni ukrepi</w:t>
            </w:r>
          </w:p>
        </w:tc>
      </w:tr>
      <w:tr w:rsidR="00FA7969" w:rsidRPr="009327C3" w14:paraId="777F7B2C" w14:textId="77777777" w:rsidTr="00B524FD">
        <w:tc>
          <w:tcPr>
            <w:tcW w:w="1427" w:type="dxa"/>
          </w:tcPr>
          <w:p w14:paraId="75BEDE95" w14:textId="77777777" w:rsidR="00FA7969" w:rsidRPr="004223D6" w:rsidRDefault="00FA7969" w:rsidP="00CE3440">
            <w:pPr>
              <w:jc w:val="both"/>
              <w:rPr>
                <w:rFonts w:cs="Arial"/>
                <w:szCs w:val="22"/>
                <w:lang w:val="sl-SI"/>
              </w:rPr>
            </w:pPr>
            <w:r w:rsidRPr="004223D6">
              <w:rPr>
                <w:rFonts w:cs="Arial"/>
                <w:szCs w:val="22"/>
                <w:lang w:val="sl-SI"/>
              </w:rPr>
              <w:t>6.3</w:t>
            </w:r>
          </w:p>
        </w:tc>
        <w:tc>
          <w:tcPr>
            <w:tcW w:w="1648" w:type="dxa"/>
          </w:tcPr>
          <w:p w14:paraId="366DF889" w14:textId="166D54B8" w:rsidR="00FA7969" w:rsidRPr="004223D6" w:rsidRDefault="004D4C9A" w:rsidP="00CE3440">
            <w:pPr>
              <w:jc w:val="both"/>
              <w:rPr>
                <w:rFonts w:cs="Arial"/>
                <w:szCs w:val="22"/>
                <w:lang w:val="sl-SI"/>
              </w:rPr>
            </w:pPr>
            <w:r w:rsidRPr="004223D6">
              <w:rPr>
                <w:rFonts w:cs="Arial"/>
                <w:szCs w:val="22"/>
                <w:lang w:val="sl-SI"/>
              </w:rPr>
              <w:t>055</w:t>
            </w:r>
          </w:p>
          <w:p w14:paraId="33E463BB" w14:textId="77777777" w:rsidR="00FA7969" w:rsidRPr="004223D6" w:rsidRDefault="00FA7969" w:rsidP="00CE3440">
            <w:pPr>
              <w:jc w:val="both"/>
              <w:rPr>
                <w:rFonts w:cs="Arial"/>
                <w:szCs w:val="22"/>
                <w:lang w:val="sl-SI"/>
              </w:rPr>
            </w:pPr>
          </w:p>
          <w:p w14:paraId="5BD2CD1B" w14:textId="77777777" w:rsidR="00FA7969" w:rsidRPr="004223D6" w:rsidRDefault="00FA7969" w:rsidP="00CE3440">
            <w:pPr>
              <w:jc w:val="both"/>
              <w:rPr>
                <w:rFonts w:cs="Arial"/>
                <w:szCs w:val="22"/>
                <w:lang w:val="sl-SI"/>
              </w:rPr>
            </w:pPr>
            <w:r w:rsidRPr="004223D6">
              <w:rPr>
                <w:rFonts w:cs="Arial"/>
                <w:szCs w:val="22"/>
                <w:lang w:val="sl-SI"/>
              </w:rPr>
              <w:t>089</w:t>
            </w:r>
          </w:p>
          <w:p w14:paraId="41136C49" w14:textId="77777777" w:rsidR="00FA7969" w:rsidRPr="004223D6" w:rsidRDefault="00FA7969" w:rsidP="00CE3440">
            <w:pPr>
              <w:jc w:val="both"/>
              <w:rPr>
                <w:rFonts w:cs="Arial"/>
                <w:szCs w:val="22"/>
                <w:lang w:val="sl-SI"/>
              </w:rPr>
            </w:pPr>
          </w:p>
          <w:p w14:paraId="581AFDC7" w14:textId="77777777" w:rsidR="004D4C9A" w:rsidRPr="004223D6" w:rsidRDefault="004D4C9A" w:rsidP="00CE3440">
            <w:pPr>
              <w:jc w:val="both"/>
              <w:rPr>
                <w:rFonts w:cs="Arial"/>
                <w:szCs w:val="22"/>
                <w:lang w:val="sl-SI"/>
              </w:rPr>
            </w:pPr>
          </w:p>
          <w:p w14:paraId="3B2F308E" w14:textId="77777777" w:rsidR="004D4C9A" w:rsidRPr="004223D6" w:rsidRDefault="004D4C9A" w:rsidP="00CE3440">
            <w:pPr>
              <w:jc w:val="both"/>
              <w:rPr>
                <w:rFonts w:cs="Arial"/>
                <w:szCs w:val="22"/>
                <w:lang w:val="sl-SI"/>
              </w:rPr>
            </w:pPr>
          </w:p>
          <w:p w14:paraId="212E0071" w14:textId="4B98ACEF" w:rsidR="00FA7969" w:rsidRPr="004223D6" w:rsidRDefault="00FA7969" w:rsidP="00CE3440">
            <w:pPr>
              <w:jc w:val="both"/>
              <w:rPr>
                <w:rFonts w:cs="Arial"/>
                <w:szCs w:val="22"/>
                <w:lang w:val="sl-SI"/>
              </w:rPr>
            </w:pPr>
            <w:r w:rsidRPr="004223D6">
              <w:rPr>
                <w:rFonts w:cs="Arial"/>
                <w:szCs w:val="22"/>
                <w:lang w:val="sl-SI"/>
              </w:rPr>
              <w:t>094</w:t>
            </w:r>
          </w:p>
        </w:tc>
        <w:tc>
          <w:tcPr>
            <w:tcW w:w="5990" w:type="dxa"/>
          </w:tcPr>
          <w:p w14:paraId="1D9EC198" w14:textId="61341DC4" w:rsidR="004D4C9A" w:rsidRPr="004223D6" w:rsidRDefault="004D4C9A" w:rsidP="00CE3440">
            <w:pPr>
              <w:jc w:val="both"/>
              <w:rPr>
                <w:rFonts w:cs="Arial"/>
                <w:szCs w:val="22"/>
                <w:lang w:val="sl-SI"/>
              </w:rPr>
            </w:pPr>
            <w:r w:rsidRPr="004223D6">
              <w:rPr>
                <w:rFonts w:cs="Arial"/>
                <w:szCs w:val="22"/>
                <w:lang w:val="sl-SI"/>
              </w:rPr>
              <w:t>Druga socialna infrastruktura, ki prispeva k regionalnemu in lokalnemu razvoju</w:t>
            </w:r>
          </w:p>
          <w:p w14:paraId="342BDFAE" w14:textId="77777777" w:rsidR="004D4C9A" w:rsidRPr="004223D6" w:rsidRDefault="004D4C9A" w:rsidP="00CE3440">
            <w:pPr>
              <w:jc w:val="both"/>
              <w:rPr>
                <w:rFonts w:cs="Arial"/>
                <w:szCs w:val="22"/>
                <w:lang w:val="sl-SI"/>
              </w:rPr>
            </w:pPr>
          </w:p>
          <w:p w14:paraId="7A527B86" w14:textId="5DAC404E" w:rsidR="00FA7969" w:rsidRPr="004223D6" w:rsidRDefault="00FA7969" w:rsidP="00CE3440">
            <w:pPr>
              <w:jc w:val="both"/>
              <w:rPr>
                <w:rFonts w:cs="Arial"/>
                <w:szCs w:val="22"/>
                <w:lang w:val="sl-SI"/>
              </w:rPr>
            </w:pPr>
            <w:r w:rsidRPr="004223D6">
              <w:rPr>
                <w:rFonts w:cs="Arial"/>
                <w:szCs w:val="22"/>
                <w:lang w:val="sl-SI"/>
              </w:rPr>
              <w:t>Sanacija industrijskih območij in kontaminiranih zemljišč</w:t>
            </w:r>
          </w:p>
          <w:p w14:paraId="4959CD66" w14:textId="77777777" w:rsidR="00FA7969" w:rsidRPr="004223D6" w:rsidRDefault="00FA7969" w:rsidP="00CE3440">
            <w:pPr>
              <w:jc w:val="both"/>
              <w:rPr>
                <w:rFonts w:cs="Arial"/>
                <w:szCs w:val="22"/>
                <w:lang w:val="sl-SI"/>
              </w:rPr>
            </w:pPr>
          </w:p>
          <w:p w14:paraId="15299680" w14:textId="77777777" w:rsidR="00FA7969" w:rsidRPr="004223D6" w:rsidRDefault="00FA7969" w:rsidP="00CE3440">
            <w:pPr>
              <w:jc w:val="both"/>
              <w:rPr>
                <w:rFonts w:cs="Arial"/>
                <w:szCs w:val="22"/>
                <w:lang w:val="sl-SI"/>
              </w:rPr>
            </w:pPr>
            <w:r w:rsidRPr="004223D6">
              <w:rPr>
                <w:rFonts w:cs="Arial"/>
                <w:szCs w:val="22"/>
                <w:lang w:val="sl-SI"/>
              </w:rPr>
              <w:t>Varstvo, razvoj in spodbujanje javnega kulturnega bogastva in dediščine</w:t>
            </w:r>
          </w:p>
        </w:tc>
      </w:tr>
    </w:tbl>
    <w:p w14:paraId="70A53C8B" w14:textId="77777777" w:rsidR="00FA7969" w:rsidRPr="004223D6" w:rsidRDefault="00FA7969" w:rsidP="00CE3440">
      <w:pPr>
        <w:jc w:val="both"/>
        <w:rPr>
          <w:rFonts w:cs="Arial"/>
          <w:szCs w:val="22"/>
          <w:lang w:val="sl-SI"/>
        </w:rPr>
      </w:pPr>
    </w:p>
    <w:p w14:paraId="0E10A08D" w14:textId="0389E360" w:rsidR="00FA7969" w:rsidRPr="00462D42" w:rsidRDefault="00FA7969" w:rsidP="00462D42">
      <w:pPr>
        <w:spacing w:line="260" w:lineRule="exact"/>
        <w:jc w:val="both"/>
        <w:rPr>
          <w:rFonts w:cs="Arial"/>
          <w:sz w:val="20"/>
          <w:szCs w:val="22"/>
          <w:lang w:val="sl-SI"/>
        </w:rPr>
      </w:pPr>
      <w:r w:rsidRPr="00462D42">
        <w:rPr>
          <w:rFonts w:cs="Arial"/>
          <w:sz w:val="20"/>
          <w:szCs w:val="22"/>
          <w:lang w:val="sl-SI"/>
        </w:rPr>
        <w:t>Finančni načrt prispevkov k ukrepom programa po o</w:t>
      </w:r>
      <w:r w:rsidR="00667628" w:rsidRPr="00462D42">
        <w:rPr>
          <w:rFonts w:cs="Arial"/>
          <w:sz w:val="20"/>
          <w:szCs w:val="22"/>
          <w:lang w:val="sl-SI"/>
        </w:rPr>
        <w:t>blikah financiranja je prikazan</w:t>
      </w:r>
      <w:r w:rsidRPr="00462D42">
        <w:rPr>
          <w:rFonts w:cs="Arial"/>
          <w:sz w:val="20"/>
          <w:szCs w:val="22"/>
          <w:lang w:val="sl-SI"/>
        </w:rPr>
        <w:t xml:space="preserve"> v zbirni preglednici priloge št. 2.</w:t>
      </w:r>
    </w:p>
    <w:p w14:paraId="4814EDB3" w14:textId="449B4E9E" w:rsidR="001C320C" w:rsidRPr="00462D42" w:rsidRDefault="001C320C" w:rsidP="00462D42">
      <w:pPr>
        <w:spacing w:line="260" w:lineRule="exact"/>
        <w:jc w:val="both"/>
        <w:rPr>
          <w:rFonts w:cs="Arial"/>
          <w:sz w:val="20"/>
          <w:szCs w:val="22"/>
          <w:lang w:val="sl-SI"/>
        </w:rPr>
      </w:pPr>
    </w:p>
    <w:p w14:paraId="2EEC0509" w14:textId="77777777" w:rsidR="00FA7969" w:rsidRPr="00462D42" w:rsidRDefault="00FA7969" w:rsidP="00462D42">
      <w:pPr>
        <w:spacing w:line="260" w:lineRule="exact"/>
        <w:jc w:val="both"/>
        <w:rPr>
          <w:rFonts w:eastAsiaTheme="majorEastAsia" w:cs="Arial"/>
          <w:b/>
          <w:sz w:val="20"/>
          <w:szCs w:val="22"/>
          <w:lang w:val="sl-SI"/>
        </w:rPr>
      </w:pPr>
    </w:p>
    <w:p w14:paraId="2F89EC82" w14:textId="77777777" w:rsidR="00FA7969" w:rsidRPr="00462D42" w:rsidRDefault="00FA7969" w:rsidP="00462D42">
      <w:pPr>
        <w:pStyle w:val="Naslov3"/>
        <w:numPr>
          <w:ilvl w:val="2"/>
          <w:numId w:val="25"/>
        </w:numPr>
        <w:spacing w:before="0" w:line="260" w:lineRule="exact"/>
        <w:jc w:val="both"/>
        <w:rPr>
          <w:rFonts w:cs="Arial"/>
          <w:sz w:val="20"/>
          <w:lang w:val="sl-SI"/>
        </w:rPr>
      </w:pPr>
      <w:r w:rsidRPr="00462D42">
        <w:rPr>
          <w:rFonts w:cs="Arial"/>
          <w:sz w:val="20"/>
          <w:lang w:val="sl-SI"/>
        </w:rPr>
        <w:t>Raziskave, razvoj in inovacije (prednostna naložba 1.2)</w:t>
      </w:r>
    </w:p>
    <w:p w14:paraId="59430095" w14:textId="77777777" w:rsidR="00FA7969" w:rsidRPr="00462D42" w:rsidRDefault="00FA7969" w:rsidP="00462D42">
      <w:pPr>
        <w:spacing w:line="260" w:lineRule="exact"/>
        <w:jc w:val="both"/>
        <w:rPr>
          <w:rFonts w:cs="Arial"/>
          <w:sz w:val="20"/>
          <w:lang w:val="sl-SI"/>
        </w:rPr>
      </w:pPr>
    </w:p>
    <w:p w14:paraId="7A7A274C" w14:textId="57347D2A" w:rsidR="00FA7969" w:rsidRPr="00462D42" w:rsidRDefault="00FA7969" w:rsidP="00462D42">
      <w:pPr>
        <w:spacing w:line="260" w:lineRule="exact"/>
        <w:jc w:val="both"/>
        <w:rPr>
          <w:rFonts w:cs="Arial"/>
          <w:sz w:val="20"/>
          <w:szCs w:val="22"/>
          <w:lang w:val="sl-SI"/>
        </w:rPr>
      </w:pPr>
      <w:r w:rsidRPr="00462D42">
        <w:rPr>
          <w:rFonts w:cs="Arial"/>
          <w:sz w:val="20"/>
          <w:szCs w:val="22"/>
          <w:lang w:val="sl-SI"/>
        </w:rPr>
        <w:t>Učinkovitejše naložbe v RRI predvsem na področjih, na katerih obstaja povpraševanje na trgu, je ključen vzvod za uspešno razvojno prestrukturiranje gospodarstva. V gospodarstvu je še vedno nizek delež raziskovalcev. Zaostajanje v inovacijski dejavnosti zmanjšuje konkurenčnost izdelkov in storitev na zunanjih trgih ter pomeni nadaljnjo stagnacijo deleža izvoza viso</w:t>
      </w:r>
      <w:r w:rsidR="00667628" w:rsidRPr="00462D42">
        <w:rPr>
          <w:rFonts w:cs="Arial"/>
          <w:sz w:val="20"/>
          <w:szCs w:val="22"/>
          <w:lang w:val="sl-SI"/>
        </w:rPr>
        <w:t>kotehnoloških izdelkov. V tekočem</w:t>
      </w:r>
      <w:r w:rsidRPr="00462D42">
        <w:rPr>
          <w:rFonts w:cs="Arial"/>
          <w:sz w:val="20"/>
          <w:szCs w:val="22"/>
          <w:lang w:val="sl-SI"/>
        </w:rPr>
        <w:t xml:space="preserve"> programskem obdobju bomo pozornost namenili večji podpori inovacijsko-razvojnim procesom v gospodarstvu in razvoju tehnologij, procesov in izdelkov ter storitev s tržnim potencialom.</w:t>
      </w:r>
    </w:p>
    <w:p w14:paraId="3B428047" w14:textId="77777777" w:rsidR="00FA7969" w:rsidRPr="00462D42" w:rsidRDefault="00FA7969" w:rsidP="00462D42">
      <w:pPr>
        <w:spacing w:line="260" w:lineRule="exact"/>
        <w:jc w:val="both"/>
        <w:rPr>
          <w:rFonts w:cs="Arial"/>
          <w:sz w:val="20"/>
          <w:szCs w:val="22"/>
          <w:lang w:val="sl-SI"/>
        </w:rPr>
      </w:pPr>
    </w:p>
    <w:p w14:paraId="013FEC67" w14:textId="77777777" w:rsidR="00FA7969" w:rsidRPr="00462D42" w:rsidRDefault="00FA7969" w:rsidP="00462D42">
      <w:pPr>
        <w:spacing w:line="260" w:lineRule="exact"/>
        <w:jc w:val="both"/>
        <w:rPr>
          <w:rFonts w:cs="Arial"/>
          <w:sz w:val="20"/>
          <w:szCs w:val="22"/>
          <w:lang w:val="sl-SI"/>
        </w:rPr>
      </w:pPr>
      <w:r w:rsidRPr="00462D42">
        <w:rPr>
          <w:rFonts w:cs="Arial"/>
          <w:sz w:val="20"/>
          <w:szCs w:val="22"/>
          <w:lang w:val="sl-SI"/>
        </w:rPr>
        <w:t>Cilj povečanja deleža inovacijsko dejavnih podjetij zahteva kombinacijo ukrepov, ki bo prispevala k večji kritični masi, potrebni za preboj in delovanje v mednarodnih verigah vrednosti. Sistem spodbud bo oblikovan tako, da se bo osredotočal na spodbude trenutno inovativnih podjetij, pa tudi na podjetja, ki delujejo na nižjem delu verige dodane vrednosti, ter jih spodbujal k razvoju novih izdelkov in storitev ter iskanju sinergij med le-temi.</w:t>
      </w:r>
    </w:p>
    <w:p w14:paraId="0C5CDF46" w14:textId="77777777" w:rsidR="00FA7969" w:rsidRPr="00462D42" w:rsidRDefault="00FA7969" w:rsidP="00462D42">
      <w:pPr>
        <w:spacing w:line="260" w:lineRule="exact"/>
        <w:jc w:val="both"/>
        <w:rPr>
          <w:rFonts w:cs="Arial"/>
          <w:sz w:val="20"/>
          <w:szCs w:val="22"/>
          <w:lang w:val="sl-SI"/>
        </w:rPr>
      </w:pPr>
    </w:p>
    <w:p w14:paraId="61EE2837" w14:textId="740094B7" w:rsidR="00FA7969" w:rsidRPr="00462D42" w:rsidRDefault="00667628" w:rsidP="00462D42">
      <w:pPr>
        <w:spacing w:line="260" w:lineRule="exact"/>
        <w:jc w:val="both"/>
        <w:rPr>
          <w:rFonts w:cs="Arial"/>
          <w:sz w:val="20"/>
          <w:szCs w:val="22"/>
          <w:lang w:val="sl-SI"/>
        </w:rPr>
      </w:pPr>
      <w:r w:rsidRPr="00462D42">
        <w:rPr>
          <w:rFonts w:cs="Arial"/>
          <w:sz w:val="20"/>
          <w:szCs w:val="22"/>
          <w:lang w:val="sl-SI"/>
        </w:rPr>
        <w:t>Prikaz načrta prispev</w:t>
      </w:r>
      <w:r w:rsidR="00FA7969" w:rsidRPr="00462D42">
        <w:rPr>
          <w:rFonts w:cs="Arial"/>
          <w:sz w:val="20"/>
          <w:szCs w:val="22"/>
          <w:lang w:val="sl-SI"/>
        </w:rPr>
        <w:t>k</w:t>
      </w:r>
      <w:r w:rsidRPr="00462D42">
        <w:rPr>
          <w:rFonts w:cs="Arial"/>
          <w:sz w:val="20"/>
          <w:szCs w:val="22"/>
          <w:lang w:val="sl-SI"/>
        </w:rPr>
        <w:t>a</w:t>
      </w:r>
      <w:r w:rsidR="00FA7969" w:rsidRPr="00462D42">
        <w:rPr>
          <w:rFonts w:cs="Arial"/>
          <w:sz w:val="20"/>
          <w:szCs w:val="22"/>
          <w:lang w:val="sl-SI"/>
        </w:rPr>
        <w:t xml:space="preserve"> k ukrepu </w:t>
      </w:r>
      <w:r w:rsidRPr="00462D42">
        <w:rPr>
          <w:rFonts w:cs="Arial"/>
          <w:sz w:val="20"/>
          <w:szCs w:val="22"/>
          <w:lang w:val="sl-SI"/>
        </w:rPr>
        <w:t xml:space="preserve">operativnega </w:t>
      </w:r>
      <w:r w:rsidR="00FA7969" w:rsidRPr="00462D42">
        <w:rPr>
          <w:rFonts w:cs="Arial"/>
          <w:sz w:val="20"/>
          <w:szCs w:val="22"/>
          <w:lang w:val="sl-SI"/>
        </w:rPr>
        <w:t>programa glede na obliko financiranja</w:t>
      </w:r>
      <w:r w:rsidR="002D7575" w:rsidRPr="00462D42">
        <w:rPr>
          <w:rFonts w:cs="Arial"/>
          <w:sz w:val="20"/>
          <w:szCs w:val="22"/>
          <w:lang w:val="sl-SI"/>
        </w:rPr>
        <w:t xml:space="preserve"> (v EUR)</w:t>
      </w:r>
      <w:r w:rsidR="00FA7969" w:rsidRPr="00462D42">
        <w:rPr>
          <w:rFonts w:cs="Arial"/>
          <w:sz w:val="20"/>
          <w:szCs w:val="22"/>
          <w:lang w:val="sl-SI"/>
        </w:rPr>
        <w:t>:</w:t>
      </w:r>
    </w:p>
    <w:tbl>
      <w:tblPr>
        <w:tblpPr w:leftFromText="141" w:rightFromText="141" w:vertAnchor="text" w:tblpXSpec="center" w:tblpY="1"/>
        <w:tblOverlap w:val="never"/>
        <w:tblW w:w="5011" w:type="pct"/>
        <w:jc w:val="center"/>
        <w:tblCellMar>
          <w:left w:w="70" w:type="dxa"/>
          <w:right w:w="70" w:type="dxa"/>
        </w:tblCellMar>
        <w:tblLook w:val="04A0" w:firstRow="1" w:lastRow="0" w:firstColumn="1" w:lastColumn="0" w:noHBand="0" w:noVBand="1"/>
      </w:tblPr>
      <w:tblGrid>
        <w:gridCol w:w="1580"/>
        <w:gridCol w:w="1585"/>
        <w:gridCol w:w="2161"/>
        <w:gridCol w:w="2018"/>
        <w:gridCol w:w="1881"/>
      </w:tblGrid>
      <w:tr w:rsidR="00FA7969" w:rsidRPr="002D7575" w14:paraId="03263444" w14:textId="77777777" w:rsidTr="002D7575">
        <w:trPr>
          <w:trHeight w:val="268"/>
          <w:jc w:val="center"/>
        </w:trPr>
        <w:tc>
          <w:tcPr>
            <w:tcW w:w="1580" w:type="dxa"/>
            <w:tcBorders>
              <w:top w:val="single" w:sz="4" w:space="0" w:color="000000"/>
              <w:left w:val="single" w:sz="4" w:space="0" w:color="auto"/>
              <w:bottom w:val="nil"/>
              <w:right w:val="nil"/>
            </w:tcBorders>
            <w:shd w:val="clear" w:color="auto" w:fill="auto"/>
            <w:hideMark/>
          </w:tcPr>
          <w:p w14:paraId="0889BCA2"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Domena ukrepa</w:t>
            </w:r>
          </w:p>
        </w:tc>
        <w:tc>
          <w:tcPr>
            <w:tcW w:w="1585" w:type="dxa"/>
            <w:tcBorders>
              <w:top w:val="single" w:sz="4" w:space="0" w:color="000000"/>
              <w:left w:val="single" w:sz="4" w:space="0" w:color="auto"/>
              <w:bottom w:val="nil"/>
              <w:right w:val="nil"/>
            </w:tcBorders>
            <w:shd w:val="clear" w:color="auto" w:fill="auto"/>
            <w:hideMark/>
          </w:tcPr>
          <w:p w14:paraId="27164B33"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Oblika financiranja</w:t>
            </w:r>
          </w:p>
        </w:tc>
        <w:tc>
          <w:tcPr>
            <w:tcW w:w="2161" w:type="dxa"/>
            <w:tcBorders>
              <w:top w:val="single" w:sz="4" w:space="0" w:color="000000"/>
              <w:left w:val="single" w:sz="4" w:space="0" w:color="auto"/>
              <w:bottom w:val="nil"/>
              <w:right w:val="nil"/>
            </w:tcBorders>
            <w:shd w:val="clear" w:color="auto" w:fill="auto"/>
            <w:hideMark/>
          </w:tcPr>
          <w:p w14:paraId="1D4FADC9"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FI (EU del) - VZHOD</w:t>
            </w:r>
          </w:p>
        </w:tc>
        <w:tc>
          <w:tcPr>
            <w:tcW w:w="2018" w:type="dxa"/>
            <w:tcBorders>
              <w:top w:val="single" w:sz="4" w:space="0" w:color="000000"/>
              <w:left w:val="single" w:sz="4" w:space="0" w:color="auto"/>
              <w:bottom w:val="nil"/>
              <w:right w:val="nil"/>
            </w:tcBorders>
            <w:shd w:val="clear" w:color="auto" w:fill="auto"/>
            <w:hideMark/>
          </w:tcPr>
          <w:p w14:paraId="14CAABB9"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FI (EU del) - ZAHOD</w:t>
            </w:r>
          </w:p>
        </w:tc>
        <w:tc>
          <w:tcPr>
            <w:tcW w:w="1881" w:type="dxa"/>
            <w:tcBorders>
              <w:top w:val="single" w:sz="4" w:space="0" w:color="000000"/>
              <w:left w:val="single" w:sz="4" w:space="0" w:color="auto"/>
              <w:bottom w:val="nil"/>
              <w:right w:val="single" w:sz="4" w:space="0" w:color="auto"/>
            </w:tcBorders>
            <w:shd w:val="clear" w:color="auto" w:fill="auto"/>
            <w:hideMark/>
          </w:tcPr>
          <w:p w14:paraId="3E2A986C"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Skupaj FI (EU del)</w:t>
            </w:r>
          </w:p>
        </w:tc>
      </w:tr>
      <w:tr w:rsidR="00FA7969" w:rsidRPr="002D7575" w14:paraId="4341F724"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6BAFBDB0" w14:textId="77777777" w:rsidR="00FA7969" w:rsidRPr="002D7575" w:rsidRDefault="00FA7969" w:rsidP="002D7575">
            <w:pPr>
              <w:jc w:val="both"/>
              <w:rPr>
                <w:rFonts w:cs="Arial"/>
                <w:sz w:val="16"/>
                <w:szCs w:val="16"/>
                <w:lang w:val="sl-SI"/>
              </w:rPr>
            </w:pPr>
            <w:r w:rsidRPr="002D7575">
              <w:rPr>
                <w:rFonts w:cs="Arial"/>
                <w:sz w:val="16"/>
                <w:szCs w:val="16"/>
                <w:lang w:val="sl-SI"/>
              </w:rPr>
              <w:t>056</w:t>
            </w:r>
          </w:p>
        </w:tc>
        <w:tc>
          <w:tcPr>
            <w:tcW w:w="1585" w:type="dxa"/>
            <w:vMerge w:val="restart"/>
            <w:tcBorders>
              <w:top w:val="single" w:sz="4" w:space="0" w:color="auto"/>
              <w:left w:val="single" w:sz="4" w:space="0" w:color="auto"/>
              <w:right w:val="nil"/>
            </w:tcBorders>
            <w:shd w:val="clear" w:color="auto" w:fill="auto"/>
            <w:noWrap/>
            <w:vAlign w:val="center"/>
            <w:hideMark/>
          </w:tcPr>
          <w:p w14:paraId="500CF07D"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Posojila</w:t>
            </w:r>
          </w:p>
        </w:tc>
        <w:tc>
          <w:tcPr>
            <w:tcW w:w="2161" w:type="dxa"/>
            <w:tcBorders>
              <w:top w:val="single" w:sz="4" w:space="0" w:color="auto"/>
              <w:left w:val="single" w:sz="4" w:space="0" w:color="auto"/>
              <w:bottom w:val="nil"/>
              <w:right w:val="nil"/>
            </w:tcBorders>
            <w:shd w:val="clear" w:color="auto" w:fill="auto"/>
            <w:noWrap/>
            <w:vAlign w:val="center"/>
            <w:hideMark/>
          </w:tcPr>
          <w:p w14:paraId="1B72DD61" w14:textId="77777777" w:rsidR="00FA7969" w:rsidRPr="002D7575" w:rsidRDefault="00FA7969" w:rsidP="002D7575">
            <w:pPr>
              <w:jc w:val="right"/>
              <w:rPr>
                <w:rFonts w:cs="Arial"/>
                <w:sz w:val="16"/>
                <w:szCs w:val="16"/>
                <w:lang w:val="sl-SI"/>
              </w:rPr>
            </w:pPr>
            <w:r w:rsidRPr="002D7575">
              <w:rPr>
                <w:rFonts w:cs="Arial"/>
                <w:sz w:val="16"/>
                <w:szCs w:val="16"/>
                <w:lang w:val="sl-SI"/>
              </w:rPr>
              <w:t>11.000.000,00</w:t>
            </w:r>
          </w:p>
        </w:tc>
        <w:tc>
          <w:tcPr>
            <w:tcW w:w="2018" w:type="dxa"/>
            <w:tcBorders>
              <w:top w:val="single" w:sz="4" w:space="0" w:color="auto"/>
              <w:left w:val="single" w:sz="4" w:space="0" w:color="auto"/>
              <w:bottom w:val="nil"/>
              <w:right w:val="nil"/>
            </w:tcBorders>
            <w:shd w:val="clear" w:color="auto" w:fill="auto"/>
            <w:noWrap/>
            <w:vAlign w:val="center"/>
            <w:hideMark/>
          </w:tcPr>
          <w:p w14:paraId="20A39048" w14:textId="77777777" w:rsidR="00FA7969" w:rsidRPr="002D7575" w:rsidRDefault="00FA7969" w:rsidP="002D7575">
            <w:pPr>
              <w:jc w:val="right"/>
              <w:rPr>
                <w:rFonts w:cs="Arial"/>
                <w:sz w:val="16"/>
                <w:szCs w:val="16"/>
                <w:lang w:val="sl-SI"/>
              </w:rPr>
            </w:pPr>
            <w:r w:rsidRPr="002D7575">
              <w:rPr>
                <w:rFonts w:cs="Arial"/>
                <w:sz w:val="16"/>
                <w:szCs w:val="16"/>
                <w:lang w:val="sl-SI"/>
              </w:rPr>
              <w:t>17.000.000,00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3DE2DCEB" w14:textId="77777777" w:rsidR="00FA7969" w:rsidRPr="002D7575" w:rsidRDefault="00FA7969" w:rsidP="002D7575">
            <w:pPr>
              <w:jc w:val="right"/>
              <w:rPr>
                <w:rFonts w:cs="Arial"/>
                <w:sz w:val="16"/>
                <w:szCs w:val="16"/>
                <w:lang w:val="sl-SI"/>
              </w:rPr>
            </w:pPr>
            <w:r w:rsidRPr="002D7575">
              <w:rPr>
                <w:rFonts w:cs="Arial"/>
                <w:sz w:val="16"/>
                <w:szCs w:val="16"/>
                <w:lang w:val="sl-SI"/>
              </w:rPr>
              <w:t>28.000.000,00</w:t>
            </w:r>
          </w:p>
        </w:tc>
      </w:tr>
      <w:tr w:rsidR="00FA7969" w:rsidRPr="002D7575" w14:paraId="6CC43FE5"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54B2FCC3" w14:textId="77777777" w:rsidR="00FA7969" w:rsidRPr="002D7575" w:rsidRDefault="00FA7969" w:rsidP="002D7575">
            <w:pPr>
              <w:jc w:val="both"/>
              <w:rPr>
                <w:rFonts w:cs="Arial"/>
                <w:sz w:val="16"/>
                <w:szCs w:val="16"/>
                <w:lang w:val="sl-SI"/>
              </w:rPr>
            </w:pPr>
            <w:r w:rsidRPr="002D7575">
              <w:rPr>
                <w:rFonts w:cs="Arial"/>
                <w:sz w:val="16"/>
                <w:szCs w:val="16"/>
                <w:lang w:val="sl-SI"/>
              </w:rPr>
              <w:t>057</w:t>
            </w:r>
          </w:p>
        </w:tc>
        <w:tc>
          <w:tcPr>
            <w:tcW w:w="1585" w:type="dxa"/>
            <w:vMerge/>
            <w:tcBorders>
              <w:left w:val="single" w:sz="4" w:space="0" w:color="auto"/>
              <w:right w:val="nil"/>
            </w:tcBorders>
            <w:shd w:val="clear" w:color="auto" w:fill="auto"/>
            <w:noWrap/>
            <w:vAlign w:val="center"/>
            <w:hideMark/>
          </w:tcPr>
          <w:p w14:paraId="7197B920" w14:textId="77777777" w:rsidR="00FA7969" w:rsidRPr="002D7575" w:rsidRDefault="00FA7969" w:rsidP="002D7575">
            <w:pPr>
              <w:jc w:val="both"/>
              <w:outlineLvl w:val="2"/>
              <w:rPr>
                <w:rFonts w:cs="Arial"/>
                <w:color w:val="000000"/>
                <w:sz w:val="16"/>
                <w:szCs w:val="16"/>
                <w:lang w:val="sl-SI"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64A5FD3B" w14:textId="77777777" w:rsidR="00FA7969" w:rsidRPr="002D7575" w:rsidRDefault="00FA7969" w:rsidP="002D7575">
            <w:pPr>
              <w:jc w:val="right"/>
              <w:rPr>
                <w:rFonts w:cs="Arial"/>
                <w:sz w:val="16"/>
                <w:szCs w:val="16"/>
                <w:lang w:val="sl-SI"/>
              </w:rPr>
            </w:pPr>
            <w:r w:rsidRPr="002D7575">
              <w:rPr>
                <w:rFonts w:cs="Arial"/>
                <w:sz w:val="16"/>
                <w:szCs w:val="16"/>
                <w:lang w:val="sl-SI"/>
              </w:rPr>
              <w:t>8.000.000,00</w:t>
            </w:r>
          </w:p>
        </w:tc>
        <w:tc>
          <w:tcPr>
            <w:tcW w:w="2018" w:type="dxa"/>
            <w:tcBorders>
              <w:top w:val="single" w:sz="4" w:space="0" w:color="auto"/>
              <w:left w:val="single" w:sz="4" w:space="0" w:color="auto"/>
              <w:bottom w:val="nil"/>
              <w:right w:val="nil"/>
            </w:tcBorders>
            <w:shd w:val="clear" w:color="auto" w:fill="auto"/>
            <w:noWrap/>
            <w:vAlign w:val="center"/>
            <w:hideMark/>
          </w:tcPr>
          <w:p w14:paraId="4EF09CF8" w14:textId="77777777" w:rsidR="00FA7969" w:rsidRPr="002D7575" w:rsidRDefault="00FA7969" w:rsidP="002D7575">
            <w:pPr>
              <w:jc w:val="right"/>
              <w:rPr>
                <w:rFonts w:cs="Arial"/>
                <w:sz w:val="16"/>
                <w:szCs w:val="16"/>
                <w:lang w:val="sl-SI"/>
              </w:rPr>
            </w:pPr>
            <w:r w:rsidRPr="002D7575">
              <w:rPr>
                <w:rFonts w:cs="Arial"/>
                <w:sz w:val="16"/>
                <w:szCs w:val="16"/>
                <w:lang w:val="sl-SI"/>
              </w:rPr>
              <w:t>12.000.000,00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7FC2BC71" w14:textId="77777777" w:rsidR="00FA7969" w:rsidRPr="002D7575" w:rsidRDefault="00FA7969" w:rsidP="002D7575">
            <w:pPr>
              <w:jc w:val="right"/>
              <w:rPr>
                <w:rFonts w:cs="Arial"/>
                <w:sz w:val="16"/>
                <w:szCs w:val="16"/>
                <w:lang w:val="sl-SI"/>
              </w:rPr>
            </w:pPr>
            <w:r w:rsidRPr="002D7575">
              <w:rPr>
                <w:rFonts w:cs="Arial"/>
                <w:sz w:val="16"/>
                <w:szCs w:val="16"/>
                <w:lang w:val="sl-SI"/>
              </w:rPr>
              <w:t>20.000.000,00</w:t>
            </w:r>
          </w:p>
        </w:tc>
      </w:tr>
      <w:tr w:rsidR="00763EEA" w:rsidRPr="002D7575" w14:paraId="6DF44571"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3FD43658" w14:textId="77777777" w:rsidR="00763EEA" w:rsidRPr="002D7575" w:rsidRDefault="00763EEA" w:rsidP="002D7575">
            <w:pPr>
              <w:jc w:val="both"/>
              <w:rPr>
                <w:rFonts w:cs="Arial"/>
                <w:sz w:val="16"/>
                <w:szCs w:val="16"/>
                <w:lang w:val="sl-SI"/>
              </w:rPr>
            </w:pPr>
            <w:r w:rsidRPr="002D7575">
              <w:rPr>
                <w:rFonts w:cs="Arial"/>
                <w:sz w:val="16"/>
                <w:szCs w:val="16"/>
                <w:lang w:val="sl-SI"/>
              </w:rPr>
              <w:t>065</w:t>
            </w:r>
          </w:p>
        </w:tc>
        <w:tc>
          <w:tcPr>
            <w:tcW w:w="1585" w:type="dxa"/>
            <w:vMerge/>
            <w:tcBorders>
              <w:left w:val="single" w:sz="4" w:space="0" w:color="auto"/>
              <w:bottom w:val="nil"/>
              <w:right w:val="nil"/>
            </w:tcBorders>
            <w:shd w:val="clear" w:color="auto" w:fill="auto"/>
            <w:noWrap/>
            <w:vAlign w:val="center"/>
            <w:hideMark/>
          </w:tcPr>
          <w:p w14:paraId="4B359513" w14:textId="77777777" w:rsidR="00763EEA" w:rsidRPr="002D7575" w:rsidRDefault="00763EEA" w:rsidP="002D7575">
            <w:pPr>
              <w:jc w:val="both"/>
              <w:outlineLvl w:val="2"/>
              <w:rPr>
                <w:rFonts w:cs="Arial"/>
                <w:color w:val="000000"/>
                <w:sz w:val="16"/>
                <w:szCs w:val="16"/>
                <w:lang w:val="sl-SI"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61A4E233" w14:textId="07A4A5F3" w:rsidR="00763EEA" w:rsidRPr="002D7575" w:rsidRDefault="00763EEA" w:rsidP="002D7575">
            <w:pPr>
              <w:jc w:val="right"/>
              <w:rPr>
                <w:rFonts w:cs="Arial"/>
                <w:sz w:val="16"/>
                <w:szCs w:val="16"/>
                <w:lang w:val="sl-SI"/>
              </w:rPr>
            </w:pPr>
            <w:r w:rsidRPr="002D7575">
              <w:rPr>
                <w:rFonts w:cs="Arial"/>
                <w:sz w:val="16"/>
                <w:szCs w:val="16"/>
                <w:lang w:val="sl-SI"/>
              </w:rPr>
              <w:t>4.000.000,00</w:t>
            </w:r>
          </w:p>
        </w:tc>
        <w:tc>
          <w:tcPr>
            <w:tcW w:w="2018" w:type="dxa"/>
            <w:tcBorders>
              <w:top w:val="single" w:sz="4" w:space="0" w:color="auto"/>
              <w:left w:val="single" w:sz="4" w:space="0" w:color="auto"/>
              <w:bottom w:val="nil"/>
              <w:right w:val="nil"/>
            </w:tcBorders>
            <w:shd w:val="clear" w:color="auto" w:fill="auto"/>
            <w:noWrap/>
            <w:vAlign w:val="center"/>
            <w:hideMark/>
          </w:tcPr>
          <w:p w14:paraId="0D86B8BD" w14:textId="0DA2B824" w:rsidR="00763EEA" w:rsidRPr="002D7575" w:rsidRDefault="00763EEA" w:rsidP="002D7575">
            <w:pPr>
              <w:jc w:val="right"/>
              <w:rPr>
                <w:rFonts w:cs="Arial"/>
                <w:sz w:val="16"/>
                <w:szCs w:val="16"/>
                <w:lang w:val="sl-SI"/>
              </w:rPr>
            </w:pPr>
            <w:r w:rsidRPr="002D7575">
              <w:rPr>
                <w:rFonts w:cs="Arial"/>
                <w:sz w:val="16"/>
                <w:szCs w:val="16"/>
                <w:lang w:val="sl-SI"/>
              </w:rPr>
              <w:t>6.000.000,00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0469E7F5" w14:textId="77777777" w:rsidR="00763EEA" w:rsidRPr="002D7575" w:rsidRDefault="00763EEA" w:rsidP="002D7575">
            <w:pPr>
              <w:jc w:val="right"/>
              <w:rPr>
                <w:rFonts w:cs="Arial"/>
                <w:sz w:val="16"/>
                <w:szCs w:val="16"/>
                <w:lang w:val="sl-SI"/>
              </w:rPr>
            </w:pPr>
            <w:r w:rsidRPr="002D7575">
              <w:rPr>
                <w:rFonts w:cs="Arial"/>
                <w:sz w:val="16"/>
                <w:szCs w:val="16"/>
                <w:lang w:val="sl-SI"/>
              </w:rPr>
              <w:t>10.000.000,00</w:t>
            </w:r>
          </w:p>
        </w:tc>
      </w:tr>
      <w:tr w:rsidR="00763EEA" w:rsidRPr="002D7575" w14:paraId="77B1B033" w14:textId="77777777" w:rsidTr="002D7575">
        <w:trPr>
          <w:trHeight w:val="300"/>
          <w:jc w:val="center"/>
        </w:trPr>
        <w:tc>
          <w:tcPr>
            <w:tcW w:w="3165" w:type="dxa"/>
            <w:gridSpan w:val="2"/>
            <w:tcBorders>
              <w:top w:val="single" w:sz="4" w:space="0" w:color="auto"/>
              <w:left w:val="single" w:sz="4" w:space="0" w:color="auto"/>
              <w:bottom w:val="nil"/>
              <w:right w:val="nil"/>
            </w:tcBorders>
            <w:shd w:val="clear" w:color="auto" w:fill="auto"/>
            <w:noWrap/>
            <w:vAlign w:val="bottom"/>
            <w:hideMark/>
          </w:tcPr>
          <w:p w14:paraId="4F18FD08" w14:textId="77777777" w:rsidR="00763EEA" w:rsidRPr="002D7575" w:rsidRDefault="00763EEA" w:rsidP="002D7575">
            <w:pPr>
              <w:jc w:val="both"/>
              <w:outlineLvl w:val="1"/>
              <w:rPr>
                <w:rFonts w:cs="Arial"/>
                <w:color w:val="000000"/>
                <w:sz w:val="16"/>
                <w:szCs w:val="16"/>
                <w:lang w:val="sl-SI" w:eastAsia="sl-SI"/>
              </w:rPr>
            </w:pPr>
            <w:r w:rsidRPr="002D7575">
              <w:rPr>
                <w:rFonts w:cs="Arial"/>
                <w:color w:val="000000"/>
                <w:sz w:val="16"/>
                <w:szCs w:val="16"/>
                <w:lang w:val="sl-SI" w:eastAsia="sl-SI"/>
              </w:rPr>
              <w:t> </w:t>
            </w:r>
          </w:p>
          <w:p w14:paraId="0CAFF4D9" w14:textId="77777777" w:rsidR="00763EEA" w:rsidRPr="002D7575" w:rsidRDefault="00763EEA" w:rsidP="002D7575">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(posojila)</w:t>
            </w:r>
          </w:p>
        </w:tc>
        <w:tc>
          <w:tcPr>
            <w:tcW w:w="2161" w:type="dxa"/>
            <w:tcBorders>
              <w:top w:val="single" w:sz="4" w:space="0" w:color="auto"/>
              <w:left w:val="single" w:sz="4" w:space="0" w:color="auto"/>
              <w:bottom w:val="nil"/>
              <w:right w:val="nil"/>
            </w:tcBorders>
            <w:shd w:val="clear" w:color="auto" w:fill="auto"/>
            <w:noWrap/>
            <w:vAlign w:val="center"/>
            <w:hideMark/>
          </w:tcPr>
          <w:p w14:paraId="5550F39C" w14:textId="314B2A93" w:rsidR="00763EEA" w:rsidRPr="002D7575" w:rsidRDefault="00763EEA" w:rsidP="002D7575">
            <w:pPr>
              <w:jc w:val="right"/>
              <w:rPr>
                <w:rFonts w:cs="Arial"/>
                <w:b/>
                <w:sz w:val="16"/>
                <w:szCs w:val="16"/>
                <w:lang w:val="sl-SI"/>
              </w:rPr>
            </w:pPr>
            <w:r w:rsidRPr="002D7575">
              <w:rPr>
                <w:rFonts w:cs="Arial"/>
                <w:b/>
                <w:sz w:val="16"/>
                <w:szCs w:val="16"/>
                <w:lang w:val="sl-SI"/>
              </w:rPr>
              <w:t>23.000.000,00</w:t>
            </w:r>
          </w:p>
        </w:tc>
        <w:tc>
          <w:tcPr>
            <w:tcW w:w="2018" w:type="dxa"/>
            <w:tcBorders>
              <w:top w:val="single" w:sz="4" w:space="0" w:color="auto"/>
              <w:left w:val="single" w:sz="4" w:space="0" w:color="auto"/>
              <w:bottom w:val="nil"/>
              <w:right w:val="nil"/>
            </w:tcBorders>
            <w:shd w:val="clear" w:color="auto" w:fill="auto"/>
            <w:noWrap/>
            <w:vAlign w:val="center"/>
            <w:hideMark/>
          </w:tcPr>
          <w:p w14:paraId="1D9E8C27" w14:textId="5713395B" w:rsidR="00763EEA" w:rsidRPr="002D7575" w:rsidRDefault="00763EEA" w:rsidP="002D7575">
            <w:pPr>
              <w:jc w:val="right"/>
              <w:rPr>
                <w:rFonts w:cs="Arial"/>
                <w:b/>
                <w:sz w:val="16"/>
                <w:szCs w:val="16"/>
                <w:lang w:val="sl-SI"/>
              </w:rPr>
            </w:pPr>
            <w:r w:rsidRPr="002D7575">
              <w:rPr>
                <w:rFonts w:cs="Arial"/>
                <w:b/>
                <w:sz w:val="16"/>
                <w:szCs w:val="16"/>
                <w:lang w:val="sl-SI"/>
              </w:rPr>
              <w:t>35.000.000,00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66737DE5" w14:textId="77777777" w:rsidR="00763EEA" w:rsidRPr="002D7575" w:rsidRDefault="00763EEA" w:rsidP="002D7575">
            <w:pPr>
              <w:jc w:val="right"/>
              <w:rPr>
                <w:rFonts w:cs="Arial"/>
                <w:b/>
                <w:sz w:val="16"/>
                <w:szCs w:val="16"/>
                <w:lang w:val="sl-SI"/>
              </w:rPr>
            </w:pPr>
            <w:r w:rsidRPr="002D7575">
              <w:rPr>
                <w:rFonts w:cs="Arial"/>
                <w:b/>
                <w:sz w:val="16"/>
                <w:szCs w:val="16"/>
                <w:lang w:val="sl-SI"/>
              </w:rPr>
              <w:t>58.000.000,00</w:t>
            </w:r>
          </w:p>
        </w:tc>
      </w:tr>
      <w:tr w:rsidR="00763EEA" w:rsidRPr="002D7575" w14:paraId="31E79FEF"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76C197F3" w14:textId="77777777" w:rsidR="00763EEA" w:rsidRPr="002D7575" w:rsidRDefault="00763EEA" w:rsidP="002D7575">
            <w:pPr>
              <w:jc w:val="both"/>
              <w:rPr>
                <w:rFonts w:cs="Arial"/>
                <w:sz w:val="16"/>
                <w:szCs w:val="16"/>
                <w:lang w:val="sl-SI"/>
              </w:rPr>
            </w:pPr>
            <w:r w:rsidRPr="002D7575">
              <w:rPr>
                <w:rFonts w:cs="Arial"/>
                <w:sz w:val="16"/>
                <w:szCs w:val="16"/>
                <w:lang w:val="sl-SI"/>
              </w:rPr>
              <w:t>056</w:t>
            </w:r>
          </w:p>
        </w:tc>
        <w:tc>
          <w:tcPr>
            <w:tcW w:w="1585" w:type="dxa"/>
            <w:vMerge w:val="restart"/>
            <w:tcBorders>
              <w:top w:val="single" w:sz="4" w:space="0" w:color="auto"/>
              <w:left w:val="single" w:sz="4" w:space="0" w:color="auto"/>
              <w:right w:val="nil"/>
            </w:tcBorders>
            <w:shd w:val="clear" w:color="auto" w:fill="auto"/>
            <w:noWrap/>
            <w:vAlign w:val="center"/>
            <w:hideMark/>
          </w:tcPr>
          <w:p w14:paraId="7BEF3631" w14:textId="3A36C137" w:rsidR="00763EEA" w:rsidRPr="002D7575" w:rsidRDefault="002D7575" w:rsidP="002D7575">
            <w:pPr>
              <w:jc w:val="center"/>
              <w:outlineLvl w:val="2"/>
              <w:rPr>
                <w:rFonts w:cs="Arial"/>
                <w:color w:val="000000"/>
                <w:sz w:val="16"/>
                <w:szCs w:val="16"/>
                <w:lang w:val="sl-SI" w:eastAsia="sl-SI"/>
              </w:rPr>
            </w:pPr>
            <w:r>
              <w:rPr>
                <w:rFonts w:cs="Arial"/>
                <w:color w:val="000000"/>
                <w:sz w:val="16"/>
                <w:szCs w:val="16"/>
                <w:lang w:val="sl-SI" w:eastAsia="sl-SI"/>
              </w:rPr>
              <w:t>Garancije</w:t>
            </w:r>
          </w:p>
        </w:tc>
        <w:tc>
          <w:tcPr>
            <w:tcW w:w="2161" w:type="dxa"/>
            <w:tcBorders>
              <w:top w:val="single" w:sz="4" w:space="0" w:color="auto"/>
              <w:left w:val="single" w:sz="4" w:space="0" w:color="auto"/>
              <w:bottom w:val="nil"/>
              <w:right w:val="nil"/>
            </w:tcBorders>
            <w:shd w:val="clear" w:color="auto" w:fill="auto"/>
            <w:noWrap/>
            <w:vAlign w:val="center"/>
            <w:hideMark/>
          </w:tcPr>
          <w:p w14:paraId="22FEEBD1" w14:textId="77777777" w:rsidR="00763EEA" w:rsidRPr="002D7575" w:rsidRDefault="00763EEA" w:rsidP="002D7575">
            <w:pPr>
              <w:jc w:val="right"/>
              <w:rPr>
                <w:rFonts w:cs="Arial"/>
                <w:sz w:val="16"/>
                <w:szCs w:val="16"/>
                <w:lang w:val="sl-SI"/>
              </w:rPr>
            </w:pPr>
            <w:r w:rsidRPr="002D7575">
              <w:rPr>
                <w:rFonts w:cs="Arial"/>
                <w:sz w:val="16"/>
                <w:szCs w:val="16"/>
                <w:lang w:val="sl-SI"/>
              </w:rPr>
              <w:t>6.000.000,00</w:t>
            </w:r>
          </w:p>
        </w:tc>
        <w:tc>
          <w:tcPr>
            <w:tcW w:w="2018" w:type="dxa"/>
            <w:tcBorders>
              <w:top w:val="single" w:sz="4" w:space="0" w:color="auto"/>
              <w:left w:val="single" w:sz="4" w:space="0" w:color="auto"/>
              <w:bottom w:val="nil"/>
              <w:right w:val="nil"/>
            </w:tcBorders>
            <w:shd w:val="clear" w:color="auto" w:fill="auto"/>
            <w:noWrap/>
            <w:vAlign w:val="center"/>
            <w:hideMark/>
          </w:tcPr>
          <w:p w14:paraId="28A967B3" w14:textId="77777777" w:rsidR="00763EEA" w:rsidRPr="002D7575" w:rsidRDefault="00763EEA" w:rsidP="002D7575">
            <w:pPr>
              <w:jc w:val="right"/>
              <w:rPr>
                <w:rFonts w:cs="Arial"/>
                <w:sz w:val="16"/>
                <w:szCs w:val="16"/>
                <w:lang w:val="sl-SI"/>
              </w:rPr>
            </w:pPr>
            <w:r w:rsidRPr="002D7575">
              <w:rPr>
                <w:rFonts w:cs="Arial"/>
                <w:sz w:val="16"/>
                <w:szCs w:val="16"/>
                <w:lang w:val="sl-SI"/>
              </w:rPr>
              <w:t>9.000.000,00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05FC0F67" w14:textId="77777777" w:rsidR="00763EEA" w:rsidRPr="002D7575" w:rsidRDefault="00763EEA" w:rsidP="002D7575">
            <w:pPr>
              <w:jc w:val="right"/>
              <w:rPr>
                <w:rFonts w:cs="Arial"/>
                <w:sz w:val="16"/>
                <w:szCs w:val="16"/>
                <w:lang w:val="sl-SI"/>
              </w:rPr>
            </w:pPr>
            <w:r w:rsidRPr="002D7575">
              <w:rPr>
                <w:rFonts w:cs="Arial"/>
                <w:sz w:val="16"/>
                <w:szCs w:val="16"/>
                <w:lang w:val="sl-SI"/>
              </w:rPr>
              <w:t>15.000.000,00</w:t>
            </w:r>
          </w:p>
        </w:tc>
      </w:tr>
      <w:tr w:rsidR="00763EEA" w:rsidRPr="002D7575" w14:paraId="7E10504D"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tcPr>
          <w:p w14:paraId="1DEF7289" w14:textId="77777777" w:rsidR="00763EEA" w:rsidRPr="002D7575" w:rsidRDefault="00763EEA" w:rsidP="002D7575">
            <w:pPr>
              <w:jc w:val="both"/>
              <w:rPr>
                <w:rFonts w:cs="Arial"/>
                <w:sz w:val="16"/>
                <w:szCs w:val="16"/>
                <w:lang w:val="sl-SI"/>
              </w:rPr>
            </w:pPr>
            <w:r w:rsidRPr="002D7575">
              <w:rPr>
                <w:rFonts w:cs="Arial"/>
                <w:sz w:val="16"/>
                <w:szCs w:val="16"/>
                <w:lang w:val="sl-SI"/>
              </w:rPr>
              <w:t>065</w:t>
            </w:r>
          </w:p>
        </w:tc>
        <w:tc>
          <w:tcPr>
            <w:tcW w:w="1585" w:type="dxa"/>
            <w:vMerge/>
            <w:tcBorders>
              <w:left w:val="single" w:sz="4" w:space="0" w:color="auto"/>
              <w:bottom w:val="nil"/>
              <w:right w:val="nil"/>
            </w:tcBorders>
            <w:shd w:val="clear" w:color="auto" w:fill="auto"/>
            <w:noWrap/>
            <w:vAlign w:val="center"/>
            <w:hideMark/>
          </w:tcPr>
          <w:p w14:paraId="0609BC07" w14:textId="77777777" w:rsidR="00763EEA" w:rsidRPr="002D7575" w:rsidRDefault="00763EEA" w:rsidP="002D7575">
            <w:pPr>
              <w:jc w:val="both"/>
              <w:outlineLvl w:val="2"/>
              <w:rPr>
                <w:rFonts w:cs="Arial"/>
                <w:color w:val="000000"/>
                <w:sz w:val="16"/>
                <w:szCs w:val="16"/>
                <w:lang w:val="sl-SI"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3E7F0C3E" w14:textId="77777777" w:rsidR="00763EEA" w:rsidRPr="002D7575" w:rsidRDefault="00763EEA" w:rsidP="002D7575">
            <w:pPr>
              <w:jc w:val="right"/>
              <w:rPr>
                <w:rFonts w:cs="Arial"/>
                <w:sz w:val="16"/>
                <w:szCs w:val="16"/>
                <w:lang w:val="sl-SI"/>
              </w:rPr>
            </w:pPr>
            <w:r w:rsidRPr="002D7575">
              <w:rPr>
                <w:rFonts w:cs="Arial"/>
                <w:sz w:val="16"/>
                <w:szCs w:val="16"/>
                <w:lang w:val="sl-SI"/>
              </w:rPr>
              <w:t>5.200.000,00</w:t>
            </w:r>
          </w:p>
        </w:tc>
        <w:tc>
          <w:tcPr>
            <w:tcW w:w="2018" w:type="dxa"/>
            <w:tcBorders>
              <w:top w:val="single" w:sz="4" w:space="0" w:color="auto"/>
              <w:left w:val="single" w:sz="4" w:space="0" w:color="auto"/>
              <w:bottom w:val="nil"/>
              <w:right w:val="nil"/>
            </w:tcBorders>
            <w:shd w:val="clear" w:color="auto" w:fill="auto"/>
            <w:noWrap/>
            <w:vAlign w:val="center"/>
            <w:hideMark/>
          </w:tcPr>
          <w:p w14:paraId="2B058D1A" w14:textId="77777777" w:rsidR="00763EEA" w:rsidRPr="002D7575" w:rsidRDefault="00763EEA" w:rsidP="002D7575">
            <w:pPr>
              <w:jc w:val="right"/>
              <w:rPr>
                <w:rFonts w:cs="Arial"/>
                <w:sz w:val="16"/>
                <w:szCs w:val="16"/>
                <w:lang w:val="sl-SI"/>
              </w:rPr>
            </w:pPr>
            <w:r w:rsidRPr="002D7575">
              <w:rPr>
                <w:rFonts w:cs="Arial"/>
                <w:sz w:val="16"/>
                <w:szCs w:val="16"/>
                <w:lang w:val="sl-SI"/>
              </w:rPr>
              <w:t>9.800.000,00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0F02EB7A" w14:textId="77777777" w:rsidR="00763EEA" w:rsidRPr="002D7575" w:rsidRDefault="00763EEA" w:rsidP="002D7575">
            <w:pPr>
              <w:jc w:val="right"/>
              <w:rPr>
                <w:rFonts w:cs="Arial"/>
                <w:sz w:val="16"/>
                <w:szCs w:val="16"/>
                <w:lang w:val="sl-SI"/>
              </w:rPr>
            </w:pPr>
            <w:r w:rsidRPr="002D7575">
              <w:rPr>
                <w:rFonts w:cs="Arial"/>
                <w:sz w:val="16"/>
                <w:szCs w:val="16"/>
                <w:lang w:val="sl-SI"/>
              </w:rPr>
              <w:t>15.000.000,00</w:t>
            </w:r>
          </w:p>
        </w:tc>
      </w:tr>
      <w:tr w:rsidR="00763EEA" w:rsidRPr="002D7575" w14:paraId="3F163F48" w14:textId="77777777" w:rsidTr="002D7575">
        <w:trPr>
          <w:trHeight w:val="300"/>
          <w:jc w:val="center"/>
        </w:trPr>
        <w:tc>
          <w:tcPr>
            <w:tcW w:w="31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E5A7E3" w14:textId="77777777" w:rsidR="00763EEA" w:rsidRPr="002D7575" w:rsidRDefault="00763EEA" w:rsidP="002D7575">
            <w:pPr>
              <w:jc w:val="both"/>
              <w:outlineLvl w:val="1"/>
              <w:rPr>
                <w:rFonts w:cs="Arial"/>
                <w:color w:val="000000"/>
                <w:sz w:val="16"/>
                <w:szCs w:val="16"/>
                <w:lang w:val="sl-SI" w:eastAsia="sl-SI"/>
              </w:rPr>
            </w:pPr>
            <w:r w:rsidRPr="002D7575">
              <w:rPr>
                <w:rFonts w:cs="Arial"/>
                <w:color w:val="000000"/>
                <w:sz w:val="16"/>
                <w:szCs w:val="16"/>
                <w:lang w:val="sl-SI" w:eastAsia="sl-SI"/>
              </w:rPr>
              <w:t> </w:t>
            </w:r>
          </w:p>
          <w:p w14:paraId="4F668A81" w14:textId="77777777" w:rsidR="00763EEA" w:rsidRPr="002D7575" w:rsidRDefault="00763EEA" w:rsidP="002D7575">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(jamstva)</w:t>
            </w:r>
          </w:p>
        </w:tc>
        <w:tc>
          <w:tcPr>
            <w:tcW w:w="2161" w:type="dxa"/>
            <w:tcBorders>
              <w:top w:val="single" w:sz="4" w:space="0" w:color="auto"/>
              <w:left w:val="single" w:sz="4" w:space="0" w:color="auto"/>
              <w:bottom w:val="single" w:sz="4" w:space="0" w:color="auto"/>
              <w:right w:val="nil"/>
            </w:tcBorders>
            <w:shd w:val="clear" w:color="auto" w:fill="auto"/>
            <w:noWrap/>
            <w:vAlign w:val="center"/>
            <w:hideMark/>
          </w:tcPr>
          <w:p w14:paraId="2BDC44F1" w14:textId="77777777" w:rsidR="00763EEA" w:rsidRPr="002D7575" w:rsidRDefault="00763EEA" w:rsidP="002D7575">
            <w:pPr>
              <w:jc w:val="right"/>
              <w:rPr>
                <w:rFonts w:cs="Arial"/>
                <w:b/>
                <w:sz w:val="16"/>
                <w:szCs w:val="16"/>
                <w:lang w:val="sl-SI"/>
              </w:rPr>
            </w:pPr>
            <w:r w:rsidRPr="002D7575">
              <w:rPr>
                <w:rFonts w:cs="Arial"/>
                <w:b/>
                <w:sz w:val="16"/>
                <w:szCs w:val="16"/>
                <w:lang w:val="sl-SI"/>
              </w:rPr>
              <w:t>11.200.000,00</w:t>
            </w:r>
          </w:p>
        </w:tc>
        <w:tc>
          <w:tcPr>
            <w:tcW w:w="2018" w:type="dxa"/>
            <w:tcBorders>
              <w:top w:val="single" w:sz="4" w:space="0" w:color="auto"/>
              <w:left w:val="single" w:sz="4" w:space="0" w:color="auto"/>
              <w:bottom w:val="single" w:sz="4" w:space="0" w:color="auto"/>
              <w:right w:val="nil"/>
            </w:tcBorders>
            <w:shd w:val="clear" w:color="auto" w:fill="auto"/>
            <w:noWrap/>
            <w:vAlign w:val="center"/>
            <w:hideMark/>
          </w:tcPr>
          <w:p w14:paraId="3C4D8F5E" w14:textId="77777777" w:rsidR="00763EEA" w:rsidRPr="002D7575" w:rsidRDefault="00763EEA" w:rsidP="002D7575">
            <w:pPr>
              <w:jc w:val="right"/>
              <w:rPr>
                <w:rFonts w:cs="Arial"/>
                <w:b/>
                <w:sz w:val="16"/>
                <w:szCs w:val="16"/>
                <w:lang w:val="sl-SI"/>
              </w:rPr>
            </w:pPr>
            <w:r w:rsidRPr="002D7575">
              <w:rPr>
                <w:rFonts w:cs="Arial"/>
                <w:b/>
                <w:sz w:val="16"/>
                <w:szCs w:val="16"/>
                <w:lang w:val="sl-SI"/>
              </w:rPr>
              <w:t>18.800.000,00</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DD5F" w14:textId="77777777" w:rsidR="00763EEA" w:rsidRPr="002D7575" w:rsidRDefault="00763EEA" w:rsidP="002D7575">
            <w:pPr>
              <w:jc w:val="right"/>
              <w:rPr>
                <w:rFonts w:cs="Arial"/>
                <w:b/>
                <w:sz w:val="16"/>
                <w:szCs w:val="16"/>
                <w:lang w:val="sl-SI"/>
              </w:rPr>
            </w:pPr>
            <w:r w:rsidRPr="002D7575">
              <w:rPr>
                <w:rFonts w:cs="Arial"/>
                <w:b/>
                <w:sz w:val="16"/>
                <w:szCs w:val="16"/>
                <w:lang w:val="sl-SI"/>
              </w:rPr>
              <w:t>30.000.000,00</w:t>
            </w:r>
          </w:p>
        </w:tc>
      </w:tr>
      <w:tr w:rsidR="00763EEA" w:rsidRPr="002D7575" w14:paraId="7D8C35EC" w14:textId="77777777" w:rsidTr="002D7575">
        <w:trPr>
          <w:trHeight w:val="300"/>
          <w:jc w:val="center"/>
        </w:trPr>
        <w:tc>
          <w:tcPr>
            <w:tcW w:w="31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8688B8" w14:textId="77777777" w:rsidR="00763EEA" w:rsidRPr="002D7575" w:rsidRDefault="00763EEA" w:rsidP="002D7575">
            <w:pPr>
              <w:jc w:val="both"/>
              <w:outlineLvl w:val="0"/>
              <w:rPr>
                <w:rFonts w:cs="Arial"/>
                <w:b/>
                <w:color w:val="000000"/>
                <w:sz w:val="16"/>
                <w:szCs w:val="16"/>
                <w:lang w:val="sl-SI" w:eastAsia="sl-SI"/>
              </w:rPr>
            </w:pPr>
            <w:r w:rsidRPr="002D7575">
              <w:rPr>
                <w:rFonts w:cs="Arial"/>
                <w:b/>
                <w:color w:val="000000"/>
                <w:sz w:val="16"/>
                <w:szCs w:val="16"/>
                <w:lang w:val="sl-SI" w:eastAsia="sl-SI"/>
              </w:rPr>
              <w:t> </w:t>
            </w:r>
          </w:p>
          <w:p w14:paraId="6B37D355" w14:textId="77777777" w:rsidR="00763EEA" w:rsidRPr="002D7575" w:rsidRDefault="00763EEA" w:rsidP="002D7575">
            <w:pPr>
              <w:jc w:val="both"/>
              <w:outlineLvl w:val="0"/>
              <w:rPr>
                <w:rFonts w:cs="Arial"/>
                <w:b/>
                <w:color w:val="000000"/>
                <w:sz w:val="16"/>
                <w:szCs w:val="16"/>
                <w:lang w:val="sl-SI" w:eastAsia="sl-SI"/>
              </w:rPr>
            </w:pPr>
            <w:r w:rsidRPr="002D7575">
              <w:rPr>
                <w:rFonts w:cs="Arial"/>
                <w:b/>
                <w:color w:val="000000"/>
                <w:sz w:val="16"/>
                <w:szCs w:val="16"/>
                <w:lang w:val="sl-SI" w:eastAsia="sl-SI"/>
              </w:rPr>
              <w:t> Skupaj</w:t>
            </w:r>
          </w:p>
        </w:tc>
        <w:tc>
          <w:tcPr>
            <w:tcW w:w="2161" w:type="dxa"/>
            <w:tcBorders>
              <w:top w:val="single" w:sz="4" w:space="0" w:color="auto"/>
              <w:left w:val="single" w:sz="4" w:space="0" w:color="auto"/>
              <w:bottom w:val="single" w:sz="4" w:space="0" w:color="auto"/>
              <w:right w:val="nil"/>
            </w:tcBorders>
            <w:shd w:val="clear" w:color="auto" w:fill="auto"/>
            <w:noWrap/>
            <w:vAlign w:val="center"/>
          </w:tcPr>
          <w:p w14:paraId="57B35193" w14:textId="491FB45E" w:rsidR="00763EEA" w:rsidRPr="002D7575" w:rsidRDefault="00763EEA" w:rsidP="002D7575">
            <w:pPr>
              <w:jc w:val="right"/>
              <w:rPr>
                <w:rFonts w:cs="Arial"/>
                <w:b/>
                <w:sz w:val="16"/>
                <w:szCs w:val="16"/>
                <w:lang w:val="sl-SI"/>
              </w:rPr>
            </w:pPr>
            <w:r w:rsidRPr="002D7575">
              <w:rPr>
                <w:rFonts w:cs="Arial"/>
                <w:b/>
                <w:sz w:val="16"/>
                <w:szCs w:val="16"/>
                <w:lang w:val="sl-SI"/>
              </w:rPr>
              <w:t>34.200.000,00</w:t>
            </w:r>
          </w:p>
        </w:tc>
        <w:tc>
          <w:tcPr>
            <w:tcW w:w="2018" w:type="dxa"/>
            <w:tcBorders>
              <w:top w:val="single" w:sz="4" w:space="0" w:color="auto"/>
              <w:left w:val="single" w:sz="4" w:space="0" w:color="auto"/>
              <w:bottom w:val="single" w:sz="4" w:space="0" w:color="auto"/>
              <w:right w:val="nil"/>
            </w:tcBorders>
            <w:shd w:val="clear" w:color="auto" w:fill="auto"/>
            <w:noWrap/>
            <w:vAlign w:val="center"/>
            <w:hideMark/>
          </w:tcPr>
          <w:p w14:paraId="154D4B3F" w14:textId="20591ABD" w:rsidR="00763EEA" w:rsidRPr="002D7575" w:rsidRDefault="00763EEA" w:rsidP="002D7575">
            <w:pPr>
              <w:jc w:val="right"/>
              <w:rPr>
                <w:rFonts w:cs="Arial"/>
                <w:b/>
                <w:sz w:val="16"/>
                <w:szCs w:val="16"/>
                <w:lang w:val="sl-SI"/>
              </w:rPr>
            </w:pPr>
            <w:r w:rsidRPr="002D7575">
              <w:rPr>
                <w:rFonts w:cs="Arial"/>
                <w:b/>
                <w:sz w:val="16"/>
                <w:szCs w:val="16"/>
                <w:lang w:val="sl-SI"/>
              </w:rPr>
              <w:t>53.800.000,00</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C775E" w14:textId="77777777" w:rsidR="00763EEA" w:rsidRPr="002D7575" w:rsidRDefault="00763EEA" w:rsidP="002D7575">
            <w:pPr>
              <w:jc w:val="right"/>
              <w:rPr>
                <w:rFonts w:cs="Arial"/>
                <w:b/>
                <w:sz w:val="16"/>
                <w:szCs w:val="16"/>
                <w:lang w:val="sl-SI"/>
              </w:rPr>
            </w:pPr>
            <w:r w:rsidRPr="002D7575">
              <w:rPr>
                <w:rFonts w:cs="Arial"/>
                <w:b/>
                <w:sz w:val="16"/>
                <w:szCs w:val="16"/>
                <w:lang w:val="sl-SI"/>
              </w:rPr>
              <w:t>88.000.000,00</w:t>
            </w:r>
          </w:p>
        </w:tc>
      </w:tr>
    </w:tbl>
    <w:p w14:paraId="06FDAAB4" w14:textId="2771A0D6" w:rsidR="00FA7969"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4C8A7A8E" w14:textId="70E7A4AD" w:rsidR="00FA7969" w:rsidRPr="00462D42" w:rsidRDefault="00FA7969" w:rsidP="00462D42">
      <w:pPr>
        <w:spacing w:line="260" w:lineRule="exact"/>
        <w:jc w:val="both"/>
        <w:rPr>
          <w:rFonts w:cs="Arial"/>
          <w:sz w:val="20"/>
          <w:szCs w:val="22"/>
          <w:lang w:val="sl-SI"/>
        </w:rPr>
      </w:pPr>
      <w:r w:rsidRPr="00462D42">
        <w:rPr>
          <w:rFonts w:cs="Arial"/>
          <w:sz w:val="20"/>
          <w:szCs w:val="22"/>
          <w:lang w:val="sl-SI"/>
        </w:rPr>
        <w:t>Prednostno bodo podprte naložbe v zmogljivosti in opremo podjetij v neposredni povezavi z raziskavami in inovacijam novih visokotehnoloških izdelkov ter storitev, ki se vključujejo v globalno verigo (dodane) vrednosti.</w:t>
      </w:r>
    </w:p>
    <w:p w14:paraId="26FECE88" w14:textId="7F0FF007" w:rsidR="001C320C" w:rsidRPr="00462D42" w:rsidRDefault="001C320C" w:rsidP="00462D42">
      <w:pPr>
        <w:spacing w:line="260" w:lineRule="exact"/>
        <w:jc w:val="both"/>
        <w:rPr>
          <w:rFonts w:cs="Arial"/>
          <w:sz w:val="20"/>
          <w:szCs w:val="22"/>
          <w:lang w:val="sl-SI"/>
        </w:rPr>
      </w:pPr>
    </w:p>
    <w:p w14:paraId="778C7824" w14:textId="77777777" w:rsidR="00FA7969" w:rsidRPr="00462D42" w:rsidRDefault="00FA7969" w:rsidP="00462D42">
      <w:pPr>
        <w:spacing w:line="260" w:lineRule="exact"/>
        <w:jc w:val="both"/>
        <w:rPr>
          <w:rFonts w:cs="Arial"/>
          <w:sz w:val="20"/>
          <w:lang w:val="sl-SI"/>
        </w:rPr>
      </w:pPr>
    </w:p>
    <w:p w14:paraId="62EA061F" w14:textId="77777777" w:rsidR="00FA7969" w:rsidRPr="00462D42" w:rsidRDefault="00FA7969" w:rsidP="00462D42">
      <w:pPr>
        <w:pStyle w:val="Naslov3"/>
        <w:numPr>
          <w:ilvl w:val="2"/>
          <w:numId w:val="25"/>
        </w:numPr>
        <w:spacing w:before="0" w:line="260" w:lineRule="exact"/>
        <w:jc w:val="both"/>
        <w:rPr>
          <w:rFonts w:cs="Arial"/>
          <w:sz w:val="20"/>
          <w:lang w:val="sl-SI"/>
        </w:rPr>
      </w:pPr>
      <w:r w:rsidRPr="00462D42">
        <w:rPr>
          <w:rFonts w:cs="Arial"/>
          <w:sz w:val="20"/>
          <w:lang w:val="sl-SI"/>
        </w:rPr>
        <w:t>Mala in srednje velika podjetja (prednostna naložba 3.1)</w:t>
      </w:r>
    </w:p>
    <w:p w14:paraId="46F9B5A4" w14:textId="77777777" w:rsidR="00FA7969" w:rsidRPr="00462D42" w:rsidRDefault="00FA7969" w:rsidP="00462D42">
      <w:pPr>
        <w:spacing w:line="260" w:lineRule="exact"/>
        <w:jc w:val="both"/>
        <w:rPr>
          <w:rFonts w:cs="Arial"/>
          <w:sz w:val="20"/>
          <w:lang w:val="sl-SI"/>
        </w:rPr>
      </w:pPr>
    </w:p>
    <w:p w14:paraId="74BA415F" w14:textId="35BA3BDB" w:rsidR="00FA7969" w:rsidRPr="00462D42" w:rsidRDefault="00FA7969" w:rsidP="00462D42">
      <w:pPr>
        <w:spacing w:line="260" w:lineRule="exact"/>
        <w:jc w:val="both"/>
        <w:rPr>
          <w:rFonts w:cs="Arial"/>
          <w:sz w:val="20"/>
          <w:szCs w:val="22"/>
          <w:lang w:val="sl-SI"/>
        </w:rPr>
      </w:pPr>
      <w:r w:rsidRPr="00462D42">
        <w:rPr>
          <w:rFonts w:cs="Arial"/>
          <w:sz w:val="20"/>
          <w:szCs w:val="22"/>
          <w:lang w:val="sl-SI"/>
        </w:rPr>
        <w:t>Osrednji izziv ohranjanja gospodarske rasti in konkurenčnosti je razvijanje kompetenc in zmogljivosti podjetij ter njihov odziv na družbene izzive. Cilj prednostne naložbe je pospešiti rast in razvoj MSP ter izboljšati njihovo mednarodno konkurenčnost. V Sloveniji prevladujejo MSP (99,8 %), od tega pa je mikropodjet</w:t>
      </w:r>
      <w:r w:rsidR="004223D6" w:rsidRPr="00462D42">
        <w:rPr>
          <w:rFonts w:cs="Arial"/>
          <w:sz w:val="20"/>
          <w:szCs w:val="22"/>
          <w:lang w:val="sl-SI"/>
        </w:rPr>
        <w:t>i</w:t>
      </w:r>
      <w:r w:rsidRPr="00462D42">
        <w:rPr>
          <w:rFonts w:cs="Arial"/>
          <w:sz w:val="20"/>
          <w:szCs w:val="22"/>
          <w:lang w:val="sl-SI"/>
        </w:rPr>
        <w:t>j 92,8 %. Predvsem na območjih s posebnimi razvojnimi potrebami prevladujejo mikropodjetja, ki zaradi pomanjkanja inovativnosti in dostopa do virov financiranja ne zagotavljajo novih delovnih mest.</w:t>
      </w:r>
    </w:p>
    <w:p w14:paraId="286ACFD3" w14:textId="77777777" w:rsidR="00FA7969" w:rsidRPr="00462D42" w:rsidRDefault="00FA7969" w:rsidP="00462D42">
      <w:pPr>
        <w:spacing w:line="260" w:lineRule="exact"/>
        <w:jc w:val="both"/>
        <w:rPr>
          <w:rFonts w:cs="Arial"/>
          <w:sz w:val="20"/>
          <w:szCs w:val="22"/>
          <w:lang w:val="sl-SI"/>
        </w:rPr>
      </w:pPr>
    </w:p>
    <w:p w14:paraId="24B3A44D" w14:textId="2B4C993E" w:rsidR="00FA7969" w:rsidRPr="00462D42" w:rsidRDefault="00FA7969" w:rsidP="00462D42">
      <w:pPr>
        <w:spacing w:line="260" w:lineRule="exact"/>
        <w:jc w:val="both"/>
        <w:rPr>
          <w:rFonts w:cs="Arial"/>
          <w:sz w:val="20"/>
          <w:szCs w:val="22"/>
          <w:lang w:val="sl-SI"/>
        </w:rPr>
      </w:pPr>
      <w:r w:rsidRPr="00462D42">
        <w:rPr>
          <w:rFonts w:cs="Arial"/>
          <w:sz w:val="20"/>
          <w:szCs w:val="22"/>
          <w:lang w:val="sl-SI"/>
        </w:rPr>
        <w:t>V tekočem programskem obdobju bodo dejavnosti usmerjene v spodbujanje rasti MSP, predvsem hitrorastočih podjetij, kar se bo odrazilo v povečanju dodane vrednosti MSP. Večja konkurenčnost gospodarstva bo dosežena tudi posredno s spodbujanjem podjetij k večji rabi obnovljivih virov, izboljšanju snovne in energetske učinkovitosti ter k razvoju okoljsko manj obrem</w:t>
      </w:r>
      <w:r w:rsidR="00C20AB9" w:rsidRPr="00462D42">
        <w:rPr>
          <w:rFonts w:cs="Arial"/>
          <w:sz w:val="20"/>
          <w:szCs w:val="22"/>
          <w:lang w:val="sl-SI"/>
        </w:rPr>
        <w:t>enjujočih izdelkov in storitev.</w:t>
      </w:r>
    </w:p>
    <w:p w14:paraId="1AB2DEDD" w14:textId="77777777" w:rsidR="00FA7969" w:rsidRDefault="00FA7969" w:rsidP="00462D42">
      <w:pPr>
        <w:spacing w:line="260" w:lineRule="exact"/>
        <w:jc w:val="both"/>
        <w:rPr>
          <w:rFonts w:cs="Arial"/>
          <w:sz w:val="20"/>
          <w:szCs w:val="22"/>
          <w:lang w:val="sl-SI"/>
        </w:rPr>
      </w:pPr>
    </w:p>
    <w:p w14:paraId="2ABB76EF" w14:textId="77777777" w:rsidR="0014087F" w:rsidRDefault="0014087F" w:rsidP="00462D42">
      <w:pPr>
        <w:spacing w:line="260" w:lineRule="exact"/>
        <w:jc w:val="both"/>
        <w:rPr>
          <w:rFonts w:cs="Arial"/>
          <w:sz w:val="20"/>
          <w:szCs w:val="22"/>
          <w:lang w:val="sl-SI"/>
        </w:rPr>
      </w:pPr>
    </w:p>
    <w:p w14:paraId="74CE6691" w14:textId="77777777" w:rsidR="0014087F" w:rsidRDefault="0014087F" w:rsidP="00462D42">
      <w:pPr>
        <w:spacing w:line="260" w:lineRule="exact"/>
        <w:jc w:val="both"/>
        <w:rPr>
          <w:rFonts w:cs="Arial"/>
          <w:sz w:val="20"/>
          <w:szCs w:val="22"/>
          <w:lang w:val="sl-SI"/>
        </w:rPr>
      </w:pPr>
    </w:p>
    <w:p w14:paraId="2D41CE46" w14:textId="77777777" w:rsidR="0014087F" w:rsidRPr="00462D42" w:rsidRDefault="0014087F" w:rsidP="00462D42">
      <w:pPr>
        <w:spacing w:line="260" w:lineRule="exact"/>
        <w:jc w:val="both"/>
        <w:rPr>
          <w:rFonts w:cs="Arial"/>
          <w:sz w:val="20"/>
          <w:szCs w:val="22"/>
          <w:lang w:val="sl-SI"/>
        </w:rPr>
      </w:pPr>
    </w:p>
    <w:p w14:paraId="601C5245" w14:textId="7E7FA5BD" w:rsidR="002D7575" w:rsidRPr="00462D42" w:rsidRDefault="00667628" w:rsidP="00462D42">
      <w:pPr>
        <w:spacing w:line="260" w:lineRule="exact"/>
        <w:jc w:val="both"/>
        <w:rPr>
          <w:rFonts w:cs="Arial"/>
          <w:sz w:val="20"/>
          <w:szCs w:val="22"/>
          <w:lang w:val="sl-SI"/>
        </w:rPr>
      </w:pPr>
      <w:r w:rsidRPr="00462D42">
        <w:rPr>
          <w:rFonts w:cs="Arial"/>
          <w:sz w:val="20"/>
          <w:szCs w:val="22"/>
          <w:lang w:val="sl-SI"/>
        </w:rPr>
        <w:lastRenderedPageBreak/>
        <w:t>Prikaz načrta prispevka k ukrepu operativnega programa glede na obliko financiranja</w:t>
      </w:r>
      <w:r w:rsidR="002D7575" w:rsidRPr="00462D42">
        <w:rPr>
          <w:rFonts w:cs="Arial"/>
          <w:sz w:val="20"/>
          <w:szCs w:val="22"/>
          <w:lang w:val="sl-SI"/>
        </w:rPr>
        <w:t xml:space="preserve"> (v EUR)</w:t>
      </w:r>
      <w:r w:rsidRPr="00462D42">
        <w:rPr>
          <w:rFonts w:cs="Arial"/>
          <w:sz w:val="20"/>
          <w:szCs w:val="22"/>
          <w:lang w:val="sl-SI"/>
        </w:rPr>
        <w:t>:</w:t>
      </w:r>
    </w:p>
    <w:tbl>
      <w:tblPr>
        <w:tblW w:w="5090" w:type="pct"/>
        <w:tblCellMar>
          <w:left w:w="70" w:type="dxa"/>
          <w:right w:w="70" w:type="dxa"/>
        </w:tblCellMar>
        <w:tblLook w:val="04A0" w:firstRow="1" w:lastRow="0" w:firstColumn="1" w:lastColumn="0" w:noHBand="0" w:noVBand="1"/>
      </w:tblPr>
      <w:tblGrid>
        <w:gridCol w:w="1610"/>
        <w:gridCol w:w="1904"/>
        <w:gridCol w:w="2049"/>
        <w:gridCol w:w="1904"/>
        <w:gridCol w:w="1904"/>
      </w:tblGrid>
      <w:tr w:rsidR="00FA7969" w:rsidRPr="002D7575" w14:paraId="5D001247" w14:textId="77777777" w:rsidTr="00DA5FC1">
        <w:trPr>
          <w:cantSplit/>
          <w:trHeight w:val="239"/>
        </w:trPr>
        <w:tc>
          <w:tcPr>
            <w:tcW w:w="1583" w:type="dxa"/>
            <w:tcBorders>
              <w:top w:val="single" w:sz="4" w:space="0" w:color="000000"/>
              <w:left w:val="single" w:sz="4" w:space="0" w:color="auto"/>
              <w:bottom w:val="nil"/>
              <w:right w:val="nil"/>
            </w:tcBorders>
            <w:shd w:val="clear" w:color="auto" w:fill="auto"/>
            <w:vAlign w:val="center"/>
            <w:hideMark/>
          </w:tcPr>
          <w:p w14:paraId="6FE5F198"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Domena ukrepa</w:t>
            </w:r>
          </w:p>
        </w:tc>
        <w:tc>
          <w:tcPr>
            <w:tcW w:w="1873" w:type="dxa"/>
            <w:tcBorders>
              <w:top w:val="single" w:sz="4" w:space="0" w:color="000000"/>
              <w:left w:val="single" w:sz="4" w:space="0" w:color="auto"/>
              <w:bottom w:val="nil"/>
              <w:right w:val="nil"/>
            </w:tcBorders>
            <w:shd w:val="clear" w:color="auto" w:fill="auto"/>
            <w:vAlign w:val="center"/>
            <w:hideMark/>
          </w:tcPr>
          <w:p w14:paraId="63723F24"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Oblika financiranja</w:t>
            </w:r>
          </w:p>
        </w:tc>
        <w:tc>
          <w:tcPr>
            <w:tcW w:w="2016" w:type="dxa"/>
            <w:tcBorders>
              <w:top w:val="single" w:sz="4" w:space="0" w:color="000000"/>
              <w:left w:val="single" w:sz="4" w:space="0" w:color="auto"/>
              <w:bottom w:val="nil"/>
              <w:right w:val="nil"/>
            </w:tcBorders>
            <w:shd w:val="clear" w:color="auto" w:fill="auto"/>
            <w:vAlign w:val="center"/>
            <w:hideMark/>
          </w:tcPr>
          <w:p w14:paraId="30ED29B6"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FI (EU del) - VZHOD</w:t>
            </w:r>
          </w:p>
        </w:tc>
        <w:tc>
          <w:tcPr>
            <w:tcW w:w="1873" w:type="dxa"/>
            <w:tcBorders>
              <w:top w:val="single" w:sz="4" w:space="0" w:color="000000"/>
              <w:left w:val="single" w:sz="4" w:space="0" w:color="auto"/>
              <w:bottom w:val="nil"/>
              <w:right w:val="nil"/>
            </w:tcBorders>
            <w:shd w:val="clear" w:color="auto" w:fill="auto"/>
            <w:vAlign w:val="center"/>
            <w:hideMark/>
          </w:tcPr>
          <w:p w14:paraId="1565F899"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FI (EU del) - ZAHOD</w:t>
            </w:r>
          </w:p>
        </w:tc>
        <w:tc>
          <w:tcPr>
            <w:tcW w:w="1873" w:type="dxa"/>
            <w:tcBorders>
              <w:top w:val="single" w:sz="4" w:space="0" w:color="000000"/>
              <w:left w:val="single" w:sz="4" w:space="0" w:color="auto"/>
              <w:bottom w:val="nil"/>
              <w:right w:val="single" w:sz="4" w:space="0" w:color="auto"/>
            </w:tcBorders>
            <w:shd w:val="clear" w:color="auto" w:fill="auto"/>
            <w:vAlign w:val="center"/>
            <w:hideMark/>
          </w:tcPr>
          <w:p w14:paraId="03FEB205"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Skupaj FI (EU del)</w:t>
            </w:r>
          </w:p>
        </w:tc>
      </w:tr>
      <w:tr w:rsidR="00FA7969" w:rsidRPr="002D7575" w14:paraId="15F5FEC3"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66CA0AED"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067</w:t>
            </w:r>
          </w:p>
        </w:tc>
        <w:tc>
          <w:tcPr>
            <w:tcW w:w="1873" w:type="dxa"/>
            <w:tcBorders>
              <w:top w:val="single" w:sz="4" w:space="0" w:color="auto"/>
              <w:left w:val="single" w:sz="4" w:space="0" w:color="auto"/>
              <w:bottom w:val="nil"/>
              <w:right w:val="nil"/>
            </w:tcBorders>
            <w:shd w:val="clear" w:color="auto" w:fill="auto"/>
            <w:noWrap/>
            <w:vAlign w:val="center"/>
            <w:hideMark/>
          </w:tcPr>
          <w:p w14:paraId="70121DD5"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Lastniško financiranje</w:t>
            </w:r>
          </w:p>
        </w:tc>
        <w:tc>
          <w:tcPr>
            <w:tcW w:w="2016" w:type="dxa"/>
            <w:tcBorders>
              <w:top w:val="single" w:sz="4" w:space="0" w:color="auto"/>
              <w:left w:val="single" w:sz="4" w:space="0" w:color="auto"/>
              <w:bottom w:val="nil"/>
              <w:right w:val="nil"/>
            </w:tcBorders>
            <w:shd w:val="clear" w:color="auto" w:fill="auto"/>
            <w:noWrap/>
            <w:vAlign w:val="center"/>
            <w:hideMark/>
          </w:tcPr>
          <w:p w14:paraId="020F5843"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4.000.000,00</w:t>
            </w:r>
          </w:p>
        </w:tc>
        <w:tc>
          <w:tcPr>
            <w:tcW w:w="1873" w:type="dxa"/>
            <w:tcBorders>
              <w:top w:val="single" w:sz="4" w:space="0" w:color="auto"/>
              <w:left w:val="single" w:sz="4" w:space="0" w:color="auto"/>
              <w:bottom w:val="nil"/>
              <w:right w:val="nil"/>
            </w:tcBorders>
            <w:shd w:val="clear" w:color="auto" w:fill="auto"/>
            <w:noWrap/>
            <w:vAlign w:val="center"/>
            <w:hideMark/>
          </w:tcPr>
          <w:p w14:paraId="21B9BAC3"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6.000.000,00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6D3E9C10"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10.000.000,00</w:t>
            </w:r>
          </w:p>
        </w:tc>
      </w:tr>
      <w:tr w:rsidR="00FA7969" w:rsidRPr="002D7575" w14:paraId="4C89A8C1" w14:textId="77777777" w:rsidTr="00DA5FC1">
        <w:trPr>
          <w:cantSplit/>
          <w:trHeight w:val="300"/>
        </w:trPr>
        <w:tc>
          <w:tcPr>
            <w:tcW w:w="3456" w:type="dxa"/>
            <w:gridSpan w:val="2"/>
            <w:tcBorders>
              <w:top w:val="single" w:sz="4" w:space="0" w:color="auto"/>
              <w:left w:val="single" w:sz="4" w:space="0" w:color="auto"/>
              <w:bottom w:val="nil"/>
              <w:right w:val="nil"/>
            </w:tcBorders>
            <w:shd w:val="clear" w:color="auto" w:fill="auto"/>
            <w:noWrap/>
            <w:vAlign w:val="center"/>
            <w:hideMark/>
          </w:tcPr>
          <w:p w14:paraId="0FA717DC" w14:textId="6393EABB" w:rsidR="00FA7969" w:rsidRPr="002D7575" w:rsidRDefault="00FA7969" w:rsidP="00A0634F">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(lastniško financiranje)</w:t>
            </w:r>
          </w:p>
        </w:tc>
        <w:tc>
          <w:tcPr>
            <w:tcW w:w="2016" w:type="dxa"/>
            <w:tcBorders>
              <w:top w:val="single" w:sz="4" w:space="0" w:color="auto"/>
              <w:left w:val="single" w:sz="4" w:space="0" w:color="auto"/>
              <w:bottom w:val="nil"/>
              <w:right w:val="nil"/>
            </w:tcBorders>
            <w:shd w:val="clear" w:color="auto" w:fill="auto"/>
            <w:noWrap/>
            <w:vAlign w:val="center"/>
            <w:hideMark/>
          </w:tcPr>
          <w:p w14:paraId="184B055A" w14:textId="77777777" w:rsidR="00FA7969" w:rsidRPr="002D7575" w:rsidRDefault="00FA7969" w:rsidP="00596343">
            <w:pPr>
              <w:jc w:val="right"/>
              <w:outlineLvl w:val="2"/>
              <w:rPr>
                <w:rFonts w:cs="Arial"/>
                <w:b/>
                <w:color w:val="000000"/>
                <w:sz w:val="16"/>
                <w:szCs w:val="16"/>
                <w:lang w:val="sl-SI" w:eastAsia="sl-SI"/>
              </w:rPr>
            </w:pPr>
            <w:r w:rsidRPr="002D7575">
              <w:rPr>
                <w:rFonts w:cs="Arial"/>
                <w:b/>
                <w:color w:val="000000"/>
                <w:sz w:val="16"/>
                <w:szCs w:val="16"/>
                <w:lang w:val="sl-SI" w:eastAsia="sl-SI"/>
              </w:rPr>
              <w:t>4.000.000,00</w:t>
            </w:r>
          </w:p>
        </w:tc>
        <w:tc>
          <w:tcPr>
            <w:tcW w:w="1873" w:type="dxa"/>
            <w:tcBorders>
              <w:top w:val="single" w:sz="4" w:space="0" w:color="auto"/>
              <w:left w:val="single" w:sz="4" w:space="0" w:color="auto"/>
              <w:bottom w:val="nil"/>
              <w:right w:val="nil"/>
            </w:tcBorders>
            <w:shd w:val="clear" w:color="auto" w:fill="auto"/>
            <w:noWrap/>
            <w:vAlign w:val="center"/>
            <w:hideMark/>
          </w:tcPr>
          <w:p w14:paraId="11190A8A" w14:textId="77777777" w:rsidR="00FA7969" w:rsidRPr="002D7575" w:rsidRDefault="00FA7969" w:rsidP="00596343">
            <w:pPr>
              <w:jc w:val="right"/>
              <w:outlineLvl w:val="2"/>
              <w:rPr>
                <w:rFonts w:cs="Arial"/>
                <w:b/>
                <w:color w:val="000000"/>
                <w:sz w:val="16"/>
                <w:szCs w:val="16"/>
                <w:lang w:val="sl-SI" w:eastAsia="sl-SI"/>
              </w:rPr>
            </w:pPr>
            <w:r w:rsidRPr="002D7575">
              <w:rPr>
                <w:rFonts w:cs="Arial"/>
                <w:b/>
                <w:color w:val="000000"/>
                <w:sz w:val="16"/>
                <w:szCs w:val="16"/>
                <w:lang w:val="sl-SI" w:eastAsia="sl-SI"/>
              </w:rPr>
              <w:t>6.000.000,00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08B6167F" w14:textId="77777777" w:rsidR="00FA7969" w:rsidRPr="002D7575" w:rsidRDefault="00FA7969" w:rsidP="00596343">
            <w:pPr>
              <w:jc w:val="right"/>
              <w:outlineLvl w:val="2"/>
              <w:rPr>
                <w:rFonts w:cs="Arial"/>
                <w:b/>
                <w:color w:val="000000"/>
                <w:sz w:val="16"/>
                <w:szCs w:val="16"/>
                <w:lang w:val="sl-SI" w:eastAsia="sl-SI"/>
              </w:rPr>
            </w:pPr>
            <w:r w:rsidRPr="002D7575">
              <w:rPr>
                <w:rFonts w:cs="Arial"/>
                <w:b/>
                <w:color w:val="000000"/>
                <w:sz w:val="16"/>
                <w:szCs w:val="16"/>
                <w:lang w:val="sl-SI" w:eastAsia="sl-SI"/>
              </w:rPr>
              <w:t>10.000.000,00</w:t>
            </w:r>
          </w:p>
        </w:tc>
      </w:tr>
      <w:tr w:rsidR="00FA7969" w:rsidRPr="002D7575" w14:paraId="6969D5E6"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581BCACE"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001</w:t>
            </w:r>
          </w:p>
        </w:tc>
        <w:tc>
          <w:tcPr>
            <w:tcW w:w="1873" w:type="dxa"/>
            <w:vMerge w:val="restart"/>
            <w:tcBorders>
              <w:top w:val="single" w:sz="4" w:space="0" w:color="auto"/>
              <w:left w:val="single" w:sz="4" w:space="0" w:color="auto"/>
              <w:right w:val="nil"/>
            </w:tcBorders>
            <w:shd w:val="clear" w:color="auto" w:fill="auto"/>
            <w:noWrap/>
            <w:vAlign w:val="center"/>
            <w:hideMark/>
          </w:tcPr>
          <w:p w14:paraId="3D4020BF"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Posojila</w:t>
            </w:r>
          </w:p>
        </w:tc>
        <w:tc>
          <w:tcPr>
            <w:tcW w:w="2016" w:type="dxa"/>
            <w:tcBorders>
              <w:top w:val="single" w:sz="4" w:space="0" w:color="auto"/>
              <w:left w:val="single" w:sz="4" w:space="0" w:color="auto"/>
              <w:bottom w:val="nil"/>
              <w:right w:val="nil"/>
            </w:tcBorders>
            <w:shd w:val="clear" w:color="auto" w:fill="auto"/>
            <w:noWrap/>
            <w:vAlign w:val="center"/>
            <w:hideMark/>
          </w:tcPr>
          <w:p w14:paraId="6035060B"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7.000.000,00</w:t>
            </w:r>
          </w:p>
        </w:tc>
        <w:tc>
          <w:tcPr>
            <w:tcW w:w="1873" w:type="dxa"/>
            <w:tcBorders>
              <w:top w:val="single" w:sz="4" w:space="0" w:color="auto"/>
              <w:left w:val="single" w:sz="4" w:space="0" w:color="auto"/>
              <w:bottom w:val="nil"/>
              <w:right w:val="nil"/>
            </w:tcBorders>
            <w:shd w:val="clear" w:color="auto" w:fill="auto"/>
            <w:noWrap/>
            <w:vAlign w:val="center"/>
            <w:hideMark/>
          </w:tcPr>
          <w:p w14:paraId="6D35B8D9"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9.000.000,00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41014967"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16.000.000,00</w:t>
            </w:r>
          </w:p>
        </w:tc>
      </w:tr>
      <w:tr w:rsidR="00FA7969" w:rsidRPr="002D7575" w14:paraId="394F3C64"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1C3FBE76"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067</w:t>
            </w:r>
          </w:p>
        </w:tc>
        <w:tc>
          <w:tcPr>
            <w:tcW w:w="1873" w:type="dxa"/>
            <w:vMerge/>
            <w:tcBorders>
              <w:left w:val="single" w:sz="4" w:space="0" w:color="auto"/>
              <w:right w:val="nil"/>
            </w:tcBorders>
            <w:shd w:val="clear" w:color="auto" w:fill="auto"/>
            <w:noWrap/>
            <w:vAlign w:val="center"/>
            <w:hideMark/>
          </w:tcPr>
          <w:p w14:paraId="547A698A" w14:textId="77777777" w:rsidR="00FA7969" w:rsidRPr="002D7575" w:rsidRDefault="00FA7969" w:rsidP="00CE3440">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772FC791"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7.500.000,00</w:t>
            </w:r>
          </w:p>
        </w:tc>
        <w:tc>
          <w:tcPr>
            <w:tcW w:w="1873" w:type="dxa"/>
            <w:tcBorders>
              <w:top w:val="single" w:sz="4" w:space="0" w:color="auto"/>
              <w:left w:val="single" w:sz="4" w:space="0" w:color="auto"/>
              <w:bottom w:val="nil"/>
              <w:right w:val="nil"/>
            </w:tcBorders>
            <w:shd w:val="clear" w:color="auto" w:fill="auto"/>
            <w:noWrap/>
            <w:vAlign w:val="center"/>
            <w:hideMark/>
          </w:tcPr>
          <w:p w14:paraId="7F081037"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9.000.000,00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736308A3"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16.500.000,00</w:t>
            </w:r>
          </w:p>
        </w:tc>
      </w:tr>
      <w:tr w:rsidR="00FA7969" w:rsidRPr="002D7575" w14:paraId="11E99EC2"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2FCCA6D0"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068</w:t>
            </w:r>
          </w:p>
        </w:tc>
        <w:tc>
          <w:tcPr>
            <w:tcW w:w="1873" w:type="dxa"/>
            <w:vMerge/>
            <w:tcBorders>
              <w:left w:val="single" w:sz="4" w:space="0" w:color="auto"/>
              <w:right w:val="nil"/>
            </w:tcBorders>
            <w:shd w:val="clear" w:color="auto" w:fill="auto"/>
            <w:noWrap/>
            <w:vAlign w:val="center"/>
            <w:hideMark/>
          </w:tcPr>
          <w:p w14:paraId="59285546" w14:textId="77777777" w:rsidR="00FA7969" w:rsidRPr="002D7575" w:rsidRDefault="00FA7969" w:rsidP="00CE3440">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7B5C44DA" w14:textId="6D626718" w:rsidR="00FA7969" w:rsidRPr="002D7575" w:rsidRDefault="00763EEA" w:rsidP="00A0634F">
            <w:pPr>
              <w:jc w:val="right"/>
              <w:outlineLvl w:val="2"/>
              <w:rPr>
                <w:rFonts w:cs="Arial"/>
                <w:color w:val="000000"/>
                <w:sz w:val="16"/>
                <w:szCs w:val="16"/>
                <w:lang w:val="sl-SI" w:eastAsia="sl-SI"/>
              </w:rPr>
            </w:pPr>
            <w:r w:rsidRPr="002D7575">
              <w:rPr>
                <w:rFonts w:cs="Arial"/>
                <w:color w:val="000000"/>
                <w:sz w:val="16"/>
                <w:szCs w:val="16"/>
                <w:lang w:val="sl-SI" w:eastAsia="sl-SI"/>
              </w:rPr>
              <w:t>10.000.000,00</w:t>
            </w:r>
          </w:p>
        </w:tc>
        <w:tc>
          <w:tcPr>
            <w:tcW w:w="1873" w:type="dxa"/>
            <w:tcBorders>
              <w:top w:val="single" w:sz="4" w:space="0" w:color="auto"/>
              <w:left w:val="single" w:sz="4" w:space="0" w:color="auto"/>
              <w:bottom w:val="nil"/>
              <w:right w:val="nil"/>
            </w:tcBorders>
            <w:shd w:val="clear" w:color="auto" w:fill="auto"/>
            <w:noWrap/>
            <w:vAlign w:val="center"/>
            <w:hideMark/>
          </w:tcPr>
          <w:p w14:paraId="1DCA6B04" w14:textId="2ECA433A" w:rsidR="00FA7969" w:rsidRPr="002D7575" w:rsidRDefault="00763EEA" w:rsidP="00A0634F">
            <w:pPr>
              <w:jc w:val="right"/>
              <w:outlineLvl w:val="2"/>
              <w:rPr>
                <w:rFonts w:cs="Arial"/>
                <w:color w:val="000000"/>
                <w:sz w:val="16"/>
                <w:szCs w:val="16"/>
                <w:lang w:val="sl-SI" w:eastAsia="sl-SI"/>
              </w:rPr>
            </w:pPr>
            <w:r w:rsidRPr="002D7575">
              <w:rPr>
                <w:rFonts w:cs="Arial"/>
                <w:color w:val="000000"/>
                <w:sz w:val="16"/>
                <w:szCs w:val="16"/>
                <w:lang w:val="sl-SI" w:eastAsia="sl-SI"/>
              </w:rPr>
              <w:t>15.000.000,00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797829D4"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25.000.000,00</w:t>
            </w:r>
          </w:p>
        </w:tc>
      </w:tr>
      <w:tr w:rsidR="00FA7969" w:rsidRPr="002D7575" w14:paraId="566FD5F8"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4A7C2BF4"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073</w:t>
            </w:r>
          </w:p>
        </w:tc>
        <w:tc>
          <w:tcPr>
            <w:tcW w:w="1873" w:type="dxa"/>
            <w:vMerge/>
            <w:tcBorders>
              <w:left w:val="single" w:sz="4" w:space="0" w:color="auto"/>
              <w:bottom w:val="nil"/>
              <w:right w:val="nil"/>
            </w:tcBorders>
            <w:shd w:val="clear" w:color="auto" w:fill="auto"/>
            <w:noWrap/>
            <w:vAlign w:val="center"/>
            <w:hideMark/>
          </w:tcPr>
          <w:p w14:paraId="18AF0151" w14:textId="77777777" w:rsidR="00FA7969" w:rsidRPr="002D7575" w:rsidRDefault="00FA7969" w:rsidP="00CE3440">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0CD23375"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1.000.000,00</w:t>
            </w:r>
          </w:p>
        </w:tc>
        <w:tc>
          <w:tcPr>
            <w:tcW w:w="1873" w:type="dxa"/>
            <w:tcBorders>
              <w:top w:val="single" w:sz="4" w:space="0" w:color="auto"/>
              <w:left w:val="single" w:sz="4" w:space="0" w:color="auto"/>
              <w:bottom w:val="nil"/>
              <w:right w:val="nil"/>
            </w:tcBorders>
            <w:shd w:val="clear" w:color="auto" w:fill="auto"/>
            <w:noWrap/>
            <w:vAlign w:val="center"/>
            <w:hideMark/>
          </w:tcPr>
          <w:p w14:paraId="770CB75D"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1.500.000,00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3DE35CE7"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2.500.000,00</w:t>
            </w:r>
          </w:p>
        </w:tc>
      </w:tr>
      <w:tr w:rsidR="00763EEA" w:rsidRPr="002D7575" w14:paraId="7AADC9EB" w14:textId="77777777" w:rsidTr="00DA5FC1">
        <w:trPr>
          <w:cantSplit/>
          <w:trHeight w:val="300"/>
        </w:trPr>
        <w:tc>
          <w:tcPr>
            <w:tcW w:w="3456" w:type="dxa"/>
            <w:gridSpan w:val="2"/>
            <w:tcBorders>
              <w:top w:val="single" w:sz="4" w:space="0" w:color="auto"/>
              <w:left w:val="single" w:sz="4" w:space="0" w:color="auto"/>
              <w:bottom w:val="nil"/>
              <w:right w:val="nil"/>
            </w:tcBorders>
            <w:shd w:val="clear" w:color="auto" w:fill="auto"/>
            <w:noWrap/>
            <w:vAlign w:val="center"/>
            <w:hideMark/>
          </w:tcPr>
          <w:p w14:paraId="43F67E50" w14:textId="3ACF268D" w:rsidR="00763EEA" w:rsidRPr="002D7575" w:rsidRDefault="00763EEA" w:rsidP="00A0634F">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(posojila)</w:t>
            </w:r>
          </w:p>
        </w:tc>
        <w:tc>
          <w:tcPr>
            <w:tcW w:w="2016" w:type="dxa"/>
            <w:tcBorders>
              <w:top w:val="single" w:sz="4" w:space="0" w:color="auto"/>
              <w:left w:val="single" w:sz="4" w:space="0" w:color="auto"/>
              <w:bottom w:val="nil"/>
              <w:right w:val="nil"/>
            </w:tcBorders>
            <w:shd w:val="clear" w:color="auto" w:fill="auto"/>
            <w:noWrap/>
            <w:vAlign w:val="center"/>
            <w:hideMark/>
          </w:tcPr>
          <w:p w14:paraId="62589914" w14:textId="220B6BD2" w:rsidR="00763EEA" w:rsidRPr="002D7575" w:rsidRDefault="00763EEA" w:rsidP="00A0634F">
            <w:pPr>
              <w:jc w:val="right"/>
              <w:rPr>
                <w:rFonts w:cs="Arial"/>
                <w:b/>
                <w:sz w:val="16"/>
                <w:szCs w:val="16"/>
                <w:lang w:val="sl-SI"/>
              </w:rPr>
            </w:pPr>
            <w:r w:rsidRPr="002D7575">
              <w:rPr>
                <w:rFonts w:cs="Arial"/>
                <w:b/>
                <w:sz w:val="16"/>
                <w:szCs w:val="16"/>
                <w:lang w:val="sl-SI"/>
              </w:rPr>
              <w:t>25.500.000,00</w:t>
            </w:r>
          </w:p>
        </w:tc>
        <w:tc>
          <w:tcPr>
            <w:tcW w:w="1873" w:type="dxa"/>
            <w:tcBorders>
              <w:top w:val="single" w:sz="4" w:space="0" w:color="auto"/>
              <w:left w:val="single" w:sz="4" w:space="0" w:color="auto"/>
              <w:bottom w:val="nil"/>
              <w:right w:val="nil"/>
            </w:tcBorders>
            <w:shd w:val="clear" w:color="auto" w:fill="auto"/>
            <w:noWrap/>
            <w:vAlign w:val="center"/>
            <w:hideMark/>
          </w:tcPr>
          <w:p w14:paraId="7BF5822F" w14:textId="3BE5D864" w:rsidR="00763EEA" w:rsidRPr="002D7575" w:rsidRDefault="00763EEA" w:rsidP="00A0634F">
            <w:pPr>
              <w:jc w:val="right"/>
              <w:rPr>
                <w:rFonts w:cs="Arial"/>
                <w:b/>
                <w:sz w:val="16"/>
                <w:szCs w:val="16"/>
                <w:lang w:val="sl-SI"/>
              </w:rPr>
            </w:pPr>
            <w:r w:rsidRPr="002D7575">
              <w:rPr>
                <w:rFonts w:cs="Arial"/>
                <w:b/>
                <w:sz w:val="16"/>
                <w:szCs w:val="16"/>
                <w:lang w:val="sl-SI"/>
              </w:rPr>
              <w:t>34.500.000,00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149030D3" w14:textId="77777777" w:rsidR="00763EEA" w:rsidRPr="002D7575" w:rsidRDefault="00763EEA" w:rsidP="00763EEA">
            <w:pPr>
              <w:jc w:val="right"/>
              <w:rPr>
                <w:rFonts w:cs="Arial"/>
                <w:b/>
                <w:sz w:val="16"/>
                <w:szCs w:val="16"/>
                <w:lang w:val="sl-SI"/>
              </w:rPr>
            </w:pPr>
            <w:r w:rsidRPr="002D7575">
              <w:rPr>
                <w:rFonts w:cs="Arial"/>
                <w:b/>
                <w:sz w:val="16"/>
                <w:szCs w:val="16"/>
                <w:lang w:val="sl-SI"/>
              </w:rPr>
              <w:t>60.000.000,00</w:t>
            </w:r>
          </w:p>
        </w:tc>
      </w:tr>
      <w:tr w:rsidR="00763EEA" w:rsidRPr="002D7575" w14:paraId="0CA6DC7A"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78283035" w14:textId="77777777" w:rsidR="00763EEA" w:rsidRPr="002D7575" w:rsidRDefault="00763EEA" w:rsidP="00763EEA">
            <w:pPr>
              <w:jc w:val="both"/>
              <w:outlineLvl w:val="2"/>
              <w:rPr>
                <w:rFonts w:cs="Arial"/>
                <w:color w:val="000000"/>
                <w:sz w:val="16"/>
                <w:szCs w:val="16"/>
                <w:lang w:val="sl-SI" w:eastAsia="sl-SI"/>
              </w:rPr>
            </w:pPr>
            <w:r w:rsidRPr="002D7575">
              <w:rPr>
                <w:rFonts w:cs="Arial"/>
                <w:color w:val="000000"/>
                <w:sz w:val="16"/>
                <w:szCs w:val="16"/>
                <w:lang w:val="sl-SI" w:eastAsia="sl-SI"/>
              </w:rPr>
              <w:t>001</w:t>
            </w:r>
          </w:p>
        </w:tc>
        <w:tc>
          <w:tcPr>
            <w:tcW w:w="1873" w:type="dxa"/>
            <w:vMerge w:val="restart"/>
            <w:tcBorders>
              <w:top w:val="single" w:sz="4" w:space="0" w:color="auto"/>
              <w:left w:val="single" w:sz="4" w:space="0" w:color="auto"/>
              <w:right w:val="nil"/>
            </w:tcBorders>
            <w:shd w:val="clear" w:color="auto" w:fill="auto"/>
            <w:noWrap/>
            <w:vAlign w:val="center"/>
            <w:hideMark/>
          </w:tcPr>
          <w:p w14:paraId="38CE5A90" w14:textId="5A6F2010" w:rsidR="00763EEA" w:rsidRPr="002D7575" w:rsidRDefault="002D7575" w:rsidP="002D7575">
            <w:pPr>
              <w:jc w:val="center"/>
              <w:outlineLvl w:val="2"/>
              <w:rPr>
                <w:rFonts w:cs="Arial"/>
                <w:color w:val="000000"/>
                <w:sz w:val="16"/>
                <w:szCs w:val="16"/>
                <w:lang w:val="sl-SI" w:eastAsia="sl-SI"/>
              </w:rPr>
            </w:pPr>
            <w:r>
              <w:rPr>
                <w:rFonts w:cs="Arial"/>
                <w:color w:val="000000"/>
                <w:sz w:val="16"/>
                <w:szCs w:val="16"/>
                <w:lang w:val="sl-SI" w:eastAsia="sl-SI"/>
              </w:rPr>
              <w:t>Garancije</w:t>
            </w:r>
          </w:p>
        </w:tc>
        <w:tc>
          <w:tcPr>
            <w:tcW w:w="2016" w:type="dxa"/>
            <w:tcBorders>
              <w:top w:val="single" w:sz="4" w:space="0" w:color="auto"/>
              <w:left w:val="single" w:sz="4" w:space="0" w:color="auto"/>
              <w:bottom w:val="nil"/>
              <w:right w:val="nil"/>
            </w:tcBorders>
            <w:shd w:val="clear" w:color="auto" w:fill="auto"/>
            <w:noWrap/>
            <w:vAlign w:val="center"/>
            <w:hideMark/>
          </w:tcPr>
          <w:p w14:paraId="5F752326" w14:textId="77777777" w:rsidR="00763EEA" w:rsidRPr="002D7575" w:rsidRDefault="00763EEA" w:rsidP="00763EEA">
            <w:pPr>
              <w:jc w:val="right"/>
              <w:rPr>
                <w:rFonts w:cs="Arial"/>
                <w:sz w:val="16"/>
                <w:szCs w:val="16"/>
                <w:lang w:val="sl-SI"/>
              </w:rPr>
            </w:pPr>
            <w:r w:rsidRPr="002D7575">
              <w:rPr>
                <w:rFonts w:cs="Arial"/>
                <w:sz w:val="16"/>
                <w:szCs w:val="16"/>
                <w:lang w:val="sl-SI"/>
              </w:rPr>
              <w:t>10.000.000,00</w:t>
            </w:r>
          </w:p>
        </w:tc>
        <w:tc>
          <w:tcPr>
            <w:tcW w:w="1873" w:type="dxa"/>
            <w:tcBorders>
              <w:top w:val="single" w:sz="4" w:space="0" w:color="auto"/>
              <w:left w:val="single" w:sz="4" w:space="0" w:color="auto"/>
              <w:bottom w:val="nil"/>
              <w:right w:val="nil"/>
            </w:tcBorders>
            <w:shd w:val="clear" w:color="auto" w:fill="auto"/>
            <w:noWrap/>
            <w:vAlign w:val="center"/>
            <w:hideMark/>
          </w:tcPr>
          <w:p w14:paraId="2BD244AB" w14:textId="77777777" w:rsidR="00763EEA" w:rsidRPr="002D7575" w:rsidRDefault="00763EEA" w:rsidP="00763EEA">
            <w:pPr>
              <w:jc w:val="right"/>
              <w:rPr>
                <w:rFonts w:cs="Arial"/>
                <w:sz w:val="16"/>
                <w:szCs w:val="16"/>
                <w:lang w:val="sl-SI"/>
              </w:rPr>
            </w:pPr>
            <w:r w:rsidRPr="002D7575">
              <w:rPr>
                <w:rFonts w:cs="Arial"/>
                <w:sz w:val="16"/>
                <w:szCs w:val="16"/>
                <w:lang w:val="sl-SI"/>
              </w:rPr>
              <w:t>15.000.000,00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3CA1221F" w14:textId="77777777" w:rsidR="00763EEA" w:rsidRPr="002D7575" w:rsidRDefault="00763EEA" w:rsidP="00763EEA">
            <w:pPr>
              <w:jc w:val="right"/>
              <w:rPr>
                <w:rFonts w:cs="Arial"/>
                <w:sz w:val="16"/>
                <w:szCs w:val="16"/>
                <w:lang w:val="sl-SI"/>
              </w:rPr>
            </w:pPr>
            <w:r w:rsidRPr="002D7575">
              <w:rPr>
                <w:rFonts w:cs="Arial"/>
                <w:sz w:val="16"/>
                <w:szCs w:val="16"/>
                <w:lang w:val="sl-SI"/>
              </w:rPr>
              <w:t>25.000.000,00</w:t>
            </w:r>
          </w:p>
        </w:tc>
      </w:tr>
      <w:tr w:rsidR="00763EEA" w:rsidRPr="002D7575" w14:paraId="2443C325"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7864E64B" w14:textId="77777777" w:rsidR="00763EEA" w:rsidRPr="002D7575" w:rsidRDefault="00763EEA" w:rsidP="00763EEA">
            <w:pPr>
              <w:jc w:val="both"/>
              <w:outlineLvl w:val="2"/>
              <w:rPr>
                <w:rFonts w:cs="Arial"/>
                <w:color w:val="000000"/>
                <w:sz w:val="16"/>
                <w:szCs w:val="16"/>
                <w:lang w:val="sl-SI" w:eastAsia="sl-SI"/>
              </w:rPr>
            </w:pPr>
            <w:r w:rsidRPr="002D7575">
              <w:rPr>
                <w:rFonts w:cs="Arial"/>
                <w:color w:val="000000"/>
                <w:sz w:val="16"/>
                <w:szCs w:val="16"/>
                <w:lang w:val="sl-SI" w:eastAsia="sl-SI"/>
              </w:rPr>
              <w:t>067</w:t>
            </w:r>
          </w:p>
        </w:tc>
        <w:tc>
          <w:tcPr>
            <w:tcW w:w="1873" w:type="dxa"/>
            <w:vMerge/>
            <w:tcBorders>
              <w:left w:val="single" w:sz="4" w:space="0" w:color="auto"/>
              <w:right w:val="nil"/>
            </w:tcBorders>
            <w:shd w:val="clear" w:color="auto" w:fill="auto"/>
            <w:noWrap/>
            <w:vAlign w:val="center"/>
            <w:hideMark/>
          </w:tcPr>
          <w:p w14:paraId="51E3D15E" w14:textId="77777777" w:rsidR="00763EEA" w:rsidRPr="002D7575" w:rsidRDefault="00763EEA" w:rsidP="00763EEA">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2BE3E262" w14:textId="77777777" w:rsidR="00763EEA" w:rsidRPr="002D7575" w:rsidRDefault="00763EEA" w:rsidP="00763EEA">
            <w:pPr>
              <w:jc w:val="right"/>
              <w:rPr>
                <w:rFonts w:cs="Arial"/>
                <w:sz w:val="16"/>
                <w:szCs w:val="16"/>
                <w:lang w:val="sl-SI"/>
              </w:rPr>
            </w:pPr>
            <w:r w:rsidRPr="002D7575">
              <w:rPr>
                <w:rFonts w:cs="Arial"/>
                <w:sz w:val="16"/>
                <w:szCs w:val="16"/>
                <w:lang w:val="sl-SI"/>
              </w:rPr>
              <w:t>14.600.000,00</w:t>
            </w:r>
          </w:p>
        </w:tc>
        <w:tc>
          <w:tcPr>
            <w:tcW w:w="1873" w:type="dxa"/>
            <w:tcBorders>
              <w:top w:val="single" w:sz="4" w:space="0" w:color="auto"/>
              <w:left w:val="single" w:sz="4" w:space="0" w:color="auto"/>
              <w:bottom w:val="nil"/>
              <w:right w:val="nil"/>
            </w:tcBorders>
            <w:shd w:val="clear" w:color="auto" w:fill="auto"/>
            <w:noWrap/>
            <w:vAlign w:val="center"/>
            <w:hideMark/>
          </w:tcPr>
          <w:p w14:paraId="60709E45" w14:textId="77777777" w:rsidR="00763EEA" w:rsidRPr="002D7575" w:rsidRDefault="00763EEA" w:rsidP="00763EEA">
            <w:pPr>
              <w:jc w:val="right"/>
              <w:rPr>
                <w:rFonts w:cs="Arial"/>
                <w:sz w:val="16"/>
                <w:szCs w:val="16"/>
                <w:lang w:val="sl-SI"/>
              </w:rPr>
            </w:pPr>
            <w:r w:rsidRPr="002D7575">
              <w:rPr>
                <w:rFonts w:cs="Arial"/>
                <w:sz w:val="16"/>
                <w:szCs w:val="16"/>
                <w:lang w:val="sl-SI"/>
              </w:rPr>
              <w:t>21.900.000,00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5B74A0A5" w14:textId="77777777" w:rsidR="00763EEA" w:rsidRPr="002D7575" w:rsidRDefault="00763EEA" w:rsidP="00763EEA">
            <w:pPr>
              <w:jc w:val="right"/>
              <w:rPr>
                <w:rFonts w:cs="Arial"/>
                <w:sz w:val="16"/>
                <w:szCs w:val="16"/>
                <w:lang w:val="sl-SI"/>
              </w:rPr>
            </w:pPr>
            <w:r w:rsidRPr="002D7575">
              <w:rPr>
                <w:rFonts w:cs="Arial"/>
                <w:sz w:val="16"/>
                <w:szCs w:val="16"/>
                <w:lang w:val="sl-SI"/>
              </w:rPr>
              <w:t>36.500.000,00</w:t>
            </w:r>
          </w:p>
        </w:tc>
      </w:tr>
      <w:tr w:rsidR="00763EEA" w:rsidRPr="002D7575" w14:paraId="0F07F672"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56A216D1" w14:textId="77777777" w:rsidR="00763EEA" w:rsidRPr="002D7575" w:rsidRDefault="00763EEA" w:rsidP="00763EEA">
            <w:pPr>
              <w:jc w:val="both"/>
              <w:outlineLvl w:val="2"/>
              <w:rPr>
                <w:rFonts w:cs="Arial"/>
                <w:color w:val="000000"/>
                <w:sz w:val="16"/>
                <w:szCs w:val="16"/>
                <w:lang w:val="sl-SI" w:eastAsia="sl-SI"/>
              </w:rPr>
            </w:pPr>
            <w:r w:rsidRPr="002D7575">
              <w:rPr>
                <w:rFonts w:cs="Arial"/>
                <w:color w:val="000000"/>
                <w:sz w:val="16"/>
                <w:szCs w:val="16"/>
                <w:lang w:val="sl-SI" w:eastAsia="sl-SI"/>
              </w:rPr>
              <w:t>073</w:t>
            </w:r>
          </w:p>
        </w:tc>
        <w:tc>
          <w:tcPr>
            <w:tcW w:w="1873" w:type="dxa"/>
            <w:vMerge/>
            <w:tcBorders>
              <w:left w:val="single" w:sz="4" w:space="0" w:color="auto"/>
              <w:bottom w:val="nil"/>
              <w:right w:val="nil"/>
            </w:tcBorders>
            <w:shd w:val="clear" w:color="auto" w:fill="auto"/>
            <w:noWrap/>
            <w:vAlign w:val="center"/>
            <w:hideMark/>
          </w:tcPr>
          <w:p w14:paraId="2352287E" w14:textId="77777777" w:rsidR="00763EEA" w:rsidRPr="002D7575" w:rsidRDefault="00763EEA" w:rsidP="00763EEA">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21E83813" w14:textId="77777777" w:rsidR="00763EEA" w:rsidRPr="002D7575" w:rsidRDefault="00763EEA" w:rsidP="00763EEA">
            <w:pPr>
              <w:jc w:val="right"/>
              <w:rPr>
                <w:rFonts w:cs="Arial"/>
                <w:sz w:val="16"/>
                <w:szCs w:val="16"/>
                <w:lang w:val="sl-SI"/>
              </w:rPr>
            </w:pPr>
            <w:r w:rsidRPr="002D7575">
              <w:rPr>
                <w:rFonts w:cs="Arial"/>
                <w:sz w:val="16"/>
                <w:szCs w:val="16"/>
                <w:lang w:val="sl-SI"/>
              </w:rPr>
              <w:t>1.400.000,00</w:t>
            </w:r>
          </w:p>
        </w:tc>
        <w:tc>
          <w:tcPr>
            <w:tcW w:w="1873" w:type="dxa"/>
            <w:tcBorders>
              <w:top w:val="single" w:sz="4" w:space="0" w:color="auto"/>
              <w:left w:val="single" w:sz="4" w:space="0" w:color="auto"/>
              <w:bottom w:val="nil"/>
              <w:right w:val="nil"/>
            </w:tcBorders>
            <w:shd w:val="clear" w:color="auto" w:fill="auto"/>
            <w:noWrap/>
            <w:vAlign w:val="center"/>
            <w:hideMark/>
          </w:tcPr>
          <w:p w14:paraId="64BC039F" w14:textId="77777777" w:rsidR="00763EEA" w:rsidRPr="002D7575" w:rsidRDefault="00763EEA" w:rsidP="00763EEA">
            <w:pPr>
              <w:jc w:val="right"/>
              <w:rPr>
                <w:rFonts w:cs="Arial"/>
                <w:sz w:val="16"/>
                <w:szCs w:val="16"/>
                <w:lang w:val="sl-SI"/>
              </w:rPr>
            </w:pPr>
            <w:r w:rsidRPr="002D7575">
              <w:rPr>
                <w:rFonts w:cs="Arial"/>
                <w:sz w:val="16"/>
                <w:szCs w:val="16"/>
                <w:lang w:val="sl-SI"/>
              </w:rPr>
              <w:t>2.100.000,00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1BE3D8FC" w14:textId="77777777" w:rsidR="00763EEA" w:rsidRPr="002D7575" w:rsidRDefault="00763EEA" w:rsidP="00763EEA">
            <w:pPr>
              <w:jc w:val="right"/>
              <w:rPr>
                <w:rFonts w:cs="Arial"/>
                <w:sz w:val="16"/>
                <w:szCs w:val="16"/>
                <w:lang w:val="sl-SI"/>
              </w:rPr>
            </w:pPr>
            <w:r w:rsidRPr="002D7575">
              <w:rPr>
                <w:rFonts w:cs="Arial"/>
                <w:sz w:val="16"/>
                <w:szCs w:val="16"/>
                <w:lang w:val="sl-SI"/>
              </w:rPr>
              <w:t>3.500.000,00</w:t>
            </w:r>
          </w:p>
        </w:tc>
      </w:tr>
      <w:tr w:rsidR="00763EEA" w:rsidRPr="002D7575" w14:paraId="24F28F20" w14:textId="77777777" w:rsidTr="00DA5FC1">
        <w:trPr>
          <w:cantSplit/>
          <w:trHeight w:val="300"/>
        </w:trPr>
        <w:tc>
          <w:tcPr>
            <w:tcW w:w="3456" w:type="dxa"/>
            <w:gridSpan w:val="2"/>
            <w:tcBorders>
              <w:top w:val="single" w:sz="4" w:space="0" w:color="auto"/>
              <w:left w:val="single" w:sz="4" w:space="0" w:color="auto"/>
              <w:bottom w:val="single" w:sz="4" w:space="0" w:color="auto"/>
              <w:right w:val="nil"/>
            </w:tcBorders>
            <w:shd w:val="clear" w:color="auto" w:fill="auto"/>
            <w:noWrap/>
            <w:vAlign w:val="center"/>
            <w:hideMark/>
          </w:tcPr>
          <w:p w14:paraId="173B99C3" w14:textId="77777777" w:rsidR="00763EEA" w:rsidRPr="002D7575" w:rsidRDefault="00763EEA" w:rsidP="00763EEA">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(jamstva)</w:t>
            </w:r>
          </w:p>
        </w:tc>
        <w:tc>
          <w:tcPr>
            <w:tcW w:w="2016" w:type="dxa"/>
            <w:tcBorders>
              <w:top w:val="single" w:sz="4" w:space="0" w:color="auto"/>
              <w:left w:val="single" w:sz="4" w:space="0" w:color="auto"/>
              <w:bottom w:val="single" w:sz="4" w:space="0" w:color="auto"/>
              <w:right w:val="nil"/>
            </w:tcBorders>
            <w:shd w:val="clear" w:color="auto" w:fill="auto"/>
            <w:noWrap/>
            <w:vAlign w:val="center"/>
            <w:hideMark/>
          </w:tcPr>
          <w:p w14:paraId="64869ACA" w14:textId="77777777" w:rsidR="00763EEA" w:rsidRPr="002D7575" w:rsidRDefault="00763EEA" w:rsidP="00763EEA">
            <w:pPr>
              <w:jc w:val="right"/>
              <w:rPr>
                <w:rFonts w:cs="Arial"/>
                <w:b/>
                <w:sz w:val="16"/>
                <w:szCs w:val="16"/>
                <w:lang w:val="sl-SI"/>
              </w:rPr>
            </w:pPr>
            <w:r w:rsidRPr="002D7575">
              <w:rPr>
                <w:rFonts w:cs="Arial"/>
                <w:b/>
                <w:sz w:val="16"/>
                <w:szCs w:val="16"/>
                <w:lang w:val="sl-SI"/>
              </w:rPr>
              <w:t>26.000.000,00</w:t>
            </w:r>
          </w:p>
        </w:tc>
        <w:tc>
          <w:tcPr>
            <w:tcW w:w="1873" w:type="dxa"/>
            <w:tcBorders>
              <w:top w:val="single" w:sz="4" w:space="0" w:color="auto"/>
              <w:left w:val="single" w:sz="4" w:space="0" w:color="auto"/>
              <w:bottom w:val="single" w:sz="4" w:space="0" w:color="auto"/>
              <w:right w:val="nil"/>
            </w:tcBorders>
            <w:shd w:val="clear" w:color="auto" w:fill="auto"/>
            <w:noWrap/>
            <w:vAlign w:val="center"/>
            <w:hideMark/>
          </w:tcPr>
          <w:p w14:paraId="1AED2621" w14:textId="77777777" w:rsidR="00763EEA" w:rsidRPr="002D7575" w:rsidRDefault="00763EEA" w:rsidP="00763EEA">
            <w:pPr>
              <w:jc w:val="right"/>
              <w:rPr>
                <w:rFonts w:cs="Arial"/>
                <w:b/>
                <w:sz w:val="16"/>
                <w:szCs w:val="16"/>
                <w:lang w:val="sl-SI"/>
              </w:rPr>
            </w:pPr>
            <w:r w:rsidRPr="002D7575">
              <w:rPr>
                <w:rFonts w:cs="Arial"/>
                <w:b/>
                <w:sz w:val="16"/>
                <w:szCs w:val="16"/>
                <w:lang w:val="sl-SI"/>
              </w:rPr>
              <w:t>39.000.000,00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854D" w14:textId="77777777" w:rsidR="00763EEA" w:rsidRPr="002D7575" w:rsidRDefault="00763EEA" w:rsidP="00763EEA">
            <w:pPr>
              <w:jc w:val="right"/>
              <w:rPr>
                <w:rFonts w:cs="Arial"/>
                <w:b/>
                <w:sz w:val="16"/>
                <w:szCs w:val="16"/>
                <w:lang w:val="sl-SI"/>
              </w:rPr>
            </w:pPr>
            <w:r w:rsidRPr="002D7575">
              <w:rPr>
                <w:rFonts w:cs="Arial"/>
                <w:b/>
                <w:sz w:val="16"/>
                <w:szCs w:val="16"/>
                <w:lang w:val="sl-SI"/>
              </w:rPr>
              <w:t>65.000.000,00</w:t>
            </w:r>
          </w:p>
        </w:tc>
      </w:tr>
      <w:tr w:rsidR="00763EEA" w:rsidRPr="002D7575" w14:paraId="54BA22F1" w14:textId="77777777" w:rsidTr="00DA5FC1">
        <w:trPr>
          <w:cantSplit/>
          <w:trHeight w:val="300"/>
        </w:trPr>
        <w:tc>
          <w:tcPr>
            <w:tcW w:w="3456" w:type="dxa"/>
            <w:gridSpan w:val="2"/>
            <w:tcBorders>
              <w:top w:val="single" w:sz="4" w:space="0" w:color="auto"/>
              <w:left w:val="single" w:sz="4" w:space="0" w:color="auto"/>
              <w:bottom w:val="single" w:sz="4" w:space="0" w:color="auto"/>
              <w:right w:val="nil"/>
            </w:tcBorders>
            <w:shd w:val="clear" w:color="auto" w:fill="auto"/>
            <w:noWrap/>
            <w:vAlign w:val="center"/>
            <w:hideMark/>
          </w:tcPr>
          <w:p w14:paraId="52B8052F" w14:textId="433CA7AB" w:rsidR="00763EEA" w:rsidRPr="002D7575" w:rsidRDefault="00763EEA" w:rsidP="00A0634F">
            <w:pPr>
              <w:jc w:val="both"/>
              <w:outlineLvl w:val="0"/>
              <w:rPr>
                <w:rFonts w:cs="Arial"/>
                <w:b/>
                <w:color w:val="000000"/>
                <w:sz w:val="16"/>
                <w:szCs w:val="16"/>
                <w:lang w:val="sl-SI" w:eastAsia="sl-SI"/>
              </w:rPr>
            </w:pPr>
            <w:r w:rsidRPr="002D7575">
              <w:rPr>
                <w:rFonts w:cs="Arial"/>
                <w:b/>
                <w:color w:val="000000"/>
                <w:sz w:val="16"/>
                <w:szCs w:val="16"/>
                <w:lang w:val="sl-SI" w:eastAsia="sl-SI"/>
              </w:rPr>
              <w:t>Skupaj</w:t>
            </w:r>
          </w:p>
        </w:tc>
        <w:tc>
          <w:tcPr>
            <w:tcW w:w="2016" w:type="dxa"/>
            <w:tcBorders>
              <w:top w:val="single" w:sz="4" w:space="0" w:color="auto"/>
              <w:left w:val="single" w:sz="4" w:space="0" w:color="auto"/>
              <w:bottom w:val="single" w:sz="4" w:space="0" w:color="auto"/>
              <w:right w:val="nil"/>
            </w:tcBorders>
            <w:shd w:val="clear" w:color="auto" w:fill="auto"/>
            <w:noWrap/>
            <w:vAlign w:val="center"/>
            <w:hideMark/>
          </w:tcPr>
          <w:p w14:paraId="78ABADAB" w14:textId="786D5AB0" w:rsidR="00763EEA" w:rsidRPr="002D7575" w:rsidRDefault="00763EEA"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55.500.000,00</w:t>
            </w:r>
          </w:p>
        </w:tc>
        <w:tc>
          <w:tcPr>
            <w:tcW w:w="1873" w:type="dxa"/>
            <w:tcBorders>
              <w:top w:val="single" w:sz="4" w:space="0" w:color="auto"/>
              <w:left w:val="single" w:sz="4" w:space="0" w:color="auto"/>
              <w:bottom w:val="single" w:sz="4" w:space="0" w:color="auto"/>
              <w:right w:val="nil"/>
            </w:tcBorders>
            <w:shd w:val="clear" w:color="auto" w:fill="auto"/>
            <w:noWrap/>
            <w:vAlign w:val="center"/>
            <w:hideMark/>
          </w:tcPr>
          <w:p w14:paraId="6D3271E7" w14:textId="7711A901" w:rsidR="00763EEA" w:rsidRPr="002D7575" w:rsidRDefault="00763EEA"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79.500.000,00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8A3A1" w14:textId="77777777" w:rsidR="00763EEA" w:rsidRPr="002D7575" w:rsidRDefault="00763EEA" w:rsidP="00763EEA">
            <w:pPr>
              <w:jc w:val="right"/>
              <w:outlineLvl w:val="0"/>
              <w:rPr>
                <w:rFonts w:cs="Arial"/>
                <w:b/>
                <w:color w:val="000000"/>
                <w:sz w:val="16"/>
                <w:szCs w:val="16"/>
                <w:lang w:val="sl-SI" w:eastAsia="sl-SI"/>
              </w:rPr>
            </w:pPr>
            <w:r w:rsidRPr="002D7575">
              <w:rPr>
                <w:rFonts w:cs="Arial"/>
                <w:b/>
                <w:color w:val="000000"/>
                <w:sz w:val="16"/>
                <w:szCs w:val="16"/>
                <w:lang w:val="sl-SI" w:eastAsia="sl-SI"/>
              </w:rPr>
              <w:t>135.000.000,00</w:t>
            </w:r>
          </w:p>
        </w:tc>
      </w:tr>
    </w:tbl>
    <w:p w14:paraId="6DE9B186" w14:textId="77777777" w:rsidR="00DA5FC1"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0F4CE0D3" w14:textId="7F432A8A" w:rsidR="00FA7969" w:rsidRPr="00462D42" w:rsidRDefault="00FA7969" w:rsidP="00462D42">
      <w:pPr>
        <w:spacing w:line="260" w:lineRule="exact"/>
        <w:jc w:val="both"/>
        <w:rPr>
          <w:rFonts w:cs="Arial"/>
          <w:sz w:val="20"/>
          <w:szCs w:val="20"/>
          <w:lang w:val="sl-SI"/>
        </w:rPr>
      </w:pPr>
      <w:r w:rsidRPr="00462D42">
        <w:rPr>
          <w:rFonts w:cs="Arial"/>
          <w:sz w:val="20"/>
          <w:szCs w:val="20"/>
          <w:lang w:val="sl-SI"/>
        </w:rPr>
        <w:t>Prednostno bodo podprte produktivne naložbe MSP. Generične naložbe v izboljšanje snovne in energetske učinkovitosti podjetij prispeva</w:t>
      </w:r>
      <w:r w:rsidR="00CC17D0">
        <w:rPr>
          <w:rFonts w:cs="Arial"/>
          <w:sz w:val="20"/>
          <w:szCs w:val="20"/>
          <w:lang w:val="sl-SI"/>
        </w:rPr>
        <w:t>jo</w:t>
      </w:r>
      <w:r w:rsidRPr="00462D42">
        <w:rPr>
          <w:rFonts w:cs="Arial"/>
          <w:sz w:val="20"/>
          <w:szCs w:val="20"/>
          <w:lang w:val="sl-SI"/>
        </w:rPr>
        <w:t xml:space="preserve"> k njihovi konkurenčnosti MSP. Predstavitveni projekti prispevajo k diverzifikaciji dejavnosti prek novoustanovljenih </w:t>
      </w:r>
      <w:r w:rsidR="0014087F">
        <w:rPr>
          <w:rFonts w:cs="Arial"/>
          <w:sz w:val="20"/>
          <w:szCs w:val="20"/>
          <w:lang w:val="sl-SI"/>
        </w:rPr>
        <w:t>»</w:t>
      </w:r>
      <w:r w:rsidRPr="00462D42">
        <w:rPr>
          <w:rFonts w:cs="Arial"/>
          <w:sz w:val="20"/>
          <w:szCs w:val="20"/>
          <w:lang w:val="sl-SI"/>
        </w:rPr>
        <w:t xml:space="preserve">spin </w:t>
      </w:r>
      <w:proofErr w:type="spellStart"/>
      <w:r w:rsidRPr="00462D42">
        <w:rPr>
          <w:rFonts w:cs="Arial"/>
          <w:sz w:val="20"/>
          <w:szCs w:val="20"/>
          <w:lang w:val="sl-SI"/>
        </w:rPr>
        <w:t>off</w:t>
      </w:r>
      <w:proofErr w:type="spellEnd"/>
      <w:r w:rsidR="0014087F">
        <w:rPr>
          <w:rFonts w:cs="Arial"/>
          <w:sz w:val="20"/>
          <w:szCs w:val="20"/>
          <w:lang w:val="sl-SI"/>
        </w:rPr>
        <w:t xml:space="preserve">« </w:t>
      </w:r>
      <w:r w:rsidRPr="00462D42">
        <w:rPr>
          <w:rFonts w:cs="Arial"/>
          <w:sz w:val="20"/>
          <w:szCs w:val="20"/>
          <w:lang w:val="sl-SI"/>
        </w:rPr>
        <w:t xml:space="preserve">in </w:t>
      </w:r>
      <w:r w:rsidR="0014087F">
        <w:rPr>
          <w:rFonts w:cs="Arial"/>
          <w:sz w:val="20"/>
          <w:szCs w:val="20"/>
          <w:lang w:val="sl-SI"/>
        </w:rPr>
        <w:t>»s</w:t>
      </w:r>
      <w:r w:rsidRPr="00462D42">
        <w:rPr>
          <w:rFonts w:cs="Arial"/>
          <w:sz w:val="20"/>
          <w:szCs w:val="20"/>
          <w:lang w:val="sl-SI"/>
        </w:rPr>
        <w:t xml:space="preserve">pin </w:t>
      </w:r>
      <w:proofErr w:type="spellStart"/>
      <w:r w:rsidRPr="00462D42">
        <w:rPr>
          <w:rFonts w:cs="Arial"/>
          <w:sz w:val="20"/>
          <w:szCs w:val="20"/>
          <w:lang w:val="sl-SI"/>
        </w:rPr>
        <w:t>ou</w:t>
      </w:r>
      <w:r w:rsidR="00667628" w:rsidRPr="00462D42">
        <w:rPr>
          <w:rFonts w:cs="Arial"/>
          <w:sz w:val="20"/>
          <w:szCs w:val="20"/>
          <w:lang w:val="sl-SI"/>
        </w:rPr>
        <w:t>t</w:t>
      </w:r>
      <w:proofErr w:type="spellEnd"/>
      <w:r w:rsidR="0014087F">
        <w:rPr>
          <w:rFonts w:cs="Arial"/>
          <w:sz w:val="20"/>
          <w:szCs w:val="20"/>
          <w:lang w:val="sl-SI"/>
        </w:rPr>
        <w:t xml:space="preserve">« </w:t>
      </w:r>
      <w:r w:rsidR="00AE5FC9">
        <w:rPr>
          <w:rFonts w:cs="Arial"/>
          <w:sz w:val="20"/>
          <w:szCs w:val="20"/>
          <w:lang w:val="sl-SI"/>
        </w:rPr>
        <w:t>podjetij</w:t>
      </w:r>
      <w:r w:rsidR="00667628" w:rsidRPr="00462D42">
        <w:rPr>
          <w:rFonts w:cs="Arial"/>
          <w:sz w:val="20"/>
          <w:szCs w:val="20"/>
          <w:lang w:val="sl-SI"/>
        </w:rPr>
        <w:t xml:space="preserve">. </w:t>
      </w:r>
      <w:r w:rsidR="00C20AB9" w:rsidRPr="00462D42">
        <w:rPr>
          <w:rFonts w:cs="Arial"/>
          <w:sz w:val="20"/>
          <w:szCs w:val="20"/>
          <w:lang w:val="sl-SI"/>
        </w:rPr>
        <w:t>Do sredstev iz naslova FI so upravičena tudi socialna podjet</w:t>
      </w:r>
      <w:r w:rsidR="00AE5FC9">
        <w:rPr>
          <w:rFonts w:cs="Arial"/>
          <w:sz w:val="20"/>
          <w:szCs w:val="20"/>
          <w:lang w:val="sl-SI"/>
        </w:rPr>
        <w:t>ja</w:t>
      </w:r>
      <w:r w:rsidR="00C20AB9" w:rsidRPr="00462D42">
        <w:rPr>
          <w:rFonts w:cs="Arial"/>
          <w:sz w:val="20"/>
          <w:szCs w:val="20"/>
          <w:lang w:val="sl-SI"/>
        </w:rPr>
        <w:t>, ki jih spremljamo</w:t>
      </w:r>
      <w:r w:rsidRPr="00462D42">
        <w:rPr>
          <w:rFonts w:cs="Arial"/>
          <w:sz w:val="20"/>
          <w:szCs w:val="20"/>
          <w:lang w:val="sl-SI"/>
        </w:rPr>
        <w:t>.</w:t>
      </w:r>
    </w:p>
    <w:p w14:paraId="1359AB50" w14:textId="77777777" w:rsidR="00FA7969" w:rsidRPr="00462D42" w:rsidRDefault="00FA7969" w:rsidP="00462D42">
      <w:pPr>
        <w:spacing w:line="260" w:lineRule="exact"/>
        <w:jc w:val="both"/>
        <w:rPr>
          <w:rFonts w:cs="Arial"/>
          <w:sz w:val="20"/>
          <w:szCs w:val="20"/>
          <w:lang w:val="sl-SI"/>
        </w:rPr>
      </w:pPr>
    </w:p>
    <w:p w14:paraId="720DD96D" w14:textId="77777777" w:rsidR="00FA7969" w:rsidRPr="00462D42" w:rsidRDefault="00FA7969" w:rsidP="00462D42">
      <w:pPr>
        <w:pStyle w:val="Naslov3"/>
        <w:numPr>
          <w:ilvl w:val="2"/>
          <w:numId w:val="25"/>
        </w:numPr>
        <w:spacing w:before="0" w:line="260" w:lineRule="exact"/>
        <w:jc w:val="both"/>
        <w:rPr>
          <w:rFonts w:cs="Arial"/>
          <w:sz w:val="20"/>
          <w:szCs w:val="20"/>
          <w:lang w:val="sl-SI"/>
        </w:rPr>
      </w:pPr>
      <w:r w:rsidRPr="00462D42">
        <w:rPr>
          <w:rFonts w:cs="Arial"/>
          <w:sz w:val="20"/>
          <w:szCs w:val="20"/>
          <w:lang w:val="sl-SI"/>
        </w:rPr>
        <w:t>Energetska učinkovitost (prednostna naložba 4.1)</w:t>
      </w:r>
    </w:p>
    <w:p w14:paraId="185B21BD" w14:textId="77777777" w:rsidR="00FA7969" w:rsidRPr="00462D42" w:rsidRDefault="00FA7969" w:rsidP="00462D42">
      <w:pPr>
        <w:spacing w:line="260" w:lineRule="exact"/>
        <w:jc w:val="both"/>
        <w:rPr>
          <w:rFonts w:cs="Arial"/>
          <w:sz w:val="20"/>
          <w:szCs w:val="20"/>
          <w:lang w:val="sl-SI"/>
        </w:rPr>
      </w:pPr>
    </w:p>
    <w:p w14:paraId="7B29FBF1" w14:textId="42390AE1" w:rsidR="00FA7969" w:rsidRPr="00462D42" w:rsidRDefault="00FA7969" w:rsidP="00462D42">
      <w:pPr>
        <w:spacing w:line="260" w:lineRule="exact"/>
        <w:jc w:val="both"/>
        <w:rPr>
          <w:rFonts w:eastAsiaTheme="minorHAnsi" w:cs="Arial"/>
          <w:sz w:val="20"/>
          <w:szCs w:val="20"/>
          <w:lang w:val="sl-SI"/>
        </w:rPr>
      </w:pPr>
      <w:r w:rsidRPr="00462D42">
        <w:rPr>
          <w:rFonts w:cs="Arial"/>
          <w:sz w:val="20"/>
          <w:szCs w:val="20"/>
          <w:lang w:val="sl-SI"/>
        </w:rPr>
        <w:t xml:space="preserve">Pospeševanje ukrepov za izboljšanje energetske učinkovitosti in rabe obnovljivih virov energije v javnem sektorju, gospodinjstvih in podjetjih je v Sloveniji potrebno zaradi pritiska naraščanja izpustov toplogrednih plinov iz prometa. Poudarek je na spodbujanju naložb v energetsko </w:t>
      </w:r>
      <w:r w:rsidR="006D5D4C" w:rsidRPr="00462D42">
        <w:rPr>
          <w:rFonts w:cs="Arial"/>
          <w:sz w:val="20"/>
          <w:szCs w:val="20"/>
          <w:lang w:val="sl-SI"/>
        </w:rPr>
        <w:t xml:space="preserve">prenovo </w:t>
      </w:r>
      <w:r w:rsidRPr="00462D42">
        <w:rPr>
          <w:rFonts w:cs="Arial"/>
          <w:sz w:val="20"/>
          <w:szCs w:val="20"/>
          <w:lang w:val="sl-SI"/>
        </w:rPr>
        <w:t xml:space="preserve">stavb, ki ima velik potencial za zmanjšanje rabe energije. Pomembno vlogo pri tem bo imel javni sektor, ki naj bi bil zgled za obnovo v smeri večje energetske učinkovitosti v gospodinjstvih. Po ocenah največ končne energije javnega sektorja brez razsvetljave </w:t>
      </w:r>
      <w:r w:rsidR="006D5D4C" w:rsidRPr="00462D42">
        <w:rPr>
          <w:rFonts w:cs="Arial"/>
          <w:sz w:val="20"/>
          <w:szCs w:val="20"/>
          <w:lang w:val="sl-SI"/>
        </w:rPr>
        <w:t xml:space="preserve">porabijo </w:t>
      </w:r>
      <w:r w:rsidRPr="00462D42">
        <w:rPr>
          <w:rFonts w:cs="Arial"/>
          <w:sz w:val="20"/>
          <w:szCs w:val="20"/>
          <w:lang w:val="sl-SI"/>
        </w:rPr>
        <w:t xml:space="preserve">bolnišnice, sledijo jim osnovne šole, stavbe javne uprave ter stavbe za kulturo in razvedrilo. </w:t>
      </w:r>
      <w:r w:rsidRPr="00462D42">
        <w:rPr>
          <w:rFonts w:eastAsiaTheme="minorHAnsi" w:cs="Arial"/>
          <w:sz w:val="20"/>
          <w:szCs w:val="20"/>
          <w:lang w:val="sl-SI"/>
        </w:rPr>
        <w:t>Za področje energetske učinkovitosti je predvidena uporaba posojil.</w:t>
      </w:r>
    </w:p>
    <w:p w14:paraId="14B333CE" w14:textId="77777777" w:rsidR="00FA7969" w:rsidRPr="00462D42" w:rsidRDefault="00FA7969" w:rsidP="00462D42">
      <w:pPr>
        <w:spacing w:line="260" w:lineRule="exact"/>
        <w:jc w:val="both"/>
        <w:rPr>
          <w:rFonts w:cs="Arial"/>
          <w:sz w:val="20"/>
          <w:szCs w:val="20"/>
          <w:lang w:val="sl-SI"/>
        </w:rPr>
      </w:pPr>
    </w:p>
    <w:p w14:paraId="735336B9" w14:textId="59CEBA7E" w:rsidR="00667628" w:rsidRPr="00462D42" w:rsidRDefault="00667628" w:rsidP="00462D42">
      <w:pPr>
        <w:spacing w:line="260" w:lineRule="exact"/>
        <w:jc w:val="both"/>
        <w:rPr>
          <w:rFonts w:cs="Arial"/>
          <w:sz w:val="20"/>
          <w:szCs w:val="20"/>
          <w:lang w:val="sl-SI"/>
        </w:rPr>
      </w:pPr>
      <w:r w:rsidRPr="00462D42">
        <w:rPr>
          <w:rFonts w:cs="Arial"/>
          <w:sz w:val="20"/>
          <w:szCs w:val="20"/>
          <w:lang w:val="sl-SI"/>
        </w:rPr>
        <w:t>Prikaz načrta prispevka k ukrepu operativnega programa glede na obliko financiranja</w:t>
      </w:r>
      <w:r w:rsidR="002D7575" w:rsidRPr="00462D42">
        <w:rPr>
          <w:rFonts w:cs="Arial"/>
          <w:sz w:val="20"/>
          <w:szCs w:val="20"/>
          <w:lang w:val="sl-SI"/>
        </w:rPr>
        <w:t xml:space="preserve"> (v EUR)</w:t>
      </w:r>
      <w:r w:rsidRPr="00462D42">
        <w:rPr>
          <w:rFonts w:cs="Arial"/>
          <w:sz w:val="20"/>
          <w:szCs w:val="20"/>
          <w:lang w:val="sl-SI"/>
        </w:rPr>
        <w:t>:</w:t>
      </w:r>
    </w:p>
    <w:tbl>
      <w:tblPr>
        <w:tblW w:w="5007" w:type="pct"/>
        <w:tblCellMar>
          <w:left w:w="70" w:type="dxa"/>
          <w:right w:w="70" w:type="dxa"/>
        </w:tblCellMar>
        <w:tblLook w:val="04A0" w:firstRow="1" w:lastRow="0" w:firstColumn="1" w:lastColumn="0" w:noHBand="0" w:noVBand="1"/>
      </w:tblPr>
      <w:tblGrid>
        <w:gridCol w:w="1583"/>
        <w:gridCol w:w="1872"/>
        <w:gridCol w:w="2161"/>
        <w:gridCol w:w="1915"/>
        <w:gridCol w:w="1687"/>
      </w:tblGrid>
      <w:tr w:rsidR="00FA7969" w:rsidRPr="002D7575" w14:paraId="7D9A9926" w14:textId="77777777" w:rsidTr="002D7575">
        <w:trPr>
          <w:trHeight w:val="293"/>
        </w:trPr>
        <w:tc>
          <w:tcPr>
            <w:tcW w:w="1556" w:type="dxa"/>
            <w:tcBorders>
              <w:top w:val="single" w:sz="4" w:space="0" w:color="000000"/>
              <w:left w:val="single" w:sz="4" w:space="0" w:color="auto"/>
              <w:bottom w:val="nil"/>
              <w:right w:val="nil"/>
            </w:tcBorders>
            <w:shd w:val="clear" w:color="auto" w:fill="auto"/>
            <w:vAlign w:val="center"/>
            <w:hideMark/>
          </w:tcPr>
          <w:p w14:paraId="0DB34F90"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Domena ukrepa</w:t>
            </w:r>
          </w:p>
        </w:tc>
        <w:tc>
          <w:tcPr>
            <w:tcW w:w="1842" w:type="dxa"/>
            <w:tcBorders>
              <w:top w:val="single" w:sz="4" w:space="0" w:color="000000"/>
              <w:left w:val="single" w:sz="4" w:space="0" w:color="auto"/>
              <w:bottom w:val="nil"/>
              <w:right w:val="nil"/>
            </w:tcBorders>
            <w:shd w:val="clear" w:color="auto" w:fill="auto"/>
            <w:vAlign w:val="center"/>
            <w:hideMark/>
          </w:tcPr>
          <w:p w14:paraId="330003A2"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Oblika financiranja</w:t>
            </w:r>
          </w:p>
        </w:tc>
        <w:tc>
          <w:tcPr>
            <w:tcW w:w="2126" w:type="dxa"/>
            <w:tcBorders>
              <w:top w:val="single" w:sz="4" w:space="0" w:color="000000"/>
              <w:left w:val="single" w:sz="4" w:space="0" w:color="auto"/>
              <w:bottom w:val="nil"/>
              <w:right w:val="nil"/>
            </w:tcBorders>
            <w:shd w:val="clear" w:color="auto" w:fill="auto"/>
            <w:vAlign w:val="center"/>
            <w:hideMark/>
          </w:tcPr>
          <w:p w14:paraId="229819CC"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FI (EU del) – VZHOD*</w:t>
            </w:r>
          </w:p>
        </w:tc>
        <w:tc>
          <w:tcPr>
            <w:tcW w:w="1884" w:type="dxa"/>
            <w:tcBorders>
              <w:top w:val="single" w:sz="4" w:space="0" w:color="000000"/>
              <w:left w:val="single" w:sz="4" w:space="0" w:color="auto"/>
              <w:bottom w:val="nil"/>
              <w:right w:val="nil"/>
            </w:tcBorders>
            <w:shd w:val="clear" w:color="auto" w:fill="auto"/>
            <w:vAlign w:val="center"/>
            <w:hideMark/>
          </w:tcPr>
          <w:p w14:paraId="40226693"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FI (EU del) – ZAHOD*</w:t>
            </w:r>
          </w:p>
        </w:tc>
        <w:tc>
          <w:tcPr>
            <w:tcW w:w="1660" w:type="dxa"/>
            <w:tcBorders>
              <w:top w:val="single" w:sz="4" w:space="0" w:color="000000"/>
              <w:left w:val="single" w:sz="4" w:space="0" w:color="auto"/>
              <w:bottom w:val="nil"/>
              <w:right w:val="single" w:sz="4" w:space="0" w:color="auto"/>
            </w:tcBorders>
            <w:shd w:val="clear" w:color="auto" w:fill="auto"/>
            <w:vAlign w:val="center"/>
            <w:hideMark/>
          </w:tcPr>
          <w:p w14:paraId="02C5E97A"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Skupaj FI (EU del)</w:t>
            </w:r>
          </w:p>
        </w:tc>
      </w:tr>
      <w:tr w:rsidR="00FA7969" w:rsidRPr="002D7575" w14:paraId="1BCD0A11" w14:textId="77777777" w:rsidTr="002D7575">
        <w:trPr>
          <w:trHeight w:val="300"/>
        </w:trPr>
        <w:tc>
          <w:tcPr>
            <w:tcW w:w="1556" w:type="dxa"/>
            <w:tcBorders>
              <w:top w:val="single" w:sz="4" w:space="0" w:color="auto"/>
              <w:left w:val="single" w:sz="4" w:space="0" w:color="auto"/>
              <w:bottom w:val="nil"/>
              <w:right w:val="nil"/>
            </w:tcBorders>
            <w:shd w:val="clear" w:color="auto" w:fill="auto"/>
            <w:noWrap/>
            <w:vAlign w:val="center"/>
            <w:hideMark/>
          </w:tcPr>
          <w:p w14:paraId="2EF250FA"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013</w:t>
            </w:r>
          </w:p>
        </w:tc>
        <w:tc>
          <w:tcPr>
            <w:tcW w:w="1842" w:type="dxa"/>
            <w:tcBorders>
              <w:top w:val="single" w:sz="4" w:space="0" w:color="auto"/>
              <w:left w:val="single" w:sz="4" w:space="0" w:color="auto"/>
              <w:bottom w:val="nil"/>
              <w:right w:val="nil"/>
            </w:tcBorders>
            <w:shd w:val="clear" w:color="auto" w:fill="auto"/>
            <w:noWrap/>
            <w:vAlign w:val="center"/>
            <w:hideMark/>
          </w:tcPr>
          <w:p w14:paraId="21194F47"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Posojila</w:t>
            </w:r>
          </w:p>
        </w:tc>
        <w:tc>
          <w:tcPr>
            <w:tcW w:w="2126" w:type="dxa"/>
            <w:tcBorders>
              <w:top w:val="single" w:sz="4" w:space="0" w:color="auto"/>
              <w:left w:val="single" w:sz="4" w:space="0" w:color="auto"/>
              <w:bottom w:val="nil"/>
              <w:right w:val="nil"/>
            </w:tcBorders>
            <w:shd w:val="clear" w:color="auto" w:fill="auto"/>
            <w:noWrap/>
            <w:vAlign w:val="center"/>
            <w:hideMark/>
          </w:tcPr>
          <w:p w14:paraId="63032311"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w:t>
            </w:r>
          </w:p>
        </w:tc>
        <w:tc>
          <w:tcPr>
            <w:tcW w:w="1884" w:type="dxa"/>
            <w:tcBorders>
              <w:top w:val="single" w:sz="4" w:space="0" w:color="auto"/>
              <w:left w:val="single" w:sz="4" w:space="0" w:color="auto"/>
              <w:bottom w:val="nil"/>
              <w:right w:val="nil"/>
            </w:tcBorders>
            <w:shd w:val="clear" w:color="auto" w:fill="auto"/>
            <w:noWrap/>
            <w:vAlign w:val="center"/>
            <w:hideMark/>
          </w:tcPr>
          <w:p w14:paraId="0A653FEF"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14:paraId="695277DB" w14:textId="77777777" w:rsidR="00FA7969" w:rsidRPr="002D7575" w:rsidRDefault="00FA7969" w:rsidP="0041142C">
            <w:pPr>
              <w:jc w:val="right"/>
              <w:outlineLvl w:val="2"/>
              <w:rPr>
                <w:rFonts w:cs="Arial"/>
                <w:color w:val="000000"/>
                <w:sz w:val="16"/>
                <w:szCs w:val="16"/>
                <w:lang w:val="sl-SI" w:eastAsia="sl-SI"/>
              </w:rPr>
            </w:pPr>
            <w:r w:rsidRPr="002D7575">
              <w:rPr>
                <w:rFonts w:cs="Arial"/>
                <w:color w:val="000000"/>
                <w:sz w:val="16"/>
                <w:szCs w:val="16"/>
                <w:lang w:val="sl-SI" w:eastAsia="sl-SI"/>
              </w:rPr>
              <w:t>25.000.000,00</w:t>
            </w:r>
          </w:p>
        </w:tc>
      </w:tr>
      <w:tr w:rsidR="00FA7969" w:rsidRPr="002D7575" w14:paraId="339BB1BB" w14:textId="77777777" w:rsidTr="002D7575">
        <w:trPr>
          <w:trHeight w:val="300"/>
        </w:trPr>
        <w:tc>
          <w:tcPr>
            <w:tcW w:w="3398" w:type="dxa"/>
            <w:gridSpan w:val="2"/>
            <w:tcBorders>
              <w:top w:val="single" w:sz="4" w:space="0" w:color="auto"/>
              <w:left w:val="single" w:sz="4" w:space="0" w:color="auto"/>
              <w:bottom w:val="single" w:sz="4" w:space="0" w:color="auto"/>
              <w:right w:val="nil"/>
            </w:tcBorders>
            <w:shd w:val="clear" w:color="auto" w:fill="auto"/>
            <w:noWrap/>
            <w:vAlign w:val="center"/>
            <w:hideMark/>
          </w:tcPr>
          <w:p w14:paraId="5ED5A4EA" w14:textId="1D0F1BE5" w:rsidR="00FA7969" w:rsidRPr="002D7575" w:rsidRDefault="00FA7969" w:rsidP="00A0634F">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(posojila)</w: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45248C1C" w14:textId="77777777" w:rsidR="00FA7969" w:rsidRPr="002D7575" w:rsidRDefault="00FA7969" w:rsidP="002D7575">
            <w:pPr>
              <w:jc w:val="center"/>
              <w:outlineLvl w:val="1"/>
              <w:rPr>
                <w:rFonts w:cs="Arial"/>
                <w:b/>
                <w:color w:val="000000"/>
                <w:sz w:val="16"/>
                <w:szCs w:val="16"/>
                <w:lang w:val="sl-SI" w:eastAsia="sl-SI"/>
              </w:rPr>
            </w:pPr>
            <w:r w:rsidRPr="002D7575">
              <w:rPr>
                <w:rFonts w:cs="Arial"/>
                <w:b/>
                <w:color w:val="000000"/>
                <w:sz w:val="16"/>
                <w:szCs w:val="16"/>
                <w:lang w:val="sl-SI" w:eastAsia="sl-SI"/>
              </w:rPr>
              <w:t>/</w:t>
            </w:r>
          </w:p>
        </w:tc>
        <w:tc>
          <w:tcPr>
            <w:tcW w:w="1884" w:type="dxa"/>
            <w:tcBorders>
              <w:top w:val="single" w:sz="4" w:space="0" w:color="auto"/>
              <w:left w:val="single" w:sz="4" w:space="0" w:color="auto"/>
              <w:bottom w:val="single" w:sz="4" w:space="0" w:color="auto"/>
              <w:right w:val="nil"/>
            </w:tcBorders>
            <w:shd w:val="clear" w:color="auto" w:fill="auto"/>
            <w:noWrap/>
            <w:vAlign w:val="center"/>
            <w:hideMark/>
          </w:tcPr>
          <w:p w14:paraId="261FE59D" w14:textId="77777777" w:rsidR="00FA7969" w:rsidRPr="002D7575" w:rsidRDefault="00FA7969" w:rsidP="002D7575">
            <w:pPr>
              <w:jc w:val="center"/>
              <w:outlineLvl w:val="1"/>
              <w:rPr>
                <w:rFonts w:cs="Arial"/>
                <w:b/>
                <w:color w:val="000000"/>
                <w:sz w:val="16"/>
                <w:szCs w:val="16"/>
                <w:lang w:val="sl-SI" w:eastAsia="sl-SI"/>
              </w:rPr>
            </w:pPr>
            <w:r w:rsidRPr="002D7575">
              <w:rPr>
                <w:rFonts w:cs="Arial"/>
                <w:b/>
                <w:color w:val="000000"/>
                <w:sz w:val="16"/>
                <w:szCs w:val="16"/>
                <w:lang w:val="sl-SI" w:eastAsia="sl-SI"/>
              </w:rPr>
              <w: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890E7" w14:textId="77777777" w:rsidR="00FA7969" w:rsidRPr="002D7575" w:rsidRDefault="00FA7969" w:rsidP="0041142C">
            <w:pPr>
              <w:jc w:val="right"/>
              <w:outlineLvl w:val="1"/>
              <w:rPr>
                <w:rFonts w:cs="Arial"/>
                <w:b/>
                <w:color w:val="000000"/>
                <w:sz w:val="16"/>
                <w:szCs w:val="16"/>
                <w:lang w:val="sl-SI" w:eastAsia="sl-SI"/>
              </w:rPr>
            </w:pPr>
            <w:r w:rsidRPr="002D7575">
              <w:rPr>
                <w:rFonts w:cs="Arial"/>
                <w:b/>
                <w:color w:val="000000"/>
                <w:sz w:val="16"/>
                <w:szCs w:val="16"/>
                <w:lang w:val="sl-SI" w:eastAsia="sl-SI"/>
              </w:rPr>
              <w:t>25.000.000,00</w:t>
            </w:r>
          </w:p>
        </w:tc>
      </w:tr>
      <w:tr w:rsidR="00FA7969" w:rsidRPr="002D7575" w14:paraId="519E8CB9" w14:textId="77777777" w:rsidTr="002D7575">
        <w:trPr>
          <w:trHeight w:val="300"/>
        </w:trPr>
        <w:tc>
          <w:tcPr>
            <w:tcW w:w="3398" w:type="dxa"/>
            <w:gridSpan w:val="2"/>
            <w:tcBorders>
              <w:top w:val="single" w:sz="4" w:space="0" w:color="auto"/>
              <w:left w:val="single" w:sz="4" w:space="0" w:color="auto"/>
              <w:bottom w:val="single" w:sz="4" w:space="0" w:color="auto"/>
              <w:right w:val="nil"/>
            </w:tcBorders>
            <w:shd w:val="clear" w:color="auto" w:fill="auto"/>
            <w:noWrap/>
            <w:vAlign w:val="center"/>
            <w:hideMark/>
          </w:tcPr>
          <w:p w14:paraId="0C7F0258" w14:textId="208AA6F7" w:rsidR="00FA7969" w:rsidRPr="002D7575" w:rsidRDefault="00FA7969" w:rsidP="00A0634F">
            <w:pPr>
              <w:jc w:val="both"/>
              <w:outlineLvl w:val="0"/>
              <w:rPr>
                <w:rFonts w:cs="Arial"/>
                <w:color w:val="000000"/>
                <w:sz w:val="16"/>
                <w:szCs w:val="16"/>
                <w:lang w:val="sl-SI" w:eastAsia="sl-SI"/>
              </w:rPr>
            </w:pPr>
            <w:r w:rsidRPr="002D7575">
              <w:rPr>
                <w:rFonts w:cs="Arial"/>
                <w:b/>
                <w:color w:val="000000"/>
                <w:sz w:val="16"/>
                <w:szCs w:val="16"/>
                <w:lang w:val="sl-SI" w:eastAsia="sl-SI"/>
              </w:rPr>
              <w:t>Skupaj</w: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7F8996D9" w14:textId="77777777" w:rsidR="00FA7969" w:rsidRPr="002D7575" w:rsidRDefault="00FA7969" w:rsidP="002D7575">
            <w:pPr>
              <w:jc w:val="center"/>
              <w:outlineLvl w:val="0"/>
              <w:rPr>
                <w:rFonts w:cs="Arial"/>
                <w:b/>
                <w:color w:val="000000"/>
                <w:sz w:val="16"/>
                <w:szCs w:val="16"/>
                <w:lang w:val="sl-SI" w:eastAsia="sl-SI"/>
              </w:rPr>
            </w:pPr>
            <w:r w:rsidRPr="002D7575">
              <w:rPr>
                <w:rFonts w:cs="Arial"/>
                <w:b/>
                <w:color w:val="000000"/>
                <w:sz w:val="16"/>
                <w:szCs w:val="16"/>
                <w:lang w:val="sl-SI" w:eastAsia="sl-SI"/>
              </w:rPr>
              <w:t>/</w:t>
            </w:r>
          </w:p>
        </w:tc>
        <w:tc>
          <w:tcPr>
            <w:tcW w:w="1884" w:type="dxa"/>
            <w:tcBorders>
              <w:top w:val="single" w:sz="4" w:space="0" w:color="auto"/>
              <w:left w:val="single" w:sz="4" w:space="0" w:color="auto"/>
              <w:bottom w:val="single" w:sz="4" w:space="0" w:color="auto"/>
              <w:right w:val="nil"/>
            </w:tcBorders>
            <w:shd w:val="clear" w:color="auto" w:fill="auto"/>
            <w:noWrap/>
            <w:vAlign w:val="center"/>
            <w:hideMark/>
          </w:tcPr>
          <w:p w14:paraId="5C6CFB77" w14:textId="77777777" w:rsidR="00FA7969" w:rsidRPr="002D7575" w:rsidRDefault="00FA7969" w:rsidP="002D7575">
            <w:pPr>
              <w:jc w:val="center"/>
              <w:outlineLvl w:val="0"/>
              <w:rPr>
                <w:rFonts w:cs="Arial"/>
                <w:b/>
                <w:color w:val="000000"/>
                <w:sz w:val="16"/>
                <w:szCs w:val="16"/>
                <w:lang w:val="sl-SI" w:eastAsia="sl-SI"/>
              </w:rPr>
            </w:pPr>
            <w:r w:rsidRPr="002D7575">
              <w:rPr>
                <w:rFonts w:cs="Arial"/>
                <w:b/>
                <w:color w:val="000000"/>
                <w:sz w:val="16"/>
                <w:szCs w:val="16"/>
                <w:lang w:val="sl-SI" w:eastAsia="sl-SI"/>
              </w:rPr>
              <w: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EF27" w14:textId="77777777" w:rsidR="00FA7969" w:rsidRPr="002D7575" w:rsidRDefault="00FA7969" w:rsidP="0041142C">
            <w:pPr>
              <w:jc w:val="right"/>
              <w:outlineLvl w:val="0"/>
              <w:rPr>
                <w:rFonts w:cs="Arial"/>
                <w:b/>
                <w:color w:val="000000"/>
                <w:sz w:val="16"/>
                <w:szCs w:val="16"/>
                <w:lang w:val="sl-SI" w:eastAsia="sl-SI"/>
              </w:rPr>
            </w:pPr>
            <w:r w:rsidRPr="002D7575">
              <w:rPr>
                <w:rFonts w:cs="Arial"/>
                <w:b/>
                <w:color w:val="000000"/>
                <w:sz w:val="16"/>
                <w:szCs w:val="16"/>
                <w:lang w:val="sl-SI" w:eastAsia="sl-SI"/>
              </w:rPr>
              <w:t>25.000.000,00</w:t>
            </w:r>
          </w:p>
        </w:tc>
      </w:tr>
    </w:tbl>
    <w:p w14:paraId="6B6AE7F8" w14:textId="77777777" w:rsidR="00DA5FC1" w:rsidRPr="00DA5FC1" w:rsidRDefault="00FA7969" w:rsidP="00DA5FC1">
      <w:pPr>
        <w:jc w:val="both"/>
        <w:rPr>
          <w:rFonts w:cs="Arial"/>
          <w:sz w:val="16"/>
          <w:szCs w:val="16"/>
          <w:lang w:val="sl-SI"/>
        </w:rPr>
      </w:pPr>
      <w:r w:rsidRPr="00DA5FC1">
        <w:rPr>
          <w:rFonts w:cs="Arial"/>
          <w:sz w:val="16"/>
          <w:szCs w:val="16"/>
          <w:lang w:val="sl-SI"/>
        </w:rPr>
        <w:t>* Sredstva zagotavlja Kohezijski sklad za območje celotne Slovenije; delitev sredstev po kohezijski regiji ni predvidena.</w:t>
      </w:r>
    </w:p>
    <w:p w14:paraId="5557C50C" w14:textId="20FD8C8E" w:rsidR="00DA5FC1"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5289A986" w14:textId="00683535" w:rsidR="00FA7969" w:rsidRPr="0014087F" w:rsidRDefault="00FA7969" w:rsidP="00462D42">
      <w:pPr>
        <w:spacing w:line="260" w:lineRule="exact"/>
        <w:jc w:val="both"/>
        <w:rPr>
          <w:rFonts w:cs="Arial"/>
          <w:sz w:val="20"/>
          <w:szCs w:val="20"/>
          <w:lang w:val="sl-SI"/>
        </w:rPr>
      </w:pPr>
      <w:r w:rsidRPr="0014087F">
        <w:rPr>
          <w:rFonts w:cs="Arial"/>
          <w:sz w:val="20"/>
          <w:szCs w:val="20"/>
          <w:lang w:val="sl-SI"/>
        </w:rPr>
        <w:t xml:space="preserve">Demonstrativno bodo podprte naložbe in predstavitveni projekti v prenovo javne infrastrukture za večjo energetsko učinkovitost. Pri tem bodo podprti tudi ukrepi energetske </w:t>
      </w:r>
      <w:r w:rsidR="006D5D4C" w:rsidRPr="0014087F">
        <w:rPr>
          <w:rFonts w:cs="Arial"/>
          <w:sz w:val="20"/>
          <w:szCs w:val="20"/>
          <w:lang w:val="sl-SI"/>
        </w:rPr>
        <w:t>prenove</w:t>
      </w:r>
      <w:r w:rsidRPr="0014087F">
        <w:rPr>
          <w:rFonts w:cs="Arial"/>
          <w:sz w:val="20"/>
          <w:szCs w:val="20"/>
          <w:lang w:val="sl-SI"/>
        </w:rPr>
        <w:t xml:space="preserve"> stavb ali posameznih elementov stavb, zamenjave gradbenega pohištva, sanacija sistemov ogrevanja in hlajenja ter učinkovitejša notranja razsvetljava, ki bodo omogočili celovito energetsko </w:t>
      </w:r>
      <w:r w:rsidR="006D5D4C" w:rsidRPr="0014087F">
        <w:rPr>
          <w:rFonts w:cs="Arial"/>
          <w:sz w:val="20"/>
          <w:szCs w:val="20"/>
          <w:lang w:val="sl-SI"/>
        </w:rPr>
        <w:t>prenovo</w:t>
      </w:r>
      <w:r w:rsidRPr="0014087F">
        <w:rPr>
          <w:rFonts w:cs="Arial"/>
          <w:sz w:val="20"/>
          <w:szCs w:val="20"/>
          <w:lang w:val="sl-SI"/>
        </w:rPr>
        <w:t>.</w:t>
      </w:r>
    </w:p>
    <w:p w14:paraId="53303E05" w14:textId="77777777" w:rsidR="009B4BCC" w:rsidRPr="0014087F" w:rsidRDefault="009B4BCC" w:rsidP="00462D42">
      <w:pPr>
        <w:spacing w:line="260" w:lineRule="exact"/>
        <w:jc w:val="both"/>
        <w:rPr>
          <w:rFonts w:cs="Arial"/>
          <w:sz w:val="20"/>
          <w:szCs w:val="20"/>
          <w:lang w:val="sl-SI"/>
        </w:rPr>
      </w:pPr>
    </w:p>
    <w:p w14:paraId="06395A57" w14:textId="38CDDC70" w:rsidR="00FA7969" w:rsidRPr="0014087F" w:rsidRDefault="00FA7969" w:rsidP="00462D42">
      <w:pPr>
        <w:pStyle w:val="Naslov3"/>
        <w:numPr>
          <w:ilvl w:val="2"/>
          <w:numId w:val="25"/>
        </w:numPr>
        <w:spacing w:before="0" w:line="260" w:lineRule="exact"/>
        <w:jc w:val="both"/>
        <w:rPr>
          <w:rFonts w:cs="Arial"/>
          <w:sz w:val="20"/>
          <w:szCs w:val="20"/>
          <w:lang w:val="sl-SI"/>
        </w:rPr>
      </w:pPr>
      <w:r w:rsidRPr="0014087F">
        <w:rPr>
          <w:rFonts w:cs="Arial"/>
          <w:sz w:val="20"/>
          <w:szCs w:val="20"/>
          <w:lang w:val="sl-SI"/>
        </w:rPr>
        <w:t>Urbani</w:t>
      </w:r>
      <w:r w:rsidR="00FC4417" w:rsidRPr="0014087F">
        <w:rPr>
          <w:rFonts w:cs="Arial"/>
          <w:sz w:val="20"/>
          <w:szCs w:val="20"/>
          <w:lang w:val="sl-SI"/>
        </w:rPr>
        <w:t xml:space="preserve"> </w:t>
      </w:r>
      <w:r w:rsidRPr="0014087F">
        <w:rPr>
          <w:rFonts w:cs="Arial"/>
          <w:sz w:val="20"/>
          <w:szCs w:val="20"/>
          <w:lang w:val="sl-SI"/>
        </w:rPr>
        <w:t>razvoj (prednostna naložba 6.3)</w:t>
      </w:r>
    </w:p>
    <w:p w14:paraId="614B7B38" w14:textId="77777777" w:rsidR="00FA7969" w:rsidRPr="0014087F" w:rsidRDefault="00FA7969" w:rsidP="00462D42">
      <w:pPr>
        <w:spacing w:line="260" w:lineRule="exact"/>
        <w:jc w:val="both"/>
        <w:rPr>
          <w:rFonts w:cs="Arial"/>
          <w:sz w:val="20"/>
          <w:szCs w:val="20"/>
          <w:lang w:val="sl-SI"/>
        </w:rPr>
      </w:pPr>
    </w:p>
    <w:p w14:paraId="5F56DACC" w14:textId="7E6C4D4F" w:rsidR="00FC4417" w:rsidRPr="0014087F" w:rsidRDefault="00FC4417" w:rsidP="00462D42">
      <w:pPr>
        <w:spacing w:line="260" w:lineRule="exact"/>
        <w:jc w:val="both"/>
        <w:rPr>
          <w:rFonts w:cs="Arial"/>
          <w:sz w:val="20"/>
          <w:szCs w:val="20"/>
          <w:lang w:val="sl-SI"/>
        </w:rPr>
      </w:pPr>
      <w:r w:rsidRPr="0014087F">
        <w:rPr>
          <w:rFonts w:cs="Arial"/>
          <w:sz w:val="20"/>
          <w:szCs w:val="20"/>
          <w:lang w:val="sl-SI"/>
        </w:rPr>
        <w:t xml:space="preserve">V mestih in mestnih naseljih živi v Sloveniji približno polovico slovenskega prebivalstva. Več kot polovica vseh delovnih mest pa je skoncentrirana v 11 urbanih središčih. Za učinkovitejšo rabo prostora na urbanih območjih bomo spodbujali izkoriščanje notranjih potencialov mestnih območij z </w:t>
      </w:r>
      <w:proofErr w:type="spellStart"/>
      <w:r w:rsidRPr="0014087F">
        <w:rPr>
          <w:rFonts w:cs="Arial"/>
          <w:sz w:val="20"/>
          <w:szCs w:val="20"/>
          <w:lang w:val="sl-SI"/>
        </w:rPr>
        <w:t>reaktivacijo</w:t>
      </w:r>
      <w:proofErr w:type="spellEnd"/>
      <w:r w:rsidRPr="0014087F">
        <w:rPr>
          <w:rFonts w:cs="Arial"/>
          <w:sz w:val="20"/>
          <w:szCs w:val="20"/>
          <w:lang w:val="sl-SI"/>
        </w:rPr>
        <w:t xml:space="preserve"> prostih in slabo izkoriščenih površin v mestih. Tako bomo prispevali tudi k razvoju gospodarskih in družbenih dejavnosti ter večji privlačnosti urba</w:t>
      </w:r>
      <w:r w:rsidR="00A0634F" w:rsidRPr="0014087F">
        <w:rPr>
          <w:rFonts w:cs="Arial"/>
          <w:sz w:val="20"/>
          <w:szCs w:val="20"/>
          <w:lang w:val="sl-SI"/>
        </w:rPr>
        <w:t>nega okolja za delo in bivanje.</w:t>
      </w:r>
    </w:p>
    <w:p w14:paraId="793B9515" w14:textId="77777777" w:rsidR="00FC4417" w:rsidRPr="0014087F" w:rsidRDefault="00FC4417" w:rsidP="00462D42">
      <w:pPr>
        <w:spacing w:line="260" w:lineRule="exact"/>
        <w:jc w:val="both"/>
        <w:rPr>
          <w:rFonts w:cs="Arial"/>
          <w:sz w:val="20"/>
          <w:szCs w:val="20"/>
          <w:lang w:val="sl-SI"/>
        </w:rPr>
      </w:pPr>
    </w:p>
    <w:p w14:paraId="2214B87A" w14:textId="24898EA9" w:rsidR="00FC4417" w:rsidRPr="0014087F" w:rsidRDefault="00FC4417" w:rsidP="00462D42">
      <w:pPr>
        <w:spacing w:line="260" w:lineRule="exact"/>
        <w:jc w:val="both"/>
        <w:rPr>
          <w:rFonts w:cs="Arial"/>
          <w:sz w:val="20"/>
          <w:szCs w:val="20"/>
          <w:lang w:val="sl-SI"/>
        </w:rPr>
      </w:pPr>
      <w:r w:rsidRPr="0014087F">
        <w:rPr>
          <w:rFonts w:cs="Arial"/>
          <w:sz w:val="20"/>
          <w:szCs w:val="20"/>
          <w:lang w:val="sl-SI"/>
        </w:rPr>
        <w:t>Predlagani FI za spodbujanje urbanega razvoja zajema posojila za mestne občine, podjetja za upravljanje z javnimi površinami in stavbami, stanovanjske kooperative in ponudnike drugih alternativnih oblik bivanja v mestih. Sredstva bodo namenjena projektom, ki bodo prispevali k izvajanju trajnostnih urbanih strategij v (11) mestnih občinah.</w:t>
      </w:r>
    </w:p>
    <w:p w14:paraId="0FF5D72C" w14:textId="77777777" w:rsidR="00FC4417" w:rsidRPr="0014087F" w:rsidRDefault="00FC4417" w:rsidP="00462D42">
      <w:pPr>
        <w:spacing w:line="260" w:lineRule="exact"/>
        <w:jc w:val="both"/>
        <w:rPr>
          <w:rFonts w:cs="Arial"/>
          <w:sz w:val="20"/>
          <w:szCs w:val="20"/>
          <w:lang w:val="sl-SI"/>
        </w:rPr>
      </w:pPr>
      <w:r w:rsidRPr="0014087F">
        <w:rPr>
          <w:rFonts w:cs="Arial"/>
          <w:sz w:val="20"/>
          <w:szCs w:val="20"/>
          <w:lang w:val="sl-SI"/>
        </w:rPr>
        <w:t xml:space="preserve"> </w:t>
      </w:r>
    </w:p>
    <w:p w14:paraId="654C64F6" w14:textId="2FBE14A4" w:rsidR="00FC4417" w:rsidRPr="0014087F" w:rsidRDefault="00FC4417" w:rsidP="00462D42">
      <w:pPr>
        <w:spacing w:line="260" w:lineRule="exact"/>
        <w:jc w:val="both"/>
        <w:rPr>
          <w:rFonts w:cs="Arial"/>
          <w:sz w:val="20"/>
          <w:szCs w:val="20"/>
          <w:lang w:val="sl-SI"/>
        </w:rPr>
      </w:pPr>
      <w:r w:rsidRPr="0014087F">
        <w:rPr>
          <w:rFonts w:cs="Arial"/>
          <w:sz w:val="20"/>
          <w:szCs w:val="20"/>
          <w:lang w:val="sl-SI"/>
        </w:rPr>
        <w:t xml:space="preserve">Za izvajanje posojil bo namenjenih 5 </w:t>
      </w:r>
      <w:r w:rsidR="005743CB" w:rsidRPr="0014087F">
        <w:rPr>
          <w:rFonts w:cs="Arial"/>
          <w:sz w:val="20"/>
          <w:szCs w:val="20"/>
          <w:lang w:val="sl-SI"/>
        </w:rPr>
        <w:t xml:space="preserve">milijonov evrov EKP </w:t>
      </w:r>
      <w:r w:rsidRPr="0014087F">
        <w:rPr>
          <w:rFonts w:cs="Arial"/>
          <w:sz w:val="20"/>
          <w:szCs w:val="20"/>
          <w:lang w:val="sl-SI"/>
        </w:rPr>
        <w:t>sredstev.</w:t>
      </w:r>
      <w:r w:rsidR="00C13896" w:rsidRPr="0014087F">
        <w:rPr>
          <w:rFonts w:cs="Arial"/>
          <w:sz w:val="20"/>
          <w:szCs w:val="20"/>
          <w:lang w:val="sl-SI"/>
        </w:rPr>
        <w:t xml:space="preserve"> </w:t>
      </w:r>
      <w:r w:rsidRPr="0014087F">
        <w:rPr>
          <w:rFonts w:cs="Arial"/>
          <w:sz w:val="20"/>
          <w:szCs w:val="20"/>
          <w:lang w:val="sl-SI"/>
        </w:rPr>
        <w:t>Predlagani znesek je namenjen izvedbi manjšega števila večjih pilotnih projektov (V in Z kohezijska regija).</w:t>
      </w:r>
    </w:p>
    <w:p w14:paraId="3ECA1120" w14:textId="77777777" w:rsidR="00FC4417" w:rsidRPr="0014087F" w:rsidRDefault="00FC4417" w:rsidP="00462D42">
      <w:pPr>
        <w:spacing w:line="260" w:lineRule="exact"/>
        <w:jc w:val="both"/>
        <w:rPr>
          <w:rFonts w:cs="Arial"/>
          <w:sz w:val="20"/>
          <w:szCs w:val="20"/>
          <w:lang w:val="sl-SI"/>
        </w:rPr>
      </w:pPr>
    </w:p>
    <w:p w14:paraId="68FFD7B5" w14:textId="0F170B6D" w:rsidR="00FC4417" w:rsidRPr="0014087F" w:rsidRDefault="00FC4417" w:rsidP="00462D42">
      <w:pPr>
        <w:spacing w:line="260" w:lineRule="exact"/>
        <w:jc w:val="both"/>
        <w:rPr>
          <w:rFonts w:cs="Arial"/>
          <w:sz w:val="20"/>
          <w:szCs w:val="20"/>
          <w:lang w:val="sl-SI"/>
        </w:rPr>
      </w:pPr>
      <w:r w:rsidRPr="0014087F">
        <w:rPr>
          <w:rFonts w:cs="Arial"/>
          <w:sz w:val="20"/>
          <w:szCs w:val="20"/>
          <w:lang w:val="sl-SI"/>
        </w:rPr>
        <w:t xml:space="preserve">Predlagani FI za urbani razvoj so posojila oz. garancije za pridobitev komercialnih posojil za izvedbo ukrepov, ki prispevajo k doseganju specifičnega cilja te prednostne naložbe in drugih prednostnih naložb </w:t>
      </w:r>
      <w:r w:rsidR="00D51F37" w:rsidRPr="0014087F">
        <w:rPr>
          <w:rFonts w:cs="Arial"/>
          <w:sz w:val="20"/>
          <w:szCs w:val="20"/>
          <w:lang w:val="sl-SI"/>
        </w:rPr>
        <w:t>operativnega programa</w:t>
      </w:r>
      <w:r w:rsidRPr="0014087F">
        <w:rPr>
          <w:rFonts w:cs="Arial"/>
          <w:sz w:val="20"/>
          <w:szCs w:val="20"/>
          <w:lang w:val="sl-SI"/>
        </w:rPr>
        <w:t xml:space="preserve"> in ciljem trajnostnih urbanih strategij v 11 mestnih občinah. S posojili se bo predvidoma podprlo:</w:t>
      </w:r>
    </w:p>
    <w:p w14:paraId="3A0327DA" w14:textId="169BD470" w:rsidR="00FC4417" w:rsidRPr="0014087F" w:rsidRDefault="0014087F" w:rsidP="00462D42">
      <w:pPr>
        <w:spacing w:line="260" w:lineRule="exact"/>
        <w:ind w:left="705" w:hanging="705"/>
        <w:jc w:val="both"/>
        <w:rPr>
          <w:rFonts w:cs="Arial"/>
          <w:sz w:val="20"/>
          <w:szCs w:val="20"/>
          <w:lang w:val="sl-SI"/>
        </w:rPr>
      </w:pPr>
      <w:r w:rsidRPr="0014087F">
        <w:rPr>
          <w:rFonts w:cs="Arial"/>
          <w:sz w:val="20"/>
          <w:szCs w:val="20"/>
          <w:lang w:val="sl-SI"/>
        </w:rPr>
        <w:t>–</w:t>
      </w:r>
      <w:r w:rsidR="00FC4417" w:rsidRPr="0014087F">
        <w:rPr>
          <w:rFonts w:cs="Arial"/>
          <w:sz w:val="20"/>
          <w:szCs w:val="20"/>
          <w:lang w:val="sl-SI"/>
        </w:rPr>
        <w:tab/>
        <w:t>izvedbo projektov prenove ali novogradnje stanovanj, ki so rezultat urbane prenove s ciljem povečanja javnega stanovanjskega fonda, skladno z izkazanimi potrebami po posameznih mestnih občinah;</w:t>
      </w:r>
    </w:p>
    <w:p w14:paraId="261C9BA8" w14:textId="4D031D72" w:rsidR="00FC4417" w:rsidRPr="0014087F" w:rsidRDefault="0014087F" w:rsidP="00462D42">
      <w:pPr>
        <w:spacing w:line="260" w:lineRule="exact"/>
        <w:ind w:left="705" w:hanging="705"/>
        <w:jc w:val="both"/>
        <w:rPr>
          <w:rFonts w:cs="Arial"/>
          <w:sz w:val="20"/>
          <w:szCs w:val="20"/>
          <w:lang w:val="sl-SI"/>
        </w:rPr>
      </w:pPr>
      <w:r w:rsidRPr="0014087F">
        <w:rPr>
          <w:rFonts w:cs="Arial"/>
          <w:sz w:val="20"/>
          <w:szCs w:val="20"/>
          <w:lang w:val="sl-SI"/>
        </w:rPr>
        <w:t>–</w:t>
      </w:r>
      <w:r w:rsidR="00FC4417" w:rsidRPr="0014087F">
        <w:rPr>
          <w:rFonts w:cs="Arial"/>
          <w:sz w:val="20"/>
          <w:szCs w:val="20"/>
          <w:lang w:val="sl-SI"/>
        </w:rPr>
        <w:tab/>
      </w:r>
      <w:r w:rsidR="002D7575" w:rsidRPr="0014087F">
        <w:rPr>
          <w:rFonts w:cs="Arial"/>
          <w:sz w:val="20"/>
          <w:szCs w:val="20"/>
          <w:lang w:val="sl-SI"/>
        </w:rPr>
        <w:t>i</w:t>
      </w:r>
      <w:r w:rsidR="00FC4417" w:rsidRPr="0014087F">
        <w:rPr>
          <w:rFonts w:cs="Arial"/>
          <w:sz w:val="20"/>
          <w:szCs w:val="20"/>
          <w:lang w:val="sl-SI"/>
        </w:rPr>
        <w:t>zvedbo drugih projektov, katerih namen bo izvajanje posegov fizične prenove urbanih območij, ki so skladni s cilji trajnostnih urbanih strategij v 11 mestnih občinah.</w:t>
      </w:r>
    </w:p>
    <w:p w14:paraId="7F83BBC4" w14:textId="77777777" w:rsidR="00FA7969" w:rsidRPr="0014087F" w:rsidRDefault="00FA7969" w:rsidP="00462D42">
      <w:pPr>
        <w:spacing w:line="260" w:lineRule="exact"/>
        <w:jc w:val="both"/>
        <w:rPr>
          <w:rFonts w:cs="Arial"/>
          <w:sz w:val="20"/>
          <w:szCs w:val="20"/>
          <w:lang w:val="sl-SI"/>
        </w:rPr>
      </w:pPr>
    </w:p>
    <w:p w14:paraId="25B6D0AB" w14:textId="01F1903E" w:rsidR="00667628" w:rsidRPr="004223D6" w:rsidRDefault="00667628" w:rsidP="00462D42">
      <w:pPr>
        <w:spacing w:line="260" w:lineRule="exact"/>
        <w:jc w:val="both"/>
        <w:rPr>
          <w:rFonts w:cs="Arial"/>
          <w:szCs w:val="22"/>
          <w:lang w:val="sl-SI"/>
        </w:rPr>
      </w:pPr>
      <w:r w:rsidRPr="0014087F">
        <w:rPr>
          <w:rFonts w:cs="Arial"/>
          <w:sz w:val="20"/>
          <w:szCs w:val="20"/>
          <w:lang w:val="sl-SI"/>
        </w:rPr>
        <w:t>Prikaz načrta prispevka k ukrepu operativnega programa glede</w:t>
      </w:r>
      <w:r w:rsidRPr="004223D6">
        <w:rPr>
          <w:rFonts w:cs="Arial"/>
          <w:szCs w:val="22"/>
          <w:lang w:val="sl-SI"/>
        </w:rPr>
        <w:t xml:space="preserve"> na obliko financiranja</w:t>
      </w:r>
      <w:r w:rsidR="002D7575">
        <w:rPr>
          <w:rFonts w:cs="Arial"/>
          <w:szCs w:val="22"/>
          <w:lang w:val="sl-SI"/>
        </w:rPr>
        <w:t xml:space="preserve"> (v EUR)</w:t>
      </w:r>
      <w:r w:rsidRPr="004223D6">
        <w:rPr>
          <w:rFonts w:cs="Arial"/>
          <w:szCs w:val="22"/>
          <w:lang w:val="sl-SI"/>
        </w:rPr>
        <w:t>:</w:t>
      </w:r>
    </w:p>
    <w:tbl>
      <w:tblPr>
        <w:tblW w:w="5007" w:type="pct"/>
        <w:tblCellMar>
          <w:left w:w="70" w:type="dxa"/>
          <w:right w:w="70" w:type="dxa"/>
        </w:tblCellMar>
        <w:tblLook w:val="04A0" w:firstRow="1" w:lastRow="0" w:firstColumn="1" w:lastColumn="0" w:noHBand="0" w:noVBand="1"/>
      </w:tblPr>
      <w:tblGrid>
        <w:gridCol w:w="1583"/>
        <w:gridCol w:w="2161"/>
        <w:gridCol w:w="1873"/>
        <w:gridCol w:w="1914"/>
        <w:gridCol w:w="1687"/>
      </w:tblGrid>
      <w:tr w:rsidR="00FA7969" w:rsidRPr="002D7575" w14:paraId="7E0BCCCF" w14:textId="77777777" w:rsidTr="002D7575">
        <w:trPr>
          <w:trHeight w:val="236"/>
        </w:trPr>
        <w:tc>
          <w:tcPr>
            <w:tcW w:w="1556" w:type="dxa"/>
            <w:tcBorders>
              <w:top w:val="single" w:sz="4" w:space="0" w:color="000000"/>
              <w:left w:val="single" w:sz="4" w:space="0" w:color="auto"/>
              <w:bottom w:val="single" w:sz="4" w:space="0" w:color="auto"/>
              <w:right w:val="nil"/>
            </w:tcBorders>
            <w:shd w:val="clear" w:color="auto" w:fill="auto"/>
            <w:vAlign w:val="center"/>
            <w:hideMark/>
          </w:tcPr>
          <w:p w14:paraId="28095E40"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Domena ukrepa</w:t>
            </w:r>
          </w:p>
        </w:tc>
        <w:tc>
          <w:tcPr>
            <w:tcW w:w="2126" w:type="dxa"/>
            <w:tcBorders>
              <w:top w:val="single" w:sz="4" w:space="0" w:color="000000"/>
              <w:left w:val="single" w:sz="4" w:space="0" w:color="auto"/>
              <w:bottom w:val="single" w:sz="4" w:space="0" w:color="auto"/>
              <w:right w:val="nil"/>
            </w:tcBorders>
            <w:shd w:val="clear" w:color="auto" w:fill="auto"/>
            <w:vAlign w:val="center"/>
            <w:hideMark/>
          </w:tcPr>
          <w:p w14:paraId="0A7192E6"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Oblika financiranja</w:t>
            </w:r>
          </w:p>
        </w:tc>
        <w:tc>
          <w:tcPr>
            <w:tcW w:w="1843" w:type="dxa"/>
            <w:tcBorders>
              <w:top w:val="single" w:sz="4" w:space="0" w:color="000000"/>
              <w:left w:val="single" w:sz="4" w:space="0" w:color="auto"/>
              <w:bottom w:val="single" w:sz="4" w:space="0" w:color="auto"/>
              <w:right w:val="nil"/>
            </w:tcBorders>
            <w:shd w:val="clear" w:color="auto" w:fill="auto"/>
            <w:vAlign w:val="center"/>
            <w:hideMark/>
          </w:tcPr>
          <w:p w14:paraId="421D2645"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FI (EU del) - VZHOD</w:t>
            </w:r>
          </w:p>
        </w:tc>
        <w:tc>
          <w:tcPr>
            <w:tcW w:w="1883" w:type="dxa"/>
            <w:tcBorders>
              <w:top w:val="single" w:sz="4" w:space="0" w:color="000000"/>
              <w:left w:val="single" w:sz="4" w:space="0" w:color="auto"/>
              <w:bottom w:val="single" w:sz="4" w:space="0" w:color="auto"/>
              <w:right w:val="nil"/>
            </w:tcBorders>
            <w:shd w:val="clear" w:color="auto" w:fill="auto"/>
            <w:vAlign w:val="center"/>
            <w:hideMark/>
          </w:tcPr>
          <w:p w14:paraId="7351FF0D"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FI (EU del) - ZAHOD</w:t>
            </w:r>
          </w:p>
        </w:tc>
        <w:tc>
          <w:tcPr>
            <w:tcW w:w="16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BB29BB2"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Skupaj FI (EU del)</w:t>
            </w:r>
          </w:p>
        </w:tc>
      </w:tr>
      <w:tr w:rsidR="00FA7969" w:rsidRPr="002D7575" w14:paraId="18534EAB" w14:textId="77777777" w:rsidTr="002D7575">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25BD168A" w14:textId="62B063A1" w:rsidR="00FA7969" w:rsidRPr="002D7575" w:rsidRDefault="007249B5" w:rsidP="00CE3440">
            <w:pPr>
              <w:jc w:val="both"/>
              <w:outlineLvl w:val="2"/>
              <w:rPr>
                <w:rFonts w:cs="Arial"/>
                <w:color w:val="000000"/>
                <w:sz w:val="16"/>
                <w:szCs w:val="16"/>
                <w:lang w:val="sl-SI" w:eastAsia="sl-SI"/>
              </w:rPr>
            </w:pPr>
            <w:r w:rsidRPr="002D7575">
              <w:rPr>
                <w:rFonts w:cs="Arial"/>
                <w:color w:val="000000"/>
                <w:sz w:val="16"/>
                <w:szCs w:val="16"/>
                <w:lang w:val="sl-SI" w:eastAsia="sl-SI"/>
              </w:rPr>
              <w:t>05</w:t>
            </w:r>
            <w:r w:rsidR="004D4C9A" w:rsidRPr="002D7575">
              <w:rPr>
                <w:rFonts w:cs="Arial"/>
                <w:color w:val="000000"/>
                <w:sz w:val="16"/>
                <w:szCs w:val="16"/>
                <w:lang w:val="sl-SI" w:eastAsia="sl-SI"/>
              </w:rPr>
              <w:t>5</w:t>
            </w:r>
          </w:p>
        </w:tc>
        <w:tc>
          <w:tcPr>
            <w:tcW w:w="2126" w:type="dxa"/>
            <w:vMerge w:val="restart"/>
            <w:tcBorders>
              <w:top w:val="single" w:sz="4" w:space="0" w:color="auto"/>
              <w:left w:val="single" w:sz="4" w:space="0" w:color="auto"/>
              <w:right w:val="nil"/>
            </w:tcBorders>
            <w:shd w:val="clear" w:color="auto" w:fill="auto"/>
            <w:noWrap/>
            <w:vAlign w:val="center"/>
            <w:hideMark/>
          </w:tcPr>
          <w:p w14:paraId="621670FD"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Posojila</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1F99758"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1.920.000,00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2F2FC0FE"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1.080.000,00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BA8B0"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3.000.000,00</w:t>
            </w:r>
          </w:p>
        </w:tc>
      </w:tr>
      <w:tr w:rsidR="00FA7969" w:rsidRPr="002D7575" w14:paraId="23BA3F3F" w14:textId="77777777" w:rsidTr="002D7575">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4EFDAAB8"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089</w:t>
            </w:r>
          </w:p>
        </w:tc>
        <w:tc>
          <w:tcPr>
            <w:tcW w:w="2126" w:type="dxa"/>
            <w:vMerge/>
            <w:tcBorders>
              <w:left w:val="single" w:sz="4" w:space="0" w:color="auto"/>
              <w:right w:val="nil"/>
            </w:tcBorders>
            <w:shd w:val="clear" w:color="auto" w:fill="auto"/>
            <w:noWrap/>
            <w:vAlign w:val="center"/>
            <w:hideMark/>
          </w:tcPr>
          <w:p w14:paraId="748B4250" w14:textId="77777777" w:rsidR="00FA7969" w:rsidRPr="002D7575" w:rsidRDefault="00FA7969" w:rsidP="00CE3440">
            <w:pPr>
              <w:jc w:val="both"/>
              <w:outlineLvl w:val="2"/>
              <w:rPr>
                <w:rFonts w:cs="Arial"/>
                <w:color w:val="000000"/>
                <w:sz w:val="16"/>
                <w:szCs w:val="16"/>
                <w:lang w:val="sl-SI" w:eastAsia="sl-SI"/>
              </w:rPr>
            </w:pP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D7BDF5D"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640.000,00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3434C6A2"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360.000,00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F224"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1.000.000,00</w:t>
            </w:r>
          </w:p>
        </w:tc>
      </w:tr>
      <w:tr w:rsidR="00FA7969" w:rsidRPr="002D7575" w14:paraId="367EA539" w14:textId="77777777" w:rsidTr="002D7575">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3B192A81"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094</w:t>
            </w:r>
          </w:p>
        </w:tc>
        <w:tc>
          <w:tcPr>
            <w:tcW w:w="2126" w:type="dxa"/>
            <w:vMerge/>
            <w:tcBorders>
              <w:left w:val="single" w:sz="4" w:space="0" w:color="auto"/>
              <w:bottom w:val="single" w:sz="4" w:space="0" w:color="auto"/>
              <w:right w:val="nil"/>
            </w:tcBorders>
            <w:shd w:val="clear" w:color="auto" w:fill="auto"/>
            <w:noWrap/>
            <w:vAlign w:val="center"/>
            <w:hideMark/>
          </w:tcPr>
          <w:p w14:paraId="4F806FCD" w14:textId="77777777" w:rsidR="00FA7969" w:rsidRPr="002D7575" w:rsidRDefault="00FA7969" w:rsidP="00CE3440">
            <w:pPr>
              <w:jc w:val="both"/>
              <w:outlineLvl w:val="2"/>
              <w:rPr>
                <w:rFonts w:cs="Arial"/>
                <w:color w:val="000000"/>
                <w:sz w:val="16"/>
                <w:szCs w:val="16"/>
                <w:lang w:val="sl-SI" w:eastAsia="sl-SI"/>
              </w:rPr>
            </w:pP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0D4DFC9E"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640.000,00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03E0F785"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360.000,00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44CAE"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1.000.000,00</w:t>
            </w:r>
          </w:p>
        </w:tc>
      </w:tr>
      <w:tr w:rsidR="00FA7969" w:rsidRPr="002D7575" w14:paraId="072EA6DE" w14:textId="77777777" w:rsidTr="002D7575">
        <w:trPr>
          <w:trHeight w:val="300"/>
        </w:trPr>
        <w:tc>
          <w:tcPr>
            <w:tcW w:w="3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58C5" w14:textId="77777777" w:rsidR="00FA7969" w:rsidRPr="002D7575" w:rsidRDefault="00FA7969" w:rsidP="00CE3440">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(posojila)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47F9" w14:textId="77777777" w:rsidR="00FA7969" w:rsidRPr="002D7575" w:rsidRDefault="00FA7969" w:rsidP="00596343">
            <w:pPr>
              <w:jc w:val="right"/>
              <w:outlineLvl w:val="1"/>
              <w:rPr>
                <w:rFonts w:cs="Arial"/>
                <w:b/>
                <w:color w:val="000000"/>
                <w:sz w:val="16"/>
                <w:szCs w:val="16"/>
                <w:lang w:val="sl-SI" w:eastAsia="sl-SI"/>
              </w:rPr>
            </w:pPr>
            <w:r w:rsidRPr="002D7575">
              <w:rPr>
                <w:rFonts w:cs="Arial"/>
                <w:b/>
                <w:color w:val="000000"/>
                <w:sz w:val="16"/>
                <w:szCs w:val="16"/>
                <w:lang w:val="sl-SI" w:eastAsia="sl-SI"/>
              </w:rPr>
              <w:t>3.200.000,00</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4DD19" w14:textId="77777777" w:rsidR="00FA7969" w:rsidRPr="002D7575" w:rsidRDefault="00FA7969" w:rsidP="00596343">
            <w:pPr>
              <w:jc w:val="right"/>
              <w:outlineLvl w:val="1"/>
              <w:rPr>
                <w:rFonts w:cs="Arial"/>
                <w:b/>
                <w:color w:val="000000"/>
                <w:sz w:val="16"/>
                <w:szCs w:val="16"/>
                <w:lang w:val="sl-SI" w:eastAsia="sl-SI"/>
              </w:rPr>
            </w:pPr>
            <w:r w:rsidRPr="002D7575">
              <w:rPr>
                <w:rFonts w:cs="Arial"/>
                <w:b/>
                <w:color w:val="000000"/>
                <w:sz w:val="16"/>
                <w:szCs w:val="16"/>
                <w:lang w:val="sl-SI" w:eastAsia="sl-SI"/>
              </w:rPr>
              <w:t>1.800.000,00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2C00E" w14:textId="77777777" w:rsidR="00FA7969" w:rsidRPr="002D7575" w:rsidRDefault="00FA7969" w:rsidP="00596343">
            <w:pPr>
              <w:jc w:val="right"/>
              <w:outlineLvl w:val="1"/>
              <w:rPr>
                <w:rFonts w:cs="Arial"/>
                <w:b/>
                <w:color w:val="000000"/>
                <w:sz w:val="16"/>
                <w:szCs w:val="16"/>
                <w:lang w:val="sl-SI" w:eastAsia="sl-SI"/>
              </w:rPr>
            </w:pPr>
            <w:r w:rsidRPr="002D7575">
              <w:rPr>
                <w:rFonts w:cs="Arial"/>
                <w:b/>
                <w:color w:val="000000"/>
                <w:sz w:val="16"/>
                <w:szCs w:val="16"/>
                <w:lang w:val="sl-SI" w:eastAsia="sl-SI"/>
              </w:rPr>
              <w:t>5.000.000,00</w:t>
            </w:r>
          </w:p>
        </w:tc>
      </w:tr>
      <w:tr w:rsidR="00FA7969" w:rsidRPr="002D7575" w14:paraId="111D8099" w14:textId="77777777" w:rsidTr="002D7575">
        <w:trPr>
          <w:trHeight w:val="300"/>
        </w:trPr>
        <w:tc>
          <w:tcPr>
            <w:tcW w:w="3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2698F" w14:textId="5630B6AA" w:rsidR="00FA7969" w:rsidRPr="002D7575" w:rsidRDefault="00FA7969" w:rsidP="00A0634F">
            <w:pPr>
              <w:jc w:val="both"/>
              <w:outlineLvl w:val="0"/>
              <w:rPr>
                <w:rFonts w:cs="Arial"/>
                <w:sz w:val="16"/>
                <w:szCs w:val="16"/>
                <w:lang w:val="sl-SI" w:eastAsia="sl-SI"/>
              </w:rPr>
            </w:pPr>
            <w:r w:rsidRPr="002D7575">
              <w:rPr>
                <w:rFonts w:cs="Arial"/>
                <w:b/>
                <w:color w:val="000000"/>
                <w:sz w:val="16"/>
                <w:szCs w:val="16"/>
                <w:lang w:val="sl-SI" w:eastAsia="sl-SI"/>
              </w:rPr>
              <w:t>Skupaj</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A4AC8" w14:textId="77777777" w:rsidR="00FA7969" w:rsidRPr="002D7575" w:rsidRDefault="00FA7969"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3.200.000,00</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F844" w14:textId="77777777" w:rsidR="00FA7969" w:rsidRPr="002D7575" w:rsidRDefault="00FA7969"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1.800.000,00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25E6D" w14:textId="77777777" w:rsidR="00FA7969" w:rsidRPr="002D7575" w:rsidRDefault="00FA7969"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5.000.000,00</w:t>
            </w:r>
          </w:p>
        </w:tc>
      </w:tr>
    </w:tbl>
    <w:p w14:paraId="1D39CCF4" w14:textId="77777777" w:rsidR="00DA5FC1"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0B53C28E" w14:textId="37446076" w:rsidR="00FC4417" w:rsidRPr="00462D42" w:rsidRDefault="004223D6" w:rsidP="00462D42">
      <w:pPr>
        <w:spacing w:line="260" w:lineRule="exact"/>
        <w:jc w:val="both"/>
        <w:rPr>
          <w:rFonts w:cs="Arial"/>
          <w:sz w:val="20"/>
          <w:szCs w:val="22"/>
          <w:lang w:val="sl-SI"/>
        </w:rPr>
      </w:pPr>
      <w:r w:rsidRPr="00462D42">
        <w:rPr>
          <w:rFonts w:cs="Arial"/>
          <w:sz w:val="20"/>
          <w:szCs w:val="22"/>
          <w:lang w:val="sl-SI"/>
        </w:rPr>
        <w:t>Projekti</w:t>
      </w:r>
      <w:r w:rsidR="00FC4417" w:rsidRPr="00462D42">
        <w:rPr>
          <w:rFonts w:cs="Arial"/>
          <w:sz w:val="20"/>
          <w:szCs w:val="22"/>
          <w:lang w:val="sl-SI"/>
        </w:rPr>
        <w:t xml:space="preserve"> urbanega razvoja, ki bodo podprti s FI, morajo biti finančno uspešni s komercialnim elementom, ki spodbuja </w:t>
      </w:r>
      <w:r w:rsidR="005461A5" w:rsidRPr="00462D42">
        <w:rPr>
          <w:rFonts w:cs="Arial"/>
          <w:sz w:val="20"/>
          <w:szCs w:val="22"/>
          <w:lang w:val="sl-SI"/>
        </w:rPr>
        <w:t>ustvarjanje denarnega toka s ciljem</w:t>
      </w:r>
      <w:r w:rsidR="00B30981" w:rsidRPr="00462D42">
        <w:rPr>
          <w:rFonts w:cs="Arial"/>
          <w:sz w:val="20"/>
          <w:szCs w:val="22"/>
          <w:lang w:val="sl-SI"/>
        </w:rPr>
        <w:t>, ki spodbuja dobičkonosnost in ustvarja</w:t>
      </w:r>
      <w:r w:rsidR="005461A5" w:rsidRPr="00462D42">
        <w:rPr>
          <w:rFonts w:cs="Arial"/>
          <w:sz w:val="20"/>
          <w:szCs w:val="22"/>
          <w:lang w:val="sl-SI"/>
        </w:rPr>
        <w:t xml:space="preserve"> </w:t>
      </w:r>
      <w:r w:rsidR="00FC4417" w:rsidRPr="00462D42">
        <w:rPr>
          <w:rFonts w:cs="Arial"/>
          <w:sz w:val="20"/>
          <w:szCs w:val="22"/>
          <w:lang w:val="sl-SI"/>
        </w:rPr>
        <w:t>finančni presež</w:t>
      </w:r>
      <w:r w:rsidR="00B30981" w:rsidRPr="00462D42">
        <w:rPr>
          <w:rFonts w:cs="Arial"/>
          <w:sz w:val="20"/>
          <w:szCs w:val="22"/>
          <w:lang w:val="sl-SI"/>
        </w:rPr>
        <w:t>ek</w:t>
      </w:r>
      <w:r w:rsidR="00FC4417" w:rsidRPr="00462D42">
        <w:rPr>
          <w:rFonts w:cs="Arial"/>
          <w:sz w:val="20"/>
          <w:szCs w:val="22"/>
          <w:lang w:val="sl-SI"/>
        </w:rPr>
        <w:t xml:space="preserve"> za povračilo posojila ali pa se morajo zanašati na druge vire dohodka. Projekt mora prav tako imeti socialne elemente, ki so pomembni za lokalno skupnost, kot npr. izboljšanje privlačnosti območja in s tem povečanje kvalitete življenja za prebivalce.</w:t>
      </w:r>
    </w:p>
    <w:p w14:paraId="55679790" w14:textId="77777777" w:rsidR="007E4940" w:rsidRPr="00462D42" w:rsidRDefault="007E4940" w:rsidP="00462D42">
      <w:pPr>
        <w:spacing w:line="260" w:lineRule="exact"/>
        <w:jc w:val="both"/>
        <w:rPr>
          <w:rFonts w:cs="Arial"/>
          <w:sz w:val="20"/>
          <w:szCs w:val="22"/>
          <w:lang w:val="sl-SI"/>
        </w:rPr>
      </w:pPr>
    </w:p>
    <w:p w14:paraId="1BCA4579" w14:textId="0B4D9D0A" w:rsidR="00FA7969" w:rsidRPr="00462D42" w:rsidRDefault="006A103F" w:rsidP="00462D42">
      <w:pPr>
        <w:pStyle w:val="Naslov1"/>
        <w:numPr>
          <w:ilvl w:val="0"/>
          <w:numId w:val="25"/>
        </w:numPr>
        <w:spacing w:after="0" w:line="260" w:lineRule="exact"/>
        <w:jc w:val="both"/>
        <w:rPr>
          <w:sz w:val="20"/>
          <w:lang w:val="sl-SI"/>
        </w:rPr>
      </w:pPr>
      <w:r w:rsidRPr="00462D42">
        <w:rPr>
          <w:sz w:val="20"/>
          <w:lang w:val="sl-SI"/>
        </w:rPr>
        <w:t>Napoved izplačil sredstev izvajalcu sklada skladov</w:t>
      </w:r>
      <w:r w:rsidR="00FA7969" w:rsidRPr="00462D42">
        <w:rPr>
          <w:sz w:val="20"/>
          <w:lang w:val="sl-SI"/>
        </w:rPr>
        <w:t xml:space="preserve"> </w:t>
      </w:r>
      <w:r w:rsidR="00C20AB9" w:rsidRPr="00462D42">
        <w:rPr>
          <w:sz w:val="20"/>
          <w:lang w:val="sl-SI"/>
        </w:rPr>
        <w:t>v obdobju 2020-2023</w:t>
      </w:r>
    </w:p>
    <w:p w14:paraId="779D164B" w14:textId="77777777" w:rsidR="00726698" w:rsidRPr="00462D42" w:rsidRDefault="00726698" w:rsidP="00462D42">
      <w:pPr>
        <w:spacing w:line="260" w:lineRule="exact"/>
        <w:jc w:val="both"/>
        <w:rPr>
          <w:rFonts w:cs="Arial"/>
          <w:sz w:val="20"/>
          <w:szCs w:val="22"/>
          <w:lang w:val="sl-SI"/>
        </w:rPr>
      </w:pPr>
    </w:p>
    <w:p w14:paraId="2F1C8F0B" w14:textId="4DAA41E1" w:rsidR="00FA7969" w:rsidRPr="00462D42" w:rsidRDefault="00FA7969" w:rsidP="00462D42">
      <w:pPr>
        <w:spacing w:line="260" w:lineRule="exact"/>
        <w:jc w:val="both"/>
        <w:rPr>
          <w:rFonts w:cs="Arial"/>
          <w:sz w:val="20"/>
          <w:szCs w:val="22"/>
          <w:lang w:val="sl-SI"/>
        </w:rPr>
      </w:pPr>
      <w:r w:rsidRPr="00462D42">
        <w:rPr>
          <w:rFonts w:cs="Arial"/>
          <w:sz w:val="20"/>
          <w:szCs w:val="22"/>
          <w:lang w:val="sl-SI"/>
        </w:rPr>
        <w:t xml:space="preserve">V proračunskem letu 2017 je </w:t>
      </w:r>
      <w:r w:rsidR="006A103F" w:rsidRPr="00462D42">
        <w:rPr>
          <w:rFonts w:cs="Arial"/>
          <w:sz w:val="20"/>
          <w:szCs w:val="22"/>
          <w:lang w:val="sl-SI"/>
        </w:rPr>
        <w:t xml:space="preserve">bil izplačana prva tranša </w:t>
      </w:r>
      <w:r w:rsidRPr="00462D42">
        <w:rPr>
          <w:rFonts w:cs="Arial"/>
          <w:sz w:val="20"/>
          <w:szCs w:val="22"/>
          <w:lang w:val="sl-SI"/>
        </w:rPr>
        <w:t xml:space="preserve">v višini 63.250.000 </w:t>
      </w:r>
      <w:r w:rsidR="005743CB" w:rsidRPr="00462D42">
        <w:rPr>
          <w:rFonts w:cs="Arial"/>
          <w:sz w:val="20"/>
          <w:szCs w:val="22"/>
          <w:lang w:val="sl-SI"/>
        </w:rPr>
        <w:t>evrov</w:t>
      </w:r>
      <w:r w:rsidRPr="00462D42">
        <w:rPr>
          <w:rFonts w:cs="Arial"/>
          <w:sz w:val="20"/>
          <w:szCs w:val="22"/>
          <w:lang w:val="sl-SI"/>
        </w:rPr>
        <w:t xml:space="preserve"> na podračun sklada skladov, kar znaša 25% od celotnih predvidenih sredstev izvajanje </w:t>
      </w:r>
      <w:r w:rsidR="004B2892" w:rsidRPr="00462D42">
        <w:rPr>
          <w:rFonts w:cs="Arial"/>
          <w:sz w:val="20"/>
          <w:szCs w:val="22"/>
          <w:lang w:val="sl-SI"/>
        </w:rPr>
        <w:t>FI</w:t>
      </w:r>
      <w:r w:rsidRPr="00462D42">
        <w:rPr>
          <w:rFonts w:cs="Arial"/>
          <w:sz w:val="20"/>
          <w:szCs w:val="22"/>
          <w:lang w:val="sl-SI"/>
        </w:rPr>
        <w:t xml:space="preserve">. Terminski načrt izvajanja FI za celotno </w:t>
      </w:r>
      <w:r w:rsidR="00294990" w:rsidRPr="00462D42">
        <w:rPr>
          <w:rFonts w:cs="Arial"/>
          <w:sz w:val="20"/>
          <w:szCs w:val="22"/>
          <w:lang w:val="sl-SI"/>
        </w:rPr>
        <w:t>programsko obdobje</w:t>
      </w:r>
      <w:r w:rsidRPr="00462D42">
        <w:rPr>
          <w:rFonts w:cs="Arial"/>
          <w:sz w:val="20"/>
          <w:szCs w:val="22"/>
          <w:lang w:val="sl-SI"/>
        </w:rPr>
        <w:t xml:space="preserve"> je prikazan v preglednici št. 3.</w:t>
      </w:r>
    </w:p>
    <w:p w14:paraId="75A865F2" w14:textId="77777777" w:rsidR="00FA7969" w:rsidRPr="00462D42" w:rsidRDefault="00FA7969" w:rsidP="00462D42">
      <w:pPr>
        <w:spacing w:line="260" w:lineRule="exact"/>
        <w:jc w:val="both"/>
        <w:rPr>
          <w:rFonts w:cs="Arial"/>
          <w:sz w:val="20"/>
          <w:szCs w:val="22"/>
          <w:lang w:val="sl-SI"/>
        </w:rPr>
      </w:pPr>
    </w:p>
    <w:p w14:paraId="585BE3A8" w14:textId="07DA08AC" w:rsidR="00FA7969" w:rsidRPr="00462D42" w:rsidRDefault="00726698" w:rsidP="00462D42">
      <w:pPr>
        <w:spacing w:line="260" w:lineRule="exact"/>
        <w:jc w:val="both"/>
        <w:rPr>
          <w:rFonts w:cs="Arial"/>
          <w:sz w:val="20"/>
          <w:szCs w:val="22"/>
          <w:lang w:val="sl-SI"/>
        </w:rPr>
      </w:pPr>
      <w:r w:rsidRPr="00462D42">
        <w:rPr>
          <w:rFonts w:cs="Arial"/>
          <w:sz w:val="20"/>
          <w:szCs w:val="22"/>
          <w:lang w:val="sl-SI"/>
        </w:rPr>
        <w:t>V</w:t>
      </w:r>
      <w:r w:rsidR="006A103F" w:rsidRPr="00462D42">
        <w:rPr>
          <w:rFonts w:cs="Arial"/>
          <w:sz w:val="20"/>
          <w:szCs w:val="22"/>
          <w:lang w:val="sl-SI"/>
        </w:rPr>
        <w:t xml:space="preserve"> spodnji tabeli </w:t>
      </w:r>
      <w:r w:rsidRPr="00462D42">
        <w:rPr>
          <w:rFonts w:cs="Arial"/>
          <w:sz w:val="20"/>
          <w:szCs w:val="22"/>
          <w:lang w:val="sl-SI"/>
        </w:rPr>
        <w:t>so prikaza</w:t>
      </w:r>
      <w:r w:rsidR="002D7575" w:rsidRPr="00462D42">
        <w:rPr>
          <w:rFonts w:cs="Arial"/>
          <w:sz w:val="20"/>
          <w:szCs w:val="22"/>
          <w:lang w:val="sl-SI"/>
        </w:rPr>
        <w:t xml:space="preserve">na </w:t>
      </w:r>
      <w:r w:rsidR="00266C05" w:rsidRPr="00462D42">
        <w:rPr>
          <w:rFonts w:cs="Arial"/>
          <w:sz w:val="20"/>
          <w:szCs w:val="22"/>
          <w:lang w:val="sl-SI"/>
        </w:rPr>
        <w:t xml:space="preserve">načrtovana </w:t>
      </w:r>
      <w:r w:rsidR="002D7575" w:rsidRPr="00462D42">
        <w:rPr>
          <w:rFonts w:cs="Arial"/>
          <w:sz w:val="20"/>
          <w:szCs w:val="22"/>
          <w:lang w:val="sl-SI"/>
        </w:rPr>
        <w:t>iz</w:t>
      </w:r>
      <w:r w:rsidRPr="00462D42">
        <w:rPr>
          <w:rFonts w:cs="Arial"/>
          <w:sz w:val="20"/>
          <w:szCs w:val="22"/>
          <w:lang w:val="sl-SI"/>
        </w:rPr>
        <w:t xml:space="preserve">plačila </w:t>
      </w:r>
      <w:r w:rsidR="002D7575" w:rsidRPr="00462D42">
        <w:rPr>
          <w:rFonts w:cs="Arial"/>
          <w:sz w:val="20"/>
          <w:szCs w:val="22"/>
          <w:lang w:val="sl-SI"/>
        </w:rPr>
        <w:t xml:space="preserve">sredstev </w:t>
      </w:r>
      <w:r w:rsidR="00697894" w:rsidRPr="00462D42">
        <w:rPr>
          <w:rFonts w:cs="Arial"/>
          <w:sz w:val="20"/>
          <w:szCs w:val="22"/>
          <w:lang w:val="sl-SI"/>
        </w:rPr>
        <w:t>iz</w:t>
      </w:r>
      <w:r w:rsidRPr="00462D42">
        <w:rPr>
          <w:rFonts w:cs="Arial"/>
          <w:sz w:val="20"/>
          <w:szCs w:val="22"/>
          <w:lang w:val="sl-SI"/>
        </w:rPr>
        <w:t>v</w:t>
      </w:r>
      <w:r w:rsidR="00697894" w:rsidRPr="00462D42">
        <w:rPr>
          <w:rFonts w:cs="Arial"/>
          <w:sz w:val="20"/>
          <w:szCs w:val="22"/>
          <w:lang w:val="sl-SI"/>
        </w:rPr>
        <w:t>ajalcu</w:t>
      </w:r>
      <w:r w:rsidRPr="00462D42">
        <w:rPr>
          <w:rFonts w:cs="Arial"/>
          <w:sz w:val="20"/>
          <w:szCs w:val="22"/>
          <w:lang w:val="sl-SI"/>
        </w:rPr>
        <w:t xml:space="preserve"> sklad</w:t>
      </w:r>
      <w:r w:rsidR="00697894" w:rsidRPr="00462D42">
        <w:rPr>
          <w:rFonts w:cs="Arial"/>
          <w:sz w:val="20"/>
          <w:szCs w:val="22"/>
          <w:lang w:val="sl-SI"/>
        </w:rPr>
        <w:t>a</w:t>
      </w:r>
      <w:r w:rsidRPr="00462D42">
        <w:rPr>
          <w:rFonts w:cs="Arial"/>
          <w:sz w:val="20"/>
          <w:szCs w:val="22"/>
          <w:lang w:val="sl-SI"/>
        </w:rPr>
        <w:t xml:space="preserve"> skladov </w:t>
      </w:r>
      <w:r w:rsidR="00FA7969" w:rsidRPr="00462D42">
        <w:rPr>
          <w:rFonts w:cs="Arial"/>
          <w:sz w:val="20"/>
          <w:szCs w:val="22"/>
          <w:lang w:val="sl-SI"/>
        </w:rPr>
        <w:t>po prednostni naložbi in kohezijski regij</w:t>
      </w:r>
      <w:r w:rsidR="003A74A5" w:rsidRPr="00462D42">
        <w:rPr>
          <w:rFonts w:cs="Arial"/>
          <w:sz w:val="20"/>
          <w:szCs w:val="22"/>
          <w:lang w:val="sl-SI"/>
        </w:rPr>
        <w:t>i</w:t>
      </w:r>
      <w:r w:rsidRPr="00462D42">
        <w:rPr>
          <w:rFonts w:cs="Arial"/>
          <w:sz w:val="20"/>
          <w:szCs w:val="22"/>
          <w:lang w:val="sl-SI"/>
        </w:rPr>
        <w:t xml:space="preserve"> v obdobju 2019</w:t>
      </w:r>
      <w:r w:rsidR="0014087F">
        <w:rPr>
          <w:rFonts w:cs="Arial"/>
          <w:sz w:val="20"/>
          <w:szCs w:val="22"/>
          <w:lang w:val="sl-SI"/>
        </w:rPr>
        <w:t>–</w:t>
      </w:r>
      <w:r w:rsidRPr="00462D42">
        <w:rPr>
          <w:rFonts w:cs="Arial"/>
          <w:sz w:val="20"/>
          <w:szCs w:val="22"/>
          <w:lang w:val="sl-SI"/>
        </w:rPr>
        <w:t>2022</w:t>
      </w:r>
      <w:r w:rsidR="002D7575" w:rsidRPr="00462D42">
        <w:rPr>
          <w:rFonts w:cs="Arial"/>
          <w:sz w:val="20"/>
          <w:szCs w:val="22"/>
          <w:lang w:val="sl-SI"/>
        </w:rPr>
        <w:t xml:space="preserve"> (v EUR)</w:t>
      </w:r>
      <w:r w:rsidRPr="00462D42">
        <w:rPr>
          <w:rFonts w:cs="Arial"/>
          <w:sz w:val="20"/>
          <w:szCs w:val="22"/>
          <w:lang w:val="sl-SI"/>
        </w:rPr>
        <w:t>:</w:t>
      </w:r>
    </w:p>
    <w:p w14:paraId="2947DA21" w14:textId="032FF255" w:rsidR="00726698" w:rsidRDefault="00726698" w:rsidP="00CE3440">
      <w:pPr>
        <w:jc w:val="both"/>
        <w:rPr>
          <w:rFonts w:cs="Arial"/>
          <w:szCs w:val="22"/>
          <w:lang w:val="sl-SI"/>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938"/>
        <w:gridCol w:w="943"/>
        <w:gridCol w:w="1698"/>
        <w:gridCol w:w="1308"/>
        <w:gridCol w:w="1183"/>
        <w:gridCol w:w="1324"/>
      </w:tblGrid>
      <w:tr w:rsidR="00726698" w:rsidRPr="00F81934" w14:paraId="3399E8CD" w14:textId="77777777" w:rsidTr="00DA5FC1">
        <w:trPr>
          <w:trHeight w:val="300"/>
          <w:jc w:val="center"/>
        </w:trPr>
        <w:tc>
          <w:tcPr>
            <w:tcW w:w="1750" w:type="dxa"/>
            <w:shd w:val="clear" w:color="auto" w:fill="auto"/>
            <w:noWrap/>
            <w:vAlign w:val="center"/>
            <w:hideMark/>
          </w:tcPr>
          <w:p w14:paraId="2477A96F"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Prednostna naložba</w:t>
            </w:r>
          </w:p>
        </w:tc>
        <w:tc>
          <w:tcPr>
            <w:tcW w:w="923" w:type="dxa"/>
            <w:shd w:val="clear" w:color="auto" w:fill="auto"/>
            <w:noWrap/>
            <w:vAlign w:val="center"/>
            <w:hideMark/>
          </w:tcPr>
          <w:p w14:paraId="1DABC3CB"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Regija</w:t>
            </w:r>
          </w:p>
        </w:tc>
        <w:tc>
          <w:tcPr>
            <w:tcW w:w="928" w:type="dxa"/>
            <w:vAlign w:val="center"/>
          </w:tcPr>
          <w:p w14:paraId="61830CA0"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ESI sklad</w:t>
            </w:r>
          </w:p>
        </w:tc>
        <w:tc>
          <w:tcPr>
            <w:tcW w:w="1670" w:type="dxa"/>
            <w:shd w:val="clear" w:color="auto" w:fill="auto"/>
            <w:noWrap/>
            <w:vAlign w:val="center"/>
            <w:hideMark/>
          </w:tcPr>
          <w:p w14:paraId="7B8833B5"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2019</w:t>
            </w:r>
          </w:p>
        </w:tc>
        <w:tc>
          <w:tcPr>
            <w:tcW w:w="1287" w:type="dxa"/>
            <w:vAlign w:val="center"/>
          </w:tcPr>
          <w:p w14:paraId="3334A1F0"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2021</w:t>
            </w:r>
          </w:p>
        </w:tc>
        <w:tc>
          <w:tcPr>
            <w:tcW w:w="1164" w:type="dxa"/>
            <w:vAlign w:val="center"/>
          </w:tcPr>
          <w:p w14:paraId="05353F58"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2022</w:t>
            </w:r>
          </w:p>
        </w:tc>
        <w:tc>
          <w:tcPr>
            <w:tcW w:w="1302" w:type="dxa"/>
            <w:vAlign w:val="center"/>
          </w:tcPr>
          <w:p w14:paraId="66CBCD90" w14:textId="353D9D3A"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Skupaj</w:t>
            </w:r>
            <w:r w:rsidR="00266C05">
              <w:rPr>
                <w:rFonts w:cs="Arial"/>
                <w:b/>
                <w:bCs/>
                <w:color w:val="000000"/>
                <w:sz w:val="16"/>
                <w:szCs w:val="16"/>
                <w:lang w:val="sl-SI" w:eastAsia="sl-SI"/>
              </w:rPr>
              <w:t>*</w:t>
            </w:r>
          </w:p>
        </w:tc>
      </w:tr>
      <w:tr w:rsidR="00726698" w:rsidRPr="00F81934" w14:paraId="6A68CB81" w14:textId="77777777" w:rsidTr="00DA5FC1">
        <w:trPr>
          <w:trHeight w:val="300"/>
          <w:jc w:val="center"/>
        </w:trPr>
        <w:tc>
          <w:tcPr>
            <w:tcW w:w="1750" w:type="dxa"/>
            <w:shd w:val="clear" w:color="auto" w:fill="auto"/>
            <w:noWrap/>
            <w:vAlign w:val="center"/>
            <w:hideMark/>
          </w:tcPr>
          <w:p w14:paraId="3284D1FF" w14:textId="2FB79613"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1.2</w:t>
            </w:r>
            <w:r w:rsidR="00350A83">
              <w:rPr>
                <w:rFonts w:cs="Arial"/>
                <w:color w:val="000000"/>
                <w:sz w:val="16"/>
                <w:szCs w:val="16"/>
                <w:lang w:val="sl-SI" w:eastAsia="sl-SI"/>
              </w:rPr>
              <w:t xml:space="preserve"> (RRI)</w:t>
            </w:r>
          </w:p>
        </w:tc>
        <w:tc>
          <w:tcPr>
            <w:tcW w:w="923" w:type="dxa"/>
            <w:shd w:val="clear" w:color="auto" w:fill="auto"/>
            <w:noWrap/>
            <w:vAlign w:val="center"/>
            <w:hideMark/>
          </w:tcPr>
          <w:p w14:paraId="2C78EF17"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Vzhod</w:t>
            </w:r>
          </w:p>
        </w:tc>
        <w:tc>
          <w:tcPr>
            <w:tcW w:w="928" w:type="dxa"/>
            <w:vAlign w:val="center"/>
          </w:tcPr>
          <w:p w14:paraId="36791BD3"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5F2D38A7" w14:textId="77777777" w:rsidR="00726698" w:rsidRPr="00F81934" w:rsidRDefault="00726698" w:rsidP="001725E3">
            <w:pPr>
              <w:jc w:val="right"/>
              <w:rPr>
                <w:rFonts w:cs="Arial"/>
                <w:sz w:val="16"/>
                <w:szCs w:val="16"/>
              </w:rPr>
            </w:pPr>
            <w:r w:rsidRPr="00F81934">
              <w:rPr>
                <w:rFonts w:eastAsiaTheme="minorHAnsi" w:cs="Arial"/>
                <w:sz w:val="16"/>
                <w:szCs w:val="16"/>
                <w:lang w:val="sl-SI"/>
              </w:rPr>
              <w:t>8.550.000</w:t>
            </w:r>
          </w:p>
        </w:tc>
        <w:tc>
          <w:tcPr>
            <w:tcW w:w="1287" w:type="dxa"/>
            <w:vAlign w:val="center"/>
          </w:tcPr>
          <w:p w14:paraId="64E3580D" w14:textId="77777777" w:rsidR="00726698" w:rsidRPr="00F81934" w:rsidRDefault="00726698" w:rsidP="001725E3">
            <w:pPr>
              <w:jc w:val="right"/>
              <w:rPr>
                <w:rFonts w:cs="Arial"/>
                <w:sz w:val="16"/>
                <w:szCs w:val="16"/>
              </w:rPr>
            </w:pPr>
            <w:r w:rsidRPr="00F81934">
              <w:rPr>
                <w:rFonts w:eastAsiaTheme="minorHAnsi" w:cs="Arial"/>
                <w:sz w:val="16"/>
                <w:szCs w:val="16"/>
                <w:lang w:val="sl-SI"/>
              </w:rPr>
              <w:t>8.550.000</w:t>
            </w:r>
          </w:p>
        </w:tc>
        <w:tc>
          <w:tcPr>
            <w:tcW w:w="1164" w:type="dxa"/>
            <w:vAlign w:val="center"/>
          </w:tcPr>
          <w:p w14:paraId="00B5CE75" w14:textId="77777777" w:rsidR="00726698" w:rsidRPr="00F81934" w:rsidRDefault="00726698" w:rsidP="001725E3">
            <w:pPr>
              <w:jc w:val="right"/>
              <w:rPr>
                <w:rFonts w:cs="Arial"/>
                <w:sz w:val="16"/>
                <w:szCs w:val="16"/>
              </w:rPr>
            </w:pPr>
            <w:r w:rsidRPr="00F81934">
              <w:rPr>
                <w:rFonts w:eastAsiaTheme="minorHAnsi" w:cs="Arial"/>
                <w:sz w:val="16"/>
                <w:szCs w:val="16"/>
                <w:lang w:val="sl-SI"/>
              </w:rPr>
              <w:t>8.550.000</w:t>
            </w:r>
          </w:p>
        </w:tc>
        <w:tc>
          <w:tcPr>
            <w:tcW w:w="1302" w:type="dxa"/>
            <w:vAlign w:val="center"/>
          </w:tcPr>
          <w:p w14:paraId="59BE08E9" w14:textId="77777777" w:rsidR="00726698" w:rsidRPr="00F81934" w:rsidRDefault="00726698" w:rsidP="001725E3">
            <w:pPr>
              <w:jc w:val="right"/>
              <w:rPr>
                <w:rFonts w:eastAsiaTheme="minorHAnsi" w:cs="Arial"/>
                <w:sz w:val="16"/>
                <w:szCs w:val="16"/>
                <w:lang w:val="sl-SI"/>
              </w:rPr>
            </w:pPr>
            <w:r w:rsidRPr="00F81934">
              <w:rPr>
                <w:rFonts w:eastAsiaTheme="minorHAnsi" w:cs="Arial"/>
                <w:sz w:val="16"/>
                <w:szCs w:val="16"/>
                <w:lang w:val="sl-SI"/>
              </w:rPr>
              <w:t>34.200.000</w:t>
            </w:r>
          </w:p>
        </w:tc>
      </w:tr>
      <w:tr w:rsidR="00726698" w:rsidRPr="00F81934" w14:paraId="691DEEF2" w14:textId="77777777" w:rsidTr="00DA5FC1">
        <w:trPr>
          <w:trHeight w:val="300"/>
          <w:jc w:val="center"/>
        </w:trPr>
        <w:tc>
          <w:tcPr>
            <w:tcW w:w="1750" w:type="dxa"/>
            <w:shd w:val="clear" w:color="auto" w:fill="auto"/>
            <w:noWrap/>
            <w:vAlign w:val="center"/>
            <w:hideMark/>
          </w:tcPr>
          <w:p w14:paraId="5153F8A4" w14:textId="1E5BE538"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1.2</w:t>
            </w:r>
            <w:r w:rsidR="00350A83">
              <w:rPr>
                <w:rFonts w:cs="Arial"/>
                <w:color w:val="000000"/>
                <w:sz w:val="16"/>
                <w:szCs w:val="16"/>
                <w:lang w:val="sl-SI" w:eastAsia="sl-SI"/>
              </w:rPr>
              <w:t xml:space="preserve"> (RRI)</w:t>
            </w:r>
          </w:p>
        </w:tc>
        <w:tc>
          <w:tcPr>
            <w:tcW w:w="923" w:type="dxa"/>
            <w:shd w:val="clear" w:color="auto" w:fill="auto"/>
            <w:noWrap/>
            <w:vAlign w:val="center"/>
            <w:hideMark/>
          </w:tcPr>
          <w:p w14:paraId="1D76912F"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Zahod</w:t>
            </w:r>
          </w:p>
        </w:tc>
        <w:tc>
          <w:tcPr>
            <w:tcW w:w="928" w:type="dxa"/>
            <w:vAlign w:val="center"/>
          </w:tcPr>
          <w:p w14:paraId="68AC773D"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3B673DB8" w14:textId="77777777" w:rsidR="00726698" w:rsidRPr="00F81934" w:rsidRDefault="00726698" w:rsidP="001725E3">
            <w:pPr>
              <w:jc w:val="right"/>
              <w:rPr>
                <w:rFonts w:cs="Arial"/>
                <w:sz w:val="16"/>
                <w:szCs w:val="16"/>
              </w:rPr>
            </w:pPr>
            <w:r w:rsidRPr="00F81934">
              <w:rPr>
                <w:rFonts w:eastAsiaTheme="minorHAnsi" w:cs="Arial"/>
                <w:sz w:val="16"/>
                <w:szCs w:val="16"/>
                <w:lang w:val="sl-SI"/>
              </w:rPr>
              <w:t>13.450.000</w:t>
            </w:r>
          </w:p>
        </w:tc>
        <w:tc>
          <w:tcPr>
            <w:tcW w:w="1287" w:type="dxa"/>
            <w:vAlign w:val="center"/>
          </w:tcPr>
          <w:p w14:paraId="02B79E87" w14:textId="77777777" w:rsidR="00726698" w:rsidRPr="00F81934" w:rsidRDefault="00726698" w:rsidP="001725E3">
            <w:pPr>
              <w:jc w:val="right"/>
              <w:rPr>
                <w:rFonts w:cs="Arial"/>
                <w:sz w:val="16"/>
                <w:szCs w:val="16"/>
              </w:rPr>
            </w:pPr>
            <w:r w:rsidRPr="00F81934">
              <w:rPr>
                <w:rFonts w:eastAsiaTheme="minorHAnsi" w:cs="Arial"/>
                <w:sz w:val="16"/>
                <w:szCs w:val="16"/>
                <w:lang w:val="sl-SI"/>
              </w:rPr>
              <w:t>13.450.000</w:t>
            </w:r>
          </w:p>
        </w:tc>
        <w:tc>
          <w:tcPr>
            <w:tcW w:w="1164" w:type="dxa"/>
            <w:vAlign w:val="center"/>
          </w:tcPr>
          <w:p w14:paraId="59495CFC" w14:textId="77777777" w:rsidR="00726698" w:rsidRPr="00F81934" w:rsidRDefault="00726698" w:rsidP="001725E3">
            <w:pPr>
              <w:jc w:val="right"/>
              <w:rPr>
                <w:rFonts w:cs="Arial"/>
                <w:sz w:val="16"/>
                <w:szCs w:val="16"/>
              </w:rPr>
            </w:pPr>
            <w:r w:rsidRPr="00F81934">
              <w:rPr>
                <w:rFonts w:eastAsiaTheme="minorHAnsi" w:cs="Arial"/>
                <w:sz w:val="16"/>
                <w:szCs w:val="16"/>
                <w:lang w:val="sl-SI"/>
              </w:rPr>
              <w:t>13.450.000</w:t>
            </w:r>
          </w:p>
        </w:tc>
        <w:tc>
          <w:tcPr>
            <w:tcW w:w="1302" w:type="dxa"/>
            <w:vAlign w:val="center"/>
          </w:tcPr>
          <w:p w14:paraId="6E811560" w14:textId="77777777" w:rsidR="00726698" w:rsidRPr="00F81934" w:rsidRDefault="00726698" w:rsidP="001725E3">
            <w:pPr>
              <w:jc w:val="right"/>
              <w:rPr>
                <w:rFonts w:cs="Arial"/>
                <w:sz w:val="16"/>
                <w:szCs w:val="16"/>
              </w:rPr>
            </w:pPr>
            <w:r w:rsidRPr="00F81934">
              <w:rPr>
                <w:rFonts w:eastAsiaTheme="minorHAnsi" w:cs="Arial"/>
                <w:sz w:val="16"/>
                <w:szCs w:val="16"/>
                <w:lang w:val="sl-SI"/>
              </w:rPr>
              <w:t>53.800.000</w:t>
            </w:r>
          </w:p>
        </w:tc>
      </w:tr>
      <w:tr w:rsidR="00726698" w:rsidRPr="00F81934" w14:paraId="03498F50" w14:textId="77777777" w:rsidTr="00DA5FC1">
        <w:trPr>
          <w:trHeight w:val="300"/>
          <w:jc w:val="center"/>
        </w:trPr>
        <w:tc>
          <w:tcPr>
            <w:tcW w:w="3601" w:type="dxa"/>
            <w:gridSpan w:val="3"/>
            <w:shd w:val="clear" w:color="auto" w:fill="auto"/>
            <w:noWrap/>
            <w:vAlign w:val="center"/>
            <w:hideMark/>
          </w:tcPr>
          <w:p w14:paraId="3C64A97C" w14:textId="77777777" w:rsidR="00726698" w:rsidRPr="00F81934" w:rsidRDefault="00726698" w:rsidP="001725E3">
            <w:pPr>
              <w:jc w:val="center"/>
              <w:outlineLvl w:val="0"/>
              <w:rPr>
                <w:rFonts w:cs="Arial"/>
                <w:b/>
                <w:bCs/>
                <w:color w:val="000000"/>
                <w:sz w:val="16"/>
                <w:szCs w:val="16"/>
                <w:lang w:val="sl-SI" w:eastAsia="sl-SI"/>
              </w:rPr>
            </w:pPr>
            <w:r w:rsidRPr="00F81934">
              <w:rPr>
                <w:rFonts w:cs="Arial"/>
                <w:b/>
                <w:bCs/>
                <w:color w:val="000000"/>
                <w:sz w:val="16"/>
                <w:szCs w:val="16"/>
                <w:lang w:val="sl-SI" w:eastAsia="sl-SI"/>
              </w:rPr>
              <w:t>1.2 Vsota</w:t>
            </w:r>
          </w:p>
        </w:tc>
        <w:tc>
          <w:tcPr>
            <w:tcW w:w="1670" w:type="dxa"/>
            <w:shd w:val="clear" w:color="auto" w:fill="auto"/>
            <w:noWrap/>
            <w:vAlign w:val="center"/>
            <w:hideMark/>
          </w:tcPr>
          <w:p w14:paraId="7CC6BF47"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22.000.000,00</w:t>
            </w:r>
          </w:p>
        </w:tc>
        <w:tc>
          <w:tcPr>
            <w:tcW w:w="1287" w:type="dxa"/>
            <w:vAlign w:val="center"/>
          </w:tcPr>
          <w:p w14:paraId="6FA500B3"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22.000.000,00</w:t>
            </w:r>
          </w:p>
        </w:tc>
        <w:tc>
          <w:tcPr>
            <w:tcW w:w="1164" w:type="dxa"/>
            <w:vAlign w:val="center"/>
          </w:tcPr>
          <w:p w14:paraId="2818C140"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22.000.000,00</w:t>
            </w:r>
          </w:p>
        </w:tc>
        <w:tc>
          <w:tcPr>
            <w:tcW w:w="1302" w:type="dxa"/>
            <w:vAlign w:val="center"/>
          </w:tcPr>
          <w:p w14:paraId="58BA6F38"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88.000.000,00</w:t>
            </w:r>
          </w:p>
        </w:tc>
      </w:tr>
      <w:tr w:rsidR="00726698" w:rsidRPr="00F81934" w14:paraId="1F484069" w14:textId="77777777" w:rsidTr="00DA5FC1">
        <w:trPr>
          <w:trHeight w:val="300"/>
          <w:jc w:val="center"/>
        </w:trPr>
        <w:tc>
          <w:tcPr>
            <w:tcW w:w="1750" w:type="dxa"/>
            <w:shd w:val="clear" w:color="auto" w:fill="auto"/>
            <w:noWrap/>
            <w:vAlign w:val="center"/>
            <w:hideMark/>
          </w:tcPr>
          <w:p w14:paraId="380BACFB" w14:textId="352D8003"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3.1</w:t>
            </w:r>
            <w:r w:rsidR="00350A83">
              <w:rPr>
                <w:rFonts w:cs="Arial"/>
                <w:color w:val="000000"/>
                <w:sz w:val="16"/>
                <w:szCs w:val="16"/>
                <w:lang w:val="sl-SI" w:eastAsia="sl-SI"/>
              </w:rPr>
              <w:t xml:space="preserve"> (MSP)</w:t>
            </w:r>
          </w:p>
        </w:tc>
        <w:tc>
          <w:tcPr>
            <w:tcW w:w="923" w:type="dxa"/>
            <w:shd w:val="clear" w:color="auto" w:fill="auto"/>
            <w:noWrap/>
            <w:vAlign w:val="center"/>
            <w:hideMark/>
          </w:tcPr>
          <w:p w14:paraId="32F7E683"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Vzhod</w:t>
            </w:r>
          </w:p>
        </w:tc>
        <w:tc>
          <w:tcPr>
            <w:tcW w:w="928" w:type="dxa"/>
            <w:vAlign w:val="center"/>
          </w:tcPr>
          <w:p w14:paraId="6B530B73"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6BEB2F23" w14:textId="77777777" w:rsidR="00726698" w:rsidRPr="00F81934" w:rsidRDefault="00726698" w:rsidP="001725E3">
            <w:pPr>
              <w:jc w:val="right"/>
              <w:outlineLvl w:val="1"/>
              <w:rPr>
                <w:rFonts w:cs="Arial"/>
                <w:color w:val="000000"/>
                <w:sz w:val="16"/>
                <w:szCs w:val="16"/>
                <w:lang w:val="sl-SI"/>
              </w:rPr>
            </w:pPr>
            <w:r w:rsidRPr="00F81934">
              <w:rPr>
                <w:rFonts w:cs="Arial"/>
                <w:color w:val="000000"/>
                <w:sz w:val="16"/>
                <w:szCs w:val="16"/>
                <w:lang w:val="sl-SI"/>
              </w:rPr>
              <w:t>13.875.000,00</w:t>
            </w:r>
          </w:p>
        </w:tc>
        <w:tc>
          <w:tcPr>
            <w:tcW w:w="1287" w:type="dxa"/>
            <w:vAlign w:val="center"/>
          </w:tcPr>
          <w:p w14:paraId="387C555D" w14:textId="77777777" w:rsidR="00726698" w:rsidRPr="00F81934" w:rsidRDefault="00726698" w:rsidP="001725E3">
            <w:pPr>
              <w:jc w:val="right"/>
              <w:rPr>
                <w:rFonts w:cs="Arial"/>
                <w:sz w:val="16"/>
                <w:szCs w:val="16"/>
              </w:rPr>
            </w:pPr>
            <w:r w:rsidRPr="00F81934">
              <w:rPr>
                <w:rFonts w:cs="Arial"/>
                <w:color w:val="000000"/>
                <w:sz w:val="16"/>
                <w:szCs w:val="16"/>
                <w:lang w:val="sl-SI"/>
              </w:rPr>
              <w:t>13.875.000,00</w:t>
            </w:r>
          </w:p>
        </w:tc>
        <w:tc>
          <w:tcPr>
            <w:tcW w:w="1164" w:type="dxa"/>
            <w:vAlign w:val="center"/>
          </w:tcPr>
          <w:p w14:paraId="14E3B02C" w14:textId="77777777" w:rsidR="00726698" w:rsidRPr="00F81934" w:rsidRDefault="00726698" w:rsidP="001725E3">
            <w:pPr>
              <w:jc w:val="right"/>
              <w:rPr>
                <w:rFonts w:cs="Arial"/>
                <w:sz w:val="16"/>
                <w:szCs w:val="16"/>
              </w:rPr>
            </w:pPr>
            <w:r w:rsidRPr="00F81934">
              <w:rPr>
                <w:rFonts w:cs="Arial"/>
                <w:color w:val="000000"/>
                <w:sz w:val="16"/>
                <w:szCs w:val="16"/>
                <w:lang w:val="sl-SI"/>
              </w:rPr>
              <w:t>13.875.000,00</w:t>
            </w:r>
          </w:p>
        </w:tc>
        <w:tc>
          <w:tcPr>
            <w:tcW w:w="1302" w:type="dxa"/>
            <w:vAlign w:val="center"/>
          </w:tcPr>
          <w:p w14:paraId="7DEA4439" w14:textId="77777777" w:rsidR="00726698" w:rsidRPr="00F81934" w:rsidRDefault="00726698" w:rsidP="001725E3">
            <w:pPr>
              <w:jc w:val="right"/>
              <w:outlineLvl w:val="1"/>
              <w:rPr>
                <w:rFonts w:cs="Arial"/>
                <w:color w:val="000000"/>
                <w:sz w:val="16"/>
                <w:szCs w:val="16"/>
                <w:lang w:val="sl-SI"/>
              </w:rPr>
            </w:pPr>
            <w:r w:rsidRPr="00F81934">
              <w:rPr>
                <w:rFonts w:eastAsiaTheme="minorHAnsi" w:cs="Arial"/>
                <w:sz w:val="16"/>
                <w:szCs w:val="16"/>
                <w:lang w:val="sl-SI"/>
              </w:rPr>
              <w:t>55.500.000</w:t>
            </w:r>
          </w:p>
        </w:tc>
      </w:tr>
      <w:tr w:rsidR="00726698" w:rsidRPr="00F81934" w14:paraId="462AD79A" w14:textId="77777777" w:rsidTr="00DA5FC1">
        <w:trPr>
          <w:trHeight w:val="300"/>
          <w:jc w:val="center"/>
        </w:trPr>
        <w:tc>
          <w:tcPr>
            <w:tcW w:w="1750" w:type="dxa"/>
            <w:shd w:val="clear" w:color="auto" w:fill="auto"/>
            <w:noWrap/>
            <w:vAlign w:val="center"/>
            <w:hideMark/>
          </w:tcPr>
          <w:p w14:paraId="31DBBFCE" w14:textId="00AC7B60" w:rsidR="00726698" w:rsidRPr="00F81934" w:rsidRDefault="00350A83" w:rsidP="001725E3">
            <w:pPr>
              <w:jc w:val="both"/>
              <w:outlineLvl w:val="1"/>
              <w:rPr>
                <w:rFonts w:cs="Arial"/>
                <w:color w:val="000000"/>
                <w:sz w:val="16"/>
                <w:szCs w:val="16"/>
                <w:lang w:val="sl-SI" w:eastAsia="sl-SI"/>
              </w:rPr>
            </w:pPr>
            <w:r w:rsidRPr="00F81934">
              <w:rPr>
                <w:rFonts w:cs="Arial"/>
                <w:color w:val="000000"/>
                <w:sz w:val="16"/>
                <w:szCs w:val="16"/>
                <w:lang w:val="sl-SI" w:eastAsia="sl-SI"/>
              </w:rPr>
              <w:t>3.1</w:t>
            </w:r>
            <w:r>
              <w:rPr>
                <w:rFonts w:cs="Arial"/>
                <w:color w:val="000000"/>
                <w:sz w:val="16"/>
                <w:szCs w:val="16"/>
                <w:lang w:val="sl-SI" w:eastAsia="sl-SI"/>
              </w:rPr>
              <w:t xml:space="preserve"> (MSP)</w:t>
            </w:r>
          </w:p>
        </w:tc>
        <w:tc>
          <w:tcPr>
            <w:tcW w:w="923" w:type="dxa"/>
            <w:shd w:val="clear" w:color="auto" w:fill="auto"/>
            <w:noWrap/>
            <w:vAlign w:val="center"/>
            <w:hideMark/>
          </w:tcPr>
          <w:p w14:paraId="565A1C80"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Zahod</w:t>
            </w:r>
          </w:p>
        </w:tc>
        <w:tc>
          <w:tcPr>
            <w:tcW w:w="928" w:type="dxa"/>
            <w:vAlign w:val="center"/>
          </w:tcPr>
          <w:p w14:paraId="5A042C18"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6D1C8D80" w14:textId="77777777" w:rsidR="00726698" w:rsidRPr="00F81934" w:rsidRDefault="00726698" w:rsidP="001725E3">
            <w:pPr>
              <w:jc w:val="right"/>
              <w:outlineLvl w:val="1"/>
              <w:rPr>
                <w:rFonts w:cs="Arial"/>
                <w:color w:val="000000"/>
                <w:sz w:val="16"/>
                <w:szCs w:val="16"/>
                <w:lang w:val="sl-SI"/>
              </w:rPr>
            </w:pPr>
            <w:r w:rsidRPr="00F81934">
              <w:rPr>
                <w:rFonts w:cs="Arial"/>
                <w:color w:val="000000"/>
                <w:sz w:val="16"/>
                <w:szCs w:val="16"/>
                <w:lang w:val="sl-SI"/>
              </w:rPr>
              <w:t>19.875.000,00</w:t>
            </w:r>
          </w:p>
        </w:tc>
        <w:tc>
          <w:tcPr>
            <w:tcW w:w="1287" w:type="dxa"/>
            <w:vAlign w:val="center"/>
          </w:tcPr>
          <w:p w14:paraId="7B6D6035" w14:textId="77777777" w:rsidR="00726698" w:rsidRPr="00F81934" w:rsidRDefault="00726698" w:rsidP="001725E3">
            <w:pPr>
              <w:jc w:val="right"/>
              <w:outlineLvl w:val="1"/>
              <w:rPr>
                <w:rFonts w:cs="Arial"/>
                <w:color w:val="000000"/>
                <w:sz w:val="16"/>
                <w:szCs w:val="16"/>
                <w:lang w:val="sl-SI"/>
              </w:rPr>
            </w:pPr>
            <w:r w:rsidRPr="00F81934">
              <w:rPr>
                <w:rFonts w:cs="Arial"/>
                <w:color w:val="000000"/>
                <w:sz w:val="16"/>
                <w:szCs w:val="16"/>
                <w:lang w:val="sl-SI"/>
              </w:rPr>
              <w:t>19.875.000,00</w:t>
            </w:r>
          </w:p>
        </w:tc>
        <w:tc>
          <w:tcPr>
            <w:tcW w:w="1164" w:type="dxa"/>
            <w:vAlign w:val="center"/>
          </w:tcPr>
          <w:p w14:paraId="2E10C312" w14:textId="77777777" w:rsidR="00726698" w:rsidRPr="00F81934" w:rsidRDefault="00726698" w:rsidP="001725E3">
            <w:pPr>
              <w:jc w:val="right"/>
              <w:outlineLvl w:val="1"/>
              <w:rPr>
                <w:rFonts w:cs="Arial"/>
                <w:color w:val="000000"/>
                <w:sz w:val="16"/>
                <w:szCs w:val="16"/>
                <w:lang w:val="sl-SI"/>
              </w:rPr>
            </w:pPr>
            <w:r w:rsidRPr="00F81934">
              <w:rPr>
                <w:rFonts w:cs="Arial"/>
                <w:color w:val="000000"/>
                <w:sz w:val="16"/>
                <w:szCs w:val="16"/>
                <w:lang w:val="sl-SI"/>
              </w:rPr>
              <w:t>19.875.000,00</w:t>
            </w:r>
          </w:p>
        </w:tc>
        <w:tc>
          <w:tcPr>
            <w:tcW w:w="1302" w:type="dxa"/>
            <w:vAlign w:val="center"/>
          </w:tcPr>
          <w:p w14:paraId="54186015" w14:textId="77777777" w:rsidR="00726698" w:rsidRPr="00F81934" w:rsidRDefault="00726698" w:rsidP="001725E3">
            <w:pPr>
              <w:jc w:val="right"/>
              <w:outlineLvl w:val="1"/>
              <w:rPr>
                <w:rFonts w:cs="Arial"/>
                <w:color w:val="000000"/>
                <w:sz w:val="16"/>
                <w:szCs w:val="16"/>
                <w:lang w:val="sl-SI"/>
              </w:rPr>
            </w:pPr>
            <w:r w:rsidRPr="00F81934">
              <w:rPr>
                <w:rFonts w:eastAsiaTheme="minorHAnsi" w:cs="Arial"/>
                <w:sz w:val="16"/>
                <w:szCs w:val="16"/>
                <w:lang w:val="sl-SI"/>
              </w:rPr>
              <w:t>79.500.000</w:t>
            </w:r>
          </w:p>
        </w:tc>
      </w:tr>
      <w:tr w:rsidR="00726698" w:rsidRPr="00F81934" w14:paraId="07AFF4A4" w14:textId="77777777" w:rsidTr="00DA5FC1">
        <w:trPr>
          <w:trHeight w:val="300"/>
          <w:jc w:val="center"/>
        </w:trPr>
        <w:tc>
          <w:tcPr>
            <w:tcW w:w="3601" w:type="dxa"/>
            <w:gridSpan w:val="3"/>
            <w:shd w:val="clear" w:color="auto" w:fill="auto"/>
            <w:noWrap/>
            <w:vAlign w:val="center"/>
            <w:hideMark/>
          </w:tcPr>
          <w:p w14:paraId="749DFDD8" w14:textId="77777777" w:rsidR="00726698" w:rsidRPr="00F81934" w:rsidRDefault="00726698" w:rsidP="001725E3">
            <w:pPr>
              <w:jc w:val="center"/>
              <w:outlineLvl w:val="0"/>
              <w:rPr>
                <w:rFonts w:cs="Arial"/>
                <w:b/>
                <w:bCs/>
                <w:color w:val="000000"/>
                <w:sz w:val="16"/>
                <w:szCs w:val="16"/>
                <w:lang w:val="sl-SI" w:eastAsia="sl-SI"/>
              </w:rPr>
            </w:pPr>
            <w:r w:rsidRPr="00F81934">
              <w:rPr>
                <w:rFonts w:cs="Arial"/>
                <w:b/>
                <w:bCs/>
                <w:color w:val="000000"/>
                <w:sz w:val="16"/>
                <w:szCs w:val="16"/>
                <w:lang w:val="sl-SI" w:eastAsia="sl-SI"/>
              </w:rPr>
              <w:t>3.1 Vsota</w:t>
            </w:r>
          </w:p>
        </w:tc>
        <w:tc>
          <w:tcPr>
            <w:tcW w:w="1670" w:type="dxa"/>
            <w:shd w:val="clear" w:color="auto" w:fill="auto"/>
            <w:noWrap/>
            <w:vAlign w:val="center"/>
            <w:hideMark/>
          </w:tcPr>
          <w:p w14:paraId="6C202B92"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33.750.000,00</w:t>
            </w:r>
          </w:p>
        </w:tc>
        <w:tc>
          <w:tcPr>
            <w:tcW w:w="1287" w:type="dxa"/>
            <w:vAlign w:val="center"/>
          </w:tcPr>
          <w:p w14:paraId="293473A8"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33.750.000,00</w:t>
            </w:r>
          </w:p>
        </w:tc>
        <w:tc>
          <w:tcPr>
            <w:tcW w:w="1164" w:type="dxa"/>
            <w:vAlign w:val="center"/>
          </w:tcPr>
          <w:p w14:paraId="5C45B1FF"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33.750.000,00</w:t>
            </w:r>
          </w:p>
        </w:tc>
        <w:tc>
          <w:tcPr>
            <w:tcW w:w="1302" w:type="dxa"/>
            <w:vAlign w:val="center"/>
          </w:tcPr>
          <w:p w14:paraId="78CA65CA" w14:textId="77777777" w:rsidR="00726698" w:rsidRPr="00F81934" w:rsidRDefault="00726698" w:rsidP="001725E3">
            <w:pPr>
              <w:jc w:val="right"/>
              <w:outlineLvl w:val="0"/>
              <w:rPr>
                <w:rFonts w:cs="Arial"/>
                <w:b/>
                <w:bCs/>
                <w:color w:val="000000"/>
                <w:sz w:val="16"/>
                <w:szCs w:val="16"/>
                <w:lang w:val="sl-SI" w:eastAsia="sl-SI"/>
              </w:rPr>
            </w:pPr>
            <w:r w:rsidRPr="00F81934">
              <w:rPr>
                <w:rFonts w:eastAsiaTheme="minorHAnsi" w:cs="Arial"/>
                <w:b/>
                <w:sz w:val="16"/>
                <w:szCs w:val="16"/>
                <w:lang w:val="sl-SI"/>
              </w:rPr>
              <w:t>135.000.000</w:t>
            </w:r>
          </w:p>
        </w:tc>
      </w:tr>
      <w:tr w:rsidR="00726698" w:rsidRPr="00F81934" w14:paraId="782A964E" w14:textId="77777777" w:rsidTr="00DA5FC1">
        <w:trPr>
          <w:trHeight w:val="300"/>
          <w:jc w:val="center"/>
        </w:trPr>
        <w:tc>
          <w:tcPr>
            <w:tcW w:w="1750" w:type="dxa"/>
            <w:shd w:val="clear" w:color="auto" w:fill="auto"/>
            <w:noWrap/>
            <w:vAlign w:val="center"/>
            <w:hideMark/>
          </w:tcPr>
          <w:p w14:paraId="0448ED9B" w14:textId="0EE66124"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4.1</w:t>
            </w:r>
            <w:r w:rsidR="00350A83">
              <w:rPr>
                <w:rFonts w:cs="Arial"/>
                <w:color w:val="000000"/>
                <w:sz w:val="16"/>
                <w:szCs w:val="16"/>
                <w:lang w:val="sl-SI" w:eastAsia="sl-SI"/>
              </w:rPr>
              <w:t xml:space="preserve"> (EE)</w:t>
            </w:r>
          </w:p>
        </w:tc>
        <w:tc>
          <w:tcPr>
            <w:tcW w:w="923" w:type="dxa"/>
            <w:shd w:val="clear" w:color="auto" w:fill="auto"/>
            <w:noWrap/>
            <w:vAlign w:val="center"/>
            <w:hideMark/>
          </w:tcPr>
          <w:p w14:paraId="7CD0055B"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SI</w:t>
            </w:r>
          </w:p>
        </w:tc>
        <w:tc>
          <w:tcPr>
            <w:tcW w:w="928" w:type="dxa"/>
            <w:vAlign w:val="center"/>
          </w:tcPr>
          <w:p w14:paraId="536A8126"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KS</w:t>
            </w:r>
          </w:p>
        </w:tc>
        <w:tc>
          <w:tcPr>
            <w:tcW w:w="1670" w:type="dxa"/>
            <w:shd w:val="clear" w:color="auto" w:fill="auto"/>
            <w:noWrap/>
            <w:vAlign w:val="center"/>
            <w:hideMark/>
          </w:tcPr>
          <w:p w14:paraId="37E969D8"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6.250.000,00</w:t>
            </w:r>
          </w:p>
        </w:tc>
        <w:tc>
          <w:tcPr>
            <w:tcW w:w="1287" w:type="dxa"/>
            <w:vAlign w:val="center"/>
          </w:tcPr>
          <w:p w14:paraId="108E518C"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6.250.000,00</w:t>
            </w:r>
          </w:p>
        </w:tc>
        <w:tc>
          <w:tcPr>
            <w:tcW w:w="1164" w:type="dxa"/>
            <w:vAlign w:val="center"/>
          </w:tcPr>
          <w:p w14:paraId="3EDB25AD"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6.250.000,00</w:t>
            </w:r>
          </w:p>
        </w:tc>
        <w:tc>
          <w:tcPr>
            <w:tcW w:w="1302" w:type="dxa"/>
            <w:vAlign w:val="center"/>
          </w:tcPr>
          <w:p w14:paraId="78413210" w14:textId="77777777" w:rsidR="00726698" w:rsidRPr="00F81934" w:rsidRDefault="00726698" w:rsidP="001725E3">
            <w:pPr>
              <w:jc w:val="right"/>
              <w:outlineLvl w:val="1"/>
              <w:rPr>
                <w:rFonts w:cs="Arial"/>
                <w:color w:val="000000"/>
                <w:sz w:val="16"/>
                <w:szCs w:val="16"/>
                <w:lang w:val="sl-SI" w:eastAsia="sl-SI"/>
              </w:rPr>
            </w:pPr>
            <w:r w:rsidRPr="00F81934">
              <w:rPr>
                <w:rFonts w:eastAsiaTheme="minorHAnsi" w:cs="Arial"/>
                <w:sz w:val="16"/>
                <w:szCs w:val="16"/>
                <w:lang w:val="sl-SI"/>
              </w:rPr>
              <w:t>25.000.000</w:t>
            </w:r>
          </w:p>
        </w:tc>
      </w:tr>
      <w:tr w:rsidR="00726698" w:rsidRPr="00F81934" w14:paraId="30E87FE3" w14:textId="77777777" w:rsidTr="00DA5FC1">
        <w:trPr>
          <w:trHeight w:val="300"/>
          <w:jc w:val="center"/>
        </w:trPr>
        <w:tc>
          <w:tcPr>
            <w:tcW w:w="3601" w:type="dxa"/>
            <w:gridSpan w:val="3"/>
            <w:shd w:val="clear" w:color="auto" w:fill="auto"/>
            <w:noWrap/>
            <w:vAlign w:val="center"/>
            <w:hideMark/>
          </w:tcPr>
          <w:p w14:paraId="14D53057" w14:textId="77777777" w:rsidR="00726698" w:rsidRPr="00F81934" w:rsidRDefault="00726698" w:rsidP="001725E3">
            <w:pPr>
              <w:jc w:val="center"/>
              <w:outlineLvl w:val="0"/>
              <w:rPr>
                <w:rFonts w:cs="Arial"/>
                <w:b/>
                <w:bCs/>
                <w:color w:val="000000"/>
                <w:sz w:val="16"/>
                <w:szCs w:val="16"/>
                <w:lang w:val="sl-SI" w:eastAsia="sl-SI"/>
              </w:rPr>
            </w:pPr>
            <w:r w:rsidRPr="00F81934">
              <w:rPr>
                <w:rFonts w:cs="Arial"/>
                <w:b/>
                <w:bCs/>
                <w:color w:val="000000"/>
                <w:sz w:val="16"/>
                <w:szCs w:val="16"/>
                <w:lang w:val="sl-SI" w:eastAsia="sl-SI"/>
              </w:rPr>
              <w:t>4.1 Vsota</w:t>
            </w:r>
          </w:p>
        </w:tc>
        <w:tc>
          <w:tcPr>
            <w:tcW w:w="1670" w:type="dxa"/>
            <w:shd w:val="clear" w:color="auto" w:fill="auto"/>
            <w:noWrap/>
            <w:vAlign w:val="center"/>
            <w:hideMark/>
          </w:tcPr>
          <w:p w14:paraId="51AC32C6"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6.250.000,00</w:t>
            </w:r>
          </w:p>
        </w:tc>
        <w:tc>
          <w:tcPr>
            <w:tcW w:w="1287" w:type="dxa"/>
            <w:vAlign w:val="center"/>
          </w:tcPr>
          <w:p w14:paraId="5624C679"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6.250.000,00</w:t>
            </w:r>
          </w:p>
        </w:tc>
        <w:tc>
          <w:tcPr>
            <w:tcW w:w="1164" w:type="dxa"/>
            <w:vAlign w:val="center"/>
          </w:tcPr>
          <w:p w14:paraId="5BDEE30D"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6.250.000,00</w:t>
            </w:r>
          </w:p>
        </w:tc>
        <w:tc>
          <w:tcPr>
            <w:tcW w:w="1302" w:type="dxa"/>
            <w:vAlign w:val="center"/>
          </w:tcPr>
          <w:p w14:paraId="10B9546C" w14:textId="77777777" w:rsidR="00726698" w:rsidRPr="00F81934" w:rsidRDefault="00726698" w:rsidP="001725E3">
            <w:pPr>
              <w:jc w:val="right"/>
              <w:outlineLvl w:val="0"/>
              <w:rPr>
                <w:rFonts w:cs="Arial"/>
                <w:b/>
                <w:bCs/>
                <w:color w:val="000000"/>
                <w:sz w:val="16"/>
                <w:szCs w:val="16"/>
                <w:lang w:val="sl-SI" w:eastAsia="sl-SI"/>
              </w:rPr>
            </w:pPr>
            <w:r w:rsidRPr="00F81934">
              <w:rPr>
                <w:rFonts w:eastAsiaTheme="minorHAnsi" w:cs="Arial"/>
                <w:b/>
                <w:sz w:val="16"/>
                <w:szCs w:val="16"/>
                <w:lang w:val="sl-SI"/>
              </w:rPr>
              <w:t>25.000.000</w:t>
            </w:r>
          </w:p>
        </w:tc>
      </w:tr>
      <w:tr w:rsidR="00726698" w:rsidRPr="00F81934" w14:paraId="001088F6" w14:textId="77777777" w:rsidTr="00DA5FC1">
        <w:trPr>
          <w:trHeight w:val="300"/>
          <w:jc w:val="center"/>
        </w:trPr>
        <w:tc>
          <w:tcPr>
            <w:tcW w:w="1750" w:type="dxa"/>
            <w:shd w:val="clear" w:color="auto" w:fill="auto"/>
            <w:noWrap/>
            <w:vAlign w:val="center"/>
            <w:hideMark/>
          </w:tcPr>
          <w:p w14:paraId="627EFA55" w14:textId="5B525AB5" w:rsidR="00726698" w:rsidRPr="00F81934" w:rsidRDefault="00726698" w:rsidP="00350A83">
            <w:pPr>
              <w:jc w:val="both"/>
              <w:outlineLvl w:val="1"/>
              <w:rPr>
                <w:rFonts w:cs="Arial"/>
                <w:color w:val="000000"/>
                <w:sz w:val="16"/>
                <w:szCs w:val="16"/>
                <w:lang w:val="sl-SI" w:eastAsia="sl-SI"/>
              </w:rPr>
            </w:pPr>
            <w:r w:rsidRPr="00F81934">
              <w:rPr>
                <w:rFonts w:cs="Arial"/>
                <w:color w:val="000000"/>
                <w:sz w:val="16"/>
                <w:szCs w:val="16"/>
                <w:lang w:val="sl-SI" w:eastAsia="sl-SI"/>
              </w:rPr>
              <w:lastRenderedPageBreak/>
              <w:t>6.3</w:t>
            </w:r>
            <w:r w:rsidR="00350A83">
              <w:rPr>
                <w:rFonts w:cs="Arial"/>
                <w:color w:val="000000"/>
                <w:sz w:val="16"/>
                <w:szCs w:val="16"/>
                <w:lang w:val="sl-SI" w:eastAsia="sl-SI"/>
              </w:rPr>
              <w:t xml:space="preserve"> (UR)</w:t>
            </w:r>
          </w:p>
        </w:tc>
        <w:tc>
          <w:tcPr>
            <w:tcW w:w="923" w:type="dxa"/>
            <w:shd w:val="clear" w:color="auto" w:fill="auto"/>
            <w:noWrap/>
            <w:vAlign w:val="center"/>
            <w:hideMark/>
          </w:tcPr>
          <w:p w14:paraId="3C568B09"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Vzhod</w:t>
            </w:r>
          </w:p>
        </w:tc>
        <w:tc>
          <w:tcPr>
            <w:tcW w:w="928" w:type="dxa"/>
            <w:vAlign w:val="center"/>
          </w:tcPr>
          <w:p w14:paraId="5F20B148"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043E0F45"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800.000,00</w:t>
            </w:r>
          </w:p>
        </w:tc>
        <w:tc>
          <w:tcPr>
            <w:tcW w:w="1287" w:type="dxa"/>
            <w:vAlign w:val="center"/>
          </w:tcPr>
          <w:p w14:paraId="5BDC840F"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800.000,00</w:t>
            </w:r>
          </w:p>
        </w:tc>
        <w:tc>
          <w:tcPr>
            <w:tcW w:w="1164" w:type="dxa"/>
            <w:vAlign w:val="center"/>
          </w:tcPr>
          <w:p w14:paraId="35C323EB"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800.000,00</w:t>
            </w:r>
          </w:p>
        </w:tc>
        <w:tc>
          <w:tcPr>
            <w:tcW w:w="1302" w:type="dxa"/>
            <w:vAlign w:val="center"/>
          </w:tcPr>
          <w:p w14:paraId="1A45BA80" w14:textId="77777777" w:rsidR="00726698" w:rsidRPr="00F81934" w:rsidRDefault="00726698" w:rsidP="001725E3">
            <w:pPr>
              <w:jc w:val="right"/>
              <w:outlineLvl w:val="1"/>
              <w:rPr>
                <w:rFonts w:cs="Arial"/>
                <w:color w:val="000000"/>
                <w:sz w:val="16"/>
                <w:szCs w:val="16"/>
                <w:lang w:val="sl-SI" w:eastAsia="sl-SI"/>
              </w:rPr>
            </w:pPr>
            <w:r w:rsidRPr="00F81934">
              <w:rPr>
                <w:rFonts w:eastAsiaTheme="minorHAnsi" w:cs="Arial"/>
                <w:sz w:val="16"/>
                <w:szCs w:val="16"/>
                <w:lang w:val="sl-SI"/>
              </w:rPr>
              <w:t>3.200.000</w:t>
            </w:r>
          </w:p>
        </w:tc>
      </w:tr>
      <w:tr w:rsidR="00726698" w:rsidRPr="00F81934" w14:paraId="1E4AE8FA" w14:textId="77777777" w:rsidTr="00DA5FC1">
        <w:trPr>
          <w:trHeight w:val="300"/>
          <w:jc w:val="center"/>
        </w:trPr>
        <w:tc>
          <w:tcPr>
            <w:tcW w:w="1750" w:type="dxa"/>
            <w:shd w:val="clear" w:color="auto" w:fill="auto"/>
            <w:noWrap/>
            <w:vAlign w:val="center"/>
            <w:hideMark/>
          </w:tcPr>
          <w:p w14:paraId="1562EB49" w14:textId="31225133"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6.3</w:t>
            </w:r>
            <w:r w:rsidR="00350A83">
              <w:rPr>
                <w:rFonts w:cs="Arial"/>
                <w:color w:val="000000"/>
                <w:sz w:val="16"/>
                <w:szCs w:val="16"/>
                <w:lang w:val="sl-SI" w:eastAsia="sl-SI"/>
              </w:rPr>
              <w:t xml:space="preserve"> (UR)</w:t>
            </w:r>
          </w:p>
        </w:tc>
        <w:tc>
          <w:tcPr>
            <w:tcW w:w="923" w:type="dxa"/>
            <w:shd w:val="clear" w:color="auto" w:fill="auto"/>
            <w:noWrap/>
            <w:vAlign w:val="center"/>
            <w:hideMark/>
          </w:tcPr>
          <w:p w14:paraId="0EE8FF8E"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Zahod</w:t>
            </w:r>
          </w:p>
        </w:tc>
        <w:tc>
          <w:tcPr>
            <w:tcW w:w="928" w:type="dxa"/>
            <w:vAlign w:val="center"/>
          </w:tcPr>
          <w:p w14:paraId="1BA095EA"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7AA4038C"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450.000,00</w:t>
            </w:r>
          </w:p>
        </w:tc>
        <w:tc>
          <w:tcPr>
            <w:tcW w:w="1287" w:type="dxa"/>
            <w:vAlign w:val="center"/>
          </w:tcPr>
          <w:p w14:paraId="0128FBD0"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450.000,00</w:t>
            </w:r>
          </w:p>
        </w:tc>
        <w:tc>
          <w:tcPr>
            <w:tcW w:w="1164" w:type="dxa"/>
            <w:vAlign w:val="center"/>
          </w:tcPr>
          <w:p w14:paraId="1C51080C"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450.000,00</w:t>
            </w:r>
          </w:p>
        </w:tc>
        <w:tc>
          <w:tcPr>
            <w:tcW w:w="1302" w:type="dxa"/>
            <w:vAlign w:val="center"/>
          </w:tcPr>
          <w:p w14:paraId="6BAE71A6" w14:textId="77777777" w:rsidR="00726698" w:rsidRPr="00F81934" w:rsidRDefault="00726698" w:rsidP="001725E3">
            <w:pPr>
              <w:jc w:val="right"/>
              <w:outlineLvl w:val="1"/>
              <w:rPr>
                <w:rFonts w:cs="Arial"/>
                <w:color w:val="000000"/>
                <w:sz w:val="16"/>
                <w:szCs w:val="16"/>
                <w:lang w:val="sl-SI" w:eastAsia="sl-SI"/>
              </w:rPr>
            </w:pPr>
            <w:r w:rsidRPr="00F81934">
              <w:rPr>
                <w:rFonts w:eastAsiaTheme="minorHAnsi" w:cs="Arial"/>
                <w:sz w:val="16"/>
                <w:szCs w:val="16"/>
                <w:lang w:val="sl-SI"/>
              </w:rPr>
              <w:t>1.800.000</w:t>
            </w:r>
          </w:p>
        </w:tc>
      </w:tr>
      <w:tr w:rsidR="00726698" w:rsidRPr="00F81934" w14:paraId="54DF94B2" w14:textId="77777777" w:rsidTr="00DA5FC1">
        <w:trPr>
          <w:trHeight w:val="300"/>
          <w:jc w:val="center"/>
        </w:trPr>
        <w:tc>
          <w:tcPr>
            <w:tcW w:w="3601" w:type="dxa"/>
            <w:gridSpan w:val="3"/>
            <w:shd w:val="clear" w:color="auto" w:fill="auto"/>
            <w:noWrap/>
            <w:vAlign w:val="center"/>
            <w:hideMark/>
          </w:tcPr>
          <w:p w14:paraId="3AD87DD6" w14:textId="77777777" w:rsidR="00726698" w:rsidRPr="00F81934" w:rsidRDefault="00726698" w:rsidP="001725E3">
            <w:pPr>
              <w:jc w:val="center"/>
              <w:outlineLvl w:val="0"/>
              <w:rPr>
                <w:rFonts w:cs="Arial"/>
                <w:b/>
                <w:bCs/>
                <w:color w:val="000000"/>
                <w:sz w:val="16"/>
                <w:szCs w:val="16"/>
                <w:lang w:val="sl-SI" w:eastAsia="sl-SI"/>
              </w:rPr>
            </w:pPr>
            <w:r w:rsidRPr="00F81934">
              <w:rPr>
                <w:rFonts w:cs="Arial"/>
                <w:b/>
                <w:bCs/>
                <w:color w:val="000000"/>
                <w:sz w:val="16"/>
                <w:szCs w:val="16"/>
                <w:lang w:val="sl-SI" w:eastAsia="sl-SI"/>
              </w:rPr>
              <w:t>6.3 Vsota</w:t>
            </w:r>
          </w:p>
        </w:tc>
        <w:tc>
          <w:tcPr>
            <w:tcW w:w="1670" w:type="dxa"/>
            <w:shd w:val="clear" w:color="auto" w:fill="auto"/>
            <w:noWrap/>
            <w:vAlign w:val="center"/>
            <w:hideMark/>
          </w:tcPr>
          <w:p w14:paraId="1E604B5E"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1.250.000,00</w:t>
            </w:r>
          </w:p>
        </w:tc>
        <w:tc>
          <w:tcPr>
            <w:tcW w:w="1287" w:type="dxa"/>
            <w:vAlign w:val="center"/>
          </w:tcPr>
          <w:p w14:paraId="6F3819B5"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1.250.000,00</w:t>
            </w:r>
          </w:p>
        </w:tc>
        <w:tc>
          <w:tcPr>
            <w:tcW w:w="1164" w:type="dxa"/>
            <w:vAlign w:val="center"/>
          </w:tcPr>
          <w:p w14:paraId="563F164F"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1.250.000,00</w:t>
            </w:r>
          </w:p>
        </w:tc>
        <w:tc>
          <w:tcPr>
            <w:tcW w:w="1302" w:type="dxa"/>
            <w:vAlign w:val="center"/>
          </w:tcPr>
          <w:p w14:paraId="4D47C1B8" w14:textId="77777777" w:rsidR="00726698" w:rsidRPr="00F81934" w:rsidRDefault="00726698" w:rsidP="001725E3">
            <w:pPr>
              <w:jc w:val="right"/>
              <w:outlineLvl w:val="0"/>
              <w:rPr>
                <w:rFonts w:cs="Arial"/>
                <w:b/>
                <w:bCs/>
                <w:color w:val="000000"/>
                <w:sz w:val="16"/>
                <w:szCs w:val="16"/>
                <w:lang w:val="sl-SI" w:eastAsia="sl-SI"/>
              </w:rPr>
            </w:pPr>
            <w:r w:rsidRPr="00F81934">
              <w:rPr>
                <w:rFonts w:eastAsiaTheme="minorHAnsi" w:cs="Arial"/>
                <w:b/>
                <w:sz w:val="16"/>
                <w:szCs w:val="16"/>
                <w:lang w:val="sl-SI"/>
              </w:rPr>
              <w:t>5.000.000</w:t>
            </w:r>
          </w:p>
        </w:tc>
      </w:tr>
      <w:tr w:rsidR="00726698" w:rsidRPr="00F81934" w14:paraId="7D9BCF21" w14:textId="77777777" w:rsidTr="00DA5FC1">
        <w:trPr>
          <w:trHeight w:val="300"/>
          <w:jc w:val="center"/>
        </w:trPr>
        <w:tc>
          <w:tcPr>
            <w:tcW w:w="1750" w:type="dxa"/>
            <w:shd w:val="clear" w:color="auto" w:fill="auto"/>
            <w:noWrap/>
            <w:vAlign w:val="center"/>
            <w:hideMark/>
          </w:tcPr>
          <w:p w14:paraId="20585D3D" w14:textId="77777777" w:rsidR="00726698" w:rsidRPr="00F81934" w:rsidRDefault="00726698" w:rsidP="001725E3">
            <w:pPr>
              <w:jc w:val="both"/>
              <w:rPr>
                <w:rFonts w:cs="Arial"/>
                <w:b/>
                <w:bCs/>
                <w:color w:val="000000"/>
                <w:sz w:val="16"/>
                <w:szCs w:val="16"/>
                <w:lang w:val="sl-SI" w:eastAsia="sl-SI"/>
              </w:rPr>
            </w:pPr>
            <w:r w:rsidRPr="00F81934">
              <w:rPr>
                <w:rFonts w:cs="Arial"/>
                <w:b/>
                <w:bCs/>
                <w:color w:val="000000"/>
                <w:sz w:val="16"/>
                <w:szCs w:val="16"/>
                <w:lang w:val="sl-SI" w:eastAsia="sl-SI"/>
              </w:rPr>
              <w:t>Skupna vsota</w:t>
            </w:r>
          </w:p>
        </w:tc>
        <w:tc>
          <w:tcPr>
            <w:tcW w:w="923" w:type="dxa"/>
            <w:shd w:val="clear" w:color="auto" w:fill="auto"/>
            <w:noWrap/>
            <w:vAlign w:val="center"/>
            <w:hideMark/>
          </w:tcPr>
          <w:p w14:paraId="78FDA833" w14:textId="77777777" w:rsidR="00726698" w:rsidRPr="00F81934" w:rsidRDefault="00726698" w:rsidP="001725E3">
            <w:pPr>
              <w:jc w:val="center"/>
              <w:rPr>
                <w:rFonts w:cs="Arial"/>
                <w:b/>
                <w:bCs/>
                <w:color w:val="000000"/>
                <w:sz w:val="16"/>
                <w:szCs w:val="16"/>
                <w:lang w:val="sl-SI" w:eastAsia="sl-SI"/>
              </w:rPr>
            </w:pPr>
          </w:p>
        </w:tc>
        <w:tc>
          <w:tcPr>
            <w:tcW w:w="928" w:type="dxa"/>
            <w:vAlign w:val="center"/>
          </w:tcPr>
          <w:p w14:paraId="362AB1D3" w14:textId="77777777" w:rsidR="00726698" w:rsidRPr="00F81934" w:rsidRDefault="00726698" w:rsidP="001725E3">
            <w:pPr>
              <w:jc w:val="center"/>
              <w:rPr>
                <w:rFonts w:cs="Arial"/>
                <w:b/>
                <w:bCs/>
                <w:color w:val="000000"/>
                <w:sz w:val="16"/>
                <w:szCs w:val="16"/>
                <w:lang w:val="sl-SI" w:eastAsia="sl-SI"/>
              </w:rPr>
            </w:pPr>
          </w:p>
        </w:tc>
        <w:tc>
          <w:tcPr>
            <w:tcW w:w="1670" w:type="dxa"/>
            <w:shd w:val="clear" w:color="auto" w:fill="auto"/>
            <w:noWrap/>
            <w:vAlign w:val="center"/>
            <w:hideMark/>
          </w:tcPr>
          <w:p w14:paraId="1EF4CAE3" w14:textId="77777777" w:rsidR="00726698" w:rsidRPr="00F81934" w:rsidRDefault="00726698" w:rsidP="001725E3">
            <w:pPr>
              <w:jc w:val="right"/>
              <w:rPr>
                <w:rFonts w:cs="Arial"/>
                <w:b/>
                <w:bCs/>
                <w:color w:val="000000"/>
                <w:sz w:val="16"/>
                <w:szCs w:val="16"/>
                <w:lang w:val="sl-SI" w:eastAsia="sl-SI"/>
              </w:rPr>
            </w:pPr>
            <w:r w:rsidRPr="00F81934">
              <w:rPr>
                <w:rFonts w:cs="Arial"/>
                <w:b/>
                <w:bCs/>
                <w:color w:val="000000"/>
                <w:sz w:val="16"/>
                <w:szCs w:val="16"/>
                <w:lang w:val="sl-SI" w:eastAsia="sl-SI"/>
              </w:rPr>
              <w:t>63.250.000,00</w:t>
            </w:r>
          </w:p>
        </w:tc>
        <w:tc>
          <w:tcPr>
            <w:tcW w:w="1287" w:type="dxa"/>
            <w:vAlign w:val="center"/>
          </w:tcPr>
          <w:p w14:paraId="30183B23" w14:textId="77777777" w:rsidR="00726698" w:rsidRPr="00F81934" w:rsidRDefault="00726698" w:rsidP="001725E3">
            <w:pPr>
              <w:jc w:val="right"/>
              <w:rPr>
                <w:rFonts w:cs="Arial"/>
                <w:b/>
                <w:bCs/>
                <w:color w:val="000000"/>
                <w:sz w:val="16"/>
                <w:szCs w:val="16"/>
                <w:lang w:val="sl-SI" w:eastAsia="sl-SI"/>
              </w:rPr>
            </w:pPr>
            <w:r w:rsidRPr="00F81934">
              <w:rPr>
                <w:rFonts w:cs="Arial"/>
                <w:b/>
                <w:bCs/>
                <w:color w:val="000000"/>
                <w:sz w:val="16"/>
                <w:szCs w:val="16"/>
                <w:lang w:val="sl-SI" w:eastAsia="sl-SI"/>
              </w:rPr>
              <w:t>63.250.000,00</w:t>
            </w:r>
          </w:p>
        </w:tc>
        <w:tc>
          <w:tcPr>
            <w:tcW w:w="1164" w:type="dxa"/>
            <w:vAlign w:val="center"/>
          </w:tcPr>
          <w:p w14:paraId="2CA16AEF" w14:textId="77777777" w:rsidR="00726698" w:rsidRPr="00F81934" w:rsidRDefault="00726698" w:rsidP="001725E3">
            <w:pPr>
              <w:jc w:val="right"/>
              <w:rPr>
                <w:rFonts w:cs="Arial"/>
                <w:b/>
                <w:bCs/>
                <w:color w:val="000000"/>
                <w:sz w:val="16"/>
                <w:szCs w:val="16"/>
                <w:lang w:val="sl-SI" w:eastAsia="sl-SI"/>
              </w:rPr>
            </w:pPr>
            <w:r w:rsidRPr="00F81934">
              <w:rPr>
                <w:rFonts w:cs="Arial"/>
                <w:b/>
                <w:bCs/>
                <w:color w:val="000000"/>
                <w:sz w:val="16"/>
                <w:szCs w:val="16"/>
                <w:lang w:val="sl-SI" w:eastAsia="sl-SI"/>
              </w:rPr>
              <w:t>63.250.000,00</w:t>
            </w:r>
          </w:p>
        </w:tc>
        <w:tc>
          <w:tcPr>
            <w:tcW w:w="1302" w:type="dxa"/>
            <w:vAlign w:val="center"/>
          </w:tcPr>
          <w:p w14:paraId="479015A9" w14:textId="77777777" w:rsidR="00726698" w:rsidRPr="00F81934" w:rsidRDefault="00726698" w:rsidP="001725E3">
            <w:pPr>
              <w:jc w:val="right"/>
              <w:rPr>
                <w:rFonts w:cs="Arial"/>
                <w:b/>
                <w:bCs/>
                <w:color w:val="000000"/>
                <w:sz w:val="16"/>
                <w:szCs w:val="16"/>
                <w:lang w:val="sl-SI" w:eastAsia="sl-SI"/>
              </w:rPr>
            </w:pPr>
            <w:r w:rsidRPr="00F81934">
              <w:rPr>
                <w:rFonts w:eastAsiaTheme="minorHAnsi" w:cs="Arial"/>
                <w:b/>
                <w:sz w:val="16"/>
                <w:szCs w:val="16"/>
                <w:lang w:val="sl-SI"/>
              </w:rPr>
              <w:t>253.000.000</w:t>
            </w:r>
          </w:p>
        </w:tc>
      </w:tr>
    </w:tbl>
    <w:p w14:paraId="53AC537D" w14:textId="125780C3" w:rsid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41F37010" w14:textId="09C2A928" w:rsidR="00266C05" w:rsidRPr="00DA5FC1" w:rsidRDefault="00266C05" w:rsidP="00DA5FC1">
      <w:pPr>
        <w:spacing w:after="240"/>
        <w:jc w:val="both"/>
        <w:rPr>
          <w:rFonts w:cs="Arial"/>
          <w:sz w:val="16"/>
          <w:szCs w:val="16"/>
          <w:lang w:val="sl-SI"/>
        </w:rPr>
      </w:pPr>
      <w:r>
        <w:rPr>
          <w:rFonts w:cs="Arial"/>
          <w:sz w:val="16"/>
          <w:szCs w:val="16"/>
          <w:lang w:val="sl-SI"/>
        </w:rPr>
        <w:t>* Skupni znesek vseh preostalih izplačil v programskem obdobju 2014-2020.</w:t>
      </w:r>
    </w:p>
    <w:p w14:paraId="61705F26" w14:textId="7475E878" w:rsidR="00726698" w:rsidRPr="00462D42" w:rsidRDefault="00726698" w:rsidP="00462D42">
      <w:pPr>
        <w:spacing w:line="260" w:lineRule="exact"/>
        <w:jc w:val="both"/>
        <w:rPr>
          <w:rFonts w:cs="Arial"/>
          <w:sz w:val="20"/>
          <w:szCs w:val="22"/>
          <w:lang w:val="sl-SI"/>
        </w:rPr>
      </w:pPr>
      <w:r w:rsidRPr="00462D42">
        <w:rPr>
          <w:rFonts w:cs="Arial"/>
          <w:sz w:val="20"/>
          <w:szCs w:val="22"/>
          <w:lang w:val="sl-SI"/>
        </w:rPr>
        <w:t>V letu 2019 je predvideno vplačilo druge tranše v višini 63,25 milijona evrov.</w:t>
      </w:r>
    </w:p>
    <w:p w14:paraId="12BD320D" w14:textId="77777777" w:rsidR="00AD655B" w:rsidRPr="00462D42" w:rsidRDefault="00AD655B" w:rsidP="00462D42">
      <w:pPr>
        <w:spacing w:line="260" w:lineRule="exact"/>
        <w:jc w:val="both"/>
        <w:rPr>
          <w:rFonts w:cs="Arial"/>
          <w:sz w:val="20"/>
          <w:szCs w:val="22"/>
          <w:lang w:val="sl-SI"/>
        </w:rPr>
      </w:pPr>
    </w:p>
    <w:p w14:paraId="3F4BE859" w14:textId="7C9148E1" w:rsidR="005069C7" w:rsidRPr="00462D42" w:rsidRDefault="005069C7" w:rsidP="00462D42">
      <w:pPr>
        <w:spacing w:line="260" w:lineRule="exact"/>
        <w:jc w:val="both"/>
        <w:rPr>
          <w:rFonts w:cs="Arial"/>
          <w:sz w:val="20"/>
          <w:szCs w:val="22"/>
          <w:lang w:val="sl-SI"/>
        </w:rPr>
      </w:pPr>
      <w:r w:rsidRPr="00462D42">
        <w:rPr>
          <w:rFonts w:cs="Arial"/>
          <w:sz w:val="20"/>
          <w:szCs w:val="22"/>
          <w:lang w:val="sl-SI"/>
        </w:rPr>
        <w:t xml:space="preserve">V letu 2020 vplačilo nove tranše ni predvideno, tretja tranša (v višini 63,25 </w:t>
      </w:r>
      <w:r w:rsidR="00726698" w:rsidRPr="00462D42">
        <w:rPr>
          <w:rFonts w:cs="Arial"/>
          <w:sz w:val="20"/>
          <w:szCs w:val="22"/>
          <w:lang w:val="sl-SI"/>
        </w:rPr>
        <w:t>milijona evrov</w:t>
      </w:r>
      <w:r w:rsidR="005743CB" w:rsidRPr="00462D42">
        <w:rPr>
          <w:rFonts w:cs="Arial"/>
          <w:sz w:val="20"/>
          <w:szCs w:val="22"/>
          <w:lang w:val="sl-SI"/>
        </w:rPr>
        <w:t xml:space="preserve">) je načrtovana v letu 2021, četrta </w:t>
      </w:r>
      <w:r w:rsidR="00726698" w:rsidRPr="00462D42">
        <w:rPr>
          <w:rFonts w:cs="Arial"/>
          <w:sz w:val="20"/>
          <w:szCs w:val="22"/>
          <w:lang w:val="sl-SI"/>
        </w:rPr>
        <w:t xml:space="preserve">v enakem znesku </w:t>
      </w:r>
      <w:r w:rsidR="005743CB" w:rsidRPr="00462D42">
        <w:rPr>
          <w:rFonts w:cs="Arial"/>
          <w:sz w:val="20"/>
          <w:szCs w:val="22"/>
          <w:lang w:val="sl-SI"/>
        </w:rPr>
        <w:t>pa v letu 2022.</w:t>
      </w:r>
    </w:p>
    <w:p w14:paraId="3A28D7B3" w14:textId="77777777" w:rsidR="005069C7" w:rsidRPr="00462D42" w:rsidRDefault="005069C7" w:rsidP="00462D42">
      <w:pPr>
        <w:spacing w:line="260" w:lineRule="exact"/>
        <w:jc w:val="both"/>
        <w:rPr>
          <w:rFonts w:cs="Arial"/>
          <w:sz w:val="20"/>
          <w:szCs w:val="22"/>
          <w:lang w:val="sl-SI"/>
        </w:rPr>
      </w:pPr>
    </w:p>
    <w:p w14:paraId="3FEE439C" w14:textId="6E8A48A8" w:rsidR="00FA7969" w:rsidRPr="00462D42" w:rsidRDefault="00FA7969" w:rsidP="00462D42">
      <w:pPr>
        <w:spacing w:line="260" w:lineRule="exact"/>
        <w:jc w:val="both"/>
        <w:rPr>
          <w:rFonts w:cs="Arial"/>
          <w:sz w:val="20"/>
          <w:szCs w:val="22"/>
          <w:lang w:val="sl-SI"/>
        </w:rPr>
      </w:pPr>
      <w:r w:rsidRPr="00462D42">
        <w:rPr>
          <w:rFonts w:cs="Arial"/>
          <w:sz w:val="20"/>
          <w:szCs w:val="22"/>
          <w:lang w:val="sl-SI"/>
        </w:rPr>
        <w:t xml:space="preserve">Načrt kazalnikov fizičnih ciljev FI v okviru </w:t>
      </w:r>
      <w:r w:rsidR="00866736" w:rsidRPr="00462D42">
        <w:rPr>
          <w:rFonts w:cs="Arial"/>
          <w:sz w:val="20"/>
          <w:szCs w:val="22"/>
          <w:lang w:val="sl-SI"/>
        </w:rPr>
        <w:t xml:space="preserve">operacije </w:t>
      </w:r>
      <w:r w:rsidR="0075201B" w:rsidRPr="00462D42">
        <w:rPr>
          <w:rFonts w:cs="Arial"/>
          <w:sz w:val="20"/>
          <w:szCs w:val="22"/>
          <w:lang w:val="sl-SI"/>
        </w:rPr>
        <w:t>»</w:t>
      </w:r>
      <w:r w:rsidR="00866736" w:rsidRPr="00462D42">
        <w:rPr>
          <w:rFonts w:cs="Arial"/>
          <w:sz w:val="20"/>
          <w:szCs w:val="22"/>
          <w:lang w:val="sl-SI"/>
        </w:rPr>
        <w:t>Finančni instrumenti 2014</w:t>
      </w:r>
      <w:r w:rsidR="0014087F">
        <w:rPr>
          <w:rFonts w:cs="Arial"/>
          <w:sz w:val="20"/>
          <w:szCs w:val="22"/>
          <w:lang w:val="sl-SI"/>
        </w:rPr>
        <w:t>–</w:t>
      </w:r>
      <w:r w:rsidR="00866736" w:rsidRPr="00462D42">
        <w:rPr>
          <w:rFonts w:cs="Arial"/>
          <w:sz w:val="20"/>
          <w:szCs w:val="22"/>
          <w:lang w:val="sl-SI"/>
        </w:rPr>
        <w:t>2020</w:t>
      </w:r>
      <w:r w:rsidR="0075201B" w:rsidRPr="00462D42">
        <w:rPr>
          <w:rFonts w:cs="Arial"/>
          <w:sz w:val="20"/>
          <w:szCs w:val="22"/>
          <w:lang w:val="sl-SI"/>
        </w:rPr>
        <w:t>«</w:t>
      </w:r>
      <w:r w:rsidR="00866736" w:rsidRPr="00462D42">
        <w:rPr>
          <w:rFonts w:cs="Arial"/>
          <w:sz w:val="20"/>
          <w:szCs w:val="22"/>
          <w:lang w:val="sl-SI"/>
        </w:rPr>
        <w:t xml:space="preserve"> </w:t>
      </w:r>
      <w:r w:rsidRPr="00462D42">
        <w:rPr>
          <w:rFonts w:cs="Arial"/>
          <w:sz w:val="20"/>
          <w:szCs w:val="22"/>
          <w:lang w:val="sl-SI"/>
        </w:rPr>
        <w:t xml:space="preserve">za celotno finančno perspektivo je </w:t>
      </w:r>
      <w:r w:rsidR="003A74A5" w:rsidRPr="00462D42">
        <w:rPr>
          <w:rFonts w:cs="Arial"/>
          <w:sz w:val="20"/>
          <w:szCs w:val="22"/>
          <w:lang w:val="sl-SI"/>
        </w:rPr>
        <w:t xml:space="preserve">opredeljen v </w:t>
      </w:r>
      <w:proofErr w:type="spellStart"/>
      <w:r w:rsidR="003A74A5" w:rsidRPr="00462D42">
        <w:rPr>
          <w:rFonts w:cs="Arial"/>
          <w:sz w:val="20"/>
          <w:szCs w:val="22"/>
          <w:lang w:val="sl-SI"/>
        </w:rPr>
        <w:t>SoF</w:t>
      </w:r>
      <w:proofErr w:type="spellEnd"/>
      <w:r w:rsidR="003A74A5" w:rsidRPr="00462D42">
        <w:rPr>
          <w:rFonts w:cs="Arial"/>
          <w:sz w:val="20"/>
          <w:szCs w:val="22"/>
          <w:lang w:val="sl-SI"/>
        </w:rPr>
        <w:t>.</w:t>
      </w:r>
    </w:p>
    <w:p w14:paraId="32A49F73" w14:textId="77777777" w:rsidR="00FA7969" w:rsidRPr="00462D42" w:rsidRDefault="00FA7969" w:rsidP="00462D42">
      <w:pPr>
        <w:spacing w:line="260" w:lineRule="exact"/>
        <w:jc w:val="both"/>
        <w:rPr>
          <w:rFonts w:cs="Arial"/>
          <w:sz w:val="20"/>
          <w:szCs w:val="22"/>
          <w:lang w:val="sl-SI"/>
        </w:rPr>
      </w:pPr>
    </w:p>
    <w:p w14:paraId="649D6611" w14:textId="22D11C2D" w:rsidR="00180605" w:rsidRDefault="001B58C7" w:rsidP="00462D42">
      <w:pPr>
        <w:spacing w:line="260" w:lineRule="exact"/>
        <w:jc w:val="both"/>
        <w:rPr>
          <w:rFonts w:cs="Arial"/>
          <w:sz w:val="20"/>
          <w:szCs w:val="22"/>
          <w:lang w:val="sl-SI"/>
        </w:rPr>
      </w:pPr>
      <w:r w:rsidRPr="00462D42">
        <w:rPr>
          <w:rFonts w:cs="Arial"/>
          <w:sz w:val="20"/>
          <w:szCs w:val="22"/>
          <w:lang w:val="sl-SI"/>
        </w:rPr>
        <w:t xml:space="preserve">Izvajalec sklada skladov bo letno poročal o doseženih kazalnikih po posameznih </w:t>
      </w:r>
      <w:r w:rsidR="004B2892" w:rsidRPr="00462D42">
        <w:rPr>
          <w:rFonts w:cs="Arial"/>
          <w:sz w:val="20"/>
          <w:szCs w:val="22"/>
          <w:lang w:val="sl-SI"/>
        </w:rPr>
        <w:t>FI</w:t>
      </w:r>
      <w:r w:rsidRPr="00462D42">
        <w:rPr>
          <w:rFonts w:cs="Arial"/>
          <w:sz w:val="20"/>
          <w:szCs w:val="22"/>
          <w:lang w:val="sl-SI"/>
        </w:rPr>
        <w:t>.</w:t>
      </w:r>
      <w:r w:rsidR="00180605" w:rsidRPr="00462D42">
        <w:rPr>
          <w:rFonts w:cs="Arial"/>
          <w:sz w:val="20"/>
          <w:szCs w:val="22"/>
          <w:lang w:val="sl-SI"/>
        </w:rPr>
        <w:t xml:space="preserve"> Vsebina in frekvenca poročanja</w:t>
      </w:r>
      <w:r w:rsidR="009C5E84" w:rsidRPr="00462D42">
        <w:rPr>
          <w:rFonts w:cs="Arial"/>
          <w:sz w:val="20"/>
          <w:szCs w:val="22"/>
          <w:lang w:val="sl-SI"/>
        </w:rPr>
        <w:t xml:space="preserve"> posredniškemu organu</w:t>
      </w:r>
      <w:r w:rsidR="00180605" w:rsidRPr="00462D42">
        <w:rPr>
          <w:rFonts w:cs="Arial"/>
          <w:sz w:val="20"/>
          <w:szCs w:val="22"/>
          <w:lang w:val="sl-SI"/>
        </w:rPr>
        <w:t xml:space="preserve"> sta natančneje opredeljeni v</w:t>
      </w:r>
      <w:r w:rsidR="009C5E84" w:rsidRPr="00462D42">
        <w:rPr>
          <w:rFonts w:cs="Arial"/>
          <w:sz w:val="20"/>
          <w:szCs w:val="22"/>
          <w:lang w:val="sl-SI"/>
        </w:rPr>
        <w:t xml:space="preserve"> </w:t>
      </w:r>
      <w:proofErr w:type="spellStart"/>
      <w:r w:rsidR="003A74A5" w:rsidRPr="00462D42">
        <w:rPr>
          <w:rFonts w:cs="Arial"/>
          <w:sz w:val="20"/>
          <w:szCs w:val="22"/>
          <w:lang w:val="sl-SI"/>
        </w:rPr>
        <w:t>SoF</w:t>
      </w:r>
      <w:proofErr w:type="spellEnd"/>
      <w:r w:rsidR="006A103F" w:rsidRPr="00462D42">
        <w:rPr>
          <w:rFonts w:cs="Arial"/>
          <w:sz w:val="20"/>
          <w:szCs w:val="22"/>
          <w:lang w:val="sl-SI"/>
        </w:rPr>
        <w:t xml:space="preserve">. </w:t>
      </w:r>
      <w:r w:rsidR="00180605" w:rsidRPr="00462D42">
        <w:rPr>
          <w:rFonts w:cs="Arial"/>
          <w:sz w:val="20"/>
          <w:szCs w:val="22"/>
          <w:lang w:val="sl-SI"/>
        </w:rPr>
        <w:t xml:space="preserve">Prav tako </w:t>
      </w:r>
      <w:r w:rsidR="007249B5" w:rsidRPr="00462D42">
        <w:rPr>
          <w:rFonts w:cs="Arial"/>
          <w:sz w:val="20"/>
          <w:szCs w:val="22"/>
          <w:lang w:val="sl-SI"/>
        </w:rPr>
        <w:t xml:space="preserve">je </w:t>
      </w:r>
      <w:r w:rsidR="00180605" w:rsidRPr="00462D42">
        <w:rPr>
          <w:rFonts w:cs="Arial"/>
          <w:sz w:val="20"/>
          <w:szCs w:val="22"/>
          <w:lang w:val="sl-SI"/>
        </w:rPr>
        <w:t xml:space="preserve">v prilogi </w:t>
      </w:r>
      <w:proofErr w:type="spellStart"/>
      <w:r w:rsidR="003A74A5" w:rsidRPr="00462D42">
        <w:rPr>
          <w:rFonts w:cs="Arial"/>
          <w:sz w:val="20"/>
          <w:szCs w:val="22"/>
          <w:lang w:val="sl-SI"/>
        </w:rPr>
        <w:t>SoF</w:t>
      </w:r>
      <w:proofErr w:type="spellEnd"/>
      <w:r w:rsidR="003A74A5" w:rsidRPr="00462D42">
        <w:rPr>
          <w:rFonts w:cs="Arial"/>
          <w:sz w:val="20"/>
          <w:szCs w:val="22"/>
          <w:lang w:val="sl-SI"/>
        </w:rPr>
        <w:t xml:space="preserve"> </w:t>
      </w:r>
      <w:r w:rsidR="00180605" w:rsidRPr="00462D42">
        <w:rPr>
          <w:rFonts w:cs="Arial"/>
          <w:sz w:val="20"/>
          <w:szCs w:val="22"/>
          <w:lang w:val="sl-SI"/>
        </w:rPr>
        <w:t>opredeljena politika tveganja.</w:t>
      </w:r>
    </w:p>
    <w:p w14:paraId="66DB53F3" w14:textId="77777777" w:rsidR="0014087F" w:rsidRDefault="0014087F" w:rsidP="00462D42">
      <w:pPr>
        <w:spacing w:line="260" w:lineRule="exact"/>
        <w:jc w:val="both"/>
        <w:rPr>
          <w:rFonts w:cs="Arial"/>
          <w:sz w:val="20"/>
          <w:szCs w:val="22"/>
          <w:lang w:val="sl-SI"/>
        </w:rPr>
      </w:pPr>
    </w:p>
    <w:p w14:paraId="07308844" w14:textId="77777777" w:rsidR="0014087F" w:rsidRPr="00462D42" w:rsidRDefault="0014087F" w:rsidP="00462D42">
      <w:pPr>
        <w:spacing w:line="260" w:lineRule="exact"/>
        <w:jc w:val="both"/>
        <w:rPr>
          <w:rFonts w:cs="Arial"/>
          <w:sz w:val="20"/>
          <w:szCs w:val="22"/>
          <w:lang w:val="sl-SI"/>
        </w:rPr>
      </w:pPr>
    </w:p>
    <w:p w14:paraId="09EF41CA" w14:textId="3742D959" w:rsidR="00C0397B" w:rsidRPr="00462D42" w:rsidRDefault="00F51722" w:rsidP="00462D42">
      <w:pPr>
        <w:pStyle w:val="Naslov1"/>
        <w:numPr>
          <w:ilvl w:val="0"/>
          <w:numId w:val="25"/>
        </w:numPr>
        <w:spacing w:after="0" w:line="260" w:lineRule="exact"/>
        <w:jc w:val="both"/>
        <w:rPr>
          <w:sz w:val="20"/>
          <w:lang w:val="sl-SI"/>
        </w:rPr>
      </w:pPr>
      <w:r w:rsidRPr="00462D42">
        <w:rPr>
          <w:sz w:val="20"/>
          <w:lang w:val="sl-SI"/>
        </w:rPr>
        <w:t>FINANČNI INSTRUMENTI PO PODROČJIH</w:t>
      </w:r>
    </w:p>
    <w:p w14:paraId="3ABB9C01" w14:textId="77777777" w:rsidR="00C0397B" w:rsidRPr="00462D42" w:rsidRDefault="00C0397B" w:rsidP="00462D42">
      <w:pPr>
        <w:spacing w:line="260" w:lineRule="exact"/>
        <w:jc w:val="both"/>
        <w:rPr>
          <w:rFonts w:cs="Arial"/>
          <w:sz w:val="20"/>
          <w:szCs w:val="22"/>
          <w:lang w:val="sl-SI"/>
        </w:rPr>
      </w:pPr>
    </w:p>
    <w:p w14:paraId="4A5C9FFD" w14:textId="33B00BD8" w:rsidR="00C0397B" w:rsidRPr="00462D42" w:rsidRDefault="00C0397B" w:rsidP="00462D42">
      <w:pPr>
        <w:spacing w:line="260" w:lineRule="exact"/>
        <w:jc w:val="both"/>
        <w:rPr>
          <w:rFonts w:cs="Arial"/>
          <w:sz w:val="20"/>
          <w:szCs w:val="22"/>
          <w:lang w:val="sl-SI"/>
        </w:rPr>
      </w:pPr>
      <w:r w:rsidRPr="00462D42">
        <w:rPr>
          <w:rFonts w:cs="Arial"/>
          <w:sz w:val="20"/>
          <w:szCs w:val="22"/>
          <w:lang w:val="sl-SI"/>
        </w:rPr>
        <w:t xml:space="preserve">Kohezijska politika </w:t>
      </w:r>
      <w:r w:rsidR="00294990" w:rsidRPr="00462D42">
        <w:rPr>
          <w:rFonts w:cs="Arial"/>
          <w:sz w:val="20"/>
          <w:szCs w:val="22"/>
          <w:lang w:val="sl-SI"/>
        </w:rPr>
        <w:t>prog</w:t>
      </w:r>
      <w:r w:rsidR="001B3292" w:rsidRPr="00462D42">
        <w:rPr>
          <w:rFonts w:cs="Arial"/>
          <w:sz w:val="20"/>
          <w:szCs w:val="22"/>
          <w:lang w:val="sl-SI"/>
        </w:rPr>
        <w:t>r</w:t>
      </w:r>
      <w:r w:rsidR="00294990" w:rsidRPr="00462D42">
        <w:rPr>
          <w:rFonts w:cs="Arial"/>
          <w:sz w:val="20"/>
          <w:szCs w:val="22"/>
          <w:lang w:val="sl-SI"/>
        </w:rPr>
        <w:t>amskega obdobja</w:t>
      </w:r>
      <w:r w:rsidRPr="00462D42">
        <w:rPr>
          <w:rFonts w:cs="Arial"/>
          <w:sz w:val="20"/>
          <w:szCs w:val="22"/>
          <w:lang w:val="sl-SI"/>
        </w:rPr>
        <w:t xml:space="preserve"> 2014</w:t>
      </w:r>
      <w:r w:rsidR="00A82335" w:rsidRPr="00462D42">
        <w:rPr>
          <w:rFonts w:cs="Arial"/>
          <w:sz w:val="20"/>
          <w:szCs w:val="22"/>
          <w:lang w:val="sl-SI"/>
        </w:rPr>
        <w:t>–</w:t>
      </w:r>
      <w:r w:rsidRPr="00462D42">
        <w:rPr>
          <w:rFonts w:cs="Arial"/>
          <w:sz w:val="20"/>
          <w:szCs w:val="22"/>
          <w:lang w:val="sl-SI"/>
        </w:rPr>
        <w:t>2020 je načrtovana skladno z Odlok</w:t>
      </w:r>
      <w:r w:rsidR="00A82335" w:rsidRPr="00462D42">
        <w:rPr>
          <w:rFonts w:cs="Arial"/>
          <w:sz w:val="20"/>
          <w:szCs w:val="22"/>
          <w:lang w:val="sl-SI"/>
        </w:rPr>
        <w:t>om</w:t>
      </w:r>
      <w:r w:rsidRPr="00462D42">
        <w:rPr>
          <w:rFonts w:cs="Arial"/>
          <w:sz w:val="20"/>
          <w:szCs w:val="22"/>
          <w:lang w:val="sl-SI"/>
        </w:rPr>
        <w:t xml:space="preserve"> o izvedbenem načrtu Operativnega programa za izvajanje evropske kohezijske politike za programsko obdobje 2014–2020 (Uradni list RS, št. 50/15, 58/15, 76/15, 1/16, 35/16 in 55/16), ki določa dinamiko izvedbe na način, da bodo doseže</w:t>
      </w:r>
      <w:r w:rsidR="008B51B0" w:rsidRPr="00462D42">
        <w:rPr>
          <w:rFonts w:cs="Arial"/>
          <w:sz w:val="20"/>
          <w:szCs w:val="22"/>
          <w:lang w:val="sl-SI"/>
        </w:rPr>
        <w:t>ni cilji operativnega programa.</w:t>
      </w:r>
    </w:p>
    <w:p w14:paraId="5E728DA4" w14:textId="77777777" w:rsidR="00C0397B" w:rsidRPr="00462D42" w:rsidRDefault="00C0397B" w:rsidP="00462D42">
      <w:pPr>
        <w:spacing w:line="260" w:lineRule="exact"/>
        <w:jc w:val="both"/>
        <w:rPr>
          <w:rFonts w:cs="Arial"/>
          <w:sz w:val="20"/>
          <w:szCs w:val="22"/>
          <w:lang w:val="sl-SI"/>
        </w:rPr>
      </w:pPr>
    </w:p>
    <w:p w14:paraId="6BB0B986" w14:textId="1EF443F0" w:rsidR="00C0397B" w:rsidRPr="00462D42" w:rsidRDefault="00C0397B" w:rsidP="00462D42">
      <w:pPr>
        <w:spacing w:line="260" w:lineRule="exact"/>
        <w:jc w:val="both"/>
        <w:rPr>
          <w:rFonts w:cs="Arial"/>
          <w:sz w:val="20"/>
          <w:szCs w:val="22"/>
          <w:lang w:val="sl-SI"/>
        </w:rPr>
      </w:pPr>
      <w:r w:rsidRPr="00462D42">
        <w:rPr>
          <w:rFonts w:cs="Arial"/>
          <w:sz w:val="20"/>
          <w:szCs w:val="22"/>
          <w:lang w:val="sl-SI"/>
        </w:rPr>
        <w:t>Vlada RS je junija 2017 sprejela Izvedbeni načrt Operativnega programa za izvajanje evropske kohezijske politike za programsko obdobje 2014–2020 7.</w:t>
      </w:r>
      <w:r w:rsidR="00742A7C">
        <w:rPr>
          <w:rFonts w:cs="Arial"/>
          <w:sz w:val="20"/>
          <w:szCs w:val="22"/>
          <w:lang w:val="sl-SI"/>
        </w:rPr>
        <w:t>0 (dokument št. 303-26/2016/103</w:t>
      </w:r>
      <w:r w:rsidRPr="00462D42">
        <w:rPr>
          <w:rFonts w:cs="Arial"/>
          <w:sz w:val="20"/>
          <w:szCs w:val="22"/>
          <w:lang w:val="sl-SI"/>
        </w:rPr>
        <w:t xml:space="preserve"> z dne 14.</w:t>
      </w:r>
      <w:r w:rsidR="0014087F">
        <w:rPr>
          <w:rFonts w:cs="Arial"/>
          <w:sz w:val="20"/>
          <w:szCs w:val="22"/>
          <w:lang w:val="sl-SI"/>
        </w:rPr>
        <w:t> </w:t>
      </w:r>
      <w:r w:rsidRPr="00462D42">
        <w:rPr>
          <w:rFonts w:cs="Arial"/>
          <w:sz w:val="20"/>
          <w:szCs w:val="22"/>
          <w:lang w:val="sl-SI"/>
        </w:rPr>
        <w:t>6.</w:t>
      </w:r>
      <w:r w:rsidR="0014087F">
        <w:rPr>
          <w:rFonts w:cs="Arial"/>
          <w:sz w:val="20"/>
          <w:szCs w:val="22"/>
          <w:lang w:val="sl-SI"/>
        </w:rPr>
        <w:t> </w:t>
      </w:r>
      <w:r w:rsidRPr="00462D42">
        <w:rPr>
          <w:rFonts w:cs="Arial"/>
          <w:sz w:val="20"/>
          <w:szCs w:val="22"/>
          <w:lang w:val="sl-SI"/>
        </w:rPr>
        <w:t>2017), ki načrtuje v</w:t>
      </w:r>
      <w:r w:rsidR="00294990" w:rsidRPr="00462D42">
        <w:rPr>
          <w:rFonts w:cs="Arial"/>
          <w:sz w:val="20"/>
          <w:szCs w:val="22"/>
          <w:lang w:val="sl-SI"/>
        </w:rPr>
        <w:t>p</w:t>
      </w:r>
      <w:r w:rsidRPr="00462D42">
        <w:rPr>
          <w:rFonts w:cs="Arial"/>
          <w:sz w:val="20"/>
          <w:szCs w:val="22"/>
          <w:lang w:val="sl-SI"/>
        </w:rPr>
        <w:t>lačila sredstev v sklad skladov prek štirih enakih tranš. V letu 2017 je</w:t>
      </w:r>
      <w:r w:rsidR="00CF43EA" w:rsidRPr="00462D42">
        <w:rPr>
          <w:rFonts w:cs="Arial"/>
          <w:sz w:val="20"/>
          <w:szCs w:val="22"/>
          <w:lang w:val="sl-SI"/>
        </w:rPr>
        <w:t xml:space="preserve"> bilo</w:t>
      </w:r>
      <w:r w:rsidRPr="00462D42">
        <w:rPr>
          <w:rFonts w:cs="Arial"/>
          <w:sz w:val="20"/>
          <w:szCs w:val="22"/>
          <w:lang w:val="sl-SI"/>
        </w:rPr>
        <w:t xml:space="preserve"> </w:t>
      </w:r>
      <w:r w:rsidR="00CF43EA" w:rsidRPr="00462D42">
        <w:rPr>
          <w:rFonts w:cs="Arial"/>
          <w:sz w:val="20"/>
          <w:szCs w:val="22"/>
          <w:lang w:val="sl-SI"/>
        </w:rPr>
        <w:t xml:space="preserve">izvedeno </w:t>
      </w:r>
      <w:r w:rsidRPr="00462D42">
        <w:rPr>
          <w:rFonts w:cs="Arial"/>
          <w:sz w:val="20"/>
          <w:szCs w:val="22"/>
          <w:lang w:val="sl-SI"/>
        </w:rPr>
        <w:t>izplačilo prve tranše v višini 63</w:t>
      </w:r>
      <w:r w:rsidR="00F51722" w:rsidRPr="00462D42">
        <w:rPr>
          <w:rFonts w:cs="Arial"/>
          <w:sz w:val="20"/>
          <w:szCs w:val="22"/>
          <w:lang w:val="sl-SI"/>
        </w:rPr>
        <w:t>,</w:t>
      </w:r>
      <w:r w:rsidRPr="00462D42">
        <w:rPr>
          <w:rFonts w:cs="Arial"/>
          <w:sz w:val="20"/>
          <w:szCs w:val="22"/>
          <w:lang w:val="sl-SI"/>
        </w:rPr>
        <w:t xml:space="preserve">25 </w:t>
      </w:r>
      <w:r w:rsidR="00F51722" w:rsidRPr="00462D42">
        <w:rPr>
          <w:rFonts w:cs="Arial"/>
          <w:sz w:val="20"/>
          <w:szCs w:val="22"/>
          <w:lang w:val="sl-SI"/>
        </w:rPr>
        <w:t xml:space="preserve">milijona </w:t>
      </w:r>
      <w:r w:rsidR="005743CB" w:rsidRPr="00462D42">
        <w:rPr>
          <w:rFonts w:cs="Arial"/>
          <w:sz w:val="20"/>
          <w:szCs w:val="22"/>
          <w:lang w:val="sl-SI"/>
        </w:rPr>
        <w:t>evrov</w:t>
      </w:r>
      <w:r w:rsidR="00CF43EA" w:rsidRPr="00462D42">
        <w:rPr>
          <w:rFonts w:cs="Arial"/>
          <w:sz w:val="20"/>
          <w:szCs w:val="22"/>
          <w:lang w:val="sl-SI"/>
        </w:rPr>
        <w:t>. V</w:t>
      </w:r>
      <w:r w:rsidRPr="00462D42">
        <w:rPr>
          <w:rFonts w:cs="Arial"/>
          <w:sz w:val="20"/>
          <w:szCs w:val="22"/>
          <w:lang w:val="sl-SI"/>
        </w:rPr>
        <w:t xml:space="preserve"> letu 2019 </w:t>
      </w:r>
      <w:r w:rsidR="00CF43EA" w:rsidRPr="00462D42">
        <w:rPr>
          <w:rFonts w:cs="Arial"/>
          <w:sz w:val="20"/>
          <w:szCs w:val="22"/>
          <w:lang w:val="sl-SI"/>
        </w:rPr>
        <w:t xml:space="preserve">je načrtovano </w:t>
      </w:r>
      <w:r w:rsidRPr="00462D42">
        <w:rPr>
          <w:rFonts w:cs="Arial"/>
          <w:sz w:val="20"/>
          <w:szCs w:val="22"/>
          <w:lang w:val="sl-SI"/>
        </w:rPr>
        <w:t xml:space="preserve">izplačilo druge tranše v višini </w:t>
      </w:r>
      <w:r w:rsidR="00210671" w:rsidRPr="00462D42">
        <w:rPr>
          <w:rFonts w:cs="Arial"/>
          <w:sz w:val="20"/>
          <w:szCs w:val="22"/>
          <w:lang w:val="sl-SI"/>
        </w:rPr>
        <w:t>63,25 milijona evrov</w:t>
      </w:r>
      <w:r w:rsidRPr="00462D42">
        <w:rPr>
          <w:rFonts w:cs="Arial"/>
          <w:sz w:val="20"/>
          <w:szCs w:val="22"/>
          <w:lang w:val="sl-SI"/>
        </w:rPr>
        <w:t>.</w:t>
      </w:r>
      <w:r w:rsidR="00697894" w:rsidRPr="00462D42">
        <w:rPr>
          <w:rFonts w:cs="Arial"/>
          <w:sz w:val="20"/>
          <w:szCs w:val="22"/>
          <w:lang w:val="sl-SI"/>
        </w:rPr>
        <w:t xml:space="preserve"> </w:t>
      </w:r>
      <w:r w:rsidR="00210671" w:rsidRPr="00462D42">
        <w:rPr>
          <w:rFonts w:cs="Arial"/>
          <w:sz w:val="20"/>
          <w:szCs w:val="22"/>
          <w:lang w:val="sl-SI"/>
        </w:rPr>
        <w:t>Iz</w:t>
      </w:r>
      <w:r w:rsidR="00697894" w:rsidRPr="00462D42">
        <w:rPr>
          <w:rFonts w:cs="Arial"/>
          <w:sz w:val="20"/>
          <w:szCs w:val="22"/>
          <w:lang w:val="sl-SI"/>
        </w:rPr>
        <w:t>plačilo tretje tranše je predvideno v letu 2021 v višini 63,25 milijona evrov.</w:t>
      </w:r>
    </w:p>
    <w:p w14:paraId="75D67A7A" w14:textId="77777777" w:rsidR="00233ED5" w:rsidRPr="00462D42" w:rsidRDefault="00233ED5" w:rsidP="00462D42">
      <w:pPr>
        <w:spacing w:line="260" w:lineRule="exact"/>
        <w:jc w:val="both"/>
        <w:rPr>
          <w:rFonts w:cs="Arial"/>
          <w:sz w:val="20"/>
          <w:szCs w:val="22"/>
          <w:lang w:val="sl-SI"/>
        </w:rPr>
      </w:pPr>
    </w:p>
    <w:p w14:paraId="510D7D2A" w14:textId="4B7521A2" w:rsidR="00D471B8" w:rsidRPr="00462D42" w:rsidRDefault="00D471B8" w:rsidP="00462D42">
      <w:pPr>
        <w:spacing w:line="260" w:lineRule="exact"/>
        <w:jc w:val="both"/>
        <w:rPr>
          <w:rFonts w:cs="Arial"/>
          <w:sz w:val="20"/>
          <w:szCs w:val="22"/>
          <w:lang w:val="sl-SI"/>
        </w:rPr>
      </w:pPr>
      <w:r w:rsidRPr="00462D42">
        <w:rPr>
          <w:rFonts w:cs="Arial"/>
          <w:sz w:val="20"/>
          <w:szCs w:val="22"/>
          <w:lang w:val="sl-SI"/>
        </w:rPr>
        <w:t xml:space="preserve">V skladu s 70. členom Zakona o izvrševanju proračunov RS za leti 2018 in 2019 (Uradni list RS, </w:t>
      </w:r>
      <w:r w:rsidR="0014087F">
        <w:rPr>
          <w:rFonts w:cs="Arial"/>
          <w:sz w:val="20"/>
          <w:szCs w:val="22"/>
          <w:lang w:val="sl-SI"/>
        </w:rPr>
        <w:br/>
      </w:r>
      <w:r w:rsidRPr="00462D42">
        <w:rPr>
          <w:rFonts w:cs="Arial"/>
          <w:sz w:val="20"/>
          <w:szCs w:val="22"/>
          <w:lang w:val="sl-SI"/>
        </w:rPr>
        <w:t>št. 71/17, 13/18 – ZJF-H, 83/18 in 19/19) se prejeta sredstva EU za izvajanje finančnih instrumentov ne izkazujejo kot prihodek proračuna, temveč se do zaključka izvedbe posameznega finančnega instrumenta izkazujejo samo v bilanci stanja.</w:t>
      </w:r>
    </w:p>
    <w:p w14:paraId="75CA2790" w14:textId="77777777" w:rsidR="00C0397B" w:rsidRPr="00462D42" w:rsidRDefault="00C0397B" w:rsidP="00462D42">
      <w:pPr>
        <w:spacing w:line="260" w:lineRule="exact"/>
        <w:jc w:val="both"/>
        <w:rPr>
          <w:rFonts w:cs="Arial"/>
          <w:sz w:val="20"/>
          <w:szCs w:val="22"/>
          <w:lang w:val="sl-SI"/>
        </w:rPr>
      </w:pPr>
    </w:p>
    <w:p w14:paraId="675CB014" w14:textId="6BE85D43" w:rsidR="00C0397B" w:rsidRPr="00462D42" w:rsidRDefault="00C0397B" w:rsidP="00462D42">
      <w:pPr>
        <w:spacing w:line="260" w:lineRule="exact"/>
        <w:jc w:val="both"/>
        <w:rPr>
          <w:rFonts w:cs="Arial"/>
          <w:sz w:val="20"/>
          <w:szCs w:val="22"/>
          <w:lang w:val="sl-SI"/>
        </w:rPr>
      </w:pPr>
      <w:r w:rsidRPr="00462D42">
        <w:rPr>
          <w:rFonts w:cs="Arial"/>
          <w:sz w:val="20"/>
          <w:szCs w:val="22"/>
          <w:lang w:val="sl-SI"/>
        </w:rPr>
        <w:t xml:space="preserve">Skladno s pripravljeno Predhodno oceno </w:t>
      </w:r>
      <w:r w:rsidR="00E4060E" w:rsidRPr="00462D42">
        <w:rPr>
          <w:rFonts w:cs="Arial"/>
          <w:sz w:val="20"/>
          <w:szCs w:val="22"/>
          <w:lang w:val="sl-SI"/>
        </w:rPr>
        <w:t>FI</w:t>
      </w:r>
      <w:r w:rsidRPr="00462D42">
        <w:rPr>
          <w:rFonts w:cs="Arial"/>
          <w:sz w:val="20"/>
          <w:szCs w:val="22"/>
          <w:lang w:val="sl-SI"/>
        </w:rPr>
        <w:t xml:space="preserve"> v Sloveniji se bodo FI </w:t>
      </w:r>
      <w:r w:rsidR="00F51722" w:rsidRPr="00462D42">
        <w:rPr>
          <w:rFonts w:cs="Arial"/>
          <w:sz w:val="20"/>
          <w:szCs w:val="22"/>
          <w:lang w:val="sl-SI"/>
        </w:rPr>
        <w:t>i</w:t>
      </w:r>
      <w:r w:rsidRPr="00462D42">
        <w:rPr>
          <w:rFonts w:cs="Arial"/>
          <w:sz w:val="20"/>
          <w:szCs w:val="22"/>
          <w:lang w:val="sl-SI"/>
        </w:rPr>
        <w:t>zvajali na štiri</w:t>
      </w:r>
      <w:r w:rsidR="00054409" w:rsidRPr="00462D42">
        <w:rPr>
          <w:rFonts w:cs="Arial"/>
          <w:sz w:val="20"/>
          <w:szCs w:val="22"/>
          <w:lang w:val="sl-SI"/>
        </w:rPr>
        <w:t>h področjih oziroma prednostnih</w:t>
      </w:r>
      <w:r w:rsidRPr="00462D42">
        <w:rPr>
          <w:rFonts w:cs="Arial"/>
          <w:sz w:val="20"/>
          <w:szCs w:val="22"/>
          <w:lang w:val="sl-SI"/>
        </w:rPr>
        <w:t xml:space="preserve"> naložbah </w:t>
      </w:r>
      <w:r w:rsidR="00054409" w:rsidRPr="00462D42">
        <w:rPr>
          <w:rFonts w:cs="Arial"/>
          <w:sz w:val="20"/>
          <w:szCs w:val="22"/>
          <w:lang w:val="sl-SI"/>
        </w:rPr>
        <w:t xml:space="preserve">operativnega </w:t>
      </w:r>
      <w:r w:rsidRPr="00462D42">
        <w:rPr>
          <w:rFonts w:cs="Arial"/>
          <w:sz w:val="20"/>
          <w:szCs w:val="22"/>
          <w:lang w:val="sl-SI"/>
        </w:rPr>
        <w:t>programa, in sicer:</w:t>
      </w:r>
    </w:p>
    <w:p w14:paraId="69DBD757" w14:textId="6A451A2D" w:rsidR="00C0397B" w:rsidRPr="0014087F" w:rsidRDefault="0014087F" w:rsidP="0014087F">
      <w:pPr>
        <w:spacing w:line="260" w:lineRule="exact"/>
        <w:ind w:left="709" w:hanging="709"/>
        <w:jc w:val="both"/>
        <w:rPr>
          <w:rFonts w:cs="Arial"/>
          <w:sz w:val="20"/>
          <w:lang w:val="sl-SI"/>
        </w:rPr>
      </w:pPr>
      <w:r>
        <w:rPr>
          <w:rFonts w:cs="Arial"/>
          <w:sz w:val="20"/>
          <w:lang w:val="sl-SI"/>
        </w:rPr>
        <w:t>–</w:t>
      </w:r>
      <w:r>
        <w:rPr>
          <w:rFonts w:cs="Arial"/>
          <w:sz w:val="20"/>
          <w:lang w:val="sl-SI"/>
        </w:rPr>
        <w:tab/>
      </w:r>
      <w:r w:rsidR="00E4060E" w:rsidRPr="0014087F">
        <w:rPr>
          <w:rFonts w:cs="Arial"/>
          <w:sz w:val="20"/>
          <w:lang w:val="sl-SI"/>
        </w:rPr>
        <w:t>RRI</w:t>
      </w:r>
      <w:r w:rsidR="00C0397B" w:rsidRPr="0014087F">
        <w:rPr>
          <w:rFonts w:cs="Arial"/>
          <w:sz w:val="20"/>
          <w:lang w:val="sl-SI"/>
        </w:rPr>
        <w:t>,</w:t>
      </w:r>
    </w:p>
    <w:p w14:paraId="31E109E9" w14:textId="3A74ED47" w:rsidR="00C0397B" w:rsidRPr="0014087F" w:rsidRDefault="0014087F" w:rsidP="0014087F">
      <w:pPr>
        <w:spacing w:line="260" w:lineRule="exact"/>
        <w:ind w:left="709" w:hanging="709"/>
        <w:jc w:val="both"/>
        <w:rPr>
          <w:rFonts w:cs="Arial"/>
          <w:sz w:val="20"/>
          <w:lang w:val="sl-SI"/>
        </w:rPr>
      </w:pPr>
      <w:r>
        <w:rPr>
          <w:rFonts w:cs="Arial"/>
          <w:sz w:val="20"/>
          <w:lang w:val="sl-SI"/>
        </w:rPr>
        <w:t>–</w:t>
      </w:r>
      <w:r>
        <w:rPr>
          <w:rFonts w:cs="Arial"/>
          <w:sz w:val="20"/>
          <w:lang w:val="sl-SI"/>
        </w:rPr>
        <w:tab/>
      </w:r>
      <w:r w:rsidR="00E4060E" w:rsidRPr="0014087F">
        <w:rPr>
          <w:rFonts w:cs="Arial"/>
          <w:sz w:val="20"/>
          <w:lang w:val="sl-SI"/>
        </w:rPr>
        <w:t>MSP</w:t>
      </w:r>
      <w:r w:rsidR="00C0397B" w:rsidRPr="0014087F">
        <w:rPr>
          <w:rFonts w:cs="Arial"/>
          <w:sz w:val="20"/>
          <w:lang w:val="sl-SI"/>
        </w:rPr>
        <w:t>,</w:t>
      </w:r>
    </w:p>
    <w:p w14:paraId="2145F94D" w14:textId="0B867AB3" w:rsidR="00C0397B" w:rsidRPr="0014087F" w:rsidRDefault="0014087F" w:rsidP="0014087F">
      <w:pPr>
        <w:spacing w:line="260" w:lineRule="exact"/>
        <w:ind w:left="709" w:hanging="709"/>
        <w:jc w:val="both"/>
        <w:rPr>
          <w:rFonts w:cs="Arial"/>
          <w:sz w:val="20"/>
          <w:lang w:val="sl-SI"/>
        </w:rPr>
      </w:pPr>
      <w:r>
        <w:rPr>
          <w:rFonts w:cs="Arial"/>
          <w:sz w:val="20"/>
          <w:lang w:val="sl-SI"/>
        </w:rPr>
        <w:t>–</w:t>
      </w:r>
      <w:r>
        <w:rPr>
          <w:rFonts w:cs="Arial"/>
          <w:sz w:val="20"/>
          <w:lang w:val="sl-SI"/>
        </w:rPr>
        <w:tab/>
      </w:r>
      <w:r w:rsidR="00C0397B" w:rsidRPr="0014087F">
        <w:rPr>
          <w:rFonts w:cs="Arial"/>
          <w:sz w:val="20"/>
          <w:lang w:val="sl-SI"/>
        </w:rPr>
        <w:t>energetska učinkovitost,</w:t>
      </w:r>
    </w:p>
    <w:p w14:paraId="1479C7A8" w14:textId="5D5EFA5F" w:rsidR="00C0397B" w:rsidRPr="0014087F" w:rsidRDefault="0014087F" w:rsidP="0014087F">
      <w:pPr>
        <w:spacing w:line="260" w:lineRule="exact"/>
        <w:ind w:left="709" w:hanging="709"/>
        <w:jc w:val="both"/>
        <w:rPr>
          <w:rFonts w:cs="Arial"/>
          <w:sz w:val="20"/>
          <w:lang w:val="sl-SI"/>
        </w:rPr>
      </w:pPr>
      <w:r>
        <w:rPr>
          <w:rFonts w:cs="Arial"/>
          <w:sz w:val="20"/>
          <w:lang w:val="sl-SI"/>
        </w:rPr>
        <w:t>–</w:t>
      </w:r>
      <w:r>
        <w:rPr>
          <w:rFonts w:cs="Arial"/>
          <w:sz w:val="20"/>
          <w:lang w:val="sl-SI"/>
        </w:rPr>
        <w:tab/>
      </w:r>
      <w:r w:rsidR="00C0397B" w:rsidRPr="0014087F">
        <w:rPr>
          <w:rFonts w:cs="Arial"/>
          <w:sz w:val="20"/>
          <w:lang w:val="sl-SI"/>
        </w:rPr>
        <w:t>urbani razvoj.</w:t>
      </w:r>
    </w:p>
    <w:p w14:paraId="502C4B84" w14:textId="77777777" w:rsidR="007E4940" w:rsidRPr="00462D42" w:rsidRDefault="007E4940" w:rsidP="00462D42">
      <w:pPr>
        <w:spacing w:line="260" w:lineRule="exact"/>
        <w:jc w:val="both"/>
        <w:rPr>
          <w:rFonts w:cs="Arial"/>
          <w:sz w:val="20"/>
          <w:szCs w:val="22"/>
          <w:lang w:val="sl-SI"/>
        </w:rPr>
      </w:pPr>
    </w:p>
    <w:p w14:paraId="0CC49F3A" w14:textId="2B411C00" w:rsidR="00C0397B" w:rsidRPr="00462D42" w:rsidRDefault="00C0397B" w:rsidP="00462D42">
      <w:pPr>
        <w:spacing w:line="260" w:lineRule="exact"/>
        <w:jc w:val="both"/>
        <w:rPr>
          <w:rFonts w:cs="Arial"/>
          <w:sz w:val="20"/>
          <w:szCs w:val="22"/>
          <w:lang w:val="sl-SI"/>
        </w:rPr>
      </w:pPr>
      <w:r w:rsidRPr="00462D42">
        <w:rPr>
          <w:rFonts w:cs="Arial"/>
          <w:sz w:val="20"/>
          <w:szCs w:val="22"/>
          <w:lang w:val="sl-SI"/>
        </w:rPr>
        <w:t>Glede na programsko klasifikacijo Proračuna RS lahko finančne instrumente</w:t>
      </w:r>
      <w:r w:rsidR="000F52A7" w:rsidRPr="00462D42">
        <w:rPr>
          <w:rFonts w:cs="Arial"/>
          <w:sz w:val="20"/>
          <w:szCs w:val="22"/>
          <w:lang w:val="sl-SI"/>
        </w:rPr>
        <w:t xml:space="preserve"> </w:t>
      </w:r>
      <w:r w:rsidR="000F52A7" w:rsidRPr="00462D42">
        <w:rPr>
          <w:rFonts w:cs="Arial"/>
          <w:b/>
          <w:sz w:val="20"/>
          <w:szCs w:val="22"/>
          <w:lang w:val="sl-SI"/>
        </w:rPr>
        <w:t>vsebinsko</w:t>
      </w:r>
      <w:r w:rsidRPr="00462D42">
        <w:rPr>
          <w:rFonts w:cs="Arial"/>
          <w:sz w:val="20"/>
          <w:szCs w:val="22"/>
          <w:lang w:val="sl-SI"/>
        </w:rPr>
        <w:t xml:space="preserve"> umestimo v naslednja področja, politike, </w:t>
      </w:r>
      <w:r w:rsidR="00665ACF" w:rsidRPr="00462D42">
        <w:rPr>
          <w:rFonts w:cs="Arial"/>
          <w:sz w:val="20"/>
          <w:szCs w:val="22"/>
          <w:lang w:val="sl-SI"/>
        </w:rPr>
        <w:t>glavne programe in podprograme.</w:t>
      </w:r>
    </w:p>
    <w:p w14:paraId="7BDBFECB" w14:textId="77777777" w:rsidR="00665ACF" w:rsidRPr="00462D42" w:rsidRDefault="00665ACF" w:rsidP="00462D42">
      <w:pPr>
        <w:spacing w:line="260" w:lineRule="exact"/>
        <w:jc w:val="both"/>
        <w:rPr>
          <w:rFonts w:cs="Arial"/>
          <w:sz w:val="20"/>
          <w:szCs w:val="22"/>
          <w:lang w:val="sl-SI"/>
        </w:rPr>
      </w:pPr>
    </w:p>
    <w:tbl>
      <w:tblPr>
        <w:tblStyle w:val="Tabelamrea"/>
        <w:tblW w:w="9240" w:type="dxa"/>
        <w:tblLook w:val="04A0" w:firstRow="1" w:lastRow="0" w:firstColumn="1" w:lastColumn="0" w:noHBand="0" w:noVBand="1"/>
      </w:tblPr>
      <w:tblGrid>
        <w:gridCol w:w="2449"/>
        <w:gridCol w:w="2263"/>
        <w:gridCol w:w="2264"/>
        <w:gridCol w:w="2264"/>
      </w:tblGrid>
      <w:tr w:rsidR="00C0397B" w:rsidRPr="00CC15EE" w14:paraId="11612ABC" w14:textId="77777777" w:rsidTr="00CC15EE">
        <w:tc>
          <w:tcPr>
            <w:tcW w:w="2449" w:type="dxa"/>
            <w:vAlign w:val="center"/>
          </w:tcPr>
          <w:p w14:paraId="6E1D393A" w14:textId="1CD51697" w:rsidR="00C0397B" w:rsidRPr="00CC15EE" w:rsidRDefault="00C0397B" w:rsidP="00CC15EE">
            <w:pPr>
              <w:jc w:val="center"/>
              <w:rPr>
                <w:rFonts w:cs="Arial"/>
                <w:b/>
                <w:sz w:val="20"/>
                <w:szCs w:val="20"/>
                <w:lang w:val="sl-SI"/>
              </w:rPr>
            </w:pPr>
            <w:r w:rsidRPr="00CC15EE">
              <w:rPr>
                <w:rFonts w:cs="Arial"/>
                <w:b/>
                <w:sz w:val="20"/>
                <w:szCs w:val="20"/>
                <w:lang w:val="sl-SI"/>
              </w:rPr>
              <w:t xml:space="preserve">Področje naložbe </w:t>
            </w:r>
            <w:r w:rsidR="00CC15EE" w:rsidRPr="00CC15EE">
              <w:rPr>
                <w:rFonts w:cs="Arial"/>
                <w:b/>
                <w:sz w:val="20"/>
                <w:szCs w:val="20"/>
                <w:lang w:val="sl-SI"/>
              </w:rPr>
              <w:t>p</w:t>
            </w:r>
            <w:r w:rsidRPr="00CC15EE">
              <w:rPr>
                <w:rFonts w:cs="Arial"/>
                <w:b/>
                <w:sz w:val="20"/>
                <w:szCs w:val="20"/>
                <w:lang w:val="sl-SI"/>
              </w:rPr>
              <w:t>rograma</w:t>
            </w:r>
          </w:p>
        </w:tc>
        <w:tc>
          <w:tcPr>
            <w:tcW w:w="2263" w:type="dxa"/>
            <w:vAlign w:val="center"/>
          </w:tcPr>
          <w:p w14:paraId="72295902" w14:textId="77777777" w:rsidR="00C0397B" w:rsidRPr="00CC15EE" w:rsidRDefault="00C0397B" w:rsidP="00CC15EE">
            <w:pPr>
              <w:jc w:val="center"/>
              <w:rPr>
                <w:rFonts w:cs="Arial"/>
                <w:b/>
                <w:sz w:val="20"/>
                <w:szCs w:val="20"/>
                <w:lang w:val="sl-SI"/>
              </w:rPr>
            </w:pPr>
            <w:r w:rsidRPr="00CC15EE">
              <w:rPr>
                <w:rFonts w:cs="Arial"/>
                <w:b/>
                <w:sz w:val="20"/>
                <w:szCs w:val="20"/>
                <w:lang w:val="sl-SI"/>
              </w:rPr>
              <w:t>Politika</w:t>
            </w:r>
          </w:p>
        </w:tc>
        <w:tc>
          <w:tcPr>
            <w:tcW w:w="2264" w:type="dxa"/>
            <w:vAlign w:val="center"/>
          </w:tcPr>
          <w:p w14:paraId="37489425" w14:textId="77777777" w:rsidR="00C0397B" w:rsidRPr="00CC15EE" w:rsidRDefault="00C0397B" w:rsidP="00CC15EE">
            <w:pPr>
              <w:jc w:val="center"/>
              <w:rPr>
                <w:rFonts w:cs="Arial"/>
                <w:b/>
                <w:sz w:val="20"/>
                <w:szCs w:val="20"/>
                <w:lang w:val="sl-SI"/>
              </w:rPr>
            </w:pPr>
            <w:r w:rsidRPr="00CC15EE">
              <w:rPr>
                <w:rFonts w:cs="Arial"/>
                <w:b/>
                <w:sz w:val="20"/>
                <w:szCs w:val="20"/>
                <w:lang w:val="sl-SI"/>
              </w:rPr>
              <w:t>Glavni program</w:t>
            </w:r>
          </w:p>
        </w:tc>
        <w:tc>
          <w:tcPr>
            <w:tcW w:w="2264" w:type="dxa"/>
            <w:vAlign w:val="center"/>
          </w:tcPr>
          <w:p w14:paraId="76681100" w14:textId="77777777" w:rsidR="00C0397B" w:rsidRPr="00CC15EE" w:rsidRDefault="00C0397B" w:rsidP="00CC15EE">
            <w:pPr>
              <w:jc w:val="center"/>
              <w:rPr>
                <w:rFonts w:cs="Arial"/>
                <w:b/>
                <w:sz w:val="20"/>
                <w:szCs w:val="20"/>
                <w:lang w:val="sl-SI"/>
              </w:rPr>
            </w:pPr>
            <w:r w:rsidRPr="00CC15EE">
              <w:rPr>
                <w:rFonts w:cs="Arial"/>
                <w:b/>
                <w:sz w:val="20"/>
                <w:szCs w:val="20"/>
                <w:lang w:val="sl-SI"/>
              </w:rPr>
              <w:t>Podprogram</w:t>
            </w:r>
          </w:p>
        </w:tc>
      </w:tr>
      <w:tr w:rsidR="00C0397B" w:rsidRPr="00CC15EE" w14:paraId="76F00CF8" w14:textId="77777777" w:rsidTr="00CC15EE">
        <w:tc>
          <w:tcPr>
            <w:tcW w:w="2449" w:type="dxa"/>
            <w:vAlign w:val="center"/>
          </w:tcPr>
          <w:p w14:paraId="57B119FB" w14:textId="77777777" w:rsidR="00C0397B" w:rsidRPr="00CC15EE" w:rsidRDefault="00C0397B" w:rsidP="00CC15EE">
            <w:pPr>
              <w:rPr>
                <w:rFonts w:cs="Arial"/>
                <w:sz w:val="20"/>
                <w:szCs w:val="20"/>
                <w:lang w:val="sl-SI"/>
              </w:rPr>
            </w:pPr>
            <w:r w:rsidRPr="00CC15EE">
              <w:rPr>
                <w:rFonts w:cs="Arial"/>
                <w:sz w:val="20"/>
                <w:szCs w:val="20"/>
                <w:lang w:val="sl-SI"/>
              </w:rPr>
              <w:t>Raziskave, razvoj in inovacije</w:t>
            </w:r>
          </w:p>
        </w:tc>
        <w:tc>
          <w:tcPr>
            <w:tcW w:w="2263" w:type="dxa"/>
            <w:vAlign w:val="center"/>
          </w:tcPr>
          <w:p w14:paraId="403E880D" w14:textId="0A2E46B4" w:rsidR="00C0397B" w:rsidRPr="00CC15EE" w:rsidRDefault="00C0397B" w:rsidP="00CC15EE">
            <w:pPr>
              <w:rPr>
                <w:rFonts w:cs="Arial"/>
                <w:sz w:val="20"/>
                <w:szCs w:val="20"/>
                <w:lang w:val="sl-SI"/>
              </w:rPr>
            </w:pPr>
            <w:r w:rsidRPr="00CC15EE">
              <w:rPr>
                <w:rFonts w:cs="Arial"/>
                <w:sz w:val="20"/>
                <w:szCs w:val="20"/>
                <w:lang w:val="sl-SI"/>
              </w:rPr>
              <w:t>5 - Znanost in informacij</w:t>
            </w:r>
            <w:r w:rsidR="00266C05">
              <w:rPr>
                <w:rFonts w:cs="Arial"/>
                <w:sz w:val="20"/>
                <w:szCs w:val="20"/>
                <w:lang w:val="sl-SI"/>
              </w:rPr>
              <w:t>sk</w:t>
            </w:r>
            <w:r w:rsidRPr="00CC15EE">
              <w:rPr>
                <w:rFonts w:cs="Arial"/>
                <w:sz w:val="20"/>
                <w:szCs w:val="20"/>
                <w:lang w:val="sl-SI"/>
              </w:rPr>
              <w:t>a družba</w:t>
            </w:r>
          </w:p>
        </w:tc>
        <w:tc>
          <w:tcPr>
            <w:tcW w:w="2264" w:type="dxa"/>
            <w:vAlign w:val="center"/>
          </w:tcPr>
          <w:p w14:paraId="39F63AB5" w14:textId="77777777" w:rsidR="00C0397B" w:rsidRPr="00CC15EE" w:rsidRDefault="00C0397B" w:rsidP="00CC15EE">
            <w:pPr>
              <w:rPr>
                <w:rFonts w:cs="Arial"/>
                <w:sz w:val="20"/>
                <w:szCs w:val="20"/>
                <w:lang w:val="sl-SI"/>
              </w:rPr>
            </w:pPr>
            <w:r w:rsidRPr="00CC15EE">
              <w:rPr>
                <w:rFonts w:cs="Arial"/>
                <w:sz w:val="20"/>
                <w:szCs w:val="20"/>
                <w:lang w:val="sl-SI"/>
              </w:rPr>
              <w:t>502 - Znanstveno raziskovalna dejavnost</w:t>
            </w:r>
          </w:p>
        </w:tc>
        <w:tc>
          <w:tcPr>
            <w:tcW w:w="2264" w:type="dxa"/>
            <w:vAlign w:val="center"/>
          </w:tcPr>
          <w:p w14:paraId="3636FF61" w14:textId="77777777" w:rsidR="00C0397B" w:rsidRPr="00CC15EE" w:rsidRDefault="00C0397B" w:rsidP="00CC15EE">
            <w:pPr>
              <w:rPr>
                <w:rFonts w:cs="Arial"/>
                <w:sz w:val="20"/>
                <w:szCs w:val="20"/>
                <w:lang w:val="sl-SI"/>
              </w:rPr>
            </w:pPr>
            <w:r w:rsidRPr="00CC15EE">
              <w:rPr>
                <w:rFonts w:cs="Arial"/>
                <w:sz w:val="20"/>
                <w:szCs w:val="20"/>
                <w:lang w:val="sl-SI"/>
              </w:rPr>
              <w:t>50201 - Raziskovalni programi in projekti</w:t>
            </w:r>
          </w:p>
        </w:tc>
      </w:tr>
      <w:tr w:rsidR="00C0397B" w:rsidRPr="00CC15EE" w14:paraId="20E1573E" w14:textId="77777777" w:rsidTr="00CC15EE">
        <w:tc>
          <w:tcPr>
            <w:tcW w:w="2449" w:type="dxa"/>
            <w:vAlign w:val="center"/>
          </w:tcPr>
          <w:p w14:paraId="722E7309" w14:textId="77777777" w:rsidR="00C0397B" w:rsidRPr="00CC15EE" w:rsidRDefault="00C0397B" w:rsidP="00CC15EE">
            <w:pPr>
              <w:rPr>
                <w:rFonts w:cs="Arial"/>
                <w:sz w:val="20"/>
                <w:szCs w:val="20"/>
                <w:lang w:val="sl-SI"/>
              </w:rPr>
            </w:pPr>
            <w:r w:rsidRPr="00CC15EE">
              <w:rPr>
                <w:rFonts w:cs="Arial"/>
                <w:sz w:val="20"/>
                <w:szCs w:val="20"/>
                <w:lang w:val="sl-SI"/>
              </w:rPr>
              <w:t xml:space="preserve">Mala in srednje velika </w:t>
            </w:r>
            <w:r w:rsidRPr="00CC15EE">
              <w:rPr>
                <w:rFonts w:cs="Arial"/>
                <w:sz w:val="20"/>
                <w:szCs w:val="20"/>
                <w:lang w:val="sl-SI"/>
              </w:rPr>
              <w:lastRenderedPageBreak/>
              <w:t>podjetja</w:t>
            </w:r>
          </w:p>
        </w:tc>
        <w:tc>
          <w:tcPr>
            <w:tcW w:w="2263" w:type="dxa"/>
            <w:vAlign w:val="center"/>
          </w:tcPr>
          <w:p w14:paraId="7B0024AA" w14:textId="77777777" w:rsidR="00C0397B" w:rsidRPr="00CC15EE" w:rsidRDefault="00C0397B" w:rsidP="00CC15EE">
            <w:pPr>
              <w:rPr>
                <w:rFonts w:cs="Arial"/>
                <w:sz w:val="20"/>
                <w:szCs w:val="20"/>
                <w:lang w:val="sl-SI"/>
              </w:rPr>
            </w:pPr>
            <w:r w:rsidRPr="00CC15EE">
              <w:rPr>
                <w:rFonts w:cs="Arial"/>
                <w:sz w:val="20"/>
                <w:szCs w:val="20"/>
                <w:lang w:val="sl-SI"/>
              </w:rPr>
              <w:lastRenderedPageBreak/>
              <w:t xml:space="preserve">14 - Podjetništvo in </w:t>
            </w:r>
            <w:r w:rsidRPr="00CC15EE">
              <w:rPr>
                <w:rFonts w:cs="Arial"/>
                <w:sz w:val="20"/>
                <w:szCs w:val="20"/>
                <w:lang w:val="sl-SI"/>
              </w:rPr>
              <w:lastRenderedPageBreak/>
              <w:t>konkurenčnost</w:t>
            </w:r>
          </w:p>
        </w:tc>
        <w:tc>
          <w:tcPr>
            <w:tcW w:w="2264" w:type="dxa"/>
            <w:vAlign w:val="center"/>
          </w:tcPr>
          <w:p w14:paraId="4F8B8C76" w14:textId="77777777" w:rsidR="00C0397B" w:rsidRPr="00CC15EE" w:rsidRDefault="00C0397B" w:rsidP="00CC15EE">
            <w:pPr>
              <w:rPr>
                <w:rFonts w:cs="Arial"/>
                <w:sz w:val="20"/>
                <w:szCs w:val="20"/>
                <w:lang w:val="sl-SI"/>
              </w:rPr>
            </w:pPr>
            <w:r w:rsidRPr="00CC15EE">
              <w:rPr>
                <w:rFonts w:cs="Arial"/>
                <w:sz w:val="20"/>
                <w:szCs w:val="20"/>
                <w:lang w:val="sl-SI"/>
              </w:rPr>
              <w:lastRenderedPageBreak/>
              <w:t xml:space="preserve">1403 - Spodbude za </w:t>
            </w:r>
            <w:r w:rsidRPr="00CC15EE">
              <w:rPr>
                <w:rFonts w:cs="Arial"/>
                <w:sz w:val="20"/>
                <w:szCs w:val="20"/>
                <w:lang w:val="sl-SI"/>
              </w:rPr>
              <w:lastRenderedPageBreak/>
              <w:t xml:space="preserve">rast in razvoj podjetij </w:t>
            </w:r>
          </w:p>
        </w:tc>
        <w:tc>
          <w:tcPr>
            <w:tcW w:w="2264" w:type="dxa"/>
            <w:vAlign w:val="center"/>
          </w:tcPr>
          <w:p w14:paraId="37986AB4" w14:textId="77777777" w:rsidR="00C0397B" w:rsidRPr="00CC15EE" w:rsidRDefault="00C0397B" w:rsidP="00CC15EE">
            <w:pPr>
              <w:rPr>
                <w:rFonts w:cs="Arial"/>
                <w:sz w:val="20"/>
                <w:szCs w:val="20"/>
                <w:lang w:val="sl-SI"/>
              </w:rPr>
            </w:pPr>
            <w:r w:rsidRPr="00CC15EE">
              <w:rPr>
                <w:rFonts w:cs="Arial"/>
                <w:sz w:val="20"/>
                <w:szCs w:val="20"/>
                <w:lang w:val="sl-SI"/>
              </w:rPr>
              <w:lastRenderedPageBreak/>
              <w:t xml:space="preserve">140302 - Podpora </w:t>
            </w:r>
            <w:r w:rsidRPr="00CC15EE">
              <w:rPr>
                <w:rFonts w:cs="Arial"/>
                <w:sz w:val="20"/>
                <w:szCs w:val="20"/>
                <w:lang w:val="sl-SI"/>
              </w:rPr>
              <w:lastRenderedPageBreak/>
              <w:t>malim in srednje velikim podjetjem</w:t>
            </w:r>
          </w:p>
          <w:p w14:paraId="6D423B14" w14:textId="77777777" w:rsidR="00C0397B" w:rsidRPr="00CC15EE" w:rsidRDefault="00C0397B" w:rsidP="00CC15EE">
            <w:pPr>
              <w:rPr>
                <w:rFonts w:cs="Arial"/>
                <w:sz w:val="20"/>
                <w:szCs w:val="20"/>
                <w:lang w:val="sl-SI"/>
              </w:rPr>
            </w:pPr>
            <w:r w:rsidRPr="00CC15EE">
              <w:rPr>
                <w:rFonts w:cs="Arial"/>
                <w:sz w:val="20"/>
                <w:szCs w:val="20"/>
                <w:lang w:val="sl-SI"/>
              </w:rPr>
              <w:t>140304 - Pospeševanje tehnološkega razvoja gospodarstva</w:t>
            </w:r>
          </w:p>
        </w:tc>
      </w:tr>
      <w:tr w:rsidR="00C0397B" w:rsidRPr="00CC15EE" w14:paraId="438B2C79" w14:textId="77777777" w:rsidTr="00CC15EE">
        <w:tc>
          <w:tcPr>
            <w:tcW w:w="2449" w:type="dxa"/>
            <w:vAlign w:val="center"/>
          </w:tcPr>
          <w:p w14:paraId="7FDCAB6E" w14:textId="77777777" w:rsidR="00C0397B" w:rsidRPr="00CC15EE" w:rsidRDefault="00C0397B" w:rsidP="00CC15EE">
            <w:pPr>
              <w:rPr>
                <w:rFonts w:cs="Arial"/>
                <w:sz w:val="20"/>
                <w:szCs w:val="20"/>
                <w:lang w:val="sl-SI"/>
              </w:rPr>
            </w:pPr>
            <w:r w:rsidRPr="00CC15EE">
              <w:rPr>
                <w:rFonts w:cs="Arial"/>
                <w:sz w:val="20"/>
                <w:szCs w:val="20"/>
                <w:lang w:val="sl-SI"/>
              </w:rPr>
              <w:lastRenderedPageBreak/>
              <w:t>Energetska učinkovitost</w:t>
            </w:r>
          </w:p>
        </w:tc>
        <w:tc>
          <w:tcPr>
            <w:tcW w:w="2263" w:type="dxa"/>
            <w:vAlign w:val="center"/>
          </w:tcPr>
          <w:p w14:paraId="4FA986DB" w14:textId="77777777" w:rsidR="00C0397B" w:rsidRPr="00CC15EE" w:rsidRDefault="00C0397B" w:rsidP="00CC15EE">
            <w:pPr>
              <w:rPr>
                <w:rFonts w:cs="Arial"/>
                <w:sz w:val="20"/>
                <w:szCs w:val="20"/>
                <w:lang w:val="sl-SI"/>
              </w:rPr>
            </w:pPr>
            <w:r w:rsidRPr="00CC15EE">
              <w:rPr>
                <w:rFonts w:cs="Arial"/>
                <w:sz w:val="20"/>
                <w:szCs w:val="20"/>
                <w:lang w:val="sl-SI"/>
              </w:rPr>
              <w:t>12 - Viri energije in energetska učinkovitost</w:t>
            </w:r>
          </w:p>
        </w:tc>
        <w:tc>
          <w:tcPr>
            <w:tcW w:w="2264" w:type="dxa"/>
            <w:vAlign w:val="center"/>
          </w:tcPr>
          <w:p w14:paraId="35A76EFA" w14:textId="77777777" w:rsidR="00C0397B" w:rsidRPr="00CC15EE" w:rsidRDefault="00C0397B" w:rsidP="00CC15EE">
            <w:pPr>
              <w:rPr>
                <w:rFonts w:cs="Arial"/>
                <w:sz w:val="20"/>
                <w:szCs w:val="20"/>
                <w:lang w:val="sl-SI"/>
              </w:rPr>
            </w:pPr>
            <w:r w:rsidRPr="00CC15EE">
              <w:rPr>
                <w:rFonts w:cs="Arial"/>
                <w:sz w:val="20"/>
                <w:szCs w:val="20"/>
                <w:lang w:val="sl-SI"/>
              </w:rPr>
              <w:t>1202 - Oskrba z energijo in energetska učinkovitost</w:t>
            </w:r>
          </w:p>
        </w:tc>
        <w:tc>
          <w:tcPr>
            <w:tcW w:w="2264" w:type="dxa"/>
            <w:vAlign w:val="center"/>
          </w:tcPr>
          <w:p w14:paraId="73594A7A" w14:textId="77777777" w:rsidR="00C0397B" w:rsidRPr="00CC15EE" w:rsidRDefault="00C0397B" w:rsidP="00CC15EE">
            <w:pPr>
              <w:rPr>
                <w:rFonts w:cs="Arial"/>
                <w:sz w:val="20"/>
                <w:szCs w:val="20"/>
                <w:lang w:val="sl-SI"/>
              </w:rPr>
            </w:pPr>
            <w:r w:rsidRPr="00CC15EE">
              <w:rPr>
                <w:rFonts w:cs="Arial"/>
                <w:sz w:val="20"/>
                <w:szCs w:val="20"/>
                <w:lang w:val="sl-SI"/>
              </w:rPr>
              <w:t>120202 - Učinkovita raba energije</w:t>
            </w:r>
          </w:p>
        </w:tc>
      </w:tr>
      <w:tr w:rsidR="00C0397B" w:rsidRPr="00CC15EE" w14:paraId="66845E25" w14:textId="77777777" w:rsidTr="00CC15EE">
        <w:tc>
          <w:tcPr>
            <w:tcW w:w="2449" w:type="dxa"/>
            <w:vAlign w:val="center"/>
          </w:tcPr>
          <w:p w14:paraId="4D35E510" w14:textId="6D3ACFAC" w:rsidR="00C0397B" w:rsidRPr="00CC15EE" w:rsidRDefault="00C0397B" w:rsidP="00CC15EE">
            <w:pPr>
              <w:rPr>
                <w:rFonts w:cs="Arial"/>
                <w:sz w:val="20"/>
                <w:szCs w:val="20"/>
                <w:lang w:val="sl-SI"/>
              </w:rPr>
            </w:pPr>
            <w:r w:rsidRPr="00CC15EE">
              <w:rPr>
                <w:rFonts w:cs="Arial"/>
                <w:sz w:val="20"/>
                <w:szCs w:val="20"/>
                <w:lang w:val="sl-SI"/>
              </w:rPr>
              <w:t>Urbani razvoj</w:t>
            </w:r>
          </w:p>
        </w:tc>
        <w:tc>
          <w:tcPr>
            <w:tcW w:w="2263" w:type="dxa"/>
            <w:vAlign w:val="center"/>
          </w:tcPr>
          <w:p w14:paraId="27A17F1D" w14:textId="77777777" w:rsidR="00C0397B" w:rsidRPr="00CC15EE" w:rsidRDefault="00C0397B" w:rsidP="00CC15EE">
            <w:pPr>
              <w:rPr>
                <w:rFonts w:cs="Arial"/>
                <w:sz w:val="20"/>
                <w:szCs w:val="20"/>
                <w:lang w:val="sl-SI"/>
              </w:rPr>
            </w:pPr>
            <w:r w:rsidRPr="00CC15EE">
              <w:rPr>
                <w:rFonts w:cs="Arial"/>
                <w:sz w:val="20"/>
                <w:szCs w:val="20"/>
                <w:lang w:val="sl-SI"/>
              </w:rPr>
              <w:t>16 - Prostorsko planiranje in stanovanjska dejavnost</w:t>
            </w:r>
          </w:p>
        </w:tc>
        <w:tc>
          <w:tcPr>
            <w:tcW w:w="2264" w:type="dxa"/>
            <w:vAlign w:val="center"/>
          </w:tcPr>
          <w:p w14:paraId="79964F60" w14:textId="043DF0B3" w:rsidR="00C0397B" w:rsidRPr="00CC15EE" w:rsidRDefault="00FC4417" w:rsidP="00CC15EE">
            <w:pPr>
              <w:rPr>
                <w:rFonts w:cs="Arial"/>
                <w:sz w:val="20"/>
                <w:szCs w:val="20"/>
                <w:lang w:val="sl-SI"/>
              </w:rPr>
            </w:pPr>
            <w:r w:rsidRPr="00CC15EE">
              <w:rPr>
                <w:rFonts w:cs="Arial"/>
                <w:sz w:val="20"/>
                <w:szCs w:val="20"/>
                <w:lang w:val="sl-SI"/>
              </w:rPr>
              <w:t>1602 - Upravljanje s prostorom</w:t>
            </w:r>
          </w:p>
        </w:tc>
        <w:tc>
          <w:tcPr>
            <w:tcW w:w="2264" w:type="dxa"/>
            <w:vAlign w:val="center"/>
          </w:tcPr>
          <w:p w14:paraId="16701FE5" w14:textId="5747B634" w:rsidR="00C0397B" w:rsidRPr="00CC15EE" w:rsidRDefault="00FC4417" w:rsidP="00CC15EE">
            <w:pPr>
              <w:rPr>
                <w:rFonts w:cs="Arial"/>
                <w:sz w:val="20"/>
                <w:szCs w:val="20"/>
                <w:lang w:val="sl-SI"/>
              </w:rPr>
            </w:pPr>
            <w:r w:rsidRPr="00CC15EE">
              <w:rPr>
                <w:rFonts w:cs="Arial"/>
                <w:sz w:val="20"/>
                <w:szCs w:val="20"/>
                <w:lang w:val="sl-SI"/>
              </w:rPr>
              <w:t>160201 - Upravljanje s prostorom</w:t>
            </w:r>
          </w:p>
        </w:tc>
      </w:tr>
    </w:tbl>
    <w:p w14:paraId="4189A552" w14:textId="77777777" w:rsidR="00E4060E" w:rsidRDefault="00E4060E" w:rsidP="00CE3440">
      <w:pPr>
        <w:jc w:val="both"/>
        <w:rPr>
          <w:rFonts w:cs="Arial"/>
          <w:szCs w:val="22"/>
          <w:lang w:val="sl-SI"/>
        </w:rPr>
      </w:pPr>
    </w:p>
    <w:p w14:paraId="06B32857" w14:textId="7D8DF285" w:rsidR="00C0397B" w:rsidRPr="00462D42" w:rsidRDefault="00C0397B" w:rsidP="00462D42">
      <w:pPr>
        <w:spacing w:line="260" w:lineRule="exact"/>
        <w:jc w:val="both"/>
        <w:rPr>
          <w:rFonts w:cs="Arial"/>
          <w:sz w:val="20"/>
          <w:szCs w:val="22"/>
          <w:lang w:val="sl-SI"/>
        </w:rPr>
      </w:pPr>
      <w:r w:rsidRPr="00462D42">
        <w:rPr>
          <w:rFonts w:cs="Arial"/>
          <w:sz w:val="20"/>
          <w:szCs w:val="22"/>
          <w:lang w:val="sl-SI"/>
        </w:rPr>
        <w:t xml:space="preserve">Prispevek </w:t>
      </w:r>
      <w:r w:rsidR="00E4060E" w:rsidRPr="00462D42">
        <w:rPr>
          <w:rFonts w:cs="Arial"/>
          <w:sz w:val="20"/>
          <w:szCs w:val="22"/>
          <w:lang w:val="sl-SI"/>
        </w:rPr>
        <w:t>FI</w:t>
      </w:r>
      <w:r w:rsidRPr="00462D42">
        <w:rPr>
          <w:rFonts w:cs="Arial"/>
          <w:sz w:val="20"/>
          <w:szCs w:val="22"/>
          <w:lang w:val="sl-SI"/>
        </w:rPr>
        <w:t xml:space="preserve"> je zasnovan v okviru politične klasifikacije Proračuna RS.</w:t>
      </w:r>
    </w:p>
    <w:p w14:paraId="45057985" w14:textId="77777777" w:rsidR="008B51B0" w:rsidRPr="00462D42" w:rsidRDefault="008B51B0" w:rsidP="00462D42">
      <w:pPr>
        <w:spacing w:line="260" w:lineRule="exact"/>
        <w:jc w:val="both"/>
        <w:rPr>
          <w:rFonts w:cs="Arial"/>
          <w:sz w:val="20"/>
          <w:szCs w:val="22"/>
          <w:lang w:val="sl-SI"/>
        </w:rPr>
      </w:pPr>
    </w:p>
    <w:p w14:paraId="4A674FBC" w14:textId="4F21D678" w:rsidR="00C0397B" w:rsidRPr="00462D42" w:rsidRDefault="0014087F" w:rsidP="00462D42">
      <w:pPr>
        <w:pStyle w:val="Naslov2"/>
        <w:spacing w:after="0" w:line="260" w:lineRule="exact"/>
        <w:ind w:left="576" w:hanging="576"/>
        <w:jc w:val="both"/>
        <w:rPr>
          <w:sz w:val="20"/>
          <w:szCs w:val="22"/>
          <w:lang w:val="sl-SI"/>
        </w:rPr>
      </w:pPr>
      <w:r>
        <w:rPr>
          <w:sz w:val="20"/>
          <w:szCs w:val="22"/>
          <w:lang w:val="sl-SI"/>
        </w:rPr>
        <w:t>Politika 5 –</w:t>
      </w:r>
      <w:r w:rsidR="00C0397B" w:rsidRPr="00462D42">
        <w:rPr>
          <w:sz w:val="20"/>
          <w:szCs w:val="22"/>
          <w:lang w:val="sl-SI"/>
        </w:rPr>
        <w:t xml:space="preserve"> Znanost in informacij</w:t>
      </w:r>
      <w:r w:rsidR="005762BA" w:rsidRPr="00462D42">
        <w:rPr>
          <w:sz w:val="20"/>
          <w:szCs w:val="22"/>
          <w:lang w:val="sl-SI"/>
        </w:rPr>
        <w:t>ska</w:t>
      </w:r>
      <w:r w:rsidR="00C0397B" w:rsidRPr="00462D42">
        <w:rPr>
          <w:sz w:val="20"/>
          <w:szCs w:val="22"/>
          <w:lang w:val="sl-SI"/>
        </w:rPr>
        <w:t xml:space="preserve"> družba</w:t>
      </w:r>
    </w:p>
    <w:p w14:paraId="786AAD38" w14:textId="602DA62A" w:rsidR="00C0397B" w:rsidRPr="00462D42" w:rsidRDefault="00E4060E" w:rsidP="00462D42">
      <w:pPr>
        <w:spacing w:line="260" w:lineRule="exact"/>
        <w:jc w:val="both"/>
        <w:rPr>
          <w:rFonts w:cs="Arial"/>
          <w:sz w:val="20"/>
          <w:szCs w:val="22"/>
          <w:lang w:val="sl-SI"/>
        </w:rPr>
      </w:pPr>
      <w:r w:rsidRPr="00462D42">
        <w:rPr>
          <w:rFonts w:cs="Arial"/>
          <w:sz w:val="20"/>
          <w:szCs w:val="22"/>
          <w:lang w:val="sl-SI"/>
        </w:rPr>
        <w:t>Področje Znanosti in informacijske družbe je eno ključnih področij, ki v skladu z mednarodnimi, EU in nacionalnimi strateškimi dokumenti</w:t>
      </w:r>
      <w:r w:rsidR="00914DEA" w:rsidRPr="00462D42">
        <w:rPr>
          <w:rFonts w:cs="Arial"/>
          <w:sz w:val="20"/>
          <w:szCs w:val="22"/>
          <w:lang w:val="sl-SI"/>
        </w:rPr>
        <w:t xml:space="preserve"> </w:t>
      </w:r>
      <w:r w:rsidRPr="00462D42">
        <w:rPr>
          <w:rFonts w:cs="Arial"/>
          <w:sz w:val="20"/>
          <w:szCs w:val="22"/>
          <w:lang w:val="sl-SI"/>
        </w:rPr>
        <w:t xml:space="preserve">omogočajo dolgoročno povečanje konkurenčnosti in </w:t>
      </w:r>
      <w:r w:rsidR="00914DEA" w:rsidRPr="00462D42">
        <w:rPr>
          <w:rFonts w:cs="Arial"/>
          <w:sz w:val="20"/>
          <w:szCs w:val="22"/>
          <w:lang w:val="sl-SI"/>
        </w:rPr>
        <w:t>d</w:t>
      </w:r>
      <w:r w:rsidRPr="00462D42">
        <w:rPr>
          <w:rFonts w:cs="Arial"/>
          <w:sz w:val="20"/>
          <w:szCs w:val="22"/>
          <w:lang w:val="sl-SI"/>
        </w:rPr>
        <w:t>odane vrednosti gospodarstva ter s tem povezanega zagotavljanja predpogojev za</w:t>
      </w:r>
      <w:r w:rsidR="00914DEA" w:rsidRPr="00462D42">
        <w:rPr>
          <w:rFonts w:cs="Arial"/>
          <w:sz w:val="20"/>
          <w:szCs w:val="22"/>
          <w:lang w:val="sl-SI"/>
        </w:rPr>
        <w:t xml:space="preserve"> </w:t>
      </w:r>
      <w:r w:rsidRPr="00462D42">
        <w:rPr>
          <w:rFonts w:cs="Arial"/>
          <w:sz w:val="20"/>
          <w:szCs w:val="22"/>
          <w:lang w:val="sl-SI"/>
        </w:rPr>
        <w:t>povečanje splošnega družbenega blagostanja. Pri tem je poseben poudarek na odprtosti in kakovosti sistema. V politiki Znanost in informacijska</w:t>
      </w:r>
      <w:r w:rsidR="00914DEA" w:rsidRPr="00462D42">
        <w:rPr>
          <w:rFonts w:cs="Arial"/>
          <w:sz w:val="20"/>
          <w:szCs w:val="22"/>
          <w:lang w:val="sl-SI"/>
        </w:rPr>
        <w:t xml:space="preserve"> </w:t>
      </w:r>
      <w:r w:rsidRPr="00462D42">
        <w:rPr>
          <w:rFonts w:cs="Arial"/>
          <w:sz w:val="20"/>
          <w:szCs w:val="22"/>
          <w:lang w:val="sl-SI"/>
        </w:rPr>
        <w:t>družba so zajeti najpomembnejši deli financiranja raziskovalne dejavnosti in vzpostavljanja ter delovanja podpornega okolja za delovanje sistema</w:t>
      </w:r>
      <w:r w:rsidR="00914DEA" w:rsidRPr="00462D42">
        <w:rPr>
          <w:rFonts w:cs="Arial"/>
          <w:sz w:val="20"/>
          <w:szCs w:val="22"/>
          <w:lang w:val="sl-SI"/>
        </w:rPr>
        <w:t xml:space="preserve"> </w:t>
      </w:r>
      <w:r w:rsidRPr="00462D42">
        <w:rPr>
          <w:rFonts w:cs="Arial"/>
          <w:sz w:val="20"/>
          <w:szCs w:val="22"/>
          <w:lang w:val="sl-SI"/>
        </w:rPr>
        <w:t>znanosti, drugimi ukrepi za pospeševanje razvoja informacijske družbe ter elektronskih komunikacij in zasleduje cilje povečanja globalne</w:t>
      </w:r>
      <w:r w:rsidR="00914DEA" w:rsidRPr="00462D42">
        <w:rPr>
          <w:rFonts w:cs="Arial"/>
          <w:sz w:val="20"/>
          <w:szCs w:val="22"/>
          <w:lang w:val="sl-SI"/>
        </w:rPr>
        <w:t xml:space="preserve"> </w:t>
      </w:r>
      <w:r w:rsidRPr="00462D42">
        <w:rPr>
          <w:rFonts w:cs="Arial"/>
          <w:sz w:val="20"/>
          <w:szCs w:val="22"/>
          <w:lang w:val="sl-SI"/>
        </w:rPr>
        <w:t>konkurenčnosti, kar se izvaja z ukrepi za spodbujanje inovativnosti ter učinkovitim posodabljanjem in vlaganjem za raziskave in razvoj v smeri</w:t>
      </w:r>
      <w:r w:rsidR="00914DEA" w:rsidRPr="00462D42">
        <w:rPr>
          <w:rFonts w:cs="Arial"/>
          <w:sz w:val="20"/>
          <w:szCs w:val="22"/>
          <w:lang w:val="sl-SI"/>
        </w:rPr>
        <w:t xml:space="preserve"> </w:t>
      </w:r>
      <w:r w:rsidRPr="00462D42">
        <w:rPr>
          <w:rFonts w:cs="Arial"/>
          <w:sz w:val="20"/>
          <w:szCs w:val="22"/>
          <w:lang w:val="sl-SI"/>
        </w:rPr>
        <w:t>tehnološko naprednih in inovativnih proizvodov in storitev.</w:t>
      </w:r>
    </w:p>
    <w:p w14:paraId="2F8439F3" w14:textId="77777777" w:rsidR="00C0397B" w:rsidRPr="00462D42" w:rsidRDefault="00C0397B" w:rsidP="00462D42">
      <w:pPr>
        <w:spacing w:line="260" w:lineRule="exact"/>
        <w:jc w:val="both"/>
        <w:rPr>
          <w:rFonts w:cs="Arial"/>
          <w:sz w:val="20"/>
          <w:szCs w:val="22"/>
          <w:lang w:val="sl-SI"/>
        </w:rPr>
      </w:pPr>
    </w:p>
    <w:p w14:paraId="7EAFFBCF" w14:textId="5E7D22FD" w:rsidR="00C0397B" w:rsidRPr="00462D42" w:rsidRDefault="00C0397B" w:rsidP="00462D42">
      <w:pPr>
        <w:pStyle w:val="Naslov3"/>
        <w:numPr>
          <w:ilvl w:val="2"/>
          <w:numId w:val="0"/>
        </w:numPr>
        <w:spacing w:before="0" w:line="260" w:lineRule="exact"/>
        <w:ind w:left="720" w:hanging="720"/>
        <w:jc w:val="both"/>
        <w:rPr>
          <w:rFonts w:cs="Arial"/>
          <w:sz w:val="20"/>
          <w:szCs w:val="22"/>
          <w:lang w:val="sl-SI"/>
        </w:rPr>
      </w:pPr>
      <w:r w:rsidRPr="00462D42">
        <w:rPr>
          <w:rFonts w:cs="Arial"/>
          <w:sz w:val="20"/>
          <w:szCs w:val="22"/>
          <w:lang w:val="sl-SI"/>
        </w:rPr>
        <w:t xml:space="preserve">Glavni program 502 </w:t>
      </w:r>
      <w:r w:rsidR="0014087F">
        <w:rPr>
          <w:rFonts w:cs="Arial"/>
          <w:sz w:val="20"/>
          <w:szCs w:val="22"/>
          <w:lang w:val="sl-SI"/>
        </w:rPr>
        <w:t>–</w:t>
      </w:r>
      <w:r w:rsidRPr="00462D42">
        <w:rPr>
          <w:rFonts w:cs="Arial"/>
          <w:sz w:val="20"/>
          <w:szCs w:val="22"/>
          <w:lang w:val="sl-SI"/>
        </w:rPr>
        <w:t xml:space="preserve"> Znanstveno raziskovalna dejavnost</w:t>
      </w:r>
    </w:p>
    <w:p w14:paraId="405C40EA" w14:textId="77777777" w:rsidR="00C0397B" w:rsidRPr="00462D42" w:rsidRDefault="00C0397B" w:rsidP="00462D42">
      <w:pPr>
        <w:spacing w:line="260" w:lineRule="exact"/>
        <w:jc w:val="both"/>
        <w:rPr>
          <w:rFonts w:cs="Arial"/>
          <w:sz w:val="20"/>
          <w:szCs w:val="22"/>
          <w:lang w:val="sl-SI"/>
        </w:rPr>
      </w:pPr>
    </w:p>
    <w:p w14:paraId="2924DF42" w14:textId="0D162E31" w:rsidR="00C0397B" w:rsidRPr="00462D42" w:rsidRDefault="00DE5A6A" w:rsidP="00462D42">
      <w:pPr>
        <w:spacing w:line="260" w:lineRule="exact"/>
        <w:jc w:val="both"/>
        <w:rPr>
          <w:rFonts w:cs="Arial"/>
          <w:sz w:val="20"/>
          <w:szCs w:val="22"/>
          <w:lang w:val="sl-SI"/>
        </w:rPr>
      </w:pPr>
      <w:r>
        <w:rPr>
          <w:rFonts w:cs="Arial"/>
          <w:sz w:val="20"/>
          <w:szCs w:val="22"/>
          <w:lang w:val="sl-SI"/>
        </w:rPr>
        <w:t xml:space="preserve">Program Znanstveno </w:t>
      </w:r>
      <w:r w:rsidR="00E4060E" w:rsidRPr="00462D42">
        <w:rPr>
          <w:rFonts w:cs="Arial"/>
          <w:sz w:val="20"/>
          <w:szCs w:val="22"/>
          <w:lang w:val="sl-SI"/>
        </w:rPr>
        <w:t>raziskovalna dejavnost je osrednji instrument za financiranje raziskovalnega in deloma tudi razvojnega dela v Sloveniji.</w:t>
      </w:r>
      <w:r w:rsidR="00914DEA" w:rsidRPr="00462D42">
        <w:rPr>
          <w:rFonts w:cs="Arial"/>
          <w:sz w:val="20"/>
          <w:szCs w:val="22"/>
          <w:lang w:val="sl-SI"/>
        </w:rPr>
        <w:t xml:space="preserve"> </w:t>
      </w:r>
      <w:r w:rsidR="00E4060E" w:rsidRPr="00462D42">
        <w:rPr>
          <w:rFonts w:cs="Arial"/>
          <w:sz w:val="20"/>
          <w:szCs w:val="22"/>
          <w:lang w:val="sl-SI"/>
        </w:rPr>
        <w:t>Program podpira in omogoča tako izvajanje znanstveno raziskovalnega dela, kakor tudi vzpostavitev ustreznega družbenega okolja za izvajanje</w:t>
      </w:r>
      <w:r w:rsidR="00914DEA" w:rsidRPr="00462D42">
        <w:rPr>
          <w:rFonts w:cs="Arial"/>
          <w:sz w:val="20"/>
          <w:szCs w:val="22"/>
          <w:lang w:val="sl-SI"/>
        </w:rPr>
        <w:t xml:space="preserve"> </w:t>
      </w:r>
      <w:r w:rsidR="00E4060E" w:rsidRPr="00462D42">
        <w:rPr>
          <w:rFonts w:cs="Arial"/>
          <w:sz w:val="20"/>
          <w:szCs w:val="22"/>
          <w:lang w:val="sl-SI"/>
        </w:rPr>
        <w:t>raziskav in razvoja. Poleg financiranja raziskovalnega dela (stabilnega in kompetitivnega) program vključuje tudi umeščanje slovenskih raziskovalnih</w:t>
      </w:r>
      <w:r w:rsidR="00914DEA" w:rsidRPr="00462D42">
        <w:rPr>
          <w:rFonts w:cs="Arial"/>
          <w:sz w:val="20"/>
          <w:szCs w:val="22"/>
          <w:lang w:val="sl-SI"/>
        </w:rPr>
        <w:t xml:space="preserve"> </w:t>
      </w:r>
      <w:r w:rsidR="00E4060E" w:rsidRPr="00462D42">
        <w:rPr>
          <w:rFonts w:cs="Arial"/>
          <w:sz w:val="20"/>
          <w:szCs w:val="22"/>
          <w:lang w:val="sl-SI"/>
        </w:rPr>
        <w:t xml:space="preserve">potencialov v mednarodno okolje in </w:t>
      </w:r>
      <w:proofErr w:type="spellStart"/>
      <w:r w:rsidR="00E4060E" w:rsidRPr="00462D42">
        <w:rPr>
          <w:rFonts w:cs="Arial"/>
          <w:sz w:val="20"/>
          <w:szCs w:val="22"/>
          <w:lang w:val="sl-SI"/>
        </w:rPr>
        <w:t>nenazadnje</w:t>
      </w:r>
      <w:proofErr w:type="spellEnd"/>
      <w:r w:rsidR="00E4060E" w:rsidRPr="00462D42">
        <w:rPr>
          <w:rFonts w:cs="Arial"/>
          <w:sz w:val="20"/>
          <w:szCs w:val="22"/>
          <w:lang w:val="sl-SI"/>
        </w:rPr>
        <w:t xml:space="preserve"> tudi izgradnjo ustrezne raziskovalne infrastrukture za doseganje ciljev, zastavljenih v nacionalnih in</w:t>
      </w:r>
      <w:r w:rsidR="00914DEA" w:rsidRPr="00462D42">
        <w:rPr>
          <w:rFonts w:cs="Arial"/>
          <w:sz w:val="20"/>
          <w:szCs w:val="22"/>
          <w:lang w:val="sl-SI"/>
        </w:rPr>
        <w:t xml:space="preserve"> </w:t>
      </w:r>
      <w:r w:rsidR="00E4060E" w:rsidRPr="00462D42">
        <w:rPr>
          <w:rFonts w:cs="Arial"/>
          <w:sz w:val="20"/>
          <w:szCs w:val="22"/>
          <w:lang w:val="sl-SI"/>
        </w:rPr>
        <w:t>EU strategijah. Program vključuje vse ravni in sektorje, ki sodelujejo v izvajanju, podpori in oblikovanju aktivnosti na področju raziskovalnega in</w:t>
      </w:r>
      <w:r w:rsidR="00914DEA" w:rsidRPr="00462D42">
        <w:rPr>
          <w:rFonts w:cs="Arial"/>
          <w:sz w:val="20"/>
          <w:szCs w:val="22"/>
          <w:lang w:val="sl-SI"/>
        </w:rPr>
        <w:t xml:space="preserve"> </w:t>
      </w:r>
      <w:r w:rsidR="00E4060E" w:rsidRPr="00462D42">
        <w:rPr>
          <w:rFonts w:cs="Arial"/>
          <w:sz w:val="20"/>
          <w:szCs w:val="22"/>
          <w:lang w:val="sl-SI"/>
        </w:rPr>
        <w:t>razvojnega dela. Znotraj programa Z</w:t>
      </w:r>
      <w:r>
        <w:rPr>
          <w:rFonts w:cs="Arial"/>
          <w:sz w:val="20"/>
          <w:szCs w:val="22"/>
          <w:lang w:val="sl-SI"/>
        </w:rPr>
        <w:t>nanstveno</w:t>
      </w:r>
      <w:r w:rsidR="00E4060E" w:rsidRPr="00462D42">
        <w:rPr>
          <w:rFonts w:cs="Arial"/>
          <w:sz w:val="20"/>
          <w:szCs w:val="22"/>
          <w:lang w:val="sl-SI"/>
        </w:rPr>
        <w:t xml:space="preserve"> raziskovalna dejavnost se zagotavlja tudi podpora raziskovalni infrastrukturi, ki predstavlja</w:t>
      </w:r>
      <w:r w:rsidR="00914DEA" w:rsidRPr="00462D42">
        <w:rPr>
          <w:rFonts w:cs="Arial"/>
          <w:sz w:val="20"/>
          <w:szCs w:val="22"/>
          <w:lang w:val="sl-SI"/>
        </w:rPr>
        <w:t xml:space="preserve"> </w:t>
      </w:r>
      <w:r w:rsidR="00E4060E" w:rsidRPr="00462D42">
        <w:rPr>
          <w:rFonts w:cs="Arial"/>
          <w:sz w:val="20"/>
          <w:szCs w:val="22"/>
          <w:lang w:val="sl-SI"/>
        </w:rPr>
        <w:t>sofinanciranje investicij v raziskovalno dejavnost. Preko neposrednih vlaganj v znanstveno infrastrukturo - izgradnja novih objektov, obnova in</w:t>
      </w:r>
      <w:r w:rsidR="00914DEA" w:rsidRPr="00462D42">
        <w:rPr>
          <w:rFonts w:cs="Arial"/>
          <w:sz w:val="20"/>
          <w:szCs w:val="22"/>
          <w:lang w:val="sl-SI"/>
        </w:rPr>
        <w:t xml:space="preserve"> </w:t>
      </w:r>
      <w:r w:rsidR="00E4060E" w:rsidRPr="00462D42">
        <w:rPr>
          <w:rFonts w:cs="Arial"/>
          <w:sz w:val="20"/>
          <w:szCs w:val="22"/>
          <w:lang w:val="sl-SI"/>
        </w:rPr>
        <w:t>investicijsko vzdrževanje obstoječih objektov se zagotavlja trajne prostorske rešitve in s tem kakovostne delovne pogoje za delovanje javnih</w:t>
      </w:r>
      <w:r w:rsidR="00914DEA" w:rsidRPr="00462D42">
        <w:rPr>
          <w:rFonts w:cs="Arial"/>
          <w:sz w:val="20"/>
          <w:szCs w:val="22"/>
          <w:lang w:val="sl-SI"/>
        </w:rPr>
        <w:t xml:space="preserve"> </w:t>
      </w:r>
      <w:r w:rsidR="00E4060E" w:rsidRPr="00462D42">
        <w:rPr>
          <w:rFonts w:cs="Arial"/>
          <w:sz w:val="20"/>
          <w:szCs w:val="22"/>
          <w:lang w:val="sl-SI"/>
        </w:rPr>
        <w:t>zavodov na področju znanosti</w:t>
      </w:r>
      <w:r w:rsidR="00914DEA" w:rsidRPr="00462D42">
        <w:rPr>
          <w:rFonts w:cs="Arial"/>
          <w:sz w:val="20"/>
          <w:szCs w:val="22"/>
          <w:lang w:val="sl-SI"/>
        </w:rPr>
        <w:t>.</w:t>
      </w:r>
    </w:p>
    <w:p w14:paraId="36305058" w14:textId="01405042" w:rsidR="00C0397B" w:rsidRPr="00462D42" w:rsidRDefault="00C0397B" w:rsidP="00462D42">
      <w:pPr>
        <w:spacing w:line="260" w:lineRule="exact"/>
        <w:jc w:val="both"/>
        <w:rPr>
          <w:rFonts w:cs="Arial"/>
          <w:sz w:val="20"/>
          <w:szCs w:val="22"/>
          <w:lang w:val="sl-SI"/>
        </w:rPr>
      </w:pPr>
    </w:p>
    <w:p w14:paraId="76871FCD" w14:textId="77777777" w:rsidR="00C0397B" w:rsidRPr="00462D42" w:rsidRDefault="00C0397B" w:rsidP="00462D42">
      <w:pPr>
        <w:pStyle w:val="Naslov2"/>
        <w:spacing w:after="0" w:line="260" w:lineRule="exact"/>
        <w:ind w:left="576" w:hanging="576"/>
        <w:jc w:val="both"/>
        <w:rPr>
          <w:sz w:val="20"/>
          <w:szCs w:val="22"/>
          <w:lang w:val="sl-SI"/>
        </w:rPr>
      </w:pPr>
      <w:r w:rsidRPr="00462D42">
        <w:rPr>
          <w:sz w:val="20"/>
          <w:szCs w:val="22"/>
          <w:lang w:val="sl-SI"/>
        </w:rPr>
        <w:t>Politika 14 - Podjetništvo in konkurenčnost</w:t>
      </w:r>
    </w:p>
    <w:p w14:paraId="6667BACD" w14:textId="0D490D24" w:rsidR="00C0397B" w:rsidRPr="00462D42" w:rsidRDefault="00C0397B" w:rsidP="00462D42">
      <w:pPr>
        <w:spacing w:line="260" w:lineRule="exact"/>
        <w:jc w:val="both"/>
        <w:rPr>
          <w:rFonts w:cs="Arial"/>
          <w:sz w:val="20"/>
          <w:szCs w:val="22"/>
          <w:lang w:val="sl-SI"/>
        </w:rPr>
      </w:pPr>
      <w:r w:rsidRPr="00462D42">
        <w:rPr>
          <w:rFonts w:cs="Arial"/>
          <w:sz w:val="20"/>
          <w:szCs w:val="22"/>
          <w:lang w:val="sl-SI"/>
        </w:rPr>
        <w:t>Politika spodbujanja podjetništva in konkurenčnosti zasleduje cilj ohranjanja in povečevanja gospodarske rasti in konkurenčnosti z razvijanjem kompetenc in zmogljivosti podjetij in z odzivom na družbene izzive. Poleg tega je njen cilj pospešiti ustanavljanje, rast in razvoj ter izboljšati mednarodno konkurenčnost podjetij, posebej malih in srednje velikih (MSP), ustvariti poslovno okolje, ki bo povečalo privlačnosti območja za ustanavljanje in delovanje podjetij ter za naložbe za razvoj gospodarstva. V ta namen se izvaja vrsta ukrepov kot so spodbude za investicijska in razvojna vlaganja gospodarstva, zagotavljanje ustreznega podpornega okolja za podjetništvo in inovativnost, spodbujanje socialnega podjetništva, izboljšanje dostopa do virov financiranja, doseganje boljše snovne in energetske učinkovitosti, izgradnja ekonomskih con, ipd. Eden od ključnih izzivov je spodbujanje podjetij za prehod v okoljsko in energetsko učinkovito gospodarstvo ter uspešno osvajanje novih poslovnih procesov in ekonomskih modelov.</w:t>
      </w:r>
    </w:p>
    <w:p w14:paraId="3476449B" w14:textId="77777777" w:rsidR="00C0397B" w:rsidRPr="00462D42" w:rsidRDefault="00C0397B" w:rsidP="00462D42">
      <w:pPr>
        <w:spacing w:line="260" w:lineRule="exact"/>
        <w:jc w:val="both"/>
        <w:rPr>
          <w:rFonts w:cs="Arial"/>
          <w:sz w:val="20"/>
          <w:szCs w:val="22"/>
          <w:lang w:val="sl-SI"/>
        </w:rPr>
      </w:pPr>
    </w:p>
    <w:p w14:paraId="3832CAFF" w14:textId="7E60AABA" w:rsidR="00C0397B" w:rsidRPr="00462D42" w:rsidRDefault="00C0397B" w:rsidP="00462D42">
      <w:pPr>
        <w:pStyle w:val="Naslov2"/>
        <w:spacing w:after="0" w:line="260" w:lineRule="exact"/>
        <w:ind w:left="576" w:hanging="576"/>
        <w:jc w:val="both"/>
        <w:rPr>
          <w:sz w:val="20"/>
          <w:szCs w:val="22"/>
          <w:lang w:val="sl-SI"/>
        </w:rPr>
      </w:pPr>
      <w:r w:rsidRPr="00462D42">
        <w:rPr>
          <w:sz w:val="20"/>
          <w:szCs w:val="22"/>
          <w:lang w:val="sl-SI"/>
        </w:rPr>
        <w:lastRenderedPageBreak/>
        <w:t>Glavni prog</w:t>
      </w:r>
      <w:r w:rsidR="002142F3">
        <w:rPr>
          <w:sz w:val="20"/>
          <w:szCs w:val="22"/>
          <w:lang w:val="sl-SI"/>
        </w:rPr>
        <w:t>ram 1403 –</w:t>
      </w:r>
      <w:r w:rsidRPr="00462D42">
        <w:rPr>
          <w:sz w:val="20"/>
          <w:szCs w:val="22"/>
          <w:lang w:val="sl-SI"/>
        </w:rPr>
        <w:t xml:space="preserve"> Spodbude za rast in razvoj podjetij</w:t>
      </w:r>
    </w:p>
    <w:p w14:paraId="582EBC0C" w14:textId="5138844F" w:rsidR="00C0397B" w:rsidRPr="00462D42" w:rsidRDefault="00E4060E" w:rsidP="00462D42">
      <w:pPr>
        <w:spacing w:line="260" w:lineRule="exact"/>
        <w:jc w:val="both"/>
        <w:rPr>
          <w:rFonts w:cs="Arial"/>
          <w:sz w:val="20"/>
          <w:szCs w:val="22"/>
          <w:lang w:val="sl-SI"/>
        </w:rPr>
      </w:pPr>
      <w:r w:rsidRPr="00462D42">
        <w:rPr>
          <w:rFonts w:cs="Arial"/>
          <w:sz w:val="20"/>
          <w:szCs w:val="22"/>
          <w:lang w:val="sl-SI"/>
        </w:rPr>
        <w:t>V okviru programa so zagoto</w:t>
      </w:r>
      <w:r w:rsidR="002142F3">
        <w:rPr>
          <w:rFonts w:cs="Arial"/>
          <w:sz w:val="20"/>
          <w:szCs w:val="22"/>
          <w:lang w:val="sl-SI"/>
        </w:rPr>
        <w:t>vljena sredstva za uresničevanje</w:t>
      </w:r>
      <w:r w:rsidRPr="00462D42">
        <w:rPr>
          <w:rFonts w:cs="Arial"/>
          <w:sz w:val="20"/>
          <w:szCs w:val="22"/>
          <w:lang w:val="sl-SI"/>
        </w:rPr>
        <w:t xml:space="preserve"> ciljev strategije gospodarskega razvoja Slovenije, ki sledijo sprejetim usmeritvam EU</w:t>
      </w:r>
      <w:r w:rsidR="00914DEA" w:rsidRPr="00462D42">
        <w:rPr>
          <w:rFonts w:cs="Arial"/>
          <w:sz w:val="20"/>
          <w:szCs w:val="22"/>
          <w:lang w:val="sl-SI"/>
        </w:rPr>
        <w:t xml:space="preserve"> </w:t>
      </w:r>
      <w:r w:rsidRPr="00462D42">
        <w:rPr>
          <w:rFonts w:cs="Arial"/>
          <w:sz w:val="20"/>
          <w:szCs w:val="22"/>
          <w:lang w:val="sl-SI"/>
        </w:rPr>
        <w:t>in dokumenta Evropa 2020 ter predstavlja</w:t>
      </w:r>
      <w:r w:rsidR="002142F3">
        <w:rPr>
          <w:rFonts w:cs="Arial"/>
          <w:sz w:val="20"/>
          <w:szCs w:val="22"/>
          <w:lang w:val="sl-SI"/>
        </w:rPr>
        <w:t>jo</w:t>
      </w:r>
      <w:r w:rsidRPr="00462D42">
        <w:rPr>
          <w:rFonts w:cs="Arial"/>
          <w:sz w:val="20"/>
          <w:szCs w:val="22"/>
          <w:lang w:val="sl-SI"/>
        </w:rPr>
        <w:t xml:space="preserve"> izvajanje aktivnosti v okviru usmeritev Raziskovalne in inovac</w:t>
      </w:r>
      <w:r w:rsidR="002142F3">
        <w:rPr>
          <w:rFonts w:cs="Arial"/>
          <w:sz w:val="20"/>
          <w:szCs w:val="22"/>
          <w:lang w:val="sl-SI"/>
        </w:rPr>
        <w:t>ijske strategije Slovenije 2011–</w:t>
      </w:r>
      <w:r w:rsidRPr="00462D42">
        <w:rPr>
          <w:rFonts w:cs="Arial"/>
          <w:sz w:val="20"/>
          <w:szCs w:val="22"/>
          <w:lang w:val="sl-SI"/>
        </w:rPr>
        <w:t>2020 (RISS),</w:t>
      </w:r>
      <w:r w:rsidR="00914DEA" w:rsidRPr="00462D42">
        <w:rPr>
          <w:rFonts w:cs="Arial"/>
          <w:sz w:val="20"/>
          <w:szCs w:val="22"/>
          <w:lang w:val="sl-SI"/>
        </w:rPr>
        <w:t xml:space="preserve"> </w:t>
      </w:r>
      <w:r w:rsidRPr="00462D42">
        <w:rPr>
          <w:rFonts w:cs="Arial"/>
          <w:sz w:val="20"/>
          <w:szCs w:val="22"/>
          <w:lang w:val="sl-SI"/>
        </w:rPr>
        <w:t>strateškega dokumenta Slovenska indust</w:t>
      </w:r>
      <w:r w:rsidR="002142F3">
        <w:rPr>
          <w:rFonts w:cs="Arial"/>
          <w:sz w:val="20"/>
          <w:szCs w:val="22"/>
          <w:lang w:val="sl-SI"/>
        </w:rPr>
        <w:t>rijska politika za obdobje 2014–</w:t>
      </w:r>
      <w:r w:rsidRPr="00462D42">
        <w:rPr>
          <w:rFonts w:cs="Arial"/>
          <w:sz w:val="20"/>
          <w:szCs w:val="22"/>
          <w:lang w:val="sl-SI"/>
        </w:rPr>
        <w:t>2020 (SIP), Strategije pametne specializacije, Operativnega programa za</w:t>
      </w:r>
      <w:r w:rsidR="00914DEA" w:rsidRPr="00462D42">
        <w:rPr>
          <w:rFonts w:cs="Arial"/>
          <w:sz w:val="20"/>
          <w:szCs w:val="22"/>
          <w:lang w:val="sl-SI"/>
        </w:rPr>
        <w:t xml:space="preserve"> </w:t>
      </w:r>
      <w:r w:rsidRPr="00462D42">
        <w:rPr>
          <w:rFonts w:cs="Arial"/>
          <w:sz w:val="20"/>
          <w:szCs w:val="22"/>
          <w:lang w:val="sl-SI"/>
        </w:rPr>
        <w:t>izvajanje Evropske kohezijske politike v obdobju 2014</w:t>
      </w:r>
      <w:r w:rsidR="002142F3">
        <w:rPr>
          <w:rFonts w:cs="Arial"/>
          <w:sz w:val="20"/>
          <w:szCs w:val="22"/>
          <w:lang w:val="sl-SI"/>
        </w:rPr>
        <w:t>–</w:t>
      </w:r>
      <w:r w:rsidRPr="00462D42">
        <w:rPr>
          <w:rFonts w:cs="Arial"/>
          <w:sz w:val="20"/>
          <w:szCs w:val="22"/>
          <w:lang w:val="sl-SI"/>
        </w:rPr>
        <w:t>2020 in Programa za izvajanje finančnih spodbud MGRT 2015–2020. Izvajajo se spodbude</w:t>
      </w:r>
      <w:r w:rsidR="00914DEA" w:rsidRPr="00462D42">
        <w:rPr>
          <w:rFonts w:cs="Arial"/>
          <w:sz w:val="20"/>
          <w:szCs w:val="22"/>
          <w:lang w:val="sl-SI"/>
        </w:rPr>
        <w:t xml:space="preserve"> </w:t>
      </w:r>
      <w:r w:rsidRPr="00462D42">
        <w:rPr>
          <w:rFonts w:cs="Arial"/>
          <w:sz w:val="20"/>
          <w:szCs w:val="22"/>
          <w:lang w:val="sl-SI"/>
        </w:rPr>
        <w:t>tako za mlada podjetja in nove podjetniške podjeme</w:t>
      </w:r>
      <w:r w:rsidR="002142F3">
        <w:rPr>
          <w:rFonts w:cs="Arial"/>
          <w:sz w:val="20"/>
          <w:szCs w:val="22"/>
          <w:lang w:val="sl-SI"/>
        </w:rPr>
        <w:t xml:space="preserve">, </w:t>
      </w:r>
      <w:r w:rsidRPr="00462D42">
        <w:rPr>
          <w:rFonts w:cs="Arial"/>
          <w:sz w:val="20"/>
          <w:szCs w:val="22"/>
          <w:lang w:val="sl-SI"/>
        </w:rPr>
        <w:t>kot tudi spodbude za rast in razvoj podjetij, preko katerih zasledujemo cilj povečanja</w:t>
      </w:r>
      <w:r w:rsidR="002142F3">
        <w:rPr>
          <w:rFonts w:cs="Arial"/>
          <w:sz w:val="20"/>
          <w:szCs w:val="22"/>
          <w:lang w:val="sl-SI"/>
        </w:rPr>
        <w:t xml:space="preserve"> </w:t>
      </w:r>
      <w:r w:rsidRPr="00462D42">
        <w:rPr>
          <w:rFonts w:cs="Arial"/>
          <w:sz w:val="20"/>
          <w:szCs w:val="22"/>
          <w:lang w:val="sl-SI"/>
        </w:rPr>
        <w:t>inovativnosti in konkurenčnosti slovenskega gospodarstva. Poleg nepovratnih virov, ki se večinoma uporabljajo za specifične namene in ciljne</w:t>
      </w:r>
      <w:r w:rsidR="00914DEA" w:rsidRPr="00462D42">
        <w:rPr>
          <w:rFonts w:cs="Arial"/>
          <w:sz w:val="20"/>
          <w:szCs w:val="22"/>
          <w:lang w:val="sl-SI"/>
        </w:rPr>
        <w:t xml:space="preserve"> </w:t>
      </w:r>
      <w:r w:rsidRPr="00462D42">
        <w:rPr>
          <w:rFonts w:cs="Arial"/>
          <w:sz w:val="20"/>
          <w:szCs w:val="22"/>
          <w:lang w:val="sl-SI"/>
        </w:rPr>
        <w:t>skupine (bilanca A)</w:t>
      </w:r>
      <w:r w:rsidR="002142F3">
        <w:rPr>
          <w:rFonts w:cs="Arial"/>
          <w:sz w:val="20"/>
          <w:szCs w:val="22"/>
          <w:lang w:val="sl-SI"/>
        </w:rPr>
        <w:t xml:space="preserve">, </w:t>
      </w:r>
      <w:r w:rsidRPr="00462D42">
        <w:rPr>
          <w:rFonts w:cs="Arial"/>
          <w:sz w:val="20"/>
          <w:szCs w:val="22"/>
          <w:lang w:val="sl-SI"/>
        </w:rPr>
        <w:t>so zajeta tudi povratna sredstva (bilanca B), namenjena razvoju in izvajanju instrumentom finančnega inženiringa (dolžniški in</w:t>
      </w:r>
      <w:r w:rsidR="00914DEA" w:rsidRPr="00462D42">
        <w:rPr>
          <w:rFonts w:cs="Arial"/>
          <w:sz w:val="20"/>
          <w:szCs w:val="22"/>
          <w:lang w:val="sl-SI"/>
        </w:rPr>
        <w:t xml:space="preserve"> </w:t>
      </w:r>
      <w:r w:rsidRPr="00462D42">
        <w:rPr>
          <w:rFonts w:cs="Arial"/>
          <w:sz w:val="20"/>
          <w:szCs w:val="22"/>
          <w:lang w:val="sl-SI"/>
        </w:rPr>
        <w:t xml:space="preserve">lastniški viri financiranja, prilagojeni </w:t>
      </w:r>
      <w:r w:rsidR="004B2892" w:rsidRPr="00462D42">
        <w:rPr>
          <w:rFonts w:cs="Arial"/>
          <w:sz w:val="20"/>
          <w:szCs w:val="22"/>
          <w:lang w:val="sl-SI"/>
        </w:rPr>
        <w:t>FI</w:t>
      </w:r>
      <w:r w:rsidRPr="00462D42">
        <w:rPr>
          <w:rFonts w:cs="Arial"/>
          <w:sz w:val="20"/>
          <w:szCs w:val="22"/>
          <w:lang w:val="sl-SI"/>
        </w:rPr>
        <w:t xml:space="preserve"> za posamezne faze razvoja podjetij ter druge sodobne oblike financiranja). Poleg </w:t>
      </w:r>
      <w:r w:rsidR="004B2892" w:rsidRPr="00462D42">
        <w:rPr>
          <w:rFonts w:cs="Arial"/>
          <w:sz w:val="20"/>
          <w:szCs w:val="22"/>
          <w:lang w:val="sl-SI"/>
        </w:rPr>
        <w:t>FI</w:t>
      </w:r>
      <w:r w:rsidRPr="00462D42">
        <w:rPr>
          <w:rFonts w:cs="Arial"/>
          <w:sz w:val="20"/>
          <w:szCs w:val="22"/>
          <w:lang w:val="sl-SI"/>
        </w:rPr>
        <w:t xml:space="preserve"> in subvencij razvojnih spodbud se za podjetja izvaja tudi vsebinska podpora v obliki nepovratnih virov, kot dopolnilni ukrepi</w:t>
      </w:r>
      <w:r w:rsidR="00914DEA" w:rsidRPr="00462D42">
        <w:rPr>
          <w:rFonts w:cs="Arial"/>
          <w:sz w:val="20"/>
          <w:szCs w:val="22"/>
          <w:lang w:val="sl-SI"/>
        </w:rPr>
        <w:t xml:space="preserve"> </w:t>
      </w:r>
      <w:r w:rsidR="004B2892" w:rsidRPr="00462D42">
        <w:rPr>
          <w:rFonts w:cs="Arial"/>
          <w:sz w:val="20"/>
          <w:szCs w:val="22"/>
          <w:lang w:val="sl-SI"/>
        </w:rPr>
        <w:t>FI</w:t>
      </w:r>
      <w:r w:rsidRPr="00462D42">
        <w:rPr>
          <w:rFonts w:cs="Arial"/>
          <w:sz w:val="20"/>
          <w:szCs w:val="22"/>
          <w:lang w:val="sl-SI"/>
        </w:rPr>
        <w:t xml:space="preserve"> (vavčerji, »dvojčki« - to je kombinacija nepovratnih virov s </w:t>
      </w:r>
      <w:r w:rsidR="004B2892" w:rsidRPr="00462D42">
        <w:rPr>
          <w:rFonts w:cs="Arial"/>
          <w:sz w:val="20"/>
          <w:szCs w:val="22"/>
          <w:lang w:val="sl-SI"/>
        </w:rPr>
        <w:t>FI</w:t>
      </w:r>
      <w:r w:rsidRPr="00462D42">
        <w:rPr>
          <w:rFonts w:cs="Arial"/>
          <w:sz w:val="20"/>
          <w:szCs w:val="22"/>
          <w:lang w:val="sl-SI"/>
        </w:rPr>
        <w:t>). V okviru tega programa so lahko</w:t>
      </w:r>
      <w:r w:rsidR="00914DEA" w:rsidRPr="00462D42">
        <w:rPr>
          <w:rFonts w:cs="Arial"/>
          <w:sz w:val="20"/>
          <w:szCs w:val="22"/>
          <w:lang w:val="sl-SI"/>
        </w:rPr>
        <w:t xml:space="preserve"> </w:t>
      </w:r>
      <w:r w:rsidRPr="00462D42">
        <w:rPr>
          <w:rFonts w:cs="Arial"/>
          <w:sz w:val="20"/>
          <w:szCs w:val="22"/>
          <w:lang w:val="sl-SI"/>
        </w:rPr>
        <w:t>sredstva namenjena tudi pomoči upravičencem v gospodarstvu za odpravo posledic škode po naravnih nesrečah. Za nastajanje mladih podjetij in</w:t>
      </w:r>
      <w:r w:rsidR="00914DEA" w:rsidRPr="00462D42">
        <w:rPr>
          <w:rFonts w:cs="Arial"/>
          <w:sz w:val="20"/>
          <w:szCs w:val="22"/>
          <w:lang w:val="sl-SI"/>
        </w:rPr>
        <w:t xml:space="preserve"> </w:t>
      </w:r>
      <w:r w:rsidRPr="00462D42">
        <w:rPr>
          <w:rFonts w:cs="Arial"/>
          <w:sz w:val="20"/>
          <w:szCs w:val="22"/>
          <w:lang w:val="sl-SI"/>
        </w:rPr>
        <w:t>novih podjetniških podjemov ter spodbujanje rasti in razvoja podjetij se nadgradi obstoječe podporno okolje z razvojem in spodbujanjem sodobnih</w:t>
      </w:r>
      <w:r w:rsidR="00914DEA" w:rsidRPr="00462D42">
        <w:rPr>
          <w:rFonts w:cs="Arial"/>
          <w:sz w:val="20"/>
          <w:szCs w:val="22"/>
          <w:lang w:val="sl-SI"/>
        </w:rPr>
        <w:t xml:space="preserve"> </w:t>
      </w:r>
      <w:r w:rsidRPr="00462D42">
        <w:rPr>
          <w:rFonts w:cs="Arial"/>
          <w:sz w:val="20"/>
          <w:szCs w:val="22"/>
          <w:lang w:val="sl-SI"/>
        </w:rPr>
        <w:t>oblik podpornih storitev različnih podpornih institucij na nacionalni in lokalni ravni v obliki mentorstva, usposabljanja, promocije, spodbujanja</w:t>
      </w:r>
      <w:r w:rsidR="00914DEA" w:rsidRPr="00462D42">
        <w:rPr>
          <w:rFonts w:cs="Arial"/>
          <w:sz w:val="20"/>
          <w:szCs w:val="22"/>
          <w:lang w:val="sl-SI"/>
        </w:rPr>
        <w:t xml:space="preserve"> </w:t>
      </w:r>
      <w:r w:rsidRPr="00462D42">
        <w:rPr>
          <w:rFonts w:cs="Arial"/>
          <w:sz w:val="20"/>
          <w:szCs w:val="22"/>
          <w:lang w:val="sl-SI"/>
        </w:rPr>
        <w:t>povezovanja podjetij, povezovanja s kulturnimi in kreativnimi industrijami, svetovanja, itd. v okviru podjetniško inovacijskega ekosistema. V</w:t>
      </w:r>
      <w:r w:rsidR="00914DEA" w:rsidRPr="00462D42">
        <w:rPr>
          <w:rFonts w:cs="Arial"/>
          <w:sz w:val="20"/>
          <w:szCs w:val="22"/>
          <w:lang w:val="sl-SI"/>
        </w:rPr>
        <w:t xml:space="preserve"> </w:t>
      </w:r>
      <w:r w:rsidRPr="00462D42">
        <w:rPr>
          <w:rFonts w:cs="Arial"/>
          <w:sz w:val="20"/>
          <w:szCs w:val="22"/>
          <w:lang w:val="sl-SI"/>
        </w:rPr>
        <w:t>glavnem programu se zato povezujejo ukrepi, ki so usmerjeni v (i) podporo storitvam mreže VEM točk tako na nacionalni</w:t>
      </w:r>
      <w:r w:rsidR="002142F3">
        <w:rPr>
          <w:rFonts w:cs="Arial"/>
          <w:sz w:val="20"/>
          <w:szCs w:val="22"/>
          <w:lang w:val="sl-SI"/>
        </w:rPr>
        <w:t xml:space="preserve">, </w:t>
      </w:r>
      <w:r w:rsidRPr="00462D42">
        <w:rPr>
          <w:rFonts w:cs="Arial"/>
          <w:sz w:val="20"/>
          <w:szCs w:val="22"/>
          <w:lang w:val="sl-SI"/>
        </w:rPr>
        <w:t>kot tudi lokalni ravni, ki</w:t>
      </w:r>
      <w:r w:rsidR="00914DEA" w:rsidRPr="00462D42">
        <w:rPr>
          <w:rFonts w:cs="Arial"/>
          <w:sz w:val="20"/>
          <w:szCs w:val="22"/>
          <w:lang w:val="sl-SI"/>
        </w:rPr>
        <w:t xml:space="preserve"> </w:t>
      </w:r>
      <w:r w:rsidRPr="00462D42">
        <w:rPr>
          <w:rFonts w:cs="Arial"/>
          <w:sz w:val="20"/>
          <w:szCs w:val="22"/>
          <w:lang w:val="sl-SI"/>
        </w:rPr>
        <w:t>bodo zagotavljale celovito podporo potencialnim podjetnikom in delujočim podjetjem v vseh fazah življenjskega cikla podjetja ter (</w:t>
      </w:r>
      <w:proofErr w:type="spellStart"/>
      <w:r w:rsidRPr="00462D42">
        <w:rPr>
          <w:rFonts w:cs="Arial"/>
          <w:sz w:val="20"/>
          <w:szCs w:val="22"/>
          <w:lang w:val="sl-SI"/>
        </w:rPr>
        <w:t>ii</w:t>
      </w:r>
      <w:proofErr w:type="spellEnd"/>
      <w:r w:rsidRPr="00462D42">
        <w:rPr>
          <w:rFonts w:cs="Arial"/>
          <w:sz w:val="20"/>
          <w:szCs w:val="22"/>
          <w:lang w:val="sl-SI"/>
        </w:rPr>
        <w:t>) podporo</w:t>
      </w:r>
      <w:r w:rsidR="00914DEA" w:rsidRPr="00462D42">
        <w:rPr>
          <w:rFonts w:cs="Arial"/>
          <w:sz w:val="20"/>
          <w:szCs w:val="22"/>
          <w:lang w:val="sl-SI"/>
        </w:rPr>
        <w:t xml:space="preserve"> </w:t>
      </w:r>
      <w:r w:rsidRPr="00462D42">
        <w:rPr>
          <w:rFonts w:cs="Arial"/>
          <w:sz w:val="20"/>
          <w:szCs w:val="22"/>
          <w:lang w:val="sl-SI"/>
        </w:rPr>
        <w:t>storitvam inovativnega okolja ter (</w:t>
      </w:r>
      <w:proofErr w:type="spellStart"/>
      <w:r w:rsidRPr="00462D42">
        <w:rPr>
          <w:rFonts w:cs="Arial"/>
          <w:sz w:val="20"/>
          <w:szCs w:val="22"/>
          <w:lang w:val="sl-SI"/>
        </w:rPr>
        <w:t>iii</w:t>
      </w:r>
      <w:proofErr w:type="spellEnd"/>
      <w:r w:rsidRPr="00462D42">
        <w:rPr>
          <w:rFonts w:cs="Arial"/>
          <w:sz w:val="20"/>
          <w:szCs w:val="22"/>
          <w:lang w:val="sl-SI"/>
        </w:rPr>
        <w:t>) specializirane storitve za spodbujanje specifičnih vsebin ali ciljnih skupin preko ostalih subjektov podpornega</w:t>
      </w:r>
      <w:r w:rsidR="002142F3">
        <w:rPr>
          <w:rFonts w:cs="Arial"/>
          <w:sz w:val="20"/>
          <w:szCs w:val="22"/>
          <w:lang w:val="sl-SI"/>
        </w:rPr>
        <w:t xml:space="preserve"> </w:t>
      </w:r>
      <w:r w:rsidRPr="00462D42">
        <w:rPr>
          <w:rFonts w:cs="Arial"/>
          <w:sz w:val="20"/>
          <w:szCs w:val="22"/>
          <w:lang w:val="sl-SI"/>
        </w:rPr>
        <w:t>okolja. Poleg tega se izvajajo ukrepi za splošno promocijo podjetništva kot družbene kategorije, promocijo kompetenc ustvarjalnosti, podjetnosti ter</w:t>
      </w:r>
      <w:r w:rsidR="00914DEA" w:rsidRPr="00462D42">
        <w:rPr>
          <w:rFonts w:cs="Arial"/>
          <w:sz w:val="20"/>
          <w:szCs w:val="22"/>
          <w:lang w:val="sl-SI"/>
        </w:rPr>
        <w:t xml:space="preserve"> </w:t>
      </w:r>
      <w:r w:rsidRPr="00462D42">
        <w:rPr>
          <w:rFonts w:cs="Arial"/>
          <w:sz w:val="20"/>
          <w:szCs w:val="22"/>
          <w:lang w:val="sl-SI"/>
        </w:rPr>
        <w:t>inovativnosti v podjetjih, med mladimi in drugimi ciljnimi skupinam. Z evalvacijami, študijami in raziskavami se ugotavlja ustreznost ukrepov ter</w:t>
      </w:r>
      <w:r w:rsidR="00914DEA" w:rsidRPr="00462D42">
        <w:rPr>
          <w:rFonts w:cs="Arial"/>
          <w:sz w:val="20"/>
          <w:szCs w:val="22"/>
          <w:lang w:val="sl-SI"/>
        </w:rPr>
        <w:t xml:space="preserve"> </w:t>
      </w:r>
      <w:r w:rsidRPr="00462D42">
        <w:rPr>
          <w:rFonts w:cs="Arial"/>
          <w:sz w:val="20"/>
          <w:szCs w:val="22"/>
          <w:lang w:val="sl-SI"/>
        </w:rPr>
        <w:t>primerjavo slovenskega podjetništva s podjetništvom v drugih državah. Financirajo se aktivnosti, ki bodo v Sloveniji na področju lesarstva</w:t>
      </w:r>
      <w:r w:rsidR="00914DEA" w:rsidRPr="00462D42">
        <w:rPr>
          <w:rFonts w:cs="Arial"/>
          <w:sz w:val="20"/>
          <w:szCs w:val="22"/>
          <w:lang w:val="sl-SI"/>
        </w:rPr>
        <w:t xml:space="preserve"> </w:t>
      </w:r>
      <w:r w:rsidRPr="00462D42">
        <w:rPr>
          <w:rFonts w:cs="Arial"/>
          <w:sz w:val="20"/>
          <w:szCs w:val="22"/>
          <w:lang w:val="sl-SI"/>
        </w:rPr>
        <w:t>prispevale k povečanju obsega dejavnosti in povečanja števila delovnih mest, ki jih panoga zaposluje. Sredstva so namenjena npr. za promocijo</w:t>
      </w:r>
      <w:r w:rsidR="00914DEA" w:rsidRPr="00462D42">
        <w:rPr>
          <w:rFonts w:cs="Arial"/>
          <w:sz w:val="20"/>
          <w:szCs w:val="22"/>
          <w:lang w:val="sl-SI"/>
        </w:rPr>
        <w:t xml:space="preserve"> </w:t>
      </w:r>
      <w:r w:rsidRPr="00462D42">
        <w:rPr>
          <w:rFonts w:cs="Arial"/>
          <w:sz w:val="20"/>
          <w:szCs w:val="22"/>
          <w:lang w:val="sl-SI"/>
        </w:rPr>
        <w:t>rabe lesa, pospeševanje trženja in druge dejavnosti, ki jih ni mogoče sofinancirati iz EU sredstev. Predvidene so tudi aktivnosti podpore podjetjem</w:t>
      </w:r>
      <w:r w:rsidR="00914DEA" w:rsidRPr="00462D42">
        <w:rPr>
          <w:rFonts w:cs="Arial"/>
          <w:sz w:val="20"/>
          <w:szCs w:val="22"/>
          <w:lang w:val="sl-SI"/>
        </w:rPr>
        <w:t xml:space="preserve"> </w:t>
      </w:r>
      <w:r w:rsidRPr="00462D42">
        <w:rPr>
          <w:rFonts w:cs="Arial"/>
          <w:sz w:val="20"/>
          <w:szCs w:val="22"/>
          <w:lang w:val="sl-SI"/>
        </w:rPr>
        <w:t>za krepitev zmogljivosti in ustvarjanje podpornih sistemov za vstop v mrežne povezave ter v verige vrednosti, investicije v stroje in opremo,</w:t>
      </w:r>
      <w:r w:rsidR="00914DEA" w:rsidRPr="00462D42">
        <w:rPr>
          <w:rFonts w:cs="Arial"/>
          <w:sz w:val="20"/>
          <w:szCs w:val="22"/>
          <w:lang w:val="sl-SI"/>
        </w:rPr>
        <w:t xml:space="preserve"> </w:t>
      </w:r>
      <w:r w:rsidRPr="00462D42">
        <w:rPr>
          <w:rFonts w:cs="Arial"/>
          <w:sz w:val="20"/>
          <w:szCs w:val="22"/>
          <w:lang w:val="sl-SI"/>
        </w:rPr>
        <w:t>podporo poslovnim procesom za optimizacijo proizvodnje in povečanje dodane vrednosti, razvoj novih, inovativnih produktov in iskanje novih</w:t>
      </w:r>
      <w:r w:rsidR="00AD2ADE" w:rsidRPr="00462D42">
        <w:rPr>
          <w:rFonts w:cs="Arial"/>
          <w:sz w:val="20"/>
          <w:szCs w:val="22"/>
          <w:lang w:val="sl-SI"/>
        </w:rPr>
        <w:t xml:space="preserve"> </w:t>
      </w:r>
      <w:r w:rsidRPr="00462D42">
        <w:rPr>
          <w:rFonts w:cs="Arial"/>
          <w:sz w:val="20"/>
          <w:szCs w:val="22"/>
          <w:lang w:val="sl-SI"/>
        </w:rPr>
        <w:t>inovativnih rešitev za nove produkte ter vzpostavljanje novih poslovnih modelov.</w:t>
      </w:r>
    </w:p>
    <w:p w14:paraId="56D09AAE" w14:textId="77777777" w:rsidR="00404FC6" w:rsidRPr="00462D42" w:rsidRDefault="00404FC6" w:rsidP="00462D42">
      <w:pPr>
        <w:spacing w:line="260" w:lineRule="exact"/>
        <w:jc w:val="both"/>
        <w:rPr>
          <w:rFonts w:cs="Arial"/>
          <w:sz w:val="20"/>
          <w:szCs w:val="22"/>
          <w:lang w:val="sl-SI"/>
        </w:rPr>
      </w:pPr>
    </w:p>
    <w:p w14:paraId="7439F9D3" w14:textId="6FFE9392" w:rsidR="00C0397B" w:rsidRPr="00462D42" w:rsidRDefault="002142F3" w:rsidP="00462D42">
      <w:pPr>
        <w:pStyle w:val="Naslov2"/>
        <w:spacing w:after="0" w:line="260" w:lineRule="exact"/>
        <w:ind w:left="576" w:hanging="576"/>
        <w:jc w:val="both"/>
        <w:rPr>
          <w:sz w:val="20"/>
          <w:szCs w:val="22"/>
          <w:lang w:val="sl-SI"/>
        </w:rPr>
      </w:pPr>
      <w:r>
        <w:rPr>
          <w:sz w:val="20"/>
          <w:szCs w:val="22"/>
          <w:lang w:val="sl-SI"/>
        </w:rPr>
        <w:t>Politika 12 –</w:t>
      </w:r>
      <w:r w:rsidR="00C0397B" w:rsidRPr="00462D42">
        <w:rPr>
          <w:sz w:val="20"/>
          <w:szCs w:val="22"/>
          <w:lang w:val="sl-SI"/>
        </w:rPr>
        <w:t xml:space="preserve"> Viri energije in energetska učinkovitost</w:t>
      </w:r>
    </w:p>
    <w:p w14:paraId="2F57F45F" w14:textId="3190021A" w:rsidR="00C0397B" w:rsidRPr="00462D42" w:rsidRDefault="00E4060E" w:rsidP="00462D42">
      <w:pPr>
        <w:spacing w:line="260" w:lineRule="exact"/>
        <w:jc w:val="both"/>
        <w:rPr>
          <w:rFonts w:cs="Arial"/>
          <w:sz w:val="20"/>
          <w:szCs w:val="22"/>
          <w:lang w:val="sl-SI"/>
        </w:rPr>
      </w:pPr>
      <w:r w:rsidRPr="00462D42">
        <w:rPr>
          <w:rFonts w:cs="Arial"/>
          <w:sz w:val="20"/>
          <w:szCs w:val="22"/>
          <w:lang w:val="sl-SI"/>
        </w:rPr>
        <w:t>Zagotavljanje pogojev za zanesljivo, konkurenčno in okoljsko trajnostno oskrbo uporabnikov z energijo in energetskimi storitvami se uvršča med</w:t>
      </w:r>
      <w:r w:rsidR="006F0948" w:rsidRPr="00462D42">
        <w:rPr>
          <w:rFonts w:cs="Arial"/>
          <w:sz w:val="20"/>
          <w:szCs w:val="22"/>
          <w:lang w:val="sl-SI"/>
        </w:rPr>
        <w:t xml:space="preserve"> </w:t>
      </w:r>
      <w:r w:rsidRPr="00462D42">
        <w:rPr>
          <w:rFonts w:cs="Arial"/>
          <w:sz w:val="20"/>
          <w:szCs w:val="22"/>
          <w:lang w:val="sl-SI"/>
        </w:rPr>
        <w:t>najpomembnejše razvojne izzive sedanje družbe. Razvojna politika energetika preko strateških razvojnih dokumentov in operativnih programov</w:t>
      </w:r>
      <w:r w:rsidR="006F0948" w:rsidRPr="00462D42">
        <w:rPr>
          <w:rFonts w:cs="Arial"/>
          <w:sz w:val="20"/>
          <w:szCs w:val="22"/>
          <w:lang w:val="sl-SI"/>
        </w:rPr>
        <w:t xml:space="preserve"> </w:t>
      </w:r>
      <w:r w:rsidRPr="00462D42">
        <w:rPr>
          <w:rFonts w:cs="Arial"/>
          <w:sz w:val="20"/>
          <w:szCs w:val="22"/>
          <w:lang w:val="sl-SI"/>
        </w:rPr>
        <w:t>zasleduje cilje nacionalne energetske politike, ki so usmerjeni k povečanju strateške in obratovalne zanesljivosti oskrbe z energetskimi storitvami,</w:t>
      </w:r>
      <w:r w:rsidR="006F0948" w:rsidRPr="00462D42">
        <w:rPr>
          <w:rFonts w:cs="Arial"/>
          <w:sz w:val="20"/>
          <w:szCs w:val="22"/>
          <w:lang w:val="sl-SI"/>
        </w:rPr>
        <w:t xml:space="preserve"> </w:t>
      </w:r>
      <w:r w:rsidRPr="00462D42">
        <w:rPr>
          <w:rFonts w:cs="Arial"/>
          <w:sz w:val="20"/>
          <w:szCs w:val="22"/>
          <w:lang w:val="sl-SI"/>
        </w:rPr>
        <w:t>zagotavljanju konkurenčnosti gospodarstva ter razpoložljive in dostopne energije, spodbujanju okoljske trajnosti in boju proti podnebnim</w:t>
      </w:r>
      <w:r w:rsidR="006F0948" w:rsidRPr="00462D42">
        <w:rPr>
          <w:rFonts w:cs="Arial"/>
          <w:sz w:val="20"/>
          <w:szCs w:val="22"/>
          <w:lang w:val="sl-SI"/>
        </w:rPr>
        <w:t xml:space="preserve"> </w:t>
      </w:r>
      <w:r w:rsidRPr="00462D42">
        <w:rPr>
          <w:rFonts w:cs="Arial"/>
          <w:sz w:val="20"/>
          <w:szCs w:val="22"/>
          <w:lang w:val="sl-SI"/>
        </w:rPr>
        <w:t>spremembam ter zagotavljanju socialne kohezivnosti. Z uravnoteženim doseganjem zastavljenih ciljev bo omogočeno aktivno ravnanje z energijo in</w:t>
      </w:r>
      <w:r w:rsidR="006F0948" w:rsidRPr="00462D42">
        <w:rPr>
          <w:rFonts w:cs="Arial"/>
          <w:sz w:val="20"/>
          <w:szCs w:val="22"/>
          <w:lang w:val="sl-SI"/>
        </w:rPr>
        <w:t xml:space="preserve"> </w:t>
      </w:r>
      <w:r w:rsidRPr="00462D42">
        <w:rPr>
          <w:rFonts w:cs="Arial"/>
          <w:sz w:val="20"/>
          <w:szCs w:val="22"/>
          <w:lang w:val="sl-SI"/>
        </w:rPr>
        <w:t>dolgoročen prehod Slovenije v nizkoogljično družbo. Prednostna področja energetske politike so učinkovita raba energije, izraba obnovljivih virov</w:t>
      </w:r>
      <w:r w:rsidR="006F0948" w:rsidRPr="00462D42">
        <w:rPr>
          <w:rFonts w:cs="Arial"/>
          <w:sz w:val="20"/>
          <w:szCs w:val="22"/>
          <w:lang w:val="sl-SI"/>
        </w:rPr>
        <w:t xml:space="preserve"> </w:t>
      </w:r>
      <w:r w:rsidRPr="00462D42">
        <w:rPr>
          <w:rFonts w:cs="Arial"/>
          <w:sz w:val="20"/>
          <w:szCs w:val="22"/>
          <w:lang w:val="sl-SI"/>
        </w:rPr>
        <w:t>energije in razvoj pametnih aktivnih omrežij za distribucijo električne energije. Okvir delovanja zajema zasledovanje ključnih ciljev nacionalne</w:t>
      </w:r>
      <w:r w:rsidR="006F0948" w:rsidRPr="00462D42">
        <w:rPr>
          <w:rFonts w:cs="Arial"/>
          <w:sz w:val="20"/>
          <w:szCs w:val="22"/>
          <w:lang w:val="sl-SI"/>
        </w:rPr>
        <w:t xml:space="preserve"> </w:t>
      </w:r>
      <w:r w:rsidRPr="00462D42">
        <w:rPr>
          <w:rFonts w:cs="Arial"/>
          <w:sz w:val="20"/>
          <w:szCs w:val="22"/>
          <w:lang w:val="sl-SI"/>
        </w:rPr>
        <w:t>energetske politike: • zanesljiva, trajnostna in konkurenčna oskrba z energijo, •</w:t>
      </w:r>
      <w:r w:rsidR="00C8732A" w:rsidRPr="00462D42">
        <w:rPr>
          <w:rFonts w:cs="Arial"/>
          <w:sz w:val="20"/>
          <w:szCs w:val="22"/>
          <w:lang w:val="sl-SI"/>
        </w:rPr>
        <w:t> </w:t>
      </w:r>
      <w:r w:rsidRPr="00462D42">
        <w:rPr>
          <w:rFonts w:cs="Arial"/>
          <w:sz w:val="20"/>
          <w:szCs w:val="22"/>
          <w:lang w:val="sl-SI"/>
        </w:rPr>
        <w:t>povečanje energetske učinkovitosti, • oskrba z energijo iz obnovljivih</w:t>
      </w:r>
      <w:r w:rsidR="006F0948" w:rsidRPr="00462D42">
        <w:rPr>
          <w:rFonts w:cs="Arial"/>
          <w:sz w:val="20"/>
          <w:szCs w:val="22"/>
          <w:lang w:val="sl-SI"/>
        </w:rPr>
        <w:t xml:space="preserve"> </w:t>
      </w:r>
      <w:r w:rsidRPr="00462D42">
        <w:rPr>
          <w:rFonts w:cs="Arial"/>
          <w:sz w:val="20"/>
          <w:szCs w:val="22"/>
          <w:lang w:val="sl-SI"/>
        </w:rPr>
        <w:t>virov energije.</w:t>
      </w:r>
    </w:p>
    <w:p w14:paraId="7182A93E" w14:textId="77777777" w:rsidR="00E4060E" w:rsidRDefault="00E4060E" w:rsidP="00462D42">
      <w:pPr>
        <w:spacing w:line="260" w:lineRule="exact"/>
        <w:jc w:val="both"/>
        <w:rPr>
          <w:rFonts w:cs="Arial"/>
          <w:sz w:val="20"/>
          <w:szCs w:val="22"/>
          <w:lang w:val="sl-SI"/>
        </w:rPr>
      </w:pPr>
    </w:p>
    <w:p w14:paraId="6FA55495" w14:textId="77777777" w:rsidR="002142F3" w:rsidRDefault="002142F3" w:rsidP="00462D42">
      <w:pPr>
        <w:spacing w:line="260" w:lineRule="exact"/>
        <w:jc w:val="both"/>
        <w:rPr>
          <w:rFonts w:cs="Arial"/>
          <w:sz w:val="20"/>
          <w:szCs w:val="22"/>
          <w:lang w:val="sl-SI"/>
        </w:rPr>
      </w:pPr>
    </w:p>
    <w:p w14:paraId="34AADBC7" w14:textId="77777777" w:rsidR="002142F3" w:rsidRPr="00462D42" w:rsidRDefault="002142F3" w:rsidP="00462D42">
      <w:pPr>
        <w:spacing w:line="260" w:lineRule="exact"/>
        <w:jc w:val="both"/>
        <w:rPr>
          <w:rFonts w:cs="Arial"/>
          <w:sz w:val="20"/>
          <w:szCs w:val="22"/>
          <w:lang w:val="sl-SI"/>
        </w:rPr>
      </w:pPr>
    </w:p>
    <w:p w14:paraId="5C46A824" w14:textId="31283C7D" w:rsidR="00C0397B" w:rsidRPr="00462D42" w:rsidRDefault="00C0397B" w:rsidP="00462D42">
      <w:pPr>
        <w:pStyle w:val="Naslov3"/>
        <w:numPr>
          <w:ilvl w:val="2"/>
          <w:numId w:val="0"/>
        </w:numPr>
        <w:spacing w:before="0" w:line="260" w:lineRule="exact"/>
        <w:ind w:left="720" w:hanging="720"/>
        <w:jc w:val="both"/>
        <w:rPr>
          <w:rFonts w:cs="Arial"/>
          <w:sz w:val="20"/>
          <w:szCs w:val="22"/>
          <w:lang w:val="sl-SI"/>
        </w:rPr>
      </w:pPr>
      <w:r w:rsidRPr="00462D42">
        <w:rPr>
          <w:rFonts w:cs="Arial"/>
          <w:sz w:val="20"/>
          <w:szCs w:val="22"/>
          <w:lang w:val="sl-SI"/>
        </w:rPr>
        <w:lastRenderedPageBreak/>
        <w:t xml:space="preserve">Glavni program 1202 </w:t>
      </w:r>
      <w:r w:rsidR="002142F3">
        <w:rPr>
          <w:rFonts w:cs="Arial"/>
          <w:sz w:val="20"/>
          <w:szCs w:val="22"/>
          <w:lang w:val="sl-SI"/>
        </w:rPr>
        <w:t>–</w:t>
      </w:r>
      <w:r w:rsidRPr="00462D42">
        <w:rPr>
          <w:rFonts w:cs="Arial"/>
          <w:sz w:val="20"/>
          <w:szCs w:val="22"/>
          <w:lang w:val="sl-SI"/>
        </w:rPr>
        <w:t xml:space="preserve"> Oskrba z energijo in energetska učinkovitost</w:t>
      </w:r>
    </w:p>
    <w:p w14:paraId="1DAD5FCC" w14:textId="77777777" w:rsidR="00C0397B" w:rsidRPr="00462D42" w:rsidRDefault="00C0397B" w:rsidP="00462D42">
      <w:pPr>
        <w:spacing w:line="260" w:lineRule="exact"/>
        <w:jc w:val="both"/>
        <w:rPr>
          <w:rFonts w:cs="Arial"/>
          <w:sz w:val="20"/>
          <w:szCs w:val="22"/>
          <w:lang w:val="sl-SI"/>
        </w:rPr>
      </w:pPr>
    </w:p>
    <w:p w14:paraId="5A33F580" w14:textId="2691028F" w:rsidR="00C0397B" w:rsidRPr="00462D42" w:rsidRDefault="00522C33" w:rsidP="00462D42">
      <w:pPr>
        <w:spacing w:line="260" w:lineRule="exact"/>
        <w:jc w:val="both"/>
        <w:rPr>
          <w:rFonts w:cs="Arial"/>
          <w:sz w:val="20"/>
          <w:szCs w:val="22"/>
          <w:lang w:val="sl-SI"/>
        </w:rPr>
      </w:pPr>
      <w:r w:rsidRPr="00462D42">
        <w:rPr>
          <w:rFonts w:cs="Arial"/>
          <w:sz w:val="20"/>
          <w:szCs w:val="22"/>
          <w:lang w:val="sl-SI"/>
        </w:rPr>
        <w:t>Program združuje aktivnosti</w:t>
      </w:r>
      <w:r w:rsidR="002142F3">
        <w:rPr>
          <w:rFonts w:cs="Arial"/>
          <w:sz w:val="20"/>
          <w:szCs w:val="22"/>
          <w:lang w:val="sl-SI"/>
        </w:rPr>
        <w:t xml:space="preserve">, </w:t>
      </w:r>
      <w:r w:rsidRPr="00462D42">
        <w:rPr>
          <w:rFonts w:cs="Arial"/>
          <w:sz w:val="20"/>
          <w:szCs w:val="22"/>
          <w:lang w:val="sl-SI"/>
        </w:rPr>
        <w:t>povezane z zavezujočimi cilji evropske in nacionalne energetske politike za zagotavljanje zanesljive, trajnostne in</w:t>
      </w:r>
      <w:r w:rsidR="006F0948" w:rsidRPr="00462D42">
        <w:rPr>
          <w:rFonts w:cs="Arial"/>
          <w:sz w:val="20"/>
          <w:szCs w:val="22"/>
          <w:lang w:val="sl-SI"/>
        </w:rPr>
        <w:t xml:space="preserve"> </w:t>
      </w:r>
      <w:r w:rsidRPr="00462D42">
        <w:rPr>
          <w:rFonts w:cs="Arial"/>
          <w:sz w:val="20"/>
          <w:szCs w:val="22"/>
          <w:lang w:val="sl-SI"/>
        </w:rPr>
        <w:t>konkurenčne oskrbe z energijo, in sicer: • povečanjem deleža obnovljivih virov energije v rabi bruto končne energije na 25 % do leta 2020 (Direktiva</w:t>
      </w:r>
      <w:r w:rsidR="006F0948" w:rsidRPr="00462D42">
        <w:rPr>
          <w:rFonts w:cs="Arial"/>
          <w:sz w:val="20"/>
          <w:szCs w:val="22"/>
          <w:lang w:val="sl-SI"/>
        </w:rPr>
        <w:t xml:space="preserve"> </w:t>
      </w:r>
      <w:r w:rsidRPr="00462D42">
        <w:rPr>
          <w:rFonts w:cs="Arial"/>
          <w:sz w:val="20"/>
          <w:szCs w:val="22"/>
          <w:lang w:val="sl-SI"/>
        </w:rPr>
        <w:t>28/2009/ES o spodbujanju uporabe obnovljivih virov), • doseganjem 20 % izboljšanja energetske učinkovitosti do leta 2020 (Direktiva 2012/27/ES o</w:t>
      </w:r>
      <w:r w:rsidR="006F0948" w:rsidRPr="00462D42">
        <w:rPr>
          <w:rFonts w:cs="Arial"/>
          <w:sz w:val="20"/>
          <w:szCs w:val="22"/>
          <w:lang w:val="sl-SI"/>
        </w:rPr>
        <w:t xml:space="preserve"> </w:t>
      </w:r>
      <w:r w:rsidRPr="00462D42">
        <w:rPr>
          <w:rFonts w:cs="Arial"/>
          <w:sz w:val="20"/>
          <w:szCs w:val="22"/>
          <w:lang w:val="sl-SI"/>
        </w:rPr>
        <w:t>energetski učinkovitosti), • doseganjem vsakoletne prenove 3 % skupne tlorisne površine stavb v lasti in r</w:t>
      </w:r>
      <w:r w:rsidR="002142F3">
        <w:rPr>
          <w:rFonts w:cs="Arial"/>
          <w:sz w:val="20"/>
          <w:szCs w:val="22"/>
          <w:lang w:val="sl-SI"/>
        </w:rPr>
        <w:t>abi oseb ožjega javnega sektorja</w:t>
      </w:r>
      <w:r w:rsidR="006F0948" w:rsidRPr="00462D42">
        <w:rPr>
          <w:rFonts w:cs="Arial"/>
          <w:sz w:val="20"/>
          <w:szCs w:val="22"/>
          <w:lang w:val="sl-SI"/>
        </w:rPr>
        <w:t xml:space="preserve"> </w:t>
      </w:r>
      <w:r w:rsidRPr="00462D42">
        <w:rPr>
          <w:rFonts w:cs="Arial"/>
          <w:sz w:val="20"/>
          <w:szCs w:val="22"/>
          <w:lang w:val="sl-SI"/>
        </w:rPr>
        <w:t>(Direktiva 2012/27/ES o energetski učinkovitosti), • razvojem pametnih omrežij kot eno temeljnih usmeritev energetske politike države, ki omogoča</w:t>
      </w:r>
      <w:r w:rsidR="006F0948" w:rsidRPr="00462D42">
        <w:rPr>
          <w:rFonts w:cs="Arial"/>
          <w:sz w:val="20"/>
          <w:szCs w:val="22"/>
          <w:lang w:val="sl-SI"/>
        </w:rPr>
        <w:t xml:space="preserve"> </w:t>
      </w:r>
      <w:r w:rsidRPr="00462D42">
        <w:rPr>
          <w:rFonts w:cs="Arial"/>
          <w:sz w:val="20"/>
          <w:szCs w:val="22"/>
          <w:lang w:val="sl-SI"/>
        </w:rPr>
        <w:t>povečanje zanesljivosti prenosa električne energije, zmanjšanje stroškov vzdrževanja in obratovanja in povečanje zanesljivosti obratovanja</w:t>
      </w:r>
      <w:r w:rsidR="006F0948" w:rsidRPr="00462D42">
        <w:rPr>
          <w:rFonts w:cs="Arial"/>
          <w:sz w:val="20"/>
          <w:szCs w:val="22"/>
          <w:lang w:val="sl-SI"/>
        </w:rPr>
        <w:t xml:space="preserve"> </w:t>
      </w:r>
      <w:r w:rsidRPr="00462D42">
        <w:rPr>
          <w:rFonts w:cs="Arial"/>
          <w:sz w:val="20"/>
          <w:szCs w:val="22"/>
          <w:lang w:val="sl-SI"/>
        </w:rPr>
        <w:t>prenosnega elektroenergetske</w:t>
      </w:r>
      <w:r w:rsidR="00AD2ADE" w:rsidRPr="00462D42">
        <w:rPr>
          <w:rFonts w:cs="Arial"/>
          <w:sz w:val="20"/>
          <w:szCs w:val="22"/>
          <w:lang w:val="sl-SI"/>
        </w:rPr>
        <w:t>ga</w:t>
      </w:r>
      <w:r w:rsidRPr="00462D42">
        <w:rPr>
          <w:rFonts w:cs="Arial"/>
          <w:sz w:val="20"/>
          <w:szCs w:val="22"/>
          <w:lang w:val="sl-SI"/>
        </w:rPr>
        <w:t xml:space="preserve"> sistema.</w:t>
      </w:r>
    </w:p>
    <w:p w14:paraId="54B0E9BF" w14:textId="77777777" w:rsidR="00522C33" w:rsidRPr="00462D42" w:rsidRDefault="00522C33" w:rsidP="00462D42">
      <w:pPr>
        <w:spacing w:line="260" w:lineRule="exact"/>
        <w:jc w:val="both"/>
        <w:rPr>
          <w:rFonts w:cs="Arial"/>
          <w:sz w:val="20"/>
          <w:szCs w:val="22"/>
          <w:lang w:val="sl-SI"/>
        </w:rPr>
      </w:pPr>
    </w:p>
    <w:p w14:paraId="165E187A" w14:textId="583F11D8" w:rsidR="00C0397B" w:rsidRPr="00462D42" w:rsidRDefault="002142F3" w:rsidP="00462D42">
      <w:pPr>
        <w:pStyle w:val="Naslov2"/>
        <w:spacing w:after="0" w:line="260" w:lineRule="exact"/>
        <w:ind w:left="576" w:hanging="576"/>
        <w:jc w:val="both"/>
        <w:rPr>
          <w:sz w:val="20"/>
          <w:szCs w:val="22"/>
          <w:lang w:val="sl-SI"/>
        </w:rPr>
      </w:pPr>
      <w:r>
        <w:rPr>
          <w:sz w:val="20"/>
          <w:szCs w:val="22"/>
          <w:lang w:val="sl-SI"/>
        </w:rPr>
        <w:t>Politika 16 –</w:t>
      </w:r>
      <w:r w:rsidR="00C0397B" w:rsidRPr="00462D42">
        <w:rPr>
          <w:sz w:val="20"/>
          <w:szCs w:val="22"/>
          <w:lang w:val="sl-SI"/>
        </w:rPr>
        <w:t xml:space="preserve"> Prostorsko planiranje in stanovanjska dejavnost</w:t>
      </w:r>
    </w:p>
    <w:p w14:paraId="32195527" w14:textId="1D16A521" w:rsidR="00C0397B" w:rsidRPr="00462D42" w:rsidRDefault="00522C33" w:rsidP="00462D42">
      <w:pPr>
        <w:spacing w:line="260" w:lineRule="exact"/>
        <w:jc w:val="both"/>
        <w:rPr>
          <w:rFonts w:cs="Arial"/>
          <w:sz w:val="20"/>
          <w:szCs w:val="22"/>
          <w:lang w:val="sl-SI"/>
        </w:rPr>
      </w:pPr>
      <w:r w:rsidRPr="00462D42">
        <w:rPr>
          <w:rFonts w:cs="Arial"/>
          <w:sz w:val="20"/>
          <w:szCs w:val="22"/>
          <w:lang w:val="sl-SI"/>
        </w:rPr>
        <w:t>Ključni namen politike je zagotavljanje kvalitetnega bivalnega okolja za vse prebivalke in prebivalce Republike Slovenije ter spodbujanje aktivnosti</w:t>
      </w:r>
      <w:r w:rsidR="006F0948" w:rsidRPr="00462D42">
        <w:rPr>
          <w:rFonts w:cs="Arial"/>
          <w:sz w:val="20"/>
          <w:szCs w:val="22"/>
          <w:lang w:val="sl-SI"/>
        </w:rPr>
        <w:t xml:space="preserve"> </w:t>
      </w:r>
      <w:r w:rsidRPr="00462D42">
        <w:rPr>
          <w:rFonts w:cs="Arial"/>
          <w:sz w:val="20"/>
          <w:szCs w:val="22"/>
          <w:lang w:val="sl-SI"/>
        </w:rPr>
        <w:t>in usklajevanje za doseganje trajnostnega razvoja, ki ob skrbi za družbeno blaginjo temelji na smotrni rabi virov. Prostorski razvoj naših mest, trgov</w:t>
      </w:r>
      <w:r w:rsidR="006F0948" w:rsidRPr="00462D42">
        <w:rPr>
          <w:rFonts w:cs="Arial"/>
          <w:sz w:val="20"/>
          <w:szCs w:val="22"/>
          <w:lang w:val="sl-SI"/>
        </w:rPr>
        <w:t xml:space="preserve"> </w:t>
      </w:r>
      <w:r w:rsidRPr="00462D42">
        <w:rPr>
          <w:rFonts w:cs="Arial"/>
          <w:sz w:val="20"/>
          <w:szCs w:val="22"/>
          <w:lang w:val="sl-SI"/>
        </w:rPr>
        <w:t>in vasi se usmerja tako, da se ohranja in razvija kakovost stavbne, naselbinske dediščine ter kulturne krajine in obenem omogoča gospodarski,</w:t>
      </w:r>
      <w:r w:rsidR="006F0948" w:rsidRPr="00462D42">
        <w:rPr>
          <w:rFonts w:cs="Arial"/>
          <w:sz w:val="20"/>
          <w:szCs w:val="22"/>
          <w:lang w:val="sl-SI"/>
        </w:rPr>
        <w:t xml:space="preserve"> </w:t>
      </w:r>
      <w:r w:rsidRPr="00462D42">
        <w:rPr>
          <w:rFonts w:cs="Arial"/>
          <w:sz w:val="20"/>
          <w:szCs w:val="22"/>
          <w:lang w:val="sl-SI"/>
        </w:rPr>
        <w:t>družbeni in kulturni razvoj v prostoru. Zagotavlja se tudi takšen razvoj v prostoru, ki bo človekove dejavnosti usmerjal na način, da bodo ob</w:t>
      </w:r>
      <w:r w:rsidR="006F0948" w:rsidRPr="00462D42">
        <w:rPr>
          <w:rFonts w:cs="Arial"/>
          <w:sz w:val="20"/>
          <w:szCs w:val="22"/>
          <w:lang w:val="sl-SI"/>
        </w:rPr>
        <w:t xml:space="preserve"> </w:t>
      </w:r>
      <w:r w:rsidRPr="00462D42">
        <w:rPr>
          <w:rFonts w:cs="Arial"/>
          <w:sz w:val="20"/>
          <w:szCs w:val="22"/>
          <w:lang w:val="sl-SI"/>
        </w:rPr>
        <w:t>naravnih nesrečah kar najmanj prizadete. Za večjo učinkovitost in za širši konsenz o prostorskem razvoju se zagotavlja sodelovanje z ostalimi resorji</w:t>
      </w:r>
      <w:r w:rsidR="006F0948" w:rsidRPr="00462D42">
        <w:rPr>
          <w:rFonts w:cs="Arial"/>
          <w:sz w:val="20"/>
          <w:szCs w:val="22"/>
          <w:lang w:val="sl-SI"/>
        </w:rPr>
        <w:t xml:space="preserve"> </w:t>
      </w:r>
      <w:r w:rsidRPr="00462D42">
        <w:rPr>
          <w:rFonts w:cs="Arial"/>
          <w:sz w:val="20"/>
          <w:szCs w:val="22"/>
          <w:lang w:val="sl-SI"/>
        </w:rPr>
        <w:t>in lokalnimi skupnostmi po načelih partnerstva in subsidiarnosti. Zagotavlja se odprtost pri oblikovanju politik s spodbujanjem sodelovanja</w:t>
      </w:r>
      <w:r w:rsidR="006F0948" w:rsidRPr="00462D42">
        <w:rPr>
          <w:rFonts w:cs="Arial"/>
          <w:sz w:val="20"/>
          <w:szCs w:val="22"/>
          <w:lang w:val="sl-SI"/>
        </w:rPr>
        <w:t xml:space="preserve"> </w:t>
      </w:r>
      <w:r w:rsidRPr="00462D42">
        <w:rPr>
          <w:rFonts w:cs="Arial"/>
          <w:sz w:val="20"/>
          <w:szCs w:val="22"/>
          <w:lang w:val="sl-SI"/>
        </w:rPr>
        <w:t>posameznikov in skupin ter organizacij civilne družbe. Predvsem pa se stremi h krepitvi zavesti o skupni odgovornosti za stanje v prostoru med</w:t>
      </w:r>
      <w:r w:rsidR="006F0948" w:rsidRPr="00462D42">
        <w:rPr>
          <w:rFonts w:cs="Arial"/>
          <w:sz w:val="20"/>
          <w:szCs w:val="22"/>
          <w:lang w:val="sl-SI"/>
        </w:rPr>
        <w:t xml:space="preserve"> </w:t>
      </w:r>
      <w:r w:rsidRPr="00462D42">
        <w:rPr>
          <w:rFonts w:cs="Arial"/>
          <w:sz w:val="20"/>
          <w:szCs w:val="22"/>
          <w:lang w:val="sl-SI"/>
        </w:rPr>
        <w:t>vsemi prebivalkami in prebivalci Republike Slovenije. V okviru te politike se izvajajo naloge na področju prostorskega in urbanega razvoja,</w:t>
      </w:r>
      <w:r w:rsidR="006F0948" w:rsidRPr="00462D42">
        <w:rPr>
          <w:rFonts w:cs="Arial"/>
          <w:sz w:val="20"/>
          <w:szCs w:val="22"/>
          <w:lang w:val="sl-SI"/>
        </w:rPr>
        <w:t xml:space="preserve"> </w:t>
      </w:r>
      <w:r w:rsidRPr="00462D42">
        <w:rPr>
          <w:rFonts w:cs="Arial"/>
          <w:sz w:val="20"/>
          <w:szCs w:val="22"/>
          <w:lang w:val="sl-SI"/>
        </w:rPr>
        <w:t>spremljanja stanja in trendov v prostoru, razvoja, spodbujanja in promocije urejanja prostora, zemljiške politike, državnega, regionalnega in</w:t>
      </w:r>
      <w:r w:rsidR="006F0948" w:rsidRPr="00462D42">
        <w:rPr>
          <w:rFonts w:cs="Arial"/>
          <w:sz w:val="20"/>
          <w:szCs w:val="22"/>
          <w:lang w:val="sl-SI"/>
        </w:rPr>
        <w:t xml:space="preserve"> </w:t>
      </w:r>
      <w:r w:rsidRPr="00462D42">
        <w:rPr>
          <w:rFonts w:cs="Arial"/>
          <w:sz w:val="20"/>
          <w:szCs w:val="22"/>
          <w:lang w:val="sl-SI"/>
        </w:rPr>
        <w:t>občinskega prostorskega načrtovanja, graditve objektov ter stanovanjske politike. Geodetska uprava RS s svojimi prostorskimi podatki zagotavlja</w:t>
      </w:r>
      <w:r w:rsidR="006F0948" w:rsidRPr="00462D42">
        <w:rPr>
          <w:rFonts w:cs="Arial"/>
          <w:sz w:val="20"/>
          <w:szCs w:val="22"/>
          <w:lang w:val="sl-SI"/>
        </w:rPr>
        <w:t xml:space="preserve"> </w:t>
      </w:r>
      <w:r w:rsidRPr="00462D42">
        <w:rPr>
          <w:rFonts w:cs="Arial"/>
          <w:sz w:val="20"/>
          <w:szCs w:val="22"/>
          <w:lang w:val="sl-SI"/>
        </w:rPr>
        <w:t>obvladovanje prostora, kot so meje državnega ozemlja, varovanje lastnine nepremičnin ter gospodarjenje in upravljanje s prostorom. S svojimi</w:t>
      </w:r>
      <w:r w:rsidR="006F0948" w:rsidRPr="00462D42">
        <w:rPr>
          <w:rFonts w:cs="Arial"/>
          <w:sz w:val="20"/>
          <w:szCs w:val="22"/>
          <w:lang w:val="sl-SI"/>
        </w:rPr>
        <w:t xml:space="preserve"> </w:t>
      </w:r>
      <w:r w:rsidRPr="00462D42">
        <w:rPr>
          <w:rFonts w:cs="Arial"/>
          <w:sz w:val="20"/>
          <w:szCs w:val="22"/>
          <w:lang w:val="sl-SI"/>
        </w:rPr>
        <w:t>raznovrstnimi podatki in vodenimi evidencami zagotavlja temelje za prostorski razvoj.</w:t>
      </w:r>
    </w:p>
    <w:p w14:paraId="19CAC77C" w14:textId="77777777" w:rsidR="00522C33" w:rsidRPr="00462D42" w:rsidRDefault="00522C33" w:rsidP="00462D42">
      <w:pPr>
        <w:spacing w:line="260" w:lineRule="exact"/>
        <w:jc w:val="both"/>
        <w:rPr>
          <w:rFonts w:cs="Arial"/>
          <w:sz w:val="20"/>
          <w:szCs w:val="22"/>
          <w:lang w:val="sl-SI"/>
        </w:rPr>
      </w:pPr>
    </w:p>
    <w:p w14:paraId="650023B9" w14:textId="3CD28C3D" w:rsidR="00FC4417" w:rsidRPr="00462D42" w:rsidRDefault="00FC4417" w:rsidP="00462D42">
      <w:pPr>
        <w:pStyle w:val="Naslov3"/>
        <w:numPr>
          <w:ilvl w:val="2"/>
          <w:numId w:val="0"/>
        </w:numPr>
        <w:spacing w:before="0" w:line="260" w:lineRule="exact"/>
        <w:ind w:left="720" w:hanging="720"/>
        <w:jc w:val="both"/>
        <w:rPr>
          <w:rFonts w:cs="Arial"/>
          <w:sz w:val="20"/>
          <w:szCs w:val="22"/>
          <w:lang w:val="sl-SI"/>
        </w:rPr>
      </w:pPr>
      <w:r w:rsidRPr="00462D42">
        <w:rPr>
          <w:rFonts w:cs="Arial"/>
          <w:sz w:val="20"/>
          <w:szCs w:val="22"/>
          <w:lang w:val="sl-SI"/>
        </w:rPr>
        <w:t xml:space="preserve">Glavni program 1602 </w:t>
      </w:r>
      <w:r w:rsidR="002142F3">
        <w:rPr>
          <w:rFonts w:cs="Arial"/>
          <w:sz w:val="20"/>
          <w:szCs w:val="22"/>
          <w:lang w:val="sl-SI"/>
        </w:rPr>
        <w:t>–</w:t>
      </w:r>
      <w:r w:rsidRPr="00462D42">
        <w:rPr>
          <w:rFonts w:cs="Arial"/>
          <w:sz w:val="20"/>
          <w:szCs w:val="22"/>
          <w:lang w:val="sl-SI"/>
        </w:rPr>
        <w:t xml:space="preserve"> Upravljanje s prostorom</w:t>
      </w:r>
    </w:p>
    <w:p w14:paraId="5167628C" w14:textId="77777777" w:rsidR="00FC4417" w:rsidRPr="00462D42" w:rsidRDefault="00FC4417" w:rsidP="00462D42">
      <w:pPr>
        <w:spacing w:line="260" w:lineRule="exact"/>
        <w:jc w:val="both"/>
        <w:rPr>
          <w:rFonts w:cs="Arial"/>
          <w:sz w:val="20"/>
          <w:szCs w:val="22"/>
          <w:lang w:val="sl-SI"/>
        </w:rPr>
      </w:pPr>
    </w:p>
    <w:p w14:paraId="29DDE753" w14:textId="391CFD2E" w:rsidR="00FA7969" w:rsidRPr="00462D42" w:rsidRDefault="00522C33" w:rsidP="00462D42">
      <w:pPr>
        <w:spacing w:line="260" w:lineRule="exact"/>
        <w:jc w:val="both"/>
        <w:rPr>
          <w:rFonts w:cs="Arial"/>
          <w:sz w:val="20"/>
          <w:szCs w:val="22"/>
          <w:lang w:val="sl-SI"/>
        </w:rPr>
      </w:pPr>
      <w:r w:rsidRPr="00462D42">
        <w:rPr>
          <w:rFonts w:cs="Arial"/>
          <w:sz w:val="20"/>
          <w:szCs w:val="22"/>
          <w:lang w:val="sl-SI"/>
        </w:rPr>
        <w:t>V okviru programa se izvajajo aktivnosti za izvajanje politike na področju prostorskega/teritorialnega razvoja in kvalitetne gradnje. V skladu z</w:t>
      </w:r>
      <w:r w:rsidR="006F0948" w:rsidRPr="00462D42">
        <w:rPr>
          <w:rFonts w:cs="Arial"/>
          <w:sz w:val="20"/>
          <w:szCs w:val="22"/>
          <w:lang w:val="sl-SI"/>
        </w:rPr>
        <w:t xml:space="preserve"> </w:t>
      </w:r>
      <w:r w:rsidRPr="00462D42">
        <w:rPr>
          <w:rFonts w:cs="Arial"/>
          <w:sz w:val="20"/>
          <w:szCs w:val="22"/>
          <w:lang w:val="sl-SI"/>
        </w:rPr>
        <w:t>zakonskimi pristojnostmi se izvajajo naloge na področju prostorskega/teritorialnega in urbanega razvoja, spremljanja stanja in trendov v prostoru ter</w:t>
      </w:r>
      <w:r w:rsidR="006F0948" w:rsidRPr="00462D42">
        <w:rPr>
          <w:rFonts w:cs="Arial"/>
          <w:sz w:val="20"/>
          <w:szCs w:val="22"/>
          <w:lang w:val="sl-SI"/>
        </w:rPr>
        <w:t xml:space="preserve"> </w:t>
      </w:r>
      <w:r w:rsidRPr="00462D42">
        <w:rPr>
          <w:rFonts w:cs="Arial"/>
          <w:sz w:val="20"/>
          <w:szCs w:val="22"/>
          <w:lang w:val="sl-SI"/>
        </w:rPr>
        <w:t>vzpostavitve in delovanja prostorskega informacijskega sistema, razvoja, spodbujanja in promocije urejanja prostora, zemljiške politike, državnega,</w:t>
      </w:r>
      <w:r w:rsidR="006F0948" w:rsidRPr="00462D42">
        <w:rPr>
          <w:rFonts w:cs="Arial"/>
          <w:sz w:val="20"/>
          <w:szCs w:val="22"/>
          <w:lang w:val="sl-SI"/>
        </w:rPr>
        <w:t xml:space="preserve"> regionalnega in občinskega prostorskega </w:t>
      </w:r>
      <w:proofErr w:type="spellStart"/>
      <w:r w:rsidR="006F0948" w:rsidRPr="00462D42">
        <w:rPr>
          <w:rFonts w:cs="Arial"/>
          <w:sz w:val="20"/>
          <w:szCs w:val="22"/>
          <w:lang w:val="sl-SI"/>
        </w:rPr>
        <w:t>nalčrtovanja</w:t>
      </w:r>
      <w:proofErr w:type="spellEnd"/>
      <w:r w:rsidR="006F0948" w:rsidRPr="00462D42">
        <w:rPr>
          <w:rFonts w:cs="Arial"/>
          <w:sz w:val="20"/>
          <w:szCs w:val="22"/>
          <w:lang w:val="sl-SI"/>
        </w:rPr>
        <w:t xml:space="preserve">, graditve objektov ter uveljavljanja nacionalnih interesov s področja </w:t>
      </w:r>
      <w:r w:rsidRPr="00462D42">
        <w:rPr>
          <w:rFonts w:cs="Arial"/>
          <w:sz w:val="20"/>
          <w:szCs w:val="22"/>
          <w:lang w:val="sl-SI"/>
        </w:rPr>
        <w:t>prostorskega/teritorialnega in urbanega razvoja na mednarodni in EU ravni.</w:t>
      </w:r>
    </w:p>
    <w:p w14:paraId="32C16A82" w14:textId="288B502E" w:rsidR="000F071A" w:rsidRPr="00462D42" w:rsidRDefault="000F071A" w:rsidP="00462D42">
      <w:pPr>
        <w:spacing w:line="260" w:lineRule="exact"/>
        <w:jc w:val="both"/>
        <w:rPr>
          <w:rFonts w:cs="Arial"/>
          <w:sz w:val="20"/>
          <w:szCs w:val="22"/>
          <w:lang w:val="sl-SI"/>
        </w:rPr>
      </w:pPr>
    </w:p>
    <w:p w14:paraId="038FB095" w14:textId="563B2F0A" w:rsidR="000F071A" w:rsidRPr="004223D6" w:rsidRDefault="000F071A" w:rsidP="00CE3440">
      <w:pPr>
        <w:jc w:val="both"/>
        <w:rPr>
          <w:rFonts w:cs="Arial"/>
          <w:szCs w:val="22"/>
          <w:lang w:val="sl-SI"/>
        </w:rPr>
      </w:pPr>
    </w:p>
    <w:p w14:paraId="4100367D" w14:textId="3BB00779" w:rsidR="00FA7969" w:rsidRPr="00462D42" w:rsidRDefault="008B51B0" w:rsidP="00462D42">
      <w:pPr>
        <w:pStyle w:val="Naslov1"/>
        <w:numPr>
          <w:ilvl w:val="0"/>
          <w:numId w:val="25"/>
        </w:numPr>
        <w:spacing w:after="0" w:line="260" w:lineRule="exact"/>
        <w:jc w:val="both"/>
        <w:rPr>
          <w:sz w:val="20"/>
          <w:lang w:val="sl-SI"/>
        </w:rPr>
      </w:pPr>
      <w:r w:rsidRPr="00462D42">
        <w:rPr>
          <w:sz w:val="20"/>
          <w:lang w:val="sl-SI"/>
        </w:rPr>
        <w:t>TABELE</w:t>
      </w:r>
    </w:p>
    <w:p w14:paraId="4037435C" w14:textId="598744E8" w:rsidR="00FA7969" w:rsidRPr="00462D42" w:rsidRDefault="004B2892" w:rsidP="00462D42">
      <w:pPr>
        <w:numPr>
          <w:ilvl w:val="0"/>
          <w:numId w:val="23"/>
        </w:numPr>
        <w:spacing w:line="260" w:lineRule="exact"/>
        <w:jc w:val="both"/>
        <w:rPr>
          <w:rFonts w:cs="Arial"/>
          <w:sz w:val="20"/>
          <w:szCs w:val="22"/>
          <w:lang w:val="sl-SI"/>
        </w:rPr>
      </w:pPr>
      <w:r w:rsidRPr="00462D42">
        <w:rPr>
          <w:rFonts w:cs="Arial"/>
          <w:sz w:val="20"/>
          <w:szCs w:val="22"/>
          <w:lang w:val="sl-SI"/>
        </w:rPr>
        <w:t>FI</w:t>
      </w:r>
      <w:r w:rsidR="00FA7969" w:rsidRPr="00462D42">
        <w:rPr>
          <w:rFonts w:cs="Arial"/>
          <w:sz w:val="20"/>
          <w:szCs w:val="22"/>
          <w:lang w:val="sl-SI"/>
        </w:rPr>
        <w:t xml:space="preserve"> </w:t>
      </w:r>
      <w:r w:rsidR="00B74EDB" w:rsidRPr="00462D42">
        <w:rPr>
          <w:rFonts w:cs="Arial"/>
          <w:sz w:val="20"/>
          <w:szCs w:val="22"/>
          <w:lang w:val="sl-SI" w:eastAsia="sl-SI"/>
        </w:rPr>
        <w:t>po prednostni naložbi in kohezijski regiji v programskem obdobju 2014</w:t>
      </w:r>
      <w:r w:rsidR="002142F3">
        <w:rPr>
          <w:rFonts w:cs="Arial"/>
          <w:sz w:val="20"/>
          <w:szCs w:val="22"/>
          <w:lang w:val="sl-SI" w:eastAsia="sl-SI"/>
        </w:rPr>
        <w:t>–</w:t>
      </w:r>
      <w:r w:rsidR="00B74EDB" w:rsidRPr="00462D42">
        <w:rPr>
          <w:rFonts w:cs="Arial"/>
          <w:sz w:val="20"/>
          <w:szCs w:val="22"/>
          <w:lang w:val="sl-SI" w:eastAsia="sl-SI"/>
        </w:rPr>
        <w:t>2020</w:t>
      </w:r>
    </w:p>
    <w:p w14:paraId="231FF41E" w14:textId="33047CC2" w:rsidR="00FA7969" w:rsidRPr="00462D42" w:rsidRDefault="00FA7969" w:rsidP="00462D42">
      <w:pPr>
        <w:numPr>
          <w:ilvl w:val="0"/>
          <w:numId w:val="23"/>
        </w:numPr>
        <w:spacing w:line="260" w:lineRule="exact"/>
        <w:jc w:val="both"/>
        <w:rPr>
          <w:rFonts w:cs="Arial"/>
          <w:sz w:val="20"/>
          <w:szCs w:val="22"/>
          <w:lang w:val="sl-SI"/>
        </w:rPr>
      </w:pPr>
      <w:r w:rsidRPr="00462D42">
        <w:rPr>
          <w:rFonts w:cs="Arial"/>
          <w:sz w:val="20"/>
          <w:szCs w:val="22"/>
          <w:lang w:val="sl-SI"/>
        </w:rPr>
        <w:t xml:space="preserve">Načrt </w:t>
      </w:r>
      <w:r w:rsidR="004B2892" w:rsidRPr="00462D42">
        <w:rPr>
          <w:rFonts w:cs="Arial"/>
          <w:sz w:val="20"/>
          <w:szCs w:val="22"/>
          <w:lang w:val="sl-SI"/>
        </w:rPr>
        <w:t>FI</w:t>
      </w:r>
      <w:r w:rsidRPr="00462D42">
        <w:rPr>
          <w:rFonts w:cs="Arial"/>
          <w:sz w:val="20"/>
          <w:szCs w:val="22"/>
          <w:lang w:val="sl-SI"/>
        </w:rPr>
        <w:t xml:space="preserve"> </w:t>
      </w:r>
      <w:r w:rsidR="00B74EDB" w:rsidRPr="00462D42">
        <w:rPr>
          <w:rFonts w:cs="Arial"/>
          <w:sz w:val="20"/>
          <w:szCs w:val="22"/>
          <w:lang w:val="sl-SI" w:eastAsia="sl-SI"/>
        </w:rPr>
        <w:t xml:space="preserve">po domeni ukrepa, obliki financiranja in kohezijski regiji v programskem obdobju </w:t>
      </w:r>
      <w:r w:rsidR="002142F3">
        <w:rPr>
          <w:rFonts w:cs="Arial"/>
          <w:sz w:val="20"/>
          <w:szCs w:val="22"/>
          <w:lang w:val="sl-SI" w:eastAsia="sl-SI"/>
        </w:rPr>
        <w:br/>
      </w:r>
      <w:r w:rsidR="00B74EDB" w:rsidRPr="00462D42">
        <w:rPr>
          <w:rFonts w:cs="Arial"/>
          <w:sz w:val="20"/>
          <w:szCs w:val="22"/>
          <w:lang w:val="sl-SI" w:eastAsia="sl-SI"/>
        </w:rPr>
        <w:t>2014</w:t>
      </w:r>
      <w:r w:rsidR="002142F3">
        <w:rPr>
          <w:rFonts w:cs="Arial"/>
          <w:sz w:val="20"/>
          <w:szCs w:val="22"/>
          <w:lang w:val="sl-SI" w:eastAsia="sl-SI"/>
        </w:rPr>
        <w:t>–</w:t>
      </w:r>
      <w:r w:rsidR="00B74EDB" w:rsidRPr="00462D42">
        <w:rPr>
          <w:rFonts w:cs="Arial"/>
          <w:sz w:val="20"/>
          <w:szCs w:val="22"/>
          <w:lang w:val="sl-SI" w:eastAsia="sl-SI"/>
        </w:rPr>
        <w:t>2020</w:t>
      </w:r>
    </w:p>
    <w:p w14:paraId="54E5E96C" w14:textId="12A121CB" w:rsidR="00B74EDB" w:rsidRDefault="00B74EDB" w:rsidP="00462D42">
      <w:pPr>
        <w:numPr>
          <w:ilvl w:val="0"/>
          <w:numId w:val="23"/>
        </w:numPr>
        <w:spacing w:line="260" w:lineRule="exact"/>
        <w:jc w:val="both"/>
        <w:rPr>
          <w:rFonts w:cs="Arial"/>
          <w:sz w:val="20"/>
          <w:szCs w:val="22"/>
          <w:lang w:val="sl-SI"/>
        </w:rPr>
      </w:pPr>
      <w:r w:rsidRPr="00462D42">
        <w:rPr>
          <w:rFonts w:cs="Arial"/>
          <w:sz w:val="20"/>
          <w:szCs w:val="22"/>
          <w:lang w:val="sl-SI" w:eastAsia="sl-SI"/>
        </w:rPr>
        <w:t>Letna dinamika vplačil v sklad skladov po prednostni naložbi in kohezijski regiji v programskem obdobju 2014</w:t>
      </w:r>
      <w:r w:rsidR="002142F3">
        <w:rPr>
          <w:rFonts w:cs="Arial"/>
          <w:sz w:val="20"/>
          <w:szCs w:val="22"/>
          <w:lang w:val="sl-SI" w:eastAsia="sl-SI"/>
        </w:rPr>
        <w:t>–</w:t>
      </w:r>
      <w:r w:rsidRPr="00462D42">
        <w:rPr>
          <w:rFonts w:cs="Arial"/>
          <w:sz w:val="20"/>
          <w:szCs w:val="22"/>
          <w:lang w:val="sl-SI" w:eastAsia="sl-SI"/>
        </w:rPr>
        <w:t>2020</w:t>
      </w:r>
    </w:p>
    <w:p w14:paraId="4A9A22F7" w14:textId="77777777" w:rsidR="002142F3" w:rsidRPr="00462D42" w:rsidRDefault="002142F3" w:rsidP="00462D42">
      <w:pPr>
        <w:numPr>
          <w:ilvl w:val="0"/>
          <w:numId w:val="23"/>
        </w:numPr>
        <w:spacing w:line="260" w:lineRule="exact"/>
        <w:jc w:val="both"/>
        <w:rPr>
          <w:rFonts w:cs="Arial"/>
          <w:sz w:val="20"/>
          <w:szCs w:val="22"/>
          <w:lang w:val="sl-SI"/>
        </w:rPr>
        <w:sectPr w:rsidR="002142F3" w:rsidRPr="00462D42" w:rsidSect="00F40DD4">
          <w:headerReference w:type="default" r:id="rId9"/>
          <w:footerReference w:type="default" r:id="rId10"/>
          <w:headerReference w:type="first" r:id="rId11"/>
          <w:footerReference w:type="first" r:id="rId12"/>
          <w:pgSz w:w="11900" w:h="16840" w:code="9"/>
          <w:pgMar w:top="1701" w:right="1134" w:bottom="851" w:left="1701" w:header="964" w:footer="397" w:gutter="0"/>
          <w:cols w:space="708"/>
          <w:titlePg/>
          <w:docGrid w:linePitch="272"/>
        </w:sectPr>
      </w:pPr>
    </w:p>
    <w:p w14:paraId="3D7B9824" w14:textId="59ABFF71" w:rsidR="00FA7969" w:rsidRPr="004223D6" w:rsidRDefault="008B51B0" w:rsidP="00CE3440">
      <w:pPr>
        <w:rPr>
          <w:rFonts w:cs="Arial"/>
          <w:szCs w:val="22"/>
          <w:lang w:val="sl-SI" w:eastAsia="sl-SI"/>
        </w:rPr>
      </w:pPr>
      <w:r>
        <w:rPr>
          <w:rFonts w:cs="Arial"/>
          <w:szCs w:val="22"/>
          <w:lang w:val="sl-SI" w:eastAsia="sl-SI"/>
        </w:rPr>
        <w:lastRenderedPageBreak/>
        <w:t>Tabela</w:t>
      </w:r>
      <w:r w:rsidR="00FA7969" w:rsidRPr="004223D6">
        <w:rPr>
          <w:rFonts w:cs="Arial"/>
          <w:szCs w:val="22"/>
          <w:lang w:val="sl-SI" w:eastAsia="sl-SI"/>
        </w:rPr>
        <w:t xml:space="preserve"> 1: Finančni instrumenti po prednostni naložbi</w:t>
      </w:r>
      <w:r w:rsidR="002D7575">
        <w:rPr>
          <w:rFonts w:cs="Arial"/>
          <w:szCs w:val="22"/>
          <w:lang w:val="sl-SI" w:eastAsia="sl-SI"/>
        </w:rPr>
        <w:t xml:space="preserve"> in</w:t>
      </w:r>
      <w:r w:rsidR="00202E82">
        <w:rPr>
          <w:rFonts w:cs="Arial"/>
          <w:szCs w:val="22"/>
          <w:lang w:val="sl-SI" w:eastAsia="sl-SI"/>
        </w:rPr>
        <w:t xml:space="preserve"> kohezijski regiji </w:t>
      </w:r>
      <w:r w:rsidR="002142F3">
        <w:rPr>
          <w:rFonts w:cs="Arial"/>
          <w:szCs w:val="22"/>
          <w:lang w:val="sl-SI" w:eastAsia="sl-SI"/>
        </w:rPr>
        <w:t>v programskem obdobju 2014–</w:t>
      </w:r>
      <w:r w:rsidR="002D7575">
        <w:rPr>
          <w:rFonts w:cs="Arial"/>
          <w:szCs w:val="22"/>
          <w:lang w:val="sl-SI" w:eastAsia="sl-SI"/>
        </w:rPr>
        <w:t>2020 (v EUR)</w:t>
      </w:r>
    </w:p>
    <w:p w14:paraId="49886AB4" w14:textId="77777777" w:rsidR="00FA7969" w:rsidRPr="004223D6" w:rsidRDefault="00FA7969" w:rsidP="00CE3440">
      <w:pPr>
        <w:rPr>
          <w:rFonts w:cs="Arial"/>
          <w:szCs w:val="22"/>
          <w:lang w:val="sl-SI" w:eastAsia="sl-SI"/>
        </w:rPr>
      </w:pPr>
    </w:p>
    <w:tbl>
      <w:tblPr>
        <w:tblW w:w="13221" w:type="dxa"/>
        <w:jc w:val="center"/>
        <w:tblCellMar>
          <w:left w:w="70" w:type="dxa"/>
          <w:right w:w="70" w:type="dxa"/>
        </w:tblCellMar>
        <w:tblLook w:val="04A0" w:firstRow="1" w:lastRow="0" w:firstColumn="1" w:lastColumn="0" w:noHBand="0" w:noVBand="1"/>
      </w:tblPr>
      <w:tblGrid>
        <w:gridCol w:w="2651"/>
        <w:gridCol w:w="2078"/>
        <w:gridCol w:w="2954"/>
        <w:gridCol w:w="2954"/>
        <w:gridCol w:w="2584"/>
      </w:tblGrid>
      <w:tr w:rsidR="00FA7969" w:rsidRPr="004223D6" w14:paraId="56ECA5E8"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5C20"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Prednostna naložba</w:t>
            </w:r>
          </w:p>
        </w:tc>
        <w:tc>
          <w:tcPr>
            <w:tcW w:w="2078" w:type="dxa"/>
            <w:tcBorders>
              <w:top w:val="single" w:sz="4" w:space="0" w:color="auto"/>
              <w:left w:val="single" w:sz="4" w:space="0" w:color="auto"/>
              <w:bottom w:val="single" w:sz="4" w:space="0" w:color="auto"/>
              <w:right w:val="single" w:sz="4" w:space="0" w:color="auto"/>
            </w:tcBorders>
          </w:tcPr>
          <w:p w14:paraId="6B44FE35"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ESI sklad</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91523"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FI (EU del) - VZHOD</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CD07C"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FI (EU del) - ZAHOD</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6E6B0"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Skupaj FI (EU del)</w:t>
            </w:r>
          </w:p>
        </w:tc>
      </w:tr>
      <w:tr w:rsidR="00FA7969" w:rsidRPr="004223D6" w14:paraId="1903F4DE"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A5A96B" w14:textId="1778BFB8" w:rsidR="00FA7969" w:rsidRPr="004223D6" w:rsidRDefault="00FA7969" w:rsidP="00CE3440">
            <w:pPr>
              <w:rPr>
                <w:rFonts w:cs="Arial"/>
                <w:color w:val="000000"/>
                <w:szCs w:val="22"/>
                <w:lang w:val="sl-SI" w:eastAsia="sl-SI"/>
              </w:rPr>
            </w:pPr>
            <w:r w:rsidRPr="004223D6">
              <w:rPr>
                <w:rFonts w:cs="Arial"/>
                <w:color w:val="000000"/>
                <w:szCs w:val="22"/>
                <w:lang w:val="sl-SI" w:eastAsia="sl-SI"/>
              </w:rPr>
              <w:t>1.2</w:t>
            </w:r>
            <w:r w:rsidR="00350A83">
              <w:rPr>
                <w:rFonts w:cs="Arial"/>
                <w:color w:val="000000"/>
                <w:szCs w:val="22"/>
                <w:lang w:val="sl-SI" w:eastAsia="sl-SI"/>
              </w:rPr>
              <w:t xml:space="preserve"> </w:t>
            </w:r>
            <w:r w:rsidR="00350A83" w:rsidRPr="00350A83">
              <w:rPr>
                <w:rFonts w:cs="Arial"/>
                <w:color w:val="000000"/>
                <w:szCs w:val="22"/>
                <w:lang w:val="sl-SI" w:eastAsia="sl-SI"/>
              </w:rPr>
              <w:t>(RRI)</w:t>
            </w:r>
          </w:p>
        </w:tc>
        <w:tc>
          <w:tcPr>
            <w:tcW w:w="2078" w:type="dxa"/>
            <w:tcBorders>
              <w:top w:val="single" w:sz="4" w:space="0" w:color="auto"/>
              <w:left w:val="single" w:sz="4" w:space="0" w:color="auto"/>
              <w:bottom w:val="single" w:sz="4" w:space="0" w:color="auto"/>
              <w:right w:val="single" w:sz="4" w:space="0" w:color="auto"/>
            </w:tcBorders>
            <w:shd w:val="clear" w:color="D9D9D9" w:fill="D9D9D9"/>
          </w:tcPr>
          <w:p w14:paraId="21615C8B" w14:textId="29018F8C" w:rsidR="00FA7969" w:rsidRPr="004223D6" w:rsidRDefault="00FA7969" w:rsidP="00CE3440">
            <w:pPr>
              <w:rPr>
                <w:rFonts w:cs="Arial"/>
                <w:color w:val="000000"/>
                <w:szCs w:val="22"/>
                <w:lang w:val="sl-SI" w:eastAsia="sl-SI"/>
              </w:rPr>
            </w:pPr>
            <w:r w:rsidRPr="004223D6">
              <w:rPr>
                <w:rFonts w:cs="Arial"/>
                <w:color w:val="000000"/>
                <w:szCs w:val="22"/>
                <w:lang w:val="sl-SI" w:eastAsia="sl-SI"/>
              </w:rPr>
              <w:t>ESRR</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27FED6" w14:textId="32F600A3" w:rsidR="00FA7969" w:rsidRPr="004223D6" w:rsidRDefault="00156A8A" w:rsidP="008B51B0">
            <w:pPr>
              <w:jc w:val="right"/>
              <w:rPr>
                <w:rFonts w:cs="Arial"/>
                <w:color w:val="000000"/>
                <w:szCs w:val="22"/>
                <w:lang w:val="sl-SI" w:eastAsia="sl-SI"/>
              </w:rPr>
            </w:pPr>
            <w:r w:rsidRPr="004223D6">
              <w:rPr>
                <w:rFonts w:cs="Arial"/>
                <w:color w:val="000000"/>
                <w:szCs w:val="22"/>
                <w:lang w:val="sl-SI" w:eastAsia="sl-SI"/>
              </w:rPr>
              <w:t>34.200.000,00</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683661" w14:textId="6433F190" w:rsidR="00FA7969" w:rsidRPr="004223D6" w:rsidRDefault="00156A8A" w:rsidP="008B51B0">
            <w:pPr>
              <w:jc w:val="right"/>
              <w:rPr>
                <w:rFonts w:cs="Arial"/>
                <w:color w:val="000000"/>
                <w:szCs w:val="22"/>
                <w:lang w:val="sl-SI" w:eastAsia="sl-SI"/>
              </w:rPr>
            </w:pPr>
            <w:r w:rsidRPr="004223D6">
              <w:rPr>
                <w:rFonts w:cs="Arial"/>
                <w:color w:val="000000"/>
                <w:szCs w:val="22"/>
                <w:lang w:val="sl-SI" w:eastAsia="sl-SI"/>
              </w:rPr>
              <w:t>53.800.000,00</w:t>
            </w:r>
          </w:p>
        </w:tc>
        <w:tc>
          <w:tcPr>
            <w:tcW w:w="25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FAEA86" w14:textId="77777777" w:rsidR="00FA7969" w:rsidRPr="004223D6" w:rsidRDefault="00FA7969" w:rsidP="008B51B0">
            <w:pPr>
              <w:jc w:val="right"/>
              <w:rPr>
                <w:rFonts w:cs="Arial"/>
                <w:color w:val="000000"/>
                <w:szCs w:val="22"/>
                <w:lang w:val="sl-SI" w:eastAsia="sl-SI"/>
              </w:rPr>
            </w:pPr>
            <w:r w:rsidRPr="004223D6">
              <w:rPr>
                <w:rFonts w:cs="Arial"/>
                <w:color w:val="000000"/>
                <w:szCs w:val="22"/>
                <w:lang w:val="sl-SI" w:eastAsia="sl-SI"/>
              </w:rPr>
              <w:t>88.000.000,00</w:t>
            </w:r>
          </w:p>
        </w:tc>
      </w:tr>
      <w:tr w:rsidR="00FA7969" w:rsidRPr="004223D6" w14:paraId="246E1E32"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5A87D" w14:textId="30104C67" w:rsidR="00FA7969" w:rsidRPr="004223D6" w:rsidRDefault="00350A83" w:rsidP="00CE3440">
            <w:pPr>
              <w:rPr>
                <w:rFonts w:cs="Arial"/>
                <w:color w:val="000000"/>
                <w:szCs w:val="22"/>
                <w:lang w:val="sl-SI" w:eastAsia="sl-SI"/>
              </w:rPr>
            </w:pPr>
            <w:r w:rsidRPr="00350A83">
              <w:rPr>
                <w:rFonts w:cs="Arial"/>
                <w:color w:val="000000"/>
                <w:szCs w:val="22"/>
                <w:lang w:val="sl-SI" w:eastAsia="sl-SI"/>
              </w:rPr>
              <w:t>3.1 (MSP)</w:t>
            </w:r>
          </w:p>
        </w:tc>
        <w:tc>
          <w:tcPr>
            <w:tcW w:w="2078" w:type="dxa"/>
            <w:tcBorders>
              <w:top w:val="single" w:sz="4" w:space="0" w:color="auto"/>
              <w:left w:val="single" w:sz="4" w:space="0" w:color="auto"/>
              <w:bottom w:val="single" w:sz="4" w:space="0" w:color="auto"/>
              <w:right w:val="single" w:sz="4" w:space="0" w:color="auto"/>
            </w:tcBorders>
          </w:tcPr>
          <w:p w14:paraId="6AAD93F5" w14:textId="1FF4E2DB" w:rsidR="00FA7969" w:rsidRPr="004223D6" w:rsidRDefault="00FA7969" w:rsidP="00CE3440">
            <w:pPr>
              <w:rPr>
                <w:rFonts w:cs="Arial"/>
                <w:color w:val="000000"/>
                <w:szCs w:val="22"/>
                <w:lang w:val="sl-SI" w:eastAsia="sl-SI"/>
              </w:rPr>
            </w:pPr>
            <w:r w:rsidRPr="004223D6">
              <w:rPr>
                <w:rFonts w:cs="Arial"/>
                <w:color w:val="000000"/>
                <w:szCs w:val="22"/>
                <w:lang w:val="sl-SI" w:eastAsia="sl-SI"/>
              </w:rPr>
              <w:t>ESRR</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201F6" w14:textId="35CD1E7B" w:rsidR="00FA7969" w:rsidRPr="004223D6" w:rsidRDefault="00156A8A" w:rsidP="008B51B0">
            <w:pPr>
              <w:jc w:val="right"/>
              <w:rPr>
                <w:rFonts w:cs="Arial"/>
                <w:color w:val="000000"/>
                <w:szCs w:val="22"/>
                <w:lang w:val="sl-SI" w:eastAsia="sl-SI"/>
              </w:rPr>
            </w:pPr>
            <w:r w:rsidRPr="004223D6">
              <w:rPr>
                <w:rFonts w:cs="Arial"/>
                <w:color w:val="000000"/>
                <w:szCs w:val="22"/>
                <w:lang w:val="sl-SI" w:eastAsia="sl-SI"/>
              </w:rPr>
              <w:t>55.500.000,00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1F9AE" w14:textId="0374D925" w:rsidR="00FA7969" w:rsidRPr="004223D6" w:rsidRDefault="00156A8A" w:rsidP="008B51B0">
            <w:pPr>
              <w:jc w:val="right"/>
              <w:rPr>
                <w:rFonts w:cs="Arial"/>
                <w:color w:val="000000"/>
                <w:szCs w:val="22"/>
                <w:lang w:val="sl-SI" w:eastAsia="sl-SI"/>
              </w:rPr>
            </w:pPr>
            <w:r w:rsidRPr="004223D6">
              <w:rPr>
                <w:rFonts w:cs="Arial"/>
                <w:color w:val="000000"/>
                <w:szCs w:val="22"/>
                <w:lang w:val="sl-SI" w:eastAsia="sl-SI"/>
              </w:rPr>
              <w:t>79.500.000,00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74B6" w14:textId="77777777" w:rsidR="00FA7969" w:rsidRPr="004223D6" w:rsidRDefault="00FA7969" w:rsidP="008B51B0">
            <w:pPr>
              <w:jc w:val="right"/>
              <w:rPr>
                <w:rFonts w:cs="Arial"/>
                <w:color w:val="000000"/>
                <w:szCs w:val="22"/>
                <w:lang w:val="sl-SI" w:eastAsia="sl-SI"/>
              </w:rPr>
            </w:pPr>
            <w:r w:rsidRPr="004223D6">
              <w:rPr>
                <w:rFonts w:cs="Arial"/>
                <w:color w:val="000000"/>
                <w:szCs w:val="22"/>
                <w:lang w:val="sl-SI" w:eastAsia="sl-SI"/>
              </w:rPr>
              <w:t>135.000.000,00</w:t>
            </w:r>
          </w:p>
        </w:tc>
      </w:tr>
      <w:tr w:rsidR="00FA7969" w:rsidRPr="004223D6" w14:paraId="0B3D6D54"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8920DB" w14:textId="1A48ECEE" w:rsidR="00FA7969" w:rsidRPr="004223D6" w:rsidRDefault="00350A83" w:rsidP="00CE3440">
            <w:pPr>
              <w:rPr>
                <w:rFonts w:cs="Arial"/>
                <w:color w:val="000000"/>
                <w:szCs w:val="22"/>
                <w:lang w:val="sl-SI" w:eastAsia="sl-SI"/>
              </w:rPr>
            </w:pPr>
            <w:r w:rsidRPr="00350A83">
              <w:rPr>
                <w:rFonts w:cs="Arial"/>
                <w:color w:val="000000"/>
                <w:szCs w:val="22"/>
                <w:lang w:val="sl-SI" w:eastAsia="sl-SI"/>
              </w:rPr>
              <w:t>4.1 (EE)</w:t>
            </w:r>
          </w:p>
        </w:tc>
        <w:tc>
          <w:tcPr>
            <w:tcW w:w="2078" w:type="dxa"/>
            <w:tcBorders>
              <w:top w:val="single" w:sz="4" w:space="0" w:color="auto"/>
              <w:left w:val="single" w:sz="4" w:space="0" w:color="auto"/>
              <w:bottom w:val="single" w:sz="4" w:space="0" w:color="auto"/>
              <w:right w:val="single" w:sz="4" w:space="0" w:color="auto"/>
            </w:tcBorders>
            <w:shd w:val="clear" w:color="D9D9D9" w:fill="D9D9D9"/>
          </w:tcPr>
          <w:p w14:paraId="3ABE5058" w14:textId="77777777" w:rsidR="00FA7969" w:rsidRPr="004223D6" w:rsidRDefault="00FA7969" w:rsidP="00CE3440">
            <w:pPr>
              <w:rPr>
                <w:rFonts w:cs="Arial"/>
                <w:color w:val="000000"/>
                <w:szCs w:val="22"/>
                <w:lang w:val="sl-SI" w:eastAsia="sl-SI"/>
              </w:rPr>
            </w:pPr>
            <w:r w:rsidRPr="004223D6">
              <w:rPr>
                <w:rFonts w:cs="Arial"/>
                <w:color w:val="000000"/>
                <w:szCs w:val="22"/>
                <w:lang w:val="sl-SI" w:eastAsia="sl-SI"/>
              </w:rPr>
              <w:t>KS</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1D1131"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0,00*</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295ABF"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0,00*</w:t>
            </w:r>
          </w:p>
        </w:tc>
        <w:tc>
          <w:tcPr>
            <w:tcW w:w="25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8B11F9"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25.000.000,00</w:t>
            </w:r>
          </w:p>
        </w:tc>
      </w:tr>
      <w:tr w:rsidR="00FA7969" w:rsidRPr="004223D6" w14:paraId="28753EFC"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7EA55" w14:textId="3E92D4E3" w:rsidR="00FA7969" w:rsidRPr="004223D6" w:rsidRDefault="00350A83" w:rsidP="00CE3440">
            <w:pPr>
              <w:rPr>
                <w:rFonts w:cs="Arial"/>
                <w:color w:val="000000"/>
                <w:szCs w:val="22"/>
                <w:lang w:val="sl-SI" w:eastAsia="sl-SI"/>
              </w:rPr>
            </w:pPr>
            <w:r w:rsidRPr="00350A83">
              <w:rPr>
                <w:rFonts w:cs="Arial"/>
                <w:color w:val="000000"/>
                <w:szCs w:val="22"/>
                <w:lang w:val="sl-SI" w:eastAsia="sl-SI"/>
              </w:rPr>
              <w:t>6.3 (UR)</w:t>
            </w:r>
          </w:p>
        </w:tc>
        <w:tc>
          <w:tcPr>
            <w:tcW w:w="2078" w:type="dxa"/>
            <w:tcBorders>
              <w:top w:val="single" w:sz="4" w:space="0" w:color="auto"/>
              <w:left w:val="single" w:sz="4" w:space="0" w:color="auto"/>
              <w:bottom w:val="single" w:sz="4" w:space="0" w:color="auto"/>
              <w:right w:val="single" w:sz="4" w:space="0" w:color="auto"/>
            </w:tcBorders>
          </w:tcPr>
          <w:p w14:paraId="3505AF46" w14:textId="77777777" w:rsidR="00FA7969" w:rsidRPr="004223D6" w:rsidRDefault="00FA7969" w:rsidP="00CE3440">
            <w:pPr>
              <w:rPr>
                <w:rFonts w:cs="Arial"/>
                <w:color w:val="000000"/>
                <w:szCs w:val="22"/>
                <w:lang w:val="sl-SI" w:eastAsia="sl-SI"/>
              </w:rPr>
            </w:pPr>
            <w:r w:rsidRPr="004223D6">
              <w:rPr>
                <w:rFonts w:cs="Arial"/>
                <w:color w:val="000000"/>
                <w:szCs w:val="22"/>
                <w:lang w:val="sl-SI" w:eastAsia="sl-SI"/>
              </w:rPr>
              <w:t>ESRR</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1D597"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3.200.000,00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CE6F"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1.800.000,00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B443B"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5.000.000,00</w:t>
            </w:r>
          </w:p>
        </w:tc>
      </w:tr>
      <w:tr w:rsidR="00156A8A" w:rsidRPr="004223D6" w14:paraId="38855426"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E2230"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Skupna vsota</w:t>
            </w:r>
          </w:p>
        </w:tc>
        <w:tc>
          <w:tcPr>
            <w:tcW w:w="2078" w:type="dxa"/>
            <w:tcBorders>
              <w:top w:val="single" w:sz="4" w:space="0" w:color="auto"/>
              <w:left w:val="single" w:sz="4" w:space="0" w:color="auto"/>
              <w:bottom w:val="single" w:sz="4" w:space="0" w:color="auto"/>
              <w:right w:val="single" w:sz="4" w:space="0" w:color="auto"/>
            </w:tcBorders>
          </w:tcPr>
          <w:p w14:paraId="147260B5"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4CE5C" w14:textId="52B18DA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92.900.000,00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D414B" w14:textId="5605693D"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135.100.000,00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E919F"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253.000.000,00</w:t>
            </w:r>
          </w:p>
        </w:tc>
      </w:tr>
    </w:tbl>
    <w:p w14:paraId="2BE25DFA" w14:textId="21F57A1F" w:rsidR="00FA7969" w:rsidRDefault="00FA7969" w:rsidP="00CE3440">
      <w:pPr>
        <w:rPr>
          <w:rFonts w:cs="Arial"/>
          <w:sz w:val="16"/>
          <w:szCs w:val="16"/>
          <w:lang w:val="sl-SI"/>
        </w:rPr>
      </w:pPr>
      <w:r w:rsidRPr="00B0560B">
        <w:rPr>
          <w:rFonts w:cs="Arial"/>
          <w:sz w:val="16"/>
          <w:szCs w:val="16"/>
          <w:lang w:val="sl-SI"/>
        </w:rPr>
        <w:t>* Sredstva zagotavlja Kohezijski sklad za območje celotne Slovenije; delitev sredstev po k</w:t>
      </w:r>
      <w:r w:rsidR="00DA5FC1">
        <w:rPr>
          <w:rFonts w:cs="Arial"/>
          <w:sz w:val="16"/>
          <w:szCs w:val="16"/>
          <w:lang w:val="sl-SI"/>
        </w:rPr>
        <w:t>ohezijski regiji ni predvidena.</w:t>
      </w:r>
    </w:p>
    <w:p w14:paraId="615AB8D3" w14:textId="537A14B5" w:rsid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3A08C22A" w14:textId="77777777" w:rsidR="00462D42" w:rsidRPr="00B0560B" w:rsidRDefault="00462D42" w:rsidP="00DA5FC1">
      <w:pPr>
        <w:spacing w:after="240"/>
        <w:jc w:val="both"/>
        <w:rPr>
          <w:rFonts w:cs="Arial"/>
          <w:sz w:val="16"/>
          <w:szCs w:val="16"/>
          <w:lang w:val="sl-SI"/>
        </w:rPr>
        <w:sectPr w:rsidR="00462D42" w:rsidRPr="00B0560B" w:rsidSect="00FA7969">
          <w:headerReference w:type="first" r:id="rId13"/>
          <w:pgSz w:w="16840" w:h="11900" w:orient="landscape" w:code="9"/>
          <w:pgMar w:top="1701" w:right="1701" w:bottom="1134" w:left="851" w:header="964" w:footer="397" w:gutter="0"/>
          <w:cols w:space="708"/>
          <w:titlePg/>
          <w:docGrid w:linePitch="272"/>
        </w:sectPr>
      </w:pPr>
    </w:p>
    <w:p w14:paraId="263C1278" w14:textId="06B6A7B8" w:rsidR="00FA7969" w:rsidRPr="004223D6" w:rsidRDefault="008B51B0" w:rsidP="00CE3440">
      <w:pPr>
        <w:rPr>
          <w:rFonts w:cs="Arial"/>
          <w:szCs w:val="22"/>
          <w:lang w:val="sl-SI" w:eastAsia="sl-SI"/>
        </w:rPr>
      </w:pPr>
      <w:r>
        <w:rPr>
          <w:rFonts w:cs="Arial"/>
          <w:szCs w:val="22"/>
          <w:lang w:val="sl-SI"/>
        </w:rPr>
        <w:lastRenderedPageBreak/>
        <w:t>Tabela</w:t>
      </w:r>
      <w:r w:rsidR="00FA7969" w:rsidRPr="004223D6">
        <w:rPr>
          <w:rFonts w:cs="Arial"/>
          <w:szCs w:val="22"/>
          <w:lang w:val="sl-SI"/>
        </w:rPr>
        <w:t xml:space="preserve"> 2: </w:t>
      </w:r>
      <w:r w:rsidR="00FA7969" w:rsidRPr="004223D6">
        <w:rPr>
          <w:rFonts w:cs="Arial"/>
          <w:szCs w:val="22"/>
          <w:lang w:val="sl-SI" w:eastAsia="sl-SI"/>
        </w:rPr>
        <w:t>Načrt finančnih instrumentov po domeni ukrepa</w:t>
      </w:r>
      <w:r w:rsidR="00B0560B">
        <w:rPr>
          <w:rFonts w:cs="Arial"/>
          <w:szCs w:val="22"/>
          <w:lang w:val="sl-SI" w:eastAsia="sl-SI"/>
        </w:rPr>
        <w:t>,</w:t>
      </w:r>
      <w:r w:rsidR="00FA7969" w:rsidRPr="004223D6">
        <w:rPr>
          <w:rFonts w:cs="Arial"/>
          <w:szCs w:val="22"/>
          <w:lang w:val="sl-SI" w:eastAsia="sl-SI"/>
        </w:rPr>
        <w:t xml:space="preserve"> obliki financiranja</w:t>
      </w:r>
      <w:r w:rsidR="00B0560B">
        <w:rPr>
          <w:rFonts w:cs="Arial"/>
          <w:szCs w:val="22"/>
          <w:lang w:val="sl-SI" w:eastAsia="sl-SI"/>
        </w:rPr>
        <w:t xml:space="preserve"> in kohezijski regiji v programskem obdobju 2014</w:t>
      </w:r>
      <w:r w:rsidR="002142F3">
        <w:rPr>
          <w:rFonts w:cs="Arial"/>
          <w:szCs w:val="22"/>
          <w:lang w:val="sl-SI" w:eastAsia="sl-SI"/>
        </w:rPr>
        <w:t>–</w:t>
      </w:r>
      <w:r w:rsidR="00B0560B">
        <w:rPr>
          <w:rFonts w:cs="Arial"/>
          <w:szCs w:val="22"/>
          <w:lang w:val="sl-SI" w:eastAsia="sl-SI"/>
        </w:rPr>
        <w:t>2020 (v EUR)</w:t>
      </w:r>
    </w:p>
    <w:p w14:paraId="699D467B" w14:textId="77777777" w:rsidR="00FA7969" w:rsidRPr="004223D6" w:rsidRDefault="00FA7969" w:rsidP="00CE3440">
      <w:pPr>
        <w:rPr>
          <w:rFonts w:cs="Arial"/>
          <w:szCs w:val="22"/>
          <w:lang w:val="sl-SI"/>
        </w:rPr>
      </w:pPr>
    </w:p>
    <w:tbl>
      <w:tblPr>
        <w:tblW w:w="14353" w:type="dxa"/>
        <w:jc w:val="center"/>
        <w:tblCellMar>
          <w:left w:w="70" w:type="dxa"/>
          <w:right w:w="70" w:type="dxa"/>
        </w:tblCellMar>
        <w:tblLook w:val="04A0" w:firstRow="1" w:lastRow="0" w:firstColumn="1" w:lastColumn="0" w:noHBand="0" w:noVBand="1"/>
      </w:tblPr>
      <w:tblGrid>
        <w:gridCol w:w="1840"/>
        <w:gridCol w:w="1750"/>
        <w:gridCol w:w="2828"/>
        <w:gridCol w:w="2878"/>
        <w:gridCol w:w="2878"/>
        <w:gridCol w:w="2179"/>
      </w:tblGrid>
      <w:tr w:rsidR="00FA7969" w:rsidRPr="004223D6" w14:paraId="4BF526E6" w14:textId="77777777" w:rsidTr="00B0560B">
        <w:trPr>
          <w:trHeight w:val="519"/>
          <w:jc w:val="center"/>
        </w:trPr>
        <w:tc>
          <w:tcPr>
            <w:tcW w:w="1840" w:type="dxa"/>
            <w:tcBorders>
              <w:top w:val="single" w:sz="4" w:space="0" w:color="000000"/>
              <w:left w:val="single" w:sz="4" w:space="0" w:color="auto"/>
              <w:bottom w:val="single" w:sz="4" w:space="0" w:color="auto"/>
              <w:right w:val="single" w:sz="4" w:space="0" w:color="auto"/>
            </w:tcBorders>
            <w:shd w:val="clear" w:color="auto" w:fill="auto"/>
            <w:hideMark/>
          </w:tcPr>
          <w:p w14:paraId="51A5C210"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Prednostna naložba</w:t>
            </w:r>
          </w:p>
        </w:tc>
        <w:tc>
          <w:tcPr>
            <w:tcW w:w="1750" w:type="dxa"/>
            <w:tcBorders>
              <w:top w:val="single" w:sz="4" w:space="0" w:color="000000"/>
              <w:left w:val="single" w:sz="4" w:space="0" w:color="auto"/>
              <w:bottom w:val="single" w:sz="4" w:space="0" w:color="auto"/>
              <w:right w:val="single" w:sz="4" w:space="0" w:color="auto"/>
            </w:tcBorders>
            <w:shd w:val="clear" w:color="auto" w:fill="auto"/>
            <w:hideMark/>
          </w:tcPr>
          <w:p w14:paraId="5F12B06F"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Domena ukrepa</w:t>
            </w:r>
          </w:p>
        </w:tc>
        <w:tc>
          <w:tcPr>
            <w:tcW w:w="2828" w:type="dxa"/>
            <w:tcBorders>
              <w:top w:val="single" w:sz="4" w:space="0" w:color="000000"/>
              <w:left w:val="single" w:sz="4" w:space="0" w:color="auto"/>
              <w:bottom w:val="single" w:sz="4" w:space="0" w:color="auto"/>
              <w:right w:val="single" w:sz="4" w:space="0" w:color="auto"/>
            </w:tcBorders>
            <w:shd w:val="clear" w:color="auto" w:fill="auto"/>
            <w:hideMark/>
          </w:tcPr>
          <w:p w14:paraId="6B077D3F"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Oblika financiranja</w:t>
            </w:r>
          </w:p>
        </w:tc>
        <w:tc>
          <w:tcPr>
            <w:tcW w:w="2878" w:type="dxa"/>
            <w:tcBorders>
              <w:top w:val="single" w:sz="4" w:space="0" w:color="000000"/>
              <w:left w:val="single" w:sz="4" w:space="0" w:color="auto"/>
              <w:bottom w:val="single" w:sz="4" w:space="0" w:color="auto"/>
              <w:right w:val="single" w:sz="4" w:space="0" w:color="auto"/>
            </w:tcBorders>
            <w:shd w:val="clear" w:color="auto" w:fill="auto"/>
            <w:hideMark/>
          </w:tcPr>
          <w:p w14:paraId="195CBB72"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FI (EU del) - VZHOD</w:t>
            </w:r>
          </w:p>
        </w:tc>
        <w:tc>
          <w:tcPr>
            <w:tcW w:w="2878" w:type="dxa"/>
            <w:tcBorders>
              <w:top w:val="single" w:sz="4" w:space="0" w:color="000000"/>
              <w:left w:val="single" w:sz="4" w:space="0" w:color="auto"/>
              <w:bottom w:val="single" w:sz="4" w:space="0" w:color="auto"/>
              <w:right w:val="single" w:sz="4" w:space="0" w:color="auto"/>
            </w:tcBorders>
            <w:shd w:val="clear" w:color="auto" w:fill="auto"/>
            <w:hideMark/>
          </w:tcPr>
          <w:p w14:paraId="158FCB13"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FI (EU del) - ZAHOD</w:t>
            </w:r>
          </w:p>
        </w:tc>
        <w:tc>
          <w:tcPr>
            <w:tcW w:w="2179" w:type="dxa"/>
            <w:tcBorders>
              <w:top w:val="single" w:sz="4" w:space="0" w:color="000000"/>
              <w:left w:val="single" w:sz="4" w:space="0" w:color="auto"/>
              <w:bottom w:val="single" w:sz="4" w:space="0" w:color="auto"/>
              <w:right w:val="single" w:sz="4" w:space="0" w:color="auto"/>
            </w:tcBorders>
            <w:shd w:val="clear" w:color="auto" w:fill="auto"/>
            <w:hideMark/>
          </w:tcPr>
          <w:p w14:paraId="486E5664"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Skupaj FI (EU del)</w:t>
            </w:r>
          </w:p>
        </w:tc>
      </w:tr>
      <w:tr w:rsidR="00156A8A" w:rsidRPr="004223D6" w14:paraId="02AB9932" w14:textId="77777777" w:rsidTr="00B0560B">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E226F7" w14:textId="0F0C5EED" w:rsidR="002D4996" w:rsidRPr="004223D6" w:rsidRDefault="002D4996" w:rsidP="002D4996">
            <w:pPr>
              <w:rPr>
                <w:rFonts w:cs="Arial"/>
                <w:color w:val="000000"/>
                <w:szCs w:val="22"/>
                <w:lang w:val="sl-SI" w:eastAsia="sl-SI"/>
              </w:rPr>
            </w:pPr>
            <w:r w:rsidRPr="004223D6">
              <w:rPr>
                <w:rFonts w:cs="Arial"/>
                <w:color w:val="000000"/>
                <w:szCs w:val="22"/>
                <w:lang w:val="sl-SI"/>
              </w:rPr>
              <w:t>1.2</w:t>
            </w:r>
            <w:r w:rsidR="00350A83">
              <w:rPr>
                <w:rFonts w:cs="Arial"/>
                <w:color w:val="000000"/>
                <w:szCs w:val="22"/>
                <w:lang w:val="sl-SI"/>
              </w:rPr>
              <w:t xml:space="preserve"> </w:t>
            </w:r>
            <w:r w:rsidR="00350A83" w:rsidRPr="00350A83">
              <w:rPr>
                <w:rFonts w:cs="Arial"/>
                <w:color w:val="000000"/>
                <w:szCs w:val="22"/>
                <w:lang w:val="sl-SI"/>
              </w:rPr>
              <w:t>(RRI)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FD8A4C" w14:textId="4E5419B7" w:rsidR="002D4996" w:rsidRPr="004223D6" w:rsidRDefault="002D4996" w:rsidP="002D4996">
            <w:pPr>
              <w:rPr>
                <w:rFonts w:cs="Arial"/>
                <w:color w:val="000000"/>
                <w:szCs w:val="22"/>
                <w:lang w:val="sl-SI" w:eastAsia="sl-SI"/>
              </w:rPr>
            </w:pPr>
            <w:r w:rsidRPr="004223D6">
              <w:rPr>
                <w:rFonts w:cs="Arial"/>
                <w:color w:val="000000"/>
                <w:szCs w:val="22"/>
                <w:lang w:val="sl-SI"/>
              </w:rPr>
              <w:t>056</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AF8B22" w14:textId="33B486C5" w:rsidR="002D4996" w:rsidRPr="004223D6" w:rsidRDefault="002D4996" w:rsidP="002D4996">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796533" w14:textId="197A8C2B" w:rsidR="002D4996" w:rsidRPr="004223D6" w:rsidRDefault="002D4996" w:rsidP="002D4996">
            <w:pPr>
              <w:jc w:val="right"/>
              <w:rPr>
                <w:rFonts w:cs="Arial"/>
                <w:color w:val="000000"/>
                <w:szCs w:val="22"/>
                <w:lang w:val="sl-SI" w:eastAsia="sl-SI"/>
              </w:rPr>
            </w:pPr>
            <w:r w:rsidRPr="004223D6">
              <w:rPr>
                <w:rFonts w:cs="Arial"/>
                <w:color w:val="000000"/>
                <w:szCs w:val="22"/>
                <w:lang w:val="sl-SI"/>
              </w:rPr>
              <w:t>11.000.000,00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2C4B29" w14:textId="38CBDA19" w:rsidR="002D4996" w:rsidRPr="004223D6" w:rsidRDefault="002D4996" w:rsidP="002D4996">
            <w:pPr>
              <w:jc w:val="right"/>
              <w:rPr>
                <w:rFonts w:cs="Arial"/>
                <w:color w:val="000000"/>
                <w:szCs w:val="22"/>
                <w:lang w:val="sl-SI" w:eastAsia="sl-SI"/>
              </w:rPr>
            </w:pPr>
            <w:r w:rsidRPr="004223D6">
              <w:rPr>
                <w:rFonts w:cs="Arial"/>
                <w:color w:val="000000"/>
                <w:szCs w:val="22"/>
                <w:lang w:val="sl-SI"/>
              </w:rPr>
              <w:t>17.000.000,00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4C6AD8" w14:textId="22D367E9" w:rsidR="002D4996" w:rsidRPr="004223D6" w:rsidRDefault="002D4996" w:rsidP="002D4996">
            <w:pPr>
              <w:jc w:val="right"/>
              <w:rPr>
                <w:rFonts w:cs="Arial"/>
                <w:color w:val="000000"/>
                <w:szCs w:val="22"/>
                <w:lang w:val="sl-SI" w:eastAsia="sl-SI"/>
              </w:rPr>
            </w:pPr>
            <w:r w:rsidRPr="004223D6">
              <w:rPr>
                <w:rFonts w:cs="Arial"/>
                <w:color w:val="000000"/>
                <w:szCs w:val="22"/>
                <w:lang w:val="sl-SI"/>
              </w:rPr>
              <w:t>28.000.000,00</w:t>
            </w:r>
          </w:p>
        </w:tc>
      </w:tr>
      <w:tr w:rsidR="00350A83" w:rsidRPr="004223D6" w14:paraId="66C5D428"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0C20B389" w14:textId="7EA0E716" w:rsidR="00350A83" w:rsidRPr="004223D6" w:rsidRDefault="00350A83" w:rsidP="00350A83">
            <w:pPr>
              <w:rPr>
                <w:rFonts w:cs="Arial"/>
                <w:color w:val="000000"/>
                <w:szCs w:val="22"/>
                <w:lang w:val="sl-SI" w:eastAsia="sl-SI"/>
              </w:rPr>
            </w:pPr>
            <w:r w:rsidRPr="00067981">
              <w:rPr>
                <w:rFonts w:cs="Arial"/>
                <w:color w:val="000000"/>
                <w:szCs w:val="22"/>
                <w:lang w:val="sl-SI"/>
              </w:rPr>
              <w:t>1.2 (RRI)</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543B" w14:textId="31F5A7C5" w:rsidR="00350A83" w:rsidRPr="004223D6" w:rsidRDefault="00350A83" w:rsidP="00350A83">
            <w:pPr>
              <w:rPr>
                <w:rFonts w:cs="Arial"/>
                <w:color w:val="000000"/>
                <w:szCs w:val="22"/>
                <w:lang w:val="sl-SI" w:eastAsia="sl-SI"/>
              </w:rPr>
            </w:pPr>
            <w:r w:rsidRPr="004223D6">
              <w:rPr>
                <w:rFonts w:cs="Arial"/>
                <w:color w:val="000000"/>
                <w:szCs w:val="22"/>
                <w:lang w:val="sl-SI"/>
              </w:rPr>
              <w:t>057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3484" w14:textId="70FA1E24"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B7562" w14:textId="6B4E8F43" w:rsidR="00350A83" w:rsidRPr="004223D6" w:rsidRDefault="00350A83" w:rsidP="00350A83">
            <w:pPr>
              <w:jc w:val="right"/>
              <w:rPr>
                <w:rFonts w:cs="Arial"/>
                <w:color w:val="000000"/>
                <w:szCs w:val="22"/>
                <w:lang w:val="sl-SI" w:eastAsia="sl-SI"/>
              </w:rPr>
            </w:pPr>
            <w:r w:rsidRPr="004223D6">
              <w:rPr>
                <w:rFonts w:cs="Arial"/>
                <w:color w:val="000000"/>
                <w:szCs w:val="22"/>
                <w:lang w:val="sl-SI"/>
              </w:rPr>
              <w:t>8.000.000,00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0ABD" w14:textId="4C609025" w:rsidR="00350A83" w:rsidRPr="004223D6" w:rsidRDefault="00350A83" w:rsidP="00350A83">
            <w:pPr>
              <w:jc w:val="right"/>
              <w:rPr>
                <w:rFonts w:cs="Arial"/>
                <w:color w:val="000000"/>
                <w:szCs w:val="22"/>
                <w:lang w:val="sl-SI" w:eastAsia="sl-SI"/>
              </w:rPr>
            </w:pPr>
            <w:r w:rsidRPr="004223D6">
              <w:rPr>
                <w:rFonts w:cs="Arial"/>
                <w:color w:val="000000"/>
                <w:szCs w:val="22"/>
                <w:lang w:val="sl-SI"/>
              </w:rPr>
              <w:t>12.000.000,00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FE235" w14:textId="6015E39C" w:rsidR="00350A83" w:rsidRPr="004223D6" w:rsidRDefault="00350A83" w:rsidP="00350A83">
            <w:pPr>
              <w:jc w:val="right"/>
              <w:rPr>
                <w:rFonts w:cs="Arial"/>
                <w:color w:val="000000"/>
                <w:szCs w:val="22"/>
                <w:lang w:val="sl-SI" w:eastAsia="sl-SI"/>
              </w:rPr>
            </w:pPr>
            <w:r w:rsidRPr="004223D6">
              <w:rPr>
                <w:rFonts w:cs="Arial"/>
                <w:color w:val="000000"/>
                <w:szCs w:val="22"/>
                <w:lang w:val="sl-SI"/>
              </w:rPr>
              <w:t>20.000.000,00</w:t>
            </w:r>
          </w:p>
        </w:tc>
      </w:tr>
      <w:tr w:rsidR="00350A83" w:rsidRPr="004223D6" w14:paraId="684E21A4"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4E68F89E" w14:textId="6992FD38" w:rsidR="00350A83" w:rsidRPr="004223D6" w:rsidRDefault="00350A83" w:rsidP="00350A83">
            <w:pPr>
              <w:rPr>
                <w:rFonts w:cs="Arial"/>
                <w:color w:val="000000"/>
                <w:szCs w:val="22"/>
                <w:lang w:val="sl-SI" w:eastAsia="sl-SI"/>
              </w:rPr>
            </w:pPr>
            <w:r w:rsidRPr="00067981">
              <w:rPr>
                <w:rFonts w:cs="Arial"/>
                <w:color w:val="000000"/>
                <w:szCs w:val="22"/>
                <w:lang w:val="sl-SI"/>
              </w:rPr>
              <w:t>1.2 (RRI)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16A96E" w14:textId="6F079F6A" w:rsidR="00350A83" w:rsidRPr="004223D6" w:rsidRDefault="00350A83" w:rsidP="00350A83">
            <w:pPr>
              <w:rPr>
                <w:rFonts w:cs="Arial"/>
                <w:color w:val="000000"/>
                <w:szCs w:val="22"/>
                <w:lang w:val="sl-SI" w:eastAsia="sl-SI"/>
              </w:rPr>
            </w:pPr>
            <w:r w:rsidRPr="004223D6">
              <w:rPr>
                <w:rFonts w:cs="Arial"/>
                <w:color w:val="000000"/>
                <w:szCs w:val="22"/>
                <w:lang w:val="sl-SI"/>
              </w:rPr>
              <w:t>065</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6EA73E" w14:textId="2ADEFC52"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12DDE6" w14:textId="0505CBDD" w:rsidR="00350A83" w:rsidRPr="004223D6" w:rsidRDefault="00350A83" w:rsidP="00350A83">
            <w:pPr>
              <w:jc w:val="right"/>
              <w:rPr>
                <w:rFonts w:cs="Arial"/>
                <w:color w:val="000000"/>
                <w:szCs w:val="22"/>
                <w:lang w:val="sl-SI" w:eastAsia="sl-SI"/>
              </w:rPr>
            </w:pPr>
            <w:r w:rsidRPr="004223D6">
              <w:rPr>
                <w:rFonts w:cs="Arial"/>
                <w:color w:val="000000"/>
                <w:szCs w:val="22"/>
                <w:lang w:val="sl-SI"/>
              </w:rPr>
              <w:t>4.000.000,00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D79B71" w14:textId="4A6A9AA7" w:rsidR="00350A83" w:rsidRPr="004223D6" w:rsidRDefault="00350A83" w:rsidP="00350A83">
            <w:pPr>
              <w:jc w:val="right"/>
              <w:rPr>
                <w:rFonts w:cs="Arial"/>
                <w:color w:val="000000"/>
                <w:szCs w:val="22"/>
                <w:lang w:val="sl-SI" w:eastAsia="sl-SI"/>
              </w:rPr>
            </w:pPr>
            <w:r w:rsidRPr="004223D6">
              <w:rPr>
                <w:rFonts w:cs="Arial"/>
                <w:color w:val="000000"/>
                <w:szCs w:val="22"/>
                <w:lang w:val="sl-SI"/>
              </w:rPr>
              <w:t>6.000.000,00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73248D" w14:textId="40F8F019"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10.000.000,00</w:t>
            </w:r>
          </w:p>
        </w:tc>
      </w:tr>
      <w:tr w:rsidR="00350A83" w:rsidRPr="004223D6" w14:paraId="49419ECD"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186D8A7D" w14:textId="4810E6A3" w:rsidR="00350A83" w:rsidRPr="004223D6" w:rsidRDefault="00350A83" w:rsidP="00350A83">
            <w:pPr>
              <w:rPr>
                <w:rFonts w:cs="Arial"/>
                <w:color w:val="000000"/>
                <w:szCs w:val="22"/>
                <w:lang w:val="sl-SI" w:eastAsia="sl-SI"/>
              </w:rPr>
            </w:pPr>
            <w:r w:rsidRPr="00067981">
              <w:rPr>
                <w:rFonts w:cs="Arial"/>
                <w:color w:val="000000"/>
                <w:szCs w:val="22"/>
                <w:lang w:val="sl-SI"/>
              </w:rPr>
              <w:t>1.2 (RRI)</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6A531" w14:textId="24B430B1" w:rsidR="00350A83" w:rsidRPr="004223D6" w:rsidRDefault="00350A83" w:rsidP="00350A83">
            <w:pPr>
              <w:rPr>
                <w:rFonts w:cs="Arial"/>
                <w:color w:val="000000"/>
                <w:szCs w:val="22"/>
                <w:lang w:val="sl-SI" w:eastAsia="sl-SI"/>
              </w:rPr>
            </w:pPr>
            <w:r w:rsidRPr="004223D6">
              <w:rPr>
                <w:rFonts w:cs="Arial"/>
                <w:color w:val="000000"/>
                <w:szCs w:val="22"/>
                <w:lang w:val="sl-SI"/>
              </w:rPr>
              <w:t>056</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2317" w14:textId="4D583BED"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AFE7A" w14:textId="477221C3" w:rsidR="00350A83" w:rsidRPr="004223D6" w:rsidRDefault="00350A83" w:rsidP="00350A83">
            <w:pPr>
              <w:jc w:val="right"/>
              <w:rPr>
                <w:rFonts w:cs="Arial"/>
                <w:color w:val="000000"/>
                <w:szCs w:val="22"/>
                <w:lang w:val="sl-SI" w:eastAsia="sl-SI"/>
              </w:rPr>
            </w:pPr>
            <w:r w:rsidRPr="004223D6">
              <w:rPr>
                <w:rFonts w:cs="Arial"/>
                <w:color w:val="000000"/>
                <w:szCs w:val="22"/>
                <w:lang w:val="sl-SI"/>
              </w:rPr>
              <w:t>6.000.000,00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14EFC" w14:textId="2FC152A8" w:rsidR="00350A83" w:rsidRPr="004223D6" w:rsidRDefault="00350A83" w:rsidP="00350A83">
            <w:pPr>
              <w:jc w:val="right"/>
              <w:rPr>
                <w:rFonts w:cs="Arial"/>
                <w:color w:val="000000"/>
                <w:szCs w:val="22"/>
                <w:lang w:val="sl-SI" w:eastAsia="sl-SI"/>
              </w:rPr>
            </w:pPr>
            <w:r w:rsidRPr="004223D6">
              <w:rPr>
                <w:rFonts w:cs="Arial"/>
                <w:color w:val="000000"/>
                <w:szCs w:val="22"/>
                <w:lang w:val="sl-SI"/>
              </w:rPr>
              <w:t>9.000.000,00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EA05" w14:textId="7EC0AB86"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15.000.000,00</w:t>
            </w:r>
          </w:p>
        </w:tc>
      </w:tr>
      <w:tr w:rsidR="00350A83" w:rsidRPr="004223D6" w14:paraId="2E90E033"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75760845" w14:textId="2C04EB6E" w:rsidR="00350A83" w:rsidRPr="004223D6" w:rsidRDefault="00350A83" w:rsidP="00350A83">
            <w:pPr>
              <w:rPr>
                <w:rFonts w:cs="Arial"/>
                <w:color w:val="000000"/>
                <w:szCs w:val="22"/>
                <w:lang w:val="sl-SI" w:eastAsia="sl-SI"/>
              </w:rPr>
            </w:pPr>
            <w:r w:rsidRPr="00067981">
              <w:rPr>
                <w:rFonts w:cs="Arial"/>
                <w:color w:val="000000"/>
                <w:szCs w:val="22"/>
                <w:lang w:val="sl-SI"/>
              </w:rPr>
              <w:t>1.2 (RRI)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282B30" w14:textId="77ADADAE" w:rsidR="00350A83" w:rsidRPr="004223D6" w:rsidRDefault="00350A83" w:rsidP="00350A83">
            <w:pPr>
              <w:rPr>
                <w:rFonts w:cs="Arial"/>
                <w:color w:val="000000"/>
                <w:szCs w:val="22"/>
                <w:lang w:val="sl-SI" w:eastAsia="sl-SI"/>
              </w:rPr>
            </w:pPr>
            <w:r w:rsidRPr="004223D6">
              <w:rPr>
                <w:rFonts w:cs="Arial"/>
                <w:color w:val="000000"/>
                <w:szCs w:val="22"/>
                <w:lang w:val="sl-SI"/>
              </w:rPr>
              <w:t>065</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0DAE79" w14:textId="6DBA0E98"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EB3038" w14:textId="7EA89EA5" w:rsidR="00350A83" w:rsidRPr="004223D6" w:rsidRDefault="00350A83" w:rsidP="00350A83">
            <w:pPr>
              <w:jc w:val="right"/>
              <w:rPr>
                <w:rFonts w:cs="Arial"/>
                <w:color w:val="000000"/>
                <w:szCs w:val="22"/>
                <w:lang w:val="sl-SI" w:eastAsia="sl-SI"/>
              </w:rPr>
            </w:pPr>
            <w:r w:rsidRPr="004223D6">
              <w:rPr>
                <w:rFonts w:cs="Arial"/>
                <w:color w:val="000000"/>
                <w:szCs w:val="22"/>
                <w:lang w:val="sl-SI"/>
              </w:rPr>
              <w:t>5.200.000,00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A5D380" w14:textId="647545B4" w:rsidR="00350A83" w:rsidRPr="004223D6" w:rsidRDefault="00350A83" w:rsidP="00350A83">
            <w:pPr>
              <w:jc w:val="right"/>
              <w:rPr>
                <w:rFonts w:cs="Arial"/>
                <w:color w:val="000000"/>
                <w:szCs w:val="22"/>
                <w:lang w:val="sl-SI" w:eastAsia="sl-SI"/>
              </w:rPr>
            </w:pPr>
            <w:r w:rsidRPr="004223D6">
              <w:rPr>
                <w:rFonts w:cs="Arial"/>
                <w:color w:val="000000"/>
                <w:szCs w:val="22"/>
                <w:lang w:val="sl-SI"/>
              </w:rPr>
              <w:t>9.800.000,00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AF926B" w14:textId="54057906"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15.000.000,00</w:t>
            </w:r>
          </w:p>
        </w:tc>
      </w:tr>
      <w:tr w:rsidR="00350A83" w:rsidRPr="004223D6" w14:paraId="6EA5F42D"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06F5C964" w14:textId="3B910FD4"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B209" w14:textId="63E13AB2" w:rsidR="00350A83" w:rsidRPr="004223D6" w:rsidRDefault="00350A83" w:rsidP="00350A83">
            <w:pPr>
              <w:rPr>
                <w:rFonts w:cs="Arial"/>
                <w:color w:val="000000"/>
                <w:szCs w:val="22"/>
                <w:lang w:val="sl-SI" w:eastAsia="sl-SI"/>
              </w:rPr>
            </w:pPr>
            <w:r w:rsidRPr="004223D6">
              <w:rPr>
                <w:rFonts w:cs="Arial"/>
                <w:color w:val="000000"/>
                <w:szCs w:val="22"/>
                <w:lang w:val="sl-SI"/>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9B94A" w14:textId="536C777A" w:rsidR="00350A83" w:rsidRPr="004223D6" w:rsidRDefault="00350A83" w:rsidP="00350A83">
            <w:pPr>
              <w:rPr>
                <w:rFonts w:cs="Arial"/>
                <w:color w:val="000000"/>
                <w:szCs w:val="22"/>
                <w:lang w:val="sl-SI" w:eastAsia="sl-SI"/>
              </w:rPr>
            </w:pPr>
            <w:r w:rsidRPr="004223D6">
              <w:rPr>
                <w:rFonts w:cs="Arial"/>
                <w:color w:val="000000"/>
                <w:szCs w:val="22"/>
                <w:lang w:val="sl-SI"/>
              </w:rPr>
              <w:t>03 (lastniško financiranje)</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64AAA" w14:textId="74979B5A" w:rsidR="00350A83" w:rsidRPr="004223D6" w:rsidRDefault="00350A83" w:rsidP="00350A83">
            <w:pPr>
              <w:jc w:val="right"/>
              <w:rPr>
                <w:rFonts w:cs="Arial"/>
                <w:color w:val="000000"/>
                <w:szCs w:val="22"/>
                <w:lang w:val="sl-SI" w:eastAsia="sl-SI"/>
              </w:rPr>
            </w:pPr>
            <w:r w:rsidRPr="004223D6">
              <w:rPr>
                <w:rFonts w:cs="Arial"/>
                <w:color w:val="000000"/>
                <w:szCs w:val="22"/>
                <w:lang w:val="sl-SI"/>
              </w:rPr>
              <w:t>4.000.000,00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1C1F" w14:textId="7F29E52D" w:rsidR="00350A83" w:rsidRPr="004223D6" w:rsidRDefault="00350A83" w:rsidP="00350A83">
            <w:pPr>
              <w:jc w:val="right"/>
              <w:rPr>
                <w:rFonts w:cs="Arial"/>
                <w:color w:val="000000"/>
                <w:szCs w:val="22"/>
                <w:lang w:val="sl-SI" w:eastAsia="sl-SI"/>
              </w:rPr>
            </w:pPr>
            <w:r w:rsidRPr="004223D6">
              <w:rPr>
                <w:rFonts w:cs="Arial"/>
                <w:color w:val="000000"/>
                <w:szCs w:val="22"/>
                <w:lang w:val="sl-SI"/>
              </w:rPr>
              <w:t>6.000.000,00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2AC3A" w14:textId="7EB75A24"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10.000.000,00</w:t>
            </w:r>
          </w:p>
        </w:tc>
      </w:tr>
      <w:tr w:rsidR="00350A83" w:rsidRPr="004223D6" w14:paraId="28857DFC"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6F954AA5" w14:textId="24FD50B1"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5D9626" w14:textId="726D2C48" w:rsidR="00350A83" w:rsidRPr="004223D6" w:rsidRDefault="00350A83" w:rsidP="00350A83">
            <w:pPr>
              <w:rPr>
                <w:rFonts w:cs="Arial"/>
                <w:color w:val="000000"/>
                <w:szCs w:val="22"/>
                <w:lang w:val="sl-SI" w:eastAsia="sl-SI"/>
              </w:rPr>
            </w:pPr>
            <w:r w:rsidRPr="004223D6">
              <w:rPr>
                <w:rFonts w:cs="Arial"/>
                <w:color w:val="000000"/>
                <w:szCs w:val="22"/>
                <w:lang w:val="sl-SI"/>
              </w:rPr>
              <w:t>001</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561389" w14:textId="403665DC"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383F8A" w14:textId="37D8D078" w:rsidR="00350A83" w:rsidRPr="004223D6" w:rsidRDefault="00350A83" w:rsidP="00350A83">
            <w:pPr>
              <w:jc w:val="right"/>
              <w:rPr>
                <w:rFonts w:cs="Arial"/>
                <w:color w:val="000000"/>
                <w:szCs w:val="22"/>
                <w:lang w:val="sl-SI" w:eastAsia="sl-SI"/>
              </w:rPr>
            </w:pPr>
            <w:r w:rsidRPr="004223D6">
              <w:rPr>
                <w:rFonts w:cs="Arial"/>
                <w:color w:val="000000"/>
                <w:szCs w:val="22"/>
                <w:lang w:val="sl-SI"/>
              </w:rPr>
              <w:t>7.000.000,00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EA89FE" w14:textId="1FEBC7D8" w:rsidR="00350A83" w:rsidRPr="004223D6" w:rsidRDefault="00350A83" w:rsidP="00350A83">
            <w:pPr>
              <w:jc w:val="right"/>
              <w:rPr>
                <w:rFonts w:cs="Arial"/>
                <w:color w:val="000000"/>
                <w:szCs w:val="22"/>
                <w:lang w:val="sl-SI" w:eastAsia="sl-SI"/>
              </w:rPr>
            </w:pPr>
            <w:r w:rsidRPr="004223D6">
              <w:rPr>
                <w:rFonts w:cs="Arial"/>
                <w:color w:val="000000"/>
                <w:szCs w:val="22"/>
                <w:lang w:val="sl-SI"/>
              </w:rPr>
              <w:t>9.000.000,00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BCAEA9" w14:textId="4717B677" w:rsidR="00350A83" w:rsidRPr="004223D6" w:rsidRDefault="00350A83" w:rsidP="00350A83">
            <w:pPr>
              <w:jc w:val="right"/>
              <w:rPr>
                <w:rFonts w:cs="Arial"/>
                <w:color w:val="000000"/>
                <w:szCs w:val="22"/>
                <w:lang w:val="sl-SI" w:eastAsia="sl-SI"/>
              </w:rPr>
            </w:pPr>
            <w:r w:rsidRPr="004223D6">
              <w:rPr>
                <w:rFonts w:cs="Arial"/>
                <w:color w:val="000000"/>
                <w:szCs w:val="22"/>
                <w:lang w:val="sl-SI"/>
              </w:rPr>
              <w:t>16.000.000,00</w:t>
            </w:r>
          </w:p>
        </w:tc>
      </w:tr>
      <w:tr w:rsidR="00350A83" w:rsidRPr="004223D6" w14:paraId="3D5CFB07"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243EF84D" w14:textId="0F4C09FD"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6DF4" w14:textId="28D5F2BE" w:rsidR="00350A83" w:rsidRPr="004223D6" w:rsidRDefault="00350A83" w:rsidP="00350A83">
            <w:pPr>
              <w:rPr>
                <w:rFonts w:cs="Arial"/>
                <w:color w:val="000000"/>
                <w:szCs w:val="22"/>
                <w:lang w:val="sl-SI" w:eastAsia="sl-SI"/>
              </w:rPr>
            </w:pPr>
            <w:r w:rsidRPr="004223D6">
              <w:rPr>
                <w:rFonts w:cs="Arial"/>
                <w:color w:val="000000"/>
                <w:szCs w:val="22"/>
                <w:lang w:val="sl-SI"/>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EE42A" w14:textId="2839330D"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3CD6A" w14:textId="7CEA9D89" w:rsidR="00350A83" w:rsidRPr="004223D6" w:rsidRDefault="00350A83" w:rsidP="00350A83">
            <w:pPr>
              <w:jc w:val="right"/>
              <w:rPr>
                <w:rFonts w:cs="Arial"/>
                <w:color w:val="000000"/>
                <w:szCs w:val="22"/>
                <w:lang w:val="sl-SI" w:eastAsia="sl-SI"/>
              </w:rPr>
            </w:pPr>
            <w:r w:rsidRPr="004223D6">
              <w:rPr>
                <w:rFonts w:cs="Arial"/>
                <w:color w:val="000000"/>
                <w:szCs w:val="22"/>
                <w:lang w:val="sl-SI"/>
              </w:rPr>
              <w:t>7.500.000,00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C3126" w14:textId="5C074388" w:rsidR="00350A83" w:rsidRPr="004223D6" w:rsidRDefault="00350A83" w:rsidP="00350A83">
            <w:pPr>
              <w:jc w:val="right"/>
              <w:rPr>
                <w:rFonts w:cs="Arial"/>
                <w:color w:val="000000"/>
                <w:szCs w:val="22"/>
                <w:lang w:val="sl-SI" w:eastAsia="sl-SI"/>
              </w:rPr>
            </w:pPr>
            <w:r w:rsidRPr="004223D6">
              <w:rPr>
                <w:rFonts w:cs="Arial"/>
                <w:color w:val="000000"/>
                <w:szCs w:val="22"/>
                <w:lang w:val="sl-SI"/>
              </w:rPr>
              <w:t>9.000.000,00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7040" w14:textId="03540730" w:rsidR="00350A83" w:rsidRPr="004223D6" w:rsidRDefault="00350A83" w:rsidP="00350A83">
            <w:pPr>
              <w:jc w:val="right"/>
              <w:rPr>
                <w:rFonts w:cs="Arial"/>
                <w:color w:val="000000"/>
                <w:szCs w:val="22"/>
                <w:lang w:val="sl-SI" w:eastAsia="sl-SI"/>
              </w:rPr>
            </w:pPr>
            <w:r w:rsidRPr="004223D6">
              <w:rPr>
                <w:rFonts w:cs="Arial"/>
                <w:color w:val="000000"/>
                <w:szCs w:val="22"/>
                <w:lang w:val="sl-SI"/>
              </w:rPr>
              <w:t>16.500.000,00</w:t>
            </w:r>
          </w:p>
        </w:tc>
      </w:tr>
      <w:tr w:rsidR="00350A83" w:rsidRPr="004223D6" w14:paraId="672ED85B"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331702BA" w14:textId="5A44B73C"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D0627A" w14:textId="177D9D97" w:rsidR="00350A83" w:rsidRPr="004223D6" w:rsidRDefault="00350A83" w:rsidP="00350A83">
            <w:pPr>
              <w:rPr>
                <w:rFonts w:cs="Arial"/>
                <w:color w:val="000000"/>
                <w:szCs w:val="22"/>
                <w:lang w:val="sl-SI" w:eastAsia="sl-SI"/>
              </w:rPr>
            </w:pPr>
            <w:r w:rsidRPr="004223D6">
              <w:rPr>
                <w:rFonts w:cs="Arial"/>
                <w:color w:val="000000"/>
                <w:szCs w:val="22"/>
                <w:lang w:val="sl-SI"/>
              </w:rPr>
              <w:t>068</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5EB20C" w14:textId="08C2029B"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E13406" w14:textId="76BBC970"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95B6D4" w14:textId="1D2BC68D"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93A508" w14:textId="19BF7DED" w:rsidR="00350A83" w:rsidRPr="004223D6" w:rsidRDefault="00350A83" w:rsidP="00350A83">
            <w:pPr>
              <w:jc w:val="right"/>
              <w:rPr>
                <w:rFonts w:cs="Arial"/>
                <w:color w:val="000000"/>
                <w:szCs w:val="22"/>
                <w:lang w:val="sl-SI" w:eastAsia="sl-SI"/>
              </w:rPr>
            </w:pPr>
            <w:r w:rsidRPr="004223D6">
              <w:rPr>
                <w:rFonts w:cs="Arial"/>
                <w:color w:val="000000"/>
                <w:szCs w:val="22"/>
                <w:lang w:val="sl-SI"/>
              </w:rPr>
              <w:t>25.000.000,00</w:t>
            </w:r>
          </w:p>
        </w:tc>
      </w:tr>
      <w:tr w:rsidR="00350A83" w:rsidRPr="004223D6" w14:paraId="780ADE71"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0B2EFA99" w14:textId="53A58D8B"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06366" w14:textId="50AF451C" w:rsidR="00350A83" w:rsidRPr="004223D6" w:rsidRDefault="00350A83" w:rsidP="00350A83">
            <w:pPr>
              <w:rPr>
                <w:rFonts w:cs="Arial"/>
                <w:color w:val="000000"/>
                <w:szCs w:val="22"/>
                <w:lang w:val="sl-SI" w:eastAsia="sl-SI"/>
              </w:rPr>
            </w:pPr>
            <w:r w:rsidRPr="004223D6">
              <w:rPr>
                <w:rFonts w:cs="Arial"/>
                <w:color w:val="000000"/>
                <w:szCs w:val="22"/>
                <w:lang w:val="sl-SI"/>
              </w:rPr>
              <w:t>073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1327" w14:textId="30E88108"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8380" w14:textId="51D05651"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B884" w14:textId="5FF563EC"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D72D4" w14:textId="07441905" w:rsidR="00350A83" w:rsidRPr="004223D6" w:rsidRDefault="00350A83" w:rsidP="00350A83">
            <w:pPr>
              <w:jc w:val="right"/>
              <w:rPr>
                <w:rFonts w:cs="Arial"/>
                <w:color w:val="000000"/>
                <w:szCs w:val="22"/>
                <w:lang w:val="sl-SI" w:eastAsia="sl-SI"/>
              </w:rPr>
            </w:pPr>
            <w:r w:rsidRPr="004223D6">
              <w:rPr>
                <w:rFonts w:cs="Arial"/>
                <w:color w:val="000000"/>
                <w:szCs w:val="22"/>
                <w:lang w:val="sl-SI"/>
              </w:rPr>
              <w:t>2.500.000,00</w:t>
            </w:r>
          </w:p>
        </w:tc>
      </w:tr>
      <w:tr w:rsidR="00350A83" w:rsidRPr="004223D6" w14:paraId="266B29E5"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5404946E" w14:textId="0E69E97D"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BF11B5" w14:textId="701945FC" w:rsidR="00350A83" w:rsidRPr="004223D6" w:rsidRDefault="00350A83" w:rsidP="00350A83">
            <w:pPr>
              <w:rPr>
                <w:rFonts w:cs="Arial"/>
                <w:color w:val="000000"/>
                <w:szCs w:val="22"/>
                <w:lang w:val="sl-SI" w:eastAsia="sl-SI"/>
              </w:rPr>
            </w:pPr>
            <w:r w:rsidRPr="004223D6">
              <w:rPr>
                <w:rFonts w:cs="Arial"/>
                <w:color w:val="000000"/>
                <w:szCs w:val="22"/>
                <w:lang w:val="sl-SI"/>
              </w:rPr>
              <w:t>001</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172D1D" w14:textId="03866C9E"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2A7BA3" w14:textId="6E02A310"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D60EB5" w14:textId="26AE6596"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FEFE35" w14:textId="2CFA012D" w:rsidR="00350A83" w:rsidRPr="004223D6" w:rsidRDefault="00350A83" w:rsidP="00350A83">
            <w:pPr>
              <w:jc w:val="right"/>
              <w:rPr>
                <w:rFonts w:cs="Arial"/>
                <w:color w:val="000000"/>
                <w:szCs w:val="22"/>
                <w:lang w:val="sl-SI" w:eastAsia="sl-SI"/>
              </w:rPr>
            </w:pPr>
            <w:r w:rsidRPr="004223D6">
              <w:rPr>
                <w:rFonts w:cs="Arial"/>
                <w:color w:val="000000"/>
                <w:szCs w:val="22"/>
                <w:lang w:val="sl-SI"/>
              </w:rPr>
              <w:t>25.000.000,00</w:t>
            </w:r>
          </w:p>
        </w:tc>
      </w:tr>
      <w:tr w:rsidR="00350A83" w:rsidRPr="004223D6" w14:paraId="7C4391EB"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78330C95" w14:textId="78BEC146"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69A87" w14:textId="40015D19" w:rsidR="00350A83" w:rsidRPr="004223D6" w:rsidRDefault="00350A83" w:rsidP="00350A83">
            <w:pPr>
              <w:rPr>
                <w:rFonts w:cs="Arial"/>
                <w:color w:val="000000"/>
                <w:szCs w:val="22"/>
                <w:lang w:val="sl-SI" w:eastAsia="sl-SI"/>
              </w:rPr>
            </w:pPr>
            <w:r w:rsidRPr="004223D6">
              <w:rPr>
                <w:rFonts w:cs="Arial"/>
                <w:color w:val="000000"/>
                <w:szCs w:val="22"/>
                <w:lang w:val="sl-SI"/>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3042F" w14:textId="186ADFFE"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626F" w14:textId="32EFE325" w:rsidR="00350A83" w:rsidRPr="004223D6" w:rsidRDefault="00350A83" w:rsidP="00350A83">
            <w:pPr>
              <w:jc w:val="right"/>
              <w:rPr>
                <w:rFonts w:cs="Arial"/>
                <w:color w:val="000000"/>
                <w:szCs w:val="22"/>
                <w:lang w:val="sl-SI" w:eastAsia="sl-SI"/>
              </w:rPr>
            </w:pPr>
            <w:r w:rsidRPr="004223D6">
              <w:rPr>
                <w:rFonts w:cs="Arial"/>
                <w:color w:val="000000"/>
                <w:szCs w:val="22"/>
                <w:lang w:val="sl-SI"/>
              </w:rPr>
              <w:t>14.600.000,00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0EA41" w14:textId="22050436" w:rsidR="00350A83" w:rsidRPr="004223D6" w:rsidRDefault="00350A83" w:rsidP="00350A83">
            <w:pPr>
              <w:jc w:val="right"/>
              <w:rPr>
                <w:rFonts w:cs="Arial"/>
                <w:color w:val="000000"/>
                <w:szCs w:val="22"/>
                <w:lang w:val="sl-SI" w:eastAsia="sl-SI"/>
              </w:rPr>
            </w:pPr>
            <w:r w:rsidRPr="004223D6">
              <w:rPr>
                <w:rFonts w:cs="Arial"/>
                <w:color w:val="000000"/>
                <w:szCs w:val="22"/>
                <w:lang w:val="sl-SI"/>
              </w:rPr>
              <w:t>21.900.000,00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7A6B8" w14:textId="6D878EAE" w:rsidR="00350A83" w:rsidRPr="004223D6" w:rsidRDefault="00350A83" w:rsidP="00350A83">
            <w:pPr>
              <w:jc w:val="right"/>
              <w:rPr>
                <w:rFonts w:cs="Arial"/>
                <w:color w:val="000000"/>
                <w:szCs w:val="22"/>
                <w:lang w:val="sl-SI" w:eastAsia="sl-SI"/>
              </w:rPr>
            </w:pPr>
            <w:r w:rsidRPr="004223D6">
              <w:rPr>
                <w:rFonts w:cs="Arial"/>
                <w:color w:val="000000"/>
                <w:szCs w:val="22"/>
                <w:lang w:val="sl-SI"/>
              </w:rPr>
              <w:t>36.500.000,00</w:t>
            </w:r>
          </w:p>
        </w:tc>
      </w:tr>
      <w:tr w:rsidR="00350A83" w:rsidRPr="004223D6" w14:paraId="60178E68"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4741E399" w14:textId="0D30F0A0"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C54EE8" w14:textId="6B16CB0C" w:rsidR="00350A83" w:rsidRPr="004223D6" w:rsidRDefault="00350A83" w:rsidP="00350A83">
            <w:pPr>
              <w:rPr>
                <w:rFonts w:cs="Arial"/>
                <w:color w:val="000000"/>
                <w:szCs w:val="22"/>
                <w:lang w:val="sl-SI" w:eastAsia="sl-SI"/>
              </w:rPr>
            </w:pPr>
            <w:r w:rsidRPr="004223D6">
              <w:rPr>
                <w:rFonts w:cs="Arial"/>
                <w:color w:val="000000"/>
                <w:szCs w:val="22"/>
                <w:lang w:val="sl-SI"/>
              </w:rPr>
              <w:t>073</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70EA74" w14:textId="373A15A0"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DF4B9E" w14:textId="40CFE0E3" w:rsidR="00350A83" w:rsidRPr="004223D6" w:rsidRDefault="00350A83" w:rsidP="00350A83">
            <w:pPr>
              <w:jc w:val="right"/>
              <w:rPr>
                <w:rFonts w:cs="Arial"/>
                <w:color w:val="000000"/>
                <w:szCs w:val="22"/>
                <w:lang w:val="sl-SI" w:eastAsia="sl-SI"/>
              </w:rPr>
            </w:pPr>
            <w:r w:rsidRPr="004223D6">
              <w:rPr>
                <w:rFonts w:cs="Arial"/>
                <w:color w:val="000000"/>
                <w:szCs w:val="22"/>
                <w:lang w:val="sl-SI"/>
              </w:rPr>
              <w:t>1.400.000,00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64C052" w14:textId="6E088CB8" w:rsidR="00350A83" w:rsidRPr="004223D6" w:rsidRDefault="00350A83" w:rsidP="00350A83">
            <w:pPr>
              <w:jc w:val="right"/>
              <w:rPr>
                <w:rFonts w:cs="Arial"/>
                <w:color w:val="000000"/>
                <w:szCs w:val="22"/>
                <w:lang w:val="sl-SI" w:eastAsia="sl-SI"/>
              </w:rPr>
            </w:pPr>
            <w:r w:rsidRPr="004223D6">
              <w:rPr>
                <w:rFonts w:cs="Arial"/>
                <w:color w:val="000000"/>
                <w:szCs w:val="22"/>
                <w:lang w:val="sl-SI"/>
              </w:rPr>
              <w:t>2.100.000,00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32CE0C" w14:textId="22CA94FD" w:rsidR="00350A83" w:rsidRPr="004223D6" w:rsidRDefault="00350A83" w:rsidP="00350A83">
            <w:pPr>
              <w:jc w:val="right"/>
              <w:rPr>
                <w:rFonts w:cs="Arial"/>
                <w:color w:val="000000"/>
                <w:szCs w:val="22"/>
                <w:lang w:val="sl-SI" w:eastAsia="sl-SI"/>
              </w:rPr>
            </w:pPr>
            <w:r w:rsidRPr="004223D6">
              <w:rPr>
                <w:rFonts w:cs="Arial"/>
                <w:color w:val="000000"/>
                <w:szCs w:val="22"/>
                <w:lang w:val="sl-SI"/>
              </w:rPr>
              <w:t>3.500.000,00</w:t>
            </w:r>
          </w:p>
        </w:tc>
      </w:tr>
      <w:tr w:rsidR="00A82335" w:rsidRPr="004223D6" w14:paraId="625CD70B" w14:textId="77777777" w:rsidTr="00B0560B">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F02C7" w14:textId="03064984" w:rsidR="00A82335" w:rsidRPr="004223D6" w:rsidRDefault="00350A83" w:rsidP="00A82335">
            <w:pPr>
              <w:rPr>
                <w:rFonts w:cs="Arial"/>
                <w:color w:val="000000"/>
                <w:szCs w:val="22"/>
                <w:lang w:val="sl-SI" w:eastAsia="sl-SI"/>
              </w:rPr>
            </w:pPr>
            <w:r w:rsidRPr="00350A83">
              <w:rPr>
                <w:rFonts w:cs="Arial"/>
                <w:color w:val="000000"/>
                <w:szCs w:val="22"/>
                <w:lang w:val="sl-SI"/>
              </w:rPr>
              <w:t>4.1 (EE)</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3B58" w14:textId="0F8D003C" w:rsidR="00A82335" w:rsidRPr="004223D6" w:rsidRDefault="00A82335" w:rsidP="00A82335">
            <w:pPr>
              <w:rPr>
                <w:rFonts w:cs="Arial"/>
                <w:color w:val="000000"/>
                <w:szCs w:val="22"/>
                <w:lang w:val="sl-SI" w:eastAsia="sl-SI"/>
              </w:rPr>
            </w:pPr>
            <w:r w:rsidRPr="004223D6">
              <w:rPr>
                <w:rFonts w:cs="Arial"/>
                <w:color w:val="000000"/>
                <w:szCs w:val="22"/>
                <w:lang w:val="sl-SI"/>
              </w:rPr>
              <w:t>013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3A1DE" w14:textId="77DFA884" w:rsidR="00A82335" w:rsidRPr="004223D6" w:rsidRDefault="00A82335" w:rsidP="00A82335">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BF01" w14:textId="780A1074" w:rsidR="00A82335" w:rsidRPr="004223D6" w:rsidRDefault="00A82335" w:rsidP="00A82335">
            <w:pPr>
              <w:jc w:val="right"/>
              <w:rPr>
                <w:rFonts w:cs="Arial"/>
                <w:color w:val="000000"/>
                <w:szCs w:val="22"/>
                <w:lang w:val="sl-SI" w:eastAsia="sl-SI"/>
              </w:rPr>
            </w:pPr>
            <w:r w:rsidRPr="004223D6">
              <w:rPr>
                <w:rFonts w:cs="Arial"/>
                <w:color w:val="000000"/>
                <w:szCs w:val="22"/>
                <w:lang w:val="sl-SI" w:eastAsia="sl-SI"/>
              </w:rPr>
              <w:t>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5EDC" w14:textId="15E4A607" w:rsidR="00A82335" w:rsidRPr="004223D6" w:rsidRDefault="00A82335" w:rsidP="00A82335">
            <w:pPr>
              <w:jc w:val="right"/>
              <w:rPr>
                <w:rFonts w:cs="Arial"/>
                <w:color w:val="000000"/>
                <w:szCs w:val="22"/>
                <w:lang w:val="sl-SI" w:eastAsia="sl-SI"/>
              </w:rPr>
            </w:pPr>
            <w:r w:rsidRPr="004223D6">
              <w:rPr>
                <w:rFonts w:cs="Arial"/>
                <w:color w:val="000000"/>
                <w:szCs w:val="22"/>
                <w:lang w:val="sl-SI" w:eastAsia="sl-SI"/>
              </w:rPr>
              <w:t>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CDB10" w14:textId="3DD9510D" w:rsidR="00A82335" w:rsidRPr="004223D6" w:rsidRDefault="00A82335" w:rsidP="00A82335">
            <w:pPr>
              <w:jc w:val="right"/>
              <w:rPr>
                <w:rFonts w:cs="Arial"/>
                <w:color w:val="000000"/>
                <w:szCs w:val="22"/>
                <w:lang w:val="sl-SI" w:eastAsia="sl-SI"/>
              </w:rPr>
            </w:pPr>
            <w:r w:rsidRPr="004223D6">
              <w:rPr>
                <w:rFonts w:cs="Arial"/>
                <w:color w:val="000000"/>
                <w:szCs w:val="22"/>
                <w:lang w:val="sl-SI"/>
              </w:rPr>
              <w:t>25.000.000,00</w:t>
            </w:r>
          </w:p>
        </w:tc>
      </w:tr>
      <w:tr w:rsidR="00350A83" w:rsidRPr="004223D6" w14:paraId="78B4113B"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1EB29FDC" w14:textId="6EE006CB" w:rsidR="00350A83" w:rsidRPr="004223D6" w:rsidRDefault="00350A83" w:rsidP="00350A83">
            <w:pPr>
              <w:rPr>
                <w:rFonts w:cs="Arial"/>
                <w:color w:val="000000"/>
                <w:szCs w:val="22"/>
                <w:lang w:val="sl-SI" w:eastAsia="sl-SI"/>
              </w:rPr>
            </w:pPr>
            <w:r w:rsidRPr="00350A83">
              <w:rPr>
                <w:rFonts w:cs="Arial"/>
                <w:color w:val="000000"/>
                <w:szCs w:val="22"/>
                <w:lang w:val="sl-SI"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AB6CC0" w14:textId="429D8F7E" w:rsidR="00350A83" w:rsidRPr="004223D6" w:rsidRDefault="00350A83" w:rsidP="00350A83">
            <w:pPr>
              <w:rPr>
                <w:rFonts w:cs="Arial"/>
                <w:color w:val="000000"/>
                <w:szCs w:val="22"/>
                <w:lang w:val="sl-SI" w:eastAsia="sl-SI"/>
              </w:rPr>
            </w:pPr>
            <w:r w:rsidRPr="004223D6">
              <w:rPr>
                <w:rFonts w:cs="Arial"/>
                <w:color w:val="000000"/>
                <w:szCs w:val="22"/>
                <w:lang w:val="sl-SI"/>
              </w:rPr>
              <w:t>055</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77D392" w14:textId="335345C6"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FC6F5D" w14:textId="079938AD" w:rsidR="00350A83" w:rsidRPr="004223D6" w:rsidRDefault="00350A83" w:rsidP="00350A83">
            <w:pPr>
              <w:jc w:val="right"/>
              <w:rPr>
                <w:rFonts w:cs="Arial"/>
                <w:color w:val="000000"/>
                <w:szCs w:val="22"/>
                <w:lang w:val="sl-SI" w:eastAsia="sl-SI"/>
              </w:rPr>
            </w:pPr>
            <w:r w:rsidRPr="004223D6">
              <w:rPr>
                <w:rFonts w:cs="Arial"/>
                <w:color w:val="000000"/>
                <w:szCs w:val="22"/>
                <w:lang w:val="sl-SI"/>
              </w:rPr>
              <w:t>1.920.000,00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492F22" w14:textId="13F33DE5" w:rsidR="00350A83" w:rsidRPr="004223D6" w:rsidRDefault="00350A83" w:rsidP="00350A83">
            <w:pPr>
              <w:jc w:val="right"/>
              <w:rPr>
                <w:rFonts w:cs="Arial"/>
                <w:color w:val="000000"/>
                <w:szCs w:val="22"/>
                <w:lang w:val="sl-SI" w:eastAsia="sl-SI"/>
              </w:rPr>
            </w:pPr>
            <w:r w:rsidRPr="004223D6">
              <w:rPr>
                <w:rFonts w:cs="Arial"/>
                <w:color w:val="000000"/>
                <w:szCs w:val="22"/>
                <w:lang w:val="sl-SI"/>
              </w:rPr>
              <w:t>1.080.000,00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A1F800" w14:textId="359A9905" w:rsidR="00350A83" w:rsidRPr="004223D6" w:rsidRDefault="00350A83" w:rsidP="00350A83">
            <w:pPr>
              <w:jc w:val="right"/>
              <w:rPr>
                <w:rFonts w:cs="Arial"/>
                <w:color w:val="000000"/>
                <w:szCs w:val="22"/>
                <w:lang w:val="sl-SI" w:eastAsia="sl-SI"/>
              </w:rPr>
            </w:pPr>
            <w:r w:rsidRPr="004223D6">
              <w:rPr>
                <w:rFonts w:cs="Arial"/>
                <w:color w:val="000000"/>
                <w:szCs w:val="22"/>
                <w:lang w:val="sl-SI"/>
              </w:rPr>
              <w:t>3.000.000,00</w:t>
            </w:r>
          </w:p>
        </w:tc>
      </w:tr>
      <w:tr w:rsidR="00350A83" w:rsidRPr="004223D6" w14:paraId="2A5290EE"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2F0600BE" w14:textId="56FDFEAD" w:rsidR="00350A83" w:rsidRPr="004223D6" w:rsidRDefault="00350A83" w:rsidP="00350A83">
            <w:pPr>
              <w:rPr>
                <w:rFonts w:cs="Arial"/>
                <w:color w:val="000000"/>
                <w:szCs w:val="22"/>
                <w:lang w:val="sl-SI" w:eastAsia="sl-SI"/>
              </w:rPr>
            </w:pPr>
            <w:r w:rsidRPr="00350A83">
              <w:rPr>
                <w:rFonts w:cs="Arial"/>
                <w:color w:val="000000"/>
                <w:szCs w:val="22"/>
                <w:lang w:val="sl-SI"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39B1" w14:textId="4FEB109B" w:rsidR="00350A83" w:rsidRPr="004223D6" w:rsidRDefault="00350A83" w:rsidP="00350A83">
            <w:pPr>
              <w:rPr>
                <w:rFonts w:cs="Arial"/>
                <w:color w:val="000000"/>
                <w:szCs w:val="22"/>
                <w:lang w:val="sl-SI" w:eastAsia="sl-SI"/>
              </w:rPr>
            </w:pPr>
            <w:r w:rsidRPr="004223D6">
              <w:rPr>
                <w:rFonts w:cs="Arial"/>
                <w:color w:val="000000"/>
                <w:szCs w:val="22"/>
                <w:lang w:val="sl-SI"/>
              </w:rPr>
              <w:t>089</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CE568" w14:textId="0B7163E5"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CA22" w14:textId="06AB4CE1" w:rsidR="00350A83" w:rsidRPr="004223D6" w:rsidRDefault="00350A83" w:rsidP="00350A83">
            <w:pPr>
              <w:jc w:val="right"/>
              <w:rPr>
                <w:rFonts w:cs="Arial"/>
                <w:color w:val="000000"/>
                <w:szCs w:val="22"/>
                <w:lang w:val="sl-SI" w:eastAsia="sl-SI"/>
              </w:rPr>
            </w:pPr>
            <w:r w:rsidRPr="004223D6">
              <w:rPr>
                <w:rFonts w:cs="Arial"/>
                <w:color w:val="000000"/>
                <w:szCs w:val="22"/>
                <w:lang w:val="sl-SI"/>
              </w:rPr>
              <w:t>640.000,00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C3DDD" w14:textId="48FDFD2A" w:rsidR="00350A83" w:rsidRPr="004223D6" w:rsidRDefault="00350A83" w:rsidP="00350A83">
            <w:pPr>
              <w:jc w:val="right"/>
              <w:rPr>
                <w:rFonts w:cs="Arial"/>
                <w:color w:val="000000"/>
                <w:szCs w:val="22"/>
                <w:lang w:val="sl-SI" w:eastAsia="sl-SI"/>
              </w:rPr>
            </w:pPr>
            <w:r w:rsidRPr="004223D6">
              <w:rPr>
                <w:rFonts w:cs="Arial"/>
                <w:color w:val="000000"/>
                <w:szCs w:val="22"/>
                <w:lang w:val="sl-SI"/>
              </w:rPr>
              <w:t>360.000,00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1403" w14:textId="619785A5"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w:t>
            </w:r>
          </w:p>
        </w:tc>
      </w:tr>
      <w:tr w:rsidR="00350A83" w:rsidRPr="004223D6" w14:paraId="626F82ED"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3C8ECC22" w14:textId="113403D7" w:rsidR="00350A83" w:rsidRPr="004223D6" w:rsidRDefault="00350A83" w:rsidP="00350A83">
            <w:pPr>
              <w:rPr>
                <w:rFonts w:cs="Arial"/>
                <w:color w:val="000000"/>
                <w:szCs w:val="22"/>
                <w:lang w:val="sl-SI" w:eastAsia="sl-SI"/>
              </w:rPr>
            </w:pPr>
            <w:r w:rsidRPr="00350A83">
              <w:rPr>
                <w:rFonts w:cs="Arial"/>
                <w:color w:val="000000"/>
                <w:szCs w:val="22"/>
                <w:lang w:val="sl-SI"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3A0DBE" w14:textId="62F24632" w:rsidR="00350A83" w:rsidRPr="004223D6" w:rsidRDefault="00350A83" w:rsidP="00350A83">
            <w:pPr>
              <w:rPr>
                <w:rFonts w:cs="Arial"/>
                <w:color w:val="000000"/>
                <w:szCs w:val="22"/>
                <w:lang w:val="sl-SI" w:eastAsia="sl-SI"/>
              </w:rPr>
            </w:pPr>
            <w:r w:rsidRPr="004223D6">
              <w:rPr>
                <w:rFonts w:cs="Arial"/>
                <w:color w:val="000000"/>
                <w:szCs w:val="22"/>
                <w:lang w:val="sl-SI"/>
              </w:rPr>
              <w:t>094</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2E0040" w14:textId="4255F8C5"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CC6301" w14:textId="5B718896" w:rsidR="00350A83" w:rsidRPr="004223D6" w:rsidRDefault="00350A83" w:rsidP="00350A83">
            <w:pPr>
              <w:jc w:val="right"/>
              <w:rPr>
                <w:rFonts w:cs="Arial"/>
                <w:color w:val="000000"/>
                <w:szCs w:val="22"/>
                <w:lang w:val="sl-SI" w:eastAsia="sl-SI"/>
              </w:rPr>
            </w:pPr>
            <w:r w:rsidRPr="004223D6">
              <w:rPr>
                <w:rFonts w:cs="Arial"/>
                <w:color w:val="000000"/>
                <w:szCs w:val="22"/>
                <w:lang w:val="sl-SI"/>
              </w:rPr>
              <w:t>640.000,00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FEE958" w14:textId="4DDE38ED" w:rsidR="00350A83" w:rsidRPr="004223D6" w:rsidRDefault="00350A83" w:rsidP="00350A83">
            <w:pPr>
              <w:jc w:val="right"/>
              <w:rPr>
                <w:rFonts w:cs="Arial"/>
                <w:color w:val="000000"/>
                <w:szCs w:val="22"/>
                <w:lang w:val="sl-SI" w:eastAsia="sl-SI"/>
              </w:rPr>
            </w:pPr>
            <w:r w:rsidRPr="004223D6">
              <w:rPr>
                <w:rFonts w:cs="Arial"/>
                <w:color w:val="000000"/>
                <w:szCs w:val="22"/>
                <w:lang w:val="sl-SI"/>
              </w:rPr>
              <w:t>360.000,00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4A8F7D" w14:textId="24B8C5FB"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w:t>
            </w:r>
          </w:p>
        </w:tc>
      </w:tr>
      <w:tr w:rsidR="00156A8A" w:rsidRPr="004223D6" w14:paraId="740AD3DA" w14:textId="77777777" w:rsidTr="00B0560B">
        <w:trPr>
          <w:trHeight w:val="297"/>
          <w:jc w:val="center"/>
        </w:trPr>
        <w:tc>
          <w:tcPr>
            <w:tcW w:w="184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AFEBA1A"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Skupna vsota</w:t>
            </w:r>
          </w:p>
        </w:tc>
        <w:tc>
          <w:tcPr>
            <w:tcW w:w="175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93668E3"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 </w:t>
            </w:r>
          </w:p>
        </w:tc>
        <w:tc>
          <w:tcPr>
            <w:tcW w:w="282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762A69A"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 </w:t>
            </w:r>
          </w:p>
        </w:tc>
        <w:tc>
          <w:tcPr>
            <w:tcW w:w="287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E9E4F7E" w14:textId="6E64DF79"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92.900.000,00</w:t>
            </w:r>
          </w:p>
        </w:tc>
        <w:tc>
          <w:tcPr>
            <w:tcW w:w="287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A5C5DAF" w14:textId="1927FFF5"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135.100.000,00</w:t>
            </w:r>
          </w:p>
        </w:tc>
        <w:tc>
          <w:tcPr>
            <w:tcW w:w="217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482ABF0"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253.000.000,00</w:t>
            </w:r>
          </w:p>
        </w:tc>
      </w:tr>
    </w:tbl>
    <w:p w14:paraId="116C34EE" w14:textId="4415CBCD" w:rsidR="00A82335" w:rsidRPr="00131925" w:rsidRDefault="00A82335" w:rsidP="00131925">
      <w:pPr>
        <w:jc w:val="both"/>
        <w:rPr>
          <w:rFonts w:cs="Arial"/>
          <w:sz w:val="16"/>
          <w:szCs w:val="16"/>
          <w:lang w:val="sl-SI"/>
        </w:rPr>
      </w:pPr>
      <w:r w:rsidRPr="00131925">
        <w:rPr>
          <w:rFonts w:cs="Arial"/>
          <w:sz w:val="16"/>
          <w:szCs w:val="16"/>
          <w:lang w:val="sl-SI"/>
        </w:rPr>
        <w:t>* Sredstva zagotavlja Kohezijski sklad za območje celotne Slovenije; delitev sredstev po kohezijski regiji ni predvidena.</w:t>
      </w:r>
    </w:p>
    <w:p w14:paraId="4F52A278" w14:textId="77777777" w:rsidR="00DA5FC1"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133853A3" w14:textId="77777777" w:rsidR="00DA5FC1" w:rsidRPr="004223D6" w:rsidRDefault="00DA5FC1" w:rsidP="00A82335">
      <w:pPr>
        <w:rPr>
          <w:rFonts w:cs="Arial"/>
          <w:szCs w:val="22"/>
          <w:lang w:val="sl-SI"/>
        </w:rPr>
      </w:pPr>
    </w:p>
    <w:p w14:paraId="5E6E3ED7" w14:textId="77777777" w:rsidR="00FA7969" w:rsidRPr="004223D6" w:rsidRDefault="00FA7969" w:rsidP="00CE3440">
      <w:pPr>
        <w:rPr>
          <w:rFonts w:cs="Arial"/>
          <w:szCs w:val="22"/>
          <w:lang w:val="sl-SI"/>
        </w:rPr>
      </w:pPr>
    </w:p>
    <w:p w14:paraId="466DA6A1" w14:textId="77777777" w:rsidR="00FA7969" w:rsidRPr="004223D6" w:rsidRDefault="00FA7969" w:rsidP="00CE3440">
      <w:pPr>
        <w:rPr>
          <w:rFonts w:cs="Arial"/>
          <w:szCs w:val="22"/>
          <w:lang w:val="sl-SI" w:eastAsia="sl-SI"/>
        </w:rPr>
      </w:pPr>
    </w:p>
    <w:p w14:paraId="779E573C" w14:textId="77777777" w:rsidR="00FA7969" w:rsidRPr="004223D6" w:rsidRDefault="00FA7969" w:rsidP="00CE3440">
      <w:pPr>
        <w:rPr>
          <w:rFonts w:cs="Arial"/>
          <w:szCs w:val="22"/>
          <w:lang w:val="sl-SI" w:eastAsia="sl-SI"/>
        </w:rPr>
        <w:sectPr w:rsidR="00FA7969" w:rsidRPr="004223D6" w:rsidSect="00FA7969">
          <w:pgSz w:w="16840" w:h="11900" w:orient="landscape" w:code="9"/>
          <w:pgMar w:top="1701" w:right="1701" w:bottom="1134" w:left="851" w:header="964" w:footer="397" w:gutter="0"/>
          <w:cols w:space="708"/>
          <w:titlePg/>
          <w:docGrid w:linePitch="272"/>
        </w:sectPr>
      </w:pPr>
    </w:p>
    <w:p w14:paraId="10859674" w14:textId="1E3EAC8D" w:rsidR="00FA7969" w:rsidRPr="004223D6" w:rsidRDefault="008B51B0" w:rsidP="00CE3440">
      <w:pPr>
        <w:rPr>
          <w:rFonts w:cs="Arial"/>
          <w:szCs w:val="22"/>
          <w:lang w:val="sl-SI" w:eastAsia="sl-SI"/>
        </w:rPr>
      </w:pPr>
      <w:r>
        <w:rPr>
          <w:rFonts w:cs="Arial"/>
          <w:szCs w:val="22"/>
          <w:lang w:val="sl-SI" w:eastAsia="sl-SI"/>
        </w:rPr>
        <w:lastRenderedPageBreak/>
        <w:t>Tabela</w:t>
      </w:r>
      <w:r w:rsidR="00FA7969" w:rsidRPr="004223D6">
        <w:rPr>
          <w:rFonts w:cs="Arial"/>
          <w:szCs w:val="22"/>
          <w:lang w:val="sl-SI" w:eastAsia="sl-SI"/>
        </w:rPr>
        <w:t xml:space="preserve"> 3: Letna dinamika vplačil </w:t>
      </w:r>
      <w:r w:rsidR="00232746" w:rsidRPr="004223D6">
        <w:rPr>
          <w:rFonts w:cs="Arial"/>
          <w:szCs w:val="22"/>
          <w:lang w:val="sl-SI" w:eastAsia="sl-SI"/>
        </w:rPr>
        <w:t>v sklad skl</w:t>
      </w:r>
      <w:r w:rsidR="004A2481" w:rsidRPr="004223D6">
        <w:rPr>
          <w:rFonts w:cs="Arial"/>
          <w:szCs w:val="22"/>
          <w:lang w:val="sl-SI" w:eastAsia="sl-SI"/>
        </w:rPr>
        <w:t>a</w:t>
      </w:r>
      <w:r w:rsidR="00232746" w:rsidRPr="004223D6">
        <w:rPr>
          <w:rFonts w:cs="Arial"/>
          <w:szCs w:val="22"/>
          <w:lang w:val="sl-SI" w:eastAsia="sl-SI"/>
        </w:rPr>
        <w:t>dov</w:t>
      </w:r>
      <w:r w:rsidR="00FA7969" w:rsidRPr="004223D6">
        <w:rPr>
          <w:rFonts w:cs="Arial"/>
          <w:szCs w:val="22"/>
          <w:lang w:val="sl-SI" w:eastAsia="sl-SI"/>
        </w:rPr>
        <w:t xml:space="preserve"> po </w:t>
      </w:r>
      <w:r w:rsidR="00232746" w:rsidRPr="004223D6">
        <w:rPr>
          <w:rFonts w:cs="Arial"/>
          <w:szCs w:val="22"/>
          <w:lang w:val="sl-SI" w:eastAsia="sl-SI"/>
        </w:rPr>
        <w:t xml:space="preserve">prednostni naložbi in </w:t>
      </w:r>
      <w:r w:rsidR="00FA7969" w:rsidRPr="004223D6">
        <w:rPr>
          <w:rFonts w:cs="Arial"/>
          <w:szCs w:val="22"/>
          <w:lang w:val="sl-SI" w:eastAsia="sl-SI"/>
        </w:rPr>
        <w:t>kohezijski regiji</w:t>
      </w:r>
      <w:r w:rsidR="002142F3">
        <w:rPr>
          <w:rFonts w:cs="Arial"/>
          <w:szCs w:val="22"/>
          <w:lang w:val="sl-SI" w:eastAsia="sl-SI"/>
        </w:rPr>
        <w:t xml:space="preserve"> v programskem obdobju 2014–</w:t>
      </w:r>
      <w:r w:rsidR="00B0560B">
        <w:rPr>
          <w:rFonts w:cs="Arial"/>
          <w:szCs w:val="22"/>
          <w:lang w:val="sl-SI" w:eastAsia="sl-SI"/>
        </w:rPr>
        <w:t>2020 (v EUR)</w:t>
      </w:r>
    </w:p>
    <w:tbl>
      <w:tblPr>
        <w:tblpPr w:leftFromText="141" w:rightFromText="141" w:vertAnchor="text" w:horzAnchor="margin" w:tblpXSpec="center" w:tblpY="216"/>
        <w:tblW w:w="4930" w:type="pct"/>
        <w:tblCellMar>
          <w:left w:w="70" w:type="dxa"/>
          <w:right w:w="70" w:type="dxa"/>
        </w:tblCellMar>
        <w:tblLook w:val="04A0" w:firstRow="1" w:lastRow="0" w:firstColumn="1" w:lastColumn="0" w:noHBand="0" w:noVBand="1"/>
      </w:tblPr>
      <w:tblGrid>
        <w:gridCol w:w="1458"/>
        <w:gridCol w:w="973"/>
        <w:gridCol w:w="1802"/>
        <w:gridCol w:w="760"/>
        <w:gridCol w:w="2001"/>
        <w:gridCol w:w="760"/>
        <w:gridCol w:w="1795"/>
        <w:gridCol w:w="1804"/>
        <w:gridCol w:w="760"/>
        <w:gridCol w:w="1831"/>
      </w:tblGrid>
      <w:tr w:rsidR="00E811FF" w:rsidRPr="004223D6" w14:paraId="60B11362"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AB24"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Prednostna naložba</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77D76"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Regija</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4FB99"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2017</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ED6F"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56E6D"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2019</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20CB"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2020</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D360"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2021</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FC97"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2022</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0A4C"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2023</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A621"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Skupaj</w:t>
            </w:r>
          </w:p>
        </w:tc>
      </w:tr>
      <w:tr w:rsidR="00350A83" w:rsidRPr="004223D6" w14:paraId="572FA554"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hideMark/>
          </w:tcPr>
          <w:p w14:paraId="04418DD1" w14:textId="4DB2D20E" w:rsidR="00350A83" w:rsidRPr="004223D6" w:rsidRDefault="00350A83" w:rsidP="00350A83">
            <w:pPr>
              <w:outlineLvl w:val="1"/>
              <w:rPr>
                <w:rFonts w:cs="Arial"/>
                <w:color w:val="000000"/>
                <w:szCs w:val="22"/>
                <w:lang w:val="sl-SI" w:eastAsia="sl-SI"/>
              </w:rPr>
            </w:pPr>
            <w:r w:rsidRPr="005525ED">
              <w:rPr>
                <w:rFonts w:cs="Arial"/>
                <w:color w:val="000000"/>
                <w:szCs w:val="22"/>
                <w:lang w:val="sl-SI"/>
              </w:rPr>
              <w:t>1.2 (RRI)</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EA3E06"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Vzhod</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5A67BC" w14:textId="79EDDB73"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8.550.000,00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4A854B"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E85A98" w14:textId="5B4A22BE"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8.550.000,00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E87CF1"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0E0FFB" w14:textId="3A94C0DA"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8.550.000,00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87CF46" w14:textId="02DC63F4"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8.550.000,00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278805"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9A0E9E" w14:textId="6F78EF54"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34.200.000,00</w:t>
            </w:r>
          </w:p>
        </w:tc>
      </w:tr>
      <w:tr w:rsidR="00350A83" w:rsidRPr="004223D6" w14:paraId="7EB869CC"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59E670DD" w14:textId="5E6525F7" w:rsidR="00350A83" w:rsidRPr="004223D6" w:rsidRDefault="00350A83" w:rsidP="00350A83">
            <w:pPr>
              <w:outlineLvl w:val="1"/>
              <w:rPr>
                <w:rFonts w:cs="Arial"/>
                <w:color w:val="000000"/>
                <w:szCs w:val="22"/>
                <w:lang w:val="sl-SI" w:eastAsia="sl-SI"/>
              </w:rPr>
            </w:pPr>
            <w:r w:rsidRPr="005525ED">
              <w:rPr>
                <w:rFonts w:cs="Arial"/>
                <w:color w:val="000000"/>
                <w:szCs w:val="22"/>
                <w:lang w:val="sl-SI"/>
              </w:rPr>
              <w:t>1.2 (RRI)</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4B6F5"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Zahod</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CBB1" w14:textId="2FA18FCC"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145A"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38C5F" w14:textId="1A9CA9BC"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D03E3"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DA2E" w14:textId="56AC2489"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13.450.000,00</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F1D3" w14:textId="09FF7A13"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A00B2"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98CB9" w14:textId="52639DFE"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53.800.000,00</w:t>
            </w:r>
          </w:p>
        </w:tc>
      </w:tr>
      <w:tr w:rsidR="00E811FF" w:rsidRPr="004223D6" w14:paraId="1F725955"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BFBA17"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1.2 Vsota</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52A4F2"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8ED8A5" w14:textId="1056C626"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22.000.000,00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19E7D2"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DF0767" w14:textId="4AF9E50C"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22.000.000,00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2BE963"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A560A5" w14:textId="40C7ACFF"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22.000.000,00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796013" w14:textId="66632320"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22.000.000,00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679356"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8C53AA" w14:textId="47F043B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88.000.000,00</w:t>
            </w:r>
          </w:p>
        </w:tc>
      </w:tr>
      <w:tr w:rsidR="00350A83" w:rsidRPr="004223D6" w14:paraId="62EEA6D4"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00D9CAAE" w14:textId="6735B019" w:rsidR="00350A83" w:rsidRPr="004223D6" w:rsidRDefault="00350A83" w:rsidP="00350A83">
            <w:pPr>
              <w:outlineLvl w:val="1"/>
              <w:rPr>
                <w:rFonts w:cs="Arial"/>
                <w:color w:val="000000"/>
                <w:szCs w:val="22"/>
                <w:lang w:val="sl-SI" w:eastAsia="sl-SI"/>
              </w:rPr>
            </w:pPr>
            <w:r w:rsidRPr="00725A64">
              <w:rPr>
                <w:rFonts w:cs="Arial"/>
                <w:color w:val="000000"/>
                <w:szCs w:val="22"/>
                <w:lang w:val="sl-SI" w:eastAsia="sl-SI"/>
              </w:rPr>
              <w:t>3.1 (MSP)</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1C8C"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Vzhod</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10E8F" w14:textId="5778144D"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13.875.000,00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8783D"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99268" w14:textId="528844A4"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13.875.000,00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255E1"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5781F" w14:textId="4FEC49B4"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13.875.000,00</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1FDF" w14:textId="765140DE"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13.875.000,00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962FC"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7477F" w14:textId="4E448FEE"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55.500.000,00</w:t>
            </w:r>
          </w:p>
        </w:tc>
      </w:tr>
      <w:tr w:rsidR="00350A83" w:rsidRPr="004223D6" w14:paraId="3AF8358A"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hideMark/>
          </w:tcPr>
          <w:p w14:paraId="78830F18" w14:textId="6798C0F5" w:rsidR="00350A83" w:rsidRPr="004223D6" w:rsidRDefault="00350A83" w:rsidP="00350A83">
            <w:pPr>
              <w:outlineLvl w:val="1"/>
              <w:rPr>
                <w:rFonts w:cs="Arial"/>
                <w:color w:val="000000"/>
                <w:szCs w:val="22"/>
                <w:lang w:val="sl-SI" w:eastAsia="sl-SI"/>
              </w:rPr>
            </w:pPr>
            <w:r w:rsidRPr="00725A64">
              <w:rPr>
                <w:rFonts w:cs="Arial"/>
                <w:color w:val="000000"/>
                <w:szCs w:val="22"/>
                <w:lang w:val="sl-SI" w:eastAsia="sl-SI"/>
              </w:rPr>
              <w:t>3.1 (MSP)</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E70421"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Zahod</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963BEE" w14:textId="4A0539D1"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19.875.000,00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860069"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CAAC2B" w14:textId="37BC608A"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19.875.000,00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3B8FF0"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0DCB5E" w14:textId="3E10AE6C"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19.875.000,00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3FC59D" w14:textId="05AB2237"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19.875.000,00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8D0A9B"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24DC8572" w14:textId="23C28830"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79.500.000,00</w:t>
            </w:r>
          </w:p>
        </w:tc>
      </w:tr>
      <w:tr w:rsidR="00E811FF" w:rsidRPr="004223D6" w14:paraId="24A9958F"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AC1C7"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3.1 Vsota</w:t>
            </w:r>
          </w:p>
        </w:tc>
        <w:tc>
          <w:tcPr>
            <w:tcW w:w="963" w:type="dxa"/>
            <w:tcBorders>
              <w:top w:val="nil"/>
              <w:left w:val="nil"/>
              <w:bottom w:val="single" w:sz="4" w:space="0" w:color="auto"/>
              <w:right w:val="single" w:sz="4" w:space="0" w:color="auto"/>
            </w:tcBorders>
            <w:shd w:val="clear" w:color="auto" w:fill="auto"/>
            <w:noWrap/>
            <w:vAlign w:val="bottom"/>
            <w:hideMark/>
          </w:tcPr>
          <w:p w14:paraId="0658D68C"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nil"/>
              <w:left w:val="nil"/>
              <w:bottom w:val="single" w:sz="4" w:space="0" w:color="auto"/>
              <w:right w:val="single" w:sz="4" w:space="0" w:color="auto"/>
            </w:tcBorders>
            <w:shd w:val="clear" w:color="auto" w:fill="auto"/>
            <w:noWrap/>
            <w:vAlign w:val="bottom"/>
            <w:hideMark/>
          </w:tcPr>
          <w:p w14:paraId="192B77E0" w14:textId="50601713"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33.750.000,00</w:t>
            </w:r>
          </w:p>
        </w:tc>
        <w:tc>
          <w:tcPr>
            <w:tcW w:w="752" w:type="dxa"/>
            <w:tcBorders>
              <w:top w:val="nil"/>
              <w:left w:val="nil"/>
              <w:bottom w:val="single" w:sz="4" w:space="0" w:color="auto"/>
              <w:right w:val="single" w:sz="4" w:space="0" w:color="auto"/>
            </w:tcBorders>
            <w:shd w:val="clear" w:color="auto" w:fill="auto"/>
            <w:noWrap/>
            <w:vAlign w:val="bottom"/>
            <w:hideMark/>
          </w:tcPr>
          <w:p w14:paraId="33A29D00"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6DCD90" w14:textId="45F59908"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33.750.000,00</w:t>
            </w:r>
          </w:p>
        </w:tc>
        <w:tc>
          <w:tcPr>
            <w:tcW w:w="752" w:type="dxa"/>
            <w:tcBorders>
              <w:top w:val="nil"/>
              <w:left w:val="nil"/>
              <w:bottom w:val="single" w:sz="4" w:space="0" w:color="auto"/>
              <w:right w:val="single" w:sz="4" w:space="0" w:color="auto"/>
            </w:tcBorders>
            <w:shd w:val="clear" w:color="auto" w:fill="auto"/>
            <w:noWrap/>
            <w:vAlign w:val="bottom"/>
            <w:hideMark/>
          </w:tcPr>
          <w:p w14:paraId="0F73C882"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nil"/>
              <w:left w:val="nil"/>
              <w:bottom w:val="single" w:sz="4" w:space="0" w:color="auto"/>
              <w:right w:val="single" w:sz="4" w:space="0" w:color="auto"/>
            </w:tcBorders>
            <w:shd w:val="clear" w:color="auto" w:fill="auto"/>
            <w:noWrap/>
            <w:vAlign w:val="bottom"/>
            <w:hideMark/>
          </w:tcPr>
          <w:p w14:paraId="67DFE9BC" w14:textId="42D8DD8E"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33.750.000,00</w:t>
            </w:r>
          </w:p>
        </w:tc>
        <w:tc>
          <w:tcPr>
            <w:tcW w:w="1785" w:type="dxa"/>
            <w:tcBorders>
              <w:top w:val="nil"/>
              <w:left w:val="nil"/>
              <w:bottom w:val="single" w:sz="4" w:space="0" w:color="auto"/>
              <w:right w:val="single" w:sz="4" w:space="0" w:color="auto"/>
            </w:tcBorders>
            <w:shd w:val="clear" w:color="auto" w:fill="auto"/>
            <w:noWrap/>
            <w:vAlign w:val="bottom"/>
            <w:hideMark/>
          </w:tcPr>
          <w:p w14:paraId="1416B3B8" w14:textId="0AABA3F2"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33.750.000,00</w:t>
            </w:r>
          </w:p>
        </w:tc>
        <w:tc>
          <w:tcPr>
            <w:tcW w:w="752" w:type="dxa"/>
            <w:tcBorders>
              <w:top w:val="nil"/>
              <w:left w:val="nil"/>
              <w:bottom w:val="single" w:sz="4" w:space="0" w:color="auto"/>
              <w:right w:val="single" w:sz="4" w:space="0" w:color="auto"/>
            </w:tcBorders>
            <w:shd w:val="clear" w:color="auto" w:fill="auto"/>
            <w:noWrap/>
            <w:vAlign w:val="bottom"/>
            <w:hideMark/>
          </w:tcPr>
          <w:p w14:paraId="45F9508B"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AEE7" w14:textId="0C86407C"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135.000.000,00</w:t>
            </w:r>
          </w:p>
        </w:tc>
      </w:tr>
      <w:tr w:rsidR="00E811FF" w:rsidRPr="004223D6" w14:paraId="242E5F95"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DB46EC" w14:textId="362A8ABF" w:rsidR="00156A8A" w:rsidRPr="004223D6" w:rsidRDefault="00350A83" w:rsidP="00156A8A">
            <w:pPr>
              <w:outlineLvl w:val="1"/>
              <w:rPr>
                <w:rFonts w:cs="Arial"/>
                <w:color w:val="000000"/>
                <w:szCs w:val="22"/>
                <w:lang w:val="sl-SI" w:eastAsia="sl-SI"/>
              </w:rPr>
            </w:pPr>
            <w:r w:rsidRPr="00350A83">
              <w:rPr>
                <w:rFonts w:cs="Arial"/>
                <w:color w:val="000000"/>
                <w:szCs w:val="22"/>
                <w:lang w:val="sl-SI" w:eastAsia="sl-SI"/>
              </w:rPr>
              <w:t>4.1 (EE)</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3C9983" w14:textId="77777777" w:rsidR="00156A8A" w:rsidRPr="004223D6" w:rsidRDefault="00156A8A" w:rsidP="00156A8A">
            <w:pPr>
              <w:outlineLvl w:val="1"/>
              <w:rPr>
                <w:rFonts w:cs="Arial"/>
                <w:color w:val="000000"/>
                <w:szCs w:val="22"/>
                <w:lang w:val="sl-SI" w:eastAsia="sl-SI"/>
              </w:rPr>
            </w:pPr>
            <w:r w:rsidRPr="004223D6">
              <w:rPr>
                <w:rFonts w:cs="Arial"/>
                <w:color w:val="000000"/>
                <w:szCs w:val="22"/>
                <w:lang w:val="sl-SI" w:eastAsia="sl-SI"/>
              </w:rPr>
              <w:t>SI</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D9FEE5" w14:textId="7C8D42F9"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6.250.000,00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147BE5" w14:textId="77777777"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E1DED3" w14:textId="6B8B316B"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6.250.000,00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2E2E4D" w14:textId="77777777"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B31E4E" w14:textId="03CEB2A4"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6.250.000,00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9E8A79" w14:textId="74B24F1E"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6.250.000,00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3332C6" w14:textId="77777777"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2FC891" w14:textId="4C355598"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25.000.000,00</w:t>
            </w:r>
          </w:p>
        </w:tc>
      </w:tr>
      <w:tr w:rsidR="00E811FF" w:rsidRPr="004223D6" w14:paraId="35B4C6E9"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5A91A"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4.1 Vsota</w:t>
            </w:r>
          </w:p>
        </w:tc>
        <w:tc>
          <w:tcPr>
            <w:tcW w:w="963" w:type="dxa"/>
            <w:tcBorders>
              <w:top w:val="nil"/>
              <w:left w:val="nil"/>
              <w:bottom w:val="single" w:sz="4" w:space="0" w:color="auto"/>
              <w:right w:val="single" w:sz="4" w:space="0" w:color="auto"/>
            </w:tcBorders>
            <w:shd w:val="clear" w:color="auto" w:fill="auto"/>
            <w:noWrap/>
            <w:vAlign w:val="bottom"/>
            <w:hideMark/>
          </w:tcPr>
          <w:p w14:paraId="34051959"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nil"/>
              <w:left w:val="nil"/>
              <w:bottom w:val="single" w:sz="4" w:space="0" w:color="auto"/>
              <w:right w:val="single" w:sz="4" w:space="0" w:color="auto"/>
            </w:tcBorders>
            <w:shd w:val="clear" w:color="auto" w:fill="auto"/>
            <w:noWrap/>
            <w:vAlign w:val="bottom"/>
            <w:hideMark/>
          </w:tcPr>
          <w:p w14:paraId="42AA2913" w14:textId="45D933C3"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6.250.000,00</w:t>
            </w:r>
          </w:p>
        </w:tc>
        <w:tc>
          <w:tcPr>
            <w:tcW w:w="752" w:type="dxa"/>
            <w:tcBorders>
              <w:top w:val="nil"/>
              <w:left w:val="nil"/>
              <w:bottom w:val="single" w:sz="4" w:space="0" w:color="auto"/>
              <w:right w:val="single" w:sz="4" w:space="0" w:color="auto"/>
            </w:tcBorders>
            <w:shd w:val="clear" w:color="auto" w:fill="auto"/>
            <w:noWrap/>
            <w:vAlign w:val="bottom"/>
            <w:hideMark/>
          </w:tcPr>
          <w:p w14:paraId="14F68B28"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nil"/>
              <w:left w:val="nil"/>
              <w:bottom w:val="single" w:sz="4" w:space="0" w:color="auto"/>
              <w:right w:val="single" w:sz="4" w:space="0" w:color="auto"/>
            </w:tcBorders>
            <w:shd w:val="clear" w:color="auto" w:fill="auto"/>
            <w:noWrap/>
            <w:vAlign w:val="bottom"/>
            <w:hideMark/>
          </w:tcPr>
          <w:p w14:paraId="51453B6C" w14:textId="05267723"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6.250.000,00</w:t>
            </w:r>
          </w:p>
        </w:tc>
        <w:tc>
          <w:tcPr>
            <w:tcW w:w="752" w:type="dxa"/>
            <w:tcBorders>
              <w:top w:val="nil"/>
              <w:left w:val="nil"/>
              <w:bottom w:val="single" w:sz="4" w:space="0" w:color="auto"/>
              <w:right w:val="single" w:sz="4" w:space="0" w:color="auto"/>
            </w:tcBorders>
            <w:shd w:val="clear" w:color="auto" w:fill="auto"/>
            <w:noWrap/>
            <w:vAlign w:val="bottom"/>
            <w:hideMark/>
          </w:tcPr>
          <w:p w14:paraId="6805796C"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nil"/>
              <w:left w:val="nil"/>
              <w:bottom w:val="single" w:sz="4" w:space="0" w:color="auto"/>
              <w:right w:val="single" w:sz="4" w:space="0" w:color="auto"/>
            </w:tcBorders>
            <w:shd w:val="clear" w:color="auto" w:fill="auto"/>
            <w:noWrap/>
            <w:vAlign w:val="bottom"/>
            <w:hideMark/>
          </w:tcPr>
          <w:p w14:paraId="3510003F" w14:textId="65EE4B36"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6.250.000,00</w:t>
            </w:r>
          </w:p>
        </w:tc>
        <w:tc>
          <w:tcPr>
            <w:tcW w:w="1785" w:type="dxa"/>
            <w:tcBorders>
              <w:top w:val="nil"/>
              <w:left w:val="nil"/>
              <w:bottom w:val="single" w:sz="4" w:space="0" w:color="auto"/>
              <w:right w:val="single" w:sz="4" w:space="0" w:color="auto"/>
            </w:tcBorders>
            <w:shd w:val="clear" w:color="auto" w:fill="auto"/>
            <w:noWrap/>
            <w:vAlign w:val="bottom"/>
            <w:hideMark/>
          </w:tcPr>
          <w:p w14:paraId="41E64CD3" w14:textId="3FE65231"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6.250.000,00</w:t>
            </w:r>
          </w:p>
        </w:tc>
        <w:tc>
          <w:tcPr>
            <w:tcW w:w="752" w:type="dxa"/>
            <w:tcBorders>
              <w:top w:val="nil"/>
              <w:left w:val="nil"/>
              <w:bottom w:val="single" w:sz="4" w:space="0" w:color="auto"/>
              <w:right w:val="single" w:sz="4" w:space="0" w:color="auto"/>
            </w:tcBorders>
            <w:shd w:val="clear" w:color="auto" w:fill="auto"/>
            <w:noWrap/>
            <w:vAlign w:val="bottom"/>
            <w:hideMark/>
          </w:tcPr>
          <w:p w14:paraId="3B1E0F9F"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1FDB" w14:textId="618D0ADC"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25.000.000,00</w:t>
            </w:r>
          </w:p>
        </w:tc>
      </w:tr>
      <w:tr w:rsidR="00350A83" w:rsidRPr="004223D6" w14:paraId="1803CC6B"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hideMark/>
          </w:tcPr>
          <w:p w14:paraId="733FB4E1" w14:textId="2E5C92C7" w:rsidR="00350A83" w:rsidRPr="004223D6" w:rsidRDefault="00350A83" w:rsidP="00350A83">
            <w:pPr>
              <w:outlineLvl w:val="1"/>
              <w:rPr>
                <w:rFonts w:cs="Arial"/>
                <w:color w:val="000000"/>
                <w:szCs w:val="22"/>
                <w:lang w:val="sl-SI" w:eastAsia="sl-SI"/>
              </w:rPr>
            </w:pPr>
            <w:r w:rsidRPr="00EC6CE0">
              <w:rPr>
                <w:rFonts w:cs="Arial"/>
                <w:color w:val="000000"/>
                <w:szCs w:val="22"/>
                <w:lang w:val="sl-SI" w:eastAsia="sl-SI"/>
              </w:rPr>
              <w:t>6.3 (UR)</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0B0C94"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Vzhod</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EE78E3" w14:textId="75FB2903"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A05E54"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4F8965" w14:textId="55BB952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56A91B"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A23A3D" w14:textId="7B3C448A"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800.000,00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A1104D" w14:textId="53782764"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FB2129"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33C46F" w14:textId="7A661E4C"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3.200.000,00</w:t>
            </w:r>
          </w:p>
        </w:tc>
      </w:tr>
      <w:tr w:rsidR="00350A83" w:rsidRPr="004223D6" w14:paraId="70C020D4"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64C5D340" w14:textId="7790D631" w:rsidR="00350A83" w:rsidRPr="004223D6" w:rsidRDefault="00350A83" w:rsidP="00350A83">
            <w:pPr>
              <w:outlineLvl w:val="1"/>
              <w:rPr>
                <w:rFonts w:cs="Arial"/>
                <w:color w:val="000000"/>
                <w:szCs w:val="22"/>
                <w:lang w:val="sl-SI" w:eastAsia="sl-SI"/>
              </w:rPr>
            </w:pPr>
            <w:r w:rsidRPr="00EC6CE0">
              <w:rPr>
                <w:rFonts w:cs="Arial"/>
                <w:color w:val="000000"/>
                <w:szCs w:val="22"/>
                <w:lang w:val="sl-SI" w:eastAsia="sl-SI"/>
              </w:rPr>
              <w:t>6.3 (UR)</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628CD"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Zahod</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7FF30" w14:textId="11F8844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AF8C"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C8944" w14:textId="2F1CAA72"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AD5D6"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A4E4D" w14:textId="711FD7F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450.000,00</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DED4" w14:textId="6C6EFECB"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33259"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572D" w14:textId="6EE8A685"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1.800.000,00</w:t>
            </w:r>
          </w:p>
        </w:tc>
      </w:tr>
      <w:tr w:rsidR="00E811FF" w:rsidRPr="004223D6" w14:paraId="056C9365"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B849CC"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6.3 Vsota</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F3D66C"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75D9BA" w14:textId="7D346F09"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2EB560"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F0E0A5" w14:textId="5EB9B2BB"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E6D954"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2C5EFC" w14:textId="24C23192"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1.250.000,00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449993" w14:textId="026AAA44"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C486CD"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743D9E" w14:textId="0650DDEF"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5.000.000,00</w:t>
            </w:r>
          </w:p>
        </w:tc>
      </w:tr>
      <w:tr w:rsidR="00E811FF" w:rsidRPr="004223D6" w14:paraId="3D737805"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37A0"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Skupna vsota</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B5DD"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B6BB" w14:textId="629E72AD"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63.250.000,00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4D670"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4A80" w14:textId="51907460"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63.250.000,00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D2BD"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6604" w14:textId="66B4A3ED"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63.250.000,00</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7AA0" w14:textId="55556F2D"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63.250.000,00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176E"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09F7F" w14:textId="394D67C9"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253.000.000,00</w:t>
            </w:r>
          </w:p>
        </w:tc>
      </w:tr>
    </w:tbl>
    <w:p w14:paraId="11D02A17" w14:textId="77777777" w:rsidR="00FA7969" w:rsidRPr="004223D6" w:rsidRDefault="00FA7969" w:rsidP="00CE3440">
      <w:pPr>
        <w:rPr>
          <w:rFonts w:cs="Arial"/>
          <w:szCs w:val="22"/>
          <w:lang w:val="sl-SI"/>
        </w:rPr>
      </w:pPr>
    </w:p>
    <w:p w14:paraId="566A8D26" w14:textId="008DCC20" w:rsidR="00FA7969" w:rsidRPr="004223D6" w:rsidRDefault="00FA7969" w:rsidP="00CE3440">
      <w:pPr>
        <w:rPr>
          <w:rFonts w:cs="Arial"/>
          <w:szCs w:val="22"/>
          <w:lang w:val="sl-SI"/>
        </w:rPr>
      </w:pPr>
    </w:p>
    <w:p w14:paraId="79BDB62F" w14:textId="77777777" w:rsidR="00FA7969" w:rsidRPr="004223D6" w:rsidRDefault="00FA7969" w:rsidP="00CE3440">
      <w:pPr>
        <w:jc w:val="both"/>
        <w:rPr>
          <w:rFonts w:cs="Arial"/>
          <w:szCs w:val="22"/>
          <w:lang w:val="sl-SI"/>
        </w:rPr>
      </w:pPr>
    </w:p>
    <w:sectPr w:rsidR="00FA7969" w:rsidRPr="004223D6" w:rsidSect="00FA7969">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DE06B" w14:textId="77777777" w:rsidR="005A03DC" w:rsidRDefault="005A03DC" w:rsidP="00E44171">
      <w:r>
        <w:separator/>
      </w:r>
    </w:p>
  </w:endnote>
  <w:endnote w:type="continuationSeparator" w:id="0">
    <w:p w14:paraId="3BCA0C9E" w14:textId="77777777" w:rsidR="005A03DC" w:rsidRDefault="005A03DC" w:rsidP="00E44171">
      <w:r>
        <w:continuationSeparator/>
      </w:r>
    </w:p>
  </w:endnote>
  <w:endnote w:type="continuationNotice" w:id="1">
    <w:p w14:paraId="721E4143" w14:textId="77777777" w:rsidR="005A03DC" w:rsidRDefault="005A0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68653"/>
      <w:docPartObj>
        <w:docPartGallery w:val="Page Numbers (Bottom of Page)"/>
        <w:docPartUnique/>
      </w:docPartObj>
    </w:sdtPr>
    <w:sdtEndPr/>
    <w:sdtContent>
      <w:p w14:paraId="2AB72AFC" w14:textId="1793822D" w:rsidR="00742A7C" w:rsidRDefault="00742A7C">
        <w:pPr>
          <w:pStyle w:val="Noga"/>
          <w:jc w:val="right"/>
        </w:pPr>
        <w:r>
          <w:fldChar w:fldCharType="begin"/>
        </w:r>
        <w:r>
          <w:instrText>PAGE   \* MERGEFORMAT</w:instrText>
        </w:r>
        <w:r>
          <w:fldChar w:fldCharType="separate"/>
        </w:r>
        <w:r w:rsidR="00866280" w:rsidRPr="00866280">
          <w:rPr>
            <w:noProof/>
            <w:lang w:val="sl-SI"/>
          </w:rPr>
          <w:t>11</w:t>
        </w:r>
        <w:r>
          <w:fldChar w:fldCharType="end"/>
        </w:r>
      </w:p>
    </w:sdtContent>
  </w:sdt>
  <w:p w14:paraId="479F40FE" w14:textId="77777777" w:rsidR="00742A7C" w:rsidRDefault="00742A7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79463"/>
      <w:docPartObj>
        <w:docPartGallery w:val="Page Numbers (Bottom of Page)"/>
        <w:docPartUnique/>
      </w:docPartObj>
    </w:sdtPr>
    <w:sdtEndPr/>
    <w:sdtContent>
      <w:p w14:paraId="119CA925" w14:textId="3D7355E2" w:rsidR="00742A7C" w:rsidRDefault="00742A7C">
        <w:pPr>
          <w:pStyle w:val="Noga"/>
          <w:jc w:val="right"/>
        </w:pPr>
        <w:r>
          <w:fldChar w:fldCharType="begin"/>
        </w:r>
        <w:r>
          <w:instrText>PAGE   \* MERGEFORMAT</w:instrText>
        </w:r>
        <w:r>
          <w:fldChar w:fldCharType="separate"/>
        </w:r>
        <w:r w:rsidR="00866280" w:rsidRPr="00866280">
          <w:rPr>
            <w:noProof/>
            <w:lang w:val="sl-SI"/>
          </w:rPr>
          <w:t>1</w:t>
        </w:r>
        <w:r>
          <w:fldChar w:fldCharType="end"/>
        </w:r>
      </w:p>
    </w:sdtContent>
  </w:sdt>
  <w:p w14:paraId="1FD89207" w14:textId="77777777" w:rsidR="00742A7C" w:rsidRDefault="00742A7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7B81" w14:textId="77777777" w:rsidR="00742A7C" w:rsidRDefault="00742A7C">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6197"/>
      <w:docPartObj>
        <w:docPartGallery w:val="Page Numbers (Bottom of Page)"/>
        <w:docPartUnique/>
      </w:docPartObj>
    </w:sdtPr>
    <w:sdtEndPr>
      <w:rPr>
        <w:rFonts w:cs="Arial"/>
        <w:sz w:val="20"/>
        <w:szCs w:val="20"/>
      </w:rPr>
    </w:sdtEndPr>
    <w:sdtContent>
      <w:p w14:paraId="4C14BF87" w14:textId="20CDD269" w:rsidR="00742A7C" w:rsidRPr="00306359" w:rsidRDefault="00742A7C">
        <w:pPr>
          <w:pStyle w:val="Noga"/>
          <w:jc w:val="center"/>
          <w:rPr>
            <w:rFonts w:cs="Arial"/>
            <w:sz w:val="20"/>
            <w:szCs w:val="20"/>
          </w:rPr>
        </w:pPr>
        <w:r w:rsidRPr="00306359">
          <w:rPr>
            <w:rFonts w:cs="Arial"/>
            <w:sz w:val="20"/>
            <w:szCs w:val="20"/>
          </w:rPr>
          <w:fldChar w:fldCharType="begin"/>
        </w:r>
        <w:r w:rsidRPr="00306359">
          <w:rPr>
            <w:rFonts w:cs="Arial"/>
            <w:sz w:val="20"/>
            <w:szCs w:val="20"/>
          </w:rPr>
          <w:instrText>PAGE   \* MERGEFORMAT</w:instrText>
        </w:r>
        <w:r w:rsidRPr="00306359">
          <w:rPr>
            <w:rFonts w:cs="Arial"/>
            <w:sz w:val="20"/>
            <w:szCs w:val="20"/>
          </w:rPr>
          <w:fldChar w:fldCharType="separate"/>
        </w:r>
        <w:r w:rsidRPr="00697BAB">
          <w:rPr>
            <w:rFonts w:cs="Arial"/>
            <w:noProof/>
            <w:sz w:val="20"/>
            <w:szCs w:val="20"/>
            <w:lang w:val="sl-SI"/>
          </w:rPr>
          <w:t>22</w:t>
        </w:r>
        <w:r w:rsidRPr="00306359">
          <w:rPr>
            <w:rFonts w:cs="Arial"/>
            <w:sz w:val="20"/>
            <w:szCs w:val="20"/>
          </w:rPr>
          <w:fldChar w:fldCharType="end"/>
        </w:r>
      </w:p>
    </w:sdtContent>
  </w:sdt>
  <w:p w14:paraId="53048AFD" w14:textId="77777777" w:rsidR="00742A7C" w:rsidRDefault="00742A7C">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5315"/>
      <w:docPartObj>
        <w:docPartGallery w:val="Page Numbers (Bottom of Page)"/>
        <w:docPartUnique/>
      </w:docPartObj>
    </w:sdtPr>
    <w:sdtEndPr/>
    <w:sdtContent>
      <w:p w14:paraId="35A02F06" w14:textId="6832366B" w:rsidR="00742A7C" w:rsidRDefault="00742A7C">
        <w:pPr>
          <w:pStyle w:val="Noga"/>
          <w:jc w:val="right"/>
        </w:pPr>
        <w:r>
          <w:fldChar w:fldCharType="begin"/>
        </w:r>
        <w:r>
          <w:instrText>PAGE   \* MERGEFORMAT</w:instrText>
        </w:r>
        <w:r>
          <w:fldChar w:fldCharType="separate"/>
        </w:r>
        <w:r w:rsidR="00866280" w:rsidRPr="00866280">
          <w:rPr>
            <w:noProof/>
            <w:lang w:val="sl-SI"/>
          </w:rPr>
          <w:t>14</w:t>
        </w:r>
        <w:r>
          <w:fldChar w:fldCharType="end"/>
        </w:r>
      </w:p>
    </w:sdtContent>
  </w:sdt>
  <w:p w14:paraId="763C850F" w14:textId="77777777" w:rsidR="00742A7C" w:rsidRDefault="00742A7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396E3" w14:textId="77777777" w:rsidR="005A03DC" w:rsidRDefault="005A03DC" w:rsidP="00E44171">
      <w:r>
        <w:separator/>
      </w:r>
    </w:p>
  </w:footnote>
  <w:footnote w:type="continuationSeparator" w:id="0">
    <w:p w14:paraId="29990E15" w14:textId="77777777" w:rsidR="005A03DC" w:rsidRDefault="005A03DC" w:rsidP="00E44171">
      <w:r>
        <w:continuationSeparator/>
      </w:r>
    </w:p>
  </w:footnote>
  <w:footnote w:type="continuationNotice" w:id="1">
    <w:p w14:paraId="682846D6" w14:textId="77777777" w:rsidR="005A03DC" w:rsidRDefault="005A03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8B7D2" w14:textId="77777777" w:rsidR="00742A7C" w:rsidRPr="00110CBD" w:rsidRDefault="00742A7C" w:rsidP="00F40DD4">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94"/>
    </w:tblGrid>
    <w:tr w:rsidR="00742A7C" w:rsidRPr="008F3500" w14:paraId="4634814B" w14:textId="77777777" w:rsidTr="00F40DD4">
      <w:trPr>
        <w:cantSplit/>
        <w:trHeight w:hRule="exact" w:val="737"/>
      </w:trPr>
      <w:tc>
        <w:tcPr>
          <w:tcW w:w="694" w:type="dxa"/>
        </w:tcPr>
        <w:p w14:paraId="1A9B0071" w14:textId="49617F4F" w:rsidR="00742A7C" w:rsidRPr="006D42D9" w:rsidRDefault="00742A7C" w:rsidP="00F40DD4">
          <w:pPr>
            <w:rPr>
              <w:rFonts w:ascii="Republika" w:hAnsi="Republika"/>
              <w:sz w:val="60"/>
              <w:szCs w:val="60"/>
            </w:rPr>
          </w:pPr>
        </w:p>
        <w:p w14:paraId="476CAAB2" w14:textId="77777777" w:rsidR="00742A7C" w:rsidRPr="006D42D9" w:rsidRDefault="00742A7C" w:rsidP="00F40DD4">
          <w:pPr>
            <w:rPr>
              <w:rFonts w:ascii="Republika" w:hAnsi="Republika"/>
              <w:sz w:val="60"/>
              <w:szCs w:val="60"/>
            </w:rPr>
          </w:pPr>
        </w:p>
        <w:p w14:paraId="2EDD389F" w14:textId="77777777" w:rsidR="00742A7C" w:rsidRPr="006D42D9" w:rsidRDefault="00742A7C" w:rsidP="00F40DD4">
          <w:pPr>
            <w:rPr>
              <w:rFonts w:ascii="Republika" w:hAnsi="Republika"/>
              <w:sz w:val="60"/>
              <w:szCs w:val="60"/>
            </w:rPr>
          </w:pPr>
        </w:p>
        <w:p w14:paraId="77D1E9F3" w14:textId="77777777" w:rsidR="00742A7C" w:rsidRPr="006D42D9" w:rsidRDefault="00742A7C" w:rsidP="00F40DD4">
          <w:pPr>
            <w:rPr>
              <w:rFonts w:ascii="Republika" w:hAnsi="Republika"/>
              <w:sz w:val="60"/>
              <w:szCs w:val="60"/>
            </w:rPr>
          </w:pPr>
        </w:p>
        <w:p w14:paraId="4B090657" w14:textId="77777777" w:rsidR="00742A7C" w:rsidRPr="006D42D9" w:rsidRDefault="00742A7C" w:rsidP="00F40DD4">
          <w:pPr>
            <w:rPr>
              <w:rFonts w:ascii="Republika" w:hAnsi="Republika"/>
              <w:sz w:val="60"/>
              <w:szCs w:val="60"/>
            </w:rPr>
          </w:pPr>
        </w:p>
        <w:p w14:paraId="34450336" w14:textId="77777777" w:rsidR="00742A7C" w:rsidRPr="006D42D9" w:rsidRDefault="00742A7C" w:rsidP="00F40DD4">
          <w:pPr>
            <w:rPr>
              <w:rFonts w:ascii="Republika" w:hAnsi="Republika"/>
              <w:sz w:val="60"/>
              <w:szCs w:val="60"/>
            </w:rPr>
          </w:pPr>
        </w:p>
        <w:p w14:paraId="5698ECA8" w14:textId="77777777" w:rsidR="00742A7C" w:rsidRPr="006D42D9" w:rsidRDefault="00742A7C" w:rsidP="00F40DD4">
          <w:pPr>
            <w:rPr>
              <w:rFonts w:ascii="Republika" w:hAnsi="Republika"/>
              <w:sz w:val="60"/>
              <w:szCs w:val="60"/>
            </w:rPr>
          </w:pPr>
        </w:p>
        <w:p w14:paraId="43BBD228" w14:textId="77777777" w:rsidR="00742A7C" w:rsidRPr="006D42D9" w:rsidRDefault="00742A7C" w:rsidP="00F40DD4">
          <w:pPr>
            <w:rPr>
              <w:rFonts w:ascii="Republika" w:hAnsi="Republika"/>
              <w:sz w:val="60"/>
              <w:szCs w:val="60"/>
            </w:rPr>
          </w:pPr>
        </w:p>
        <w:p w14:paraId="177A1C4E" w14:textId="77777777" w:rsidR="00742A7C" w:rsidRPr="006D42D9" w:rsidRDefault="00742A7C" w:rsidP="00F40DD4">
          <w:pPr>
            <w:rPr>
              <w:rFonts w:ascii="Republika" w:hAnsi="Republika"/>
              <w:sz w:val="60"/>
              <w:szCs w:val="60"/>
            </w:rPr>
          </w:pPr>
        </w:p>
        <w:p w14:paraId="429C92A9" w14:textId="77777777" w:rsidR="00742A7C" w:rsidRPr="006D42D9" w:rsidRDefault="00742A7C" w:rsidP="00F40DD4">
          <w:pPr>
            <w:rPr>
              <w:rFonts w:ascii="Republika" w:hAnsi="Republika"/>
              <w:sz w:val="60"/>
              <w:szCs w:val="60"/>
            </w:rPr>
          </w:pPr>
        </w:p>
        <w:p w14:paraId="0BB32B53" w14:textId="77777777" w:rsidR="00742A7C" w:rsidRPr="006D42D9" w:rsidRDefault="00742A7C" w:rsidP="00F40DD4">
          <w:pPr>
            <w:rPr>
              <w:rFonts w:ascii="Republika" w:hAnsi="Republika"/>
              <w:sz w:val="60"/>
              <w:szCs w:val="60"/>
            </w:rPr>
          </w:pPr>
        </w:p>
        <w:p w14:paraId="7391BF07" w14:textId="77777777" w:rsidR="00742A7C" w:rsidRPr="006D42D9" w:rsidRDefault="00742A7C" w:rsidP="00F40DD4">
          <w:pPr>
            <w:rPr>
              <w:rFonts w:ascii="Republika" w:hAnsi="Republika"/>
              <w:sz w:val="60"/>
              <w:szCs w:val="60"/>
            </w:rPr>
          </w:pPr>
        </w:p>
        <w:p w14:paraId="395A725E" w14:textId="77777777" w:rsidR="00742A7C" w:rsidRPr="006D42D9" w:rsidRDefault="00742A7C" w:rsidP="00F40DD4">
          <w:pPr>
            <w:rPr>
              <w:rFonts w:ascii="Republika" w:hAnsi="Republika"/>
              <w:sz w:val="60"/>
              <w:szCs w:val="60"/>
            </w:rPr>
          </w:pPr>
        </w:p>
        <w:p w14:paraId="5DE25FAE" w14:textId="77777777" w:rsidR="00742A7C" w:rsidRPr="006D42D9" w:rsidRDefault="00742A7C" w:rsidP="00F40DD4">
          <w:pPr>
            <w:rPr>
              <w:rFonts w:ascii="Republika" w:hAnsi="Republika"/>
              <w:sz w:val="60"/>
              <w:szCs w:val="60"/>
            </w:rPr>
          </w:pPr>
        </w:p>
        <w:p w14:paraId="507D86C1" w14:textId="77777777" w:rsidR="00742A7C" w:rsidRPr="006D42D9" w:rsidRDefault="00742A7C" w:rsidP="00F40DD4">
          <w:pPr>
            <w:rPr>
              <w:rFonts w:ascii="Republika" w:hAnsi="Republika"/>
              <w:sz w:val="60"/>
              <w:szCs w:val="60"/>
            </w:rPr>
          </w:pPr>
        </w:p>
        <w:p w14:paraId="7AA76D35" w14:textId="77777777" w:rsidR="00742A7C" w:rsidRDefault="00742A7C" w:rsidP="00F40DD4">
          <w:pPr>
            <w:rPr>
              <w:rFonts w:ascii="Republika" w:hAnsi="Republika"/>
              <w:sz w:val="60"/>
              <w:szCs w:val="60"/>
            </w:rPr>
          </w:pPr>
        </w:p>
        <w:p w14:paraId="041574F5" w14:textId="77777777" w:rsidR="00742A7C" w:rsidRPr="006D42D9" w:rsidRDefault="00742A7C" w:rsidP="00F40DD4">
          <w:pPr>
            <w:rPr>
              <w:rFonts w:ascii="Republika" w:hAnsi="Republika"/>
              <w:sz w:val="60"/>
              <w:szCs w:val="60"/>
            </w:rPr>
          </w:pPr>
        </w:p>
      </w:tc>
    </w:tr>
  </w:tbl>
  <w:p w14:paraId="04FEFF67" w14:textId="4B43E259" w:rsidR="00742A7C" w:rsidRDefault="00742A7C" w:rsidP="00462D42">
    <w:pPr>
      <w:pStyle w:val="Glava"/>
      <w:tabs>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14:anchorId="5E7F0B80" wp14:editId="064F59AF">
          <wp:simplePos x="0" y="0"/>
          <wp:positionH relativeFrom="page">
            <wp:posOffset>0</wp:posOffset>
          </wp:positionH>
          <wp:positionV relativeFrom="page">
            <wp:posOffset>-8255</wp:posOffset>
          </wp:positionV>
          <wp:extent cx="4321810" cy="972185"/>
          <wp:effectExtent l="0" t="0" r="2540" b="0"/>
          <wp:wrapSquare wrapText="bothSides"/>
          <wp:docPr id="5" name="Slika 5"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8D268" w14:textId="77777777" w:rsidR="00742A7C" w:rsidRDefault="00742A7C" w:rsidP="00462D42">
    <w:pPr>
      <w:pStyle w:val="Glava"/>
      <w:tabs>
        <w:tab w:val="left" w:pos="5112"/>
      </w:tabs>
      <w:spacing w:before="120" w:line="240" w:lineRule="exact"/>
      <w:rPr>
        <w:rFonts w:cs="Arial"/>
        <w:sz w:val="16"/>
      </w:rPr>
    </w:pPr>
  </w:p>
  <w:p w14:paraId="4AE923E3" w14:textId="3D7673DC" w:rsidR="00742A7C" w:rsidRDefault="00742A7C" w:rsidP="00462D42">
    <w:pPr>
      <w:pStyle w:val="Glava"/>
      <w:tabs>
        <w:tab w:val="left" w:pos="5112"/>
      </w:tabs>
      <w:spacing w:before="120" w:line="240" w:lineRule="exact"/>
      <w:rPr>
        <w:rFonts w:cs="Arial"/>
        <w:sz w:val="16"/>
      </w:rPr>
    </w:pPr>
    <w:proofErr w:type="spellStart"/>
    <w:r>
      <w:rPr>
        <w:rFonts w:cs="Arial"/>
        <w:sz w:val="16"/>
      </w:rPr>
      <w:t>Gregorčičeva</w:t>
    </w:r>
    <w:proofErr w:type="spellEnd"/>
    <w:r>
      <w:rPr>
        <w:rFonts w:cs="Arial"/>
        <w:sz w:val="16"/>
      </w:rPr>
      <w:t xml:space="preserve"> 20–25, Sl-1001 Ljubljana</w:t>
    </w:r>
    <w:r>
      <w:rPr>
        <w:rFonts w:cs="Arial"/>
        <w:sz w:val="16"/>
      </w:rPr>
      <w:tab/>
      <w:t>T: +386 1 478 1000</w:t>
    </w:r>
  </w:p>
  <w:p w14:paraId="6D129500" w14:textId="77777777" w:rsidR="00742A7C" w:rsidRDefault="00742A7C" w:rsidP="00462D42">
    <w:pPr>
      <w:pStyle w:val="Glava"/>
      <w:tabs>
        <w:tab w:val="left" w:pos="5112"/>
      </w:tabs>
      <w:spacing w:line="240" w:lineRule="exact"/>
      <w:rPr>
        <w:rFonts w:cs="Arial"/>
        <w:sz w:val="16"/>
      </w:rPr>
    </w:pPr>
    <w:r>
      <w:rPr>
        <w:rFonts w:cs="Arial"/>
        <w:sz w:val="16"/>
      </w:rPr>
      <w:tab/>
      <w:t>F: +386 1 478 1607</w:t>
    </w:r>
  </w:p>
  <w:p w14:paraId="7CEB2386" w14:textId="2F0AC568" w:rsidR="00742A7C" w:rsidRPr="00462D42" w:rsidRDefault="00742A7C" w:rsidP="00462D42">
    <w:pPr>
      <w:pStyle w:val="Glava"/>
      <w:tabs>
        <w:tab w:val="left" w:pos="5112"/>
      </w:tabs>
      <w:spacing w:line="240" w:lineRule="exact"/>
      <w:rPr>
        <w:rFonts w:cs="Arial"/>
        <w:sz w:val="16"/>
        <w:lang w:val="it-IT"/>
      </w:rPr>
    </w:pPr>
    <w:r>
      <w:rPr>
        <w:rFonts w:cs="Arial"/>
        <w:sz w:val="16"/>
      </w:rPr>
      <w:tab/>
    </w:r>
    <w:r w:rsidRPr="00462D42">
      <w:rPr>
        <w:rFonts w:cs="Arial"/>
        <w:sz w:val="16"/>
        <w:lang w:val="it-IT"/>
      </w:rPr>
      <w:t>E: gp.gs@gov.si</w:t>
    </w:r>
  </w:p>
  <w:p w14:paraId="63BEB5B4" w14:textId="77777777" w:rsidR="00742A7C" w:rsidRPr="00462D42" w:rsidRDefault="00742A7C" w:rsidP="00462D42">
    <w:pPr>
      <w:pStyle w:val="Glava"/>
      <w:tabs>
        <w:tab w:val="left" w:pos="5112"/>
      </w:tabs>
      <w:spacing w:line="240" w:lineRule="exact"/>
      <w:rPr>
        <w:rFonts w:cs="Arial"/>
        <w:sz w:val="16"/>
        <w:lang w:val="it-IT"/>
      </w:rPr>
    </w:pPr>
    <w:r w:rsidRPr="00462D42">
      <w:rPr>
        <w:rFonts w:cs="Arial"/>
        <w:sz w:val="16"/>
        <w:lang w:val="it-IT"/>
      </w:rPr>
      <w:tab/>
      <w:t>http://www.vlada.si/</w:t>
    </w:r>
  </w:p>
  <w:p w14:paraId="61CD5B0F" w14:textId="77777777" w:rsidR="00742A7C" w:rsidRPr="00462D42" w:rsidRDefault="00742A7C" w:rsidP="00F40DD4">
    <w:pPr>
      <w:pStyle w:val="Glava"/>
      <w:tabs>
        <w:tab w:val="left" w:pos="5112"/>
      </w:tabs>
      <w:spacing w:line="240" w:lineRule="exact"/>
      <w:rPr>
        <w:rFonts w:cs="Arial"/>
        <w:sz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F9BB" w14:textId="77777777" w:rsidR="00742A7C" w:rsidRDefault="00742A7C" w:rsidP="00F40DD4">
    <w:pPr>
      <w:pStyle w:val="Glava"/>
      <w:tabs>
        <w:tab w:val="left" w:pos="5112"/>
      </w:tabs>
      <w:spacing w:before="240" w:line="240" w:lineRule="exact"/>
      <w:jc w:val="right"/>
      <w:rPr>
        <w:rFonts w:cs="Arial"/>
        <w:sz w:val="16"/>
      </w:rPr>
    </w:pPr>
    <w:r w:rsidRPr="00226C25">
      <w:rPr>
        <w:rFonts w:cs="Arial"/>
        <w:b/>
        <w:noProof/>
        <w:szCs w:val="20"/>
        <w:lang w:val="sl-SI" w:eastAsia="sl-SI"/>
      </w:rPr>
      <w:drawing>
        <wp:inline distT="0" distB="0" distL="0" distR="0" wp14:anchorId="00F71C0F" wp14:editId="22FC0946">
          <wp:extent cx="2066925" cy="10096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pic:spPr>
              </pic:pic>
            </a:graphicData>
          </a:graphic>
        </wp:inline>
      </w:drawing>
    </w:r>
  </w:p>
  <w:p w14:paraId="7A5155BE" w14:textId="77777777" w:rsidR="00742A7C" w:rsidRDefault="00742A7C" w:rsidP="00F40DD4">
    <w:pPr>
      <w:pStyle w:val="Glava"/>
      <w:tabs>
        <w:tab w:val="left" w:pos="5112"/>
      </w:tabs>
      <w:spacing w:line="240" w:lineRule="exact"/>
      <w:rPr>
        <w:rFonts w:cs="Arial"/>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5179" w14:textId="77777777" w:rsidR="00742A7C" w:rsidRDefault="00742A7C">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85B5" w14:textId="77777777" w:rsidR="00742A7C" w:rsidRPr="004D434D" w:rsidRDefault="00742A7C" w:rsidP="004D434D">
    <w:pPr>
      <w:pStyle w:val="Glava"/>
    </w:pPr>
    <w:r w:rsidRPr="004D434D">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BB67" w14:textId="74124836" w:rsidR="00742A7C" w:rsidRPr="00A430D5" w:rsidRDefault="00742A7C" w:rsidP="00A430D5">
    <w:pPr>
      <w:pStyle w:val="Glava"/>
      <w:tabs>
        <w:tab w:val="left" w:pos="5112"/>
      </w:tabs>
      <w:spacing w:line="240" w:lineRule="exact"/>
      <w:rPr>
        <w:rFonts w:cs="Arial"/>
        <w:sz w:val="16"/>
      </w:rPr>
    </w:pPr>
    <w:r>
      <w:rPr>
        <w:rFonts w:cs="Arial"/>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nsid w:val="05105752"/>
    <w:multiLevelType w:val="hybridMultilevel"/>
    <w:tmpl w:val="6008B0F2"/>
    <w:lvl w:ilvl="0" w:tplc="48F8D7E2">
      <w:start w:val="1"/>
      <w:numFmt w:val="bullet"/>
      <w:lvlText w:val="–"/>
      <w:lvlJc w:val="left"/>
      <w:pPr>
        <w:ind w:left="360" w:hanging="360"/>
      </w:pPr>
      <w:rPr>
        <w:rFonts w:ascii="Arial" w:hAnsi="Arial" w:hint="default"/>
      </w:rPr>
    </w:lvl>
    <w:lvl w:ilvl="1" w:tplc="8C4831EE" w:tentative="1">
      <w:start w:val="1"/>
      <w:numFmt w:val="bullet"/>
      <w:lvlText w:val="o"/>
      <w:lvlJc w:val="left"/>
      <w:pPr>
        <w:ind w:left="1080" w:hanging="360"/>
      </w:pPr>
      <w:rPr>
        <w:rFonts w:ascii="Courier New" w:hAnsi="Courier New" w:cs="Courier New" w:hint="default"/>
      </w:rPr>
    </w:lvl>
    <w:lvl w:ilvl="2" w:tplc="D7F08CF0" w:tentative="1">
      <w:start w:val="1"/>
      <w:numFmt w:val="bullet"/>
      <w:lvlText w:val=""/>
      <w:lvlJc w:val="left"/>
      <w:pPr>
        <w:ind w:left="1800" w:hanging="360"/>
      </w:pPr>
      <w:rPr>
        <w:rFonts w:ascii="Wingdings" w:hAnsi="Wingdings" w:hint="default"/>
      </w:rPr>
    </w:lvl>
    <w:lvl w:ilvl="3" w:tplc="744C14CA" w:tentative="1">
      <w:start w:val="1"/>
      <w:numFmt w:val="bullet"/>
      <w:lvlText w:val=""/>
      <w:lvlJc w:val="left"/>
      <w:pPr>
        <w:ind w:left="2520" w:hanging="360"/>
      </w:pPr>
      <w:rPr>
        <w:rFonts w:ascii="Symbol" w:hAnsi="Symbol" w:hint="default"/>
      </w:rPr>
    </w:lvl>
    <w:lvl w:ilvl="4" w:tplc="E1B44E3E" w:tentative="1">
      <w:start w:val="1"/>
      <w:numFmt w:val="bullet"/>
      <w:lvlText w:val="o"/>
      <w:lvlJc w:val="left"/>
      <w:pPr>
        <w:ind w:left="3240" w:hanging="360"/>
      </w:pPr>
      <w:rPr>
        <w:rFonts w:ascii="Courier New" w:hAnsi="Courier New" w:cs="Courier New" w:hint="default"/>
      </w:rPr>
    </w:lvl>
    <w:lvl w:ilvl="5" w:tplc="27843D68" w:tentative="1">
      <w:start w:val="1"/>
      <w:numFmt w:val="bullet"/>
      <w:lvlText w:val=""/>
      <w:lvlJc w:val="left"/>
      <w:pPr>
        <w:ind w:left="3960" w:hanging="360"/>
      </w:pPr>
      <w:rPr>
        <w:rFonts w:ascii="Wingdings" w:hAnsi="Wingdings" w:hint="default"/>
      </w:rPr>
    </w:lvl>
    <w:lvl w:ilvl="6" w:tplc="50E6068A" w:tentative="1">
      <w:start w:val="1"/>
      <w:numFmt w:val="bullet"/>
      <w:lvlText w:val=""/>
      <w:lvlJc w:val="left"/>
      <w:pPr>
        <w:ind w:left="4680" w:hanging="360"/>
      </w:pPr>
      <w:rPr>
        <w:rFonts w:ascii="Symbol" w:hAnsi="Symbol" w:hint="default"/>
      </w:rPr>
    </w:lvl>
    <w:lvl w:ilvl="7" w:tplc="5B262020" w:tentative="1">
      <w:start w:val="1"/>
      <w:numFmt w:val="bullet"/>
      <w:lvlText w:val="o"/>
      <w:lvlJc w:val="left"/>
      <w:pPr>
        <w:ind w:left="5400" w:hanging="360"/>
      </w:pPr>
      <w:rPr>
        <w:rFonts w:ascii="Courier New" w:hAnsi="Courier New" w:cs="Courier New" w:hint="default"/>
      </w:rPr>
    </w:lvl>
    <w:lvl w:ilvl="8" w:tplc="C5E0D810" w:tentative="1">
      <w:start w:val="1"/>
      <w:numFmt w:val="bullet"/>
      <w:lvlText w:val=""/>
      <w:lvlJc w:val="left"/>
      <w:pPr>
        <w:ind w:left="6120" w:hanging="360"/>
      </w:pPr>
      <w:rPr>
        <w:rFonts w:ascii="Wingdings" w:hAnsi="Wingdings" w:hint="default"/>
      </w:rPr>
    </w:lvl>
  </w:abstractNum>
  <w:abstractNum w:abstractNumId="2">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D7121"/>
    <w:multiLevelType w:val="hybridMultilevel"/>
    <w:tmpl w:val="02CEE1CC"/>
    <w:lvl w:ilvl="0" w:tplc="A044F61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A2F4212"/>
    <w:multiLevelType w:val="hybridMultilevel"/>
    <w:tmpl w:val="BFBAC7EA"/>
    <w:lvl w:ilvl="0" w:tplc="004A97F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9">
    <w:nsid w:val="249220CC"/>
    <w:multiLevelType w:val="hybridMultilevel"/>
    <w:tmpl w:val="DE6C6B24"/>
    <w:lvl w:ilvl="0" w:tplc="413E41AC">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3B446037"/>
    <w:multiLevelType w:val="hybridMultilevel"/>
    <w:tmpl w:val="4138557E"/>
    <w:lvl w:ilvl="0" w:tplc="9AB8FC5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190FB2"/>
    <w:multiLevelType w:val="hybridMultilevel"/>
    <w:tmpl w:val="8F7040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5941046"/>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0">
    <w:nsid w:val="533A25DB"/>
    <w:multiLevelType w:val="hybridMultilevel"/>
    <w:tmpl w:val="31AAC6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554F6D0F"/>
    <w:multiLevelType w:val="hybridMultilevel"/>
    <w:tmpl w:val="E6142EBE"/>
    <w:lvl w:ilvl="0" w:tplc="413E41AC">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5707C7A"/>
    <w:multiLevelType w:val="hybridMultilevel"/>
    <w:tmpl w:val="3B5C85B4"/>
    <w:lvl w:ilvl="0" w:tplc="9AB8FC5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58D5478"/>
    <w:multiLevelType w:val="hybridMultilevel"/>
    <w:tmpl w:val="95A20532"/>
    <w:lvl w:ilvl="0" w:tplc="B51EB02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5">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FCA1BFD"/>
    <w:multiLevelType w:val="hybridMultilevel"/>
    <w:tmpl w:val="FEEE8242"/>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2A11FA"/>
    <w:multiLevelType w:val="multilevel"/>
    <w:tmpl w:val="009240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0EA15A1"/>
    <w:multiLevelType w:val="multilevel"/>
    <w:tmpl w:val="EF0E6BE4"/>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Arial" w:hAnsi="Arial" w:cs="Arial" w:hint="default"/>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9">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1">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28"/>
  </w:num>
  <w:num w:numId="2">
    <w:abstractNumId w:val="5"/>
  </w:num>
  <w:num w:numId="3">
    <w:abstractNumId w:val="17"/>
  </w:num>
  <w:num w:numId="4">
    <w:abstractNumId w:val="18"/>
  </w:num>
  <w:num w:numId="5">
    <w:abstractNumId w:val="3"/>
  </w:num>
  <w:num w:numId="6">
    <w:abstractNumId w:val="11"/>
  </w:num>
  <w:num w:numId="7">
    <w:abstractNumId w:val="12"/>
    <w:lvlOverride w:ilvl="0">
      <w:startOverride w:val="1"/>
    </w:lvlOverride>
  </w:num>
  <w:num w:numId="8">
    <w:abstractNumId w:val="29"/>
  </w:num>
  <w:num w:numId="9">
    <w:abstractNumId w:val="8"/>
  </w:num>
  <w:num w:numId="10">
    <w:abstractNumId w:val="0"/>
  </w:num>
  <w:num w:numId="11">
    <w:abstractNumId w:val="24"/>
  </w:num>
  <w:num w:numId="12">
    <w:abstractNumId w:val="19"/>
  </w:num>
  <w:num w:numId="13">
    <w:abstractNumId w:val="31"/>
  </w:num>
  <w:num w:numId="14">
    <w:abstractNumId w:val="10"/>
  </w:num>
  <w:num w:numId="15">
    <w:abstractNumId w:val="14"/>
  </w:num>
  <w:num w:numId="16">
    <w:abstractNumId w:val="4"/>
  </w:num>
  <w:num w:numId="17">
    <w:abstractNumId w:val="2"/>
  </w:num>
  <w:num w:numId="18">
    <w:abstractNumId w:val="30"/>
  </w:num>
  <w:num w:numId="19">
    <w:abstractNumId w:val="25"/>
  </w:num>
  <w:num w:numId="20">
    <w:abstractNumId w:val="13"/>
  </w:num>
  <w:num w:numId="21">
    <w:abstractNumId w:val="16"/>
  </w:num>
  <w:num w:numId="22">
    <w:abstractNumId w:val="6"/>
  </w:num>
  <w:num w:numId="23">
    <w:abstractNumId w:val="23"/>
  </w:num>
  <w:num w:numId="24">
    <w:abstractNumId w:val="22"/>
  </w:num>
  <w:num w:numId="25">
    <w:abstractNumId w:val="27"/>
  </w:num>
  <w:num w:numId="26">
    <w:abstractNumId w:val="21"/>
  </w:num>
  <w:num w:numId="27">
    <w:abstractNumId w:val="20"/>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15"/>
  </w:num>
  <w:num w:numId="35">
    <w:abstractNumId w:val="1"/>
  </w:num>
  <w:num w:numId="36">
    <w:abstractNumId w:val="7"/>
  </w:num>
  <w:num w:numId="37">
    <w:abstractNumId w:val="26"/>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252C"/>
    <w:rsid w:val="00004458"/>
    <w:rsid w:val="00006039"/>
    <w:rsid w:val="000063CE"/>
    <w:rsid w:val="00010810"/>
    <w:rsid w:val="00013698"/>
    <w:rsid w:val="00014393"/>
    <w:rsid w:val="00014A3A"/>
    <w:rsid w:val="000154F0"/>
    <w:rsid w:val="00015CBA"/>
    <w:rsid w:val="00016CCE"/>
    <w:rsid w:val="00017E51"/>
    <w:rsid w:val="00021F82"/>
    <w:rsid w:val="00022146"/>
    <w:rsid w:val="0002248B"/>
    <w:rsid w:val="00022D46"/>
    <w:rsid w:val="00023D44"/>
    <w:rsid w:val="00024D26"/>
    <w:rsid w:val="0002501D"/>
    <w:rsid w:val="00025CB3"/>
    <w:rsid w:val="00025D80"/>
    <w:rsid w:val="00025F0F"/>
    <w:rsid w:val="00026E66"/>
    <w:rsid w:val="00030830"/>
    <w:rsid w:val="000313C8"/>
    <w:rsid w:val="00035C58"/>
    <w:rsid w:val="00035D43"/>
    <w:rsid w:val="00036A16"/>
    <w:rsid w:val="00036FE6"/>
    <w:rsid w:val="0004022C"/>
    <w:rsid w:val="00041189"/>
    <w:rsid w:val="00042ECE"/>
    <w:rsid w:val="00043FF3"/>
    <w:rsid w:val="00044D4A"/>
    <w:rsid w:val="000458E6"/>
    <w:rsid w:val="0004791C"/>
    <w:rsid w:val="00050709"/>
    <w:rsid w:val="00051D67"/>
    <w:rsid w:val="00051D89"/>
    <w:rsid w:val="00051F4A"/>
    <w:rsid w:val="000534E9"/>
    <w:rsid w:val="000541D6"/>
    <w:rsid w:val="00054409"/>
    <w:rsid w:val="00055E6E"/>
    <w:rsid w:val="0005654B"/>
    <w:rsid w:val="00056B2C"/>
    <w:rsid w:val="00057058"/>
    <w:rsid w:val="000573F2"/>
    <w:rsid w:val="000615E6"/>
    <w:rsid w:val="00061A0A"/>
    <w:rsid w:val="00062CC0"/>
    <w:rsid w:val="00063B7F"/>
    <w:rsid w:val="00063D57"/>
    <w:rsid w:val="000647AD"/>
    <w:rsid w:val="0006499A"/>
    <w:rsid w:val="000653FF"/>
    <w:rsid w:val="00065806"/>
    <w:rsid w:val="00065B0F"/>
    <w:rsid w:val="000673D4"/>
    <w:rsid w:val="00067E56"/>
    <w:rsid w:val="00070E13"/>
    <w:rsid w:val="00071C6D"/>
    <w:rsid w:val="0007219E"/>
    <w:rsid w:val="000744E8"/>
    <w:rsid w:val="00074B38"/>
    <w:rsid w:val="0007644E"/>
    <w:rsid w:val="00083A3F"/>
    <w:rsid w:val="00083BF9"/>
    <w:rsid w:val="0008417B"/>
    <w:rsid w:val="00084682"/>
    <w:rsid w:val="00091BDF"/>
    <w:rsid w:val="000935C1"/>
    <w:rsid w:val="000945A9"/>
    <w:rsid w:val="00094DA7"/>
    <w:rsid w:val="00095A3A"/>
    <w:rsid w:val="00096D49"/>
    <w:rsid w:val="000A2C1E"/>
    <w:rsid w:val="000A69C9"/>
    <w:rsid w:val="000A7CA0"/>
    <w:rsid w:val="000B1C8B"/>
    <w:rsid w:val="000B1CF5"/>
    <w:rsid w:val="000B3426"/>
    <w:rsid w:val="000B4B72"/>
    <w:rsid w:val="000B6D74"/>
    <w:rsid w:val="000B79AC"/>
    <w:rsid w:val="000B7F61"/>
    <w:rsid w:val="000C1160"/>
    <w:rsid w:val="000C228B"/>
    <w:rsid w:val="000C2A96"/>
    <w:rsid w:val="000C42E7"/>
    <w:rsid w:val="000C437D"/>
    <w:rsid w:val="000C5ED4"/>
    <w:rsid w:val="000C7069"/>
    <w:rsid w:val="000C7322"/>
    <w:rsid w:val="000C75BE"/>
    <w:rsid w:val="000C7CCF"/>
    <w:rsid w:val="000D2562"/>
    <w:rsid w:val="000D4A90"/>
    <w:rsid w:val="000D5D56"/>
    <w:rsid w:val="000D67D8"/>
    <w:rsid w:val="000E1A39"/>
    <w:rsid w:val="000E24C8"/>
    <w:rsid w:val="000E255B"/>
    <w:rsid w:val="000E3857"/>
    <w:rsid w:val="000E405F"/>
    <w:rsid w:val="000E44B9"/>
    <w:rsid w:val="000E4515"/>
    <w:rsid w:val="000F04AE"/>
    <w:rsid w:val="000F071A"/>
    <w:rsid w:val="000F29F9"/>
    <w:rsid w:val="000F32ED"/>
    <w:rsid w:val="000F52A7"/>
    <w:rsid w:val="00104BED"/>
    <w:rsid w:val="00106AB7"/>
    <w:rsid w:val="00107C2A"/>
    <w:rsid w:val="001100DB"/>
    <w:rsid w:val="0011370A"/>
    <w:rsid w:val="001143F0"/>
    <w:rsid w:val="001168A0"/>
    <w:rsid w:val="00117206"/>
    <w:rsid w:val="001179A0"/>
    <w:rsid w:val="00120325"/>
    <w:rsid w:val="001207E6"/>
    <w:rsid w:val="001254A3"/>
    <w:rsid w:val="001263F8"/>
    <w:rsid w:val="0013029E"/>
    <w:rsid w:val="00131925"/>
    <w:rsid w:val="00137E41"/>
    <w:rsid w:val="00140560"/>
    <w:rsid w:val="0014071E"/>
    <w:rsid w:val="0014087F"/>
    <w:rsid w:val="0014111A"/>
    <w:rsid w:val="0014118A"/>
    <w:rsid w:val="00142290"/>
    <w:rsid w:val="0014326E"/>
    <w:rsid w:val="001434DD"/>
    <w:rsid w:val="00144285"/>
    <w:rsid w:val="00144697"/>
    <w:rsid w:val="00146A5A"/>
    <w:rsid w:val="0015094C"/>
    <w:rsid w:val="001525F2"/>
    <w:rsid w:val="00153DB1"/>
    <w:rsid w:val="001549C4"/>
    <w:rsid w:val="00154A9B"/>
    <w:rsid w:val="001559DE"/>
    <w:rsid w:val="00156A8A"/>
    <w:rsid w:val="001576D4"/>
    <w:rsid w:val="00157C6A"/>
    <w:rsid w:val="00160AEF"/>
    <w:rsid w:val="00162090"/>
    <w:rsid w:val="0016234A"/>
    <w:rsid w:val="0016282F"/>
    <w:rsid w:val="001647E7"/>
    <w:rsid w:val="00171E0D"/>
    <w:rsid w:val="001725E3"/>
    <w:rsid w:val="00172A87"/>
    <w:rsid w:val="00174262"/>
    <w:rsid w:val="00174398"/>
    <w:rsid w:val="00176B1D"/>
    <w:rsid w:val="00177198"/>
    <w:rsid w:val="0017753B"/>
    <w:rsid w:val="00177E92"/>
    <w:rsid w:val="00180605"/>
    <w:rsid w:val="001809B3"/>
    <w:rsid w:val="00184BE9"/>
    <w:rsid w:val="00184BEC"/>
    <w:rsid w:val="001855D9"/>
    <w:rsid w:val="00185DA5"/>
    <w:rsid w:val="001868E0"/>
    <w:rsid w:val="00190FBD"/>
    <w:rsid w:val="00191D60"/>
    <w:rsid w:val="001926A3"/>
    <w:rsid w:val="00192835"/>
    <w:rsid w:val="00192A7D"/>
    <w:rsid w:val="00194327"/>
    <w:rsid w:val="00197496"/>
    <w:rsid w:val="001A0C27"/>
    <w:rsid w:val="001A2BED"/>
    <w:rsid w:val="001A3E75"/>
    <w:rsid w:val="001A5C61"/>
    <w:rsid w:val="001A6F69"/>
    <w:rsid w:val="001B0E34"/>
    <w:rsid w:val="001B14B7"/>
    <w:rsid w:val="001B3292"/>
    <w:rsid w:val="001B58C7"/>
    <w:rsid w:val="001B639E"/>
    <w:rsid w:val="001C1341"/>
    <w:rsid w:val="001C20BB"/>
    <w:rsid w:val="001C24E4"/>
    <w:rsid w:val="001C2A17"/>
    <w:rsid w:val="001C2C2D"/>
    <w:rsid w:val="001C320C"/>
    <w:rsid w:val="001C357A"/>
    <w:rsid w:val="001C3FE5"/>
    <w:rsid w:val="001C5CCF"/>
    <w:rsid w:val="001C7BF6"/>
    <w:rsid w:val="001D11BA"/>
    <w:rsid w:val="001D5E7E"/>
    <w:rsid w:val="001D75C4"/>
    <w:rsid w:val="001E32C0"/>
    <w:rsid w:val="001E5345"/>
    <w:rsid w:val="001F3C10"/>
    <w:rsid w:val="001F4379"/>
    <w:rsid w:val="001F49D7"/>
    <w:rsid w:val="001F6528"/>
    <w:rsid w:val="001F6BCE"/>
    <w:rsid w:val="001F712D"/>
    <w:rsid w:val="001F7700"/>
    <w:rsid w:val="001F7C40"/>
    <w:rsid w:val="00202E82"/>
    <w:rsid w:val="002031DB"/>
    <w:rsid w:val="00205264"/>
    <w:rsid w:val="00205460"/>
    <w:rsid w:val="002057F9"/>
    <w:rsid w:val="00205BD7"/>
    <w:rsid w:val="00206B3F"/>
    <w:rsid w:val="00206C6A"/>
    <w:rsid w:val="0021047C"/>
    <w:rsid w:val="00210671"/>
    <w:rsid w:val="0021398C"/>
    <w:rsid w:val="002142F3"/>
    <w:rsid w:val="00215459"/>
    <w:rsid w:val="00215D27"/>
    <w:rsid w:val="002204B7"/>
    <w:rsid w:val="0022100E"/>
    <w:rsid w:val="00222D7A"/>
    <w:rsid w:val="00222F23"/>
    <w:rsid w:val="00224B22"/>
    <w:rsid w:val="00224F55"/>
    <w:rsid w:val="002274BA"/>
    <w:rsid w:val="0022784F"/>
    <w:rsid w:val="002319DE"/>
    <w:rsid w:val="00232746"/>
    <w:rsid w:val="002335B4"/>
    <w:rsid w:val="00233ED5"/>
    <w:rsid w:val="0023410F"/>
    <w:rsid w:val="00235A1B"/>
    <w:rsid w:val="00237AF7"/>
    <w:rsid w:val="0024007F"/>
    <w:rsid w:val="002406B0"/>
    <w:rsid w:val="00240926"/>
    <w:rsid w:val="002423C1"/>
    <w:rsid w:val="00242612"/>
    <w:rsid w:val="00244B95"/>
    <w:rsid w:val="00245BAA"/>
    <w:rsid w:val="00245F0E"/>
    <w:rsid w:val="0024723C"/>
    <w:rsid w:val="002507F9"/>
    <w:rsid w:val="00252A91"/>
    <w:rsid w:val="00252E60"/>
    <w:rsid w:val="0025434A"/>
    <w:rsid w:val="00254C41"/>
    <w:rsid w:val="0025614A"/>
    <w:rsid w:val="0025624B"/>
    <w:rsid w:val="002627E8"/>
    <w:rsid w:val="00265B45"/>
    <w:rsid w:val="00266C05"/>
    <w:rsid w:val="00266FC5"/>
    <w:rsid w:val="002670C7"/>
    <w:rsid w:val="0026775D"/>
    <w:rsid w:val="00267F18"/>
    <w:rsid w:val="00271A03"/>
    <w:rsid w:val="00272443"/>
    <w:rsid w:val="002725D7"/>
    <w:rsid w:val="00272FFA"/>
    <w:rsid w:val="00274F49"/>
    <w:rsid w:val="00276AB8"/>
    <w:rsid w:val="0027707C"/>
    <w:rsid w:val="0028215C"/>
    <w:rsid w:val="002831EE"/>
    <w:rsid w:val="00284063"/>
    <w:rsid w:val="002842DA"/>
    <w:rsid w:val="002863FD"/>
    <w:rsid w:val="00286A5D"/>
    <w:rsid w:val="00286EF1"/>
    <w:rsid w:val="00291FBA"/>
    <w:rsid w:val="0029262B"/>
    <w:rsid w:val="00292FA7"/>
    <w:rsid w:val="00294990"/>
    <w:rsid w:val="00294B4C"/>
    <w:rsid w:val="002A0EFE"/>
    <w:rsid w:val="002A1EE6"/>
    <w:rsid w:val="002A3131"/>
    <w:rsid w:val="002A4D73"/>
    <w:rsid w:val="002A59F2"/>
    <w:rsid w:val="002A6BE8"/>
    <w:rsid w:val="002A77F1"/>
    <w:rsid w:val="002A7DE3"/>
    <w:rsid w:val="002B15C0"/>
    <w:rsid w:val="002B17C7"/>
    <w:rsid w:val="002B1FC1"/>
    <w:rsid w:val="002B4293"/>
    <w:rsid w:val="002B6E5C"/>
    <w:rsid w:val="002B7358"/>
    <w:rsid w:val="002C0584"/>
    <w:rsid w:val="002C0740"/>
    <w:rsid w:val="002C18A5"/>
    <w:rsid w:val="002C464D"/>
    <w:rsid w:val="002C5BBA"/>
    <w:rsid w:val="002C64AE"/>
    <w:rsid w:val="002C6CC0"/>
    <w:rsid w:val="002D0024"/>
    <w:rsid w:val="002D0152"/>
    <w:rsid w:val="002D0370"/>
    <w:rsid w:val="002D06A4"/>
    <w:rsid w:val="002D2FC6"/>
    <w:rsid w:val="002D4996"/>
    <w:rsid w:val="002D4E40"/>
    <w:rsid w:val="002D7575"/>
    <w:rsid w:val="002E06D2"/>
    <w:rsid w:val="002E0A78"/>
    <w:rsid w:val="002E17B4"/>
    <w:rsid w:val="002E1E86"/>
    <w:rsid w:val="002E26DA"/>
    <w:rsid w:val="002E28D3"/>
    <w:rsid w:val="002E31F9"/>
    <w:rsid w:val="002E5329"/>
    <w:rsid w:val="002E5375"/>
    <w:rsid w:val="002E5ACB"/>
    <w:rsid w:val="002E6CA6"/>
    <w:rsid w:val="002E71A2"/>
    <w:rsid w:val="002E797B"/>
    <w:rsid w:val="002F02AF"/>
    <w:rsid w:val="002F036A"/>
    <w:rsid w:val="002F1E76"/>
    <w:rsid w:val="002F2341"/>
    <w:rsid w:val="002F29D9"/>
    <w:rsid w:val="002F3038"/>
    <w:rsid w:val="002F50B9"/>
    <w:rsid w:val="002F50BD"/>
    <w:rsid w:val="002F63AC"/>
    <w:rsid w:val="002F6740"/>
    <w:rsid w:val="002F6D4C"/>
    <w:rsid w:val="002F6D8C"/>
    <w:rsid w:val="0030006A"/>
    <w:rsid w:val="00300588"/>
    <w:rsid w:val="0030080D"/>
    <w:rsid w:val="00300C5E"/>
    <w:rsid w:val="00301F85"/>
    <w:rsid w:val="003039B2"/>
    <w:rsid w:val="00306359"/>
    <w:rsid w:val="00310F4B"/>
    <w:rsid w:val="00314637"/>
    <w:rsid w:val="0031491C"/>
    <w:rsid w:val="00315212"/>
    <w:rsid w:val="00320D98"/>
    <w:rsid w:val="00321CF3"/>
    <w:rsid w:val="00323BD4"/>
    <w:rsid w:val="0032488E"/>
    <w:rsid w:val="003278D0"/>
    <w:rsid w:val="003279B2"/>
    <w:rsid w:val="00332382"/>
    <w:rsid w:val="00332697"/>
    <w:rsid w:val="00332CF0"/>
    <w:rsid w:val="00333026"/>
    <w:rsid w:val="00334E86"/>
    <w:rsid w:val="00336B27"/>
    <w:rsid w:val="00342FF1"/>
    <w:rsid w:val="003431D2"/>
    <w:rsid w:val="00343376"/>
    <w:rsid w:val="00343D00"/>
    <w:rsid w:val="0034522D"/>
    <w:rsid w:val="0034703A"/>
    <w:rsid w:val="003471C8"/>
    <w:rsid w:val="0034720E"/>
    <w:rsid w:val="0034761F"/>
    <w:rsid w:val="00350777"/>
    <w:rsid w:val="00350A83"/>
    <w:rsid w:val="00350CBD"/>
    <w:rsid w:val="00351C0D"/>
    <w:rsid w:val="0035218F"/>
    <w:rsid w:val="00354C0C"/>
    <w:rsid w:val="0035585A"/>
    <w:rsid w:val="0036030A"/>
    <w:rsid w:val="00360B46"/>
    <w:rsid w:val="003611A9"/>
    <w:rsid w:val="0036125B"/>
    <w:rsid w:val="00361A7F"/>
    <w:rsid w:val="003621D2"/>
    <w:rsid w:val="00362522"/>
    <w:rsid w:val="00363D87"/>
    <w:rsid w:val="0036439C"/>
    <w:rsid w:val="0036468F"/>
    <w:rsid w:val="003707AC"/>
    <w:rsid w:val="003724C5"/>
    <w:rsid w:val="0037513B"/>
    <w:rsid w:val="00375201"/>
    <w:rsid w:val="00375404"/>
    <w:rsid w:val="003758C4"/>
    <w:rsid w:val="003771FA"/>
    <w:rsid w:val="00381D3A"/>
    <w:rsid w:val="003835C7"/>
    <w:rsid w:val="00383D89"/>
    <w:rsid w:val="003844C7"/>
    <w:rsid w:val="00384764"/>
    <w:rsid w:val="00386E48"/>
    <w:rsid w:val="00387004"/>
    <w:rsid w:val="00391370"/>
    <w:rsid w:val="003918C2"/>
    <w:rsid w:val="003925CB"/>
    <w:rsid w:val="00392822"/>
    <w:rsid w:val="0039288D"/>
    <w:rsid w:val="00395807"/>
    <w:rsid w:val="00395E87"/>
    <w:rsid w:val="00397C7E"/>
    <w:rsid w:val="003A1021"/>
    <w:rsid w:val="003A105D"/>
    <w:rsid w:val="003A4F2E"/>
    <w:rsid w:val="003A69EE"/>
    <w:rsid w:val="003A74A5"/>
    <w:rsid w:val="003B115C"/>
    <w:rsid w:val="003B1561"/>
    <w:rsid w:val="003B1754"/>
    <w:rsid w:val="003B17FF"/>
    <w:rsid w:val="003C0BD9"/>
    <w:rsid w:val="003C0D12"/>
    <w:rsid w:val="003C1177"/>
    <w:rsid w:val="003C4A2B"/>
    <w:rsid w:val="003C4FFE"/>
    <w:rsid w:val="003C6E68"/>
    <w:rsid w:val="003C75FA"/>
    <w:rsid w:val="003D0C7B"/>
    <w:rsid w:val="003D186F"/>
    <w:rsid w:val="003D2241"/>
    <w:rsid w:val="003D2917"/>
    <w:rsid w:val="003D42CB"/>
    <w:rsid w:val="003D47B7"/>
    <w:rsid w:val="003D48D5"/>
    <w:rsid w:val="003D59D1"/>
    <w:rsid w:val="003D5ED3"/>
    <w:rsid w:val="003D6BD4"/>
    <w:rsid w:val="003D7347"/>
    <w:rsid w:val="003D79F3"/>
    <w:rsid w:val="003D7C53"/>
    <w:rsid w:val="003E1F2B"/>
    <w:rsid w:val="003E2417"/>
    <w:rsid w:val="003E2798"/>
    <w:rsid w:val="003E3A22"/>
    <w:rsid w:val="003E3D1D"/>
    <w:rsid w:val="003E3FE4"/>
    <w:rsid w:val="003E5785"/>
    <w:rsid w:val="003E614D"/>
    <w:rsid w:val="003F18C2"/>
    <w:rsid w:val="003F69D9"/>
    <w:rsid w:val="003F7145"/>
    <w:rsid w:val="00401268"/>
    <w:rsid w:val="00403D17"/>
    <w:rsid w:val="00404FC6"/>
    <w:rsid w:val="00405674"/>
    <w:rsid w:val="00406A76"/>
    <w:rsid w:val="0041034E"/>
    <w:rsid w:val="0041142C"/>
    <w:rsid w:val="00413F67"/>
    <w:rsid w:val="00414FA0"/>
    <w:rsid w:val="00415ECA"/>
    <w:rsid w:val="0041691F"/>
    <w:rsid w:val="00421CF5"/>
    <w:rsid w:val="00422096"/>
    <w:rsid w:val="004223D6"/>
    <w:rsid w:val="004236B8"/>
    <w:rsid w:val="00423D1D"/>
    <w:rsid w:val="00426572"/>
    <w:rsid w:val="0043114C"/>
    <w:rsid w:val="00433D65"/>
    <w:rsid w:val="00435EAF"/>
    <w:rsid w:val="00436B93"/>
    <w:rsid w:val="00440ABD"/>
    <w:rsid w:val="00440D5E"/>
    <w:rsid w:val="0044154F"/>
    <w:rsid w:val="004415F8"/>
    <w:rsid w:val="0044262A"/>
    <w:rsid w:val="004427BA"/>
    <w:rsid w:val="00454881"/>
    <w:rsid w:val="00454C9F"/>
    <w:rsid w:val="004564A3"/>
    <w:rsid w:val="00456EAF"/>
    <w:rsid w:val="0045785B"/>
    <w:rsid w:val="004579D9"/>
    <w:rsid w:val="004620C7"/>
    <w:rsid w:val="00462D42"/>
    <w:rsid w:val="00465866"/>
    <w:rsid w:val="0046603C"/>
    <w:rsid w:val="00467F4C"/>
    <w:rsid w:val="00473219"/>
    <w:rsid w:val="004740EB"/>
    <w:rsid w:val="004772F4"/>
    <w:rsid w:val="00480279"/>
    <w:rsid w:val="00482C11"/>
    <w:rsid w:val="00484FC6"/>
    <w:rsid w:val="0048780F"/>
    <w:rsid w:val="004902F0"/>
    <w:rsid w:val="0049205A"/>
    <w:rsid w:val="004944F7"/>
    <w:rsid w:val="00497030"/>
    <w:rsid w:val="00497DDD"/>
    <w:rsid w:val="004A00DD"/>
    <w:rsid w:val="004A0B66"/>
    <w:rsid w:val="004A18F8"/>
    <w:rsid w:val="004A2481"/>
    <w:rsid w:val="004A3132"/>
    <w:rsid w:val="004A45EC"/>
    <w:rsid w:val="004A4DC0"/>
    <w:rsid w:val="004B058F"/>
    <w:rsid w:val="004B1240"/>
    <w:rsid w:val="004B17B8"/>
    <w:rsid w:val="004B2892"/>
    <w:rsid w:val="004B2FD9"/>
    <w:rsid w:val="004B30F4"/>
    <w:rsid w:val="004B4084"/>
    <w:rsid w:val="004B5689"/>
    <w:rsid w:val="004B6544"/>
    <w:rsid w:val="004C0129"/>
    <w:rsid w:val="004C0C27"/>
    <w:rsid w:val="004C0C64"/>
    <w:rsid w:val="004C0C68"/>
    <w:rsid w:val="004C0FD3"/>
    <w:rsid w:val="004C109A"/>
    <w:rsid w:val="004C34D1"/>
    <w:rsid w:val="004C38A1"/>
    <w:rsid w:val="004C67A8"/>
    <w:rsid w:val="004C6BDE"/>
    <w:rsid w:val="004D20BC"/>
    <w:rsid w:val="004D3771"/>
    <w:rsid w:val="004D3BA6"/>
    <w:rsid w:val="004D434D"/>
    <w:rsid w:val="004D4C9A"/>
    <w:rsid w:val="004D65E0"/>
    <w:rsid w:val="004E2063"/>
    <w:rsid w:val="004E5841"/>
    <w:rsid w:val="004E6652"/>
    <w:rsid w:val="004E71E3"/>
    <w:rsid w:val="004E7577"/>
    <w:rsid w:val="004E7ECB"/>
    <w:rsid w:val="004F001F"/>
    <w:rsid w:val="004F0A95"/>
    <w:rsid w:val="004F0B1D"/>
    <w:rsid w:val="004F10E9"/>
    <w:rsid w:val="004F1336"/>
    <w:rsid w:val="004F1F56"/>
    <w:rsid w:val="004F2073"/>
    <w:rsid w:val="004F28B5"/>
    <w:rsid w:val="004F3171"/>
    <w:rsid w:val="004F41B7"/>
    <w:rsid w:val="004F6087"/>
    <w:rsid w:val="004F6369"/>
    <w:rsid w:val="004F65B3"/>
    <w:rsid w:val="004F705D"/>
    <w:rsid w:val="004F7348"/>
    <w:rsid w:val="00500C93"/>
    <w:rsid w:val="00500FED"/>
    <w:rsid w:val="005012E5"/>
    <w:rsid w:val="005013FC"/>
    <w:rsid w:val="005028A4"/>
    <w:rsid w:val="0050594F"/>
    <w:rsid w:val="0050649E"/>
    <w:rsid w:val="005069C7"/>
    <w:rsid w:val="00510408"/>
    <w:rsid w:val="005126D9"/>
    <w:rsid w:val="00513F96"/>
    <w:rsid w:val="0051599B"/>
    <w:rsid w:val="005159B1"/>
    <w:rsid w:val="0051656D"/>
    <w:rsid w:val="00516623"/>
    <w:rsid w:val="00516693"/>
    <w:rsid w:val="00516794"/>
    <w:rsid w:val="00516D39"/>
    <w:rsid w:val="005171A3"/>
    <w:rsid w:val="00517B4D"/>
    <w:rsid w:val="005205BB"/>
    <w:rsid w:val="00520E43"/>
    <w:rsid w:val="005217FA"/>
    <w:rsid w:val="0052223B"/>
    <w:rsid w:val="00522C33"/>
    <w:rsid w:val="005234C0"/>
    <w:rsid w:val="0052387C"/>
    <w:rsid w:val="00523BC2"/>
    <w:rsid w:val="0052409B"/>
    <w:rsid w:val="00524AD2"/>
    <w:rsid w:val="00525B51"/>
    <w:rsid w:val="00526383"/>
    <w:rsid w:val="00526FE2"/>
    <w:rsid w:val="00527BBF"/>
    <w:rsid w:val="0053106C"/>
    <w:rsid w:val="005341BC"/>
    <w:rsid w:val="005342EB"/>
    <w:rsid w:val="0053440E"/>
    <w:rsid w:val="00534F2D"/>
    <w:rsid w:val="0053746B"/>
    <w:rsid w:val="00537AB0"/>
    <w:rsid w:val="0054020A"/>
    <w:rsid w:val="00542297"/>
    <w:rsid w:val="005425D5"/>
    <w:rsid w:val="00542778"/>
    <w:rsid w:val="00542D6F"/>
    <w:rsid w:val="005459DC"/>
    <w:rsid w:val="005461A5"/>
    <w:rsid w:val="00550610"/>
    <w:rsid w:val="0055109B"/>
    <w:rsid w:val="00551D04"/>
    <w:rsid w:val="00555B66"/>
    <w:rsid w:val="0055619F"/>
    <w:rsid w:val="005611B2"/>
    <w:rsid w:val="00561DD6"/>
    <w:rsid w:val="00562130"/>
    <w:rsid w:val="00562328"/>
    <w:rsid w:val="00567927"/>
    <w:rsid w:val="005709F7"/>
    <w:rsid w:val="005710A4"/>
    <w:rsid w:val="00573092"/>
    <w:rsid w:val="005743CB"/>
    <w:rsid w:val="0057515C"/>
    <w:rsid w:val="0057522A"/>
    <w:rsid w:val="005762BA"/>
    <w:rsid w:val="00577281"/>
    <w:rsid w:val="00577CA7"/>
    <w:rsid w:val="00580BEF"/>
    <w:rsid w:val="00581824"/>
    <w:rsid w:val="00582996"/>
    <w:rsid w:val="00583AB7"/>
    <w:rsid w:val="00585613"/>
    <w:rsid w:val="005869E6"/>
    <w:rsid w:val="00586F34"/>
    <w:rsid w:val="00587CC9"/>
    <w:rsid w:val="0059203F"/>
    <w:rsid w:val="00596343"/>
    <w:rsid w:val="005A03DC"/>
    <w:rsid w:val="005A4316"/>
    <w:rsid w:val="005A4768"/>
    <w:rsid w:val="005A798B"/>
    <w:rsid w:val="005B013A"/>
    <w:rsid w:val="005B0589"/>
    <w:rsid w:val="005B1B52"/>
    <w:rsid w:val="005B2E11"/>
    <w:rsid w:val="005B31F2"/>
    <w:rsid w:val="005B49C4"/>
    <w:rsid w:val="005B4A1F"/>
    <w:rsid w:val="005B5636"/>
    <w:rsid w:val="005B5E0C"/>
    <w:rsid w:val="005B6DB0"/>
    <w:rsid w:val="005B79E3"/>
    <w:rsid w:val="005B7F73"/>
    <w:rsid w:val="005C0417"/>
    <w:rsid w:val="005C0788"/>
    <w:rsid w:val="005C0870"/>
    <w:rsid w:val="005C17C6"/>
    <w:rsid w:val="005C1A00"/>
    <w:rsid w:val="005C1D12"/>
    <w:rsid w:val="005D0010"/>
    <w:rsid w:val="005D0B9A"/>
    <w:rsid w:val="005D1302"/>
    <w:rsid w:val="005D28F7"/>
    <w:rsid w:val="005D2C69"/>
    <w:rsid w:val="005D3E26"/>
    <w:rsid w:val="005D6C53"/>
    <w:rsid w:val="005D739B"/>
    <w:rsid w:val="005E016F"/>
    <w:rsid w:val="005E3506"/>
    <w:rsid w:val="005E557F"/>
    <w:rsid w:val="005E58E3"/>
    <w:rsid w:val="005E7324"/>
    <w:rsid w:val="005E7A06"/>
    <w:rsid w:val="005F011D"/>
    <w:rsid w:val="005F0BA0"/>
    <w:rsid w:val="005F17FF"/>
    <w:rsid w:val="005F20EF"/>
    <w:rsid w:val="005F2BE4"/>
    <w:rsid w:val="005F2C44"/>
    <w:rsid w:val="005F39FE"/>
    <w:rsid w:val="005F759F"/>
    <w:rsid w:val="005F79CE"/>
    <w:rsid w:val="005F7A4D"/>
    <w:rsid w:val="0060010F"/>
    <w:rsid w:val="00600735"/>
    <w:rsid w:val="00600B99"/>
    <w:rsid w:val="00600ED7"/>
    <w:rsid w:val="00602001"/>
    <w:rsid w:val="00602E4B"/>
    <w:rsid w:val="00603146"/>
    <w:rsid w:val="00603351"/>
    <w:rsid w:val="00604AAC"/>
    <w:rsid w:val="00604CA4"/>
    <w:rsid w:val="006065AB"/>
    <w:rsid w:val="00606AB7"/>
    <w:rsid w:val="00607E0F"/>
    <w:rsid w:val="00612A81"/>
    <w:rsid w:val="00612AAC"/>
    <w:rsid w:val="006145A1"/>
    <w:rsid w:val="00614E1F"/>
    <w:rsid w:val="00615C9D"/>
    <w:rsid w:val="006179A9"/>
    <w:rsid w:val="00621049"/>
    <w:rsid w:val="00622F82"/>
    <w:rsid w:val="0062466C"/>
    <w:rsid w:val="00627AFC"/>
    <w:rsid w:val="00632B86"/>
    <w:rsid w:val="006332C0"/>
    <w:rsid w:val="006336CB"/>
    <w:rsid w:val="006352C2"/>
    <w:rsid w:val="006352CA"/>
    <w:rsid w:val="00637CA6"/>
    <w:rsid w:val="00637FF5"/>
    <w:rsid w:val="00642BEA"/>
    <w:rsid w:val="00643308"/>
    <w:rsid w:val="00644F75"/>
    <w:rsid w:val="006467B3"/>
    <w:rsid w:val="0065054A"/>
    <w:rsid w:val="006526E9"/>
    <w:rsid w:val="00653251"/>
    <w:rsid w:val="0065499D"/>
    <w:rsid w:val="00655176"/>
    <w:rsid w:val="0065545C"/>
    <w:rsid w:val="00655B93"/>
    <w:rsid w:val="00655C68"/>
    <w:rsid w:val="00656EF2"/>
    <w:rsid w:val="0065701D"/>
    <w:rsid w:val="0065769E"/>
    <w:rsid w:val="00657AFD"/>
    <w:rsid w:val="00660B53"/>
    <w:rsid w:val="00662F1E"/>
    <w:rsid w:val="00663828"/>
    <w:rsid w:val="006639AA"/>
    <w:rsid w:val="00663CC9"/>
    <w:rsid w:val="00665ACF"/>
    <w:rsid w:val="00667628"/>
    <w:rsid w:val="00670B8F"/>
    <w:rsid w:val="00671B66"/>
    <w:rsid w:val="00674A32"/>
    <w:rsid w:val="00676794"/>
    <w:rsid w:val="006820A2"/>
    <w:rsid w:val="006825FB"/>
    <w:rsid w:val="00682911"/>
    <w:rsid w:val="00682CC1"/>
    <w:rsid w:val="00684346"/>
    <w:rsid w:val="00690B01"/>
    <w:rsid w:val="00692236"/>
    <w:rsid w:val="00692C2F"/>
    <w:rsid w:val="0069385C"/>
    <w:rsid w:val="00693A3A"/>
    <w:rsid w:val="00696B17"/>
    <w:rsid w:val="00696EB5"/>
    <w:rsid w:val="00697894"/>
    <w:rsid w:val="0069796A"/>
    <w:rsid w:val="00697BAB"/>
    <w:rsid w:val="006A103F"/>
    <w:rsid w:val="006A391B"/>
    <w:rsid w:val="006A4E91"/>
    <w:rsid w:val="006A542F"/>
    <w:rsid w:val="006A56BF"/>
    <w:rsid w:val="006A6403"/>
    <w:rsid w:val="006A6773"/>
    <w:rsid w:val="006A6F92"/>
    <w:rsid w:val="006B011C"/>
    <w:rsid w:val="006B1188"/>
    <w:rsid w:val="006B1C57"/>
    <w:rsid w:val="006B30F7"/>
    <w:rsid w:val="006C1E64"/>
    <w:rsid w:val="006C5180"/>
    <w:rsid w:val="006C52EF"/>
    <w:rsid w:val="006C5641"/>
    <w:rsid w:val="006C6623"/>
    <w:rsid w:val="006C71E0"/>
    <w:rsid w:val="006D0425"/>
    <w:rsid w:val="006D3188"/>
    <w:rsid w:val="006D3C10"/>
    <w:rsid w:val="006D4D97"/>
    <w:rsid w:val="006D56EA"/>
    <w:rsid w:val="006D5975"/>
    <w:rsid w:val="006D5D4C"/>
    <w:rsid w:val="006D7927"/>
    <w:rsid w:val="006D7B01"/>
    <w:rsid w:val="006E03B9"/>
    <w:rsid w:val="006E5938"/>
    <w:rsid w:val="006E59A5"/>
    <w:rsid w:val="006E60A5"/>
    <w:rsid w:val="006E68B4"/>
    <w:rsid w:val="006F0193"/>
    <w:rsid w:val="006F0948"/>
    <w:rsid w:val="006F2BA8"/>
    <w:rsid w:val="006F2BB5"/>
    <w:rsid w:val="006F320A"/>
    <w:rsid w:val="006F32F4"/>
    <w:rsid w:val="006F3A97"/>
    <w:rsid w:val="006F3ECA"/>
    <w:rsid w:val="006F4195"/>
    <w:rsid w:val="006F5F58"/>
    <w:rsid w:val="00700065"/>
    <w:rsid w:val="00700FDA"/>
    <w:rsid w:val="00703AF8"/>
    <w:rsid w:val="0071099E"/>
    <w:rsid w:val="007113C9"/>
    <w:rsid w:val="00712364"/>
    <w:rsid w:val="00712D42"/>
    <w:rsid w:val="0071306D"/>
    <w:rsid w:val="00713890"/>
    <w:rsid w:val="007139CC"/>
    <w:rsid w:val="00713A12"/>
    <w:rsid w:val="00714B1E"/>
    <w:rsid w:val="00714F80"/>
    <w:rsid w:val="0071624D"/>
    <w:rsid w:val="0072027F"/>
    <w:rsid w:val="00720745"/>
    <w:rsid w:val="00721082"/>
    <w:rsid w:val="00721091"/>
    <w:rsid w:val="007216F1"/>
    <w:rsid w:val="00721C35"/>
    <w:rsid w:val="00723225"/>
    <w:rsid w:val="00723586"/>
    <w:rsid w:val="007244BC"/>
    <w:rsid w:val="007249B5"/>
    <w:rsid w:val="00726698"/>
    <w:rsid w:val="007269A0"/>
    <w:rsid w:val="00727775"/>
    <w:rsid w:val="0073291F"/>
    <w:rsid w:val="0073355A"/>
    <w:rsid w:val="00735D76"/>
    <w:rsid w:val="00735DCF"/>
    <w:rsid w:val="00735F8E"/>
    <w:rsid w:val="00736B28"/>
    <w:rsid w:val="00737252"/>
    <w:rsid w:val="00737C10"/>
    <w:rsid w:val="0074159B"/>
    <w:rsid w:val="00742A7C"/>
    <w:rsid w:val="007433A3"/>
    <w:rsid w:val="007448B9"/>
    <w:rsid w:val="0074653C"/>
    <w:rsid w:val="007509AA"/>
    <w:rsid w:val="007514D9"/>
    <w:rsid w:val="00751A98"/>
    <w:rsid w:val="00751AAA"/>
    <w:rsid w:val="0075201B"/>
    <w:rsid w:val="00752B77"/>
    <w:rsid w:val="007549DF"/>
    <w:rsid w:val="00762A7E"/>
    <w:rsid w:val="00763EEA"/>
    <w:rsid w:val="007640A4"/>
    <w:rsid w:val="00767865"/>
    <w:rsid w:val="00774BFD"/>
    <w:rsid w:val="00775C23"/>
    <w:rsid w:val="00775E2D"/>
    <w:rsid w:val="007770D0"/>
    <w:rsid w:val="007811F9"/>
    <w:rsid w:val="007814FA"/>
    <w:rsid w:val="00781C7E"/>
    <w:rsid w:val="00782C4F"/>
    <w:rsid w:val="00783B12"/>
    <w:rsid w:val="00784155"/>
    <w:rsid w:val="00785C07"/>
    <w:rsid w:val="00785C85"/>
    <w:rsid w:val="00787B74"/>
    <w:rsid w:val="0079100A"/>
    <w:rsid w:val="00791A07"/>
    <w:rsid w:val="00791DCA"/>
    <w:rsid w:val="0079271F"/>
    <w:rsid w:val="007936EC"/>
    <w:rsid w:val="007944A3"/>
    <w:rsid w:val="00794AB4"/>
    <w:rsid w:val="0079637E"/>
    <w:rsid w:val="00796A6E"/>
    <w:rsid w:val="007A1204"/>
    <w:rsid w:val="007A2016"/>
    <w:rsid w:val="007A3A60"/>
    <w:rsid w:val="007A4930"/>
    <w:rsid w:val="007A64BF"/>
    <w:rsid w:val="007A74BB"/>
    <w:rsid w:val="007A7C72"/>
    <w:rsid w:val="007B364F"/>
    <w:rsid w:val="007B4738"/>
    <w:rsid w:val="007B5034"/>
    <w:rsid w:val="007B5D75"/>
    <w:rsid w:val="007B6C1A"/>
    <w:rsid w:val="007B79F3"/>
    <w:rsid w:val="007C358B"/>
    <w:rsid w:val="007C45F8"/>
    <w:rsid w:val="007C46A2"/>
    <w:rsid w:val="007C5374"/>
    <w:rsid w:val="007C6787"/>
    <w:rsid w:val="007C737E"/>
    <w:rsid w:val="007C75CC"/>
    <w:rsid w:val="007D01BE"/>
    <w:rsid w:val="007D081E"/>
    <w:rsid w:val="007D12A6"/>
    <w:rsid w:val="007D2A31"/>
    <w:rsid w:val="007D4D25"/>
    <w:rsid w:val="007D52D3"/>
    <w:rsid w:val="007D7EC9"/>
    <w:rsid w:val="007E147E"/>
    <w:rsid w:val="007E4940"/>
    <w:rsid w:val="007E7599"/>
    <w:rsid w:val="007F03B2"/>
    <w:rsid w:val="007F1086"/>
    <w:rsid w:val="007F23D3"/>
    <w:rsid w:val="007F5EAF"/>
    <w:rsid w:val="007F60A2"/>
    <w:rsid w:val="007F734C"/>
    <w:rsid w:val="00803BF2"/>
    <w:rsid w:val="00803FE7"/>
    <w:rsid w:val="00804573"/>
    <w:rsid w:val="0080602B"/>
    <w:rsid w:val="00806A47"/>
    <w:rsid w:val="00811390"/>
    <w:rsid w:val="008166EE"/>
    <w:rsid w:val="00816833"/>
    <w:rsid w:val="008205CD"/>
    <w:rsid w:val="0082467F"/>
    <w:rsid w:val="0083188F"/>
    <w:rsid w:val="008327A8"/>
    <w:rsid w:val="00832926"/>
    <w:rsid w:val="0083322E"/>
    <w:rsid w:val="00833961"/>
    <w:rsid w:val="00833E4E"/>
    <w:rsid w:val="00834D7F"/>
    <w:rsid w:val="00835ADE"/>
    <w:rsid w:val="00835DE6"/>
    <w:rsid w:val="008377F0"/>
    <w:rsid w:val="00840495"/>
    <w:rsid w:val="008422A5"/>
    <w:rsid w:val="0084527F"/>
    <w:rsid w:val="00845861"/>
    <w:rsid w:val="0084722B"/>
    <w:rsid w:val="0084755C"/>
    <w:rsid w:val="008476EC"/>
    <w:rsid w:val="00850975"/>
    <w:rsid w:val="008525D0"/>
    <w:rsid w:val="00852610"/>
    <w:rsid w:val="00853808"/>
    <w:rsid w:val="00856C5C"/>
    <w:rsid w:val="00857B94"/>
    <w:rsid w:val="00861D4F"/>
    <w:rsid w:val="00861E2A"/>
    <w:rsid w:val="00861EB5"/>
    <w:rsid w:val="008631DB"/>
    <w:rsid w:val="00864A80"/>
    <w:rsid w:val="00866280"/>
    <w:rsid w:val="00866736"/>
    <w:rsid w:val="008703F0"/>
    <w:rsid w:val="0087148D"/>
    <w:rsid w:val="008716C5"/>
    <w:rsid w:val="00871D5C"/>
    <w:rsid w:val="0087220A"/>
    <w:rsid w:val="00872F5B"/>
    <w:rsid w:val="0087494D"/>
    <w:rsid w:val="008764D2"/>
    <w:rsid w:val="00877021"/>
    <w:rsid w:val="00880043"/>
    <w:rsid w:val="00881738"/>
    <w:rsid w:val="00881F96"/>
    <w:rsid w:val="0088233A"/>
    <w:rsid w:val="00882516"/>
    <w:rsid w:val="00882C13"/>
    <w:rsid w:val="00883677"/>
    <w:rsid w:val="00885583"/>
    <w:rsid w:val="00885979"/>
    <w:rsid w:val="0088635C"/>
    <w:rsid w:val="00886ADC"/>
    <w:rsid w:val="0088734A"/>
    <w:rsid w:val="00890A64"/>
    <w:rsid w:val="00892162"/>
    <w:rsid w:val="00892674"/>
    <w:rsid w:val="00892FF6"/>
    <w:rsid w:val="00893FD2"/>
    <w:rsid w:val="0089428B"/>
    <w:rsid w:val="00894B95"/>
    <w:rsid w:val="008957EE"/>
    <w:rsid w:val="008969C5"/>
    <w:rsid w:val="00896BBA"/>
    <w:rsid w:val="00896C93"/>
    <w:rsid w:val="008A170E"/>
    <w:rsid w:val="008A4489"/>
    <w:rsid w:val="008A5489"/>
    <w:rsid w:val="008A58D5"/>
    <w:rsid w:val="008A5BEF"/>
    <w:rsid w:val="008A5E33"/>
    <w:rsid w:val="008B1CF1"/>
    <w:rsid w:val="008B308A"/>
    <w:rsid w:val="008B4903"/>
    <w:rsid w:val="008B4CAD"/>
    <w:rsid w:val="008B51B0"/>
    <w:rsid w:val="008B59EE"/>
    <w:rsid w:val="008B68AB"/>
    <w:rsid w:val="008B68DC"/>
    <w:rsid w:val="008B709B"/>
    <w:rsid w:val="008B7284"/>
    <w:rsid w:val="008B7690"/>
    <w:rsid w:val="008C0418"/>
    <w:rsid w:val="008C05C9"/>
    <w:rsid w:val="008C36A4"/>
    <w:rsid w:val="008C381D"/>
    <w:rsid w:val="008C47DD"/>
    <w:rsid w:val="008C4BA6"/>
    <w:rsid w:val="008C4F2F"/>
    <w:rsid w:val="008C7259"/>
    <w:rsid w:val="008D1881"/>
    <w:rsid w:val="008D1C8B"/>
    <w:rsid w:val="008D1E35"/>
    <w:rsid w:val="008E309C"/>
    <w:rsid w:val="008E30F2"/>
    <w:rsid w:val="008E39A0"/>
    <w:rsid w:val="008E72ED"/>
    <w:rsid w:val="008F0E07"/>
    <w:rsid w:val="008F1D10"/>
    <w:rsid w:val="008F3802"/>
    <w:rsid w:val="008F433B"/>
    <w:rsid w:val="008F4B28"/>
    <w:rsid w:val="008F5C39"/>
    <w:rsid w:val="00901FBE"/>
    <w:rsid w:val="00903CD9"/>
    <w:rsid w:val="00904626"/>
    <w:rsid w:val="00905D4D"/>
    <w:rsid w:val="00911A47"/>
    <w:rsid w:val="00911E48"/>
    <w:rsid w:val="00914A69"/>
    <w:rsid w:val="00914DEA"/>
    <w:rsid w:val="0091678A"/>
    <w:rsid w:val="00916C69"/>
    <w:rsid w:val="009209F8"/>
    <w:rsid w:val="00920D4A"/>
    <w:rsid w:val="00920D5C"/>
    <w:rsid w:val="0092109A"/>
    <w:rsid w:val="0092216C"/>
    <w:rsid w:val="00923874"/>
    <w:rsid w:val="00924943"/>
    <w:rsid w:val="009250C1"/>
    <w:rsid w:val="00925763"/>
    <w:rsid w:val="0092767C"/>
    <w:rsid w:val="00927FA4"/>
    <w:rsid w:val="00931304"/>
    <w:rsid w:val="009327C3"/>
    <w:rsid w:val="00933273"/>
    <w:rsid w:val="009342DA"/>
    <w:rsid w:val="00935C27"/>
    <w:rsid w:val="009362EC"/>
    <w:rsid w:val="00937FE5"/>
    <w:rsid w:val="00941491"/>
    <w:rsid w:val="00943B85"/>
    <w:rsid w:val="00943EE1"/>
    <w:rsid w:val="00944A62"/>
    <w:rsid w:val="00946FD0"/>
    <w:rsid w:val="00947965"/>
    <w:rsid w:val="00947E1E"/>
    <w:rsid w:val="0095222D"/>
    <w:rsid w:val="009542EE"/>
    <w:rsid w:val="00954D94"/>
    <w:rsid w:val="00954FC3"/>
    <w:rsid w:val="009553EA"/>
    <w:rsid w:val="00955BC1"/>
    <w:rsid w:val="009566B5"/>
    <w:rsid w:val="0096214D"/>
    <w:rsid w:val="009624A0"/>
    <w:rsid w:val="009654B4"/>
    <w:rsid w:val="0096635C"/>
    <w:rsid w:val="00970DE4"/>
    <w:rsid w:val="0097147B"/>
    <w:rsid w:val="0097148C"/>
    <w:rsid w:val="009725BA"/>
    <w:rsid w:val="0097333A"/>
    <w:rsid w:val="009741AB"/>
    <w:rsid w:val="00975CBE"/>
    <w:rsid w:val="00981289"/>
    <w:rsid w:val="009820F5"/>
    <w:rsid w:val="0098443E"/>
    <w:rsid w:val="00984A5B"/>
    <w:rsid w:val="00984B80"/>
    <w:rsid w:val="00984E2A"/>
    <w:rsid w:val="00984F76"/>
    <w:rsid w:val="00987930"/>
    <w:rsid w:val="00991A92"/>
    <w:rsid w:val="00993BFC"/>
    <w:rsid w:val="0099735A"/>
    <w:rsid w:val="009A0244"/>
    <w:rsid w:val="009A1B61"/>
    <w:rsid w:val="009A1B78"/>
    <w:rsid w:val="009A2659"/>
    <w:rsid w:val="009A32AF"/>
    <w:rsid w:val="009A433A"/>
    <w:rsid w:val="009A578A"/>
    <w:rsid w:val="009A6E9C"/>
    <w:rsid w:val="009B309D"/>
    <w:rsid w:val="009B41CC"/>
    <w:rsid w:val="009B4BCC"/>
    <w:rsid w:val="009B56CB"/>
    <w:rsid w:val="009B63D6"/>
    <w:rsid w:val="009B673C"/>
    <w:rsid w:val="009B7210"/>
    <w:rsid w:val="009B7B54"/>
    <w:rsid w:val="009C0C81"/>
    <w:rsid w:val="009C154C"/>
    <w:rsid w:val="009C1E93"/>
    <w:rsid w:val="009C50AB"/>
    <w:rsid w:val="009C5C72"/>
    <w:rsid w:val="009C5E84"/>
    <w:rsid w:val="009C6233"/>
    <w:rsid w:val="009C6B45"/>
    <w:rsid w:val="009C71C6"/>
    <w:rsid w:val="009D37B8"/>
    <w:rsid w:val="009D3B37"/>
    <w:rsid w:val="009D61F1"/>
    <w:rsid w:val="009D6D39"/>
    <w:rsid w:val="009D7059"/>
    <w:rsid w:val="009E0490"/>
    <w:rsid w:val="009E133E"/>
    <w:rsid w:val="009E170D"/>
    <w:rsid w:val="009E27DB"/>
    <w:rsid w:val="009E28D6"/>
    <w:rsid w:val="009E30E2"/>
    <w:rsid w:val="009E36FB"/>
    <w:rsid w:val="009E3FEE"/>
    <w:rsid w:val="009E4B60"/>
    <w:rsid w:val="009E560E"/>
    <w:rsid w:val="009E6BD7"/>
    <w:rsid w:val="009F127C"/>
    <w:rsid w:val="009F3B32"/>
    <w:rsid w:val="009F3B94"/>
    <w:rsid w:val="009F4446"/>
    <w:rsid w:val="009F4648"/>
    <w:rsid w:val="009F5ED0"/>
    <w:rsid w:val="009F7C99"/>
    <w:rsid w:val="00A00411"/>
    <w:rsid w:val="00A0055E"/>
    <w:rsid w:val="00A009FB"/>
    <w:rsid w:val="00A03D9C"/>
    <w:rsid w:val="00A03E74"/>
    <w:rsid w:val="00A04920"/>
    <w:rsid w:val="00A04EBA"/>
    <w:rsid w:val="00A0634F"/>
    <w:rsid w:val="00A079C6"/>
    <w:rsid w:val="00A12A31"/>
    <w:rsid w:val="00A13A9A"/>
    <w:rsid w:val="00A14778"/>
    <w:rsid w:val="00A16B04"/>
    <w:rsid w:val="00A2541C"/>
    <w:rsid w:val="00A25465"/>
    <w:rsid w:val="00A27E3A"/>
    <w:rsid w:val="00A27EF5"/>
    <w:rsid w:val="00A301A4"/>
    <w:rsid w:val="00A3034A"/>
    <w:rsid w:val="00A32B46"/>
    <w:rsid w:val="00A3392C"/>
    <w:rsid w:val="00A34892"/>
    <w:rsid w:val="00A3535E"/>
    <w:rsid w:val="00A3548C"/>
    <w:rsid w:val="00A360C3"/>
    <w:rsid w:val="00A4081A"/>
    <w:rsid w:val="00A430D5"/>
    <w:rsid w:val="00A436C7"/>
    <w:rsid w:val="00A43AE4"/>
    <w:rsid w:val="00A452F3"/>
    <w:rsid w:val="00A467E1"/>
    <w:rsid w:val="00A5096B"/>
    <w:rsid w:val="00A544E1"/>
    <w:rsid w:val="00A5696A"/>
    <w:rsid w:val="00A62447"/>
    <w:rsid w:val="00A63691"/>
    <w:rsid w:val="00A645BB"/>
    <w:rsid w:val="00A67295"/>
    <w:rsid w:val="00A67387"/>
    <w:rsid w:val="00A67647"/>
    <w:rsid w:val="00A6768E"/>
    <w:rsid w:val="00A71724"/>
    <w:rsid w:val="00A731AF"/>
    <w:rsid w:val="00A733DF"/>
    <w:rsid w:val="00A77B8F"/>
    <w:rsid w:val="00A80980"/>
    <w:rsid w:val="00A82335"/>
    <w:rsid w:val="00A83828"/>
    <w:rsid w:val="00A84814"/>
    <w:rsid w:val="00A8490C"/>
    <w:rsid w:val="00A85C8F"/>
    <w:rsid w:val="00A91C1A"/>
    <w:rsid w:val="00A91DCA"/>
    <w:rsid w:val="00A91E1B"/>
    <w:rsid w:val="00A91F04"/>
    <w:rsid w:val="00A92714"/>
    <w:rsid w:val="00A928C7"/>
    <w:rsid w:val="00A9295B"/>
    <w:rsid w:val="00A94397"/>
    <w:rsid w:val="00A9643B"/>
    <w:rsid w:val="00A971F4"/>
    <w:rsid w:val="00A97E19"/>
    <w:rsid w:val="00AA16B2"/>
    <w:rsid w:val="00AA4421"/>
    <w:rsid w:val="00AA5A6F"/>
    <w:rsid w:val="00AA6338"/>
    <w:rsid w:val="00AB1589"/>
    <w:rsid w:val="00AB287F"/>
    <w:rsid w:val="00AB4584"/>
    <w:rsid w:val="00AB48A4"/>
    <w:rsid w:val="00AB4C2D"/>
    <w:rsid w:val="00AB589F"/>
    <w:rsid w:val="00AB6E46"/>
    <w:rsid w:val="00AB7943"/>
    <w:rsid w:val="00AC1313"/>
    <w:rsid w:val="00AC1CB0"/>
    <w:rsid w:val="00AC2294"/>
    <w:rsid w:val="00AC2914"/>
    <w:rsid w:val="00AC2C56"/>
    <w:rsid w:val="00AC2D9A"/>
    <w:rsid w:val="00AC2F85"/>
    <w:rsid w:val="00AC4CD6"/>
    <w:rsid w:val="00AC6DAF"/>
    <w:rsid w:val="00AD036A"/>
    <w:rsid w:val="00AD0BAF"/>
    <w:rsid w:val="00AD0E30"/>
    <w:rsid w:val="00AD201F"/>
    <w:rsid w:val="00AD212D"/>
    <w:rsid w:val="00AD2ADE"/>
    <w:rsid w:val="00AD3623"/>
    <w:rsid w:val="00AD3F9F"/>
    <w:rsid w:val="00AD42C2"/>
    <w:rsid w:val="00AD4613"/>
    <w:rsid w:val="00AD4B95"/>
    <w:rsid w:val="00AD64AB"/>
    <w:rsid w:val="00AD655B"/>
    <w:rsid w:val="00AD6813"/>
    <w:rsid w:val="00AD7408"/>
    <w:rsid w:val="00AD798F"/>
    <w:rsid w:val="00AE0CE5"/>
    <w:rsid w:val="00AE0FEF"/>
    <w:rsid w:val="00AE114C"/>
    <w:rsid w:val="00AE2FFA"/>
    <w:rsid w:val="00AE5FC9"/>
    <w:rsid w:val="00AE6D50"/>
    <w:rsid w:val="00AF14B8"/>
    <w:rsid w:val="00AF3ED5"/>
    <w:rsid w:val="00AF4F8C"/>
    <w:rsid w:val="00B00107"/>
    <w:rsid w:val="00B0058B"/>
    <w:rsid w:val="00B024B2"/>
    <w:rsid w:val="00B02975"/>
    <w:rsid w:val="00B04226"/>
    <w:rsid w:val="00B0452E"/>
    <w:rsid w:val="00B05232"/>
    <w:rsid w:val="00B0560B"/>
    <w:rsid w:val="00B0653E"/>
    <w:rsid w:val="00B06D0E"/>
    <w:rsid w:val="00B104C8"/>
    <w:rsid w:val="00B10EB0"/>
    <w:rsid w:val="00B11445"/>
    <w:rsid w:val="00B121D9"/>
    <w:rsid w:val="00B13899"/>
    <w:rsid w:val="00B13E19"/>
    <w:rsid w:val="00B14246"/>
    <w:rsid w:val="00B149BE"/>
    <w:rsid w:val="00B17C48"/>
    <w:rsid w:val="00B221EA"/>
    <w:rsid w:val="00B2329B"/>
    <w:rsid w:val="00B2624D"/>
    <w:rsid w:val="00B2679E"/>
    <w:rsid w:val="00B277CF"/>
    <w:rsid w:val="00B30981"/>
    <w:rsid w:val="00B309BD"/>
    <w:rsid w:val="00B30B22"/>
    <w:rsid w:val="00B314B0"/>
    <w:rsid w:val="00B32136"/>
    <w:rsid w:val="00B34334"/>
    <w:rsid w:val="00B351D6"/>
    <w:rsid w:val="00B3749E"/>
    <w:rsid w:val="00B37875"/>
    <w:rsid w:val="00B37C5B"/>
    <w:rsid w:val="00B434C2"/>
    <w:rsid w:val="00B448EA"/>
    <w:rsid w:val="00B50C81"/>
    <w:rsid w:val="00B512EF"/>
    <w:rsid w:val="00B524FD"/>
    <w:rsid w:val="00B532DE"/>
    <w:rsid w:val="00B53619"/>
    <w:rsid w:val="00B54A58"/>
    <w:rsid w:val="00B5550F"/>
    <w:rsid w:val="00B56482"/>
    <w:rsid w:val="00B5716D"/>
    <w:rsid w:val="00B57A3E"/>
    <w:rsid w:val="00B57E76"/>
    <w:rsid w:val="00B608CD"/>
    <w:rsid w:val="00B60E57"/>
    <w:rsid w:val="00B61934"/>
    <w:rsid w:val="00B66035"/>
    <w:rsid w:val="00B6698E"/>
    <w:rsid w:val="00B72683"/>
    <w:rsid w:val="00B74EDB"/>
    <w:rsid w:val="00B821B3"/>
    <w:rsid w:val="00B84AEB"/>
    <w:rsid w:val="00B85A30"/>
    <w:rsid w:val="00B86025"/>
    <w:rsid w:val="00B86893"/>
    <w:rsid w:val="00B90489"/>
    <w:rsid w:val="00B9158C"/>
    <w:rsid w:val="00B92902"/>
    <w:rsid w:val="00B9359C"/>
    <w:rsid w:val="00B9413F"/>
    <w:rsid w:val="00B9501E"/>
    <w:rsid w:val="00B962FC"/>
    <w:rsid w:val="00B96881"/>
    <w:rsid w:val="00B977D8"/>
    <w:rsid w:val="00B978A6"/>
    <w:rsid w:val="00B97ADF"/>
    <w:rsid w:val="00B97E25"/>
    <w:rsid w:val="00BA0E81"/>
    <w:rsid w:val="00BA2522"/>
    <w:rsid w:val="00BA289F"/>
    <w:rsid w:val="00BA3178"/>
    <w:rsid w:val="00BA3448"/>
    <w:rsid w:val="00BA3718"/>
    <w:rsid w:val="00BA4747"/>
    <w:rsid w:val="00BA6400"/>
    <w:rsid w:val="00BA7CD0"/>
    <w:rsid w:val="00BB2D8B"/>
    <w:rsid w:val="00BB4C8E"/>
    <w:rsid w:val="00BB6224"/>
    <w:rsid w:val="00BB6F27"/>
    <w:rsid w:val="00BC06FC"/>
    <w:rsid w:val="00BC14A3"/>
    <w:rsid w:val="00BC479D"/>
    <w:rsid w:val="00BC4D46"/>
    <w:rsid w:val="00BC537E"/>
    <w:rsid w:val="00BC6B0B"/>
    <w:rsid w:val="00BD13B8"/>
    <w:rsid w:val="00BD2378"/>
    <w:rsid w:val="00BD2381"/>
    <w:rsid w:val="00BD2891"/>
    <w:rsid w:val="00BD2BD0"/>
    <w:rsid w:val="00BD4637"/>
    <w:rsid w:val="00BD4C0A"/>
    <w:rsid w:val="00BD5937"/>
    <w:rsid w:val="00BD7CD6"/>
    <w:rsid w:val="00BE16C4"/>
    <w:rsid w:val="00BE255A"/>
    <w:rsid w:val="00BE2FBE"/>
    <w:rsid w:val="00BE391C"/>
    <w:rsid w:val="00BE41D4"/>
    <w:rsid w:val="00BE4878"/>
    <w:rsid w:val="00BE53C9"/>
    <w:rsid w:val="00BE55B8"/>
    <w:rsid w:val="00BE5755"/>
    <w:rsid w:val="00BE6697"/>
    <w:rsid w:val="00BF0566"/>
    <w:rsid w:val="00BF056E"/>
    <w:rsid w:val="00BF0BA9"/>
    <w:rsid w:val="00BF0DE4"/>
    <w:rsid w:val="00BF11B3"/>
    <w:rsid w:val="00BF1745"/>
    <w:rsid w:val="00BF3260"/>
    <w:rsid w:val="00BF61D2"/>
    <w:rsid w:val="00C00315"/>
    <w:rsid w:val="00C02284"/>
    <w:rsid w:val="00C023C8"/>
    <w:rsid w:val="00C03402"/>
    <w:rsid w:val="00C0397B"/>
    <w:rsid w:val="00C04D57"/>
    <w:rsid w:val="00C05572"/>
    <w:rsid w:val="00C06B0D"/>
    <w:rsid w:val="00C06C5C"/>
    <w:rsid w:val="00C06F28"/>
    <w:rsid w:val="00C072BF"/>
    <w:rsid w:val="00C07414"/>
    <w:rsid w:val="00C0746F"/>
    <w:rsid w:val="00C07AC8"/>
    <w:rsid w:val="00C11F8D"/>
    <w:rsid w:val="00C13896"/>
    <w:rsid w:val="00C155F9"/>
    <w:rsid w:val="00C15EAB"/>
    <w:rsid w:val="00C17FA9"/>
    <w:rsid w:val="00C20514"/>
    <w:rsid w:val="00C20AB9"/>
    <w:rsid w:val="00C243EB"/>
    <w:rsid w:val="00C2670F"/>
    <w:rsid w:val="00C2688C"/>
    <w:rsid w:val="00C31A84"/>
    <w:rsid w:val="00C32CA3"/>
    <w:rsid w:val="00C34605"/>
    <w:rsid w:val="00C35155"/>
    <w:rsid w:val="00C36DE3"/>
    <w:rsid w:val="00C41B75"/>
    <w:rsid w:val="00C443B8"/>
    <w:rsid w:val="00C4465F"/>
    <w:rsid w:val="00C45C3F"/>
    <w:rsid w:val="00C47A1E"/>
    <w:rsid w:val="00C5033C"/>
    <w:rsid w:val="00C52561"/>
    <w:rsid w:val="00C5387C"/>
    <w:rsid w:val="00C57088"/>
    <w:rsid w:val="00C613A5"/>
    <w:rsid w:val="00C630DF"/>
    <w:rsid w:val="00C63A25"/>
    <w:rsid w:val="00C678E8"/>
    <w:rsid w:val="00C71633"/>
    <w:rsid w:val="00C71C43"/>
    <w:rsid w:val="00C727A1"/>
    <w:rsid w:val="00C72B58"/>
    <w:rsid w:val="00C73D86"/>
    <w:rsid w:val="00C77638"/>
    <w:rsid w:val="00C8062F"/>
    <w:rsid w:val="00C809CD"/>
    <w:rsid w:val="00C815F0"/>
    <w:rsid w:val="00C817BD"/>
    <w:rsid w:val="00C81AB9"/>
    <w:rsid w:val="00C82A5D"/>
    <w:rsid w:val="00C83159"/>
    <w:rsid w:val="00C83E4D"/>
    <w:rsid w:val="00C8732A"/>
    <w:rsid w:val="00C8792F"/>
    <w:rsid w:val="00C92F7F"/>
    <w:rsid w:val="00C93E6D"/>
    <w:rsid w:val="00C94790"/>
    <w:rsid w:val="00C95FA6"/>
    <w:rsid w:val="00C9667E"/>
    <w:rsid w:val="00C96710"/>
    <w:rsid w:val="00C97534"/>
    <w:rsid w:val="00C979AE"/>
    <w:rsid w:val="00CA114D"/>
    <w:rsid w:val="00CA2F95"/>
    <w:rsid w:val="00CA33E9"/>
    <w:rsid w:val="00CA4F3B"/>
    <w:rsid w:val="00CA6299"/>
    <w:rsid w:val="00CA662D"/>
    <w:rsid w:val="00CA6DE2"/>
    <w:rsid w:val="00CA7A7B"/>
    <w:rsid w:val="00CA7CE3"/>
    <w:rsid w:val="00CB0AD1"/>
    <w:rsid w:val="00CB0D6A"/>
    <w:rsid w:val="00CB3D95"/>
    <w:rsid w:val="00CB4655"/>
    <w:rsid w:val="00CB51BB"/>
    <w:rsid w:val="00CB5946"/>
    <w:rsid w:val="00CB7ED9"/>
    <w:rsid w:val="00CC15EE"/>
    <w:rsid w:val="00CC17D0"/>
    <w:rsid w:val="00CC2BF5"/>
    <w:rsid w:val="00CC2FF3"/>
    <w:rsid w:val="00CC4A53"/>
    <w:rsid w:val="00CC5D8E"/>
    <w:rsid w:val="00CC602A"/>
    <w:rsid w:val="00CC6E77"/>
    <w:rsid w:val="00CD23C7"/>
    <w:rsid w:val="00CD3ABD"/>
    <w:rsid w:val="00CD58D4"/>
    <w:rsid w:val="00CE3440"/>
    <w:rsid w:val="00CE39EB"/>
    <w:rsid w:val="00CE4124"/>
    <w:rsid w:val="00CE43C9"/>
    <w:rsid w:val="00CE4A2A"/>
    <w:rsid w:val="00CE4ACD"/>
    <w:rsid w:val="00CE536E"/>
    <w:rsid w:val="00CE618C"/>
    <w:rsid w:val="00CE65BF"/>
    <w:rsid w:val="00CE7CCD"/>
    <w:rsid w:val="00CE7E20"/>
    <w:rsid w:val="00CE7F15"/>
    <w:rsid w:val="00CE7F2A"/>
    <w:rsid w:val="00CF22B5"/>
    <w:rsid w:val="00CF43EA"/>
    <w:rsid w:val="00D00260"/>
    <w:rsid w:val="00D025DE"/>
    <w:rsid w:val="00D029D4"/>
    <w:rsid w:val="00D02CC9"/>
    <w:rsid w:val="00D03435"/>
    <w:rsid w:val="00D04238"/>
    <w:rsid w:val="00D04746"/>
    <w:rsid w:val="00D048C7"/>
    <w:rsid w:val="00D058F2"/>
    <w:rsid w:val="00D102F3"/>
    <w:rsid w:val="00D103A3"/>
    <w:rsid w:val="00D10C57"/>
    <w:rsid w:val="00D1121A"/>
    <w:rsid w:val="00D12512"/>
    <w:rsid w:val="00D15DEC"/>
    <w:rsid w:val="00D16610"/>
    <w:rsid w:val="00D16FD8"/>
    <w:rsid w:val="00D172DA"/>
    <w:rsid w:val="00D22078"/>
    <w:rsid w:val="00D22D64"/>
    <w:rsid w:val="00D242DD"/>
    <w:rsid w:val="00D24D1B"/>
    <w:rsid w:val="00D25771"/>
    <w:rsid w:val="00D27CF1"/>
    <w:rsid w:val="00D30542"/>
    <w:rsid w:val="00D30F9B"/>
    <w:rsid w:val="00D3163B"/>
    <w:rsid w:val="00D31CC2"/>
    <w:rsid w:val="00D32177"/>
    <w:rsid w:val="00D3244A"/>
    <w:rsid w:val="00D3283B"/>
    <w:rsid w:val="00D33FB1"/>
    <w:rsid w:val="00D343A9"/>
    <w:rsid w:val="00D373C9"/>
    <w:rsid w:val="00D409F3"/>
    <w:rsid w:val="00D413D3"/>
    <w:rsid w:val="00D41D9E"/>
    <w:rsid w:val="00D45299"/>
    <w:rsid w:val="00D45422"/>
    <w:rsid w:val="00D46A87"/>
    <w:rsid w:val="00D471B8"/>
    <w:rsid w:val="00D47988"/>
    <w:rsid w:val="00D47D6C"/>
    <w:rsid w:val="00D5160E"/>
    <w:rsid w:val="00D51CB9"/>
    <w:rsid w:val="00D51F37"/>
    <w:rsid w:val="00D524EB"/>
    <w:rsid w:val="00D529AA"/>
    <w:rsid w:val="00D533C9"/>
    <w:rsid w:val="00D56C15"/>
    <w:rsid w:val="00D5765F"/>
    <w:rsid w:val="00D63C15"/>
    <w:rsid w:val="00D6518A"/>
    <w:rsid w:val="00D65BFF"/>
    <w:rsid w:val="00D668F1"/>
    <w:rsid w:val="00D67AF4"/>
    <w:rsid w:val="00D70C6F"/>
    <w:rsid w:val="00D72120"/>
    <w:rsid w:val="00D72A63"/>
    <w:rsid w:val="00D75D42"/>
    <w:rsid w:val="00D76E80"/>
    <w:rsid w:val="00D8548A"/>
    <w:rsid w:val="00D865DF"/>
    <w:rsid w:val="00D8734B"/>
    <w:rsid w:val="00D876E7"/>
    <w:rsid w:val="00D91E15"/>
    <w:rsid w:val="00D93CBC"/>
    <w:rsid w:val="00D94474"/>
    <w:rsid w:val="00D96800"/>
    <w:rsid w:val="00D974BB"/>
    <w:rsid w:val="00D97813"/>
    <w:rsid w:val="00DA0B17"/>
    <w:rsid w:val="00DA1ECA"/>
    <w:rsid w:val="00DA28EB"/>
    <w:rsid w:val="00DA2C30"/>
    <w:rsid w:val="00DA3B5A"/>
    <w:rsid w:val="00DA4A4D"/>
    <w:rsid w:val="00DA5AAB"/>
    <w:rsid w:val="00DA5FC1"/>
    <w:rsid w:val="00DB3291"/>
    <w:rsid w:val="00DB35D2"/>
    <w:rsid w:val="00DB3CA8"/>
    <w:rsid w:val="00DB4605"/>
    <w:rsid w:val="00DB4A2B"/>
    <w:rsid w:val="00DB4B6C"/>
    <w:rsid w:val="00DB5FC3"/>
    <w:rsid w:val="00DB6BA7"/>
    <w:rsid w:val="00DC1316"/>
    <w:rsid w:val="00DC162F"/>
    <w:rsid w:val="00DC1BCF"/>
    <w:rsid w:val="00DC203F"/>
    <w:rsid w:val="00DC4166"/>
    <w:rsid w:val="00DC505B"/>
    <w:rsid w:val="00DC765C"/>
    <w:rsid w:val="00DD480D"/>
    <w:rsid w:val="00DD58E8"/>
    <w:rsid w:val="00DD73FB"/>
    <w:rsid w:val="00DE03EA"/>
    <w:rsid w:val="00DE1A7B"/>
    <w:rsid w:val="00DE1DD9"/>
    <w:rsid w:val="00DE242F"/>
    <w:rsid w:val="00DE35A7"/>
    <w:rsid w:val="00DE37C8"/>
    <w:rsid w:val="00DE5A6A"/>
    <w:rsid w:val="00DE6355"/>
    <w:rsid w:val="00DE6775"/>
    <w:rsid w:val="00DF032D"/>
    <w:rsid w:val="00DF26BA"/>
    <w:rsid w:val="00DF3BE8"/>
    <w:rsid w:val="00DF5B0D"/>
    <w:rsid w:val="00DF621F"/>
    <w:rsid w:val="00DF6510"/>
    <w:rsid w:val="00DF79C4"/>
    <w:rsid w:val="00DF79D4"/>
    <w:rsid w:val="00E00319"/>
    <w:rsid w:val="00E0231F"/>
    <w:rsid w:val="00E033DB"/>
    <w:rsid w:val="00E1255B"/>
    <w:rsid w:val="00E138EA"/>
    <w:rsid w:val="00E15434"/>
    <w:rsid w:val="00E1739B"/>
    <w:rsid w:val="00E240F3"/>
    <w:rsid w:val="00E2488D"/>
    <w:rsid w:val="00E25D6A"/>
    <w:rsid w:val="00E2650F"/>
    <w:rsid w:val="00E310C6"/>
    <w:rsid w:val="00E311FC"/>
    <w:rsid w:val="00E3256F"/>
    <w:rsid w:val="00E32FF4"/>
    <w:rsid w:val="00E33380"/>
    <w:rsid w:val="00E343A4"/>
    <w:rsid w:val="00E3560D"/>
    <w:rsid w:val="00E4060E"/>
    <w:rsid w:val="00E42111"/>
    <w:rsid w:val="00E423C0"/>
    <w:rsid w:val="00E42AFE"/>
    <w:rsid w:val="00E42B47"/>
    <w:rsid w:val="00E42CAE"/>
    <w:rsid w:val="00E43B5F"/>
    <w:rsid w:val="00E44171"/>
    <w:rsid w:val="00E44377"/>
    <w:rsid w:val="00E45C07"/>
    <w:rsid w:val="00E45CFE"/>
    <w:rsid w:val="00E463FF"/>
    <w:rsid w:val="00E47054"/>
    <w:rsid w:val="00E471A3"/>
    <w:rsid w:val="00E52F33"/>
    <w:rsid w:val="00E5703B"/>
    <w:rsid w:val="00E57406"/>
    <w:rsid w:val="00E60AA7"/>
    <w:rsid w:val="00E62087"/>
    <w:rsid w:val="00E62C2F"/>
    <w:rsid w:val="00E63160"/>
    <w:rsid w:val="00E65A87"/>
    <w:rsid w:val="00E666D7"/>
    <w:rsid w:val="00E71EB7"/>
    <w:rsid w:val="00E72258"/>
    <w:rsid w:val="00E7258A"/>
    <w:rsid w:val="00E72B10"/>
    <w:rsid w:val="00E72C69"/>
    <w:rsid w:val="00E73D21"/>
    <w:rsid w:val="00E74179"/>
    <w:rsid w:val="00E759C6"/>
    <w:rsid w:val="00E76CE2"/>
    <w:rsid w:val="00E77BCA"/>
    <w:rsid w:val="00E80300"/>
    <w:rsid w:val="00E811FF"/>
    <w:rsid w:val="00E8680F"/>
    <w:rsid w:val="00E90F84"/>
    <w:rsid w:val="00E91C64"/>
    <w:rsid w:val="00E92BEF"/>
    <w:rsid w:val="00E96063"/>
    <w:rsid w:val="00EA006B"/>
    <w:rsid w:val="00EA1DDF"/>
    <w:rsid w:val="00EA2E44"/>
    <w:rsid w:val="00EA3C7D"/>
    <w:rsid w:val="00EA5216"/>
    <w:rsid w:val="00EA5F1D"/>
    <w:rsid w:val="00EA73C3"/>
    <w:rsid w:val="00EA7A95"/>
    <w:rsid w:val="00EB1BAB"/>
    <w:rsid w:val="00EB28F2"/>
    <w:rsid w:val="00EB3A0E"/>
    <w:rsid w:val="00EB4C97"/>
    <w:rsid w:val="00EB5FA6"/>
    <w:rsid w:val="00EB60F0"/>
    <w:rsid w:val="00EC39FE"/>
    <w:rsid w:val="00EC48C1"/>
    <w:rsid w:val="00EC51F8"/>
    <w:rsid w:val="00EC6334"/>
    <w:rsid w:val="00EC6C49"/>
    <w:rsid w:val="00EC6E48"/>
    <w:rsid w:val="00ED1F4A"/>
    <w:rsid w:val="00ED499D"/>
    <w:rsid w:val="00ED518A"/>
    <w:rsid w:val="00EE0FBE"/>
    <w:rsid w:val="00EE1520"/>
    <w:rsid w:val="00EE3014"/>
    <w:rsid w:val="00EE3024"/>
    <w:rsid w:val="00EE48EB"/>
    <w:rsid w:val="00EE5761"/>
    <w:rsid w:val="00EE59DC"/>
    <w:rsid w:val="00EF12A4"/>
    <w:rsid w:val="00EF252D"/>
    <w:rsid w:val="00EF2636"/>
    <w:rsid w:val="00EF4CA5"/>
    <w:rsid w:val="00EF7C03"/>
    <w:rsid w:val="00F01002"/>
    <w:rsid w:val="00F014CF"/>
    <w:rsid w:val="00F017D7"/>
    <w:rsid w:val="00F02541"/>
    <w:rsid w:val="00F05B36"/>
    <w:rsid w:val="00F06C94"/>
    <w:rsid w:val="00F10648"/>
    <w:rsid w:val="00F110E0"/>
    <w:rsid w:val="00F11C4C"/>
    <w:rsid w:val="00F122BA"/>
    <w:rsid w:val="00F1472A"/>
    <w:rsid w:val="00F14FE9"/>
    <w:rsid w:val="00F1595E"/>
    <w:rsid w:val="00F161A9"/>
    <w:rsid w:val="00F16875"/>
    <w:rsid w:val="00F16992"/>
    <w:rsid w:val="00F169AF"/>
    <w:rsid w:val="00F16AB0"/>
    <w:rsid w:val="00F20FC2"/>
    <w:rsid w:val="00F23B45"/>
    <w:rsid w:val="00F2443B"/>
    <w:rsid w:val="00F24DE5"/>
    <w:rsid w:val="00F26BB4"/>
    <w:rsid w:val="00F32B1C"/>
    <w:rsid w:val="00F32E5A"/>
    <w:rsid w:val="00F36E05"/>
    <w:rsid w:val="00F40DD4"/>
    <w:rsid w:val="00F45517"/>
    <w:rsid w:val="00F45F46"/>
    <w:rsid w:val="00F50925"/>
    <w:rsid w:val="00F51722"/>
    <w:rsid w:val="00F52099"/>
    <w:rsid w:val="00F5218C"/>
    <w:rsid w:val="00F53150"/>
    <w:rsid w:val="00F541B9"/>
    <w:rsid w:val="00F550CD"/>
    <w:rsid w:val="00F5593C"/>
    <w:rsid w:val="00F561F2"/>
    <w:rsid w:val="00F607F6"/>
    <w:rsid w:val="00F61D21"/>
    <w:rsid w:val="00F6300F"/>
    <w:rsid w:val="00F63B7D"/>
    <w:rsid w:val="00F6554F"/>
    <w:rsid w:val="00F67296"/>
    <w:rsid w:val="00F67595"/>
    <w:rsid w:val="00F764F2"/>
    <w:rsid w:val="00F76DDA"/>
    <w:rsid w:val="00F776A0"/>
    <w:rsid w:val="00F81138"/>
    <w:rsid w:val="00F814D7"/>
    <w:rsid w:val="00F85CDA"/>
    <w:rsid w:val="00F87219"/>
    <w:rsid w:val="00F91ECF"/>
    <w:rsid w:val="00F92B79"/>
    <w:rsid w:val="00F935A5"/>
    <w:rsid w:val="00F94316"/>
    <w:rsid w:val="00F94BC3"/>
    <w:rsid w:val="00F95023"/>
    <w:rsid w:val="00F971EA"/>
    <w:rsid w:val="00F97908"/>
    <w:rsid w:val="00F97EA1"/>
    <w:rsid w:val="00FA058D"/>
    <w:rsid w:val="00FA0E91"/>
    <w:rsid w:val="00FA1008"/>
    <w:rsid w:val="00FA1C3B"/>
    <w:rsid w:val="00FA3FF7"/>
    <w:rsid w:val="00FA4011"/>
    <w:rsid w:val="00FA5989"/>
    <w:rsid w:val="00FA6AB5"/>
    <w:rsid w:val="00FA7819"/>
    <w:rsid w:val="00FA7969"/>
    <w:rsid w:val="00FB0F1C"/>
    <w:rsid w:val="00FB218B"/>
    <w:rsid w:val="00FB2420"/>
    <w:rsid w:val="00FB27B5"/>
    <w:rsid w:val="00FB2B6D"/>
    <w:rsid w:val="00FB378F"/>
    <w:rsid w:val="00FB4110"/>
    <w:rsid w:val="00FB4BCE"/>
    <w:rsid w:val="00FB4E17"/>
    <w:rsid w:val="00FB70B4"/>
    <w:rsid w:val="00FB7372"/>
    <w:rsid w:val="00FC179F"/>
    <w:rsid w:val="00FC2AC1"/>
    <w:rsid w:val="00FC2EF3"/>
    <w:rsid w:val="00FC3689"/>
    <w:rsid w:val="00FC4417"/>
    <w:rsid w:val="00FC64DA"/>
    <w:rsid w:val="00FC74D0"/>
    <w:rsid w:val="00FD0205"/>
    <w:rsid w:val="00FD0CC7"/>
    <w:rsid w:val="00FD5BBA"/>
    <w:rsid w:val="00FD6EE5"/>
    <w:rsid w:val="00FE1248"/>
    <w:rsid w:val="00FE36F9"/>
    <w:rsid w:val="00FE3712"/>
    <w:rsid w:val="00FE7807"/>
    <w:rsid w:val="00FE7D76"/>
    <w:rsid w:val="00FF0F47"/>
    <w:rsid w:val="00FF10DB"/>
    <w:rsid w:val="00FF1A4F"/>
    <w:rsid w:val="00FF2208"/>
    <w:rsid w:val="00FF2432"/>
    <w:rsid w:val="00FF3915"/>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35" w:qFormat="1"/>
    <w:lsdException w:name="footnote reference" w:qFormat="1"/>
    <w:lsdException w:name="annotation reference"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17FF"/>
    <w:pPr>
      <w:spacing w:after="0" w:line="240" w:lineRule="auto"/>
    </w:pPr>
    <w:rPr>
      <w:rFonts w:ascii="Arial" w:eastAsia="Times New Roman" w:hAnsi="Arial" w:cs="Times New Roman"/>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nhideWhenUsed/>
    <w:qFormat/>
    <w:rsid w:val="00D51F37"/>
    <w:pPr>
      <w:keepNext/>
      <w:keepLines/>
      <w:spacing w:before="40"/>
      <w:outlineLvl w:val="2"/>
    </w:pPr>
    <w:rPr>
      <w:rFonts w:eastAsiaTheme="majorEastAsia" w:cstheme="majorBidi"/>
      <w:b/>
    </w:rPr>
  </w:style>
  <w:style w:type="paragraph" w:styleId="Naslov4">
    <w:name w:val="heading 4"/>
    <w:basedOn w:val="Navaden"/>
    <w:next w:val="Navaden"/>
    <w:link w:val="Naslov4Znak"/>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rsid w:val="00D51F37"/>
    <w:rPr>
      <w:rFonts w:ascii="Arial" w:eastAsiaTheme="majorEastAsia" w:hAnsi="Arial" w:cstheme="majorBidi"/>
      <w:b/>
      <w:szCs w:val="24"/>
      <w:lang w:val="en-US"/>
    </w:rPr>
  </w:style>
  <w:style w:type="character" w:styleId="Pripombasklic">
    <w:name w:val="annotation reference"/>
    <w:basedOn w:val="Privzetapisavaodstavka"/>
    <w:unhideWhenUsed/>
    <w:rsid w:val="00785C07"/>
    <w:rPr>
      <w:sz w:val="16"/>
      <w:szCs w:val="16"/>
    </w:rPr>
  </w:style>
  <w:style w:type="paragraph" w:styleId="Pripombabesedilo">
    <w:name w:val="annotation text"/>
    <w:basedOn w:val="Navaden"/>
    <w:link w:val="PripombabesediloZnak"/>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rsid w:val="00785C07"/>
    <w:rPr>
      <w:sz w:val="20"/>
      <w:szCs w:val="20"/>
    </w:rPr>
  </w:style>
  <w:style w:type="paragraph" w:styleId="Besedilooblaka">
    <w:name w:val="Balloon Text"/>
    <w:basedOn w:val="Navaden"/>
    <w:link w:val="BesedilooblakaZnak"/>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nhideWhenUsed/>
    <w:qFormat/>
    <w:rsid w:val="004427BA"/>
    <w:pPr>
      <w:tabs>
        <w:tab w:val="center" w:pos="4536"/>
        <w:tab w:val="right" w:pos="9072"/>
      </w:tabs>
    </w:pPr>
  </w:style>
  <w:style w:type="character" w:customStyle="1" w:styleId="GlavaZnak">
    <w:name w:val="Glava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cs="Arial"/>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eastAsia="Calibri"/>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eastAsiaTheme="minorHAnsi"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val="0"/>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val="0"/>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cs="Arial"/>
      <w:szCs w:val="22"/>
      <w:lang w:val="sl-SI" w:eastAsia="sl-SI"/>
    </w:rPr>
  </w:style>
  <w:style w:type="paragraph" w:customStyle="1" w:styleId="alineazaodstavkom1">
    <w:name w:val="alineazaodstavkom1"/>
    <w:basedOn w:val="Navaden"/>
    <w:rsid w:val="00D524EB"/>
    <w:pPr>
      <w:ind w:left="425" w:hanging="425"/>
      <w:jc w:val="both"/>
    </w:pPr>
    <w:rPr>
      <w:rFonts w:cs="Arial"/>
      <w:szCs w:val="22"/>
      <w:lang w:val="sl-SI" w:eastAsia="sl-SI"/>
    </w:rPr>
  </w:style>
  <w:style w:type="paragraph" w:customStyle="1" w:styleId="rkovnatokazaodstavkom1">
    <w:name w:val="rkovnatokazaodstavkom1"/>
    <w:basedOn w:val="Navaden"/>
    <w:rsid w:val="000A7CA0"/>
    <w:pPr>
      <w:ind w:left="425" w:hanging="425"/>
      <w:jc w:val="both"/>
    </w:pPr>
    <w:rPr>
      <w:rFonts w:cs="Arial"/>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cs="Arial"/>
      <w:b/>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cs="Arial"/>
      <w:b/>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cs="Arial"/>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styleId="Zgradbadokumenta">
    <w:name w:val="Document Map"/>
    <w:basedOn w:val="Navaden"/>
    <w:link w:val="ZgradbadokumentaZnak"/>
    <w:rsid w:val="00FA7969"/>
    <w:pPr>
      <w:spacing w:line="260" w:lineRule="atLeast"/>
      <w:jc w:val="both"/>
    </w:pPr>
    <w:rPr>
      <w:rFonts w:ascii="Tahoma" w:hAnsi="Tahoma" w:cs="Tahoma"/>
      <w:sz w:val="16"/>
      <w:szCs w:val="16"/>
      <w:lang w:val="sl-SI"/>
    </w:rPr>
  </w:style>
  <w:style w:type="character" w:customStyle="1" w:styleId="ZgradbadokumentaZnak">
    <w:name w:val="Zgradba dokumenta Znak"/>
    <w:basedOn w:val="Privzetapisavaodstavka"/>
    <w:link w:val="Zgradbadokumenta"/>
    <w:rsid w:val="00FA7969"/>
    <w:rPr>
      <w:rFonts w:ascii="Tahoma" w:eastAsia="Times New Roman" w:hAnsi="Tahoma" w:cs="Tahoma"/>
      <w:sz w:val="16"/>
      <w:szCs w:val="16"/>
    </w:rPr>
  </w:style>
  <w:style w:type="paragraph" w:customStyle="1" w:styleId="ZADEVA">
    <w:name w:val="ZADEVA"/>
    <w:basedOn w:val="Navaden"/>
    <w:qFormat/>
    <w:rsid w:val="00FA7969"/>
    <w:pPr>
      <w:tabs>
        <w:tab w:val="left" w:pos="1701"/>
      </w:tabs>
      <w:spacing w:line="260" w:lineRule="atLeast"/>
      <w:ind w:left="1701" w:hanging="1701"/>
      <w:jc w:val="both"/>
    </w:pPr>
    <w:rPr>
      <w:b/>
      <w:sz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35" w:qFormat="1"/>
    <w:lsdException w:name="footnote reference" w:qFormat="1"/>
    <w:lsdException w:name="annotation reference"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17FF"/>
    <w:pPr>
      <w:spacing w:after="0" w:line="240" w:lineRule="auto"/>
    </w:pPr>
    <w:rPr>
      <w:rFonts w:ascii="Arial" w:eastAsia="Times New Roman" w:hAnsi="Arial" w:cs="Times New Roman"/>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nhideWhenUsed/>
    <w:qFormat/>
    <w:rsid w:val="00D51F37"/>
    <w:pPr>
      <w:keepNext/>
      <w:keepLines/>
      <w:spacing w:before="40"/>
      <w:outlineLvl w:val="2"/>
    </w:pPr>
    <w:rPr>
      <w:rFonts w:eastAsiaTheme="majorEastAsia" w:cstheme="majorBidi"/>
      <w:b/>
    </w:rPr>
  </w:style>
  <w:style w:type="paragraph" w:styleId="Naslov4">
    <w:name w:val="heading 4"/>
    <w:basedOn w:val="Navaden"/>
    <w:next w:val="Navaden"/>
    <w:link w:val="Naslov4Znak"/>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rsid w:val="00D51F37"/>
    <w:rPr>
      <w:rFonts w:ascii="Arial" w:eastAsiaTheme="majorEastAsia" w:hAnsi="Arial" w:cstheme="majorBidi"/>
      <w:b/>
      <w:szCs w:val="24"/>
      <w:lang w:val="en-US"/>
    </w:rPr>
  </w:style>
  <w:style w:type="character" w:styleId="Pripombasklic">
    <w:name w:val="annotation reference"/>
    <w:basedOn w:val="Privzetapisavaodstavka"/>
    <w:unhideWhenUsed/>
    <w:rsid w:val="00785C07"/>
    <w:rPr>
      <w:sz w:val="16"/>
      <w:szCs w:val="16"/>
    </w:rPr>
  </w:style>
  <w:style w:type="paragraph" w:styleId="Pripombabesedilo">
    <w:name w:val="annotation text"/>
    <w:basedOn w:val="Navaden"/>
    <w:link w:val="PripombabesediloZnak"/>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rsid w:val="00785C07"/>
    <w:rPr>
      <w:sz w:val="20"/>
      <w:szCs w:val="20"/>
    </w:rPr>
  </w:style>
  <w:style w:type="paragraph" w:styleId="Besedilooblaka">
    <w:name w:val="Balloon Text"/>
    <w:basedOn w:val="Navaden"/>
    <w:link w:val="BesedilooblakaZnak"/>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nhideWhenUsed/>
    <w:qFormat/>
    <w:rsid w:val="004427BA"/>
    <w:pPr>
      <w:tabs>
        <w:tab w:val="center" w:pos="4536"/>
        <w:tab w:val="right" w:pos="9072"/>
      </w:tabs>
    </w:pPr>
  </w:style>
  <w:style w:type="character" w:customStyle="1" w:styleId="GlavaZnak">
    <w:name w:val="Glava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cs="Arial"/>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eastAsia="Calibri"/>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eastAsiaTheme="minorHAnsi"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val="0"/>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val="0"/>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cs="Arial"/>
      <w:szCs w:val="22"/>
      <w:lang w:val="sl-SI" w:eastAsia="sl-SI"/>
    </w:rPr>
  </w:style>
  <w:style w:type="paragraph" w:customStyle="1" w:styleId="alineazaodstavkom1">
    <w:name w:val="alineazaodstavkom1"/>
    <w:basedOn w:val="Navaden"/>
    <w:rsid w:val="00D524EB"/>
    <w:pPr>
      <w:ind w:left="425" w:hanging="425"/>
      <w:jc w:val="both"/>
    </w:pPr>
    <w:rPr>
      <w:rFonts w:cs="Arial"/>
      <w:szCs w:val="22"/>
      <w:lang w:val="sl-SI" w:eastAsia="sl-SI"/>
    </w:rPr>
  </w:style>
  <w:style w:type="paragraph" w:customStyle="1" w:styleId="rkovnatokazaodstavkom1">
    <w:name w:val="rkovnatokazaodstavkom1"/>
    <w:basedOn w:val="Navaden"/>
    <w:rsid w:val="000A7CA0"/>
    <w:pPr>
      <w:ind w:left="425" w:hanging="425"/>
      <w:jc w:val="both"/>
    </w:pPr>
    <w:rPr>
      <w:rFonts w:cs="Arial"/>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cs="Arial"/>
      <w:b/>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cs="Arial"/>
      <w:b/>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cs="Arial"/>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styleId="Zgradbadokumenta">
    <w:name w:val="Document Map"/>
    <w:basedOn w:val="Navaden"/>
    <w:link w:val="ZgradbadokumentaZnak"/>
    <w:rsid w:val="00FA7969"/>
    <w:pPr>
      <w:spacing w:line="260" w:lineRule="atLeast"/>
      <w:jc w:val="both"/>
    </w:pPr>
    <w:rPr>
      <w:rFonts w:ascii="Tahoma" w:hAnsi="Tahoma" w:cs="Tahoma"/>
      <w:sz w:val="16"/>
      <w:szCs w:val="16"/>
      <w:lang w:val="sl-SI"/>
    </w:rPr>
  </w:style>
  <w:style w:type="character" w:customStyle="1" w:styleId="ZgradbadokumentaZnak">
    <w:name w:val="Zgradba dokumenta Znak"/>
    <w:basedOn w:val="Privzetapisavaodstavka"/>
    <w:link w:val="Zgradbadokumenta"/>
    <w:rsid w:val="00FA7969"/>
    <w:rPr>
      <w:rFonts w:ascii="Tahoma" w:eastAsia="Times New Roman" w:hAnsi="Tahoma" w:cs="Tahoma"/>
      <w:sz w:val="16"/>
      <w:szCs w:val="16"/>
    </w:rPr>
  </w:style>
  <w:style w:type="paragraph" w:customStyle="1" w:styleId="ZADEVA">
    <w:name w:val="ZADEVA"/>
    <w:basedOn w:val="Navaden"/>
    <w:qFormat/>
    <w:rsid w:val="00FA7969"/>
    <w:pPr>
      <w:tabs>
        <w:tab w:val="left" w:pos="1701"/>
      </w:tabs>
      <w:spacing w:line="260" w:lineRule="atLeast"/>
      <w:ind w:left="1701" w:hanging="1701"/>
      <w:jc w:val="both"/>
    </w:pPr>
    <w:rPr>
      <w:b/>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321666924">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698471">
      <w:bodyDiv w:val="1"/>
      <w:marLeft w:val="0"/>
      <w:marRight w:val="0"/>
      <w:marTop w:val="0"/>
      <w:marBottom w:val="0"/>
      <w:divBdr>
        <w:top w:val="none" w:sz="0" w:space="0" w:color="auto"/>
        <w:left w:val="none" w:sz="0" w:space="0" w:color="auto"/>
        <w:bottom w:val="none" w:sz="0" w:space="0" w:color="auto"/>
        <w:right w:val="none" w:sz="0" w:space="0" w:color="auto"/>
      </w:divBdr>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65F318-B66D-4AAE-8E9E-AD0B121C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6274</Words>
  <Characters>35765</Characters>
  <Application>Microsoft Office Word</Application>
  <DocSecurity>0</DocSecurity>
  <Lines>298</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41956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 Korun</dc:creator>
  <cp:lastModifiedBy> Alja Stravs</cp:lastModifiedBy>
  <cp:revision>9</cp:revision>
  <cp:lastPrinted>2019-01-18T11:48:00Z</cp:lastPrinted>
  <dcterms:created xsi:type="dcterms:W3CDTF">2019-09-16T11:38:00Z</dcterms:created>
  <dcterms:modified xsi:type="dcterms:W3CDTF">2019-09-18T14:08:00Z</dcterms:modified>
</cp:coreProperties>
</file>