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32" w:rsidRDefault="00372732" w:rsidP="00372732">
      <w:pPr>
        <w:pStyle w:val="Glava"/>
        <w:tabs>
          <w:tab w:val="clear" w:pos="4320"/>
          <w:tab w:val="left" w:pos="5112"/>
        </w:tabs>
        <w:spacing w:before="120" w:line="240" w:lineRule="exact"/>
        <w:rPr>
          <w:rFonts w:cs="Arial"/>
          <w:sz w:val="16"/>
        </w:rPr>
      </w:pPr>
      <w:bookmarkStart w:id="0" w:name="_GoBack"/>
      <w:bookmarkEnd w:id="0"/>
    </w:p>
    <w:p w:rsidR="00372732" w:rsidRDefault="00372732" w:rsidP="00372732">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372732" w:rsidRDefault="00372732" w:rsidP="00372732">
      <w:pPr>
        <w:pStyle w:val="Glava"/>
        <w:tabs>
          <w:tab w:val="clear" w:pos="4320"/>
          <w:tab w:val="left" w:pos="5112"/>
        </w:tabs>
        <w:spacing w:line="240" w:lineRule="exact"/>
        <w:rPr>
          <w:rFonts w:cs="Arial"/>
          <w:sz w:val="16"/>
        </w:rPr>
      </w:pPr>
      <w:r>
        <w:rPr>
          <w:rFonts w:cs="Arial"/>
          <w:sz w:val="16"/>
        </w:rPr>
        <w:tab/>
        <w:t>F: +386 1 478 1607</w:t>
      </w:r>
    </w:p>
    <w:p w:rsidR="00372732" w:rsidRDefault="00372732" w:rsidP="00372732">
      <w:pPr>
        <w:pStyle w:val="Glava"/>
        <w:tabs>
          <w:tab w:val="clear" w:pos="4320"/>
          <w:tab w:val="left" w:pos="5112"/>
        </w:tabs>
        <w:spacing w:line="240" w:lineRule="exact"/>
        <w:rPr>
          <w:rFonts w:cs="Arial"/>
          <w:sz w:val="16"/>
        </w:rPr>
      </w:pPr>
      <w:r>
        <w:rPr>
          <w:rFonts w:cs="Arial"/>
          <w:sz w:val="16"/>
        </w:rPr>
        <w:tab/>
        <w:t>E: gp.gs@gov.si</w:t>
      </w:r>
    </w:p>
    <w:p w:rsidR="00372732" w:rsidRDefault="00372732" w:rsidP="00372732">
      <w:pPr>
        <w:pStyle w:val="Glava"/>
        <w:tabs>
          <w:tab w:val="clear" w:pos="4320"/>
          <w:tab w:val="left" w:pos="5112"/>
        </w:tabs>
        <w:spacing w:line="240" w:lineRule="exact"/>
        <w:rPr>
          <w:rFonts w:cs="Arial"/>
          <w:sz w:val="16"/>
        </w:rPr>
      </w:pPr>
      <w:r>
        <w:rPr>
          <w:rFonts w:cs="Arial"/>
          <w:sz w:val="16"/>
        </w:rPr>
        <w:tab/>
        <w:t>http://www.vlada.si/</w:t>
      </w:r>
    </w:p>
    <w:p w:rsidR="00372732" w:rsidRDefault="00372732"/>
    <w:p w:rsidR="00372732" w:rsidRPr="002760DC" w:rsidRDefault="00372732" w:rsidP="00372732">
      <w:pPr>
        <w:pStyle w:val="datumtevilka"/>
        <w:rPr>
          <w:lang w:val="sl-SI"/>
        </w:rPr>
      </w:pPr>
      <w:r w:rsidRPr="002760DC">
        <w:rPr>
          <w:lang w:val="sl-SI"/>
        </w:rPr>
        <w:t xml:space="preserve">Številka: </w:t>
      </w:r>
      <w:r w:rsidRPr="002760DC">
        <w:rPr>
          <w:lang w:val="sl-SI"/>
        </w:rPr>
        <w:tab/>
      </w:r>
      <w:r>
        <w:rPr>
          <w:rFonts w:cs="Arial"/>
          <w:color w:val="000000"/>
          <w:lang w:val="sl-SI"/>
        </w:rPr>
        <w:t>00104-308/2018/5</w:t>
      </w:r>
    </w:p>
    <w:p w:rsidR="00372732" w:rsidRPr="002760DC" w:rsidRDefault="00372732" w:rsidP="00372732">
      <w:pPr>
        <w:pStyle w:val="datumtevilka"/>
        <w:rPr>
          <w:lang w:val="sl-SI"/>
        </w:rPr>
      </w:pPr>
      <w:r>
        <w:rPr>
          <w:lang w:val="sl-SI"/>
        </w:rPr>
        <w:t>Datum:</w:t>
      </w:r>
      <w:r w:rsidRPr="002760DC">
        <w:rPr>
          <w:lang w:val="sl-SI"/>
        </w:rPr>
        <w:tab/>
      </w:r>
      <w:r>
        <w:rPr>
          <w:rFonts w:cs="Arial"/>
          <w:color w:val="000000"/>
          <w:lang w:eastAsia="sl-SI"/>
        </w:rPr>
        <w:t>10. 1. 2019</w:t>
      </w:r>
      <w:r w:rsidRPr="002760DC">
        <w:rPr>
          <w:lang w:val="sl-SI"/>
        </w:rPr>
        <w:t xml:space="preserve"> </w:t>
      </w:r>
    </w:p>
    <w:p w:rsidR="00372732" w:rsidRPr="002760DC" w:rsidRDefault="00372732" w:rsidP="00372732"/>
    <w:p w:rsidR="00372732" w:rsidRDefault="00372732" w:rsidP="00372732">
      <w:pPr>
        <w:autoSpaceDE w:val="0"/>
        <w:autoSpaceDN w:val="0"/>
        <w:adjustRightInd w:val="0"/>
        <w:rPr>
          <w:rFonts w:cs="Arial"/>
          <w:color w:val="000000"/>
          <w:szCs w:val="20"/>
        </w:rPr>
      </w:pPr>
    </w:p>
    <w:p w:rsidR="00372732" w:rsidRPr="00372732" w:rsidRDefault="00372732" w:rsidP="00372732">
      <w:pPr>
        <w:autoSpaceDE w:val="0"/>
        <w:autoSpaceDN w:val="0"/>
        <w:adjustRightInd w:val="0"/>
        <w:jc w:val="center"/>
        <w:rPr>
          <w:rFonts w:cs="Arial"/>
          <w:b/>
          <w:color w:val="000000"/>
          <w:szCs w:val="20"/>
        </w:rPr>
      </w:pPr>
      <w:r w:rsidRPr="00372732">
        <w:rPr>
          <w:rFonts w:cs="Arial"/>
          <w:b/>
          <w:color w:val="000000"/>
          <w:szCs w:val="20"/>
        </w:rPr>
        <w:t xml:space="preserve">Odgovor na poslansko vprašanje mag. Dejana </w:t>
      </w:r>
      <w:proofErr w:type="spellStart"/>
      <w:r w:rsidRPr="00372732">
        <w:rPr>
          <w:rFonts w:cs="Arial"/>
          <w:b/>
          <w:color w:val="000000"/>
          <w:szCs w:val="20"/>
        </w:rPr>
        <w:t>Kaloha</w:t>
      </w:r>
      <w:proofErr w:type="spellEnd"/>
      <w:r w:rsidRPr="00372732">
        <w:rPr>
          <w:rFonts w:cs="Arial"/>
          <w:b/>
          <w:color w:val="000000"/>
          <w:szCs w:val="20"/>
        </w:rPr>
        <w:t xml:space="preserve"> v zvezi z dovoljenji za prebivanje</w:t>
      </w:r>
    </w:p>
    <w:p w:rsidR="00372732" w:rsidRDefault="00372732" w:rsidP="00372732">
      <w:pPr>
        <w:autoSpaceDE w:val="0"/>
        <w:autoSpaceDN w:val="0"/>
        <w:adjustRightInd w:val="0"/>
        <w:jc w:val="both"/>
        <w:rPr>
          <w:rFonts w:cs="Arial"/>
          <w:color w:val="000000"/>
          <w:szCs w:val="20"/>
          <w:lang w:eastAsia="sl-SI"/>
        </w:rPr>
      </w:pPr>
    </w:p>
    <w:tbl>
      <w:tblPr>
        <w:tblW w:w="0" w:type="auto"/>
        <w:tblLook w:val="04A0" w:firstRow="1" w:lastRow="0" w:firstColumn="1" w:lastColumn="0" w:noHBand="0" w:noVBand="1"/>
      </w:tblPr>
      <w:tblGrid>
        <w:gridCol w:w="9072"/>
      </w:tblGrid>
      <w:tr w:rsidR="00E83FA8" w:rsidRPr="003F1703" w:rsidTr="00437475">
        <w:tc>
          <w:tcPr>
            <w:tcW w:w="9072" w:type="dxa"/>
          </w:tcPr>
          <w:p w:rsidR="00E83FA8" w:rsidRDefault="00E83FA8" w:rsidP="00F90375">
            <w:pPr>
              <w:pStyle w:val="Alineazaodstavkom"/>
              <w:numPr>
                <w:ilvl w:val="0"/>
                <w:numId w:val="0"/>
              </w:numPr>
              <w:spacing w:line="260" w:lineRule="exact"/>
              <w:rPr>
                <w:sz w:val="20"/>
                <w:szCs w:val="20"/>
              </w:rPr>
            </w:pPr>
          </w:p>
          <w:p w:rsidR="00E83FA8" w:rsidRDefault="00E83FA8" w:rsidP="00F90375">
            <w:pPr>
              <w:pStyle w:val="Alineazaodstavkom"/>
              <w:numPr>
                <w:ilvl w:val="0"/>
                <w:numId w:val="0"/>
              </w:numPr>
              <w:spacing w:line="260" w:lineRule="exact"/>
              <w:rPr>
                <w:sz w:val="20"/>
                <w:szCs w:val="20"/>
              </w:rPr>
            </w:pPr>
            <w:r>
              <w:rPr>
                <w:sz w:val="20"/>
                <w:szCs w:val="20"/>
              </w:rPr>
              <w:t xml:space="preserve">Poslanec Državnega zbora Republike Slovenije </w:t>
            </w:r>
            <w:r w:rsidR="00437475">
              <w:rPr>
                <w:sz w:val="20"/>
                <w:szCs w:val="20"/>
              </w:rPr>
              <w:t xml:space="preserve">mag. Dejan </w:t>
            </w:r>
            <w:proofErr w:type="spellStart"/>
            <w:r w:rsidR="00437475">
              <w:rPr>
                <w:sz w:val="20"/>
                <w:szCs w:val="20"/>
              </w:rPr>
              <w:t>Kaloh</w:t>
            </w:r>
            <w:proofErr w:type="spellEnd"/>
            <w:r w:rsidR="00437475">
              <w:rPr>
                <w:sz w:val="20"/>
                <w:szCs w:val="20"/>
              </w:rPr>
              <w:t xml:space="preserve"> je dne 2</w:t>
            </w:r>
            <w:r>
              <w:rPr>
                <w:sz w:val="20"/>
                <w:szCs w:val="20"/>
              </w:rPr>
              <w:t xml:space="preserve">2. 11. 2018 na Vlado Republike Slovenije naslovil pisno poslansko vprašanje v zvezi </w:t>
            </w:r>
            <w:r w:rsidR="00437475">
              <w:rPr>
                <w:sz w:val="20"/>
                <w:szCs w:val="20"/>
              </w:rPr>
              <w:t>dovoljenji za prebivanje</w:t>
            </w:r>
            <w:r>
              <w:rPr>
                <w:sz w:val="20"/>
                <w:szCs w:val="20"/>
              </w:rPr>
              <w:t xml:space="preserve">. S tem v zvezi je Vladi Republike Slovenije postavil </w:t>
            </w:r>
            <w:r w:rsidR="00D133EE">
              <w:rPr>
                <w:sz w:val="20"/>
                <w:szCs w:val="20"/>
              </w:rPr>
              <w:t>konkretna vprašanja.</w:t>
            </w:r>
            <w:r>
              <w:rPr>
                <w:sz w:val="20"/>
                <w:szCs w:val="20"/>
              </w:rPr>
              <w:t xml:space="preserve"> </w:t>
            </w:r>
          </w:p>
          <w:p w:rsidR="00D133EE" w:rsidRDefault="00D133EE" w:rsidP="00437475">
            <w:pPr>
              <w:pStyle w:val="Alineazaodstavkom"/>
              <w:numPr>
                <w:ilvl w:val="0"/>
                <w:numId w:val="0"/>
              </w:numPr>
              <w:spacing w:line="260" w:lineRule="exact"/>
              <w:rPr>
                <w:b/>
                <w:sz w:val="20"/>
                <w:szCs w:val="20"/>
              </w:rPr>
            </w:pPr>
          </w:p>
          <w:p w:rsidR="00D133EE" w:rsidRDefault="00D133EE" w:rsidP="00437475">
            <w:pPr>
              <w:pStyle w:val="Alineazaodstavkom"/>
              <w:numPr>
                <w:ilvl w:val="0"/>
                <w:numId w:val="0"/>
              </w:numPr>
              <w:spacing w:line="260" w:lineRule="exact"/>
              <w:rPr>
                <w:b/>
                <w:sz w:val="20"/>
                <w:szCs w:val="20"/>
              </w:rPr>
            </w:pPr>
          </w:p>
          <w:p w:rsidR="00D133EE" w:rsidRPr="00D133EE" w:rsidRDefault="00D133EE" w:rsidP="00437475">
            <w:pPr>
              <w:pStyle w:val="Alineazaodstavkom"/>
              <w:numPr>
                <w:ilvl w:val="0"/>
                <w:numId w:val="0"/>
              </w:numPr>
              <w:spacing w:line="260" w:lineRule="exact"/>
              <w:rPr>
                <w:b/>
                <w:sz w:val="20"/>
                <w:szCs w:val="20"/>
              </w:rPr>
            </w:pPr>
            <w:r w:rsidRPr="00D133EE">
              <w:rPr>
                <w:b/>
                <w:sz w:val="20"/>
                <w:szCs w:val="20"/>
              </w:rPr>
              <w:t>Vlada Republike Slovenije na postavljena konkretna vprašanja odgovarja oziroma pojasnjuje</w:t>
            </w:r>
            <w:r>
              <w:rPr>
                <w:b/>
                <w:sz w:val="20"/>
                <w:szCs w:val="20"/>
              </w:rPr>
              <w:t>:</w:t>
            </w:r>
          </w:p>
          <w:p w:rsidR="00D133EE" w:rsidRDefault="00D133EE" w:rsidP="00437475">
            <w:pPr>
              <w:pStyle w:val="Alineazaodstavkom"/>
              <w:numPr>
                <w:ilvl w:val="0"/>
                <w:numId w:val="0"/>
              </w:numPr>
              <w:spacing w:line="260" w:lineRule="exact"/>
              <w:rPr>
                <w:sz w:val="20"/>
                <w:szCs w:val="20"/>
              </w:rPr>
            </w:pPr>
          </w:p>
          <w:p w:rsidR="00D133EE" w:rsidRDefault="00D133EE" w:rsidP="00D133EE">
            <w:pPr>
              <w:pStyle w:val="Alineazaodstavkom"/>
              <w:numPr>
                <w:ilvl w:val="0"/>
                <w:numId w:val="0"/>
              </w:numPr>
              <w:spacing w:line="260" w:lineRule="exact"/>
              <w:rPr>
                <w:sz w:val="20"/>
                <w:szCs w:val="20"/>
              </w:rPr>
            </w:pPr>
          </w:p>
          <w:p w:rsidR="00D133EE" w:rsidRPr="00D133EE" w:rsidRDefault="00D133EE" w:rsidP="00D133EE">
            <w:pPr>
              <w:pStyle w:val="Alineazaodstavkom"/>
              <w:numPr>
                <w:ilvl w:val="0"/>
                <w:numId w:val="12"/>
              </w:numPr>
              <w:spacing w:line="260" w:lineRule="exact"/>
              <w:rPr>
                <w:b/>
                <w:sz w:val="20"/>
                <w:szCs w:val="20"/>
              </w:rPr>
            </w:pPr>
            <w:r w:rsidRPr="00D133EE">
              <w:rPr>
                <w:b/>
                <w:sz w:val="20"/>
                <w:szCs w:val="20"/>
              </w:rPr>
              <w:t>Koliko tujcev prebiva v Republiki Sloveniji na podlagi dovoljenja za stalno prebivanje? Prosim za podatek po upravnih enotah.</w:t>
            </w:r>
          </w:p>
          <w:p w:rsidR="00D133EE" w:rsidRDefault="00D133EE" w:rsidP="00D133EE">
            <w:pPr>
              <w:pStyle w:val="Alineazaodstavkom"/>
              <w:numPr>
                <w:ilvl w:val="0"/>
                <w:numId w:val="0"/>
              </w:numPr>
              <w:spacing w:line="260" w:lineRule="exact"/>
              <w:rPr>
                <w:sz w:val="20"/>
                <w:szCs w:val="20"/>
              </w:rPr>
            </w:pPr>
          </w:p>
          <w:p w:rsidR="00D133EE" w:rsidRPr="00437475" w:rsidRDefault="00D133EE" w:rsidP="00D133EE">
            <w:pPr>
              <w:pStyle w:val="Alineazaodstavkom"/>
              <w:numPr>
                <w:ilvl w:val="0"/>
                <w:numId w:val="12"/>
              </w:numPr>
              <w:spacing w:line="260" w:lineRule="exact"/>
              <w:rPr>
                <w:szCs w:val="20"/>
              </w:rPr>
            </w:pPr>
            <w:r w:rsidRPr="00D133EE">
              <w:rPr>
                <w:b/>
                <w:sz w:val="20"/>
                <w:szCs w:val="20"/>
              </w:rPr>
              <w:t>Koliko vlog za dovoljenje za stalno prebivanje so prejele upravne enote od 1. 1. 2012 do 20. 11. 2018? Prosim za navedbo podatkov po mesecih in ločeno po upravnih enotah</w:t>
            </w:r>
            <w:r>
              <w:rPr>
                <w:sz w:val="20"/>
                <w:szCs w:val="20"/>
              </w:rPr>
              <w:t>.</w:t>
            </w:r>
          </w:p>
          <w:p w:rsidR="00D133EE" w:rsidRDefault="00D133EE" w:rsidP="00D133EE">
            <w:pPr>
              <w:pStyle w:val="Odstavekseznama"/>
              <w:rPr>
                <w:szCs w:val="20"/>
              </w:rPr>
            </w:pPr>
          </w:p>
          <w:p w:rsidR="0096581A" w:rsidRDefault="0096581A" w:rsidP="00D133EE">
            <w:pPr>
              <w:pStyle w:val="Alineazaodstavkom"/>
              <w:numPr>
                <w:ilvl w:val="0"/>
                <w:numId w:val="0"/>
              </w:numPr>
              <w:spacing w:line="260" w:lineRule="exact"/>
              <w:rPr>
                <w:sz w:val="20"/>
                <w:szCs w:val="20"/>
              </w:rPr>
            </w:pPr>
            <w:r>
              <w:rPr>
                <w:sz w:val="20"/>
                <w:szCs w:val="20"/>
              </w:rPr>
              <w:t xml:space="preserve">V priloženih tabelah </w:t>
            </w:r>
            <w:r w:rsidR="00174B3B">
              <w:rPr>
                <w:sz w:val="20"/>
                <w:szCs w:val="20"/>
              </w:rPr>
              <w:t xml:space="preserve">so predstavljeni </w:t>
            </w:r>
            <w:r>
              <w:rPr>
                <w:sz w:val="20"/>
                <w:szCs w:val="20"/>
              </w:rPr>
              <w:t>podatk</w:t>
            </w:r>
            <w:r w:rsidR="00174B3B">
              <w:rPr>
                <w:sz w:val="20"/>
                <w:szCs w:val="20"/>
              </w:rPr>
              <w:t>i</w:t>
            </w:r>
            <w:r>
              <w:rPr>
                <w:sz w:val="20"/>
                <w:szCs w:val="20"/>
              </w:rPr>
              <w:t xml:space="preserve"> o:</w:t>
            </w:r>
          </w:p>
          <w:p w:rsidR="0096581A" w:rsidRDefault="0096581A" w:rsidP="00174B3B">
            <w:pPr>
              <w:pStyle w:val="Alineazaodstavkom"/>
              <w:numPr>
                <w:ilvl w:val="1"/>
                <w:numId w:val="5"/>
              </w:numPr>
              <w:spacing w:line="260" w:lineRule="exact"/>
              <w:rPr>
                <w:sz w:val="20"/>
                <w:szCs w:val="20"/>
              </w:rPr>
            </w:pPr>
            <w:r>
              <w:rPr>
                <w:sz w:val="20"/>
                <w:szCs w:val="20"/>
              </w:rPr>
              <w:t>številu tujcev v Republiki Sloveniji, ki imajo na dan 31. 10. 2018 veljavno dovoljenje za stalno prebivanje, po upravni enotah</w:t>
            </w:r>
            <w:r w:rsidR="00174B3B">
              <w:rPr>
                <w:sz w:val="20"/>
                <w:szCs w:val="20"/>
              </w:rPr>
              <w:t xml:space="preserve"> in</w:t>
            </w:r>
          </w:p>
          <w:p w:rsidR="00437475" w:rsidRDefault="0096581A" w:rsidP="00174B3B">
            <w:pPr>
              <w:pStyle w:val="Alineazaodstavkom"/>
              <w:numPr>
                <w:ilvl w:val="1"/>
                <w:numId w:val="5"/>
              </w:numPr>
              <w:spacing w:line="260" w:lineRule="exact"/>
              <w:rPr>
                <w:sz w:val="20"/>
                <w:szCs w:val="20"/>
              </w:rPr>
            </w:pPr>
            <w:r>
              <w:rPr>
                <w:sz w:val="20"/>
                <w:szCs w:val="20"/>
              </w:rPr>
              <w:t>številu vlog za izdajo dovoljenja za stalno prebivanje po mesecih in po upravnih enotah za obdobje od 1. 1. 2012 do 31. 10. 2018.</w:t>
            </w:r>
          </w:p>
          <w:p w:rsidR="00064C8E" w:rsidRDefault="00064C8E" w:rsidP="00437475">
            <w:pPr>
              <w:pStyle w:val="Alineazaodstavkom"/>
              <w:numPr>
                <w:ilvl w:val="0"/>
                <w:numId w:val="0"/>
              </w:numPr>
              <w:spacing w:line="260" w:lineRule="exact"/>
              <w:rPr>
                <w:sz w:val="20"/>
                <w:szCs w:val="20"/>
              </w:rPr>
            </w:pPr>
          </w:p>
          <w:p w:rsidR="00D133EE" w:rsidRPr="00174B3B" w:rsidRDefault="00D133EE" w:rsidP="00D133EE">
            <w:pPr>
              <w:pStyle w:val="Alineazaodstavkom"/>
              <w:numPr>
                <w:ilvl w:val="0"/>
                <w:numId w:val="12"/>
              </w:numPr>
              <w:spacing w:line="260" w:lineRule="exact"/>
              <w:rPr>
                <w:b/>
                <w:sz w:val="20"/>
                <w:szCs w:val="20"/>
              </w:rPr>
            </w:pPr>
            <w:r w:rsidRPr="00174B3B">
              <w:rPr>
                <w:b/>
                <w:sz w:val="20"/>
                <w:szCs w:val="20"/>
              </w:rPr>
              <w:t>Kako pristojni organi Republike Slovenije dejansko preverjajo, ali ti tujci dejansko prebivajo v Republiki Sloveniji, ali bivajo v kateri od drugih držav EU, ali morda celo prebivajo v matični državi?</w:t>
            </w:r>
          </w:p>
          <w:p w:rsidR="00437475" w:rsidRDefault="00437475" w:rsidP="00437475">
            <w:pPr>
              <w:pStyle w:val="Alineazaodstavkom"/>
              <w:numPr>
                <w:ilvl w:val="0"/>
                <w:numId w:val="0"/>
              </w:numPr>
              <w:spacing w:line="260" w:lineRule="exact"/>
              <w:rPr>
                <w:sz w:val="20"/>
                <w:szCs w:val="20"/>
              </w:rPr>
            </w:pPr>
          </w:p>
          <w:p w:rsidR="00437475" w:rsidRDefault="00437475" w:rsidP="00437475">
            <w:pPr>
              <w:pStyle w:val="Alineazaodstavkom"/>
              <w:numPr>
                <w:ilvl w:val="0"/>
                <w:numId w:val="0"/>
              </w:numPr>
              <w:spacing w:line="260" w:lineRule="exact"/>
              <w:rPr>
                <w:sz w:val="20"/>
                <w:szCs w:val="20"/>
              </w:rPr>
            </w:pPr>
            <w:r w:rsidRPr="00492F5C">
              <w:rPr>
                <w:sz w:val="20"/>
                <w:szCs w:val="20"/>
              </w:rPr>
              <w:t xml:space="preserve">Zakon o tujcih (Uradni list RS, št. </w:t>
            </w:r>
            <w:hyperlink r:id="rId9" w:tgtFrame="_blank" w:tooltip="Zakon o tujcih (uradno prečiščeno besedilo)" w:history="1">
              <w:r w:rsidRPr="00492F5C">
                <w:rPr>
                  <w:rStyle w:val="Hiperpovezava"/>
                  <w:color w:val="auto"/>
                  <w:sz w:val="20"/>
                  <w:szCs w:val="20"/>
                  <w:u w:val="none"/>
                </w:rPr>
                <w:t>1/18</w:t>
              </w:r>
            </w:hyperlink>
            <w:r w:rsidRPr="00492F5C">
              <w:rPr>
                <w:sz w:val="20"/>
                <w:szCs w:val="20"/>
              </w:rPr>
              <w:t xml:space="preserve"> – UPB in </w:t>
            </w:r>
            <w:hyperlink r:id="rId10" w:tgtFrame="_blank" w:tooltip="Popravek Uradnega prečiąčenega besedila Zakona o tujcih (ZTuj-2-UPB6p)" w:history="1">
              <w:r w:rsidRPr="00492F5C">
                <w:rPr>
                  <w:rStyle w:val="Hiperpovezava"/>
                  <w:color w:val="auto"/>
                  <w:sz w:val="20"/>
                  <w:szCs w:val="20"/>
                  <w:u w:val="none"/>
                </w:rPr>
                <w:t xml:space="preserve">9/18 – </w:t>
              </w:r>
              <w:proofErr w:type="spellStart"/>
              <w:r w:rsidRPr="00492F5C">
                <w:rPr>
                  <w:rStyle w:val="Hiperpovezava"/>
                  <w:color w:val="auto"/>
                  <w:sz w:val="20"/>
                  <w:szCs w:val="20"/>
                  <w:u w:val="none"/>
                </w:rPr>
                <w:t>popr</w:t>
              </w:r>
              <w:proofErr w:type="spellEnd"/>
              <w:r w:rsidRPr="00492F5C">
                <w:rPr>
                  <w:rStyle w:val="Hiperpovezava"/>
                  <w:color w:val="auto"/>
                  <w:sz w:val="20"/>
                  <w:szCs w:val="20"/>
                  <w:u w:val="none"/>
                </w:rPr>
                <w:t>.</w:t>
              </w:r>
            </w:hyperlink>
            <w:r w:rsidR="006421A0">
              <w:rPr>
                <w:rStyle w:val="Hiperpovezava"/>
                <w:color w:val="auto"/>
                <w:sz w:val="20"/>
                <w:szCs w:val="20"/>
                <w:u w:val="none"/>
              </w:rPr>
              <w:t>, v nadaljevanju ZTuj-2</w:t>
            </w:r>
            <w:r w:rsidRPr="00492F5C">
              <w:rPr>
                <w:sz w:val="20"/>
                <w:szCs w:val="20"/>
              </w:rPr>
              <w:t>)</w:t>
            </w:r>
            <w:r w:rsidR="00492F5C" w:rsidRPr="00492F5C">
              <w:rPr>
                <w:sz w:val="20"/>
                <w:szCs w:val="20"/>
              </w:rPr>
              <w:t xml:space="preserve"> v 109</w:t>
            </w:r>
            <w:r w:rsidR="006421A0">
              <w:rPr>
                <w:sz w:val="20"/>
                <w:szCs w:val="20"/>
              </w:rPr>
              <w:t>.</w:t>
            </w:r>
            <w:r w:rsidR="00492F5C" w:rsidRPr="00492F5C">
              <w:rPr>
                <w:sz w:val="20"/>
                <w:szCs w:val="20"/>
              </w:rPr>
              <w:t xml:space="preserve"> členu določa, da mora tujec, ki ima v </w:t>
            </w:r>
            <w:r w:rsidR="00492F5C">
              <w:rPr>
                <w:sz w:val="20"/>
                <w:szCs w:val="20"/>
              </w:rPr>
              <w:t>Republiki Sloveniji dovoljenje za prebivanje ali vizum za dolgoročno prebivanje, pristojnemu organu prijaviti svoje stalno ali začasno prebivališče v skladu z zakonom, ki ureja prijavo prebivališča.</w:t>
            </w:r>
          </w:p>
          <w:p w:rsidR="00C458D5" w:rsidRDefault="00C458D5" w:rsidP="00437475">
            <w:pPr>
              <w:pStyle w:val="Alineazaodstavkom"/>
              <w:numPr>
                <w:ilvl w:val="0"/>
                <w:numId w:val="0"/>
              </w:numPr>
              <w:spacing w:line="260" w:lineRule="exact"/>
              <w:rPr>
                <w:sz w:val="20"/>
                <w:szCs w:val="20"/>
              </w:rPr>
            </w:pPr>
          </w:p>
          <w:p w:rsidR="00437475" w:rsidRDefault="00492F5C" w:rsidP="00437475">
            <w:pPr>
              <w:pStyle w:val="Alineazaodstavkom"/>
              <w:numPr>
                <w:ilvl w:val="0"/>
                <w:numId w:val="0"/>
              </w:numPr>
              <w:spacing w:line="260" w:lineRule="exact"/>
              <w:rPr>
                <w:sz w:val="20"/>
                <w:szCs w:val="20"/>
              </w:rPr>
            </w:pPr>
            <w:r>
              <w:rPr>
                <w:sz w:val="20"/>
                <w:szCs w:val="20"/>
              </w:rPr>
              <w:t xml:space="preserve">Zakon o prijavi prebivališča (Uradni list RS, št. 52/16, v nadaljnjem besedilu: </w:t>
            </w:r>
            <w:r w:rsidR="006421A0">
              <w:rPr>
                <w:sz w:val="20"/>
                <w:szCs w:val="20"/>
              </w:rPr>
              <w:t>ZPPreb-1</w:t>
            </w:r>
            <w:r>
              <w:rPr>
                <w:sz w:val="20"/>
                <w:szCs w:val="20"/>
              </w:rPr>
              <w:t>)</w:t>
            </w:r>
            <w:r w:rsidR="00C458D5">
              <w:rPr>
                <w:sz w:val="20"/>
                <w:szCs w:val="20"/>
              </w:rPr>
              <w:t xml:space="preserve"> ureja prijavno in odjavno obveznost prebivališča državljano</w:t>
            </w:r>
            <w:r w:rsidR="004212FF">
              <w:rPr>
                <w:sz w:val="20"/>
                <w:szCs w:val="20"/>
              </w:rPr>
              <w:t xml:space="preserve">v Republike Slovenije in tujcev. </w:t>
            </w:r>
            <w:r w:rsidR="006421A0">
              <w:rPr>
                <w:sz w:val="20"/>
                <w:szCs w:val="20"/>
              </w:rPr>
              <w:t>ZPPreb-1</w:t>
            </w:r>
            <w:r w:rsidR="004212FF">
              <w:rPr>
                <w:sz w:val="20"/>
                <w:szCs w:val="20"/>
              </w:rPr>
              <w:t xml:space="preserve"> </w:t>
            </w:r>
            <w:r w:rsidR="00C458D5">
              <w:rPr>
                <w:sz w:val="20"/>
                <w:szCs w:val="20"/>
              </w:rPr>
              <w:t xml:space="preserve">tujca z dovoljenjem za stalno prebivanje glede </w:t>
            </w:r>
            <w:r w:rsidR="004212FF">
              <w:rPr>
                <w:sz w:val="20"/>
                <w:szCs w:val="20"/>
              </w:rPr>
              <w:t>prijavno-odjavne</w:t>
            </w:r>
            <w:r w:rsidR="00C458D5">
              <w:rPr>
                <w:sz w:val="20"/>
                <w:szCs w:val="20"/>
              </w:rPr>
              <w:t xml:space="preserve"> obveznosti izenačuje s slovenskim državlj</w:t>
            </w:r>
            <w:r w:rsidR="004212FF">
              <w:rPr>
                <w:sz w:val="20"/>
                <w:szCs w:val="20"/>
              </w:rPr>
              <w:t>anom; stalno prebi</w:t>
            </w:r>
            <w:r>
              <w:rPr>
                <w:sz w:val="20"/>
                <w:szCs w:val="20"/>
              </w:rPr>
              <w:t>v</w:t>
            </w:r>
            <w:r w:rsidR="004212FF">
              <w:rPr>
                <w:sz w:val="20"/>
                <w:szCs w:val="20"/>
              </w:rPr>
              <w:t>ališče</w:t>
            </w:r>
            <w:r w:rsidR="003C39AF">
              <w:rPr>
                <w:sz w:val="20"/>
                <w:szCs w:val="20"/>
              </w:rPr>
              <w:t>,</w:t>
            </w:r>
            <w:r w:rsidR="004212FF">
              <w:rPr>
                <w:sz w:val="20"/>
                <w:szCs w:val="20"/>
              </w:rPr>
              <w:t xml:space="preserve"> na katerem tujec dejansko prebiva</w:t>
            </w:r>
            <w:r w:rsidR="003C39AF">
              <w:rPr>
                <w:sz w:val="20"/>
                <w:szCs w:val="20"/>
              </w:rPr>
              <w:t>,</w:t>
            </w:r>
            <w:r w:rsidR="004212FF">
              <w:rPr>
                <w:sz w:val="20"/>
                <w:szCs w:val="20"/>
              </w:rPr>
              <w:t xml:space="preserve"> mora prijaviti v roku 8 dni od naselitve, začasno prebivališče pa v enakem roku le v primeru, da bo na prijavljenem naslovu prebival več kot 90 dni. Prijava prebivališča se izvaja na upravnih enotah, na prošnjo posameznika in se evidentira v registru stalnega prebivalstva. </w:t>
            </w:r>
            <w:r w:rsidR="004212FF" w:rsidRPr="003C39AF">
              <w:rPr>
                <w:sz w:val="20"/>
                <w:szCs w:val="20"/>
              </w:rPr>
              <w:t xml:space="preserve">Ob prijavi mora prijavitelj predložiti dokazilo o pravici do prebivanja na naslovu, ki ga prijavlja (npr. </w:t>
            </w:r>
            <w:proofErr w:type="spellStart"/>
            <w:r w:rsidR="004212FF" w:rsidRPr="003C39AF">
              <w:rPr>
                <w:sz w:val="20"/>
                <w:szCs w:val="20"/>
              </w:rPr>
              <w:t>podnajemna</w:t>
            </w:r>
            <w:proofErr w:type="spellEnd"/>
            <w:r w:rsidR="004212FF" w:rsidRPr="003C39AF">
              <w:rPr>
                <w:sz w:val="20"/>
                <w:szCs w:val="20"/>
              </w:rPr>
              <w:t xml:space="preserve"> pogodba, soglasje lastnika nepremičnine). Upravna enota </w:t>
            </w:r>
            <w:r w:rsidR="00A62C61" w:rsidRPr="003C39AF">
              <w:rPr>
                <w:sz w:val="20"/>
                <w:szCs w:val="20"/>
              </w:rPr>
              <w:t xml:space="preserve">pred prijavo prebivališča preveri ustreznost dokazila, pravilnost </w:t>
            </w:r>
            <w:r w:rsidR="00A62C61" w:rsidRPr="003C39AF">
              <w:rPr>
                <w:sz w:val="20"/>
                <w:szCs w:val="20"/>
              </w:rPr>
              <w:lastRenderedPageBreak/>
              <w:t xml:space="preserve">naslova in veljavnost dovoljenja za prebivanje tujca na območju Republike Slovenije. </w:t>
            </w:r>
            <w:r w:rsidR="00854AB5" w:rsidRPr="003C39AF">
              <w:rPr>
                <w:sz w:val="20"/>
                <w:szCs w:val="20"/>
              </w:rPr>
              <w:t xml:space="preserve">ZPPreb-1 v tretjem odstavku 5. člena določa tudi, da mora tujec z dovoljenjem za stalno prebivanje, ki ima stalno prebivališče v Republiki Sloveniji in se stalno naseli v tujini, najpozneje v 15 dneh od naselitve pristojnemu organu </w:t>
            </w:r>
            <w:r w:rsidR="00854AB5" w:rsidRPr="00064C8E">
              <w:rPr>
                <w:sz w:val="20"/>
                <w:szCs w:val="20"/>
              </w:rPr>
              <w:t>prijavi</w:t>
            </w:r>
            <w:r w:rsidR="003C39AF">
              <w:rPr>
                <w:sz w:val="20"/>
                <w:szCs w:val="20"/>
              </w:rPr>
              <w:t>ti</w:t>
            </w:r>
            <w:r w:rsidR="00854AB5" w:rsidRPr="00064C8E">
              <w:rPr>
                <w:sz w:val="20"/>
                <w:szCs w:val="20"/>
              </w:rPr>
              <w:t xml:space="preserve"> stalni naslov v tujini, spremembo stalnega naslova v tujini pa najpozneje v 15 dneh od spremembe. </w:t>
            </w:r>
            <w:r w:rsidR="006567F0" w:rsidRPr="00064C8E">
              <w:rPr>
                <w:sz w:val="20"/>
                <w:szCs w:val="20"/>
              </w:rPr>
              <w:t xml:space="preserve">Stalni naslov lahko prijavi tudi pred naselitvijo v tujini, če ob prijavi navede datum naselitve. </w:t>
            </w:r>
            <w:r w:rsidR="00854AB5" w:rsidRPr="00064C8E">
              <w:rPr>
                <w:sz w:val="20"/>
                <w:szCs w:val="20"/>
              </w:rPr>
              <w:t>Peti odstavek 10. člena pa tudi tujca z dovoljenjem za stalno prebivanje, ki ima stalno prebivališče v Republiki Sloveniji in se začasno naseli v tujini za več kot 90 dni, zavezuje, da najpozneje v 15 dneh od naselitve pristojnemu organu prijavi začasni naslov v tujini, spremembo začasnega naslova v tujini pa najpozneje v 15 dneh od spremembe. Začasni naslov lahko prijavi pred naselitvijo v tujini, če ob prijavi navede datum naselitve.</w:t>
            </w:r>
            <w:r w:rsidR="006567F0" w:rsidRPr="00064C8E">
              <w:rPr>
                <w:sz w:val="20"/>
                <w:szCs w:val="20"/>
              </w:rPr>
              <w:t xml:space="preserve"> </w:t>
            </w:r>
            <w:r w:rsidR="00854AB5" w:rsidRPr="00064C8E">
              <w:rPr>
                <w:sz w:val="20"/>
                <w:szCs w:val="20"/>
              </w:rPr>
              <w:t xml:space="preserve">Za posameznika, ki svoje prijavne obveznosti ne izvede oz. ne izvede v predpisanem roku, je predvidena sankcija globe za prekršek v višini od 200 do 600 </w:t>
            </w:r>
            <w:proofErr w:type="spellStart"/>
            <w:r w:rsidR="00854AB5" w:rsidRPr="00064C8E">
              <w:rPr>
                <w:sz w:val="20"/>
                <w:szCs w:val="20"/>
              </w:rPr>
              <w:t>eurov</w:t>
            </w:r>
            <w:proofErr w:type="spellEnd"/>
            <w:r w:rsidR="00854AB5" w:rsidRPr="00064C8E">
              <w:rPr>
                <w:sz w:val="20"/>
                <w:szCs w:val="20"/>
              </w:rPr>
              <w:t xml:space="preserve">. </w:t>
            </w:r>
            <w:r w:rsidR="000B077B">
              <w:rPr>
                <w:sz w:val="20"/>
                <w:szCs w:val="20"/>
              </w:rPr>
              <w:t>Če upravna enota dvomi, da posameznik prebiva na naslovu, kjer je prijavil prebivališče ali če je upravna enota obveščena, da posameznik ni izpolnil prijavne obveznosti, lahko upravna enota po uradni dolžnosti uvede postopek ugotavljanja prebivališča</w:t>
            </w:r>
            <w:r w:rsidR="00F32B52">
              <w:rPr>
                <w:sz w:val="20"/>
                <w:szCs w:val="20"/>
              </w:rPr>
              <w:t>, kot je določeno v IV. poglavju ZPPreb-1</w:t>
            </w:r>
            <w:r w:rsidR="000B077B">
              <w:rPr>
                <w:sz w:val="20"/>
                <w:szCs w:val="20"/>
              </w:rPr>
              <w:t>.</w:t>
            </w:r>
            <w:r w:rsidR="0036128C">
              <w:rPr>
                <w:sz w:val="20"/>
                <w:szCs w:val="20"/>
              </w:rPr>
              <w:t xml:space="preserve"> Ko z zaslišanjem stranke in prič ter s pridobitvijo drugih verodostojnih dokazov nesporno ugotovi dejansko prebivališče posameznika, izda odločbo o prijavi novega stalnega ali začasnega prebivališča oziroma o odjavi stalnega prebivališča v primeru stalne odselitve z območja republike Slovenije. Na podlagi dokončne odločbe vpiše </w:t>
            </w:r>
            <w:r w:rsidR="006567F0">
              <w:rPr>
                <w:sz w:val="20"/>
                <w:szCs w:val="20"/>
              </w:rPr>
              <w:t xml:space="preserve">podatek o prebivališču oziroma naslovu posameznika </w:t>
            </w:r>
            <w:r w:rsidR="0036128C">
              <w:rPr>
                <w:sz w:val="20"/>
                <w:szCs w:val="20"/>
              </w:rPr>
              <w:t xml:space="preserve">v register </w:t>
            </w:r>
            <w:r w:rsidR="006567F0">
              <w:rPr>
                <w:sz w:val="20"/>
                <w:szCs w:val="20"/>
              </w:rPr>
              <w:t>stalnega prebivalstva</w:t>
            </w:r>
            <w:r w:rsidR="006421A0">
              <w:rPr>
                <w:sz w:val="20"/>
                <w:szCs w:val="20"/>
              </w:rPr>
              <w:t xml:space="preserve"> </w:t>
            </w:r>
          </w:p>
          <w:p w:rsidR="00437475" w:rsidRDefault="00437475" w:rsidP="00437475">
            <w:pPr>
              <w:pStyle w:val="Alineazaodstavkom"/>
              <w:numPr>
                <w:ilvl w:val="0"/>
                <w:numId w:val="0"/>
              </w:numPr>
              <w:spacing w:line="260" w:lineRule="exact"/>
              <w:rPr>
                <w:sz w:val="20"/>
                <w:szCs w:val="20"/>
              </w:rPr>
            </w:pPr>
          </w:p>
          <w:p w:rsidR="00437475" w:rsidRDefault="00437475" w:rsidP="00437475">
            <w:pPr>
              <w:pStyle w:val="Alineazaodstavkom"/>
              <w:numPr>
                <w:ilvl w:val="0"/>
                <w:numId w:val="0"/>
              </w:numPr>
              <w:overflowPunct/>
              <w:autoSpaceDE/>
              <w:autoSpaceDN/>
              <w:adjustRightInd/>
              <w:spacing w:line="276" w:lineRule="auto"/>
              <w:textAlignment w:val="auto"/>
              <w:rPr>
                <w:sz w:val="20"/>
                <w:szCs w:val="20"/>
              </w:rPr>
            </w:pPr>
            <w:r>
              <w:rPr>
                <w:sz w:val="20"/>
                <w:szCs w:val="20"/>
              </w:rPr>
              <w:t xml:space="preserve">Tudi v postopkih izdaje prvega dovoljenja za začasno prebivanje </w:t>
            </w:r>
            <w:r w:rsidR="006421A0">
              <w:rPr>
                <w:sz w:val="20"/>
                <w:szCs w:val="20"/>
              </w:rPr>
              <w:t>upravne enote</w:t>
            </w:r>
            <w:r>
              <w:rPr>
                <w:sz w:val="20"/>
                <w:szCs w:val="20"/>
              </w:rPr>
              <w:t xml:space="preserve"> ugotavljajo ali obstajajo razlogi za zavrnitev izdaje dovoljenja iz druge alineje 55. člena ZTuj-2, in sicer ali obstajajo razlogi za domnevo, da tujec ne bo prebival na ozemlju Republike Slovenije,</w:t>
            </w:r>
            <w:r w:rsidRPr="00893CF4">
              <w:rPr>
                <w:sz w:val="18"/>
                <w:szCs w:val="18"/>
              </w:rPr>
              <w:t xml:space="preserve"> </w:t>
            </w:r>
            <w:r w:rsidRPr="00BC5E0E">
              <w:rPr>
                <w:sz w:val="20"/>
                <w:szCs w:val="20"/>
              </w:rPr>
              <w:t>razen v primeru, ko je tujec s strani delodajalca s sedežem v Republiki Sloveniji, pri katerem je v delovnem razmerju, v času trajanja delovnega razmerja, zaradi opravljanja storitev v drugi državi članici EU, napoten na delo v drugo državo članico EU</w:t>
            </w:r>
            <w:r>
              <w:rPr>
                <w:sz w:val="20"/>
                <w:szCs w:val="20"/>
              </w:rPr>
              <w:t>. Dovoljenje za začasno prebivanje se lahko tudi razveljavi, če se naknadno ugotovi, da obstajajo razlogi za zavrnitev izdaje dovoljenja za začasno prebivanje, torej se tudi zaradi dejanskega ne</w:t>
            </w:r>
            <w:r w:rsidR="006421A0">
              <w:rPr>
                <w:sz w:val="20"/>
                <w:szCs w:val="20"/>
              </w:rPr>
              <w:t>-</w:t>
            </w:r>
            <w:r>
              <w:rPr>
                <w:sz w:val="20"/>
                <w:szCs w:val="20"/>
              </w:rPr>
              <w:t xml:space="preserve">prebivanja na območju države dovoljenje za začasno prebivanje razveljavi. </w:t>
            </w:r>
          </w:p>
          <w:p w:rsidR="00437475" w:rsidRDefault="00437475" w:rsidP="00437475">
            <w:pPr>
              <w:pStyle w:val="Alineazaodstavkom"/>
              <w:numPr>
                <w:ilvl w:val="0"/>
                <w:numId w:val="0"/>
              </w:numPr>
              <w:overflowPunct/>
              <w:autoSpaceDE/>
              <w:autoSpaceDN/>
              <w:adjustRightInd/>
              <w:spacing w:line="276" w:lineRule="auto"/>
              <w:textAlignment w:val="auto"/>
              <w:rPr>
                <w:sz w:val="20"/>
                <w:szCs w:val="20"/>
              </w:rPr>
            </w:pPr>
          </w:p>
          <w:p w:rsidR="00E83FA8" w:rsidRPr="003F1703" w:rsidRDefault="00174B3B" w:rsidP="00174B3B">
            <w:pPr>
              <w:pStyle w:val="Alineazaodstavkom"/>
              <w:numPr>
                <w:ilvl w:val="0"/>
                <w:numId w:val="0"/>
              </w:numPr>
              <w:spacing w:line="260" w:lineRule="exact"/>
              <w:rPr>
                <w:sz w:val="20"/>
                <w:szCs w:val="20"/>
              </w:rPr>
            </w:pPr>
            <w:r>
              <w:rPr>
                <w:sz w:val="20"/>
                <w:szCs w:val="20"/>
              </w:rPr>
              <w:t>Vlada Republike Slovenije izpostavlja, da so za</w:t>
            </w:r>
            <w:r w:rsidR="006421A0">
              <w:rPr>
                <w:sz w:val="20"/>
                <w:szCs w:val="20"/>
              </w:rPr>
              <w:t xml:space="preserve"> </w:t>
            </w:r>
            <w:r w:rsidR="00437475">
              <w:rPr>
                <w:sz w:val="20"/>
                <w:szCs w:val="20"/>
              </w:rPr>
              <w:t>ukrepe, odločitve in postopke v zvezi s prebivanjem tujcev na prvi stopnji pristojne upravne enote, na območju katerih tujec prebiva oziroma namerava prebivati, pri svojem delu pa sodelujejo z drugimi pristojnimi organi, sodelovanje pa zajema tudi posredovanje osebnih in drugih podatkov ter informacij za opravljanje pristojnosti po ZTuj-2 (89. člen). Upravne enote tako lahko ugotavljajo dejansko prebivanj</w:t>
            </w:r>
            <w:r>
              <w:rPr>
                <w:sz w:val="20"/>
                <w:szCs w:val="20"/>
              </w:rPr>
              <w:t>e</w:t>
            </w:r>
            <w:r w:rsidR="00437475">
              <w:rPr>
                <w:sz w:val="20"/>
                <w:szCs w:val="20"/>
              </w:rPr>
              <w:t xml:space="preserve"> tujca</w:t>
            </w:r>
            <w:r w:rsidR="00F32B52">
              <w:rPr>
                <w:sz w:val="20"/>
                <w:szCs w:val="20"/>
              </w:rPr>
              <w:t xml:space="preserve"> v Republiki Sloveniji</w:t>
            </w:r>
            <w:r w:rsidR="00437475">
              <w:rPr>
                <w:sz w:val="20"/>
                <w:szCs w:val="20"/>
              </w:rPr>
              <w:t xml:space="preserve"> v postopkih izdaje in podaljšanja dovoljenja za prebivanje kot tudi na podlagi 18. oziroma 20. člena ZPPreb-1. </w:t>
            </w:r>
          </w:p>
        </w:tc>
      </w:tr>
      <w:tr w:rsidR="00E83FA8" w:rsidRPr="003F1703" w:rsidTr="00437475">
        <w:tc>
          <w:tcPr>
            <w:tcW w:w="9072" w:type="dxa"/>
          </w:tcPr>
          <w:p w:rsidR="00E83FA8" w:rsidRPr="003F1703" w:rsidRDefault="00E83FA8" w:rsidP="00F90375">
            <w:pPr>
              <w:pStyle w:val="Oddelek"/>
              <w:numPr>
                <w:ilvl w:val="0"/>
                <w:numId w:val="0"/>
              </w:numPr>
              <w:spacing w:before="0" w:after="0" w:line="260" w:lineRule="exact"/>
              <w:jc w:val="left"/>
              <w:rPr>
                <w:sz w:val="20"/>
                <w:szCs w:val="20"/>
              </w:rPr>
            </w:pPr>
          </w:p>
        </w:tc>
      </w:tr>
      <w:tr w:rsidR="00E83FA8" w:rsidRPr="003F1703" w:rsidTr="00437475">
        <w:tc>
          <w:tcPr>
            <w:tcW w:w="9072" w:type="dxa"/>
          </w:tcPr>
          <w:p w:rsidR="00E83FA8" w:rsidRPr="003F1703" w:rsidRDefault="00E83FA8" w:rsidP="00F90375">
            <w:pPr>
              <w:pStyle w:val="Poglavje"/>
              <w:spacing w:before="0" w:after="0" w:line="260" w:lineRule="exact"/>
              <w:jc w:val="left"/>
              <w:rPr>
                <w:sz w:val="20"/>
                <w:szCs w:val="20"/>
              </w:rPr>
            </w:pPr>
          </w:p>
        </w:tc>
      </w:tr>
      <w:tr w:rsidR="00E83FA8" w:rsidRPr="003F1703" w:rsidTr="00437475">
        <w:tc>
          <w:tcPr>
            <w:tcW w:w="9072" w:type="dxa"/>
          </w:tcPr>
          <w:p w:rsidR="00E83FA8" w:rsidRPr="003F1703" w:rsidRDefault="00E83FA8" w:rsidP="00F90375">
            <w:pPr>
              <w:pStyle w:val="Alineazaodstavkom"/>
              <w:numPr>
                <w:ilvl w:val="0"/>
                <w:numId w:val="0"/>
              </w:numPr>
              <w:spacing w:line="260" w:lineRule="exact"/>
              <w:rPr>
                <w:sz w:val="20"/>
                <w:szCs w:val="20"/>
              </w:rPr>
            </w:pPr>
          </w:p>
        </w:tc>
      </w:tr>
      <w:tr w:rsidR="00E83FA8" w:rsidRPr="003F1703" w:rsidTr="00437475">
        <w:tc>
          <w:tcPr>
            <w:tcW w:w="9072" w:type="dxa"/>
          </w:tcPr>
          <w:p w:rsidR="00E83FA8" w:rsidRPr="003F1703" w:rsidRDefault="00E83FA8" w:rsidP="00F90375">
            <w:pPr>
              <w:jc w:val="both"/>
              <w:rPr>
                <w:szCs w:val="20"/>
              </w:rPr>
            </w:pPr>
          </w:p>
        </w:tc>
      </w:tr>
    </w:tbl>
    <w:p w:rsidR="00E83FA8" w:rsidRPr="003F1703" w:rsidRDefault="00E83FA8" w:rsidP="00064C8E">
      <w:pPr>
        <w:tabs>
          <w:tab w:val="left" w:pos="708"/>
        </w:tabs>
        <w:rPr>
          <w:szCs w:val="20"/>
        </w:rPr>
      </w:pPr>
    </w:p>
    <w:sectPr w:rsidR="00E83FA8" w:rsidRPr="003F1703">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71" w:rsidRDefault="006B5971" w:rsidP="00E83FA8">
      <w:pPr>
        <w:spacing w:line="240" w:lineRule="auto"/>
      </w:pPr>
      <w:r>
        <w:separator/>
      </w:r>
    </w:p>
  </w:endnote>
  <w:endnote w:type="continuationSeparator" w:id="0">
    <w:p w:rsidR="006B5971" w:rsidRDefault="006B5971" w:rsidP="00E83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71" w:rsidRDefault="006B5971" w:rsidP="00E83FA8">
      <w:pPr>
        <w:spacing w:line="240" w:lineRule="auto"/>
      </w:pPr>
      <w:r>
        <w:separator/>
      </w:r>
    </w:p>
  </w:footnote>
  <w:footnote w:type="continuationSeparator" w:id="0">
    <w:p w:rsidR="006B5971" w:rsidRDefault="006B5971" w:rsidP="00E83F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A8" w:rsidRPr="00E21FF9" w:rsidRDefault="00E83FA8"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E83FA8" w:rsidRPr="008F3500" w:rsidRDefault="00E83FA8"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052D"/>
    <w:multiLevelType w:val="hybridMultilevel"/>
    <w:tmpl w:val="5FFE29B8"/>
    <w:lvl w:ilvl="0" w:tplc="3CCA5B34">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C86B83"/>
    <w:multiLevelType w:val="hybridMultilevel"/>
    <w:tmpl w:val="4CE099D4"/>
    <w:lvl w:ilvl="0" w:tplc="74D8DE1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4E75D0C"/>
    <w:multiLevelType w:val="hybridMultilevel"/>
    <w:tmpl w:val="6450D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572C71E9"/>
    <w:multiLevelType w:val="hybridMultilevel"/>
    <w:tmpl w:val="963ADAD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3">
    <w:nsid w:val="5F0D3345"/>
    <w:multiLevelType w:val="hybridMultilevel"/>
    <w:tmpl w:val="DC4E428A"/>
    <w:lvl w:ilvl="0" w:tplc="9AE85D9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927"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257418E"/>
    <w:multiLevelType w:val="hybridMultilevel"/>
    <w:tmpl w:val="C1CC3B4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1"/>
  </w:num>
  <w:num w:numId="5">
    <w:abstractNumId w:val="14"/>
  </w:num>
  <w:num w:numId="6">
    <w:abstractNumId w:val="16"/>
  </w:num>
  <w:num w:numId="7">
    <w:abstractNumId w:val="8"/>
  </w:num>
  <w:num w:numId="8">
    <w:abstractNumId w:val="5"/>
  </w:num>
  <w:num w:numId="9">
    <w:abstractNumId w:val="3"/>
  </w:num>
  <w:num w:numId="10">
    <w:abstractNumId w:val="6"/>
  </w:num>
  <w:num w:numId="11">
    <w:abstractNumId w:val="12"/>
  </w:num>
  <w:num w:numId="12">
    <w:abstractNumId w:val="15"/>
  </w:num>
  <w:num w:numId="13">
    <w:abstractNumId w:val="9"/>
  </w:num>
  <w:num w:numId="14">
    <w:abstractNumId w:val="0"/>
  </w:num>
  <w:num w:numId="15">
    <w:abstractNumId w:val="1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2E"/>
    <w:rsid w:val="00064C8E"/>
    <w:rsid w:val="000B077B"/>
    <w:rsid w:val="00174B3B"/>
    <w:rsid w:val="0019373E"/>
    <w:rsid w:val="001B56D5"/>
    <w:rsid w:val="0036128C"/>
    <w:rsid w:val="00372732"/>
    <w:rsid w:val="003C39AF"/>
    <w:rsid w:val="004212FF"/>
    <w:rsid w:val="00437475"/>
    <w:rsid w:val="00492F5C"/>
    <w:rsid w:val="006421A0"/>
    <w:rsid w:val="006567F0"/>
    <w:rsid w:val="006B5971"/>
    <w:rsid w:val="006D401E"/>
    <w:rsid w:val="006F283C"/>
    <w:rsid w:val="007B022E"/>
    <w:rsid w:val="00854AB5"/>
    <w:rsid w:val="009011AE"/>
    <w:rsid w:val="0092257A"/>
    <w:rsid w:val="0096581A"/>
    <w:rsid w:val="00A62C61"/>
    <w:rsid w:val="00C458D5"/>
    <w:rsid w:val="00D133EE"/>
    <w:rsid w:val="00E83FA8"/>
    <w:rsid w:val="00F32B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3FA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E83FA8"/>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83FA8"/>
    <w:rPr>
      <w:rFonts w:ascii="Arial" w:eastAsia="Times New Roman" w:hAnsi="Arial" w:cs="Times New Roman"/>
      <w:b/>
      <w:kern w:val="32"/>
      <w:sz w:val="28"/>
      <w:szCs w:val="32"/>
      <w:lang w:eastAsia="sl-SI"/>
    </w:rPr>
  </w:style>
  <w:style w:type="paragraph" w:styleId="Glava">
    <w:name w:val="header"/>
    <w:basedOn w:val="Navaden"/>
    <w:link w:val="GlavaZnak"/>
    <w:rsid w:val="00E83FA8"/>
    <w:pPr>
      <w:tabs>
        <w:tab w:val="center" w:pos="4320"/>
        <w:tab w:val="right" w:pos="8640"/>
      </w:tabs>
    </w:pPr>
  </w:style>
  <w:style w:type="character" w:customStyle="1" w:styleId="GlavaZnak">
    <w:name w:val="Glava Znak"/>
    <w:basedOn w:val="Privzetapisavaodstavka"/>
    <w:link w:val="Glava"/>
    <w:rsid w:val="00E83FA8"/>
    <w:rPr>
      <w:rFonts w:ascii="Arial" w:eastAsia="Times New Roman" w:hAnsi="Arial" w:cs="Times New Roman"/>
      <w:sz w:val="20"/>
      <w:szCs w:val="24"/>
    </w:rPr>
  </w:style>
  <w:style w:type="character" w:styleId="Hiperpovezava">
    <w:name w:val="Hyperlink"/>
    <w:uiPriority w:val="99"/>
    <w:rsid w:val="00E83FA8"/>
    <w:rPr>
      <w:color w:val="0000FF"/>
      <w:u w:val="single"/>
    </w:rPr>
  </w:style>
  <w:style w:type="paragraph" w:customStyle="1" w:styleId="Vrstapredpisa">
    <w:name w:val="Vrsta predpisa"/>
    <w:basedOn w:val="Navaden"/>
    <w:link w:val="VrstapredpisaZnak"/>
    <w:qFormat/>
    <w:rsid w:val="00E83FA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83FA8"/>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E83FA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83FA8"/>
    <w:rPr>
      <w:rFonts w:ascii="Arial" w:eastAsia="Times New Roman" w:hAnsi="Arial" w:cs="Arial"/>
      <w:b/>
      <w:lang w:eastAsia="sl-SI"/>
    </w:rPr>
  </w:style>
  <w:style w:type="paragraph" w:customStyle="1" w:styleId="Poglavje">
    <w:name w:val="Poglavje"/>
    <w:basedOn w:val="Navaden"/>
    <w:qFormat/>
    <w:rsid w:val="00E83FA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83FA8"/>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83FA8"/>
    <w:rPr>
      <w:rFonts w:ascii="Arial" w:eastAsia="Times New Roman" w:hAnsi="Arial" w:cs="Arial"/>
      <w:lang w:eastAsia="sl-SI"/>
    </w:rPr>
  </w:style>
  <w:style w:type="paragraph" w:customStyle="1" w:styleId="Oddelek">
    <w:name w:val="Oddelek"/>
    <w:basedOn w:val="Navaden"/>
    <w:link w:val="OddelekZnak1"/>
    <w:qFormat/>
    <w:rsid w:val="00E83FA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83FA8"/>
    <w:rPr>
      <w:rFonts w:ascii="Arial" w:eastAsia="Times New Roman" w:hAnsi="Arial" w:cs="Arial"/>
      <w:b/>
      <w:lang w:eastAsia="sl-SI"/>
    </w:rPr>
  </w:style>
  <w:style w:type="paragraph" w:customStyle="1" w:styleId="Alineazaodstavkom">
    <w:name w:val="Alinea za odstavkom"/>
    <w:basedOn w:val="Navaden"/>
    <w:link w:val="AlineazaodstavkomZnak"/>
    <w:qFormat/>
    <w:rsid w:val="00E83FA8"/>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E83FA8"/>
    <w:rPr>
      <w:rFonts w:ascii="Arial" w:eastAsia="Times New Roman" w:hAnsi="Arial" w:cs="Arial"/>
      <w:lang w:eastAsia="sl-SI"/>
    </w:rPr>
  </w:style>
  <w:style w:type="paragraph" w:styleId="Odstavekseznama">
    <w:name w:val="List Paragraph"/>
    <w:basedOn w:val="Navaden"/>
    <w:uiPriority w:val="34"/>
    <w:qFormat/>
    <w:rsid w:val="00E83FA8"/>
    <w:pPr>
      <w:ind w:left="720"/>
      <w:contextualSpacing/>
    </w:pPr>
  </w:style>
  <w:style w:type="paragraph" w:styleId="Sprotnaopomba-besedilo">
    <w:name w:val="footnote text"/>
    <w:basedOn w:val="Navaden"/>
    <w:link w:val="Sprotnaopomba-besediloZnak"/>
    <w:uiPriority w:val="99"/>
    <w:semiHidden/>
    <w:unhideWhenUsed/>
    <w:rsid w:val="00E83FA8"/>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E83FA8"/>
    <w:rPr>
      <w:sz w:val="20"/>
      <w:szCs w:val="20"/>
    </w:rPr>
  </w:style>
  <w:style w:type="character" w:styleId="Sprotnaopomba-sklic">
    <w:name w:val="footnote reference"/>
    <w:basedOn w:val="Privzetapisavaodstavka"/>
    <w:uiPriority w:val="99"/>
    <w:semiHidden/>
    <w:unhideWhenUsed/>
    <w:rsid w:val="00E83FA8"/>
    <w:rPr>
      <w:vertAlign w:val="superscript"/>
    </w:rPr>
  </w:style>
  <w:style w:type="paragraph" w:styleId="Besedilooblaka">
    <w:name w:val="Balloon Text"/>
    <w:basedOn w:val="Navaden"/>
    <w:link w:val="BesedilooblakaZnak"/>
    <w:uiPriority w:val="99"/>
    <w:semiHidden/>
    <w:unhideWhenUsed/>
    <w:rsid w:val="00064C8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4C8E"/>
    <w:rPr>
      <w:rFonts w:ascii="Segoe UI" w:eastAsia="Times New Roman" w:hAnsi="Segoe UI" w:cs="Segoe UI"/>
      <w:sz w:val="18"/>
      <w:szCs w:val="18"/>
    </w:rPr>
  </w:style>
  <w:style w:type="paragraph" w:customStyle="1" w:styleId="datumtevilka">
    <w:name w:val="datum številka"/>
    <w:basedOn w:val="Navaden"/>
    <w:qFormat/>
    <w:rsid w:val="00372732"/>
    <w:pPr>
      <w:tabs>
        <w:tab w:val="left" w:pos="1701"/>
      </w:tabs>
    </w:pPr>
    <w:rPr>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3FA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E83FA8"/>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83FA8"/>
    <w:rPr>
      <w:rFonts w:ascii="Arial" w:eastAsia="Times New Roman" w:hAnsi="Arial" w:cs="Times New Roman"/>
      <w:b/>
      <w:kern w:val="32"/>
      <w:sz w:val="28"/>
      <w:szCs w:val="32"/>
      <w:lang w:eastAsia="sl-SI"/>
    </w:rPr>
  </w:style>
  <w:style w:type="paragraph" w:styleId="Glava">
    <w:name w:val="header"/>
    <w:basedOn w:val="Navaden"/>
    <w:link w:val="GlavaZnak"/>
    <w:rsid w:val="00E83FA8"/>
    <w:pPr>
      <w:tabs>
        <w:tab w:val="center" w:pos="4320"/>
        <w:tab w:val="right" w:pos="8640"/>
      </w:tabs>
    </w:pPr>
  </w:style>
  <w:style w:type="character" w:customStyle="1" w:styleId="GlavaZnak">
    <w:name w:val="Glava Znak"/>
    <w:basedOn w:val="Privzetapisavaodstavka"/>
    <w:link w:val="Glava"/>
    <w:rsid w:val="00E83FA8"/>
    <w:rPr>
      <w:rFonts w:ascii="Arial" w:eastAsia="Times New Roman" w:hAnsi="Arial" w:cs="Times New Roman"/>
      <w:sz w:val="20"/>
      <w:szCs w:val="24"/>
    </w:rPr>
  </w:style>
  <w:style w:type="character" w:styleId="Hiperpovezava">
    <w:name w:val="Hyperlink"/>
    <w:uiPriority w:val="99"/>
    <w:rsid w:val="00E83FA8"/>
    <w:rPr>
      <w:color w:val="0000FF"/>
      <w:u w:val="single"/>
    </w:rPr>
  </w:style>
  <w:style w:type="paragraph" w:customStyle="1" w:styleId="Vrstapredpisa">
    <w:name w:val="Vrsta predpisa"/>
    <w:basedOn w:val="Navaden"/>
    <w:link w:val="VrstapredpisaZnak"/>
    <w:qFormat/>
    <w:rsid w:val="00E83FA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E83FA8"/>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E83FA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E83FA8"/>
    <w:rPr>
      <w:rFonts w:ascii="Arial" w:eastAsia="Times New Roman" w:hAnsi="Arial" w:cs="Arial"/>
      <w:b/>
      <w:lang w:eastAsia="sl-SI"/>
    </w:rPr>
  </w:style>
  <w:style w:type="paragraph" w:customStyle="1" w:styleId="Poglavje">
    <w:name w:val="Poglavje"/>
    <w:basedOn w:val="Navaden"/>
    <w:qFormat/>
    <w:rsid w:val="00E83FA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E83FA8"/>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E83FA8"/>
    <w:rPr>
      <w:rFonts w:ascii="Arial" w:eastAsia="Times New Roman" w:hAnsi="Arial" w:cs="Arial"/>
      <w:lang w:eastAsia="sl-SI"/>
    </w:rPr>
  </w:style>
  <w:style w:type="paragraph" w:customStyle="1" w:styleId="Oddelek">
    <w:name w:val="Oddelek"/>
    <w:basedOn w:val="Navaden"/>
    <w:link w:val="OddelekZnak1"/>
    <w:qFormat/>
    <w:rsid w:val="00E83FA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E83FA8"/>
    <w:rPr>
      <w:rFonts w:ascii="Arial" w:eastAsia="Times New Roman" w:hAnsi="Arial" w:cs="Arial"/>
      <w:b/>
      <w:lang w:eastAsia="sl-SI"/>
    </w:rPr>
  </w:style>
  <w:style w:type="paragraph" w:customStyle="1" w:styleId="Alineazaodstavkom">
    <w:name w:val="Alinea za odstavkom"/>
    <w:basedOn w:val="Navaden"/>
    <w:link w:val="AlineazaodstavkomZnak"/>
    <w:qFormat/>
    <w:rsid w:val="00E83FA8"/>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E83FA8"/>
    <w:rPr>
      <w:rFonts w:ascii="Arial" w:eastAsia="Times New Roman" w:hAnsi="Arial" w:cs="Arial"/>
      <w:lang w:eastAsia="sl-SI"/>
    </w:rPr>
  </w:style>
  <w:style w:type="paragraph" w:styleId="Odstavekseznama">
    <w:name w:val="List Paragraph"/>
    <w:basedOn w:val="Navaden"/>
    <w:uiPriority w:val="34"/>
    <w:qFormat/>
    <w:rsid w:val="00E83FA8"/>
    <w:pPr>
      <w:ind w:left="720"/>
      <w:contextualSpacing/>
    </w:pPr>
  </w:style>
  <w:style w:type="paragraph" w:styleId="Sprotnaopomba-besedilo">
    <w:name w:val="footnote text"/>
    <w:basedOn w:val="Navaden"/>
    <w:link w:val="Sprotnaopomba-besediloZnak"/>
    <w:uiPriority w:val="99"/>
    <w:semiHidden/>
    <w:unhideWhenUsed/>
    <w:rsid w:val="00E83FA8"/>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E83FA8"/>
    <w:rPr>
      <w:sz w:val="20"/>
      <w:szCs w:val="20"/>
    </w:rPr>
  </w:style>
  <w:style w:type="character" w:styleId="Sprotnaopomba-sklic">
    <w:name w:val="footnote reference"/>
    <w:basedOn w:val="Privzetapisavaodstavka"/>
    <w:uiPriority w:val="99"/>
    <w:semiHidden/>
    <w:unhideWhenUsed/>
    <w:rsid w:val="00E83FA8"/>
    <w:rPr>
      <w:vertAlign w:val="superscript"/>
    </w:rPr>
  </w:style>
  <w:style w:type="paragraph" w:styleId="Besedilooblaka">
    <w:name w:val="Balloon Text"/>
    <w:basedOn w:val="Navaden"/>
    <w:link w:val="BesedilooblakaZnak"/>
    <w:uiPriority w:val="99"/>
    <w:semiHidden/>
    <w:unhideWhenUsed/>
    <w:rsid w:val="00064C8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4C8E"/>
    <w:rPr>
      <w:rFonts w:ascii="Segoe UI" w:eastAsia="Times New Roman" w:hAnsi="Segoe UI" w:cs="Segoe UI"/>
      <w:sz w:val="18"/>
      <w:szCs w:val="18"/>
    </w:rPr>
  </w:style>
  <w:style w:type="paragraph" w:customStyle="1" w:styleId="datumtevilka">
    <w:name w:val="datum številka"/>
    <w:basedOn w:val="Navaden"/>
    <w:qFormat/>
    <w:rsid w:val="00372732"/>
    <w:pPr>
      <w:tabs>
        <w:tab w:val="left" w:pos="1701"/>
      </w:tabs>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8-21-0408" TargetMode="External"/><Relationship Id="rId4" Type="http://schemas.openxmlformats.org/officeDocument/2006/relationships/settings" Target="settings.xml"/><Relationship Id="rId9" Type="http://schemas.openxmlformats.org/officeDocument/2006/relationships/hyperlink" Target="http://www.uradni-list.si/1/objava.jsp?sop=2018-01-00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5239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Hrovatin</dc:creator>
  <cp:lastModifiedBy>LVidergar</cp:lastModifiedBy>
  <cp:revision>3</cp:revision>
  <dcterms:created xsi:type="dcterms:W3CDTF">2019-01-09T13:05:00Z</dcterms:created>
  <dcterms:modified xsi:type="dcterms:W3CDTF">2019-01-09T13:08:00Z</dcterms:modified>
</cp:coreProperties>
</file>