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B5" w:rsidRDefault="004E41B5" w:rsidP="004E41B5">
      <w:pPr>
        <w:pStyle w:val="Odstavekseznama"/>
        <w:spacing w:after="0" w:line="260" w:lineRule="exact"/>
        <w:ind w:left="0"/>
        <w:jc w:val="both"/>
        <w:rPr>
          <w:rFonts w:ascii="Arial" w:hAnsi="Arial" w:cs="Arial"/>
          <w:sz w:val="20"/>
          <w:szCs w:val="20"/>
          <w:lang w:eastAsia="sl-SI"/>
        </w:rPr>
      </w:pPr>
    </w:p>
    <w:p w:rsidR="00563BCC" w:rsidRDefault="00563BCC" w:rsidP="00563BCC">
      <w:pPr>
        <w:pStyle w:val="Glava"/>
        <w:tabs>
          <w:tab w:val="clear" w:pos="4320"/>
          <w:tab w:val="left" w:pos="5112"/>
        </w:tabs>
        <w:spacing w:before="120" w:line="240" w:lineRule="exact"/>
        <w:rPr>
          <w:rFonts w:cs="Arial"/>
          <w:sz w:val="16"/>
        </w:rPr>
      </w:pPr>
      <w:r>
        <w:rPr>
          <w:noProof/>
          <w:lang w:val="sl-SI" w:eastAsia="sl-SI"/>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3" name="Slika 3"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 xml:space="preserve">      </w:t>
      </w:r>
      <w:proofErr w:type="spellStart"/>
      <w:r>
        <w:rPr>
          <w:rFonts w:cs="Arial"/>
          <w:sz w:val="16"/>
        </w:rPr>
        <w:t>Gregorčičeva</w:t>
      </w:r>
      <w:proofErr w:type="spellEnd"/>
      <w:r>
        <w:rPr>
          <w:rFonts w:cs="Arial"/>
          <w:sz w:val="16"/>
        </w:rPr>
        <w:t xml:space="preserve"> 20–25, Sl-1001 Ljubljana</w:t>
      </w:r>
      <w:r>
        <w:rPr>
          <w:rFonts w:cs="Arial"/>
          <w:sz w:val="16"/>
        </w:rPr>
        <w:tab/>
        <w:t>T: +386 1 478 1000</w:t>
      </w:r>
    </w:p>
    <w:p w:rsidR="00563BCC" w:rsidRDefault="00563BCC" w:rsidP="00563BCC">
      <w:pPr>
        <w:pStyle w:val="Glava"/>
        <w:tabs>
          <w:tab w:val="clear" w:pos="4320"/>
          <w:tab w:val="left" w:pos="5112"/>
        </w:tabs>
        <w:spacing w:line="240" w:lineRule="exact"/>
        <w:rPr>
          <w:rFonts w:cs="Arial"/>
          <w:sz w:val="16"/>
        </w:rPr>
      </w:pPr>
      <w:r>
        <w:rPr>
          <w:rFonts w:cs="Arial"/>
          <w:sz w:val="16"/>
        </w:rPr>
        <w:tab/>
        <w:t>F: +386 1 478 1607</w:t>
      </w:r>
    </w:p>
    <w:p w:rsidR="00563BCC" w:rsidRDefault="00563BCC" w:rsidP="00563BCC">
      <w:pPr>
        <w:pStyle w:val="Glava"/>
        <w:tabs>
          <w:tab w:val="clear" w:pos="4320"/>
          <w:tab w:val="left" w:pos="5112"/>
        </w:tabs>
        <w:spacing w:line="240" w:lineRule="exact"/>
        <w:rPr>
          <w:rFonts w:cs="Arial"/>
          <w:sz w:val="16"/>
        </w:rPr>
      </w:pPr>
      <w:r>
        <w:rPr>
          <w:rFonts w:cs="Arial"/>
          <w:sz w:val="16"/>
        </w:rPr>
        <w:tab/>
        <w:t>E: gp.gs@gov.si</w:t>
      </w:r>
    </w:p>
    <w:p w:rsidR="00563BCC" w:rsidRDefault="00563BCC" w:rsidP="00563BCC">
      <w:pPr>
        <w:pStyle w:val="Glava"/>
        <w:tabs>
          <w:tab w:val="clear" w:pos="4320"/>
          <w:tab w:val="left" w:pos="5112"/>
        </w:tabs>
        <w:spacing w:line="240" w:lineRule="exact"/>
        <w:rPr>
          <w:rFonts w:cs="Arial"/>
          <w:sz w:val="16"/>
        </w:rPr>
      </w:pPr>
      <w:r>
        <w:rPr>
          <w:rFonts w:cs="Arial"/>
          <w:sz w:val="16"/>
        </w:rPr>
        <w:tab/>
        <w:t>http://www.vlada.si/</w:t>
      </w:r>
    </w:p>
    <w:p w:rsidR="00563BCC" w:rsidRDefault="00563BCC" w:rsidP="004E41B5">
      <w:pPr>
        <w:pStyle w:val="Odstavekseznama"/>
        <w:spacing w:after="0" w:line="260" w:lineRule="exact"/>
        <w:ind w:left="0"/>
        <w:jc w:val="both"/>
        <w:rPr>
          <w:rFonts w:ascii="Arial" w:hAnsi="Arial" w:cs="Arial"/>
          <w:sz w:val="20"/>
          <w:szCs w:val="20"/>
          <w:lang w:eastAsia="sl-SI"/>
        </w:rPr>
      </w:pPr>
    </w:p>
    <w:p w:rsidR="00563BCC" w:rsidRPr="002760DC" w:rsidRDefault="00563BCC" w:rsidP="00563BCC">
      <w:pPr>
        <w:pStyle w:val="datumtevilka"/>
        <w:rPr>
          <w:lang w:val="sl-SI"/>
        </w:rPr>
      </w:pPr>
      <w:r w:rsidRPr="002760DC">
        <w:rPr>
          <w:rFonts w:cs="Arial"/>
          <w:color w:val="000000"/>
          <w:lang w:val="sl-SI"/>
        </w:rPr>
        <w:tab/>
      </w:r>
    </w:p>
    <w:p w:rsidR="00563BCC" w:rsidRPr="002760DC" w:rsidRDefault="00563BCC" w:rsidP="00563BCC">
      <w:pPr>
        <w:pStyle w:val="datumtevilka"/>
        <w:rPr>
          <w:lang w:val="sl-SI"/>
        </w:rPr>
      </w:pPr>
      <w:r w:rsidRPr="002760DC">
        <w:rPr>
          <w:lang w:val="sl-SI"/>
        </w:rPr>
        <w:t xml:space="preserve">Številka: </w:t>
      </w:r>
      <w:r w:rsidRPr="002760DC">
        <w:rPr>
          <w:lang w:val="sl-SI"/>
        </w:rPr>
        <w:tab/>
      </w:r>
      <w:r>
        <w:rPr>
          <w:rFonts w:cs="Arial"/>
          <w:color w:val="000000"/>
          <w:lang w:val="sl-SI"/>
        </w:rPr>
        <w:t>00104-208/2019/4</w:t>
      </w:r>
    </w:p>
    <w:p w:rsidR="00563BCC" w:rsidRPr="002760DC" w:rsidRDefault="00563BCC" w:rsidP="00563BCC">
      <w:pPr>
        <w:pStyle w:val="datumtevilka"/>
        <w:rPr>
          <w:lang w:val="sl-SI"/>
        </w:rPr>
      </w:pPr>
      <w:r>
        <w:rPr>
          <w:lang w:val="sl-SI"/>
        </w:rPr>
        <w:t>Datum:</w:t>
      </w:r>
      <w:r w:rsidRPr="002760DC">
        <w:rPr>
          <w:lang w:val="sl-SI"/>
        </w:rPr>
        <w:tab/>
      </w:r>
      <w:r>
        <w:rPr>
          <w:rFonts w:cs="Arial"/>
          <w:color w:val="000000"/>
          <w:lang w:eastAsia="sl-SI"/>
        </w:rPr>
        <w:t>31. 7. 2019</w:t>
      </w:r>
      <w:r w:rsidRPr="002760DC">
        <w:rPr>
          <w:lang w:val="sl-SI"/>
        </w:rPr>
        <w:t xml:space="preserve"> </w:t>
      </w:r>
    </w:p>
    <w:p w:rsidR="00563BCC" w:rsidRPr="002760DC" w:rsidRDefault="00563BCC" w:rsidP="00563BCC"/>
    <w:p w:rsidR="00563BCC" w:rsidRPr="00563BCC" w:rsidRDefault="00563BCC" w:rsidP="00563BCC">
      <w:pPr>
        <w:autoSpaceDE w:val="0"/>
        <w:autoSpaceDN w:val="0"/>
        <w:adjustRightInd w:val="0"/>
        <w:jc w:val="center"/>
        <w:rPr>
          <w:rFonts w:cs="Arial"/>
          <w:b/>
          <w:color w:val="000000"/>
          <w:szCs w:val="20"/>
          <w:lang w:eastAsia="sl-SI"/>
        </w:rPr>
      </w:pPr>
      <w:r w:rsidRPr="00563BCC">
        <w:rPr>
          <w:rFonts w:cs="Arial"/>
          <w:b/>
          <w:color w:val="000000"/>
          <w:szCs w:val="20"/>
        </w:rPr>
        <w:t>Odgovor na poslansko vprašanje Dušana Šiška v zvezi z ugotavljanjem zadostnih sredstev</w:t>
      </w:r>
    </w:p>
    <w:p w:rsidR="00563BCC" w:rsidRDefault="00563BCC" w:rsidP="004E41B5">
      <w:pPr>
        <w:pStyle w:val="Odstavekseznama"/>
        <w:spacing w:after="0" w:line="260" w:lineRule="exact"/>
        <w:ind w:left="0"/>
        <w:jc w:val="both"/>
        <w:rPr>
          <w:rFonts w:ascii="Arial" w:hAnsi="Arial" w:cs="Arial"/>
          <w:sz w:val="20"/>
          <w:szCs w:val="20"/>
          <w:lang w:eastAsia="sl-SI"/>
        </w:rPr>
      </w:pPr>
    </w:p>
    <w:p w:rsidR="00563BCC" w:rsidRDefault="00563BCC" w:rsidP="00FB69D9">
      <w:pPr>
        <w:pStyle w:val="Odstavekseznama"/>
        <w:spacing w:after="0"/>
        <w:ind w:left="0"/>
        <w:jc w:val="both"/>
        <w:rPr>
          <w:rFonts w:ascii="Arial" w:hAnsi="Arial" w:cs="Arial"/>
          <w:sz w:val="20"/>
          <w:szCs w:val="20"/>
          <w:lang w:eastAsia="sl-SI"/>
        </w:rPr>
      </w:pPr>
    </w:p>
    <w:p w:rsidR="00AB6263" w:rsidRDefault="002B00F2" w:rsidP="00FB69D9">
      <w:pPr>
        <w:pStyle w:val="Odstavekseznama"/>
        <w:spacing w:after="0"/>
        <w:ind w:left="0"/>
        <w:jc w:val="both"/>
        <w:rPr>
          <w:rFonts w:ascii="Arial" w:hAnsi="Arial" w:cs="Arial"/>
          <w:sz w:val="20"/>
          <w:szCs w:val="20"/>
          <w:lang w:eastAsia="sl-SI"/>
        </w:rPr>
      </w:pPr>
      <w:bookmarkStart w:id="0" w:name="_GoBack"/>
      <w:bookmarkEnd w:id="0"/>
      <w:r>
        <w:rPr>
          <w:rFonts w:ascii="Arial" w:hAnsi="Arial" w:cs="Arial"/>
          <w:sz w:val="20"/>
          <w:szCs w:val="20"/>
          <w:lang w:eastAsia="sl-SI"/>
        </w:rPr>
        <w:t>Poslanec Državnega zbora Republike Slovenije Dušan Šiško je 4. 7. 2019 preko predsednika Državnega zbora Republike Slovenije mag. Dejana Židana, na Vlado Republike Slovenije naslovil poslansko vprašanje v zvezi z ugotavljanjem zadostnih sredstev.</w:t>
      </w:r>
    </w:p>
    <w:p w:rsidR="00AB6263" w:rsidRDefault="00AB6263" w:rsidP="00FB69D9">
      <w:pPr>
        <w:pStyle w:val="Odstavekseznama"/>
        <w:spacing w:after="0"/>
        <w:ind w:left="0"/>
        <w:jc w:val="both"/>
        <w:rPr>
          <w:rFonts w:ascii="Arial" w:hAnsi="Arial" w:cs="Arial"/>
          <w:sz w:val="20"/>
          <w:szCs w:val="20"/>
          <w:lang w:eastAsia="sl-SI"/>
        </w:rPr>
      </w:pPr>
    </w:p>
    <w:p w:rsidR="00AB6263" w:rsidRDefault="00AB6263" w:rsidP="00FB69D9">
      <w:pPr>
        <w:pStyle w:val="Odstavekseznama"/>
        <w:spacing w:after="0"/>
        <w:ind w:left="0"/>
        <w:jc w:val="both"/>
        <w:rPr>
          <w:rFonts w:ascii="Arial" w:hAnsi="Arial" w:cs="Arial"/>
          <w:sz w:val="20"/>
          <w:szCs w:val="20"/>
          <w:lang w:eastAsia="sl-SI"/>
        </w:rPr>
      </w:pPr>
    </w:p>
    <w:p w:rsidR="00AB6263" w:rsidRPr="00AB6263" w:rsidRDefault="00AB6263" w:rsidP="00FB69D9">
      <w:pPr>
        <w:pStyle w:val="Odstavekseznama"/>
        <w:spacing w:after="0"/>
        <w:ind w:left="0"/>
        <w:jc w:val="both"/>
        <w:rPr>
          <w:rFonts w:ascii="Arial" w:hAnsi="Arial" w:cs="Arial"/>
          <w:b/>
          <w:sz w:val="20"/>
          <w:szCs w:val="20"/>
          <w:lang w:eastAsia="sl-SI"/>
        </w:rPr>
      </w:pPr>
      <w:r w:rsidRPr="00AB6263">
        <w:rPr>
          <w:rFonts w:ascii="Arial" w:hAnsi="Arial" w:cs="Arial"/>
          <w:b/>
          <w:sz w:val="20"/>
          <w:szCs w:val="20"/>
          <w:lang w:eastAsia="sl-SI"/>
        </w:rPr>
        <w:t>Odgovor Vlade Republike Slovenije:</w:t>
      </w:r>
    </w:p>
    <w:p w:rsidR="00AB6263" w:rsidRDefault="00AB6263" w:rsidP="00FB69D9">
      <w:pPr>
        <w:pStyle w:val="Odstavekseznama"/>
        <w:spacing w:after="0"/>
        <w:ind w:left="0"/>
        <w:jc w:val="both"/>
        <w:rPr>
          <w:rFonts w:ascii="Arial" w:hAnsi="Arial" w:cs="Arial"/>
          <w:sz w:val="20"/>
          <w:szCs w:val="20"/>
          <w:lang w:eastAsia="sl-SI"/>
        </w:rPr>
      </w:pPr>
    </w:p>
    <w:p w:rsidR="00280954" w:rsidRPr="00280954" w:rsidRDefault="00280954" w:rsidP="00FB69D9">
      <w:pPr>
        <w:pStyle w:val="Odstavekseznama"/>
        <w:spacing w:after="0"/>
        <w:ind w:left="0"/>
        <w:jc w:val="both"/>
        <w:rPr>
          <w:rFonts w:ascii="Arial" w:hAnsi="Arial" w:cs="Arial"/>
          <w:sz w:val="20"/>
          <w:szCs w:val="20"/>
          <w:lang w:val="x-none"/>
        </w:rPr>
      </w:pPr>
      <w:r w:rsidRPr="00280954">
        <w:rPr>
          <w:rFonts w:ascii="Arial" w:hAnsi="Arial" w:cs="Arial"/>
          <w:sz w:val="20"/>
          <w:szCs w:val="20"/>
          <w:lang w:eastAsia="sl-SI"/>
        </w:rPr>
        <w:t xml:space="preserve">Pravilnik o načinu ugotavljanja </w:t>
      </w:r>
      <w:r w:rsidRPr="00280954">
        <w:rPr>
          <w:rFonts w:ascii="Arial" w:hAnsi="Arial" w:cs="Arial"/>
          <w:sz w:val="20"/>
          <w:szCs w:val="20"/>
        </w:rPr>
        <w:t>zadostnih sredstev za preživljanje v postopku izdaje dovolj</w:t>
      </w:r>
      <w:r w:rsidR="00FB69D9">
        <w:rPr>
          <w:rFonts w:ascii="Arial" w:hAnsi="Arial" w:cs="Arial"/>
          <w:sz w:val="20"/>
          <w:szCs w:val="20"/>
        </w:rPr>
        <w:t xml:space="preserve">enja za prebivanje </w:t>
      </w:r>
      <w:r w:rsidR="00FB69D9" w:rsidRPr="00FB69D9">
        <w:rPr>
          <w:rFonts w:ascii="Arial" w:hAnsi="Arial" w:cs="Arial"/>
          <w:sz w:val="20"/>
          <w:szCs w:val="20"/>
        </w:rPr>
        <w:t xml:space="preserve">(Uradni list RS, št. </w:t>
      </w:r>
      <w:hyperlink r:id="rId9" w:tgtFrame="_blank" w:tooltip="Pravilnik o načinu ugotavljanja zadostnih sredstev za preživljanje v postopku izdaje dovoljenja za prebivanje" w:history="1">
        <w:r w:rsidR="00FB69D9" w:rsidRPr="00FB69D9">
          <w:rPr>
            <w:rStyle w:val="Hiperpovezava"/>
            <w:rFonts w:ascii="Arial" w:hAnsi="Arial" w:cs="Arial"/>
            <w:color w:val="auto"/>
            <w:sz w:val="20"/>
            <w:szCs w:val="20"/>
            <w:u w:val="none"/>
          </w:rPr>
          <w:t>61/12</w:t>
        </w:r>
      </w:hyperlink>
      <w:r w:rsidR="00FB69D9" w:rsidRPr="00FB69D9">
        <w:rPr>
          <w:rFonts w:ascii="Arial" w:hAnsi="Arial" w:cs="Arial"/>
          <w:sz w:val="20"/>
          <w:szCs w:val="20"/>
        </w:rPr>
        <w:t xml:space="preserve">, </w:t>
      </w:r>
      <w:hyperlink r:id="rId10" w:tgtFrame="_blank" w:tooltip="Pravilnik o spremembah Pravilnika o načinu ugotavljanja zadostnih sredstev za preživljanje v postopku izdaje dovoljenja za prebivanje" w:history="1">
        <w:r w:rsidR="00FB69D9" w:rsidRPr="00FB69D9">
          <w:rPr>
            <w:rStyle w:val="Hiperpovezava"/>
            <w:rFonts w:ascii="Arial" w:hAnsi="Arial" w:cs="Arial"/>
            <w:color w:val="auto"/>
            <w:sz w:val="20"/>
            <w:szCs w:val="20"/>
            <w:u w:val="none"/>
          </w:rPr>
          <w:t>92/14</w:t>
        </w:r>
      </w:hyperlink>
      <w:r w:rsidR="00FB69D9" w:rsidRPr="00FB69D9">
        <w:rPr>
          <w:rFonts w:ascii="Arial" w:hAnsi="Arial" w:cs="Arial"/>
          <w:sz w:val="20"/>
          <w:szCs w:val="20"/>
        </w:rPr>
        <w:t xml:space="preserve">, </w:t>
      </w:r>
      <w:hyperlink r:id="rId11" w:tgtFrame="_blank" w:tooltip="Pravilnik o spremembah in dopolnitvah Pravilnika o načinu ugotavljanja zadostnih sredstev za preživljanje v postopku izdaje dovoljenja za prebivanje" w:history="1">
        <w:r w:rsidR="00FB69D9" w:rsidRPr="00FB69D9">
          <w:rPr>
            <w:rStyle w:val="Hiperpovezava"/>
            <w:rFonts w:ascii="Arial" w:hAnsi="Arial" w:cs="Arial"/>
            <w:color w:val="auto"/>
            <w:sz w:val="20"/>
            <w:szCs w:val="20"/>
            <w:u w:val="none"/>
          </w:rPr>
          <w:t>2/16</w:t>
        </w:r>
      </w:hyperlink>
      <w:r w:rsidR="00FB69D9" w:rsidRPr="00FB69D9">
        <w:rPr>
          <w:rFonts w:ascii="Arial" w:hAnsi="Arial" w:cs="Arial"/>
          <w:sz w:val="20"/>
          <w:szCs w:val="20"/>
        </w:rPr>
        <w:t xml:space="preserve"> in </w:t>
      </w:r>
      <w:hyperlink r:id="rId12" w:tgtFrame="_blank" w:tooltip="Pravilnik o spremembah in dopolnitvah Pravilnika o načinu ugotavljanja zadostnih sredstev za preživljanje v postopku izdaje dovoljenja za prebivanje" w:history="1">
        <w:r w:rsidR="00FB69D9" w:rsidRPr="00FB69D9">
          <w:rPr>
            <w:rStyle w:val="Hiperpovezava"/>
            <w:rFonts w:ascii="Arial" w:hAnsi="Arial" w:cs="Arial"/>
            <w:color w:val="auto"/>
            <w:sz w:val="20"/>
            <w:szCs w:val="20"/>
            <w:u w:val="none"/>
          </w:rPr>
          <w:t>44/18</w:t>
        </w:r>
      </w:hyperlink>
      <w:r w:rsidR="00FB69D9">
        <w:rPr>
          <w:rFonts w:ascii="Arial" w:hAnsi="Arial" w:cs="Arial"/>
          <w:sz w:val="20"/>
          <w:szCs w:val="20"/>
        </w:rPr>
        <w:t>;</w:t>
      </w:r>
      <w:r w:rsidRPr="00FB69D9">
        <w:rPr>
          <w:rFonts w:ascii="Arial" w:hAnsi="Arial" w:cs="Arial"/>
          <w:sz w:val="20"/>
          <w:szCs w:val="20"/>
        </w:rPr>
        <w:t xml:space="preserve"> </w:t>
      </w:r>
      <w:r w:rsidRPr="00280954">
        <w:rPr>
          <w:rFonts w:ascii="Arial" w:hAnsi="Arial" w:cs="Arial"/>
          <w:sz w:val="20"/>
          <w:szCs w:val="20"/>
        </w:rPr>
        <w:t xml:space="preserve">v nadaljnjem besedilu: pravilnik) določa način ugotavljanja zadostnih sredstev za preživljanje, ki jih tretji odstavek 33. člena in drugi </w:t>
      </w:r>
      <w:r w:rsidRPr="00280954">
        <w:rPr>
          <w:rFonts w:ascii="Arial" w:hAnsi="Arial" w:cs="Arial"/>
          <w:sz w:val="20"/>
          <w:szCs w:val="20"/>
          <w:lang w:val="x-none"/>
        </w:rPr>
        <w:t xml:space="preserve">odstavek 36. člena Zakona o tujcih (Uradni list RS, št. </w:t>
      </w:r>
      <w:r w:rsidRPr="00280954">
        <w:rPr>
          <w:rFonts w:ascii="Arial" w:hAnsi="Arial" w:cs="Arial"/>
          <w:sz w:val="20"/>
          <w:szCs w:val="20"/>
        </w:rPr>
        <w:t>1/18</w:t>
      </w:r>
      <w:r w:rsidRPr="00280954">
        <w:rPr>
          <w:rFonts w:ascii="Arial" w:hAnsi="Arial" w:cs="Arial"/>
          <w:sz w:val="20"/>
          <w:szCs w:val="20"/>
          <w:lang w:val="x-none"/>
        </w:rPr>
        <w:t xml:space="preserve"> – uradno prečiščeno besedilo</w:t>
      </w:r>
      <w:r w:rsidRPr="00280954">
        <w:rPr>
          <w:rFonts w:ascii="Arial" w:hAnsi="Arial" w:cs="Arial"/>
          <w:sz w:val="20"/>
          <w:szCs w:val="20"/>
        </w:rPr>
        <w:t xml:space="preserve"> in 9/18 – </w:t>
      </w:r>
      <w:proofErr w:type="spellStart"/>
      <w:r w:rsidRPr="00280954">
        <w:rPr>
          <w:rFonts w:ascii="Arial" w:hAnsi="Arial" w:cs="Arial"/>
          <w:sz w:val="20"/>
          <w:szCs w:val="20"/>
        </w:rPr>
        <w:t>popr</w:t>
      </w:r>
      <w:proofErr w:type="spellEnd"/>
      <w:r w:rsidRPr="00280954">
        <w:rPr>
          <w:rFonts w:ascii="Arial" w:hAnsi="Arial" w:cs="Arial"/>
          <w:sz w:val="20"/>
          <w:szCs w:val="20"/>
        </w:rPr>
        <w:t xml:space="preserve">.) </w:t>
      </w:r>
      <w:r w:rsidRPr="00280954">
        <w:rPr>
          <w:rFonts w:ascii="Arial" w:hAnsi="Arial" w:cs="Arial"/>
          <w:sz w:val="20"/>
          <w:szCs w:val="20"/>
          <w:lang w:val="x-none"/>
        </w:rPr>
        <w:t>določata kot pogoj za izdajo ali podaljšanje dovoljenja za prebivanje tujca v Republiki Sloveniji.</w:t>
      </w:r>
    </w:p>
    <w:p w:rsidR="00280954" w:rsidRPr="00280954" w:rsidRDefault="00280954" w:rsidP="00FB69D9">
      <w:pPr>
        <w:pStyle w:val="Odstavekseznama"/>
        <w:spacing w:after="0"/>
        <w:ind w:left="0"/>
        <w:jc w:val="both"/>
        <w:rPr>
          <w:rFonts w:ascii="Arial" w:hAnsi="Arial" w:cs="Arial"/>
          <w:sz w:val="20"/>
          <w:szCs w:val="20"/>
          <w:lang w:val="x-none"/>
        </w:rPr>
      </w:pPr>
    </w:p>
    <w:p w:rsidR="00280954" w:rsidRPr="00280954" w:rsidRDefault="00280954" w:rsidP="00280954">
      <w:pPr>
        <w:pStyle w:val="Odstavekseznama"/>
        <w:spacing w:after="0" w:line="260" w:lineRule="exact"/>
        <w:ind w:left="0"/>
        <w:jc w:val="both"/>
        <w:rPr>
          <w:rFonts w:ascii="Arial" w:hAnsi="Arial" w:cs="Arial"/>
          <w:sz w:val="20"/>
          <w:szCs w:val="20"/>
        </w:rPr>
      </w:pPr>
      <w:r w:rsidRPr="00280954">
        <w:rPr>
          <w:rFonts w:ascii="Arial" w:hAnsi="Arial" w:cs="Arial"/>
          <w:sz w:val="20"/>
          <w:szCs w:val="20"/>
        </w:rPr>
        <w:t xml:space="preserve">Način ugotavljanja zadostnih sredstev pri tujcih, ki v </w:t>
      </w:r>
      <w:r w:rsidRPr="00280954">
        <w:rPr>
          <w:rFonts w:ascii="Arial" w:hAnsi="Arial" w:cs="Arial"/>
          <w:sz w:val="20"/>
          <w:szCs w:val="20"/>
          <w:lang w:val="x-none"/>
        </w:rPr>
        <w:t>Republiki Sloveniji opravlja</w:t>
      </w:r>
      <w:r w:rsidRPr="00280954">
        <w:rPr>
          <w:rFonts w:ascii="Arial" w:hAnsi="Arial" w:cs="Arial"/>
          <w:sz w:val="20"/>
          <w:szCs w:val="20"/>
        </w:rPr>
        <w:t>jo</w:t>
      </w:r>
      <w:r w:rsidRPr="00280954">
        <w:rPr>
          <w:rFonts w:ascii="Arial" w:hAnsi="Arial" w:cs="Arial"/>
          <w:sz w:val="20"/>
          <w:szCs w:val="20"/>
          <w:lang w:val="x-none"/>
        </w:rPr>
        <w:t xml:space="preserve"> dejavnost samostojnega podjetnika posameznika, in tujc</w:t>
      </w:r>
      <w:r w:rsidRPr="00280954">
        <w:rPr>
          <w:rFonts w:ascii="Arial" w:hAnsi="Arial" w:cs="Arial"/>
          <w:sz w:val="20"/>
          <w:szCs w:val="20"/>
        </w:rPr>
        <w:t>ih</w:t>
      </w:r>
      <w:r w:rsidRPr="00280954">
        <w:rPr>
          <w:rFonts w:ascii="Arial" w:hAnsi="Arial" w:cs="Arial"/>
          <w:sz w:val="20"/>
          <w:szCs w:val="20"/>
          <w:lang w:val="x-none"/>
        </w:rPr>
        <w:t>, ki v Republiki Sloveniji samostojno opravlja</w:t>
      </w:r>
      <w:r w:rsidRPr="00280954">
        <w:rPr>
          <w:rFonts w:ascii="Arial" w:hAnsi="Arial" w:cs="Arial"/>
          <w:sz w:val="20"/>
          <w:szCs w:val="20"/>
        </w:rPr>
        <w:t>jo</w:t>
      </w:r>
      <w:r w:rsidRPr="00280954">
        <w:rPr>
          <w:rFonts w:ascii="Arial" w:hAnsi="Arial" w:cs="Arial"/>
          <w:sz w:val="20"/>
          <w:szCs w:val="20"/>
          <w:lang w:val="x-none"/>
        </w:rPr>
        <w:t xml:space="preserve"> dejavnost kot poklic</w:t>
      </w:r>
      <w:r w:rsidR="00AB6263">
        <w:rPr>
          <w:rFonts w:ascii="Arial" w:hAnsi="Arial" w:cs="Arial"/>
          <w:sz w:val="20"/>
          <w:szCs w:val="20"/>
        </w:rPr>
        <w:t>,</w:t>
      </w:r>
      <w:r w:rsidRPr="00280954">
        <w:rPr>
          <w:rFonts w:ascii="Arial" w:hAnsi="Arial" w:cs="Arial"/>
          <w:sz w:val="20"/>
          <w:szCs w:val="20"/>
        </w:rPr>
        <w:t xml:space="preserve"> določa 3. člen pravilnika. Prvi odstavek 3. člena pravilnika določa, da t</w:t>
      </w:r>
      <w:r w:rsidRPr="00280954">
        <w:rPr>
          <w:rFonts w:ascii="Arial" w:hAnsi="Arial" w:cs="Arial"/>
          <w:sz w:val="20"/>
          <w:szCs w:val="20"/>
          <w:lang w:val="x-none"/>
        </w:rPr>
        <w:t xml:space="preserve">ujec, </w:t>
      </w:r>
      <w:r w:rsidRPr="00280954">
        <w:rPr>
          <w:rFonts w:ascii="Arial" w:hAnsi="Arial" w:cs="Arial"/>
          <w:sz w:val="20"/>
          <w:szCs w:val="20"/>
        </w:rPr>
        <w:t xml:space="preserve">ki </w:t>
      </w:r>
      <w:r w:rsidRPr="00280954">
        <w:rPr>
          <w:rFonts w:ascii="Arial" w:hAnsi="Arial" w:cs="Arial"/>
          <w:sz w:val="20"/>
          <w:szCs w:val="20"/>
          <w:lang w:val="x-none"/>
        </w:rPr>
        <w:t>dobiček ugotavlja na podlagi dejanskih prihodkov in odhodkov, izpolnjevanje pogoja zadostnih sredstev za preživljanje dokazuje z dobičkom, doseženim z opravljanjem dejavnosti v koledarskem letu pred letom vložitve prošnje za izdajo ali podaljšanje dovoljenja za prebivanje oziroma v koledarskem letu pred letom odločanja pristojnega organa o prošnji za izdajo ali podaljšanje dovoljenja za prebivanje, ugotovljenim na podlagi davčnega obračuna akontacije dohodnine od dohodka iz dejavnosti, preračunanim na mesec.</w:t>
      </w:r>
      <w:r>
        <w:rPr>
          <w:rFonts w:ascii="Arial" w:hAnsi="Arial" w:cs="Arial"/>
          <w:sz w:val="20"/>
          <w:szCs w:val="20"/>
        </w:rPr>
        <w:t xml:space="preserve"> Šesti odstavek 3. člena pravilnika pa določa, da tujec, </w:t>
      </w:r>
      <w:r w:rsidRPr="00280954">
        <w:rPr>
          <w:rFonts w:ascii="Arial" w:hAnsi="Arial" w:cs="Arial"/>
          <w:sz w:val="20"/>
          <w:szCs w:val="20"/>
          <w:lang w:val="x-none"/>
        </w:rPr>
        <w:t>katerega dobiček se ugotavlja na podlagi dejanskih prihodkov in normiranih odhodkov</w:t>
      </w:r>
      <w:r w:rsidR="005735C5">
        <w:rPr>
          <w:rFonts w:ascii="Arial" w:hAnsi="Arial" w:cs="Arial"/>
          <w:sz w:val="20"/>
          <w:szCs w:val="20"/>
        </w:rPr>
        <w:t xml:space="preserve"> (v nadaljnjem besedilu: </w:t>
      </w:r>
      <w:proofErr w:type="spellStart"/>
      <w:r w:rsidR="005735C5">
        <w:rPr>
          <w:rFonts w:ascii="Arial" w:hAnsi="Arial" w:cs="Arial"/>
          <w:sz w:val="20"/>
          <w:szCs w:val="20"/>
        </w:rPr>
        <w:t>normiranec</w:t>
      </w:r>
      <w:proofErr w:type="spellEnd"/>
      <w:r w:rsidR="005735C5">
        <w:rPr>
          <w:rFonts w:ascii="Arial" w:hAnsi="Arial" w:cs="Arial"/>
          <w:sz w:val="20"/>
          <w:szCs w:val="20"/>
        </w:rPr>
        <w:t>)</w:t>
      </w:r>
      <w:r w:rsidRPr="00280954">
        <w:rPr>
          <w:rFonts w:ascii="Arial" w:hAnsi="Arial" w:cs="Arial"/>
          <w:sz w:val="20"/>
          <w:szCs w:val="20"/>
          <w:lang w:val="x-none"/>
        </w:rPr>
        <w:t>, izpolnjevanje pogoja zadostnih sredstev za preživljanje dokazuje z dohodki, prejetimi v koledarskem letu pred letom vložitve prošnje za izdajo ali podaljšanje dovoljenja za prebivanje oziroma v koledarskem letu pred letom odločanja pristojnega organa o prošnji za izdajo ali podaljšanje dovoljenja za prebivanje, ugotovljenim na podlagi davčnega obračuna akontacije dohodnine in dohodnine od dohodka iz dejavnosti, preračunanim na mesec.</w:t>
      </w:r>
    </w:p>
    <w:p w:rsidR="00280954" w:rsidRDefault="00280954" w:rsidP="00280954">
      <w:pPr>
        <w:pStyle w:val="Odstavekseznama"/>
        <w:spacing w:after="0" w:line="260" w:lineRule="exact"/>
        <w:ind w:left="0"/>
        <w:jc w:val="both"/>
        <w:rPr>
          <w:rFonts w:ascii="Arial" w:hAnsi="Arial" w:cs="Arial"/>
          <w:sz w:val="20"/>
          <w:szCs w:val="20"/>
          <w:lang w:val="x-none"/>
        </w:rPr>
      </w:pPr>
    </w:p>
    <w:p w:rsidR="005735C5" w:rsidRDefault="00116149" w:rsidP="00E1566B">
      <w:pPr>
        <w:spacing w:line="276" w:lineRule="auto"/>
        <w:jc w:val="both"/>
        <w:rPr>
          <w:rFonts w:cs="Arial"/>
          <w:szCs w:val="20"/>
        </w:rPr>
      </w:pPr>
      <w:r w:rsidRPr="00116149">
        <w:rPr>
          <w:rFonts w:cs="Arial"/>
          <w:szCs w:val="20"/>
        </w:rPr>
        <w:t>Skladno s 34. členom Zakona o državni upravi</w:t>
      </w:r>
      <w:r>
        <w:rPr>
          <w:rFonts w:cs="Arial"/>
          <w:szCs w:val="20"/>
        </w:rPr>
        <w:t xml:space="preserve"> </w:t>
      </w:r>
      <w:r w:rsidRPr="005735C5">
        <w:rPr>
          <w:rFonts w:cs="Arial"/>
          <w:szCs w:val="20"/>
        </w:rPr>
        <w:t>(</w:t>
      </w:r>
      <w:r w:rsidRPr="005735C5">
        <w:rPr>
          <w:szCs w:val="20"/>
        </w:rPr>
        <w:t xml:space="preserve">Uradni list RS, št. </w:t>
      </w:r>
      <w:hyperlink r:id="rId13" w:tgtFrame="_blank" w:tooltip="Zakon o državni upravi (uradno prečiščeno besedilo)" w:history="1">
        <w:r w:rsidRPr="005735C5">
          <w:rPr>
            <w:rStyle w:val="Hiperpovezava"/>
            <w:color w:val="auto"/>
            <w:szCs w:val="20"/>
            <w:u w:val="none"/>
          </w:rPr>
          <w:t>113/05</w:t>
        </w:r>
      </w:hyperlink>
      <w:r w:rsidRPr="005735C5">
        <w:rPr>
          <w:szCs w:val="20"/>
        </w:rPr>
        <w:t xml:space="preserve"> – uradno prečiščeno besedilo, </w:t>
      </w:r>
      <w:hyperlink r:id="rId14" w:tgtFrame="_blank" w:tooltip="Odločba o razveljavitvi 2. člena Zakona o spremembah in dopolnitvah Zakona o državni upravi" w:history="1">
        <w:r w:rsidRPr="005735C5">
          <w:rPr>
            <w:rStyle w:val="Hiperpovezava"/>
            <w:color w:val="auto"/>
            <w:szCs w:val="20"/>
            <w:u w:val="none"/>
          </w:rPr>
          <w:t>89/07</w:t>
        </w:r>
      </w:hyperlink>
      <w:r w:rsidRPr="005735C5">
        <w:rPr>
          <w:szCs w:val="20"/>
        </w:rPr>
        <w:t xml:space="preserve"> – </w:t>
      </w:r>
      <w:proofErr w:type="spellStart"/>
      <w:r w:rsidRPr="005735C5">
        <w:rPr>
          <w:szCs w:val="20"/>
        </w:rPr>
        <w:t>odl</w:t>
      </w:r>
      <w:proofErr w:type="spellEnd"/>
      <w:r w:rsidRPr="005735C5">
        <w:rPr>
          <w:szCs w:val="20"/>
        </w:rPr>
        <w:t xml:space="preserve">. US, </w:t>
      </w:r>
      <w:hyperlink r:id="rId15" w:tgtFrame="_blank" w:tooltip="Zakon o spremembah in dopolnitvah Zakona o splošnem upravnem postopku" w:history="1">
        <w:r w:rsidRPr="005735C5">
          <w:rPr>
            <w:rStyle w:val="Hiperpovezava"/>
            <w:color w:val="auto"/>
            <w:szCs w:val="20"/>
            <w:u w:val="none"/>
          </w:rPr>
          <w:t>126/07</w:t>
        </w:r>
      </w:hyperlink>
      <w:r w:rsidRPr="005735C5">
        <w:rPr>
          <w:szCs w:val="20"/>
        </w:rPr>
        <w:t xml:space="preserve"> – ZUP-E, </w:t>
      </w:r>
      <w:hyperlink r:id="rId16" w:tgtFrame="_blank" w:tooltip="Zakon o spremembah in dopolnitvah Zakona o državni upravi" w:history="1">
        <w:r w:rsidRPr="005735C5">
          <w:rPr>
            <w:rStyle w:val="Hiperpovezava"/>
            <w:color w:val="auto"/>
            <w:szCs w:val="20"/>
            <w:u w:val="none"/>
          </w:rPr>
          <w:t>48/09</w:t>
        </w:r>
      </w:hyperlink>
      <w:r w:rsidRPr="005735C5">
        <w:rPr>
          <w:szCs w:val="20"/>
        </w:rPr>
        <w:t xml:space="preserve">, </w:t>
      </w:r>
      <w:hyperlink r:id="rId17" w:tgtFrame="_blank" w:tooltip="Zakon o spremembah in dopolnitvah Zakona o splošnem upravnem postopku" w:history="1">
        <w:r w:rsidRPr="005735C5">
          <w:rPr>
            <w:rStyle w:val="Hiperpovezava"/>
            <w:color w:val="auto"/>
            <w:szCs w:val="20"/>
            <w:u w:val="none"/>
          </w:rPr>
          <w:t>8/10</w:t>
        </w:r>
      </w:hyperlink>
      <w:r w:rsidRPr="005735C5">
        <w:rPr>
          <w:szCs w:val="20"/>
        </w:rPr>
        <w:t xml:space="preserve"> – ZUP-G, </w:t>
      </w:r>
      <w:hyperlink r:id="rId18" w:tgtFrame="_blank" w:tooltip="Zakon o spremembah in dopolnitvah Zakona o Vladi Republike Slovenije" w:history="1">
        <w:r w:rsidRPr="005735C5">
          <w:rPr>
            <w:rStyle w:val="Hiperpovezava"/>
            <w:color w:val="auto"/>
            <w:szCs w:val="20"/>
            <w:u w:val="none"/>
          </w:rPr>
          <w:t>8/12</w:t>
        </w:r>
      </w:hyperlink>
      <w:r w:rsidRPr="005735C5">
        <w:rPr>
          <w:szCs w:val="20"/>
        </w:rPr>
        <w:t xml:space="preserve"> – ZVRS-F, </w:t>
      </w:r>
      <w:hyperlink r:id="rId19" w:tgtFrame="_blank" w:tooltip="Zakon o spremembah in dopolnitvah Zakona o državni upravi" w:history="1">
        <w:r w:rsidRPr="005735C5">
          <w:rPr>
            <w:rStyle w:val="Hiperpovezava"/>
            <w:color w:val="auto"/>
            <w:szCs w:val="20"/>
            <w:u w:val="none"/>
          </w:rPr>
          <w:t>21/12</w:t>
        </w:r>
      </w:hyperlink>
      <w:r w:rsidRPr="005735C5">
        <w:rPr>
          <w:szCs w:val="20"/>
        </w:rPr>
        <w:t xml:space="preserve">, </w:t>
      </w:r>
      <w:hyperlink r:id="rId20" w:tgtFrame="_blank" w:tooltip="Zakon o spremembah in dopolnitvah Zakona o državni upravi" w:history="1">
        <w:r w:rsidRPr="005735C5">
          <w:rPr>
            <w:rStyle w:val="Hiperpovezava"/>
            <w:color w:val="auto"/>
            <w:szCs w:val="20"/>
            <w:u w:val="none"/>
          </w:rPr>
          <w:t>47/13</w:t>
        </w:r>
      </w:hyperlink>
      <w:r w:rsidRPr="005735C5">
        <w:rPr>
          <w:szCs w:val="20"/>
        </w:rPr>
        <w:t xml:space="preserve">, </w:t>
      </w:r>
      <w:hyperlink r:id="rId21" w:tgtFrame="_blank" w:tooltip="Zakon o spremembi Zakona o državni upravi" w:history="1">
        <w:r w:rsidRPr="005735C5">
          <w:rPr>
            <w:rStyle w:val="Hiperpovezava"/>
            <w:color w:val="auto"/>
            <w:szCs w:val="20"/>
            <w:u w:val="none"/>
          </w:rPr>
          <w:t>12/14</w:t>
        </w:r>
      </w:hyperlink>
      <w:r w:rsidRPr="005735C5">
        <w:rPr>
          <w:szCs w:val="20"/>
        </w:rPr>
        <w:t xml:space="preserve">, </w:t>
      </w:r>
      <w:hyperlink r:id="rId22" w:tgtFrame="_blank" w:tooltip="Zakon o spremembah in dopolnitvah Zakona o državni upravi" w:history="1">
        <w:r w:rsidRPr="005735C5">
          <w:rPr>
            <w:rStyle w:val="Hiperpovezava"/>
            <w:color w:val="auto"/>
            <w:szCs w:val="20"/>
            <w:u w:val="none"/>
          </w:rPr>
          <w:t>90/14</w:t>
        </w:r>
      </w:hyperlink>
      <w:r w:rsidRPr="005735C5">
        <w:rPr>
          <w:szCs w:val="20"/>
        </w:rPr>
        <w:t xml:space="preserve"> in </w:t>
      </w:r>
      <w:hyperlink r:id="rId23" w:tgtFrame="_blank" w:tooltip="Zakon o spremembah in dopolnitvah Zakona o državni upravi" w:history="1">
        <w:r w:rsidRPr="005735C5">
          <w:rPr>
            <w:rStyle w:val="Hiperpovezava"/>
            <w:color w:val="auto"/>
            <w:szCs w:val="20"/>
            <w:u w:val="none"/>
          </w:rPr>
          <w:t>51/16</w:t>
        </w:r>
      </w:hyperlink>
      <w:r w:rsidRPr="005735C5">
        <w:rPr>
          <w:szCs w:val="20"/>
        </w:rPr>
        <w:t>)</w:t>
      </w:r>
      <w:r w:rsidR="005735C5">
        <w:rPr>
          <w:szCs w:val="20"/>
        </w:rPr>
        <w:t xml:space="preserve">, </w:t>
      </w:r>
      <w:r w:rsidRPr="00116149">
        <w:rPr>
          <w:rFonts w:cs="Arial"/>
          <w:szCs w:val="20"/>
        </w:rPr>
        <w:t xml:space="preserve">Ministrstvo za notranje zadeve opravlja naloge na področjih javne varnosti in policije, </w:t>
      </w:r>
      <w:r w:rsidRPr="00116149">
        <w:rPr>
          <w:rStyle w:val="highlight"/>
          <w:rFonts w:cs="Arial"/>
          <w:szCs w:val="20"/>
        </w:rPr>
        <w:t>uprav</w:t>
      </w:r>
      <w:r w:rsidRPr="00116149">
        <w:rPr>
          <w:rFonts w:cs="Arial"/>
          <w:szCs w:val="20"/>
        </w:rPr>
        <w:t>nih notranjih zadev in migracij, skladno z 49. členom zakona pa ministrstva, vsako na svojem področju dajejo upravnim enotam usmeritve, strokovne napotke in drugo strokovno pomoč, obvezna navodila za izvrševanje nalog, nadzorujejo izvrševanje upravnih nalog, itd..</w:t>
      </w:r>
      <w:r w:rsidR="005735C5">
        <w:rPr>
          <w:rFonts w:cs="Arial"/>
          <w:szCs w:val="20"/>
        </w:rPr>
        <w:t xml:space="preserve"> </w:t>
      </w:r>
      <w:r w:rsidR="00721B1D">
        <w:rPr>
          <w:rFonts w:cs="Arial"/>
          <w:szCs w:val="20"/>
        </w:rPr>
        <w:t xml:space="preserve">Tako je tudi Ministrstvo za notranje zadeve, na podlagi 49. člena Zakona o državni upravi, </w:t>
      </w:r>
      <w:r w:rsidR="005735C5">
        <w:rPr>
          <w:rFonts w:cs="Arial"/>
          <w:szCs w:val="20"/>
        </w:rPr>
        <w:t>z dopisom št. 214-316/2016/4  (1312-11)</w:t>
      </w:r>
      <w:r w:rsidR="00E1566B">
        <w:rPr>
          <w:rFonts w:cs="Arial"/>
          <w:szCs w:val="20"/>
        </w:rPr>
        <w:t xml:space="preserve"> z dne 28. 12. 2016,</w:t>
      </w:r>
      <w:r w:rsidR="005735C5">
        <w:rPr>
          <w:rFonts w:cs="Arial"/>
          <w:szCs w:val="20"/>
        </w:rPr>
        <w:t xml:space="preserve"> posredovalo vse</w:t>
      </w:r>
      <w:r w:rsidR="00E1566B">
        <w:rPr>
          <w:rFonts w:cs="Arial"/>
          <w:szCs w:val="20"/>
        </w:rPr>
        <w:t>m</w:t>
      </w:r>
      <w:r w:rsidR="005735C5">
        <w:rPr>
          <w:rFonts w:cs="Arial"/>
          <w:szCs w:val="20"/>
        </w:rPr>
        <w:t xml:space="preserve"> upravnih enotam pojasnilo o načinu ugotavljanja zadostnih sredstev pri </w:t>
      </w:r>
      <w:proofErr w:type="spellStart"/>
      <w:r w:rsidR="005735C5">
        <w:rPr>
          <w:rFonts w:cs="Arial"/>
          <w:szCs w:val="20"/>
        </w:rPr>
        <w:t>normirancih</w:t>
      </w:r>
      <w:proofErr w:type="spellEnd"/>
      <w:r w:rsidR="005735C5">
        <w:rPr>
          <w:rFonts w:cs="Arial"/>
          <w:szCs w:val="20"/>
        </w:rPr>
        <w:t xml:space="preserve">. </w:t>
      </w:r>
      <w:r w:rsidR="00E1566B">
        <w:rPr>
          <w:rFonts w:cs="Arial"/>
          <w:szCs w:val="20"/>
        </w:rPr>
        <w:t xml:space="preserve">V dopisu </w:t>
      </w:r>
      <w:r w:rsidR="00CA5F17">
        <w:rPr>
          <w:rFonts w:cs="Arial"/>
          <w:szCs w:val="20"/>
        </w:rPr>
        <w:t>Ministrstva za notranje zadeve</w:t>
      </w:r>
      <w:r w:rsidR="00E1566B">
        <w:rPr>
          <w:rFonts w:cs="Arial"/>
          <w:szCs w:val="20"/>
        </w:rPr>
        <w:t xml:space="preserve"> je pojasnjen način izračuna višine dohodka iz dejavnosti, ugotovljene z upoštevanjem normiranih odhodkov, na podlagi obračuna akontacije dohodnine in dohodnine od dohodka iz dejavnosti. </w:t>
      </w:r>
      <w:r w:rsidR="008B2E19">
        <w:rPr>
          <w:rFonts w:cs="Arial"/>
          <w:szCs w:val="20"/>
        </w:rPr>
        <w:t xml:space="preserve">Kot </w:t>
      </w:r>
      <w:r w:rsidR="006D39EB">
        <w:rPr>
          <w:rFonts w:cs="Arial"/>
          <w:szCs w:val="20"/>
        </w:rPr>
        <w:t>do</w:t>
      </w:r>
      <w:r w:rsidR="008B2E19">
        <w:rPr>
          <w:rFonts w:cs="Arial"/>
          <w:szCs w:val="20"/>
        </w:rPr>
        <w:t xml:space="preserve">hodek iz dejavnosti se tako šteje </w:t>
      </w:r>
      <w:r w:rsidR="008B2E19">
        <w:rPr>
          <w:rFonts w:cs="Arial"/>
          <w:szCs w:val="20"/>
        </w:rPr>
        <w:lastRenderedPageBreak/>
        <w:t>dobiček, ki se ga ugotovi kot razliko med prihodki in odhodki, doseženimi v zvezi z opravljanjem dejavnosti</w:t>
      </w:r>
      <w:r w:rsidR="00FB69D9">
        <w:rPr>
          <w:rFonts w:cs="Arial"/>
          <w:szCs w:val="20"/>
        </w:rPr>
        <w:t xml:space="preserve">, </w:t>
      </w:r>
      <w:r w:rsidR="00FB69D9" w:rsidRPr="00FB69D9">
        <w:rPr>
          <w:rFonts w:ascii="Helv" w:eastAsiaTheme="minorHAnsi" w:hAnsi="Helv" w:cs="Helv"/>
          <w:szCs w:val="20"/>
        </w:rPr>
        <w:t>zmanjšan za znesek (akontacijo) dohodnine od dohodka iz dejavnosti</w:t>
      </w:r>
      <w:r w:rsidR="008B2E19">
        <w:rPr>
          <w:rFonts w:cs="Arial"/>
          <w:szCs w:val="20"/>
        </w:rPr>
        <w:t xml:space="preserve">. Pri </w:t>
      </w:r>
      <w:proofErr w:type="spellStart"/>
      <w:r w:rsidR="008B2E19">
        <w:rPr>
          <w:rFonts w:cs="Arial"/>
          <w:szCs w:val="20"/>
        </w:rPr>
        <w:t>normirancih</w:t>
      </w:r>
      <w:proofErr w:type="spellEnd"/>
      <w:r w:rsidR="008B2E19">
        <w:rPr>
          <w:rFonts w:cs="Arial"/>
          <w:szCs w:val="20"/>
        </w:rPr>
        <w:t xml:space="preserve"> se zaradi poenostavitve priznajo odhodki v pavšalni oziroma normirani višini 80% od prihodkov. </w:t>
      </w:r>
      <w:r w:rsidR="006D39EB">
        <w:rPr>
          <w:rFonts w:cs="Arial"/>
          <w:szCs w:val="20"/>
        </w:rPr>
        <w:t xml:space="preserve">Upravne enote v postopku  </w:t>
      </w:r>
      <w:r w:rsidR="00B357B3">
        <w:rPr>
          <w:rFonts w:cs="Arial"/>
          <w:szCs w:val="20"/>
        </w:rPr>
        <w:t xml:space="preserve">ugotavljanja zadostnih sredstev pri </w:t>
      </w:r>
      <w:proofErr w:type="spellStart"/>
      <w:r w:rsidR="00B357B3">
        <w:rPr>
          <w:rFonts w:cs="Arial"/>
          <w:szCs w:val="20"/>
        </w:rPr>
        <w:t>normirancih</w:t>
      </w:r>
      <w:proofErr w:type="spellEnd"/>
      <w:r w:rsidR="00B357B3">
        <w:rPr>
          <w:rFonts w:cs="Arial"/>
          <w:szCs w:val="20"/>
        </w:rPr>
        <w:t xml:space="preserve"> tako postopajo skladno</w:t>
      </w:r>
      <w:r w:rsidR="00CB29D6">
        <w:rPr>
          <w:rFonts w:cs="Arial"/>
          <w:szCs w:val="20"/>
        </w:rPr>
        <w:t xml:space="preserve"> </w:t>
      </w:r>
      <w:r w:rsidR="00B357B3">
        <w:rPr>
          <w:rFonts w:cs="Arial"/>
          <w:szCs w:val="20"/>
        </w:rPr>
        <w:t>z navedenim</w:t>
      </w:r>
      <w:r w:rsidR="006D39EB">
        <w:rPr>
          <w:rFonts w:cs="Arial"/>
          <w:szCs w:val="20"/>
        </w:rPr>
        <w:t xml:space="preserve"> pojasnilom </w:t>
      </w:r>
      <w:r w:rsidR="00CA5F17">
        <w:rPr>
          <w:rFonts w:cs="Arial"/>
          <w:szCs w:val="20"/>
        </w:rPr>
        <w:t>Ministrstva za notranje zadeve</w:t>
      </w:r>
      <w:r w:rsidR="006D39EB">
        <w:rPr>
          <w:rFonts w:cs="Arial"/>
          <w:szCs w:val="20"/>
        </w:rPr>
        <w:t xml:space="preserve"> z dne 28. 12. 2016.</w:t>
      </w:r>
    </w:p>
    <w:p w:rsidR="00B357B3" w:rsidRDefault="00B357B3" w:rsidP="00E1566B">
      <w:pPr>
        <w:spacing w:line="276" w:lineRule="auto"/>
        <w:jc w:val="both"/>
        <w:rPr>
          <w:rFonts w:cs="Arial"/>
          <w:szCs w:val="20"/>
        </w:rPr>
      </w:pPr>
    </w:p>
    <w:p w:rsidR="00380B35" w:rsidRDefault="00380B35" w:rsidP="00380B35">
      <w:pPr>
        <w:spacing w:line="276" w:lineRule="auto"/>
        <w:jc w:val="both"/>
        <w:rPr>
          <w:rFonts w:cs="Arial"/>
          <w:szCs w:val="20"/>
        </w:rPr>
      </w:pPr>
      <w:r>
        <w:rPr>
          <w:rFonts w:cs="Arial"/>
          <w:szCs w:val="20"/>
        </w:rPr>
        <w:t xml:space="preserve">Po tolmačenju Ministrstva za notranje zadeve so tako v pojasnilu ministrstva iz leta 2016 kot v veljavnem pravilniku pri ugotavljanju zadostnih sredstev pri </w:t>
      </w:r>
      <w:proofErr w:type="spellStart"/>
      <w:r>
        <w:rPr>
          <w:rFonts w:cs="Arial"/>
          <w:szCs w:val="20"/>
        </w:rPr>
        <w:t>normirancih</w:t>
      </w:r>
      <w:proofErr w:type="spellEnd"/>
      <w:r>
        <w:rPr>
          <w:rFonts w:cs="Arial"/>
          <w:szCs w:val="20"/>
        </w:rPr>
        <w:t xml:space="preserve"> (šesti odstavek 3. člena pravilnika) pri navedbi »izpolnjevanja zadostnih sredstev za preživljanje, ki se dokazujejo z dohodki, prejetimi v koledarskem letu pred letom vložitve prošnje za izdajo ali podaljšanje dovoljenja za prebivanje,«, mišljeni dohodki iz dejavnosti </w:t>
      </w:r>
      <w:proofErr w:type="spellStart"/>
      <w:r>
        <w:rPr>
          <w:rFonts w:cs="Arial"/>
          <w:szCs w:val="20"/>
        </w:rPr>
        <w:t>normiranca</w:t>
      </w:r>
      <w:proofErr w:type="spellEnd"/>
      <w:r>
        <w:rPr>
          <w:rFonts w:cs="Arial"/>
          <w:szCs w:val="20"/>
        </w:rPr>
        <w:t xml:space="preserve"> in ne kot vsi prejemki </w:t>
      </w:r>
      <w:proofErr w:type="spellStart"/>
      <w:r>
        <w:rPr>
          <w:rFonts w:cs="Arial"/>
          <w:szCs w:val="20"/>
        </w:rPr>
        <w:t>normiranca</w:t>
      </w:r>
      <w:proofErr w:type="spellEnd"/>
      <w:r>
        <w:rPr>
          <w:rFonts w:cs="Arial"/>
          <w:szCs w:val="20"/>
        </w:rPr>
        <w:t xml:space="preserve">, na kar napeljujejo vprašanja poslanca Dušana Šiška. Tako med prvim in šestim odstavkom 3. člena pravilnika pri upoštevanju dohodka iz dejavnosti na podlagi davčnih podatkov ni bistvenega vsebinskega razlikovanja, razen v tem da se pri osebah iz prvega odstavka 3. člena ugotavlja davčno osnovo od dohodka iz dejavnosti na podlagi dejanskih prihodkov in dejanskih odhodkov, pri osebah iz šestega odstavka 3. člena pravilnika pa se ugotavlja davčno osnovo od dohodka iz dejavnosti na podlagi dejanskih prihodkov in </w:t>
      </w:r>
      <w:r w:rsidR="00924AA2">
        <w:rPr>
          <w:rFonts w:cs="Arial"/>
          <w:szCs w:val="20"/>
        </w:rPr>
        <w:t>normiranih</w:t>
      </w:r>
      <w:r>
        <w:rPr>
          <w:rFonts w:cs="Arial"/>
          <w:szCs w:val="20"/>
        </w:rPr>
        <w:t xml:space="preserve"> odhodkov.</w:t>
      </w:r>
    </w:p>
    <w:p w:rsidR="008B2317" w:rsidRDefault="008B2317" w:rsidP="00E1566B">
      <w:pPr>
        <w:spacing w:line="276" w:lineRule="auto"/>
        <w:jc w:val="both"/>
        <w:rPr>
          <w:rFonts w:cs="Arial"/>
          <w:szCs w:val="20"/>
        </w:rPr>
      </w:pPr>
    </w:p>
    <w:p w:rsidR="006D39EB" w:rsidRDefault="008B2317" w:rsidP="00E1566B">
      <w:pPr>
        <w:spacing w:line="276" w:lineRule="auto"/>
        <w:jc w:val="both"/>
        <w:rPr>
          <w:rFonts w:cs="Arial"/>
          <w:szCs w:val="20"/>
        </w:rPr>
      </w:pPr>
      <w:r>
        <w:rPr>
          <w:rFonts w:cs="Arial"/>
          <w:szCs w:val="20"/>
        </w:rPr>
        <w:t>Ministrstvo</w:t>
      </w:r>
      <w:r w:rsidR="00312683">
        <w:rPr>
          <w:rFonts w:cs="Arial"/>
          <w:szCs w:val="20"/>
        </w:rPr>
        <w:t xml:space="preserve"> za notranje zadeve</w:t>
      </w:r>
      <w:r>
        <w:rPr>
          <w:rFonts w:cs="Arial"/>
          <w:szCs w:val="20"/>
        </w:rPr>
        <w:t xml:space="preserve"> pri izvajanju pravilnika v delu, ki se nanaša na ugotavljanja zadostnih sredstev za preživljanje pri </w:t>
      </w:r>
      <w:proofErr w:type="spellStart"/>
      <w:r>
        <w:rPr>
          <w:rFonts w:cs="Arial"/>
          <w:szCs w:val="20"/>
        </w:rPr>
        <w:t>normirancih</w:t>
      </w:r>
      <w:proofErr w:type="spellEnd"/>
      <w:r w:rsidR="00CA5F17">
        <w:rPr>
          <w:rFonts w:cs="Arial"/>
          <w:szCs w:val="20"/>
        </w:rPr>
        <w:t xml:space="preserve">, ki jih izkazujejo za koledarsko leto pred vložitvijo prošnje za izdajo ali podaljšanje </w:t>
      </w:r>
      <w:r>
        <w:rPr>
          <w:rFonts w:cs="Arial"/>
          <w:szCs w:val="20"/>
        </w:rPr>
        <w:t xml:space="preserve"> ni zaznalo nepravilnosti, zaradi katerih bi morali besedilo pravilnika spremeniti ali dopolniti</w:t>
      </w:r>
      <w:r w:rsidR="00312683">
        <w:rPr>
          <w:rFonts w:cs="Arial"/>
          <w:szCs w:val="20"/>
        </w:rPr>
        <w:t>, bo pa</w:t>
      </w:r>
      <w:r w:rsidR="00CA5F17">
        <w:rPr>
          <w:rFonts w:cs="Arial"/>
          <w:szCs w:val="20"/>
        </w:rPr>
        <w:t xml:space="preserve"> besedilo v tem delu ponovno proučilo in ga bo, v kolikor bi bila z drugačnim zapisom jasnost oziroma razumevanje podzakonskega predpisa večja, s prihodnjo spremembo in dopolnitvijo</w:t>
      </w:r>
      <w:r w:rsidR="00CB29D6">
        <w:rPr>
          <w:rFonts w:cs="Arial"/>
          <w:szCs w:val="20"/>
        </w:rPr>
        <w:t xml:space="preserve"> pravilnika tudi</w:t>
      </w:r>
      <w:r w:rsidR="00CA5F17">
        <w:rPr>
          <w:rFonts w:cs="Arial"/>
          <w:szCs w:val="20"/>
        </w:rPr>
        <w:t xml:space="preserve"> spremenilo. </w:t>
      </w:r>
    </w:p>
    <w:p w:rsidR="006D39EB" w:rsidRPr="00116149" w:rsidRDefault="006D39EB" w:rsidP="00E1566B">
      <w:pPr>
        <w:spacing w:line="276" w:lineRule="auto"/>
        <w:jc w:val="both"/>
        <w:rPr>
          <w:rFonts w:cs="Arial"/>
          <w:szCs w:val="20"/>
          <w:lang w:eastAsia="sl-SI"/>
        </w:rPr>
      </w:pPr>
    </w:p>
    <w:sectPr w:rsidR="006D39EB" w:rsidRPr="00116149" w:rsidSect="002C52FB">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92" w:rsidRDefault="00884492">
      <w:pPr>
        <w:spacing w:line="240" w:lineRule="auto"/>
      </w:pPr>
      <w:r>
        <w:separator/>
      </w:r>
    </w:p>
  </w:endnote>
  <w:endnote w:type="continuationSeparator" w:id="0">
    <w:p w:rsidR="00884492" w:rsidRDefault="00884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D0" w:rsidRDefault="00563BCC">
    <w:pPr>
      <w:pStyle w:val="Noga"/>
      <w:jc w:val="center"/>
    </w:pPr>
  </w:p>
  <w:p w:rsidR="00F415D0" w:rsidRDefault="00563BC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92" w:rsidRDefault="00884492">
      <w:pPr>
        <w:spacing w:line="240" w:lineRule="auto"/>
      </w:pPr>
      <w:r>
        <w:separator/>
      </w:r>
    </w:p>
  </w:footnote>
  <w:footnote w:type="continuationSeparator" w:id="0">
    <w:p w:rsidR="00884492" w:rsidRDefault="008844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432A"/>
    <w:multiLevelType w:val="hybridMultilevel"/>
    <w:tmpl w:val="3278A380"/>
    <w:lvl w:ilvl="0" w:tplc="34F2B222">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545D41D9"/>
    <w:multiLevelType w:val="hybridMultilevel"/>
    <w:tmpl w:val="0778E912"/>
    <w:lvl w:ilvl="0" w:tplc="0AE07462">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C2B3561"/>
    <w:multiLevelType w:val="hybridMultilevel"/>
    <w:tmpl w:val="D9122D78"/>
    <w:lvl w:ilvl="0" w:tplc="BC92B71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1E52918"/>
    <w:multiLevelType w:val="hybridMultilevel"/>
    <w:tmpl w:val="94424D4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9767B24"/>
    <w:multiLevelType w:val="hybridMultilevel"/>
    <w:tmpl w:val="F10C2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3"/>
  </w:num>
  <w:num w:numId="6">
    <w:abstractNumId w:val="0"/>
  </w:num>
  <w:num w:numId="7">
    <w:abstractNumId w:val="9"/>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B5"/>
    <w:rsid w:val="00116149"/>
    <w:rsid w:val="00182AFA"/>
    <w:rsid w:val="00193BBA"/>
    <w:rsid w:val="002358EB"/>
    <w:rsid w:val="00280954"/>
    <w:rsid w:val="002B00F2"/>
    <w:rsid w:val="00312683"/>
    <w:rsid w:val="00380B35"/>
    <w:rsid w:val="0041394C"/>
    <w:rsid w:val="004911FB"/>
    <w:rsid w:val="004E41B5"/>
    <w:rsid w:val="00563BCC"/>
    <w:rsid w:val="005735C5"/>
    <w:rsid w:val="005E692F"/>
    <w:rsid w:val="00664A86"/>
    <w:rsid w:val="0068328B"/>
    <w:rsid w:val="006D39EB"/>
    <w:rsid w:val="00721B1D"/>
    <w:rsid w:val="00841334"/>
    <w:rsid w:val="00884492"/>
    <w:rsid w:val="008B2317"/>
    <w:rsid w:val="008B2E19"/>
    <w:rsid w:val="00924AA2"/>
    <w:rsid w:val="00AB6263"/>
    <w:rsid w:val="00B357B3"/>
    <w:rsid w:val="00CA5F17"/>
    <w:rsid w:val="00CB29D6"/>
    <w:rsid w:val="00DF7F49"/>
    <w:rsid w:val="00E1566B"/>
    <w:rsid w:val="00EC0137"/>
    <w:rsid w:val="00F57C9D"/>
    <w:rsid w:val="00F66F28"/>
    <w:rsid w:val="00FB69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E41B5"/>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E41B5"/>
    <w:pPr>
      <w:keepNext/>
      <w:numPr>
        <w:numId w:val="8"/>
      </w:numPr>
      <w:autoSpaceDE w:val="0"/>
      <w:autoSpaceDN w:val="0"/>
      <w:adjustRightInd w:val="0"/>
      <w:spacing w:before="240" w:after="60" w:line="240" w:lineRule="auto"/>
      <w:jc w:val="center"/>
      <w:outlineLvl w:val="0"/>
    </w:pPr>
    <w:rPr>
      <w:b/>
      <w:kern w:val="32"/>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E41B5"/>
    <w:rPr>
      <w:rFonts w:ascii="Arial" w:eastAsia="Times New Roman" w:hAnsi="Arial" w:cs="Times New Roman"/>
      <w:b/>
      <w:kern w:val="32"/>
      <w:sz w:val="20"/>
      <w:szCs w:val="20"/>
      <w:lang w:val="x-none" w:eastAsia="x-none"/>
    </w:rPr>
  </w:style>
  <w:style w:type="paragraph" w:styleId="Glava">
    <w:name w:val="header"/>
    <w:basedOn w:val="Navaden"/>
    <w:link w:val="GlavaZnak"/>
    <w:rsid w:val="004E41B5"/>
    <w:pPr>
      <w:tabs>
        <w:tab w:val="center" w:pos="4320"/>
        <w:tab w:val="right" w:pos="8640"/>
      </w:tabs>
    </w:pPr>
    <w:rPr>
      <w:lang w:val="en-US"/>
    </w:rPr>
  </w:style>
  <w:style w:type="character" w:customStyle="1" w:styleId="GlavaZnak">
    <w:name w:val="Glava Znak"/>
    <w:basedOn w:val="Privzetapisavaodstavka"/>
    <w:link w:val="Glava"/>
    <w:rsid w:val="004E41B5"/>
    <w:rPr>
      <w:rFonts w:ascii="Arial" w:eastAsia="Times New Roman" w:hAnsi="Arial" w:cs="Times New Roman"/>
      <w:sz w:val="20"/>
      <w:szCs w:val="24"/>
      <w:lang w:val="en-US"/>
    </w:rPr>
  </w:style>
  <w:style w:type="paragraph" w:styleId="Noga">
    <w:name w:val="footer"/>
    <w:basedOn w:val="Navaden"/>
    <w:link w:val="NogaZnak"/>
    <w:uiPriority w:val="99"/>
    <w:rsid w:val="004E41B5"/>
    <w:pPr>
      <w:tabs>
        <w:tab w:val="center" w:pos="4320"/>
        <w:tab w:val="right" w:pos="8640"/>
      </w:tabs>
    </w:pPr>
  </w:style>
  <w:style w:type="character" w:customStyle="1" w:styleId="NogaZnak">
    <w:name w:val="Noga Znak"/>
    <w:basedOn w:val="Privzetapisavaodstavka"/>
    <w:link w:val="Noga"/>
    <w:uiPriority w:val="99"/>
    <w:rsid w:val="004E41B5"/>
    <w:rPr>
      <w:rFonts w:ascii="Arial" w:eastAsia="Times New Roman" w:hAnsi="Arial" w:cs="Times New Roman"/>
      <w:sz w:val="20"/>
      <w:szCs w:val="24"/>
    </w:rPr>
  </w:style>
  <w:style w:type="character" w:styleId="Hiperpovezava">
    <w:name w:val="Hyperlink"/>
    <w:uiPriority w:val="99"/>
    <w:rsid w:val="004E41B5"/>
    <w:rPr>
      <w:color w:val="0000FF"/>
      <w:u w:val="single"/>
    </w:rPr>
  </w:style>
  <w:style w:type="paragraph" w:customStyle="1" w:styleId="Naslovpredpisa">
    <w:name w:val="Naslov_predpisa"/>
    <w:basedOn w:val="Navaden"/>
    <w:link w:val="NaslovpredpisaZnak"/>
    <w:qFormat/>
    <w:rsid w:val="004E41B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4E41B5"/>
    <w:rPr>
      <w:rFonts w:ascii="Arial" w:eastAsia="Times New Roman" w:hAnsi="Arial" w:cs="Arial"/>
      <w:b/>
      <w:lang w:eastAsia="sl-SI"/>
    </w:rPr>
  </w:style>
  <w:style w:type="paragraph" w:customStyle="1" w:styleId="Poglavje">
    <w:name w:val="Poglavje"/>
    <w:basedOn w:val="Navaden"/>
    <w:qFormat/>
    <w:rsid w:val="004E41B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4E41B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E41B5"/>
    <w:rPr>
      <w:rFonts w:ascii="Arial" w:eastAsia="Times New Roman" w:hAnsi="Arial" w:cs="Arial"/>
      <w:lang w:eastAsia="sl-SI"/>
    </w:rPr>
  </w:style>
  <w:style w:type="paragraph" w:customStyle="1" w:styleId="Oddelek">
    <w:name w:val="Oddelek"/>
    <w:basedOn w:val="Navaden"/>
    <w:link w:val="OddelekZnak1"/>
    <w:qFormat/>
    <w:rsid w:val="004E41B5"/>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4E41B5"/>
    <w:rPr>
      <w:rFonts w:ascii="Arial" w:eastAsia="Times New Roman" w:hAnsi="Arial" w:cs="Times New Roman"/>
      <w:b/>
      <w:lang w:val="x-none" w:eastAsia="x-none"/>
    </w:rPr>
  </w:style>
  <w:style w:type="paragraph" w:styleId="Odstavekseznama">
    <w:name w:val="List Paragraph"/>
    <w:basedOn w:val="Navaden"/>
    <w:uiPriority w:val="99"/>
    <w:qFormat/>
    <w:rsid w:val="004E41B5"/>
    <w:pPr>
      <w:spacing w:after="200" w:line="276" w:lineRule="auto"/>
      <w:ind w:left="720"/>
      <w:contextualSpacing/>
    </w:pPr>
    <w:rPr>
      <w:rFonts w:ascii="Calibri" w:eastAsia="Calibri" w:hAnsi="Calibri"/>
      <w:sz w:val="22"/>
      <w:szCs w:val="22"/>
    </w:rPr>
  </w:style>
  <w:style w:type="character" w:styleId="Krepko">
    <w:name w:val="Strong"/>
    <w:uiPriority w:val="22"/>
    <w:qFormat/>
    <w:rsid w:val="004E41B5"/>
    <w:rPr>
      <w:b/>
      <w:bCs/>
    </w:rPr>
  </w:style>
  <w:style w:type="paragraph" w:customStyle="1" w:styleId="alineazaodstavkom">
    <w:name w:val="alineazaodstavkom"/>
    <w:basedOn w:val="Navaden"/>
    <w:rsid w:val="004E41B5"/>
    <w:pPr>
      <w:spacing w:before="100" w:beforeAutospacing="1" w:after="100" w:afterAutospacing="1" w:line="240" w:lineRule="auto"/>
    </w:pPr>
    <w:rPr>
      <w:rFonts w:ascii="Times New Roman" w:hAnsi="Times New Roman"/>
      <w:sz w:val="24"/>
      <w:lang w:eastAsia="sl-SI"/>
    </w:rPr>
  </w:style>
  <w:style w:type="character" w:customStyle="1" w:styleId="highlight">
    <w:name w:val="highlight"/>
    <w:rsid w:val="00116149"/>
  </w:style>
  <w:style w:type="paragraph" w:customStyle="1" w:styleId="datumtevilka">
    <w:name w:val="datum številka"/>
    <w:basedOn w:val="Navaden"/>
    <w:qFormat/>
    <w:rsid w:val="00563BCC"/>
    <w:pPr>
      <w:tabs>
        <w:tab w:val="left" w:pos="1701"/>
      </w:tabs>
    </w:pPr>
    <w:rPr>
      <w:szCs w:val="2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E41B5"/>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E41B5"/>
    <w:pPr>
      <w:keepNext/>
      <w:numPr>
        <w:numId w:val="8"/>
      </w:numPr>
      <w:autoSpaceDE w:val="0"/>
      <w:autoSpaceDN w:val="0"/>
      <w:adjustRightInd w:val="0"/>
      <w:spacing w:before="240" w:after="60" w:line="240" w:lineRule="auto"/>
      <w:jc w:val="center"/>
      <w:outlineLvl w:val="0"/>
    </w:pPr>
    <w:rPr>
      <w:b/>
      <w:kern w:val="32"/>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E41B5"/>
    <w:rPr>
      <w:rFonts w:ascii="Arial" w:eastAsia="Times New Roman" w:hAnsi="Arial" w:cs="Times New Roman"/>
      <w:b/>
      <w:kern w:val="32"/>
      <w:sz w:val="20"/>
      <w:szCs w:val="20"/>
      <w:lang w:val="x-none" w:eastAsia="x-none"/>
    </w:rPr>
  </w:style>
  <w:style w:type="paragraph" w:styleId="Glava">
    <w:name w:val="header"/>
    <w:basedOn w:val="Navaden"/>
    <w:link w:val="GlavaZnak"/>
    <w:rsid w:val="004E41B5"/>
    <w:pPr>
      <w:tabs>
        <w:tab w:val="center" w:pos="4320"/>
        <w:tab w:val="right" w:pos="8640"/>
      </w:tabs>
    </w:pPr>
    <w:rPr>
      <w:lang w:val="en-US"/>
    </w:rPr>
  </w:style>
  <w:style w:type="character" w:customStyle="1" w:styleId="GlavaZnak">
    <w:name w:val="Glava Znak"/>
    <w:basedOn w:val="Privzetapisavaodstavka"/>
    <w:link w:val="Glava"/>
    <w:rsid w:val="004E41B5"/>
    <w:rPr>
      <w:rFonts w:ascii="Arial" w:eastAsia="Times New Roman" w:hAnsi="Arial" w:cs="Times New Roman"/>
      <w:sz w:val="20"/>
      <w:szCs w:val="24"/>
      <w:lang w:val="en-US"/>
    </w:rPr>
  </w:style>
  <w:style w:type="paragraph" w:styleId="Noga">
    <w:name w:val="footer"/>
    <w:basedOn w:val="Navaden"/>
    <w:link w:val="NogaZnak"/>
    <w:uiPriority w:val="99"/>
    <w:rsid w:val="004E41B5"/>
    <w:pPr>
      <w:tabs>
        <w:tab w:val="center" w:pos="4320"/>
        <w:tab w:val="right" w:pos="8640"/>
      </w:tabs>
    </w:pPr>
  </w:style>
  <w:style w:type="character" w:customStyle="1" w:styleId="NogaZnak">
    <w:name w:val="Noga Znak"/>
    <w:basedOn w:val="Privzetapisavaodstavka"/>
    <w:link w:val="Noga"/>
    <w:uiPriority w:val="99"/>
    <w:rsid w:val="004E41B5"/>
    <w:rPr>
      <w:rFonts w:ascii="Arial" w:eastAsia="Times New Roman" w:hAnsi="Arial" w:cs="Times New Roman"/>
      <w:sz w:val="20"/>
      <w:szCs w:val="24"/>
    </w:rPr>
  </w:style>
  <w:style w:type="character" w:styleId="Hiperpovezava">
    <w:name w:val="Hyperlink"/>
    <w:uiPriority w:val="99"/>
    <w:rsid w:val="004E41B5"/>
    <w:rPr>
      <w:color w:val="0000FF"/>
      <w:u w:val="single"/>
    </w:rPr>
  </w:style>
  <w:style w:type="paragraph" w:customStyle="1" w:styleId="Naslovpredpisa">
    <w:name w:val="Naslov_predpisa"/>
    <w:basedOn w:val="Navaden"/>
    <w:link w:val="NaslovpredpisaZnak"/>
    <w:qFormat/>
    <w:rsid w:val="004E41B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4E41B5"/>
    <w:rPr>
      <w:rFonts w:ascii="Arial" w:eastAsia="Times New Roman" w:hAnsi="Arial" w:cs="Arial"/>
      <w:b/>
      <w:lang w:eastAsia="sl-SI"/>
    </w:rPr>
  </w:style>
  <w:style w:type="paragraph" w:customStyle="1" w:styleId="Poglavje">
    <w:name w:val="Poglavje"/>
    <w:basedOn w:val="Navaden"/>
    <w:qFormat/>
    <w:rsid w:val="004E41B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4E41B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E41B5"/>
    <w:rPr>
      <w:rFonts w:ascii="Arial" w:eastAsia="Times New Roman" w:hAnsi="Arial" w:cs="Arial"/>
      <w:lang w:eastAsia="sl-SI"/>
    </w:rPr>
  </w:style>
  <w:style w:type="paragraph" w:customStyle="1" w:styleId="Oddelek">
    <w:name w:val="Oddelek"/>
    <w:basedOn w:val="Navaden"/>
    <w:link w:val="OddelekZnak1"/>
    <w:qFormat/>
    <w:rsid w:val="004E41B5"/>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4E41B5"/>
    <w:rPr>
      <w:rFonts w:ascii="Arial" w:eastAsia="Times New Roman" w:hAnsi="Arial" w:cs="Times New Roman"/>
      <w:b/>
      <w:lang w:val="x-none" w:eastAsia="x-none"/>
    </w:rPr>
  </w:style>
  <w:style w:type="paragraph" w:styleId="Odstavekseznama">
    <w:name w:val="List Paragraph"/>
    <w:basedOn w:val="Navaden"/>
    <w:uiPriority w:val="99"/>
    <w:qFormat/>
    <w:rsid w:val="004E41B5"/>
    <w:pPr>
      <w:spacing w:after="200" w:line="276" w:lineRule="auto"/>
      <w:ind w:left="720"/>
      <w:contextualSpacing/>
    </w:pPr>
    <w:rPr>
      <w:rFonts w:ascii="Calibri" w:eastAsia="Calibri" w:hAnsi="Calibri"/>
      <w:sz w:val="22"/>
      <w:szCs w:val="22"/>
    </w:rPr>
  </w:style>
  <w:style w:type="character" w:styleId="Krepko">
    <w:name w:val="Strong"/>
    <w:uiPriority w:val="22"/>
    <w:qFormat/>
    <w:rsid w:val="004E41B5"/>
    <w:rPr>
      <w:b/>
      <w:bCs/>
    </w:rPr>
  </w:style>
  <w:style w:type="paragraph" w:customStyle="1" w:styleId="alineazaodstavkom">
    <w:name w:val="alineazaodstavkom"/>
    <w:basedOn w:val="Navaden"/>
    <w:rsid w:val="004E41B5"/>
    <w:pPr>
      <w:spacing w:before="100" w:beforeAutospacing="1" w:after="100" w:afterAutospacing="1" w:line="240" w:lineRule="auto"/>
    </w:pPr>
    <w:rPr>
      <w:rFonts w:ascii="Times New Roman" w:hAnsi="Times New Roman"/>
      <w:sz w:val="24"/>
      <w:lang w:eastAsia="sl-SI"/>
    </w:rPr>
  </w:style>
  <w:style w:type="character" w:customStyle="1" w:styleId="highlight">
    <w:name w:val="highlight"/>
    <w:rsid w:val="00116149"/>
  </w:style>
  <w:style w:type="paragraph" w:customStyle="1" w:styleId="datumtevilka">
    <w:name w:val="datum številka"/>
    <w:basedOn w:val="Navaden"/>
    <w:qFormat/>
    <w:rsid w:val="00563BCC"/>
    <w:pPr>
      <w:tabs>
        <w:tab w:val="left" w:pos="1701"/>
      </w:tabs>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529732">
      <w:bodyDiv w:val="1"/>
      <w:marLeft w:val="0"/>
      <w:marRight w:val="0"/>
      <w:marTop w:val="0"/>
      <w:marBottom w:val="0"/>
      <w:divBdr>
        <w:top w:val="none" w:sz="0" w:space="0" w:color="auto"/>
        <w:left w:val="none" w:sz="0" w:space="0" w:color="auto"/>
        <w:bottom w:val="none" w:sz="0" w:space="0" w:color="auto"/>
        <w:right w:val="none" w:sz="0" w:space="0" w:color="auto"/>
      </w:divBdr>
      <w:divsChild>
        <w:div w:id="1661158217">
          <w:marLeft w:val="0"/>
          <w:marRight w:val="0"/>
          <w:marTop w:val="0"/>
          <w:marBottom w:val="0"/>
          <w:divBdr>
            <w:top w:val="none" w:sz="0" w:space="0" w:color="auto"/>
            <w:left w:val="none" w:sz="0" w:space="0" w:color="auto"/>
            <w:bottom w:val="none" w:sz="0" w:space="0" w:color="auto"/>
            <w:right w:val="none" w:sz="0" w:space="0" w:color="auto"/>
          </w:divBdr>
        </w:div>
        <w:div w:id="1644195763">
          <w:marLeft w:val="0"/>
          <w:marRight w:val="0"/>
          <w:marTop w:val="0"/>
          <w:marBottom w:val="0"/>
          <w:divBdr>
            <w:top w:val="none" w:sz="0" w:space="0" w:color="auto"/>
            <w:left w:val="none" w:sz="0" w:space="0" w:color="auto"/>
            <w:bottom w:val="none" w:sz="0" w:space="0" w:color="auto"/>
            <w:right w:val="none" w:sz="0" w:space="0" w:color="auto"/>
          </w:divBdr>
        </w:div>
        <w:div w:id="1313488534">
          <w:marLeft w:val="0"/>
          <w:marRight w:val="0"/>
          <w:marTop w:val="0"/>
          <w:marBottom w:val="0"/>
          <w:divBdr>
            <w:top w:val="none" w:sz="0" w:space="0" w:color="auto"/>
            <w:left w:val="none" w:sz="0" w:space="0" w:color="auto"/>
            <w:bottom w:val="none" w:sz="0" w:space="0" w:color="auto"/>
            <w:right w:val="none" w:sz="0" w:space="0" w:color="auto"/>
          </w:divBdr>
        </w:div>
        <w:div w:id="438598834">
          <w:marLeft w:val="0"/>
          <w:marRight w:val="0"/>
          <w:marTop w:val="0"/>
          <w:marBottom w:val="0"/>
          <w:divBdr>
            <w:top w:val="none" w:sz="0" w:space="0" w:color="auto"/>
            <w:left w:val="none" w:sz="0" w:space="0" w:color="auto"/>
            <w:bottom w:val="none" w:sz="0" w:space="0" w:color="auto"/>
            <w:right w:val="none" w:sz="0" w:space="0" w:color="auto"/>
          </w:divBdr>
        </w:div>
      </w:divsChild>
    </w:div>
    <w:div w:id="18943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05-01-5007" TargetMode="External"/><Relationship Id="rId18" Type="http://schemas.openxmlformats.org/officeDocument/2006/relationships/hyperlink" Target="http://www.uradni-list.si/1/objava.jsp?sop=2012-01-0268"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uradni-list.si/1/objava.jsp?sop=2014-01-0304" TargetMode="External"/><Relationship Id="rId7" Type="http://schemas.openxmlformats.org/officeDocument/2006/relationships/endnotes" Target="endnotes.xml"/><Relationship Id="rId12" Type="http://schemas.openxmlformats.org/officeDocument/2006/relationships/hyperlink" Target="http://www.uradni-list.si/1/objava.jsp?sop=2018-01-2213" TargetMode="External"/><Relationship Id="rId17" Type="http://schemas.openxmlformats.org/officeDocument/2006/relationships/hyperlink" Target="http://www.uradni-list.si/1/objava.jsp?sop=2010-01-025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09-01-2380" TargetMode="External"/><Relationship Id="rId20" Type="http://schemas.openxmlformats.org/officeDocument/2006/relationships/hyperlink" Target="http://www.uradni-list.si/1/objava.jsp?sop=2013-01-178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6-01-009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07-01-6415" TargetMode="External"/><Relationship Id="rId23" Type="http://schemas.openxmlformats.org/officeDocument/2006/relationships/hyperlink" Target="http://www.uradni-list.si/1/objava.jsp?sop=2016-01-2246" TargetMode="External"/><Relationship Id="rId10" Type="http://schemas.openxmlformats.org/officeDocument/2006/relationships/hyperlink" Target="http://www.uradni-list.si/1/objava.jsp?sop=2014-01-3704" TargetMode="External"/><Relationship Id="rId19" Type="http://schemas.openxmlformats.org/officeDocument/2006/relationships/hyperlink" Target="http://www.uradni-list.si/1/objava.jsp?sop=2012-01-0815" TargetMode="External"/><Relationship Id="rId4" Type="http://schemas.openxmlformats.org/officeDocument/2006/relationships/settings" Target="settings.xml"/><Relationship Id="rId9" Type="http://schemas.openxmlformats.org/officeDocument/2006/relationships/hyperlink" Target="http://www.uradni-list.si/1/objava.jsp?sop=2012-01-2530" TargetMode="External"/><Relationship Id="rId14" Type="http://schemas.openxmlformats.org/officeDocument/2006/relationships/hyperlink" Target="http://www.uradni-list.si/1/objava.jsp?sop=2007-01-4388" TargetMode="External"/><Relationship Id="rId22" Type="http://schemas.openxmlformats.org/officeDocument/2006/relationships/hyperlink" Target="http://www.uradni-list.si/1/objava.jsp?sop=2014-01-364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1217</Words>
  <Characters>6938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Hrovatin</dc:creator>
  <cp:lastModifiedBy>LVidergar</cp:lastModifiedBy>
  <cp:revision>3</cp:revision>
  <dcterms:created xsi:type="dcterms:W3CDTF">2019-07-31T10:05:00Z</dcterms:created>
  <dcterms:modified xsi:type="dcterms:W3CDTF">2019-07-31T10:07:00Z</dcterms:modified>
</cp:coreProperties>
</file>