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16053" w14:textId="77777777" w:rsidR="00677C68" w:rsidRPr="00FC19D4" w:rsidRDefault="00304648" w:rsidP="000E4629">
      <w:pPr>
        <w:suppressAutoHyphens/>
        <w:spacing w:before="40" w:after="0"/>
        <w:ind w:right="-3"/>
        <w:rPr>
          <w:rFonts w:ascii="Arial" w:eastAsia="Times New Roman" w:hAnsi="Arial" w:cs="Arial"/>
          <w:sz w:val="20"/>
          <w:szCs w:val="20"/>
          <w:lang w:eastAsia="ar-SA"/>
        </w:rPr>
      </w:pPr>
      <w:r w:rsidRPr="00FC19D4">
        <w:rPr>
          <w:rFonts w:ascii="Arial" w:eastAsia="Times New Roman" w:hAnsi="Arial" w:cs="Arial"/>
          <w:noProof/>
          <w:color w:val="000000"/>
          <w:sz w:val="20"/>
          <w:szCs w:val="20"/>
          <w:lang w:eastAsia="sl-SI"/>
        </w:rPr>
        <w:drawing>
          <wp:anchor distT="0" distB="0" distL="114300" distR="114300" simplePos="0" relativeHeight="251660288" behindDoc="0" locked="0" layoutInCell="1" allowOverlap="1" wp14:anchorId="59E2B2DD" wp14:editId="68F4BE5F">
            <wp:simplePos x="0" y="0"/>
            <wp:positionH relativeFrom="column">
              <wp:posOffset>207645</wp:posOffset>
            </wp:positionH>
            <wp:positionV relativeFrom="paragraph">
              <wp:posOffset>-113665</wp:posOffset>
            </wp:positionV>
            <wp:extent cx="3121660" cy="376555"/>
            <wp:effectExtent l="0" t="0" r="0" b="0"/>
            <wp:wrapNone/>
            <wp:docPr id="2"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14:paraId="2B492A4B" w14:textId="77777777" w:rsidR="00677C68" w:rsidRPr="00FC19D4" w:rsidRDefault="00677C68" w:rsidP="000E4629">
      <w:pPr>
        <w:suppressAutoHyphens/>
        <w:spacing w:before="60" w:after="0"/>
        <w:ind w:right="-3"/>
        <w:rPr>
          <w:rFonts w:ascii="Arial" w:eastAsia="Times New Roman" w:hAnsi="Arial" w:cs="Arial"/>
          <w:sz w:val="20"/>
          <w:szCs w:val="20"/>
          <w:lang w:eastAsia="ar-SA"/>
        </w:rPr>
      </w:pPr>
    </w:p>
    <w:p w14:paraId="5558439F" w14:textId="39997744" w:rsidR="00677C68" w:rsidRPr="00FC19D4" w:rsidRDefault="00677C68" w:rsidP="000E4629">
      <w:pPr>
        <w:suppressAutoHyphens/>
        <w:spacing w:before="60" w:after="0"/>
        <w:ind w:right="-3"/>
        <w:rPr>
          <w:rFonts w:ascii="Arial" w:eastAsia="Times New Roman" w:hAnsi="Arial" w:cs="Arial"/>
          <w:sz w:val="20"/>
          <w:szCs w:val="20"/>
          <w:lang w:eastAsia="ar-SA"/>
        </w:rPr>
      </w:pPr>
      <w:r w:rsidRPr="00FC19D4">
        <w:rPr>
          <w:rFonts w:ascii="Arial" w:eastAsia="Times New Roman" w:hAnsi="Arial" w:cs="Arial"/>
          <w:sz w:val="20"/>
          <w:szCs w:val="20"/>
          <w:lang w:eastAsia="ar-SA"/>
        </w:rPr>
        <w:tab/>
        <w:t xml:space="preserve">         </w:t>
      </w:r>
      <w:r w:rsidRPr="00FC19D4">
        <w:rPr>
          <w:rFonts w:ascii="Arial" w:eastAsia="Times New Roman" w:hAnsi="Arial" w:cs="Arial"/>
          <w:sz w:val="20"/>
          <w:szCs w:val="20"/>
          <w:lang w:eastAsia="ar-SA"/>
        </w:rPr>
        <w:tab/>
      </w:r>
    </w:p>
    <w:p w14:paraId="36270859" w14:textId="77777777" w:rsidR="00677C68" w:rsidRPr="00FC19D4" w:rsidRDefault="00677C68" w:rsidP="000E4629">
      <w:pPr>
        <w:tabs>
          <w:tab w:val="left" w:pos="5112"/>
        </w:tabs>
        <w:spacing w:before="120" w:after="0"/>
        <w:rPr>
          <w:rFonts w:ascii="Arial" w:eastAsia="Times New Roman" w:hAnsi="Arial" w:cs="Arial"/>
          <w:sz w:val="20"/>
          <w:szCs w:val="20"/>
        </w:rPr>
      </w:pPr>
      <w:r w:rsidRPr="00FC19D4">
        <w:rPr>
          <w:rFonts w:ascii="Arial" w:eastAsia="Times New Roman" w:hAnsi="Arial" w:cs="Arial"/>
          <w:color w:val="000000"/>
          <w:sz w:val="20"/>
          <w:szCs w:val="20"/>
          <w:lang w:eastAsia="ar-SA"/>
        </w:rPr>
        <w:t xml:space="preserve">     </w:t>
      </w:r>
      <w:r w:rsidRPr="00FC19D4">
        <w:rPr>
          <w:rFonts w:ascii="Arial" w:eastAsia="Times New Roman" w:hAnsi="Arial" w:cs="Arial"/>
          <w:sz w:val="20"/>
          <w:szCs w:val="20"/>
        </w:rPr>
        <w:t>Langusova ulica 4, 1535 Ljubljana</w:t>
      </w:r>
      <w:r w:rsidRPr="00FC19D4">
        <w:rPr>
          <w:rFonts w:ascii="Arial" w:eastAsia="Times New Roman" w:hAnsi="Arial" w:cs="Arial"/>
          <w:sz w:val="20"/>
          <w:szCs w:val="20"/>
        </w:rPr>
        <w:tab/>
        <w:t>T: 01 478 80 00</w:t>
      </w:r>
    </w:p>
    <w:p w14:paraId="12781327" w14:textId="357A4762" w:rsidR="00677C68" w:rsidRPr="00FC19D4" w:rsidRDefault="00677C68" w:rsidP="000E4629">
      <w:pPr>
        <w:tabs>
          <w:tab w:val="left" w:pos="5112"/>
        </w:tabs>
        <w:spacing w:after="0"/>
        <w:rPr>
          <w:rFonts w:ascii="Arial" w:eastAsia="Times New Roman" w:hAnsi="Arial" w:cs="Arial"/>
          <w:sz w:val="20"/>
          <w:szCs w:val="20"/>
        </w:rPr>
      </w:pPr>
      <w:r w:rsidRPr="00FC19D4">
        <w:rPr>
          <w:rFonts w:ascii="Arial" w:eastAsia="Times New Roman" w:hAnsi="Arial" w:cs="Arial"/>
          <w:sz w:val="20"/>
          <w:szCs w:val="20"/>
        </w:rPr>
        <w:tab/>
        <w:t xml:space="preserve">F: 01 478 81 </w:t>
      </w:r>
      <w:r w:rsidR="00E55EEB" w:rsidRPr="00FC19D4">
        <w:rPr>
          <w:rFonts w:ascii="Arial" w:eastAsia="Times New Roman" w:hAnsi="Arial" w:cs="Arial"/>
          <w:sz w:val="20"/>
          <w:szCs w:val="20"/>
        </w:rPr>
        <w:t>70</w:t>
      </w:r>
    </w:p>
    <w:p w14:paraId="23838A53" w14:textId="77777777" w:rsidR="00677C68" w:rsidRPr="00FC19D4" w:rsidRDefault="00677C68" w:rsidP="000E4629">
      <w:pPr>
        <w:tabs>
          <w:tab w:val="left" w:pos="5112"/>
        </w:tabs>
        <w:spacing w:after="0"/>
        <w:rPr>
          <w:rFonts w:ascii="Arial" w:eastAsia="Times New Roman" w:hAnsi="Arial" w:cs="Arial"/>
          <w:sz w:val="20"/>
          <w:szCs w:val="20"/>
        </w:rPr>
      </w:pPr>
      <w:r w:rsidRPr="00FC19D4">
        <w:rPr>
          <w:rFonts w:ascii="Arial" w:eastAsia="Times New Roman" w:hAnsi="Arial" w:cs="Arial"/>
          <w:sz w:val="20"/>
          <w:szCs w:val="20"/>
        </w:rPr>
        <w:tab/>
        <w:t>E: gp.mzi@gov.si</w:t>
      </w:r>
    </w:p>
    <w:p w14:paraId="085E4CC0" w14:textId="77777777" w:rsidR="00677C68" w:rsidRPr="00FC19D4" w:rsidRDefault="00677C68" w:rsidP="000E4629">
      <w:pPr>
        <w:tabs>
          <w:tab w:val="left" w:pos="5112"/>
        </w:tabs>
        <w:spacing w:after="0"/>
        <w:rPr>
          <w:rFonts w:ascii="Arial" w:eastAsia="Times New Roman" w:hAnsi="Arial" w:cs="Arial"/>
          <w:sz w:val="20"/>
          <w:szCs w:val="20"/>
        </w:rPr>
      </w:pPr>
      <w:r w:rsidRPr="00FC19D4">
        <w:rPr>
          <w:rFonts w:ascii="Arial" w:eastAsia="Times New Roman" w:hAnsi="Arial" w:cs="Arial"/>
          <w:sz w:val="20"/>
          <w:szCs w:val="20"/>
        </w:rPr>
        <w:tab/>
      </w:r>
      <w:hyperlink r:id="rId9" w:history="1">
        <w:r w:rsidRPr="00FC19D4">
          <w:rPr>
            <w:rFonts w:ascii="Arial" w:eastAsia="Times New Roman" w:hAnsi="Arial" w:cs="Arial"/>
            <w:color w:val="000080"/>
            <w:sz w:val="20"/>
            <w:szCs w:val="20"/>
            <w:u w:val="single"/>
          </w:rPr>
          <w:t>www.mzi.gov.si</w:t>
        </w:r>
      </w:hyperlink>
    </w:p>
    <w:p w14:paraId="24B316E0" w14:textId="77777777" w:rsidR="00677C68" w:rsidRPr="00FC19D4" w:rsidRDefault="00677C68" w:rsidP="000E4629">
      <w:pPr>
        <w:rPr>
          <w:rFonts w:ascii="Arial" w:hAnsi="Arial" w:cs="Arial"/>
        </w:rPr>
      </w:pPr>
    </w:p>
    <w:tbl>
      <w:tblPr>
        <w:tblW w:w="9314"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
        <w:gridCol w:w="1448"/>
        <w:gridCol w:w="517"/>
        <w:gridCol w:w="892"/>
        <w:gridCol w:w="1414"/>
        <w:gridCol w:w="417"/>
        <w:gridCol w:w="913"/>
        <w:gridCol w:w="211"/>
        <w:gridCol w:w="284"/>
        <w:gridCol w:w="188"/>
        <w:gridCol w:w="608"/>
        <w:gridCol w:w="80"/>
        <w:gridCol w:w="2128"/>
        <w:gridCol w:w="114"/>
      </w:tblGrid>
      <w:tr w:rsidR="00677C68" w:rsidRPr="00FC19D4" w14:paraId="4F6F2302" w14:textId="77777777" w:rsidTr="003D2A73">
        <w:trPr>
          <w:gridBefore w:val="1"/>
          <w:gridAfter w:val="5"/>
          <w:wBefore w:w="100" w:type="dxa"/>
          <w:wAfter w:w="3118" w:type="dxa"/>
        </w:trPr>
        <w:tc>
          <w:tcPr>
            <w:tcW w:w="6096" w:type="dxa"/>
            <w:gridSpan w:val="8"/>
          </w:tcPr>
          <w:p w14:paraId="058160E7" w14:textId="1DA1C7EA" w:rsidR="00677C68" w:rsidRPr="00FC19D4" w:rsidRDefault="00677C68" w:rsidP="000E4629">
            <w:pPr>
              <w:overflowPunct w:val="0"/>
              <w:autoSpaceDE w:val="0"/>
              <w:autoSpaceDN w:val="0"/>
              <w:adjustRightInd w:val="0"/>
              <w:spacing w:after="0"/>
              <w:textAlignment w:val="baseline"/>
              <w:rPr>
                <w:rFonts w:ascii="Arial" w:eastAsia="Times New Roman" w:hAnsi="Arial" w:cs="Arial"/>
                <w:sz w:val="20"/>
                <w:szCs w:val="20"/>
                <w:lang w:eastAsia="sl-SI"/>
              </w:rPr>
            </w:pPr>
            <w:r w:rsidRPr="00FC19D4">
              <w:rPr>
                <w:rFonts w:ascii="Arial" w:eastAsia="Times New Roman" w:hAnsi="Arial" w:cs="Arial"/>
                <w:sz w:val="20"/>
                <w:szCs w:val="20"/>
                <w:lang w:eastAsia="sl-SI"/>
              </w:rPr>
              <w:t xml:space="preserve">Številka: </w:t>
            </w:r>
            <w:r w:rsidR="0008475D">
              <w:rPr>
                <w:rFonts w:ascii="Arial" w:eastAsia="Times New Roman" w:hAnsi="Arial" w:cs="Arial"/>
                <w:sz w:val="20"/>
                <w:szCs w:val="20"/>
                <w:lang w:eastAsia="sl-SI"/>
              </w:rPr>
              <w:t>5422-3/2017/108</w:t>
            </w:r>
          </w:p>
        </w:tc>
      </w:tr>
      <w:tr w:rsidR="00677C68" w:rsidRPr="00FC19D4" w14:paraId="6A257B2A" w14:textId="77777777" w:rsidTr="003D2A73">
        <w:trPr>
          <w:gridBefore w:val="1"/>
          <w:gridAfter w:val="5"/>
          <w:wBefore w:w="100" w:type="dxa"/>
          <w:wAfter w:w="3118" w:type="dxa"/>
        </w:trPr>
        <w:tc>
          <w:tcPr>
            <w:tcW w:w="6096" w:type="dxa"/>
            <w:gridSpan w:val="8"/>
          </w:tcPr>
          <w:p w14:paraId="759EDA31" w14:textId="0E7ED8A1" w:rsidR="00677C68" w:rsidRPr="00FC19D4" w:rsidRDefault="00677C68" w:rsidP="000E4629">
            <w:pPr>
              <w:overflowPunct w:val="0"/>
              <w:autoSpaceDE w:val="0"/>
              <w:autoSpaceDN w:val="0"/>
              <w:adjustRightInd w:val="0"/>
              <w:spacing w:after="0"/>
              <w:textAlignment w:val="baseline"/>
              <w:rPr>
                <w:rFonts w:ascii="Arial" w:eastAsia="Times New Roman" w:hAnsi="Arial" w:cs="Arial"/>
                <w:sz w:val="20"/>
                <w:szCs w:val="20"/>
                <w:lang w:eastAsia="sl-SI"/>
              </w:rPr>
            </w:pPr>
            <w:r w:rsidRPr="00FC19D4">
              <w:rPr>
                <w:rFonts w:ascii="Arial" w:eastAsia="Times New Roman" w:hAnsi="Arial" w:cs="Arial"/>
                <w:sz w:val="20"/>
                <w:szCs w:val="20"/>
                <w:lang w:eastAsia="sl-SI"/>
              </w:rPr>
              <w:t xml:space="preserve">Ljubljana, </w:t>
            </w:r>
            <w:r w:rsidR="009E55CA">
              <w:rPr>
                <w:rFonts w:ascii="Arial" w:eastAsia="Times New Roman" w:hAnsi="Arial" w:cs="Arial"/>
                <w:sz w:val="20"/>
                <w:szCs w:val="20"/>
                <w:lang w:eastAsia="sl-SI"/>
              </w:rPr>
              <w:t>6</w:t>
            </w:r>
            <w:r w:rsidR="00735FB5" w:rsidRPr="00FC19D4">
              <w:rPr>
                <w:rFonts w:ascii="Arial" w:eastAsia="Times New Roman" w:hAnsi="Arial" w:cs="Arial"/>
                <w:sz w:val="20"/>
                <w:szCs w:val="20"/>
                <w:lang w:eastAsia="sl-SI"/>
              </w:rPr>
              <w:t xml:space="preserve">. </w:t>
            </w:r>
            <w:r w:rsidR="00B14284">
              <w:rPr>
                <w:rFonts w:ascii="Arial" w:eastAsia="Times New Roman" w:hAnsi="Arial" w:cs="Arial"/>
                <w:sz w:val="20"/>
                <w:szCs w:val="20"/>
                <w:lang w:eastAsia="sl-SI"/>
              </w:rPr>
              <w:t>8</w:t>
            </w:r>
            <w:r w:rsidR="00735FB5" w:rsidRPr="00FC19D4">
              <w:rPr>
                <w:rFonts w:ascii="Arial" w:eastAsia="Times New Roman" w:hAnsi="Arial" w:cs="Arial"/>
                <w:sz w:val="20"/>
                <w:szCs w:val="20"/>
                <w:lang w:eastAsia="sl-SI"/>
              </w:rPr>
              <w:t xml:space="preserve">. </w:t>
            </w:r>
            <w:r w:rsidR="00137F8A" w:rsidRPr="00FC19D4">
              <w:rPr>
                <w:rFonts w:ascii="Arial" w:eastAsia="Times New Roman" w:hAnsi="Arial" w:cs="Arial"/>
                <w:sz w:val="20"/>
                <w:szCs w:val="20"/>
                <w:lang w:eastAsia="sl-SI"/>
              </w:rPr>
              <w:t>2019</w:t>
            </w:r>
          </w:p>
        </w:tc>
      </w:tr>
      <w:tr w:rsidR="00677C68" w:rsidRPr="00FC19D4" w14:paraId="157C9E2E" w14:textId="77777777" w:rsidTr="003D2A73">
        <w:trPr>
          <w:gridBefore w:val="1"/>
          <w:gridAfter w:val="5"/>
          <w:wBefore w:w="100" w:type="dxa"/>
          <w:wAfter w:w="3118" w:type="dxa"/>
        </w:trPr>
        <w:tc>
          <w:tcPr>
            <w:tcW w:w="6096" w:type="dxa"/>
            <w:gridSpan w:val="8"/>
          </w:tcPr>
          <w:p w14:paraId="3AF2F3B8" w14:textId="77777777" w:rsidR="00677C68" w:rsidRPr="00FC19D4" w:rsidRDefault="00677C68" w:rsidP="000E4629">
            <w:pPr>
              <w:overflowPunct w:val="0"/>
              <w:autoSpaceDE w:val="0"/>
              <w:autoSpaceDN w:val="0"/>
              <w:adjustRightInd w:val="0"/>
              <w:spacing w:after="0"/>
              <w:textAlignment w:val="baseline"/>
              <w:rPr>
                <w:rFonts w:ascii="Arial" w:eastAsia="Times New Roman" w:hAnsi="Arial" w:cs="Arial"/>
                <w:sz w:val="20"/>
                <w:szCs w:val="20"/>
                <w:lang w:eastAsia="sl-SI"/>
              </w:rPr>
            </w:pPr>
            <w:r w:rsidRPr="00FC19D4">
              <w:rPr>
                <w:rFonts w:ascii="Arial" w:eastAsia="Times New Roman" w:hAnsi="Arial" w:cs="Arial"/>
                <w:iCs/>
                <w:sz w:val="20"/>
                <w:szCs w:val="20"/>
                <w:lang w:eastAsia="sl-SI"/>
              </w:rPr>
              <w:t xml:space="preserve">EVA  </w:t>
            </w:r>
          </w:p>
        </w:tc>
      </w:tr>
      <w:tr w:rsidR="00677C68" w:rsidRPr="00FC19D4" w14:paraId="3B0FCFDE" w14:textId="77777777" w:rsidTr="003D2A73">
        <w:trPr>
          <w:gridBefore w:val="1"/>
          <w:gridAfter w:val="5"/>
          <w:wBefore w:w="100" w:type="dxa"/>
          <w:wAfter w:w="3118" w:type="dxa"/>
        </w:trPr>
        <w:tc>
          <w:tcPr>
            <w:tcW w:w="6096" w:type="dxa"/>
            <w:gridSpan w:val="8"/>
          </w:tcPr>
          <w:p w14:paraId="68CD175C" w14:textId="77777777" w:rsidR="00677C68" w:rsidRPr="00FC19D4" w:rsidRDefault="00677C68" w:rsidP="000E4629">
            <w:pPr>
              <w:suppressAutoHyphens/>
              <w:spacing w:after="0"/>
              <w:rPr>
                <w:rFonts w:ascii="Arial" w:eastAsia="Times New Roman" w:hAnsi="Arial" w:cs="Arial"/>
                <w:sz w:val="20"/>
                <w:szCs w:val="20"/>
                <w:lang w:eastAsia="ar-SA"/>
              </w:rPr>
            </w:pPr>
          </w:p>
          <w:p w14:paraId="1F061DA8" w14:textId="77777777" w:rsidR="00677C68" w:rsidRPr="00FC19D4" w:rsidRDefault="00677C68" w:rsidP="000E4629">
            <w:pPr>
              <w:suppressAutoHyphens/>
              <w:spacing w:after="0"/>
              <w:rPr>
                <w:rFonts w:ascii="Arial" w:eastAsia="Times New Roman" w:hAnsi="Arial" w:cs="Arial"/>
                <w:sz w:val="20"/>
                <w:szCs w:val="20"/>
                <w:lang w:eastAsia="ar-SA"/>
              </w:rPr>
            </w:pPr>
            <w:r w:rsidRPr="00FC19D4">
              <w:rPr>
                <w:rFonts w:ascii="Arial" w:eastAsia="Times New Roman" w:hAnsi="Arial" w:cs="Arial"/>
                <w:sz w:val="20"/>
                <w:szCs w:val="20"/>
                <w:lang w:eastAsia="ar-SA"/>
              </w:rPr>
              <w:t>GENERALNI SEKRETARIAT VLADE REPUBLIKE SLOVENIJE</w:t>
            </w:r>
          </w:p>
          <w:p w14:paraId="48AC8BD3" w14:textId="77777777" w:rsidR="00677C68" w:rsidRPr="00FC19D4" w:rsidRDefault="007B2C42" w:rsidP="000E4629">
            <w:pPr>
              <w:suppressAutoHyphens/>
              <w:spacing w:after="0"/>
              <w:rPr>
                <w:rFonts w:ascii="Arial" w:eastAsia="Times New Roman" w:hAnsi="Arial" w:cs="Arial"/>
                <w:sz w:val="20"/>
                <w:szCs w:val="20"/>
                <w:lang w:eastAsia="ar-SA"/>
              </w:rPr>
            </w:pPr>
            <w:hyperlink r:id="rId10" w:history="1">
              <w:r w:rsidR="00677C68" w:rsidRPr="00FC19D4">
                <w:rPr>
                  <w:rFonts w:ascii="Arial" w:eastAsia="Times New Roman" w:hAnsi="Arial" w:cs="Arial"/>
                  <w:sz w:val="20"/>
                  <w:szCs w:val="20"/>
                  <w:u w:val="single"/>
                  <w:lang w:eastAsia="ar-SA"/>
                </w:rPr>
                <w:t>Gp.gs@gov.si</w:t>
              </w:r>
            </w:hyperlink>
          </w:p>
          <w:p w14:paraId="1E7CF6AB" w14:textId="77777777" w:rsidR="00677C68" w:rsidRPr="00FC19D4" w:rsidRDefault="00677C68" w:rsidP="000E4629">
            <w:pPr>
              <w:suppressAutoHyphens/>
              <w:spacing w:after="0"/>
              <w:rPr>
                <w:rFonts w:ascii="Arial" w:eastAsia="Times New Roman" w:hAnsi="Arial" w:cs="Arial"/>
                <w:sz w:val="20"/>
                <w:szCs w:val="20"/>
                <w:lang w:eastAsia="ar-SA"/>
              </w:rPr>
            </w:pPr>
          </w:p>
        </w:tc>
      </w:tr>
      <w:tr w:rsidR="00677C68" w:rsidRPr="00FC19D4" w14:paraId="508B0ED4" w14:textId="77777777" w:rsidTr="003D2A73">
        <w:trPr>
          <w:gridBefore w:val="1"/>
          <w:wBefore w:w="100" w:type="dxa"/>
        </w:trPr>
        <w:tc>
          <w:tcPr>
            <w:tcW w:w="9214" w:type="dxa"/>
            <w:gridSpan w:val="13"/>
          </w:tcPr>
          <w:p w14:paraId="68A65801" w14:textId="218BE983" w:rsidR="00677C68" w:rsidRPr="00FC19D4" w:rsidRDefault="00677C68" w:rsidP="009E55CA">
            <w:pPr>
              <w:suppressAutoHyphens/>
              <w:overflowPunct w:val="0"/>
              <w:autoSpaceDE w:val="0"/>
              <w:autoSpaceDN w:val="0"/>
              <w:adjustRightInd w:val="0"/>
              <w:jc w:val="both"/>
              <w:textAlignment w:val="baseline"/>
              <w:rPr>
                <w:rFonts w:ascii="Arial" w:eastAsia="Times New Roman" w:hAnsi="Arial" w:cs="Arial"/>
                <w:b/>
                <w:sz w:val="20"/>
                <w:szCs w:val="20"/>
                <w:lang w:eastAsia="sl-SI"/>
              </w:rPr>
            </w:pPr>
            <w:r w:rsidRPr="00FC19D4">
              <w:rPr>
                <w:rFonts w:ascii="Arial" w:eastAsia="Times New Roman" w:hAnsi="Arial" w:cs="Arial"/>
                <w:b/>
                <w:sz w:val="20"/>
                <w:szCs w:val="20"/>
                <w:lang w:eastAsia="sl-SI"/>
              </w:rPr>
              <w:t xml:space="preserve">ZADEVA: </w:t>
            </w:r>
            <w:r w:rsidR="00B14284">
              <w:rPr>
                <w:rFonts w:ascii="Arial" w:hAnsi="Arial" w:cs="Arial"/>
                <w:b/>
                <w:bCs/>
                <w:color w:val="000000"/>
                <w:sz w:val="20"/>
                <w:szCs w:val="20"/>
                <w:lang w:eastAsia="sl-SI"/>
              </w:rPr>
              <w:t>Poročilo</w:t>
            </w:r>
            <w:r w:rsidR="00B14284" w:rsidRPr="00FC19D4">
              <w:rPr>
                <w:rFonts w:ascii="Arial" w:hAnsi="Arial" w:cs="Arial"/>
                <w:b/>
                <w:bCs/>
                <w:color w:val="000000"/>
                <w:sz w:val="20"/>
                <w:szCs w:val="20"/>
                <w:lang w:eastAsia="sl-SI"/>
              </w:rPr>
              <w:t xml:space="preserve"> </w:t>
            </w:r>
            <w:r w:rsidR="003E5E93" w:rsidRPr="00FC19D4">
              <w:rPr>
                <w:rFonts w:ascii="Arial" w:hAnsi="Arial" w:cs="Arial"/>
                <w:b/>
                <w:bCs/>
                <w:color w:val="000000"/>
                <w:sz w:val="20"/>
                <w:szCs w:val="20"/>
                <w:lang w:eastAsia="sl-SI"/>
              </w:rPr>
              <w:t>o procesu priprave in sprejemanja celovitega nacionalnega energetskega in podnebnega načrta –</w:t>
            </w:r>
            <w:r w:rsidR="003E5E93" w:rsidRPr="009E55CA">
              <w:rPr>
                <w:rFonts w:ascii="Arial" w:hAnsi="Arial" w:cs="Arial"/>
                <w:b/>
                <w:bCs/>
                <w:color w:val="000000"/>
                <w:sz w:val="20"/>
                <w:szCs w:val="20"/>
                <w:lang w:eastAsia="sl-SI"/>
              </w:rPr>
              <w:t xml:space="preserve"> </w:t>
            </w:r>
            <w:r w:rsidR="003E5E93" w:rsidRPr="009E55CA">
              <w:rPr>
                <w:rFonts w:ascii="Arial" w:hAnsi="Arial" w:cs="Arial"/>
                <w:b/>
                <w:bCs/>
                <w:i/>
                <w:iCs/>
                <w:color w:val="000000"/>
                <w:sz w:val="20"/>
                <w:szCs w:val="20"/>
                <w:lang w:eastAsia="sl-SI"/>
              </w:rPr>
              <w:t>predlog za</w:t>
            </w:r>
            <w:r w:rsidR="00C41087" w:rsidRPr="009E55CA">
              <w:rPr>
                <w:rFonts w:ascii="Arial" w:hAnsi="Arial" w:cs="Arial"/>
                <w:b/>
                <w:bCs/>
                <w:i/>
                <w:iCs/>
                <w:color w:val="000000"/>
                <w:sz w:val="20"/>
                <w:szCs w:val="20"/>
                <w:lang w:eastAsia="sl-SI"/>
              </w:rPr>
              <w:t xml:space="preserve"> </w:t>
            </w:r>
            <w:r w:rsidR="003E5E93" w:rsidRPr="009E55CA">
              <w:rPr>
                <w:rFonts w:ascii="Arial" w:hAnsi="Arial" w:cs="Arial"/>
                <w:b/>
                <w:bCs/>
                <w:i/>
                <w:iCs/>
                <w:color w:val="000000"/>
                <w:sz w:val="20"/>
                <w:szCs w:val="20"/>
                <w:lang w:eastAsia="sl-SI"/>
              </w:rPr>
              <w:t>obravnavo</w:t>
            </w:r>
          </w:p>
        </w:tc>
      </w:tr>
      <w:tr w:rsidR="00677C68" w:rsidRPr="00FC19D4" w14:paraId="760CBCAE" w14:textId="77777777" w:rsidTr="003D2A73">
        <w:trPr>
          <w:gridBefore w:val="1"/>
          <w:wBefore w:w="100" w:type="dxa"/>
        </w:trPr>
        <w:tc>
          <w:tcPr>
            <w:tcW w:w="9214" w:type="dxa"/>
            <w:gridSpan w:val="13"/>
          </w:tcPr>
          <w:p w14:paraId="01C4CD83" w14:textId="77777777" w:rsidR="00677C68" w:rsidRPr="00FC19D4" w:rsidRDefault="00677C68" w:rsidP="000E462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C19D4">
              <w:rPr>
                <w:rFonts w:ascii="Arial" w:eastAsia="Times New Roman" w:hAnsi="Arial" w:cs="Arial"/>
                <w:b/>
                <w:sz w:val="20"/>
                <w:szCs w:val="20"/>
                <w:lang w:eastAsia="sl-SI"/>
              </w:rPr>
              <w:t>1. Predlog sklepov vlade:</w:t>
            </w:r>
          </w:p>
        </w:tc>
      </w:tr>
      <w:tr w:rsidR="00677C68" w:rsidRPr="00FC19D4" w14:paraId="5E14298D" w14:textId="77777777" w:rsidTr="003D2A73">
        <w:trPr>
          <w:gridBefore w:val="1"/>
          <w:wBefore w:w="100" w:type="dxa"/>
        </w:trPr>
        <w:tc>
          <w:tcPr>
            <w:tcW w:w="9214" w:type="dxa"/>
            <w:gridSpan w:val="13"/>
          </w:tcPr>
          <w:p w14:paraId="61AF51DA" w14:textId="77777777" w:rsidR="00677C68" w:rsidRPr="00FC19D4" w:rsidRDefault="00677C68" w:rsidP="000E4629">
            <w:pPr>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Na podlagi 21. člena Zakona o Vladi Republike Slovenije (Uradni list RS, št. 24/05 – uradno prečiščeno besedilo, 109/08, 38/10 ZUKN, 8/12, 21/13</w:t>
            </w:r>
            <w:r w:rsidR="00305A08" w:rsidRPr="00FC19D4">
              <w:rPr>
                <w:rFonts w:ascii="Arial" w:eastAsia="Times New Roman" w:hAnsi="Arial" w:cs="Arial"/>
                <w:iCs/>
                <w:sz w:val="20"/>
                <w:szCs w:val="20"/>
                <w:lang w:eastAsia="sl-SI"/>
              </w:rPr>
              <w:t>,</w:t>
            </w:r>
            <w:r w:rsidRPr="00FC19D4">
              <w:rPr>
                <w:rFonts w:ascii="Arial" w:eastAsia="Times New Roman" w:hAnsi="Arial" w:cs="Arial"/>
                <w:iCs/>
                <w:sz w:val="20"/>
                <w:szCs w:val="20"/>
                <w:lang w:eastAsia="sl-SI"/>
              </w:rPr>
              <w:t>47/13-ZDU-1G</w:t>
            </w:r>
            <w:r w:rsidR="00305A08" w:rsidRPr="00FC19D4">
              <w:rPr>
                <w:rFonts w:ascii="Arial" w:eastAsia="Times New Roman" w:hAnsi="Arial" w:cs="Arial"/>
                <w:iCs/>
                <w:sz w:val="20"/>
                <w:szCs w:val="20"/>
                <w:lang w:eastAsia="sl-SI"/>
              </w:rPr>
              <w:t>, 65/14 in 55/17</w:t>
            </w:r>
            <w:r w:rsidRPr="00FC19D4">
              <w:rPr>
                <w:rFonts w:ascii="Arial" w:eastAsia="Times New Roman" w:hAnsi="Arial" w:cs="Arial"/>
                <w:iCs/>
                <w:sz w:val="20"/>
                <w:szCs w:val="20"/>
                <w:lang w:eastAsia="sl-SI"/>
              </w:rPr>
              <w:t xml:space="preserve">) je Vlada Republike Slovenije na …. seji dne …. pod točko … sprejela naslednji </w:t>
            </w:r>
          </w:p>
          <w:p w14:paraId="1DE405AB" w14:textId="77777777" w:rsidR="00677C68" w:rsidRPr="00FC19D4" w:rsidRDefault="00677C68" w:rsidP="000E4629">
            <w:pPr>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p>
          <w:p w14:paraId="4FBA330F" w14:textId="77777777" w:rsidR="00B92584" w:rsidRPr="00FC19D4" w:rsidRDefault="00B92584" w:rsidP="000E4629">
            <w:pPr>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p>
          <w:p w14:paraId="35459A4C" w14:textId="77777777" w:rsidR="00677C68" w:rsidRPr="00FC19D4" w:rsidRDefault="00677C68" w:rsidP="000E4629">
            <w:pPr>
              <w:overflowPunct w:val="0"/>
              <w:autoSpaceDE w:val="0"/>
              <w:autoSpaceDN w:val="0"/>
              <w:adjustRightInd w:val="0"/>
              <w:spacing w:before="60" w:after="60"/>
              <w:jc w:val="center"/>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SKLEP</w:t>
            </w:r>
          </w:p>
          <w:p w14:paraId="4A3D12E7" w14:textId="77777777" w:rsidR="00677C68" w:rsidRPr="00FC19D4" w:rsidRDefault="00677C68" w:rsidP="000E4629">
            <w:pPr>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p>
          <w:p w14:paraId="6CDEC8FF" w14:textId="59540EAB" w:rsidR="00677C68" w:rsidRPr="00FC19D4" w:rsidRDefault="005B7B61" w:rsidP="000E4629">
            <w:pPr>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 xml:space="preserve">Vlada </w:t>
            </w:r>
            <w:r w:rsidR="00B14284">
              <w:rPr>
                <w:rFonts w:ascii="Arial" w:eastAsia="Times New Roman" w:hAnsi="Arial" w:cs="Arial"/>
                <w:iCs/>
                <w:sz w:val="20"/>
                <w:szCs w:val="20"/>
                <w:lang w:eastAsia="sl-SI"/>
              </w:rPr>
              <w:t>Republike Slovenije sprejme Poročilo</w:t>
            </w:r>
            <w:r w:rsidRPr="00FC19D4">
              <w:rPr>
                <w:rFonts w:ascii="Arial" w:eastAsia="Times New Roman" w:hAnsi="Arial" w:cs="Arial"/>
                <w:iCs/>
                <w:sz w:val="20"/>
                <w:szCs w:val="20"/>
                <w:lang w:eastAsia="sl-SI"/>
              </w:rPr>
              <w:t xml:space="preserve"> </w:t>
            </w:r>
            <w:r w:rsidR="003E5E93" w:rsidRPr="00FC19D4">
              <w:rPr>
                <w:rFonts w:ascii="Arial" w:eastAsia="Times New Roman" w:hAnsi="Arial" w:cs="Arial"/>
                <w:iCs/>
                <w:sz w:val="20"/>
                <w:szCs w:val="20"/>
                <w:lang w:eastAsia="sl-SI"/>
              </w:rPr>
              <w:t>o procesu priprave in sprejemanja celovitega nacionalnega energetskega in podnebnega načrta</w:t>
            </w:r>
            <w:r w:rsidR="00735FB5" w:rsidRPr="00FC19D4">
              <w:rPr>
                <w:rFonts w:ascii="Arial" w:eastAsia="Times New Roman" w:hAnsi="Arial" w:cs="Arial"/>
                <w:iCs/>
                <w:sz w:val="20"/>
                <w:szCs w:val="20"/>
                <w:lang w:eastAsia="sl-SI"/>
              </w:rPr>
              <w:t xml:space="preserve"> in</w:t>
            </w:r>
            <w:r w:rsidR="00DB0782" w:rsidRPr="00FC19D4">
              <w:rPr>
                <w:rFonts w:ascii="Arial" w:eastAsia="Times New Roman" w:hAnsi="Arial" w:cs="Arial"/>
                <w:iCs/>
                <w:sz w:val="20"/>
                <w:szCs w:val="20"/>
                <w:lang w:eastAsia="sl-SI"/>
              </w:rPr>
              <w:t xml:space="preserve"> </w:t>
            </w:r>
            <w:r w:rsidR="00B14284">
              <w:rPr>
                <w:rFonts w:ascii="Arial" w:eastAsia="Times New Roman" w:hAnsi="Arial" w:cs="Arial"/>
                <w:iCs/>
                <w:sz w:val="20"/>
                <w:szCs w:val="20"/>
                <w:lang w:eastAsia="sl-SI"/>
              </w:rPr>
              <w:t>ga pošlje</w:t>
            </w:r>
            <w:r w:rsidR="000E599D">
              <w:rPr>
                <w:rFonts w:ascii="Arial" w:eastAsia="Times New Roman" w:hAnsi="Arial" w:cs="Arial"/>
                <w:iCs/>
                <w:sz w:val="20"/>
                <w:szCs w:val="20"/>
                <w:lang w:eastAsia="sl-SI"/>
              </w:rPr>
              <w:t xml:space="preserve"> </w:t>
            </w:r>
            <w:r w:rsidR="00735FB5" w:rsidRPr="00FC19D4">
              <w:rPr>
                <w:rFonts w:ascii="Arial" w:eastAsia="Times New Roman" w:hAnsi="Arial" w:cs="Arial"/>
                <w:iCs/>
                <w:sz w:val="20"/>
                <w:szCs w:val="20"/>
                <w:lang w:eastAsia="sl-SI"/>
              </w:rPr>
              <w:t>Državnemu zboru Republike Slovenije</w:t>
            </w:r>
            <w:r w:rsidR="00D45C70" w:rsidRPr="00FC19D4">
              <w:rPr>
                <w:rFonts w:ascii="Arial" w:eastAsia="Times New Roman" w:hAnsi="Arial" w:cs="Arial"/>
                <w:iCs/>
                <w:sz w:val="20"/>
                <w:szCs w:val="20"/>
                <w:lang w:eastAsia="sl-SI"/>
              </w:rPr>
              <w:t>.</w:t>
            </w:r>
          </w:p>
          <w:p w14:paraId="39D1C31E" w14:textId="77777777" w:rsidR="005B7B61" w:rsidRPr="00FC19D4" w:rsidRDefault="005B7B61" w:rsidP="000E4629">
            <w:pPr>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p>
          <w:p w14:paraId="3F371FB4" w14:textId="77777777" w:rsidR="00677C68" w:rsidRPr="00FC19D4" w:rsidRDefault="00677C68" w:rsidP="000E4629">
            <w:pPr>
              <w:overflowPunct w:val="0"/>
              <w:autoSpaceDE w:val="0"/>
              <w:autoSpaceDN w:val="0"/>
              <w:adjustRightInd w:val="0"/>
              <w:spacing w:before="60" w:after="60"/>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 xml:space="preserve">                                                                                              </w:t>
            </w:r>
            <w:r w:rsidR="005B7B61" w:rsidRPr="00FC19D4">
              <w:rPr>
                <w:rFonts w:ascii="Arial" w:eastAsia="Times New Roman" w:hAnsi="Arial" w:cs="Arial"/>
                <w:iCs/>
                <w:sz w:val="20"/>
                <w:szCs w:val="20"/>
                <w:lang w:eastAsia="sl-SI"/>
              </w:rPr>
              <w:t xml:space="preserve">    </w:t>
            </w:r>
            <w:r w:rsidRPr="00FC19D4">
              <w:rPr>
                <w:rFonts w:ascii="Arial" w:eastAsia="Times New Roman" w:hAnsi="Arial" w:cs="Arial"/>
                <w:iCs/>
                <w:sz w:val="20"/>
                <w:szCs w:val="20"/>
                <w:lang w:eastAsia="sl-SI"/>
              </w:rPr>
              <w:t xml:space="preserve"> Stojan Tramte</w:t>
            </w:r>
          </w:p>
          <w:p w14:paraId="40C81302" w14:textId="77777777" w:rsidR="00677C68" w:rsidRPr="00FC19D4" w:rsidRDefault="00677C68" w:rsidP="000E4629">
            <w:pPr>
              <w:overflowPunct w:val="0"/>
              <w:autoSpaceDE w:val="0"/>
              <w:autoSpaceDN w:val="0"/>
              <w:adjustRightInd w:val="0"/>
              <w:spacing w:before="60" w:after="60"/>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 xml:space="preserve">                                                                                          GENERALNI SEKRETAR</w:t>
            </w:r>
          </w:p>
          <w:p w14:paraId="568E0CAA" w14:textId="77777777" w:rsidR="00677C68" w:rsidRPr="00FC19D4" w:rsidRDefault="00677C68" w:rsidP="000E4629">
            <w:pPr>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p>
          <w:p w14:paraId="2288C6E7" w14:textId="77777777" w:rsidR="00677C68" w:rsidRPr="00FC19D4" w:rsidRDefault="00677C68" w:rsidP="000E4629">
            <w:pPr>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Prejemniki:</w:t>
            </w:r>
          </w:p>
          <w:p w14:paraId="74434A08" w14:textId="77777777" w:rsidR="00677C68" w:rsidRPr="00FC19D4" w:rsidRDefault="00677C68" w:rsidP="000E4629">
            <w:pPr>
              <w:numPr>
                <w:ilvl w:val="0"/>
                <w:numId w:val="5"/>
              </w:numPr>
              <w:suppressAutoHyphens/>
              <w:spacing w:after="0"/>
              <w:rPr>
                <w:rFonts w:ascii="Arial" w:eastAsia="Times New Roman" w:hAnsi="Arial" w:cs="Arial"/>
                <w:iCs/>
                <w:sz w:val="20"/>
                <w:szCs w:val="20"/>
                <w:lang w:eastAsia="sl-SI"/>
              </w:rPr>
            </w:pPr>
            <w:r w:rsidRPr="00FC19D4">
              <w:rPr>
                <w:rFonts w:ascii="Arial" w:eastAsia="Times New Roman" w:hAnsi="Arial" w:cs="Arial"/>
                <w:iCs/>
                <w:sz w:val="20"/>
                <w:szCs w:val="20"/>
                <w:lang w:eastAsia="sl-SI"/>
              </w:rPr>
              <w:t>Ministrstvo za infrastrukturo</w:t>
            </w:r>
          </w:p>
          <w:p w14:paraId="547C0500" w14:textId="77777777" w:rsidR="004B1C3F" w:rsidRPr="00FC19D4" w:rsidRDefault="00E9692F" w:rsidP="000E4629">
            <w:pPr>
              <w:numPr>
                <w:ilvl w:val="0"/>
                <w:numId w:val="5"/>
              </w:numPr>
              <w:suppressAutoHyphens/>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Ministrstvo za okolje in prostor</w:t>
            </w:r>
          </w:p>
          <w:p w14:paraId="34D8A0A6" w14:textId="2ABB2962" w:rsidR="00677C68" w:rsidRPr="00FC19D4" w:rsidRDefault="00677C68" w:rsidP="000E4629">
            <w:pPr>
              <w:numPr>
                <w:ilvl w:val="0"/>
                <w:numId w:val="5"/>
              </w:numPr>
              <w:suppressAutoHyphens/>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Ministrstvo za finance</w:t>
            </w:r>
          </w:p>
          <w:p w14:paraId="692F6D3D" w14:textId="440F5DB0" w:rsidR="00137F8A" w:rsidRPr="00FC19D4" w:rsidRDefault="00137F8A" w:rsidP="000E4629">
            <w:pPr>
              <w:numPr>
                <w:ilvl w:val="0"/>
                <w:numId w:val="5"/>
              </w:numPr>
              <w:suppressAutoHyphens/>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Ministrstvo za gospodarski razvoj in tehnologijo</w:t>
            </w:r>
          </w:p>
          <w:p w14:paraId="1C89EF73" w14:textId="76523DAF" w:rsidR="003E5E93" w:rsidRPr="00FC19D4" w:rsidRDefault="003E5E93" w:rsidP="000E4629">
            <w:pPr>
              <w:numPr>
                <w:ilvl w:val="0"/>
                <w:numId w:val="5"/>
              </w:numPr>
              <w:suppressAutoHyphens/>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Ministrstvo za izobraževanje, znanost in šport</w:t>
            </w:r>
          </w:p>
          <w:p w14:paraId="4C156387" w14:textId="74C75962" w:rsidR="003E5E93" w:rsidRPr="00FC19D4" w:rsidRDefault="003E5E93" w:rsidP="000E4629">
            <w:pPr>
              <w:numPr>
                <w:ilvl w:val="0"/>
                <w:numId w:val="5"/>
              </w:numPr>
              <w:suppressAutoHyphens/>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Ministrstvo za kmetijstvo, gozdarstvo in prehrano</w:t>
            </w:r>
          </w:p>
          <w:p w14:paraId="231240FD" w14:textId="17A9CD1D" w:rsidR="00E07C9A" w:rsidRPr="00FC19D4" w:rsidRDefault="00E07C9A" w:rsidP="000E4629">
            <w:pPr>
              <w:numPr>
                <w:ilvl w:val="0"/>
                <w:numId w:val="5"/>
              </w:numPr>
              <w:suppressAutoHyphens/>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 xml:space="preserve">Služba Vlade za razvoj in evropsko kohezijsko </w:t>
            </w:r>
            <w:r w:rsidR="00CE45E0" w:rsidRPr="00FC19D4">
              <w:rPr>
                <w:rFonts w:ascii="Arial" w:eastAsia="Times New Roman" w:hAnsi="Arial" w:cs="Arial"/>
                <w:iCs/>
                <w:sz w:val="20"/>
                <w:szCs w:val="20"/>
                <w:lang w:eastAsia="sl-SI"/>
              </w:rPr>
              <w:t>politiko</w:t>
            </w:r>
          </w:p>
          <w:p w14:paraId="7597DD5D" w14:textId="634963B2" w:rsidR="003E5E93" w:rsidRPr="00FC19D4" w:rsidRDefault="003E5E93" w:rsidP="000E4629">
            <w:pPr>
              <w:numPr>
                <w:ilvl w:val="0"/>
                <w:numId w:val="5"/>
              </w:numPr>
              <w:suppressAutoHyphens/>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Urad Republike Slovenije za makroekonomske analize in razvoj</w:t>
            </w:r>
          </w:p>
        </w:tc>
      </w:tr>
      <w:tr w:rsidR="00677C68" w:rsidRPr="00FC19D4" w14:paraId="5AE4BEE9" w14:textId="77777777" w:rsidTr="003D2A73">
        <w:trPr>
          <w:gridBefore w:val="1"/>
          <w:wBefore w:w="100" w:type="dxa"/>
        </w:trPr>
        <w:tc>
          <w:tcPr>
            <w:tcW w:w="9214" w:type="dxa"/>
            <w:gridSpan w:val="13"/>
          </w:tcPr>
          <w:p w14:paraId="468AEE4C" w14:textId="77777777" w:rsidR="00677C68" w:rsidRPr="00FC19D4" w:rsidRDefault="00677C68" w:rsidP="000E4629">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FC19D4">
              <w:rPr>
                <w:rFonts w:ascii="Arial" w:eastAsia="Times New Roman" w:hAnsi="Arial" w:cs="Arial"/>
                <w:b/>
                <w:sz w:val="20"/>
                <w:szCs w:val="20"/>
                <w:lang w:eastAsia="sl-SI"/>
              </w:rPr>
              <w:t>2. Predlog za obravnavo predloga zakona po nujnem ali skrajšanem postopku v državnem zboru z obrazložitvijo razlogov:</w:t>
            </w:r>
          </w:p>
        </w:tc>
      </w:tr>
      <w:tr w:rsidR="00677C68" w:rsidRPr="00FC19D4" w14:paraId="15C3A271" w14:textId="77777777" w:rsidTr="003D2A73">
        <w:trPr>
          <w:gridBefore w:val="1"/>
          <w:wBefore w:w="100" w:type="dxa"/>
        </w:trPr>
        <w:tc>
          <w:tcPr>
            <w:tcW w:w="9214" w:type="dxa"/>
            <w:gridSpan w:val="13"/>
          </w:tcPr>
          <w:p w14:paraId="147CE0AA" w14:textId="77777777" w:rsidR="00677C68" w:rsidRPr="00FC19D4" w:rsidRDefault="00677C68" w:rsidP="000E462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w:t>
            </w:r>
          </w:p>
        </w:tc>
      </w:tr>
      <w:tr w:rsidR="00677C68" w:rsidRPr="00FC19D4" w14:paraId="3F3ECC0B" w14:textId="77777777" w:rsidTr="003D2A73">
        <w:trPr>
          <w:gridBefore w:val="1"/>
          <w:wBefore w:w="100" w:type="dxa"/>
        </w:trPr>
        <w:tc>
          <w:tcPr>
            <w:tcW w:w="9214" w:type="dxa"/>
            <w:gridSpan w:val="13"/>
          </w:tcPr>
          <w:p w14:paraId="0D3B83DF" w14:textId="77777777" w:rsidR="00677C68" w:rsidRPr="00FC19D4" w:rsidRDefault="00677C68" w:rsidP="000E4629">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FC19D4">
              <w:rPr>
                <w:rFonts w:ascii="Arial" w:eastAsia="Times New Roman" w:hAnsi="Arial" w:cs="Arial"/>
                <w:b/>
                <w:sz w:val="20"/>
                <w:szCs w:val="20"/>
                <w:lang w:eastAsia="sl-SI"/>
              </w:rPr>
              <w:t>3.a Osebe, odgovorne za strokovno pripravo in usklajenost gradiva:</w:t>
            </w:r>
          </w:p>
        </w:tc>
      </w:tr>
      <w:tr w:rsidR="00677C68" w:rsidRPr="00FC19D4" w14:paraId="6EC8FED0" w14:textId="77777777" w:rsidTr="003D2A73">
        <w:trPr>
          <w:gridBefore w:val="1"/>
          <w:wBefore w:w="100" w:type="dxa"/>
        </w:trPr>
        <w:tc>
          <w:tcPr>
            <w:tcW w:w="9214" w:type="dxa"/>
            <w:gridSpan w:val="13"/>
          </w:tcPr>
          <w:p w14:paraId="67268727" w14:textId="31FD528F" w:rsidR="009703AD" w:rsidRPr="00FC19D4" w:rsidRDefault="00E9692F" w:rsidP="000E4629">
            <w:pPr>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lastRenderedPageBreak/>
              <w:t xml:space="preserve">mag. Hinko </w:t>
            </w:r>
            <w:proofErr w:type="spellStart"/>
            <w:r w:rsidRPr="00FC19D4">
              <w:rPr>
                <w:rFonts w:ascii="Arial" w:eastAsia="Times New Roman" w:hAnsi="Arial" w:cs="Arial"/>
                <w:iCs/>
                <w:sz w:val="20"/>
                <w:szCs w:val="20"/>
                <w:lang w:eastAsia="sl-SI"/>
              </w:rPr>
              <w:t>Šolinc</w:t>
            </w:r>
            <w:proofErr w:type="spellEnd"/>
            <w:r w:rsidRPr="00FC19D4">
              <w:rPr>
                <w:rFonts w:ascii="Arial" w:eastAsia="Times New Roman" w:hAnsi="Arial" w:cs="Arial"/>
                <w:iCs/>
                <w:sz w:val="20"/>
                <w:szCs w:val="20"/>
                <w:lang w:eastAsia="sl-SI"/>
              </w:rPr>
              <w:t>, generaln</w:t>
            </w:r>
            <w:r w:rsidR="00781086" w:rsidRPr="00FC19D4">
              <w:rPr>
                <w:rFonts w:ascii="Arial" w:eastAsia="Times New Roman" w:hAnsi="Arial" w:cs="Arial"/>
                <w:iCs/>
                <w:sz w:val="20"/>
                <w:szCs w:val="20"/>
                <w:lang w:eastAsia="sl-SI"/>
              </w:rPr>
              <w:t>i</w:t>
            </w:r>
            <w:r w:rsidRPr="00FC19D4">
              <w:rPr>
                <w:rFonts w:ascii="Arial" w:eastAsia="Times New Roman" w:hAnsi="Arial" w:cs="Arial"/>
                <w:iCs/>
                <w:sz w:val="20"/>
                <w:szCs w:val="20"/>
                <w:lang w:eastAsia="sl-SI"/>
              </w:rPr>
              <w:t xml:space="preserve"> direktor Direktorata za energijo, Ministrstvo za infrastrukturo</w:t>
            </w:r>
          </w:p>
          <w:p w14:paraId="48030426" w14:textId="57D21BEE" w:rsidR="005B7B61" w:rsidRPr="00FC19D4" w:rsidRDefault="005B7B61" w:rsidP="000E4629">
            <w:pPr>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m</w:t>
            </w:r>
            <w:r w:rsidR="003E5E93" w:rsidRPr="00FC19D4">
              <w:rPr>
                <w:rFonts w:ascii="Arial" w:eastAsia="Times New Roman" w:hAnsi="Arial" w:cs="Arial"/>
                <w:iCs/>
                <w:sz w:val="20"/>
                <w:szCs w:val="20"/>
                <w:lang w:eastAsia="sl-SI"/>
              </w:rPr>
              <w:t>ag. Tina Seršen, vodja S</w:t>
            </w:r>
            <w:r w:rsidRPr="00FC19D4">
              <w:rPr>
                <w:rFonts w:ascii="Arial" w:eastAsia="Times New Roman" w:hAnsi="Arial" w:cs="Arial"/>
                <w:iCs/>
                <w:sz w:val="20"/>
                <w:szCs w:val="20"/>
                <w:lang w:eastAsia="sl-SI"/>
              </w:rPr>
              <w:t>ektorja za pravne in mednarodne energetske zadeve, Ministrstvo za infrastrukturo</w:t>
            </w:r>
          </w:p>
          <w:p w14:paraId="32865F11" w14:textId="5A49C496" w:rsidR="00735FB5" w:rsidRPr="00FC19D4" w:rsidRDefault="00C75E6C" w:rsidP="000E4629">
            <w:pPr>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Silvo Škornik, vodja S</w:t>
            </w:r>
            <w:r w:rsidR="00735FB5" w:rsidRPr="00FC19D4">
              <w:rPr>
                <w:rFonts w:ascii="Arial" w:eastAsia="Times New Roman" w:hAnsi="Arial" w:cs="Arial"/>
                <w:iCs/>
                <w:sz w:val="20"/>
                <w:szCs w:val="20"/>
                <w:lang w:eastAsia="sl-SI"/>
              </w:rPr>
              <w:t>ektorja za oskrbo z energijo</w:t>
            </w:r>
            <w:r>
              <w:rPr>
                <w:rFonts w:ascii="Arial" w:eastAsia="Times New Roman" w:hAnsi="Arial" w:cs="Arial"/>
                <w:iCs/>
                <w:sz w:val="20"/>
                <w:szCs w:val="20"/>
                <w:lang w:eastAsia="sl-SI"/>
              </w:rPr>
              <w:t xml:space="preserve">, </w:t>
            </w:r>
            <w:r w:rsidRPr="00FC19D4">
              <w:rPr>
                <w:rFonts w:ascii="Arial" w:eastAsia="Times New Roman" w:hAnsi="Arial" w:cs="Arial"/>
                <w:iCs/>
                <w:sz w:val="20"/>
                <w:szCs w:val="20"/>
                <w:lang w:eastAsia="sl-SI"/>
              </w:rPr>
              <w:t>Ministrstvo za infrastrukturo</w:t>
            </w:r>
          </w:p>
          <w:p w14:paraId="62F1BC13" w14:textId="197301B8" w:rsidR="003E5E93" w:rsidRPr="00FC19D4" w:rsidRDefault="003E5E93" w:rsidP="000E4629">
            <w:pPr>
              <w:overflowPunct w:val="0"/>
              <w:autoSpaceDE w:val="0"/>
              <w:autoSpaceDN w:val="0"/>
              <w:adjustRightInd w:val="0"/>
              <w:spacing w:before="60" w:after="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 xml:space="preserve">dr. Danijel </w:t>
            </w:r>
            <w:proofErr w:type="spellStart"/>
            <w:r w:rsidRPr="00FC19D4">
              <w:rPr>
                <w:rFonts w:ascii="Arial" w:eastAsia="Times New Roman" w:hAnsi="Arial" w:cs="Arial"/>
                <w:iCs/>
                <w:sz w:val="20"/>
                <w:szCs w:val="20"/>
                <w:lang w:eastAsia="sl-SI"/>
              </w:rPr>
              <w:t>Crnčec</w:t>
            </w:r>
            <w:proofErr w:type="spellEnd"/>
            <w:r w:rsidRPr="00FC19D4">
              <w:rPr>
                <w:rFonts w:ascii="Arial" w:eastAsia="Times New Roman" w:hAnsi="Arial" w:cs="Arial"/>
                <w:iCs/>
                <w:sz w:val="20"/>
                <w:szCs w:val="20"/>
                <w:lang w:eastAsia="sl-SI"/>
              </w:rPr>
              <w:t>, podsekretar v Sektorju za pravne in mednarodne energetske zadeve, Ministrstvo za infrastrukturo</w:t>
            </w:r>
          </w:p>
        </w:tc>
      </w:tr>
      <w:tr w:rsidR="00677C68" w:rsidRPr="00FC19D4" w14:paraId="69BF4004" w14:textId="77777777" w:rsidTr="003D2A73">
        <w:trPr>
          <w:gridBefore w:val="1"/>
          <w:wBefore w:w="100" w:type="dxa"/>
        </w:trPr>
        <w:tc>
          <w:tcPr>
            <w:tcW w:w="9214" w:type="dxa"/>
            <w:gridSpan w:val="13"/>
          </w:tcPr>
          <w:p w14:paraId="2FE47091" w14:textId="77777777" w:rsidR="00677C68" w:rsidRPr="00FC19D4" w:rsidRDefault="00677C68" w:rsidP="000E4629">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FC19D4">
              <w:rPr>
                <w:rFonts w:ascii="Arial" w:eastAsia="Times New Roman" w:hAnsi="Arial" w:cs="Arial"/>
                <w:b/>
                <w:iCs/>
                <w:sz w:val="20"/>
                <w:szCs w:val="20"/>
                <w:lang w:eastAsia="sl-SI"/>
              </w:rPr>
              <w:t xml:space="preserve">3.b Zunanji strokovnjaki, ki so </w:t>
            </w:r>
            <w:r w:rsidRPr="00FC19D4">
              <w:rPr>
                <w:rFonts w:ascii="Arial" w:eastAsia="Times New Roman" w:hAnsi="Arial" w:cs="Arial"/>
                <w:b/>
                <w:sz w:val="20"/>
                <w:szCs w:val="20"/>
                <w:lang w:eastAsia="sl-SI"/>
              </w:rPr>
              <w:t>sodelovali pri pripravi dela ali celotnega gradiva:</w:t>
            </w:r>
          </w:p>
        </w:tc>
      </w:tr>
      <w:tr w:rsidR="00677C68" w:rsidRPr="00FC19D4" w14:paraId="6C91FB13" w14:textId="77777777" w:rsidTr="003D2A73">
        <w:trPr>
          <w:gridBefore w:val="1"/>
          <w:wBefore w:w="100" w:type="dxa"/>
        </w:trPr>
        <w:tc>
          <w:tcPr>
            <w:tcW w:w="9214" w:type="dxa"/>
            <w:gridSpan w:val="13"/>
          </w:tcPr>
          <w:p w14:paraId="6907D562" w14:textId="77777777" w:rsidR="00677C68" w:rsidRPr="00FC19D4" w:rsidRDefault="00677C68" w:rsidP="000E462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w:t>
            </w:r>
          </w:p>
        </w:tc>
      </w:tr>
      <w:tr w:rsidR="00677C68" w:rsidRPr="00FC19D4" w14:paraId="0ED9E054" w14:textId="77777777" w:rsidTr="003D2A73">
        <w:trPr>
          <w:gridBefore w:val="1"/>
          <w:wBefore w:w="100" w:type="dxa"/>
        </w:trPr>
        <w:tc>
          <w:tcPr>
            <w:tcW w:w="9214" w:type="dxa"/>
            <w:gridSpan w:val="13"/>
          </w:tcPr>
          <w:p w14:paraId="3759E603" w14:textId="77777777" w:rsidR="00677C68" w:rsidRPr="00FC19D4" w:rsidRDefault="00677C68" w:rsidP="000E4629">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FC19D4">
              <w:rPr>
                <w:rFonts w:ascii="Arial" w:eastAsia="Times New Roman" w:hAnsi="Arial" w:cs="Arial"/>
                <w:b/>
                <w:sz w:val="20"/>
                <w:szCs w:val="20"/>
                <w:lang w:eastAsia="sl-SI"/>
              </w:rPr>
              <w:t>4. Predstavniki vlade, ki bodo sodelovali pri delu državnega zbora:</w:t>
            </w:r>
          </w:p>
        </w:tc>
      </w:tr>
      <w:tr w:rsidR="00677C68" w:rsidRPr="00FC19D4" w14:paraId="56E2EFDE" w14:textId="77777777" w:rsidTr="003D2A73">
        <w:trPr>
          <w:gridBefore w:val="1"/>
          <w:wBefore w:w="100" w:type="dxa"/>
        </w:trPr>
        <w:tc>
          <w:tcPr>
            <w:tcW w:w="9214" w:type="dxa"/>
            <w:gridSpan w:val="13"/>
          </w:tcPr>
          <w:p w14:paraId="577FA4D2" w14:textId="77777777" w:rsidR="00677C68" w:rsidRPr="00FC19D4" w:rsidRDefault="00677C68" w:rsidP="000E4629">
            <w:pPr>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FC19D4">
              <w:rPr>
                <w:rFonts w:ascii="Arial" w:eastAsia="Times New Roman" w:hAnsi="Arial" w:cs="Arial"/>
                <w:iCs/>
                <w:sz w:val="20"/>
                <w:szCs w:val="20"/>
                <w:lang w:eastAsia="sl-SI"/>
              </w:rPr>
              <w:t>/</w:t>
            </w:r>
          </w:p>
        </w:tc>
      </w:tr>
      <w:tr w:rsidR="00677C68" w:rsidRPr="00FC19D4" w14:paraId="69425F91" w14:textId="77777777" w:rsidTr="003D2A73">
        <w:trPr>
          <w:gridBefore w:val="1"/>
          <w:wBefore w:w="100" w:type="dxa"/>
        </w:trPr>
        <w:tc>
          <w:tcPr>
            <w:tcW w:w="9214" w:type="dxa"/>
            <w:gridSpan w:val="13"/>
          </w:tcPr>
          <w:p w14:paraId="5B1900D9" w14:textId="77777777" w:rsidR="00677C68" w:rsidRPr="00FC19D4" w:rsidRDefault="00677C68" w:rsidP="000E462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C19D4">
              <w:rPr>
                <w:rFonts w:ascii="Arial" w:eastAsia="Times New Roman" w:hAnsi="Arial" w:cs="Arial"/>
                <w:b/>
                <w:sz w:val="20"/>
                <w:szCs w:val="20"/>
                <w:lang w:eastAsia="sl-SI"/>
              </w:rPr>
              <w:t>5. Kratek povzetek gradiva:</w:t>
            </w:r>
          </w:p>
        </w:tc>
      </w:tr>
      <w:tr w:rsidR="00677C68" w:rsidRPr="00FC19D4" w14:paraId="7DC73764" w14:textId="77777777" w:rsidTr="003D2A73">
        <w:trPr>
          <w:gridBefore w:val="1"/>
          <w:wBefore w:w="100" w:type="dxa"/>
        </w:trPr>
        <w:tc>
          <w:tcPr>
            <w:tcW w:w="9214" w:type="dxa"/>
            <w:gridSpan w:val="13"/>
          </w:tcPr>
          <w:p w14:paraId="311DA810" w14:textId="58C6272B" w:rsidR="00781086" w:rsidRPr="00FC19D4" w:rsidRDefault="00781086" w:rsidP="000E4629">
            <w:pPr>
              <w:overflowPunct w:val="0"/>
              <w:autoSpaceDE w:val="0"/>
              <w:autoSpaceDN w:val="0"/>
              <w:adjustRightInd w:val="0"/>
              <w:spacing w:after="0"/>
              <w:jc w:val="both"/>
              <w:textAlignment w:val="baseline"/>
              <w:rPr>
                <w:rFonts w:ascii="Arial" w:hAnsi="Arial" w:cs="Arial"/>
                <w:sz w:val="20"/>
              </w:rPr>
            </w:pPr>
            <w:r w:rsidRPr="00FC19D4">
              <w:rPr>
                <w:rFonts w:ascii="Arial" w:hAnsi="Arial" w:cs="Arial"/>
                <w:sz w:val="20"/>
              </w:rPr>
              <w:t>Državno zborski Odbor za infrastrukturo, okolje in prostor je na 7. nujni seji 9. 4. 2019 obravnaval zahtevo poslanske skupine Levice za sklic nujne seje odbora z naslovom »Poziv mladih za podnebno pravičnost« in med drugim sprejel sklep, da naj vlada o procesu priprave in sprejemanja Nacionalnega energetsko podnebnega načrta predloži poročilo Državnemu zboru do 31. avgusta 2019.</w:t>
            </w:r>
          </w:p>
          <w:p w14:paraId="1CDC9526" w14:textId="77777777" w:rsidR="00B14284" w:rsidRDefault="00B14284" w:rsidP="000E4629">
            <w:pPr>
              <w:overflowPunct w:val="0"/>
              <w:autoSpaceDE w:val="0"/>
              <w:autoSpaceDN w:val="0"/>
              <w:adjustRightInd w:val="0"/>
              <w:spacing w:after="0"/>
              <w:jc w:val="both"/>
              <w:textAlignment w:val="baseline"/>
              <w:rPr>
                <w:rFonts w:ascii="Arial" w:hAnsi="Arial" w:cs="Arial"/>
                <w:sz w:val="20"/>
              </w:rPr>
            </w:pPr>
          </w:p>
          <w:p w14:paraId="44D98359" w14:textId="59912860" w:rsidR="00D36CA8" w:rsidRPr="00FC19D4" w:rsidRDefault="00D36CA8" w:rsidP="000E4629">
            <w:pPr>
              <w:overflowPunct w:val="0"/>
              <w:autoSpaceDE w:val="0"/>
              <w:autoSpaceDN w:val="0"/>
              <w:adjustRightInd w:val="0"/>
              <w:spacing w:after="0"/>
              <w:jc w:val="both"/>
              <w:textAlignment w:val="baseline"/>
              <w:rPr>
                <w:rFonts w:ascii="Arial" w:hAnsi="Arial" w:cs="Arial"/>
                <w:sz w:val="20"/>
              </w:rPr>
            </w:pPr>
            <w:r w:rsidRPr="00FC19D4">
              <w:rPr>
                <w:rFonts w:ascii="Arial" w:hAnsi="Arial" w:cs="Arial"/>
                <w:sz w:val="20"/>
              </w:rPr>
              <w:t>Pripravljeno je Poročilo o procesu priprave in sprejemanja celovitega nacionalnega energetskega in podnebnega načrta</w:t>
            </w:r>
            <w:r w:rsidR="00483BAD">
              <w:rPr>
                <w:rFonts w:ascii="Arial" w:hAnsi="Arial" w:cs="Arial"/>
                <w:sz w:val="20"/>
              </w:rPr>
              <w:t xml:space="preserve"> (NEPN)</w:t>
            </w:r>
            <w:r w:rsidRPr="00FC19D4">
              <w:rPr>
                <w:rFonts w:ascii="Arial" w:hAnsi="Arial" w:cs="Arial"/>
                <w:sz w:val="20"/>
              </w:rPr>
              <w:t>.</w:t>
            </w:r>
          </w:p>
          <w:p w14:paraId="439F4451" w14:textId="77777777" w:rsidR="003E5E93" w:rsidRPr="00FC19D4" w:rsidRDefault="003E5E93" w:rsidP="000E4629">
            <w:pPr>
              <w:overflowPunct w:val="0"/>
              <w:autoSpaceDE w:val="0"/>
              <w:autoSpaceDN w:val="0"/>
              <w:adjustRightInd w:val="0"/>
              <w:spacing w:after="0"/>
              <w:jc w:val="both"/>
              <w:textAlignment w:val="baseline"/>
              <w:rPr>
                <w:rFonts w:ascii="Arial" w:eastAsia="Times New Roman" w:hAnsi="Arial" w:cs="Arial"/>
                <w:iCs/>
                <w:sz w:val="20"/>
                <w:szCs w:val="20"/>
                <w:lang w:eastAsia="sl-SI"/>
              </w:rPr>
            </w:pPr>
          </w:p>
          <w:p w14:paraId="3233D8DB" w14:textId="10C80546" w:rsidR="00A718CA" w:rsidRPr="00FC19D4" w:rsidRDefault="00A718CA" w:rsidP="000E4629">
            <w:pPr>
              <w:overflowPunct w:val="0"/>
              <w:autoSpaceDE w:val="0"/>
              <w:autoSpaceDN w:val="0"/>
              <w:adjustRightInd w:val="0"/>
              <w:spacing w:after="0"/>
              <w:jc w:val="both"/>
              <w:textAlignment w:val="baseline"/>
              <w:rPr>
                <w:rFonts w:ascii="Arial" w:eastAsia="Times New Roman" w:hAnsi="Arial" w:cs="Arial"/>
                <w:iCs/>
                <w:sz w:val="20"/>
                <w:szCs w:val="20"/>
                <w:lang w:eastAsia="sl-SI"/>
              </w:rPr>
            </w:pPr>
            <w:bookmarkStart w:id="0" w:name="_GoBack"/>
            <w:bookmarkEnd w:id="0"/>
            <w:r w:rsidRPr="00FC19D4">
              <w:rPr>
                <w:rFonts w:ascii="Arial" w:eastAsia="Times New Roman" w:hAnsi="Arial" w:cs="Arial"/>
                <w:iCs/>
                <w:sz w:val="20"/>
                <w:szCs w:val="20"/>
                <w:lang w:eastAsia="sl-SI"/>
              </w:rPr>
              <w:t xml:space="preserve">Skladno z </w:t>
            </w:r>
            <w:r w:rsidR="00483BAD">
              <w:rPr>
                <w:rFonts w:ascii="Arial" w:eastAsia="Times New Roman" w:hAnsi="Arial" w:cs="Arial"/>
                <w:iCs/>
                <w:sz w:val="20"/>
                <w:szCs w:val="20"/>
                <w:lang w:eastAsia="sl-SI"/>
              </w:rPr>
              <w:t>Uredbo (EU) 2018/1999</w:t>
            </w:r>
            <w:r w:rsidR="00483BAD" w:rsidRPr="00FC19D4">
              <w:rPr>
                <w:rFonts w:ascii="Arial" w:eastAsia="Times New Roman" w:hAnsi="Arial" w:cs="Arial"/>
                <w:iCs/>
                <w:sz w:val="20"/>
                <w:szCs w:val="20"/>
                <w:lang w:eastAsia="sl-SI"/>
              </w:rPr>
              <w:t xml:space="preserve"> </w:t>
            </w:r>
            <w:r w:rsidRPr="00FC19D4">
              <w:rPr>
                <w:rFonts w:ascii="Arial" w:eastAsia="Times New Roman" w:hAnsi="Arial" w:cs="Arial"/>
                <w:iCs/>
                <w:sz w:val="20"/>
                <w:szCs w:val="20"/>
                <w:lang w:eastAsia="sl-SI"/>
              </w:rPr>
              <w:t>je dolžna Slovenija do 31. decembra 2019 sprejeti NEPN predložiti Komisiji</w:t>
            </w:r>
            <w:r w:rsidR="00483BAD">
              <w:rPr>
                <w:rFonts w:ascii="Arial" w:eastAsia="Times New Roman" w:hAnsi="Arial" w:cs="Arial"/>
                <w:iCs/>
                <w:sz w:val="20"/>
                <w:szCs w:val="20"/>
                <w:lang w:eastAsia="sl-SI"/>
              </w:rPr>
              <w:t>. G</w:t>
            </w:r>
            <w:r w:rsidRPr="00FC19D4">
              <w:rPr>
                <w:rFonts w:ascii="Arial" w:eastAsia="Times New Roman" w:hAnsi="Arial" w:cs="Arial"/>
                <w:iCs/>
                <w:sz w:val="20"/>
                <w:szCs w:val="20"/>
                <w:lang w:eastAsia="sl-SI"/>
              </w:rPr>
              <w:t>lede na številne in zahtevne aktivnosti</w:t>
            </w:r>
            <w:r w:rsidR="00483BAD">
              <w:rPr>
                <w:rFonts w:ascii="Arial" w:eastAsia="Times New Roman" w:hAnsi="Arial" w:cs="Arial"/>
                <w:iCs/>
                <w:sz w:val="20"/>
                <w:szCs w:val="20"/>
                <w:lang w:eastAsia="sl-SI"/>
              </w:rPr>
              <w:t xml:space="preserve"> in </w:t>
            </w:r>
            <w:r w:rsidRPr="00FC19D4">
              <w:rPr>
                <w:rFonts w:ascii="Arial" w:eastAsia="Times New Roman" w:hAnsi="Arial" w:cs="Arial"/>
                <w:iCs/>
                <w:sz w:val="20"/>
                <w:szCs w:val="20"/>
                <w:lang w:eastAsia="sl-SI"/>
              </w:rPr>
              <w:t>s konstruktivnim sodelovanjem vseh deležnikov ter uspešno in pravočasno zaključeno celovito presojo vplivov na okolje</w:t>
            </w:r>
            <w:r w:rsidR="00483BAD">
              <w:rPr>
                <w:rFonts w:ascii="Arial" w:eastAsia="Times New Roman" w:hAnsi="Arial" w:cs="Arial"/>
                <w:iCs/>
                <w:sz w:val="20"/>
                <w:szCs w:val="20"/>
                <w:lang w:eastAsia="sl-SI"/>
              </w:rPr>
              <w:t xml:space="preserve"> bo sprejem NEPN mogoče doseči v prvi polovici 2020</w:t>
            </w:r>
            <w:r w:rsidRPr="00FC19D4">
              <w:rPr>
                <w:rFonts w:ascii="Arial" w:eastAsia="Times New Roman" w:hAnsi="Arial" w:cs="Arial"/>
                <w:iCs/>
                <w:sz w:val="20"/>
                <w:szCs w:val="20"/>
                <w:lang w:eastAsia="sl-SI"/>
              </w:rPr>
              <w:t xml:space="preserve">. </w:t>
            </w:r>
          </w:p>
          <w:p w14:paraId="0A131CBC" w14:textId="77777777" w:rsidR="00A718CA" w:rsidRPr="00FC19D4" w:rsidRDefault="00A718CA" w:rsidP="000E4629">
            <w:pPr>
              <w:overflowPunct w:val="0"/>
              <w:autoSpaceDE w:val="0"/>
              <w:autoSpaceDN w:val="0"/>
              <w:adjustRightInd w:val="0"/>
              <w:spacing w:after="0"/>
              <w:jc w:val="both"/>
              <w:textAlignment w:val="baseline"/>
              <w:rPr>
                <w:rFonts w:ascii="Arial" w:eastAsia="Times New Roman" w:hAnsi="Arial" w:cs="Arial"/>
                <w:iCs/>
                <w:sz w:val="20"/>
                <w:szCs w:val="20"/>
                <w:lang w:eastAsia="sl-SI"/>
              </w:rPr>
            </w:pPr>
          </w:p>
          <w:p w14:paraId="2476D49C" w14:textId="22DFD56E" w:rsidR="00A718CA" w:rsidRPr="00FC19D4" w:rsidRDefault="00A718CA" w:rsidP="006373A2">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 xml:space="preserve">Sprejetje NEPN in njegova predložitev Komisiji bosta predstavljala </w:t>
            </w:r>
            <w:proofErr w:type="spellStart"/>
            <w:r w:rsidRPr="00FC19D4">
              <w:rPr>
                <w:rFonts w:ascii="Arial" w:eastAsia="Times New Roman" w:hAnsi="Arial" w:cs="Arial"/>
                <w:iCs/>
                <w:sz w:val="20"/>
                <w:szCs w:val="20"/>
                <w:lang w:eastAsia="sl-SI"/>
              </w:rPr>
              <w:t>omogočitveni</w:t>
            </w:r>
            <w:proofErr w:type="spellEnd"/>
            <w:r w:rsidRPr="00FC19D4">
              <w:rPr>
                <w:rFonts w:ascii="Arial" w:eastAsia="Times New Roman" w:hAnsi="Arial" w:cs="Arial"/>
                <w:iCs/>
                <w:sz w:val="20"/>
                <w:szCs w:val="20"/>
                <w:lang w:eastAsia="sl-SI"/>
              </w:rPr>
              <w:t xml:space="preserve"> pogoj za črpanje kohezijskih sredstev v novi večletni finančni perspektivi.</w:t>
            </w:r>
          </w:p>
        </w:tc>
      </w:tr>
      <w:tr w:rsidR="00677C68" w:rsidRPr="00FC19D4" w14:paraId="77070D30" w14:textId="77777777" w:rsidTr="003D2A73">
        <w:trPr>
          <w:gridBefore w:val="1"/>
          <w:wBefore w:w="100" w:type="dxa"/>
        </w:trPr>
        <w:tc>
          <w:tcPr>
            <w:tcW w:w="9214" w:type="dxa"/>
            <w:gridSpan w:val="13"/>
          </w:tcPr>
          <w:p w14:paraId="5EA4E58C" w14:textId="77777777" w:rsidR="00677C68" w:rsidRPr="00FC19D4" w:rsidRDefault="00677C68" w:rsidP="000E462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C19D4">
              <w:rPr>
                <w:rFonts w:ascii="Arial" w:eastAsia="Times New Roman" w:hAnsi="Arial" w:cs="Arial"/>
                <w:b/>
                <w:sz w:val="20"/>
                <w:szCs w:val="20"/>
                <w:lang w:eastAsia="sl-SI"/>
              </w:rPr>
              <w:t>6. Presoja posledic za:</w:t>
            </w:r>
          </w:p>
        </w:tc>
      </w:tr>
      <w:tr w:rsidR="00677C68" w:rsidRPr="00FC19D4" w14:paraId="6B9BEF83" w14:textId="77777777" w:rsidTr="003D2A73">
        <w:trPr>
          <w:gridBefore w:val="1"/>
          <w:wBefore w:w="100" w:type="dxa"/>
        </w:trPr>
        <w:tc>
          <w:tcPr>
            <w:tcW w:w="1448" w:type="dxa"/>
          </w:tcPr>
          <w:p w14:paraId="6491E8C4" w14:textId="77777777" w:rsidR="00677C68" w:rsidRPr="00FC19D4" w:rsidRDefault="00677C68" w:rsidP="000E4629">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a)</w:t>
            </w:r>
          </w:p>
        </w:tc>
        <w:tc>
          <w:tcPr>
            <w:tcW w:w="5444" w:type="dxa"/>
            <w:gridSpan w:val="9"/>
          </w:tcPr>
          <w:p w14:paraId="4C9B8AA2" w14:textId="77777777" w:rsidR="00677C68" w:rsidRPr="00FC19D4" w:rsidRDefault="00677C68" w:rsidP="000E4629">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C19D4">
              <w:rPr>
                <w:rFonts w:ascii="Arial" w:eastAsia="Times New Roman" w:hAnsi="Arial" w:cs="Arial"/>
                <w:sz w:val="20"/>
                <w:szCs w:val="20"/>
                <w:lang w:eastAsia="sl-SI"/>
              </w:rPr>
              <w:t>javnofinančna sredstva nad 40.000 EUR v tekočem in naslednjih treh letih</w:t>
            </w:r>
          </w:p>
        </w:tc>
        <w:tc>
          <w:tcPr>
            <w:tcW w:w="2322" w:type="dxa"/>
            <w:gridSpan w:val="3"/>
            <w:vAlign w:val="center"/>
          </w:tcPr>
          <w:p w14:paraId="0622441E" w14:textId="4C9034C3" w:rsidR="00677C68" w:rsidRPr="00FC19D4" w:rsidRDefault="002A2D5E" w:rsidP="000E4629">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NE</w:t>
            </w:r>
          </w:p>
        </w:tc>
      </w:tr>
      <w:tr w:rsidR="00677C68" w:rsidRPr="00FC19D4" w14:paraId="58F2A617" w14:textId="77777777" w:rsidTr="003D2A73">
        <w:trPr>
          <w:gridBefore w:val="1"/>
          <w:wBefore w:w="100" w:type="dxa"/>
        </w:trPr>
        <w:tc>
          <w:tcPr>
            <w:tcW w:w="1448" w:type="dxa"/>
          </w:tcPr>
          <w:p w14:paraId="584072C5" w14:textId="77777777" w:rsidR="00677C68" w:rsidRPr="00FC19D4" w:rsidRDefault="00677C68" w:rsidP="000E4629">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b)</w:t>
            </w:r>
          </w:p>
        </w:tc>
        <w:tc>
          <w:tcPr>
            <w:tcW w:w="5444" w:type="dxa"/>
            <w:gridSpan w:val="9"/>
          </w:tcPr>
          <w:p w14:paraId="3B7FC4E9" w14:textId="77777777" w:rsidR="00677C68" w:rsidRPr="00FC19D4" w:rsidRDefault="00677C68" w:rsidP="000E462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C19D4">
              <w:rPr>
                <w:rFonts w:ascii="Arial" w:eastAsia="Times New Roman" w:hAnsi="Arial" w:cs="Arial"/>
                <w:bCs/>
                <w:sz w:val="20"/>
                <w:szCs w:val="20"/>
                <w:lang w:eastAsia="sl-SI"/>
              </w:rPr>
              <w:t>usklajenost slovenskega pravnega reda s pravnim redom Evropske unije</w:t>
            </w:r>
          </w:p>
        </w:tc>
        <w:tc>
          <w:tcPr>
            <w:tcW w:w="2322" w:type="dxa"/>
            <w:gridSpan w:val="3"/>
            <w:vAlign w:val="center"/>
          </w:tcPr>
          <w:p w14:paraId="2FB1F437" w14:textId="77777777" w:rsidR="00677C68" w:rsidRPr="00FC19D4" w:rsidRDefault="00310446" w:rsidP="000E4629">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DA</w:t>
            </w:r>
          </w:p>
        </w:tc>
      </w:tr>
      <w:tr w:rsidR="00677C68" w:rsidRPr="00FC19D4" w14:paraId="79200A00" w14:textId="77777777" w:rsidTr="003D2A73">
        <w:trPr>
          <w:gridBefore w:val="1"/>
          <w:wBefore w:w="100" w:type="dxa"/>
        </w:trPr>
        <w:tc>
          <w:tcPr>
            <w:tcW w:w="1448" w:type="dxa"/>
          </w:tcPr>
          <w:p w14:paraId="6FDA9E76" w14:textId="77777777" w:rsidR="00677C68" w:rsidRPr="00FC19D4" w:rsidRDefault="00677C68" w:rsidP="000E4629">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c)</w:t>
            </w:r>
          </w:p>
        </w:tc>
        <w:tc>
          <w:tcPr>
            <w:tcW w:w="5444" w:type="dxa"/>
            <w:gridSpan w:val="9"/>
          </w:tcPr>
          <w:p w14:paraId="30FE1A77" w14:textId="77777777" w:rsidR="00677C68" w:rsidRPr="00FC19D4" w:rsidRDefault="00677C68" w:rsidP="000E462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C19D4">
              <w:rPr>
                <w:rFonts w:ascii="Arial" w:eastAsia="Times New Roman" w:hAnsi="Arial" w:cs="Arial"/>
                <w:sz w:val="20"/>
                <w:szCs w:val="20"/>
                <w:lang w:eastAsia="sl-SI"/>
              </w:rPr>
              <w:t>administrativne posledice</w:t>
            </w:r>
          </w:p>
        </w:tc>
        <w:tc>
          <w:tcPr>
            <w:tcW w:w="2322" w:type="dxa"/>
            <w:gridSpan w:val="3"/>
            <w:vAlign w:val="center"/>
          </w:tcPr>
          <w:p w14:paraId="1F4A1BFA" w14:textId="77777777" w:rsidR="00677C68" w:rsidRPr="00FC19D4" w:rsidRDefault="00677C68" w:rsidP="000E4629">
            <w:pPr>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FC19D4">
              <w:rPr>
                <w:rFonts w:ascii="Arial" w:eastAsia="Times New Roman" w:hAnsi="Arial" w:cs="Arial"/>
                <w:sz w:val="20"/>
                <w:szCs w:val="20"/>
                <w:lang w:eastAsia="sl-SI"/>
              </w:rPr>
              <w:t>NE</w:t>
            </w:r>
          </w:p>
        </w:tc>
      </w:tr>
      <w:tr w:rsidR="00677C68" w:rsidRPr="00FC19D4" w14:paraId="049E6EED" w14:textId="77777777" w:rsidTr="003D2A73">
        <w:trPr>
          <w:gridBefore w:val="1"/>
          <w:wBefore w:w="100" w:type="dxa"/>
        </w:trPr>
        <w:tc>
          <w:tcPr>
            <w:tcW w:w="1448" w:type="dxa"/>
          </w:tcPr>
          <w:p w14:paraId="5D2CAD71" w14:textId="77777777" w:rsidR="00677C68" w:rsidRPr="00FC19D4" w:rsidRDefault="00677C68" w:rsidP="000E4629">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č)</w:t>
            </w:r>
          </w:p>
        </w:tc>
        <w:tc>
          <w:tcPr>
            <w:tcW w:w="5444" w:type="dxa"/>
            <w:gridSpan w:val="9"/>
          </w:tcPr>
          <w:p w14:paraId="1606A33E" w14:textId="77777777" w:rsidR="00677C68" w:rsidRPr="00FC19D4" w:rsidRDefault="00677C68" w:rsidP="000E4629">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C19D4">
              <w:rPr>
                <w:rFonts w:ascii="Arial" w:eastAsia="Times New Roman" w:hAnsi="Arial" w:cs="Arial"/>
                <w:sz w:val="20"/>
                <w:szCs w:val="20"/>
                <w:lang w:eastAsia="sl-SI"/>
              </w:rPr>
              <w:t>gospodarstvo, zlasti</w:t>
            </w:r>
            <w:r w:rsidRPr="00FC19D4">
              <w:rPr>
                <w:rFonts w:ascii="Arial" w:eastAsia="Times New Roman" w:hAnsi="Arial" w:cs="Arial"/>
                <w:bCs/>
                <w:sz w:val="20"/>
                <w:szCs w:val="20"/>
                <w:lang w:eastAsia="sl-SI"/>
              </w:rPr>
              <w:t xml:space="preserve"> mala in srednja podjetja ter konkurenčnost podjetij</w:t>
            </w:r>
          </w:p>
        </w:tc>
        <w:tc>
          <w:tcPr>
            <w:tcW w:w="2322" w:type="dxa"/>
            <w:gridSpan w:val="3"/>
            <w:vAlign w:val="center"/>
          </w:tcPr>
          <w:p w14:paraId="17B1372D" w14:textId="77777777" w:rsidR="00677C68" w:rsidRPr="00FC19D4" w:rsidRDefault="00677C68" w:rsidP="000E4629">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C19D4">
              <w:rPr>
                <w:rFonts w:ascii="Arial" w:eastAsia="Times New Roman" w:hAnsi="Arial" w:cs="Arial"/>
                <w:sz w:val="20"/>
                <w:szCs w:val="20"/>
                <w:lang w:eastAsia="sl-SI"/>
              </w:rPr>
              <w:t>NE</w:t>
            </w:r>
          </w:p>
        </w:tc>
      </w:tr>
      <w:tr w:rsidR="00677C68" w:rsidRPr="00FC19D4" w14:paraId="28EB9A4B" w14:textId="77777777" w:rsidTr="003D2A73">
        <w:trPr>
          <w:gridBefore w:val="1"/>
          <w:wBefore w:w="100" w:type="dxa"/>
        </w:trPr>
        <w:tc>
          <w:tcPr>
            <w:tcW w:w="1448" w:type="dxa"/>
          </w:tcPr>
          <w:p w14:paraId="4D1228B4" w14:textId="77777777" w:rsidR="00677C68" w:rsidRPr="00FC19D4" w:rsidRDefault="00677C68" w:rsidP="000E4629">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d)</w:t>
            </w:r>
          </w:p>
        </w:tc>
        <w:tc>
          <w:tcPr>
            <w:tcW w:w="5444" w:type="dxa"/>
            <w:gridSpan w:val="9"/>
          </w:tcPr>
          <w:p w14:paraId="4CB05A7B" w14:textId="77777777" w:rsidR="00677C68" w:rsidRPr="00FC19D4" w:rsidRDefault="00677C68" w:rsidP="000E4629">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C19D4">
              <w:rPr>
                <w:rFonts w:ascii="Arial" w:eastAsia="Times New Roman" w:hAnsi="Arial" w:cs="Arial"/>
                <w:bCs/>
                <w:sz w:val="20"/>
                <w:szCs w:val="20"/>
                <w:lang w:eastAsia="sl-SI"/>
              </w:rPr>
              <w:t>okolje, vključno s prostorskimi in varstvenimi vidiki</w:t>
            </w:r>
          </w:p>
        </w:tc>
        <w:tc>
          <w:tcPr>
            <w:tcW w:w="2322" w:type="dxa"/>
            <w:gridSpan w:val="3"/>
            <w:vAlign w:val="center"/>
          </w:tcPr>
          <w:p w14:paraId="248BF967" w14:textId="77777777" w:rsidR="00677C68" w:rsidRPr="00FC19D4" w:rsidRDefault="00677C68" w:rsidP="000E4629">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C19D4">
              <w:rPr>
                <w:rFonts w:ascii="Arial" w:eastAsia="Times New Roman" w:hAnsi="Arial" w:cs="Arial"/>
                <w:sz w:val="20"/>
                <w:szCs w:val="20"/>
                <w:lang w:eastAsia="sl-SI"/>
              </w:rPr>
              <w:t>NE</w:t>
            </w:r>
          </w:p>
        </w:tc>
      </w:tr>
      <w:tr w:rsidR="00677C68" w:rsidRPr="00FC19D4" w14:paraId="0E063F69" w14:textId="77777777" w:rsidTr="003D2A73">
        <w:trPr>
          <w:gridBefore w:val="1"/>
          <w:wBefore w:w="100" w:type="dxa"/>
        </w:trPr>
        <w:tc>
          <w:tcPr>
            <w:tcW w:w="1448" w:type="dxa"/>
          </w:tcPr>
          <w:p w14:paraId="718AF9B9" w14:textId="77777777" w:rsidR="00677C68" w:rsidRPr="00FC19D4" w:rsidRDefault="00677C68" w:rsidP="000E4629">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e)</w:t>
            </w:r>
          </w:p>
        </w:tc>
        <w:tc>
          <w:tcPr>
            <w:tcW w:w="5444" w:type="dxa"/>
            <w:gridSpan w:val="9"/>
          </w:tcPr>
          <w:p w14:paraId="7B9B1D2C" w14:textId="77777777" w:rsidR="00677C68" w:rsidRPr="00FC19D4" w:rsidRDefault="00677C68" w:rsidP="000E4629">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C19D4">
              <w:rPr>
                <w:rFonts w:ascii="Arial" w:eastAsia="Times New Roman" w:hAnsi="Arial" w:cs="Arial"/>
                <w:bCs/>
                <w:sz w:val="20"/>
                <w:szCs w:val="20"/>
                <w:lang w:eastAsia="sl-SI"/>
              </w:rPr>
              <w:t>socialno področje</w:t>
            </w:r>
          </w:p>
        </w:tc>
        <w:tc>
          <w:tcPr>
            <w:tcW w:w="2322" w:type="dxa"/>
            <w:gridSpan w:val="3"/>
            <w:vAlign w:val="center"/>
          </w:tcPr>
          <w:p w14:paraId="08BB21A4" w14:textId="77777777" w:rsidR="00677C68" w:rsidRPr="00FC19D4" w:rsidRDefault="00677C68" w:rsidP="000E4629">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C19D4">
              <w:rPr>
                <w:rFonts w:ascii="Arial" w:eastAsia="Times New Roman" w:hAnsi="Arial" w:cs="Arial"/>
                <w:sz w:val="20"/>
                <w:szCs w:val="20"/>
                <w:lang w:eastAsia="sl-SI"/>
              </w:rPr>
              <w:t>NE</w:t>
            </w:r>
          </w:p>
        </w:tc>
      </w:tr>
      <w:tr w:rsidR="00677C68" w:rsidRPr="00FC19D4" w14:paraId="74EE9D36" w14:textId="77777777" w:rsidTr="003D2A73">
        <w:trPr>
          <w:gridBefore w:val="1"/>
          <w:wBefore w:w="100" w:type="dxa"/>
        </w:trPr>
        <w:tc>
          <w:tcPr>
            <w:tcW w:w="1448" w:type="dxa"/>
            <w:tcBorders>
              <w:bottom w:val="single" w:sz="4" w:space="0" w:color="auto"/>
            </w:tcBorders>
          </w:tcPr>
          <w:p w14:paraId="20BB66C7" w14:textId="77777777" w:rsidR="00677C68" w:rsidRPr="00FC19D4" w:rsidRDefault="00677C68" w:rsidP="000E4629">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f)</w:t>
            </w:r>
          </w:p>
        </w:tc>
        <w:tc>
          <w:tcPr>
            <w:tcW w:w="5444" w:type="dxa"/>
            <w:gridSpan w:val="9"/>
            <w:tcBorders>
              <w:bottom w:val="single" w:sz="4" w:space="0" w:color="auto"/>
            </w:tcBorders>
          </w:tcPr>
          <w:p w14:paraId="5062ACA5" w14:textId="77777777" w:rsidR="00677C68" w:rsidRPr="00FC19D4" w:rsidRDefault="00677C68" w:rsidP="000E4629">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C19D4">
              <w:rPr>
                <w:rFonts w:ascii="Arial" w:eastAsia="Times New Roman" w:hAnsi="Arial" w:cs="Arial"/>
                <w:bCs/>
                <w:sz w:val="20"/>
                <w:szCs w:val="20"/>
                <w:lang w:eastAsia="sl-SI"/>
              </w:rPr>
              <w:t>dokumente razvojnega načrtovanja:</w:t>
            </w:r>
          </w:p>
          <w:p w14:paraId="7486134D" w14:textId="77777777" w:rsidR="00677C68" w:rsidRPr="00FC19D4" w:rsidRDefault="00677C68" w:rsidP="000E4629">
            <w:pPr>
              <w:numPr>
                <w:ilvl w:val="0"/>
                <w:numId w:val="2"/>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C19D4">
              <w:rPr>
                <w:rFonts w:ascii="Arial" w:eastAsia="Times New Roman" w:hAnsi="Arial" w:cs="Arial"/>
                <w:bCs/>
                <w:sz w:val="20"/>
                <w:szCs w:val="20"/>
                <w:lang w:eastAsia="sl-SI"/>
              </w:rPr>
              <w:t>nacionalne dokumente razvojnega načrtovanja</w:t>
            </w:r>
          </w:p>
          <w:p w14:paraId="569F5740" w14:textId="77777777" w:rsidR="00677C68" w:rsidRPr="00FC19D4" w:rsidRDefault="00677C68" w:rsidP="000E4629">
            <w:pPr>
              <w:numPr>
                <w:ilvl w:val="0"/>
                <w:numId w:val="2"/>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C19D4">
              <w:rPr>
                <w:rFonts w:ascii="Arial" w:eastAsia="Times New Roman" w:hAnsi="Arial" w:cs="Arial"/>
                <w:bCs/>
                <w:sz w:val="20"/>
                <w:szCs w:val="20"/>
                <w:lang w:eastAsia="sl-SI"/>
              </w:rPr>
              <w:t>razvojne politike na ravni programov po strukturi razvojne klasifikacije programskega proračuna</w:t>
            </w:r>
          </w:p>
          <w:p w14:paraId="39E309D8" w14:textId="77777777" w:rsidR="00677C68" w:rsidRPr="00FC19D4" w:rsidRDefault="00677C68" w:rsidP="000E4629">
            <w:pPr>
              <w:numPr>
                <w:ilvl w:val="0"/>
                <w:numId w:val="2"/>
              </w:numPr>
              <w:suppressAutoHyphens/>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C19D4">
              <w:rPr>
                <w:rFonts w:ascii="Arial" w:eastAsia="Times New Roman" w:hAnsi="Arial" w:cs="Arial"/>
                <w:bCs/>
                <w:sz w:val="20"/>
                <w:szCs w:val="20"/>
                <w:lang w:eastAsia="sl-SI"/>
              </w:rPr>
              <w:t>razvojne dokumente Evropske unije in mednarodnih organizacij</w:t>
            </w:r>
          </w:p>
        </w:tc>
        <w:tc>
          <w:tcPr>
            <w:tcW w:w="2322" w:type="dxa"/>
            <w:gridSpan w:val="3"/>
            <w:tcBorders>
              <w:bottom w:val="single" w:sz="4" w:space="0" w:color="auto"/>
            </w:tcBorders>
            <w:vAlign w:val="center"/>
          </w:tcPr>
          <w:p w14:paraId="55FD63E8" w14:textId="77777777" w:rsidR="00677C68" w:rsidRPr="00FC19D4" w:rsidRDefault="00677C68" w:rsidP="000E4629">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C19D4">
              <w:rPr>
                <w:rFonts w:ascii="Arial" w:eastAsia="Times New Roman" w:hAnsi="Arial" w:cs="Arial"/>
                <w:sz w:val="20"/>
                <w:szCs w:val="20"/>
                <w:lang w:eastAsia="sl-SI"/>
              </w:rPr>
              <w:t>NE</w:t>
            </w:r>
          </w:p>
        </w:tc>
      </w:tr>
      <w:tr w:rsidR="00677C68" w:rsidRPr="00FC19D4" w14:paraId="441AF2D9" w14:textId="77777777" w:rsidTr="003D2A73">
        <w:trPr>
          <w:gridBefore w:val="1"/>
          <w:wBefore w:w="100" w:type="dxa"/>
          <w:trHeight w:val="497"/>
        </w:trPr>
        <w:tc>
          <w:tcPr>
            <w:tcW w:w="9214" w:type="dxa"/>
            <w:gridSpan w:val="13"/>
            <w:tcBorders>
              <w:top w:val="single" w:sz="4" w:space="0" w:color="auto"/>
              <w:left w:val="single" w:sz="4" w:space="0" w:color="auto"/>
              <w:bottom w:val="single" w:sz="4" w:space="0" w:color="auto"/>
              <w:right w:val="single" w:sz="4" w:space="0" w:color="auto"/>
            </w:tcBorders>
          </w:tcPr>
          <w:p w14:paraId="011209F8" w14:textId="77777777" w:rsidR="00677C68" w:rsidRPr="00FC19D4" w:rsidRDefault="00677C68" w:rsidP="000E4629">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C19D4">
              <w:rPr>
                <w:rFonts w:ascii="Arial" w:eastAsia="Times New Roman" w:hAnsi="Arial" w:cs="Arial"/>
                <w:b/>
                <w:sz w:val="20"/>
                <w:szCs w:val="20"/>
                <w:lang w:eastAsia="sl-SI"/>
              </w:rPr>
              <w:t>7.a Predstavitev ocene finančnih posledic nad 40.000 EUR:</w:t>
            </w:r>
          </w:p>
          <w:p w14:paraId="2C15318F" w14:textId="77777777" w:rsidR="00677C68" w:rsidRPr="00FC19D4" w:rsidRDefault="00677C68" w:rsidP="000E4629">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p>
        </w:tc>
      </w:tr>
      <w:tr w:rsidR="00EA37A5" w:rsidRPr="00FC19D4" w14:paraId="2146DD31"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8E34124" w14:textId="77777777" w:rsidR="00EA37A5" w:rsidRPr="00FC19D4" w:rsidRDefault="00EA37A5" w:rsidP="000E4629">
            <w:pPr>
              <w:pageBreakBefore/>
              <w:widowControl w:val="0"/>
              <w:tabs>
                <w:tab w:val="left" w:pos="2340"/>
              </w:tabs>
              <w:spacing w:after="0"/>
              <w:ind w:left="142" w:hanging="142"/>
              <w:outlineLvl w:val="0"/>
              <w:rPr>
                <w:rFonts w:ascii="Arial" w:eastAsia="Times New Roman" w:hAnsi="Arial" w:cs="Arial"/>
                <w:b/>
                <w:kern w:val="32"/>
                <w:sz w:val="20"/>
                <w:szCs w:val="20"/>
                <w:lang w:eastAsia="sl-SI"/>
              </w:rPr>
            </w:pPr>
            <w:r w:rsidRPr="00FC19D4">
              <w:rPr>
                <w:rFonts w:ascii="Arial" w:eastAsia="Times New Roman" w:hAnsi="Arial" w:cs="Arial"/>
                <w:b/>
                <w:kern w:val="32"/>
                <w:sz w:val="20"/>
                <w:szCs w:val="20"/>
                <w:lang w:eastAsia="sl-SI"/>
              </w:rPr>
              <w:lastRenderedPageBreak/>
              <w:t>I. Ocena finančnih posledic, ki niso načrtovane v sprejetem proračunu</w:t>
            </w:r>
          </w:p>
        </w:tc>
      </w:tr>
      <w:tr w:rsidR="00EA37A5" w:rsidRPr="00FC19D4" w14:paraId="2FE534D2"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36A075D8" w14:textId="77777777" w:rsidR="00EA37A5" w:rsidRPr="00FC19D4" w:rsidRDefault="00EA37A5" w:rsidP="000E4629">
            <w:pPr>
              <w:widowControl w:val="0"/>
              <w:spacing w:after="0"/>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4D5BF87" w14:textId="77777777" w:rsidR="00EA37A5" w:rsidRPr="00FC19D4" w:rsidRDefault="00EA37A5" w:rsidP="000E4629">
            <w:pPr>
              <w:widowControl w:val="0"/>
              <w:spacing w:after="0"/>
              <w:jc w:val="center"/>
              <w:rPr>
                <w:rFonts w:ascii="Arial" w:eastAsia="Times New Roman" w:hAnsi="Arial" w:cs="Arial"/>
                <w:sz w:val="20"/>
                <w:szCs w:val="20"/>
              </w:rPr>
            </w:pPr>
            <w:r w:rsidRPr="00FC19D4">
              <w:rPr>
                <w:rFonts w:ascii="Arial" w:eastAsia="Times New Roman" w:hAnsi="Arial" w:cs="Arial"/>
                <w:sz w:val="20"/>
                <w:szCs w:val="20"/>
              </w:rPr>
              <w:t>Tekoče leto (t)</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572172A3" w14:textId="77777777" w:rsidR="00EA37A5" w:rsidRPr="00FC19D4" w:rsidRDefault="00EA37A5" w:rsidP="000E4629">
            <w:pPr>
              <w:widowControl w:val="0"/>
              <w:spacing w:after="0"/>
              <w:jc w:val="center"/>
              <w:rPr>
                <w:rFonts w:ascii="Arial" w:eastAsia="Times New Roman" w:hAnsi="Arial" w:cs="Arial"/>
                <w:sz w:val="20"/>
                <w:szCs w:val="20"/>
              </w:rPr>
            </w:pPr>
            <w:r w:rsidRPr="00FC19D4">
              <w:rPr>
                <w:rFonts w:ascii="Arial" w:eastAsia="Times New Roman" w:hAnsi="Arial" w:cs="Arial"/>
                <w:sz w:val="20"/>
                <w:szCs w:val="20"/>
              </w:rPr>
              <w:t>t + 1</w:t>
            </w:r>
          </w:p>
        </w:tc>
        <w:tc>
          <w:tcPr>
            <w:tcW w:w="1160" w:type="dxa"/>
            <w:gridSpan w:val="4"/>
            <w:tcBorders>
              <w:top w:val="single" w:sz="4" w:space="0" w:color="auto"/>
              <w:left w:val="single" w:sz="4" w:space="0" w:color="auto"/>
              <w:bottom w:val="single" w:sz="4" w:space="0" w:color="auto"/>
              <w:right w:val="single" w:sz="4" w:space="0" w:color="auto"/>
            </w:tcBorders>
            <w:vAlign w:val="center"/>
          </w:tcPr>
          <w:p w14:paraId="3937B3D4" w14:textId="77777777" w:rsidR="00EA37A5" w:rsidRPr="00FC19D4" w:rsidRDefault="00EA37A5" w:rsidP="000E4629">
            <w:pPr>
              <w:widowControl w:val="0"/>
              <w:spacing w:after="0"/>
              <w:jc w:val="center"/>
              <w:rPr>
                <w:rFonts w:ascii="Arial" w:eastAsia="Times New Roman" w:hAnsi="Arial" w:cs="Arial"/>
                <w:sz w:val="20"/>
                <w:szCs w:val="20"/>
              </w:rPr>
            </w:pPr>
            <w:r w:rsidRPr="00FC19D4">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8FA92F9" w14:textId="77777777" w:rsidR="00EA37A5" w:rsidRPr="00FC19D4" w:rsidRDefault="00EA37A5" w:rsidP="000E4629">
            <w:pPr>
              <w:widowControl w:val="0"/>
              <w:spacing w:after="0"/>
              <w:jc w:val="center"/>
              <w:rPr>
                <w:rFonts w:ascii="Arial" w:eastAsia="Times New Roman" w:hAnsi="Arial" w:cs="Arial"/>
                <w:sz w:val="20"/>
                <w:szCs w:val="20"/>
              </w:rPr>
            </w:pPr>
            <w:r w:rsidRPr="00FC19D4">
              <w:rPr>
                <w:rFonts w:ascii="Arial" w:eastAsia="Times New Roman" w:hAnsi="Arial" w:cs="Arial"/>
                <w:sz w:val="20"/>
                <w:szCs w:val="20"/>
              </w:rPr>
              <w:t>t + 3</w:t>
            </w:r>
          </w:p>
        </w:tc>
      </w:tr>
      <w:tr w:rsidR="00EA37A5" w:rsidRPr="00FC19D4" w14:paraId="2CC024D3"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07283861" w14:textId="77777777" w:rsidR="00EA37A5" w:rsidRPr="00FC19D4" w:rsidRDefault="00EA37A5" w:rsidP="000E4629">
            <w:pPr>
              <w:widowControl w:val="0"/>
              <w:spacing w:after="0"/>
              <w:rPr>
                <w:rFonts w:ascii="Arial" w:eastAsia="Times New Roman" w:hAnsi="Arial" w:cs="Arial"/>
                <w:bCs/>
                <w:sz w:val="20"/>
                <w:szCs w:val="20"/>
              </w:rPr>
            </w:pPr>
            <w:r w:rsidRPr="00FC19D4">
              <w:rPr>
                <w:rFonts w:ascii="Arial" w:eastAsia="Times New Roman" w:hAnsi="Arial" w:cs="Arial"/>
                <w:bCs/>
                <w:sz w:val="20"/>
                <w:szCs w:val="20"/>
              </w:rPr>
              <w:t>Predvideno povečanje (+) ali zmanjšanje (</w:t>
            </w:r>
            <w:r w:rsidRPr="00FC19D4">
              <w:rPr>
                <w:rFonts w:ascii="Arial" w:eastAsia="Times New Roman" w:hAnsi="Arial" w:cs="Arial"/>
                <w:b/>
                <w:sz w:val="20"/>
                <w:szCs w:val="20"/>
              </w:rPr>
              <w:t>–</w:t>
            </w:r>
            <w:r w:rsidRPr="00FC19D4">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079DC8" w14:textId="77777777" w:rsidR="00EA37A5" w:rsidRPr="00FC19D4" w:rsidRDefault="00EA37A5" w:rsidP="000E4629">
            <w:pPr>
              <w:widowControl w:val="0"/>
              <w:tabs>
                <w:tab w:val="left" w:pos="360"/>
              </w:tabs>
              <w:spacing w:after="0"/>
              <w:jc w:val="center"/>
              <w:outlineLvl w:val="0"/>
              <w:rPr>
                <w:rFonts w:ascii="Arial" w:eastAsia="Times New Roman" w:hAnsi="Arial" w:cs="Arial"/>
                <w:bCs/>
                <w:kern w:val="32"/>
                <w:sz w:val="20"/>
                <w:szCs w:val="20"/>
                <w:lang w:eastAsia="sl-SI"/>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183CD282" w14:textId="77777777" w:rsidR="00EA37A5" w:rsidRPr="00FC19D4" w:rsidRDefault="00EA37A5" w:rsidP="000E4629">
            <w:pPr>
              <w:widowControl w:val="0"/>
              <w:tabs>
                <w:tab w:val="left" w:pos="360"/>
              </w:tabs>
              <w:spacing w:after="0"/>
              <w:jc w:val="center"/>
              <w:outlineLvl w:val="0"/>
              <w:rPr>
                <w:rFonts w:ascii="Arial" w:eastAsia="Times New Roman" w:hAnsi="Arial" w:cs="Arial"/>
                <w:bCs/>
                <w:kern w:val="32"/>
                <w:sz w:val="20"/>
                <w:szCs w:val="20"/>
                <w:lang w:eastAsia="sl-SI"/>
              </w:rPr>
            </w:pPr>
          </w:p>
        </w:tc>
        <w:tc>
          <w:tcPr>
            <w:tcW w:w="1160" w:type="dxa"/>
            <w:gridSpan w:val="4"/>
            <w:tcBorders>
              <w:top w:val="single" w:sz="4" w:space="0" w:color="auto"/>
              <w:left w:val="single" w:sz="4" w:space="0" w:color="auto"/>
              <w:bottom w:val="single" w:sz="4" w:space="0" w:color="auto"/>
              <w:right w:val="single" w:sz="4" w:space="0" w:color="auto"/>
            </w:tcBorders>
            <w:vAlign w:val="center"/>
          </w:tcPr>
          <w:p w14:paraId="70647853" w14:textId="77777777" w:rsidR="00EA37A5" w:rsidRPr="00FC19D4" w:rsidRDefault="00EA37A5" w:rsidP="000E4629">
            <w:pPr>
              <w:widowControl w:val="0"/>
              <w:tabs>
                <w:tab w:val="left" w:pos="360"/>
              </w:tabs>
              <w:spacing w:after="0"/>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96903B5" w14:textId="77777777" w:rsidR="00EA37A5" w:rsidRPr="00FC19D4" w:rsidRDefault="00EA37A5" w:rsidP="000E4629">
            <w:pPr>
              <w:widowControl w:val="0"/>
              <w:tabs>
                <w:tab w:val="left" w:pos="360"/>
              </w:tabs>
              <w:spacing w:after="0"/>
              <w:jc w:val="center"/>
              <w:outlineLvl w:val="0"/>
              <w:rPr>
                <w:rFonts w:ascii="Arial" w:eastAsia="Times New Roman" w:hAnsi="Arial" w:cs="Arial"/>
                <w:kern w:val="32"/>
                <w:sz w:val="20"/>
                <w:szCs w:val="20"/>
                <w:lang w:eastAsia="sl-SI"/>
              </w:rPr>
            </w:pPr>
          </w:p>
        </w:tc>
      </w:tr>
      <w:tr w:rsidR="00EA37A5" w:rsidRPr="00FC19D4" w14:paraId="0377A494"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625185F9" w14:textId="77777777" w:rsidR="00EA37A5" w:rsidRPr="00FC19D4" w:rsidRDefault="00EA37A5" w:rsidP="000E4629">
            <w:pPr>
              <w:widowControl w:val="0"/>
              <w:spacing w:after="0"/>
              <w:rPr>
                <w:rFonts w:ascii="Arial" w:eastAsia="Times New Roman" w:hAnsi="Arial" w:cs="Arial"/>
                <w:bCs/>
                <w:sz w:val="20"/>
                <w:szCs w:val="20"/>
              </w:rPr>
            </w:pPr>
            <w:r w:rsidRPr="00FC19D4">
              <w:rPr>
                <w:rFonts w:ascii="Arial" w:eastAsia="Times New Roman" w:hAnsi="Arial" w:cs="Arial"/>
                <w:bCs/>
                <w:sz w:val="20"/>
                <w:szCs w:val="20"/>
              </w:rPr>
              <w:t>Predvideno povečanje (+) ali zmanjšanje (</w:t>
            </w:r>
            <w:r w:rsidRPr="00FC19D4">
              <w:rPr>
                <w:rFonts w:ascii="Arial" w:eastAsia="Times New Roman" w:hAnsi="Arial" w:cs="Arial"/>
                <w:b/>
                <w:sz w:val="20"/>
                <w:szCs w:val="20"/>
              </w:rPr>
              <w:t>–</w:t>
            </w:r>
            <w:r w:rsidRPr="00FC19D4">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8D7AB2" w14:textId="77777777" w:rsidR="00EA37A5" w:rsidRPr="00FC19D4" w:rsidRDefault="00EA37A5" w:rsidP="000E4629">
            <w:pPr>
              <w:widowControl w:val="0"/>
              <w:tabs>
                <w:tab w:val="left" w:pos="360"/>
              </w:tabs>
              <w:spacing w:after="0"/>
              <w:jc w:val="center"/>
              <w:outlineLvl w:val="0"/>
              <w:rPr>
                <w:rFonts w:ascii="Arial" w:eastAsia="Times New Roman" w:hAnsi="Arial" w:cs="Arial"/>
                <w:bCs/>
                <w:kern w:val="32"/>
                <w:sz w:val="20"/>
                <w:szCs w:val="20"/>
                <w:lang w:eastAsia="sl-SI"/>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0AA8E552" w14:textId="77777777" w:rsidR="00EA37A5" w:rsidRPr="00FC19D4" w:rsidRDefault="00EA37A5" w:rsidP="000E4629">
            <w:pPr>
              <w:widowControl w:val="0"/>
              <w:tabs>
                <w:tab w:val="left" w:pos="360"/>
              </w:tabs>
              <w:spacing w:after="0"/>
              <w:jc w:val="center"/>
              <w:outlineLvl w:val="0"/>
              <w:rPr>
                <w:rFonts w:ascii="Arial" w:eastAsia="Times New Roman" w:hAnsi="Arial" w:cs="Arial"/>
                <w:bCs/>
                <w:kern w:val="32"/>
                <w:sz w:val="20"/>
                <w:szCs w:val="20"/>
                <w:lang w:eastAsia="sl-SI"/>
              </w:rPr>
            </w:pPr>
          </w:p>
        </w:tc>
        <w:tc>
          <w:tcPr>
            <w:tcW w:w="1160" w:type="dxa"/>
            <w:gridSpan w:val="4"/>
            <w:tcBorders>
              <w:top w:val="single" w:sz="4" w:space="0" w:color="auto"/>
              <w:left w:val="single" w:sz="4" w:space="0" w:color="auto"/>
              <w:bottom w:val="single" w:sz="4" w:space="0" w:color="auto"/>
              <w:right w:val="single" w:sz="4" w:space="0" w:color="auto"/>
            </w:tcBorders>
            <w:vAlign w:val="center"/>
          </w:tcPr>
          <w:p w14:paraId="0C722893" w14:textId="77777777" w:rsidR="00EA37A5" w:rsidRPr="00FC19D4" w:rsidRDefault="00EA37A5" w:rsidP="000E4629">
            <w:pPr>
              <w:widowControl w:val="0"/>
              <w:tabs>
                <w:tab w:val="left" w:pos="360"/>
              </w:tabs>
              <w:spacing w:after="0"/>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28B4235" w14:textId="77777777" w:rsidR="00EA37A5" w:rsidRPr="00FC19D4" w:rsidRDefault="00EA37A5" w:rsidP="000E4629">
            <w:pPr>
              <w:widowControl w:val="0"/>
              <w:tabs>
                <w:tab w:val="left" w:pos="360"/>
              </w:tabs>
              <w:spacing w:after="0"/>
              <w:jc w:val="center"/>
              <w:outlineLvl w:val="0"/>
              <w:rPr>
                <w:rFonts w:ascii="Arial" w:eastAsia="Times New Roman" w:hAnsi="Arial" w:cs="Arial"/>
                <w:kern w:val="32"/>
                <w:sz w:val="20"/>
                <w:szCs w:val="20"/>
                <w:lang w:eastAsia="sl-SI"/>
              </w:rPr>
            </w:pPr>
          </w:p>
        </w:tc>
      </w:tr>
      <w:tr w:rsidR="00EA37A5" w:rsidRPr="00FC19D4" w14:paraId="2EF5E46D"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1FF17385" w14:textId="77777777" w:rsidR="00EA37A5" w:rsidRPr="00FC19D4" w:rsidRDefault="00EA37A5" w:rsidP="000E4629">
            <w:pPr>
              <w:widowControl w:val="0"/>
              <w:spacing w:after="0"/>
              <w:rPr>
                <w:rFonts w:ascii="Arial" w:eastAsia="Times New Roman" w:hAnsi="Arial" w:cs="Arial"/>
                <w:bCs/>
                <w:sz w:val="20"/>
                <w:szCs w:val="20"/>
              </w:rPr>
            </w:pPr>
            <w:r w:rsidRPr="00FC19D4">
              <w:rPr>
                <w:rFonts w:ascii="Arial" w:eastAsia="Times New Roman" w:hAnsi="Arial" w:cs="Arial"/>
                <w:bCs/>
                <w:sz w:val="20"/>
                <w:szCs w:val="20"/>
              </w:rPr>
              <w:t>Predvideno povečanje (+) ali zmanjšanje (</w:t>
            </w:r>
            <w:r w:rsidRPr="00FC19D4">
              <w:rPr>
                <w:rFonts w:ascii="Arial" w:eastAsia="Times New Roman" w:hAnsi="Arial" w:cs="Arial"/>
                <w:b/>
                <w:sz w:val="20"/>
                <w:szCs w:val="20"/>
              </w:rPr>
              <w:t>–</w:t>
            </w:r>
            <w:r w:rsidRPr="00FC19D4">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E9802C" w14:textId="77777777" w:rsidR="00EA37A5" w:rsidRPr="00FC19D4" w:rsidRDefault="00EA37A5" w:rsidP="000E4629">
            <w:pPr>
              <w:widowControl w:val="0"/>
              <w:spacing w:after="0"/>
              <w:jc w:val="center"/>
              <w:rPr>
                <w:rFonts w:ascii="Arial" w:eastAsia="Times New Roman" w:hAnsi="Arial" w:cs="Arial"/>
                <w:sz w:val="20"/>
                <w:szCs w:val="20"/>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74E6DD11" w14:textId="77777777" w:rsidR="00EA37A5" w:rsidRPr="00FC19D4" w:rsidRDefault="00EA37A5" w:rsidP="000E4629">
            <w:pPr>
              <w:widowControl w:val="0"/>
              <w:spacing w:after="0"/>
              <w:jc w:val="center"/>
              <w:rPr>
                <w:rFonts w:ascii="Arial" w:eastAsia="Times New Roman" w:hAnsi="Arial" w:cs="Arial"/>
                <w:sz w:val="20"/>
                <w:szCs w:val="20"/>
              </w:rPr>
            </w:pPr>
          </w:p>
        </w:tc>
        <w:tc>
          <w:tcPr>
            <w:tcW w:w="1160" w:type="dxa"/>
            <w:gridSpan w:val="4"/>
            <w:tcBorders>
              <w:top w:val="single" w:sz="4" w:space="0" w:color="auto"/>
              <w:left w:val="single" w:sz="4" w:space="0" w:color="auto"/>
              <w:bottom w:val="single" w:sz="4" w:space="0" w:color="auto"/>
              <w:right w:val="single" w:sz="4" w:space="0" w:color="auto"/>
            </w:tcBorders>
            <w:vAlign w:val="center"/>
          </w:tcPr>
          <w:p w14:paraId="57BBC125" w14:textId="77777777" w:rsidR="00EA37A5" w:rsidRPr="00FC19D4" w:rsidRDefault="00EA37A5" w:rsidP="000E4629">
            <w:pPr>
              <w:widowControl w:val="0"/>
              <w:spacing w:after="0"/>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8ED9EE7" w14:textId="77777777" w:rsidR="00EA37A5" w:rsidRPr="00FC19D4" w:rsidRDefault="00EA37A5" w:rsidP="000E4629">
            <w:pPr>
              <w:widowControl w:val="0"/>
              <w:spacing w:after="0"/>
              <w:jc w:val="center"/>
              <w:rPr>
                <w:rFonts w:ascii="Arial" w:eastAsia="Times New Roman" w:hAnsi="Arial" w:cs="Arial"/>
                <w:sz w:val="20"/>
                <w:szCs w:val="20"/>
              </w:rPr>
            </w:pPr>
          </w:p>
        </w:tc>
      </w:tr>
      <w:tr w:rsidR="00EA37A5" w:rsidRPr="00FC19D4" w14:paraId="1E041E04"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A4901A4" w14:textId="77777777" w:rsidR="00EA37A5" w:rsidRPr="00FC19D4" w:rsidRDefault="00EA37A5" w:rsidP="000E4629">
            <w:pPr>
              <w:widowControl w:val="0"/>
              <w:spacing w:after="0"/>
              <w:rPr>
                <w:rFonts w:ascii="Arial" w:eastAsia="Times New Roman" w:hAnsi="Arial" w:cs="Arial"/>
                <w:bCs/>
                <w:sz w:val="20"/>
                <w:szCs w:val="20"/>
              </w:rPr>
            </w:pPr>
            <w:r w:rsidRPr="00FC19D4">
              <w:rPr>
                <w:rFonts w:ascii="Arial" w:eastAsia="Times New Roman" w:hAnsi="Arial" w:cs="Arial"/>
                <w:bCs/>
                <w:sz w:val="20"/>
                <w:szCs w:val="20"/>
              </w:rPr>
              <w:t>Predvideno povečanje (+) ali zmanjšanje (</w:t>
            </w:r>
            <w:r w:rsidRPr="00FC19D4">
              <w:rPr>
                <w:rFonts w:ascii="Arial" w:eastAsia="Times New Roman" w:hAnsi="Arial" w:cs="Arial"/>
                <w:b/>
                <w:sz w:val="20"/>
                <w:szCs w:val="20"/>
              </w:rPr>
              <w:t>–</w:t>
            </w:r>
            <w:r w:rsidRPr="00FC19D4">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DD0B476" w14:textId="77777777" w:rsidR="00EA37A5" w:rsidRPr="00FC19D4" w:rsidRDefault="00EA37A5" w:rsidP="000E4629">
            <w:pPr>
              <w:widowControl w:val="0"/>
              <w:spacing w:after="0"/>
              <w:jc w:val="center"/>
              <w:rPr>
                <w:rFonts w:ascii="Arial" w:eastAsia="Times New Roman" w:hAnsi="Arial" w:cs="Arial"/>
                <w:sz w:val="20"/>
                <w:szCs w:val="20"/>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5AA8026F" w14:textId="77777777" w:rsidR="00EA37A5" w:rsidRPr="00FC19D4" w:rsidRDefault="00EA37A5" w:rsidP="000E4629">
            <w:pPr>
              <w:widowControl w:val="0"/>
              <w:spacing w:after="0"/>
              <w:jc w:val="center"/>
              <w:rPr>
                <w:rFonts w:ascii="Arial" w:eastAsia="Times New Roman" w:hAnsi="Arial" w:cs="Arial"/>
                <w:sz w:val="20"/>
                <w:szCs w:val="20"/>
              </w:rPr>
            </w:pPr>
          </w:p>
        </w:tc>
        <w:tc>
          <w:tcPr>
            <w:tcW w:w="1160" w:type="dxa"/>
            <w:gridSpan w:val="4"/>
            <w:tcBorders>
              <w:top w:val="single" w:sz="4" w:space="0" w:color="auto"/>
              <w:left w:val="single" w:sz="4" w:space="0" w:color="auto"/>
              <w:bottom w:val="single" w:sz="4" w:space="0" w:color="auto"/>
              <w:right w:val="single" w:sz="4" w:space="0" w:color="auto"/>
            </w:tcBorders>
            <w:vAlign w:val="center"/>
          </w:tcPr>
          <w:p w14:paraId="7A7247EB" w14:textId="77777777" w:rsidR="00EA37A5" w:rsidRPr="00FC19D4" w:rsidRDefault="00EA37A5" w:rsidP="000E4629">
            <w:pPr>
              <w:widowControl w:val="0"/>
              <w:spacing w:after="0"/>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3DFC48" w14:textId="77777777" w:rsidR="00EA37A5" w:rsidRPr="00FC19D4" w:rsidRDefault="00EA37A5" w:rsidP="000E4629">
            <w:pPr>
              <w:widowControl w:val="0"/>
              <w:spacing w:after="0"/>
              <w:jc w:val="center"/>
              <w:rPr>
                <w:rFonts w:ascii="Arial" w:eastAsia="Times New Roman" w:hAnsi="Arial" w:cs="Arial"/>
                <w:sz w:val="20"/>
                <w:szCs w:val="20"/>
              </w:rPr>
            </w:pPr>
          </w:p>
        </w:tc>
      </w:tr>
      <w:tr w:rsidR="00EA37A5" w:rsidRPr="00FC19D4" w14:paraId="4141C314"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1F003A59" w14:textId="77777777" w:rsidR="00EA37A5" w:rsidRPr="00FC19D4" w:rsidRDefault="00EA37A5" w:rsidP="000E4629">
            <w:pPr>
              <w:widowControl w:val="0"/>
              <w:spacing w:after="0"/>
              <w:rPr>
                <w:rFonts w:ascii="Arial" w:eastAsia="Times New Roman" w:hAnsi="Arial" w:cs="Arial"/>
                <w:bCs/>
                <w:sz w:val="20"/>
                <w:szCs w:val="20"/>
              </w:rPr>
            </w:pPr>
            <w:r w:rsidRPr="00FC19D4">
              <w:rPr>
                <w:rFonts w:ascii="Arial" w:eastAsia="Times New Roman" w:hAnsi="Arial" w:cs="Arial"/>
                <w:bCs/>
                <w:sz w:val="20"/>
                <w:szCs w:val="20"/>
              </w:rPr>
              <w:t>Predvideno povečanje (+) ali zmanjšanje (</w:t>
            </w:r>
            <w:r w:rsidRPr="00FC19D4">
              <w:rPr>
                <w:rFonts w:ascii="Arial" w:eastAsia="Times New Roman" w:hAnsi="Arial" w:cs="Arial"/>
                <w:b/>
                <w:sz w:val="20"/>
                <w:szCs w:val="20"/>
              </w:rPr>
              <w:t>–</w:t>
            </w:r>
            <w:r w:rsidRPr="00FC19D4">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6CB3954" w14:textId="77777777" w:rsidR="00EA37A5" w:rsidRPr="00FC19D4" w:rsidRDefault="00EA37A5" w:rsidP="000E4629">
            <w:pPr>
              <w:widowControl w:val="0"/>
              <w:tabs>
                <w:tab w:val="left" w:pos="360"/>
              </w:tabs>
              <w:spacing w:after="0"/>
              <w:jc w:val="center"/>
              <w:outlineLvl w:val="0"/>
              <w:rPr>
                <w:rFonts w:ascii="Arial" w:eastAsia="Times New Roman" w:hAnsi="Arial" w:cs="Arial"/>
                <w:bCs/>
                <w:kern w:val="32"/>
                <w:sz w:val="20"/>
                <w:szCs w:val="20"/>
                <w:lang w:eastAsia="sl-SI"/>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1D6332EB" w14:textId="77777777" w:rsidR="00EA37A5" w:rsidRPr="00FC19D4" w:rsidRDefault="00EA37A5" w:rsidP="000E4629">
            <w:pPr>
              <w:widowControl w:val="0"/>
              <w:tabs>
                <w:tab w:val="left" w:pos="360"/>
              </w:tabs>
              <w:spacing w:after="0"/>
              <w:jc w:val="center"/>
              <w:outlineLvl w:val="0"/>
              <w:rPr>
                <w:rFonts w:ascii="Arial" w:eastAsia="Times New Roman" w:hAnsi="Arial" w:cs="Arial"/>
                <w:bCs/>
                <w:kern w:val="32"/>
                <w:sz w:val="20"/>
                <w:szCs w:val="20"/>
                <w:lang w:eastAsia="sl-SI"/>
              </w:rPr>
            </w:pPr>
          </w:p>
        </w:tc>
        <w:tc>
          <w:tcPr>
            <w:tcW w:w="1160" w:type="dxa"/>
            <w:gridSpan w:val="4"/>
            <w:tcBorders>
              <w:top w:val="single" w:sz="4" w:space="0" w:color="auto"/>
              <w:left w:val="single" w:sz="4" w:space="0" w:color="auto"/>
              <w:bottom w:val="single" w:sz="4" w:space="0" w:color="auto"/>
              <w:right w:val="single" w:sz="4" w:space="0" w:color="auto"/>
            </w:tcBorders>
            <w:vAlign w:val="center"/>
          </w:tcPr>
          <w:p w14:paraId="01A52E54" w14:textId="77777777" w:rsidR="00EA37A5" w:rsidRPr="00FC19D4" w:rsidRDefault="00EA37A5" w:rsidP="000E4629">
            <w:pPr>
              <w:widowControl w:val="0"/>
              <w:tabs>
                <w:tab w:val="left" w:pos="360"/>
              </w:tabs>
              <w:spacing w:after="0"/>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8EEEE89" w14:textId="77777777" w:rsidR="00EA37A5" w:rsidRPr="00FC19D4" w:rsidRDefault="00EA37A5" w:rsidP="000E4629">
            <w:pPr>
              <w:widowControl w:val="0"/>
              <w:tabs>
                <w:tab w:val="left" w:pos="360"/>
              </w:tabs>
              <w:spacing w:after="0"/>
              <w:jc w:val="center"/>
              <w:outlineLvl w:val="0"/>
              <w:rPr>
                <w:rFonts w:ascii="Arial" w:eastAsia="Times New Roman" w:hAnsi="Arial" w:cs="Arial"/>
                <w:kern w:val="32"/>
                <w:sz w:val="20"/>
                <w:szCs w:val="20"/>
                <w:lang w:eastAsia="sl-SI"/>
              </w:rPr>
            </w:pPr>
          </w:p>
        </w:tc>
      </w:tr>
      <w:tr w:rsidR="00EA37A5" w:rsidRPr="00FC19D4" w14:paraId="12737888"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2E5BC3F" w14:textId="77777777" w:rsidR="00EA37A5" w:rsidRPr="00FC19D4" w:rsidRDefault="00EA37A5" w:rsidP="000E4629">
            <w:pPr>
              <w:widowControl w:val="0"/>
              <w:tabs>
                <w:tab w:val="left" w:pos="2340"/>
              </w:tabs>
              <w:spacing w:after="0"/>
              <w:ind w:left="142" w:hanging="142"/>
              <w:outlineLvl w:val="0"/>
              <w:rPr>
                <w:rFonts w:ascii="Arial" w:eastAsia="Times New Roman" w:hAnsi="Arial" w:cs="Arial"/>
                <w:b/>
                <w:kern w:val="32"/>
                <w:sz w:val="20"/>
                <w:szCs w:val="20"/>
                <w:lang w:eastAsia="sl-SI"/>
              </w:rPr>
            </w:pPr>
            <w:r w:rsidRPr="00FC19D4">
              <w:rPr>
                <w:rFonts w:ascii="Arial" w:eastAsia="Times New Roman" w:hAnsi="Arial" w:cs="Arial"/>
                <w:b/>
                <w:kern w:val="32"/>
                <w:sz w:val="20"/>
                <w:szCs w:val="20"/>
                <w:lang w:eastAsia="sl-SI"/>
              </w:rPr>
              <w:t>II. Finančne posledice za državni proračun</w:t>
            </w:r>
          </w:p>
        </w:tc>
      </w:tr>
      <w:tr w:rsidR="00EA37A5" w:rsidRPr="00FC19D4" w14:paraId="26CA84FA"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2E3C35C" w14:textId="77777777" w:rsidR="00EA37A5" w:rsidRPr="00FC19D4" w:rsidRDefault="00EA37A5" w:rsidP="000E4629">
            <w:pPr>
              <w:widowControl w:val="0"/>
              <w:tabs>
                <w:tab w:val="left" w:pos="2340"/>
              </w:tabs>
              <w:spacing w:after="0"/>
              <w:ind w:left="142" w:hanging="142"/>
              <w:outlineLvl w:val="0"/>
              <w:rPr>
                <w:rFonts w:ascii="Arial" w:eastAsia="Times New Roman" w:hAnsi="Arial" w:cs="Arial"/>
                <w:b/>
                <w:kern w:val="32"/>
                <w:sz w:val="20"/>
                <w:szCs w:val="20"/>
                <w:lang w:eastAsia="sl-SI"/>
              </w:rPr>
            </w:pPr>
            <w:proofErr w:type="spellStart"/>
            <w:r w:rsidRPr="00FC19D4">
              <w:rPr>
                <w:rFonts w:ascii="Arial" w:eastAsia="Times New Roman" w:hAnsi="Arial" w:cs="Arial"/>
                <w:b/>
                <w:kern w:val="32"/>
                <w:sz w:val="20"/>
                <w:szCs w:val="20"/>
                <w:lang w:eastAsia="sl-SI"/>
              </w:rPr>
              <w:t>II.a</w:t>
            </w:r>
            <w:proofErr w:type="spellEnd"/>
            <w:r w:rsidRPr="00FC19D4">
              <w:rPr>
                <w:rFonts w:ascii="Arial" w:eastAsia="Times New Roman" w:hAnsi="Arial" w:cs="Arial"/>
                <w:b/>
                <w:kern w:val="32"/>
                <w:sz w:val="20"/>
                <w:szCs w:val="20"/>
                <w:lang w:eastAsia="sl-SI"/>
              </w:rPr>
              <w:t xml:space="preserve"> Pravice porabe za izvedbo predlaganih rešitev so zagotovljene:</w:t>
            </w:r>
          </w:p>
        </w:tc>
      </w:tr>
      <w:tr w:rsidR="00EA37A5" w:rsidRPr="00FC19D4" w14:paraId="332244B1"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25C3BAB" w14:textId="77777777" w:rsidR="00EA37A5" w:rsidRPr="00FC19D4" w:rsidRDefault="00EA37A5" w:rsidP="000E4629">
            <w:pPr>
              <w:widowControl w:val="0"/>
              <w:spacing w:after="0"/>
              <w:jc w:val="center"/>
              <w:rPr>
                <w:rFonts w:ascii="Arial" w:eastAsia="Times New Roman" w:hAnsi="Arial" w:cs="Arial"/>
                <w:sz w:val="20"/>
                <w:szCs w:val="20"/>
              </w:rPr>
            </w:pPr>
            <w:r w:rsidRPr="00FC19D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69E895" w14:textId="77777777" w:rsidR="00EA37A5" w:rsidRPr="00FC19D4" w:rsidRDefault="00EA37A5" w:rsidP="000E4629">
            <w:pPr>
              <w:widowControl w:val="0"/>
              <w:spacing w:after="0"/>
              <w:jc w:val="center"/>
              <w:rPr>
                <w:rFonts w:ascii="Arial" w:eastAsia="Times New Roman" w:hAnsi="Arial" w:cs="Arial"/>
                <w:sz w:val="20"/>
                <w:szCs w:val="20"/>
              </w:rPr>
            </w:pPr>
            <w:r w:rsidRPr="00FC19D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50C97AF" w14:textId="77777777" w:rsidR="00EA37A5" w:rsidRPr="00FC19D4" w:rsidRDefault="00EA37A5" w:rsidP="000E4629">
            <w:pPr>
              <w:widowControl w:val="0"/>
              <w:spacing w:after="0"/>
              <w:jc w:val="center"/>
              <w:rPr>
                <w:rFonts w:ascii="Arial" w:eastAsia="Times New Roman" w:hAnsi="Arial" w:cs="Arial"/>
                <w:sz w:val="20"/>
                <w:szCs w:val="20"/>
              </w:rPr>
            </w:pPr>
            <w:r w:rsidRPr="00FC19D4">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F240292" w14:textId="77777777" w:rsidR="00EA37A5" w:rsidRPr="00FC19D4" w:rsidRDefault="00EA37A5" w:rsidP="000E4629">
            <w:pPr>
              <w:widowControl w:val="0"/>
              <w:spacing w:after="0"/>
              <w:jc w:val="center"/>
              <w:rPr>
                <w:rFonts w:ascii="Arial" w:eastAsia="Times New Roman" w:hAnsi="Arial" w:cs="Arial"/>
                <w:sz w:val="20"/>
                <w:szCs w:val="20"/>
              </w:rPr>
            </w:pPr>
            <w:r w:rsidRPr="00FC19D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3836765" w14:textId="77777777" w:rsidR="00EA37A5" w:rsidRPr="00FC19D4" w:rsidRDefault="00EA37A5" w:rsidP="000E4629">
            <w:pPr>
              <w:widowControl w:val="0"/>
              <w:spacing w:after="0"/>
              <w:jc w:val="center"/>
              <w:rPr>
                <w:rFonts w:ascii="Arial" w:eastAsia="Times New Roman" w:hAnsi="Arial" w:cs="Arial"/>
                <w:sz w:val="20"/>
                <w:szCs w:val="20"/>
              </w:rPr>
            </w:pPr>
            <w:r w:rsidRPr="00FC19D4">
              <w:rPr>
                <w:rFonts w:ascii="Arial" w:eastAsia="Times New Roman" w:hAnsi="Arial" w:cs="Arial"/>
                <w:sz w:val="20"/>
                <w:szCs w:val="20"/>
              </w:rPr>
              <w:t>Znesek za t + 1</w:t>
            </w:r>
          </w:p>
        </w:tc>
      </w:tr>
      <w:tr w:rsidR="00EA37A5" w:rsidRPr="00FC19D4" w14:paraId="258DE678"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4B1FA37"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D8E77E"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35D2F8" w14:textId="77777777" w:rsidR="00651368" w:rsidRPr="00FC19D4" w:rsidRDefault="00651368" w:rsidP="000E4629">
            <w:pPr>
              <w:widowControl w:val="0"/>
              <w:tabs>
                <w:tab w:val="left" w:pos="360"/>
              </w:tabs>
              <w:spacing w:after="0"/>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1EB5A39"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F1065C"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r>
      <w:tr w:rsidR="00EA37A5" w:rsidRPr="00FC19D4" w14:paraId="3C725380"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FCF4469"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D806089"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04534B"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DFC30D3"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EE9DA8F"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r>
      <w:tr w:rsidR="00EA37A5" w:rsidRPr="00FC19D4" w14:paraId="5BFC1D0E"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08FA2E25" w14:textId="77777777" w:rsidR="00EA37A5" w:rsidRPr="00FC19D4" w:rsidRDefault="00EA37A5" w:rsidP="000E4629">
            <w:pPr>
              <w:widowControl w:val="0"/>
              <w:tabs>
                <w:tab w:val="left" w:pos="360"/>
              </w:tabs>
              <w:spacing w:after="0"/>
              <w:outlineLvl w:val="0"/>
              <w:rPr>
                <w:rFonts w:ascii="Arial" w:eastAsia="Times New Roman" w:hAnsi="Arial" w:cs="Arial"/>
                <w:b/>
                <w:kern w:val="32"/>
                <w:sz w:val="20"/>
                <w:szCs w:val="20"/>
                <w:lang w:eastAsia="sl-SI"/>
              </w:rPr>
            </w:pPr>
            <w:r w:rsidRPr="00FC19D4">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0C8F05A" w14:textId="77777777" w:rsidR="00EA37A5" w:rsidRPr="00FC19D4" w:rsidRDefault="00EA37A5" w:rsidP="000E4629">
            <w:pPr>
              <w:widowControl w:val="0"/>
              <w:spacing w:after="0"/>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B954EF" w14:textId="77777777" w:rsidR="00EA37A5" w:rsidRPr="00FC19D4" w:rsidRDefault="00EA37A5" w:rsidP="000E4629">
            <w:pPr>
              <w:widowControl w:val="0"/>
              <w:tabs>
                <w:tab w:val="left" w:pos="360"/>
              </w:tabs>
              <w:spacing w:after="0"/>
              <w:outlineLvl w:val="0"/>
              <w:rPr>
                <w:rFonts w:ascii="Arial" w:eastAsia="Times New Roman" w:hAnsi="Arial" w:cs="Arial"/>
                <w:b/>
                <w:kern w:val="32"/>
                <w:sz w:val="20"/>
                <w:szCs w:val="20"/>
                <w:lang w:eastAsia="sl-SI"/>
              </w:rPr>
            </w:pPr>
          </w:p>
        </w:tc>
      </w:tr>
      <w:tr w:rsidR="00EA37A5" w:rsidRPr="00FC19D4" w14:paraId="27334A42"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1F38B48" w14:textId="77777777" w:rsidR="00EA37A5" w:rsidRPr="00FC19D4" w:rsidRDefault="00EA37A5" w:rsidP="000E4629">
            <w:pPr>
              <w:widowControl w:val="0"/>
              <w:tabs>
                <w:tab w:val="left" w:pos="2340"/>
              </w:tabs>
              <w:spacing w:after="0"/>
              <w:outlineLvl w:val="0"/>
              <w:rPr>
                <w:rFonts w:ascii="Arial" w:eastAsia="Times New Roman" w:hAnsi="Arial" w:cs="Arial"/>
                <w:b/>
                <w:kern w:val="32"/>
                <w:sz w:val="20"/>
                <w:szCs w:val="20"/>
                <w:lang w:eastAsia="sl-SI"/>
              </w:rPr>
            </w:pPr>
            <w:proofErr w:type="spellStart"/>
            <w:r w:rsidRPr="00FC19D4">
              <w:rPr>
                <w:rFonts w:ascii="Arial" w:eastAsia="Times New Roman" w:hAnsi="Arial" w:cs="Arial"/>
                <w:b/>
                <w:kern w:val="32"/>
                <w:sz w:val="20"/>
                <w:szCs w:val="20"/>
                <w:lang w:eastAsia="sl-SI"/>
              </w:rPr>
              <w:t>II.b</w:t>
            </w:r>
            <w:proofErr w:type="spellEnd"/>
            <w:r w:rsidRPr="00FC19D4">
              <w:rPr>
                <w:rFonts w:ascii="Arial" w:eastAsia="Times New Roman" w:hAnsi="Arial" w:cs="Arial"/>
                <w:b/>
                <w:kern w:val="32"/>
                <w:sz w:val="20"/>
                <w:szCs w:val="20"/>
                <w:lang w:eastAsia="sl-SI"/>
              </w:rPr>
              <w:t xml:space="preserve"> Manjkajoče pravice porabe bodo zagotovljene s prerazporeditvijo:</w:t>
            </w:r>
          </w:p>
        </w:tc>
      </w:tr>
      <w:tr w:rsidR="00EA37A5" w:rsidRPr="00FC19D4" w14:paraId="2C33D766"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75B49E9D" w14:textId="77777777" w:rsidR="00EA37A5" w:rsidRPr="00FC19D4" w:rsidRDefault="00EA37A5" w:rsidP="000E4629">
            <w:pPr>
              <w:widowControl w:val="0"/>
              <w:spacing w:after="0"/>
              <w:jc w:val="center"/>
              <w:rPr>
                <w:rFonts w:ascii="Arial" w:eastAsia="Times New Roman" w:hAnsi="Arial" w:cs="Arial"/>
                <w:sz w:val="20"/>
                <w:szCs w:val="20"/>
              </w:rPr>
            </w:pPr>
            <w:r w:rsidRPr="00FC19D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35E8AB" w14:textId="77777777" w:rsidR="00EA37A5" w:rsidRPr="00FC19D4" w:rsidRDefault="00EA37A5" w:rsidP="000E4629">
            <w:pPr>
              <w:widowControl w:val="0"/>
              <w:spacing w:after="0"/>
              <w:jc w:val="center"/>
              <w:rPr>
                <w:rFonts w:ascii="Arial" w:eastAsia="Times New Roman" w:hAnsi="Arial" w:cs="Arial"/>
                <w:sz w:val="20"/>
                <w:szCs w:val="20"/>
              </w:rPr>
            </w:pPr>
            <w:r w:rsidRPr="00FC19D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2BB6E0" w14:textId="77777777" w:rsidR="00EA37A5" w:rsidRPr="00FC19D4" w:rsidRDefault="00EA37A5" w:rsidP="000E4629">
            <w:pPr>
              <w:widowControl w:val="0"/>
              <w:spacing w:after="0"/>
              <w:jc w:val="center"/>
              <w:rPr>
                <w:rFonts w:ascii="Arial" w:eastAsia="Times New Roman" w:hAnsi="Arial" w:cs="Arial"/>
                <w:sz w:val="20"/>
                <w:szCs w:val="20"/>
              </w:rPr>
            </w:pPr>
            <w:r w:rsidRPr="00FC19D4">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0135F2F" w14:textId="77777777" w:rsidR="00EA37A5" w:rsidRPr="00FC19D4" w:rsidRDefault="00EA37A5" w:rsidP="000E4629">
            <w:pPr>
              <w:widowControl w:val="0"/>
              <w:spacing w:after="0"/>
              <w:jc w:val="center"/>
              <w:rPr>
                <w:rFonts w:ascii="Arial" w:eastAsia="Times New Roman" w:hAnsi="Arial" w:cs="Arial"/>
                <w:sz w:val="20"/>
                <w:szCs w:val="20"/>
              </w:rPr>
            </w:pPr>
            <w:r w:rsidRPr="00FC19D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2373D34" w14:textId="77777777" w:rsidR="00EA37A5" w:rsidRPr="00FC19D4" w:rsidRDefault="00EA37A5" w:rsidP="000E4629">
            <w:pPr>
              <w:widowControl w:val="0"/>
              <w:spacing w:after="0"/>
              <w:jc w:val="center"/>
              <w:rPr>
                <w:rFonts w:ascii="Arial" w:eastAsia="Times New Roman" w:hAnsi="Arial" w:cs="Arial"/>
                <w:sz w:val="20"/>
                <w:szCs w:val="20"/>
              </w:rPr>
            </w:pPr>
            <w:r w:rsidRPr="00FC19D4">
              <w:rPr>
                <w:rFonts w:ascii="Arial" w:eastAsia="Times New Roman" w:hAnsi="Arial" w:cs="Arial"/>
                <w:sz w:val="20"/>
                <w:szCs w:val="20"/>
              </w:rPr>
              <w:t xml:space="preserve">Znesek za t + 1 </w:t>
            </w:r>
          </w:p>
        </w:tc>
      </w:tr>
      <w:tr w:rsidR="00EA37A5" w:rsidRPr="00FC19D4" w14:paraId="01CDCA9C"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5BDB1FEC"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0647F99"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7FC269"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25207F9"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0088472"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r>
      <w:tr w:rsidR="00EA37A5" w:rsidRPr="00FC19D4" w14:paraId="17D3814E"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EE267D6"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B65A2E"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AE7499"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3BBDBEA"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8F05AAD"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r>
      <w:tr w:rsidR="00EA37A5" w:rsidRPr="00FC19D4" w14:paraId="11C965D3"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28145ABD" w14:textId="77777777" w:rsidR="00EA37A5" w:rsidRPr="00FC19D4" w:rsidRDefault="00EA37A5" w:rsidP="000E4629">
            <w:pPr>
              <w:widowControl w:val="0"/>
              <w:tabs>
                <w:tab w:val="left" w:pos="360"/>
              </w:tabs>
              <w:spacing w:after="0"/>
              <w:outlineLvl w:val="0"/>
              <w:rPr>
                <w:rFonts w:ascii="Arial" w:eastAsia="Times New Roman" w:hAnsi="Arial" w:cs="Arial"/>
                <w:b/>
                <w:kern w:val="32"/>
                <w:sz w:val="20"/>
                <w:szCs w:val="20"/>
                <w:lang w:eastAsia="sl-SI"/>
              </w:rPr>
            </w:pPr>
            <w:r w:rsidRPr="00FC19D4">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FE9D07D" w14:textId="77777777" w:rsidR="00EA37A5" w:rsidRPr="00FC19D4" w:rsidRDefault="00EA37A5" w:rsidP="000E4629">
            <w:pPr>
              <w:widowControl w:val="0"/>
              <w:tabs>
                <w:tab w:val="left" w:pos="360"/>
              </w:tabs>
              <w:spacing w:after="0"/>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7F01E5B" w14:textId="77777777" w:rsidR="00EA37A5" w:rsidRPr="00FC19D4" w:rsidRDefault="00EA37A5" w:rsidP="000E4629">
            <w:pPr>
              <w:widowControl w:val="0"/>
              <w:tabs>
                <w:tab w:val="left" w:pos="360"/>
              </w:tabs>
              <w:spacing w:after="0"/>
              <w:outlineLvl w:val="0"/>
              <w:rPr>
                <w:rFonts w:ascii="Arial" w:eastAsia="Times New Roman" w:hAnsi="Arial" w:cs="Arial"/>
                <w:b/>
                <w:kern w:val="32"/>
                <w:sz w:val="20"/>
                <w:szCs w:val="20"/>
                <w:lang w:eastAsia="sl-SI"/>
              </w:rPr>
            </w:pPr>
          </w:p>
        </w:tc>
      </w:tr>
      <w:tr w:rsidR="00EA37A5" w:rsidRPr="00FC19D4" w14:paraId="0F4B2333"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53FE2E" w14:textId="77777777" w:rsidR="00EA37A5" w:rsidRPr="00FC19D4" w:rsidRDefault="00EA37A5" w:rsidP="000E4629">
            <w:pPr>
              <w:widowControl w:val="0"/>
              <w:tabs>
                <w:tab w:val="left" w:pos="2340"/>
              </w:tabs>
              <w:spacing w:after="0"/>
              <w:outlineLvl w:val="0"/>
              <w:rPr>
                <w:rFonts w:ascii="Arial" w:eastAsia="Times New Roman" w:hAnsi="Arial" w:cs="Arial"/>
                <w:b/>
                <w:kern w:val="32"/>
                <w:sz w:val="20"/>
                <w:szCs w:val="20"/>
                <w:lang w:eastAsia="sl-SI"/>
              </w:rPr>
            </w:pPr>
            <w:proofErr w:type="spellStart"/>
            <w:r w:rsidRPr="00FC19D4">
              <w:rPr>
                <w:rFonts w:ascii="Arial" w:eastAsia="Times New Roman" w:hAnsi="Arial" w:cs="Arial"/>
                <w:b/>
                <w:kern w:val="32"/>
                <w:sz w:val="20"/>
                <w:szCs w:val="20"/>
                <w:lang w:eastAsia="sl-SI"/>
              </w:rPr>
              <w:t>II.c</w:t>
            </w:r>
            <w:proofErr w:type="spellEnd"/>
            <w:r w:rsidRPr="00FC19D4">
              <w:rPr>
                <w:rFonts w:ascii="Arial" w:eastAsia="Times New Roman" w:hAnsi="Arial" w:cs="Arial"/>
                <w:b/>
                <w:kern w:val="32"/>
                <w:sz w:val="20"/>
                <w:szCs w:val="20"/>
                <w:lang w:eastAsia="sl-SI"/>
              </w:rPr>
              <w:t xml:space="preserve"> Načrtovana nadomestitev zmanjšanih prihodkov in povečanih odhodkov proračuna:</w:t>
            </w:r>
          </w:p>
        </w:tc>
      </w:tr>
      <w:tr w:rsidR="00EA37A5" w:rsidRPr="00FC19D4" w14:paraId="727FD6BA"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14:paraId="50921200" w14:textId="77777777" w:rsidR="00EA37A5" w:rsidRPr="00FC19D4" w:rsidRDefault="00EA37A5" w:rsidP="000E4629">
            <w:pPr>
              <w:widowControl w:val="0"/>
              <w:spacing w:after="0"/>
              <w:ind w:left="-122" w:right="-112"/>
              <w:jc w:val="center"/>
              <w:rPr>
                <w:rFonts w:ascii="Arial" w:eastAsia="Times New Roman" w:hAnsi="Arial" w:cs="Arial"/>
                <w:sz w:val="20"/>
                <w:szCs w:val="20"/>
              </w:rPr>
            </w:pPr>
            <w:r w:rsidRPr="00FC19D4">
              <w:rPr>
                <w:rFonts w:ascii="Arial" w:eastAsia="Times New Roman" w:hAnsi="Arial" w:cs="Arial"/>
                <w:sz w:val="20"/>
                <w:szCs w:val="20"/>
              </w:rPr>
              <w:t>Novi prihodki</w:t>
            </w:r>
          </w:p>
        </w:tc>
        <w:tc>
          <w:tcPr>
            <w:tcW w:w="2013" w:type="dxa"/>
            <w:gridSpan w:val="5"/>
            <w:tcBorders>
              <w:top w:val="single" w:sz="4" w:space="0" w:color="auto"/>
              <w:left w:val="single" w:sz="4" w:space="0" w:color="auto"/>
              <w:bottom w:val="single" w:sz="4" w:space="0" w:color="auto"/>
              <w:right w:val="single" w:sz="4" w:space="0" w:color="auto"/>
            </w:tcBorders>
            <w:vAlign w:val="center"/>
          </w:tcPr>
          <w:p w14:paraId="0EC965DE" w14:textId="77777777" w:rsidR="00EA37A5" w:rsidRPr="00FC19D4" w:rsidRDefault="00EA37A5" w:rsidP="000E4629">
            <w:pPr>
              <w:widowControl w:val="0"/>
              <w:spacing w:after="0"/>
              <w:ind w:left="-122" w:right="-112"/>
              <w:jc w:val="center"/>
              <w:rPr>
                <w:rFonts w:ascii="Arial" w:eastAsia="Times New Roman" w:hAnsi="Arial" w:cs="Arial"/>
                <w:sz w:val="20"/>
                <w:szCs w:val="20"/>
              </w:rPr>
            </w:pPr>
            <w:r w:rsidRPr="00FC19D4">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F559D49" w14:textId="77777777" w:rsidR="00EA37A5" w:rsidRPr="00FC19D4" w:rsidRDefault="00EA37A5" w:rsidP="000E4629">
            <w:pPr>
              <w:widowControl w:val="0"/>
              <w:spacing w:after="0"/>
              <w:ind w:left="-122" w:right="-112"/>
              <w:jc w:val="center"/>
              <w:rPr>
                <w:rFonts w:ascii="Arial" w:eastAsia="Times New Roman" w:hAnsi="Arial" w:cs="Arial"/>
                <w:sz w:val="20"/>
                <w:szCs w:val="20"/>
              </w:rPr>
            </w:pPr>
            <w:r w:rsidRPr="00FC19D4">
              <w:rPr>
                <w:rFonts w:ascii="Arial" w:eastAsia="Times New Roman" w:hAnsi="Arial" w:cs="Arial"/>
                <w:sz w:val="20"/>
                <w:szCs w:val="20"/>
              </w:rPr>
              <w:t>Znesek za t + 1</w:t>
            </w:r>
          </w:p>
        </w:tc>
      </w:tr>
      <w:tr w:rsidR="00EA37A5" w:rsidRPr="00FC19D4" w14:paraId="5AC62674"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2D5D9C47"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14:paraId="7B410942"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90D3565"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r>
      <w:tr w:rsidR="00EA37A5" w:rsidRPr="00FC19D4" w14:paraId="3A6E04F3"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7EBE03E8"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14:paraId="5AA8DE54"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B6630E2"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r>
      <w:tr w:rsidR="00EA37A5" w:rsidRPr="00FC19D4" w14:paraId="1D8C0022"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29C0B69F"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14:paraId="612AAB28"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CF4FC9E" w14:textId="77777777" w:rsidR="00EA37A5" w:rsidRPr="00FC19D4" w:rsidRDefault="00EA37A5" w:rsidP="000E4629">
            <w:pPr>
              <w:widowControl w:val="0"/>
              <w:tabs>
                <w:tab w:val="left" w:pos="360"/>
              </w:tabs>
              <w:spacing w:after="0"/>
              <w:outlineLvl w:val="0"/>
              <w:rPr>
                <w:rFonts w:ascii="Arial" w:eastAsia="Times New Roman" w:hAnsi="Arial" w:cs="Arial"/>
                <w:bCs/>
                <w:kern w:val="32"/>
                <w:sz w:val="20"/>
                <w:szCs w:val="20"/>
                <w:lang w:eastAsia="sl-SI"/>
              </w:rPr>
            </w:pPr>
          </w:p>
        </w:tc>
      </w:tr>
      <w:tr w:rsidR="00EA37A5" w:rsidRPr="00FC19D4" w14:paraId="3F570768" w14:textId="77777777" w:rsidTr="003D2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4"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1EEDDDD0" w14:textId="77777777" w:rsidR="00EA37A5" w:rsidRPr="00FC19D4" w:rsidRDefault="00EA37A5" w:rsidP="000E4629">
            <w:pPr>
              <w:widowControl w:val="0"/>
              <w:tabs>
                <w:tab w:val="left" w:pos="360"/>
              </w:tabs>
              <w:spacing w:after="0"/>
              <w:outlineLvl w:val="0"/>
              <w:rPr>
                <w:rFonts w:ascii="Arial" w:eastAsia="Times New Roman" w:hAnsi="Arial" w:cs="Arial"/>
                <w:b/>
                <w:kern w:val="32"/>
                <w:sz w:val="20"/>
                <w:szCs w:val="20"/>
                <w:lang w:eastAsia="sl-SI"/>
              </w:rPr>
            </w:pPr>
            <w:r w:rsidRPr="00FC19D4">
              <w:rPr>
                <w:rFonts w:ascii="Arial" w:eastAsia="Times New Roman" w:hAnsi="Arial" w:cs="Arial"/>
                <w:b/>
                <w:kern w:val="32"/>
                <w:sz w:val="20"/>
                <w:szCs w:val="20"/>
                <w:lang w:eastAsia="sl-SI"/>
              </w:rPr>
              <w:t>SKUPAJ</w:t>
            </w:r>
          </w:p>
        </w:tc>
        <w:tc>
          <w:tcPr>
            <w:tcW w:w="2013" w:type="dxa"/>
            <w:gridSpan w:val="5"/>
            <w:tcBorders>
              <w:top w:val="single" w:sz="4" w:space="0" w:color="auto"/>
              <w:left w:val="single" w:sz="4" w:space="0" w:color="auto"/>
              <w:bottom w:val="single" w:sz="4" w:space="0" w:color="auto"/>
              <w:right w:val="single" w:sz="4" w:space="0" w:color="auto"/>
            </w:tcBorders>
            <w:vAlign w:val="center"/>
          </w:tcPr>
          <w:p w14:paraId="266336A7" w14:textId="77777777" w:rsidR="00EA37A5" w:rsidRPr="00FC19D4" w:rsidRDefault="00EA37A5" w:rsidP="000E4629">
            <w:pPr>
              <w:widowControl w:val="0"/>
              <w:tabs>
                <w:tab w:val="left" w:pos="360"/>
              </w:tabs>
              <w:spacing w:after="0"/>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7346016" w14:textId="77777777" w:rsidR="00EA37A5" w:rsidRPr="00FC19D4" w:rsidRDefault="00EA37A5" w:rsidP="000E4629">
            <w:pPr>
              <w:widowControl w:val="0"/>
              <w:tabs>
                <w:tab w:val="left" w:pos="360"/>
              </w:tabs>
              <w:spacing w:after="0"/>
              <w:outlineLvl w:val="0"/>
              <w:rPr>
                <w:rFonts w:ascii="Arial" w:eastAsia="Times New Roman" w:hAnsi="Arial" w:cs="Arial"/>
                <w:b/>
                <w:kern w:val="32"/>
                <w:sz w:val="20"/>
                <w:szCs w:val="20"/>
                <w:lang w:eastAsia="sl-SI"/>
              </w:rPr>
            </w:pPr>
          </w:p>
        </w:tc>
      </w:tr>
      <w:tr w:rsidR="00EA37A5" w:rsidRPr="00FC19D4" w14:paraId="15C55971" w14:textId="77777777" w:rsidTr="003D2A73">
        <w:trPr>
          <w:gridAfter w:val="1"/>
          <w:wAfter w:w="114" w:type="dxa"/>
          <w:trHeight w:val="1910"/>
        </w:trPr>
        <w:tc>
          <w:tcPr>
            <w:tcW w:w="9200" w:type="dxa"/>
            <w:gridSpan w:val="13"/>
          </w:tcPr>
          <w:p w14:paraId="08C3EB57" w14:textId="77777777" w:rsidR="00EA37A5" w:rsidRPr="00FC19D4" w:rsidRDefault="00EA37A5" w:rsidP="000E4629">
            <w:pPr>
              <w:widowControl w:val="0"/>
              <w:spacing w:after="0"/>
              <w:rPr>
                <w:rFonts w:ascii="Arial" w:eastAsia="Times New Roman" w:hAnsi="Arial" w:cs="Arial"/>
                <w:b/>
                <w:sz w:val="20"/>
                <w:szCs w:val="20"/>
              </w:rPr>
            </w:pPr>
          </w:p>
          <w:p w14:paraId="5F2811D1" w14:textId="77777777" w:rsidR="003B13B9" w:rsidRPr="00FC19D4" w:rsidRDefault="003B13B9" w:rsidP="000E4629">
            <w:pPr>
              <w:widowControl w:val="0"/>
              <w:rPr>
                <w:rFonts w:ascii="Arial" w:hAnsi="Arial" w:cs="Arial"/>
                <w:b/>
                <w:sz w:val="20"/>
                <w:szCs w:val="20"/>
              </w:rPr>
            </w:pPr>
            <w:r w:rsidRPr="00FC19D4">
              <w:rPr>
                <w:rFonts w:ascii="Arial" w:hAnsi="Arial" w:cs="Arial"/>
                <w:b/>
                <w:sz w:val="20"/>
                <w:szCs w:val="20"/>
              </w:rPr>
              <w:t>OBRAZLOŽITEV:</w:t>
            </w:r>
          </w:p>
          <w:p w14:paraId="1F405505" w14:textId="77777777" w:rsidR="003B13B9" w:rsidRPr="00FC19D4" w:rsidRDefault="003B13B9" w:rsidP="000E4629">
            <w:pPr>
              <w:widowControl w:val="0"/>
              <w:numPr>
                <w:ilvl w:val="0"/>
                <w:numId w:val="9"/>
              </w:numPr>
              <w:suppressAutoHyphens/>
              <w:spacing w:after="0"/>
              <w:ind w:left="284" w:hanging="284"/>
              <w:jc w:val="both"/>
              <w:rPr>
                <w:rFonts w:ascii="Arial" w:hAnsi="Arial" w:cs="Arial"/>
                <w:b/>
                <w:sz w:val="20"/>
                <w:szCs w:val="20"/>
                <w:lang w:eastAsia="sl-SI"/>
              </w:rPr>
            </w:pPr>
            <w:r w:rsidRPr="00FC19D4">
              <w:rPr>
                <w:rFonts w:ascii="Arial" w:hAnsi="Arial" w:cs="Arial"/>
                <w:b/>
                <w:sz w:val="20"/>
                <w:szCs w:val="20"/>
                <w:lang w:eastAsia="sl-SI"/>
              </w:rPr>
              <w:t>Ocena finančnih posledic, ki niso načrtovane v sprejetem proračunu</w:t>
            </w:r>
          </w:p>
          <w:p w14:paraId="020A6F58" w14:textId="77777777" w:rsidR="003B13B9" w:rsidRPr="00FC19D4" w:rsidRDefault="003B13B9" w:rsidP="000E4629">
            <w:pPr>
              <w:widowControl w:val="0"/>
              <w:ind w:left="360" w:hanging="76"/>
              <w:jc w:val="both"/>
              <w:rPr>
                <w:rFonts w:ascii="Arial" w:hAnsi="Arial" w:cs="Arial"/>
                <w:sz w:val="20"/>
                <w:szCs w:val="20"/>
                <w:lang w:eastAsia="sl-SI"/>
              </w:rPr>
            </w:pPr>
            <w:r w:rsidRPr="00FC19D4">
              <w:rPr>
                <w:rFonts w:ascii="Arial" w:hAnsi="Arial" w:cs="Arial"/>
                <w:sz w:val="20"/>
                <w:szCs w:val="20"/>
                <w:lang w:eastAsia="sl-SI"/>
              </w:rPr>
              <w:t>V zvezi s predlaganim vladnim gradivom se navedejo predvidene spremembe (povečanje, zmanjšanje):</w:t>
            </w:r>
          </w:p>
          <w:p w14:paraId="655E443B" w14:textId="77777777" w:rsidR="003B13B9" w:rsidRPr="00FC19D4" w:rsidRDefault="003B13B9" w:rsidP="000E4629">
            <w:pPr>
              <w:widowControl w:val="0"/>
              <w:numPr>
                <w:ilvl w:val="0"/>
                <w:numId w:val="3"/>
              </w:numPr>
              <w:suppressAutoHyphens/>
              <w:spacing w:after="0"/>
              <w:jc w:val="both"/>
              <w:rPr>
                <w:rFonts w:ascii="Arial" w:hAnsi="Arial" w:cs="Arial"/>
                <w:sz w:val="20"/>
                <w:szCs w:val="20"/>
              </w:rPr>
            </w:pPr>
            <w:r w:rsidRPr="00FC19D4">
              <w:rPr>
                <w:rFonts w:ascii="Arial" w:hAnsi="Arial" w:cs="Arial"/>
                <w:sz w:val="20"/>
                <w:szCs w:val="20"/>
                <w:lang w:eastAsia="sl-SI"/>
              </w:rPr>
              <w:t>prihodkov državnega proračuna in občinskih proračunov,</w:t>
            </w:r>
          </w:p>
          <w:p w14:paraId="6C6C6D4A" w14:textId="77777777" w:rsidR="003B13B9" w:rsidRPr="00FC19D4" w:rsidRDefault="003B13B9" w:rsidP="000E4629">
            <w:pPr>
              <w:widowControl w:val="0"/>
              <w:numPr>
                <w:ilvl w:val="0"/>
                <w:numId w:val="3"/>
              </w:numPr>
              <w:suppressAutoHyphens/>
              <w:spacing w:after="0"/>
              <w:jc w:val="both"/>
              <w:rPr>
                <w:rFonts w:ascii="Arial" w:hAnsi="Arial" w:cs="Arial"/>
                <w:sz w:val="20"/>
                <w:szCs w:val="20"/>
              </w:rPr>
            </w:pPr>
            <w:r w:rsidRPr="00FC19D4">
              <w:rPr>
                <w:rFonts w:ascii="Arial" w:hAnsi="Arial" w:cs="Arial"/>
                <w:sz w:val="20"/>
                <w:szCs w:val="20"/>
                <w:lang w:eastAsia="sl-SI"/>
              </w:rPr>
              <w:lastRenderedPageBreak/>
              <w:t>odhodkov državnega proračuna, ki niso načrtovani na ukrepih oziroma projektih sprejetih proračunov,</w:t>
            </w:r>
          </w:p>
          <w:p w14:paraId="16A9A945" w14:textId="77777777" w:rsidR="003B13B9" w:rsidRPr="00FC19D4" w:rsidRDefault="003B13B9" w:rsidP="000E4629">
            <w:pPr>
              <w:widowControl w:val="0"/>
              <w:numPr>
                <w:ilvl w:val="0"/>
                <w:numId w:val="3"/>
              </w:numPr>
              <w:suppressAutoHyphens/>
              <w:spacing w:after="0"/>
              <w:jc w:val="both"/>
              <w:rPr>
                <w:rFonts w:ascii="Arial" w:hAnsi="Arial" w:cs="Arial"/>
                <w:sz w:val="20"/>
                <w:szCs w:val="20"/>
              </w:rPr>
            </w:pPr>
            <w:r w:rsidRPr="00FC19D4">
              <w:rPr>
                <w:rFonts w:ascii="Arial" w:hAnsi="Arial" w:cs="Arial"/>
                <w:sz w:val="20"/>
                <w:szCs w:val="20"/>
                <w:lang w:eastAsia="sl-SI"/>
              </w:rPr>
              <w:t>obveznosti za druga javnofinančna sredstva (drugi viri), ki niso načrtovana na ukrepih oziroma projektih sprejetih proračunov.</w:t>
            </w:r>
          </w:p>
          <w:p w14:paraId="05CF7970" w14:textId="77777777" w:rsidR="003B13B9" w:rsidRPr="00FC19D4" w:rsidRDefault="003B13B9" w:rsidP="000E4629">
            <w:pPr>
              <w:widowControl w:val="0"/>
              <w:suppressAutoHyphens/>
              <w:spacing w:after="0"/>
              <w:ind w:left="720"/>
              <w:jc w:val="both"/>
              <w:rPr>
                <w:rFonts w:ascii="Arial" w:hAnsi="Arial" w:cs="Arial"/>
                <w:sz w:val="20"/>
                <w:szCs w:val="20"/>
              </w:rPr>
            </w:pPr>
          </w:p>
          <w:p w14:paraId="0372681A" w14:textId="77777777" w:rsidR="003B13B9" w:rsidRPr="00FC19D4" w:rsidRDefault="003B13B9" w:rsidP="000E4629">
            <w:pPr>
              <w:widowControl w:val="0"/>
              <w:numPr>
                <w:ilvl w:val="0"/>
                <w:numId w:val="9"/>
              </w:numPr>
              <w:suppressAutoHyphens/>
              <w:spacing w:after="0"/>
              <w:ind w:left="284" w:hanging="284"/>
              <w:jc w:val="both"/>
              <w:rPr>
                <w:rFonts w:ascii="Arial" w:hAnsi="Arial" w:cs="Arial"/>
                <w:b/>
                <w:sz w:val="20"/>
                <w:szCs w:val="20"/>
                <w:lang w:eastAsia="sl-SI"/>
              </w:rPr>
            </w:pPr>
            <w:r w:rsidRPr="00FC19D4">
              <w:rPr>
                <w:rFonts w:ascii="Arial" w:hAnsi="Arial" w:cs="Arial"/>
                <w:b/>
                <w:sz w:val="20"/>
                <w:szCs w:val="20"/>
                <w:lang w:eastAsia="sl-SI"/>
              </w:rPr>
              <w:t>Finančne posledice za državni proračun</w:t>
            </w:r>
          </w:p>
          <w:p w14:paraId="57105994" w14:textId="77777777" w:rsidR="003B13B9" w:rsidRPr="00FC19D4" w:rsidRDefault="003B13B9" w:rsidP="000E4629">
            <w:pPr>
              <w:widowControl w:val="0"/>
              <w:ind w:left="284"/>
              <w:jc w:val="both"/>
              <w:rPr>
                <w:rFonts w:ascii="Arial" w:hAnsi="Arial" w:cs="Arial"/>
                <w:sz w:val="20"/>
                <w:szCs w:val="20"/>
                <w:lang w:eastAsia="sl-SI"/>
              </w:rPr>
            </w:pPr>
            <w:r w:rsidRPr="00FC19D4">
              <w:rPr>
                <w:rFonts w:ascii="Arial" w:hAnsi="Arial" w:cs="Arial"/>
                <w:sz w:val="20"/>
                <w:szCs w:val="20"/>
                <w:lang w:eastAsia="sl-SI"/>
              </w:rPr>
              <w:t>Prikazane morajo biti finančne posledice za državni proračun, ki so na proračunskih postavkah načrtovane v dinamiki projektov oziroma ukrepov:</w:t>
            </w:r>
          </w:p>
          <w:p w14:paraId="29495C15" w14:textId="77777777" w:rsidR="003B13B9" w:rsidRPr="00FC19D4" w:rsidRDefault="003B13B9" w:rsidP="000E4629">
            <w:pPr>
              <w:widowControl w:val="0"/>
              <w:ind w:left="720"/>
              <w:jc w:val="both"/>
              <w:rPr>
                <w:rFonts w:ascii="Arial" w:hAnsi="Arial" w:cs="Arial"/>
                <w:b/>
                <w:sz w:val="20"/>
                <w:szCs w:val="20"/>
                <w:lang w:eastAsia="sl-SI"/>
              </w:rPr>
            </w:pPr>
            <w:proofErr w:type="spellStart"/>
            <w:r w:rsidRPr="00FC19D4">
              <w:rPr>
                <w:rFonts w:ascii="Arial" w:hAnsi="Arial" w:cs="Arial"/>
                <w:b/>
                <w:sz w:val="20"/>
                <w:szCs w:val="20"/>
                <w:lang w:eastAsia="sl-SI"/>
              </w:rPr>
              <w:t>II.a</w:t>
            </w:r>
            <w:proofErr w:type="spellEnd"/>
            <w:r w:rsidRPr="00FC19D4">
              <w:rPr>
                <w:rFonts w:ascii="Arial" w:hAnsi="Arial" w:cs="Arial"/>
                <w:b/>
                <w:sz w:val="20"/>
                <w:szCs w:val="20"/>
                <w:lang w:eastAsia="sl-SI"/>
              </w:rPr>
              <w:t xml:space="preserve"> Pravice porabe za izvedbo predlaganih rešitev so zagotovljene:</w:t>
            </w:r>
          </w:p>
          <w:p w14:paraId="7E5E58E2" w14:textId="77777777" w:rsidR="003B13B9" w:rsidRPr="00FC19D4" w:rsidRDefault="003B13B9" w:rsidP="000E4629">
            <w:pPr>
              <w:widowControl w:val="0"/>
              <w:ind w:left="284"/>
              <w:jc w:val="both"/>
              <w:rPr>
                <w:rFonts w:ascii="Arial" w:hAnsi="Arial" w:cs="Arial"/>
                <w:sz w:val="20"/>
                <w:szCs w:val="20"/>
                <w:lang w:eastAsia="sl-SI"/>
              </w:rPr>
            </w:pPr>
            <w:r w:rsidRPr="00FC19D4">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C19D4">
              <w:rPr>
                <w:rFonts w:ascii="Arial" w:hAnsi="Arial" w:cs="Arial"/>
                <w:sz w:val="20"/>
                <w:szCs w:val="20"/>
                <w:lang w:eastAsia="sl-SI"/>
              </w:rPr>
              <w:t>II.b</w:t>
            </w:r>
            <w:proofErr w:type="spellEnd"/>
            <w:r w:rsidRPr="00FC19D4">
              <w:rPr>
                <w:rFonts w:ascii="Arial" w:hAnsi="Arial" w:cs="Arial"/>
                <w:sz w:val="20"/>
                <w:szCs w:val="20"/>
                <w:lang w:eastAsia="sl-SI"/>
              </w:rPr>
              <w:t>). Pri uvrstitvi novega projekta oziroma ukrepa v načrt razvojnih programov se navedejo:</w:t>
            </w:r>
          </w:p>
          <w:p w14:paraId="0484CC58" w14:textId="77777777" w:rsidR="003B13B9" w:rsidRPr="00FC19D4" w:rsidRDefault="003B13B9" w:rsidP="000E4629">
            <w:pPr>
              <w:widowControl w:val="0"/>
              <w:numPr>
                <w:ilvl w:val="0"/>
                <w:numId w:val="10"/>
              </w:numPr>
              <w:suppressAutoHyphens/>
              <w:spacing w:after="0"/>
              <w:jc w:val="both"/>
              <w:rPr>
                <w:rFonts w:ascii="Arial" w:hAnsi="Arial" w:cs="Arial"/>
                <w:sz w:val="20"/>
                <w:szCs w:val="20"/>
                <w:lang w:eastAsia="sl-SI"/>
              </w:rPr>
            </w:pPr>
            <w:r w:rsidRPr="00FC19D4">
              <w:rPr>
                <w:rFonts w:ascii="Arial" w:hAnsi="Arial" w:cs="Arial"/>
                <w:sz w:val="20"/>
                <w:szCs w:val="20"/>
                <w:lang w:eastAsia="sl-SI"/>
              </w:rPr>
              <w:t>proračunski uporabnik, ki bo financiral novi projekt oziroma ukrep,</w:t>
            </w:r>
          </w:p>
          <w:p w14:paraId="759FF15B" w14:textId="77777777" w:rsidR="003B13B9" w:rsidRPr="00FC19D4" w:rsidRDefault="003B13B9" w:rsidP="000E4629">
            <w:pPr>
              <w:widowControl w:val="0"/>
              <w:numPr>
                <w:ilvl w:val="0"/>
                <w:numId w:val="10"/>
              </w:numPr>
              <w:suppressAutoHyphens/>
              <w:spacing w:after="0"/>
              <w:jc w:val="both"/>
              <w:rPr>
                <w:rFonts w:ascii="Arial" w:hAnsi="Arial" w:cs="Arial"/>
                <w:sz w:val="20"/>
                <w:szCs w:val="20"/>
                <w:lang w:eastAsia="sl-SI"/>
              </w:rPr>
            </w:pPr>
            <w:r w:rsidRPr="00FC19D4">
              <w:rPr>
                <w:rFonts w:ascii="Arial" w:hAnsi="Arial" w:cs="Arial"/>
                <w:sz w:val="20"/>
                <w:szCs w:val="20"/>
                <w:lang w:eastAsia="sl-SI"/>
              </w:rPr>
              <w:t xml:space="preserve">projekt oziroma ukrep, s katerim se bodo dosegli cilji vladnega gradiva, in </w:t>
            </w:r>
          </w:p>
          <w:p w14:paraId="13FB2267" w14:textId="77777777" w:rsidR="003B13B9" w:rsidRPr="00FC19D4" w:rsidRDefault="003B13B9" w:rsidP="000E4629">
            <w:pPr>
              <w:widowControl w:val="0"/>
              <w:numPr>
                <w:ilvl w:val="0"/>
                <w:numId w:val="10"/>
              </w:numPr>
              <w:suppressAutoHyphens/>
              <w:spacing w:after="0"/>
              <w:jc w:val="both"/>
              <w:rPr>
                <w:rFonts w:ascii="Arial" w:hAnsi="Arial" w:cs="Arial"/>
                <w:sz w:val="20"/>
                <w:szCs w:val="20"/>
                <w:lang w:eastAsia="sl-SI"/>
              </w:rPr>
            </w:pPr>
            <w:r w:rsidRPr="00FC19D4">
              <w:rPr>
                <w:rFonts w:ascii="Arial" w:hAnsi="Arial" w:cs="Arial"/>
                <w:sz w:val="20"/>
                <w:szCs w:val="20"/>
                <w:lang w:eastAsia="sl-SI"/>
              </w:rPr>
              <w:t>proračunske postavke.</w:t>
            </w:r>
          </w:p>
          <w:p w14:paraId="24638417" w14:textId="77777777" w:rsidR="003B13B9" w:rsidRPr="00FC19D4" w:rsidRDefault="003B13B9" w:rsidP="000E4629">
            <w:pPr>
              <w:widowControl w:val="0"/>
              <w:ind w:left="284"/>
              <w:jc w:val="both"/>
              <w:rPr>
                <w:rFonts w:ascii="Arial" w:hAnsi="Arial" w:cs="Arial"/>
                <w:sz w:val="20"/>
                <w:szCs w:val="20"/>
                <w:lang w:eastAsia="sl-SI"/>
              </w:rPr>
            </w:pPr>
            <w:r w:rsidRPr="00FC19D4">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FC19D4">
              <w:rPr>
                <w:rFonts w:ascii="Arial" w:hAnsi="Arial" w:cs="Arial"/>
                <w:sz w:val="20"/>
                <w:szCs w:val="20"/>
                <w:lang w:eastAsia="sl-SI"/>
              </w:rPr>
              <w:t>II.b</w:t>
            </w:r>
            <w:proofErr w:type="spellEnd"/>
            <w:r w:rsidRPr="00FC19D4">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18CF2273" w14:textId="77777777" w:rsidR="003B13B9" w:rsidRPr="00FC19D4" w:rsidRDefault="003B13B9" w:rsidP="000E4629">
            <w:pPr>
              <w:widowControl w:val="0"/>
              <w:ind w:left="714"/>
              <w:jc w:val="both"/>
              <w:rPr>
                <w:rFonts w:ascii="Arial" w:hAnsi="Arial" w:cs="Arial"/>
                <w:b/>
                <w:sz w:val="20"/>
                <w:szCs w:val="20"/>
                <w:lang w:eastAsia="sl-SI"/>
              </w:rPr>
            </w:pPr>
            <w:proofErr w:type="spellStart"/>
            <w:r w:rsidRPr="00FC19D4">
              <w:rPr>
                <w:rFonts w:ascii="Arial" w:hAnsi="Arial" w:cs="Arial"/>
                <w:b/>
                <w:sz w:val="20"/>
                <w:szCs w:val="20"/>
                <w:lang w:eastAsia="sl-SI"/>
              </w:rPr>
              <w:t>II.b</w:t>
            </w:r>
            <w:proofErr w:type="spellEnd"/>
            <w:r w:rsidRPr="00FC19D4">
              <w:rPr>
                <w:rFonts w:ascii="Arial" w:hAnsi="Arial" w:cs="Arial"/>
                <w:b/>
                <w:sz w:val="20"/>
                <w:szCs w:val="20"/>
                <w:lang w:eastAsia="sl-SI"/>
              </w:rPr>
              <w:t xml:space="preserve"> Manjkajoče pravice porabe bodo zagotovljene s prerazporeditvijo:</w:t>
            </w:r>
          </w:p>
          <w:p w14:paraId="5D69632D" w14:textId="77777777" w:rsidR="003B13B9" w:rsidRPr="00FC19D4" w:rsidRDefault="003B13B9" w:rsidP="000E4629">
            <w:pPr>
              <w:widowControl w:val="0"/>
              <w:ind w:left="284"/>
              <w:jc w:val="both"/>
              <w:rPr>
                <w:rFonts w:ascii="Arial" w:hAnsi="Arial" w:cs="Arial"/>
                <w:sz w:val="20"/>
                <w:szCs w:val="20"/>
                <w:lang w:eastAsia="sl-SI"/>
              </w:rPr>
            </w:pPr>
            <w:r w:rsidRPr="00FC19D4">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FC19D4">
              <w:rPr>
                <w:rFonts w:ascii="Arial" w:hAnsi="Arial" w:cs="Arial"/>
                <w:sz w:val="20"/>
                <w:szCs w:val="20"/>
                <w:lang w:eastAsia="sl-SI"/>
              </w:rPr>
              <w:t>II.a</w:t>
            </w:r>
            <w:proofErr w:type="spellEnd"/>
            <w:r w:rsidRPr="00FC19D4">
              <w:rPr>
                <w:rFonts w:ascii="Arial" w:hAnsi="Arial" w:cs="Arial"/>
                <w:sz w:val="20"/>
                <w:szCs w:val="20"/>
                <w:lang w:eastAsia="sl-SI"/>
              </w:rPr>
              <w:t>.</w:t>
            </w:r>
          </w:p>
          <w:p w14:paraId="2F0EA78A" w14:textId="77777777" w:rsidR="003B13B9" w:rsidRPr="00FC19D4" w:rsidRDefault="003B13B9" w:rsidP="000E4629">
            <w:pPr>
              <w:widowControl w:val="0"/>
              <w:ind w:left="714"/>
              <w:jc w:val="both"/>
              <w:rPr>
                <w:rFonts w:ascii="Arial" w:hAnsi="Arial" w:cs="Arial"/>
                <w:b/>
                <w:sz w:val="20"/>
                <w:szCs w:val="20"/>
                <w:lang w:eastAsia="sl-SI"/>
              </w:rPr>
            </w:pPr>
            <w:proofErr w:type="spellStart"/>
            <w:r w:rsidRPr="00FC19D4">
              <w:rPr>
                <w:rFonts w:ascii="Arial" w:hAnsi="Arial" w:cs="Arial"/>
                <w:b/>
                <w:sz w:val="20"/>
                <w:szCs w:val="20"/>
                <w:lang w:eastAsia="sl-SI"/>
              </w:rPr>
              <w:t>II.c</w:t>
            </w:r>
            <w:proofErr w:type="spellEnd"/>
            <w:r w:rsidRPr="00FC19D4">
              <w:rPr>
                <w:rFonts w:ascii="Arial" w:hAnsi="Arial" w:cs="Arial"/>
                <w:b/>
                <w:sz w:val="20"/>
                <w:szCs w:val="20"/>
                <w:lang w:eastAsia="sl-SI"/>
              </w:rPr>
              <w:t xml:space="preserve"> Načrtovana nadomestitev zmanjšanih prihodkov in povečanih odhodkov proračuna:</w:t>
            </w:r>
          </w:p>
          <w:p w14:paraId="603E2C14" w14:textId="77777777" w:rsidR="00EA37A5" w:rsidRPr="00FC19D4" w:rsidRDefault="003B13B9" w:rsidP="000E4629">
            <w:pPr>
              <w:widowControl w:val="0"/>
              <w:spacing w:after="0"/>
              <w:ind w:left="284"/>
              <w:jc w:val="both"/>
              <w:rPr>
                <w:rFonts w:ascii="Arial" w:eastAsia="Times New Roman" w:hAnsi="Arial" w:cs="Arial"/>
                <w:sz w:val="20"/>
                <w:szCs w:val="20"/>
                <w:lang w:eastAsia="sl-SI"/>
              </w:rPr>
            </w:pPr>
            <w:r w:rsidRPr="00FC19D4">
              <w:rPr>
                <w:rFonts w:ascii="Arial" w:hAnsi="Arial" w:cs="Arial"/>
                <w:sz w:val="20"/>
                <w:szCs w:val="20"/>
                <w:lang w:eastAsia="sl-SI"/>
              </w:rPr>
              <w:t xml:space="preserve">Če se povečani odhodki (pravice porabe) ne bodo zagotovili tako, kot je določeno v točkah </w:t>
            </w:r>
            <w:proofErr w:type="spellStart"/>
            <w:r w:rsidRPr="00FC19D4">
              <w:rPr>
                <w:rFonts w:ascii="Arial" w:hAnsi="Arial" w:cs="Arial"/>
                <w:sz w:val="20"/>
                <w:szCs w:val="20"/>
                <w:lang w:eastAsia="sl-SI"/>
              </w:rPr>
              <w:t>II.a</w:t>
            </w:r>
            <w:proofErr w:type="spellEnd"/>
            <w:r w:rsidRPr="00FC19D4">
              <w:rPr>
                <w:rFonts w:ascii="Arial" w:hAnsi="Arial" w:cs="Arial"/>
                <w:sz w:val="20"/>
                <w:szCs w:val="20"/>
                <w:lang w:eastAsia="sl-SI"/>
              </w:rPr>
              <w:t xml:space="preserve"> in </w:t>
            </w:r>
            <w:proofErr w:type="spellStart"/>
            <w:r w:rsidRPr="00FC19D4">
              <w:rPr>
                <w:rFonts w:ascii="Arial" w:hAnsi="Arial" w:cs="Arial"/>
                <w:sz w:val="20"/>
                <w:szCs w:val="20"/>
                <w:lang w:eastAsia="sl-SI"/>
              </w:rPr>
              <w:t>II.b</w:t>
            </w:r>
            <w:proofErr w:type="spellEnd"/>
            <w:r w:rsidRPr="00FC19D4">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r w:rsidR="00EA37A5" w:rsidRPr="00FC19D4">
              <w:rPr>
                <w:rFonts w:ascii="Arial" w:eastAsia="Times New Roman" w:hAnsi="Arial" w:cs="Arial"/>
                <w:sz w:val="20"/>
                <w:szCs w:val="20"/>
                <w:lang w:eastAsia="sl-SI"/>
              </w:rPr>
              <w:t>.</w:t>
            </w:r>
          </w:p>
          <w:p w14:paraId="4C2DD807" w14:textId="77777777" w:rsidR="00EA37A5" w:rsidRPr="00FC19D4" w:rsidRDefault="00EA37A5" w:rsidP="000E4629">
            <w:pPr>
              <w:widowControl w:val="0"/>
              <w:suppressAutoHyphens/>
              <w:overflowPunct w:val="0"/>
              <w:autoSpaceDE w:val="0"/>
              <w:autoSpaceDN w:val="0"/>
              <w:adjustRightInd w:val="0"/>
              <w:spacing w:after="0"/>
              <w:jc w:val="both"/>
              <w:textAlignment w:val="baseline"/>
              <w:rPr>
                <w:rFonts w:ascii="Arial" w:eastAsia="Times New Roman" w:hAnsi="Arial" w:cs="Arial"/>
                <w:b/>
                <w:bCs/>
                <w:spacing w:val="40"/>
                <w:sz w:val="20"/>
                <w:szCs w:val="20"/>
                <w:lang w:eastAsia="sl-SI"/>
              </w:rPr>
            </w:pPr>
          </w:p>
        </w:tc>
      </w:tr>
      <w:tr w:rsidR="00EA37A5" w:rsidRPr="00FC19D4" w14:paraId="0B70B50A" w14:textId="77777777" w:rsidTr="003D2A73">
        <w:trPr>
          <w:gridBefore w:val="1"/>
          <w:wBefore w:w="100" w:type="dxa"/>
          <w:trHeight w:val="497"/>
        </w:trPr>
        <w:tc>
          <w:tcPr>
            <w:tcW w:w="9214" w:type="dxa"/>
            <w:gridSpan w:val="13"/>
            <w:tcBorders>
              <w:top w:val="single" w:sz="4" w:space="0" w:color="auto"/>
              <w:left w:val="single" w:sz="4" w:space="0" w:color="auto"/>
              <w:bottom w:val="single" w:sz="4" w:space="0" w:color="auto"/>
              <w:right w:val="single" w:sz="4" w:space="0" w:color="auto"/>
            </w:tcBorders>
            <w:vAlign w:val="center"/>
          </w:tcPr>
          <w:p w14:paraId="4F04EFCF" w14:textId="77777777" w:rsidR="00EA37A5" w:rsidRPr="00FC19D4" w:rsidRDefault="00EA37A5" w:rsidP="000E4629">
            <w:pPr>
              <w:pageBreakBefore/>
              <w:widowControl w:val="0"/>
              <w:tabs>
                <w:tab w:val="left" w:pos="2340"/>
              </w:tabs>
              <w:spacing w:after="0"/>
              <w:ind w:left="142" w:hanging="142"/>
              <w:outlineLvl w:val="0"/>
              <w:rPr>
                <w:rFonts w:ascii="Arial" w:eastAsia="Times New Roman" w:hAnsi="Arial" w:cs="Arial"/>
                <w:b/>
                <w:kern w:val="32"/>
                <w:sz w:val="20"/>
                <w:szCs w:val="20"/>
                <w:lang w:eastAsia="sl-SI"/>
              </w:rPr>
            </w:pPr>
            <w:r w:rsidRPr="00FC19D4">
              <w:rPr>
                <w:rFonts w:ascii="Arial" w:eastAsia="Times New Roman" w:hAnsi="Arial" w:cs="Arial"/>
                <w:b/>
                <w:kern w:val="32"/>
                <w:sz w:val="20"/>
                <w:szCs w:val="20"/>
                <w:lang w:eastAsia="sl-SI"/>
              </w:rPr>
              <w:lastRenderedPageBreak/>
              <w:t>I. Ocena finančnih posledic, ki niso načrtovane v sprejetem proračunu</w:t>
            </w:r>
          </w:p>
        </w:tc>
      </w:tr>
    </w:tbl>
    <w:p w14:paraId="7DDDF621" w14:textId="77777777" w:rsidR="00677C68" w:rsidRPr="00FC19D4" w:rsidRDefault="00677C68" w:rsidP="000E4629">
      <w:pPr>
        <w:suppressAutoHyphens/>
        <w:spacing w:after="0"/>
        <w:rPr>
          <w:rFonts w:ascii="Arial" w:eastAsia="Times New Roman" w:hAnsi="Arial" w:cs="Arial"/>
          <w:vanish/>
          <w:sz w:val="20"/>
          <w:szCs w:val="20"/>
          <w:lang w:eastAsia="ar-SA"/>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9"/>
        <w:gridCol w:w="2545"/>
      </w:tblGrid>
      <w:tr w:rsidR="00677C68" w:rsidRPr="00FC19D4" w14:paraId="0E5C357F" w14:textId="77777777" w:rsidTr="003D2A73">
        <w:tc>
          <w:tcPr>
            <w:tcW w:w="9214" w:type="dxa"/>
            <w:gridSpan w:val="2"/>
            <w:tcBorders>
              <w:top w:val="nil"/>
            </w:tcBorders>
          </w:tcPr>
          <w:p w14:paraId="4738445A" w14:textId="77777777" w:rsidR="00677C68" w:rsidRPr="00FC19D4" w:rsidRDefault="00677C68" w:rsidP="000E4629">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C19D4">
              <w:rPr>
                <w:rFonts w:ascii="Arial" w:eastAsia="Times New Roman" w:hAnsi="Arial" w:cs="Arial"/>
                <w:b/>
                <w:sz w:val="20"/>
                <w:szCs w:val="20"/>
                <w:lang w:eastAsia="sl-SI"/>
              </w:rPr>
              <w:t>7.b Predstavitev ocene finančnih posledic pod 40.000 EUR:</w:t>
            </w:r>
          </w:p>
          <w:p w14:paraId="54A30DFB" w14:textId="77777777" w:rsidR="00677C68" w:rsidRPr="00FC19D4" w:rsidRDefault="00677C68" w:rsidP="000E4629">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p>
        </w:tc>
      </w:tr>
      <w:tr w:rsidR="00677C68" w:rsidRPr="00FC19D4" w14:paraId="1038E19B" w14:textId="77777777" w:rsidTr="003D2A73">
        <w:trPr>
          <w:trHeight w:val="371"/>
        </w:trPr>
        <w:tc>
          <w:tcPr>
            <w:tcW w:w="9214" w:type="dxa"/>
            <w:gridSpan w:val="2"/>
            <w:tcBorders>
              <w:top w:val="single" w:sz="4" w:space="0" w:color="000000"/>
              <w:left w:val="single" w:sz="4" w:space="0" w:color="000000"/>
              <w:bottom w:val="single" w:sz="4" w:space="0" w:color="000000"/>
              <w:right w:val="single" w:sz="4" w:space="0" w:color="000000"/>
            </w:tcBorders>
          </w:tcPr>
          <w:p w14:paraId="027CFE6A" w14:textId="77777777" w:rsidR="00677C68" w:rsidRPr="00FC19D4" w:rsidRDefault="00677C68" w:rsidP="000E4629">
            <w:pPr>
              <w:widowControl w:val="0"/>
              <w:overflowPunct w:val="0"/>
              <w:autoSpaceDE w:val="0"/>
              <w:autoSpaceDN w:val="0"/>
              <w:adjustRightInd w:val="0"/>
              <w:spacing w:after="0"/>
              <w:textAlignment w:val="baseline"/>
              <w:rPr>
                <w:rFonts w:ascii="Arial" w:eastAsia="Times New Roman" w:hAnsi="Arial" w:cs="Arial"/>
                <w:b/>
                <w:sz w:val="20"/>
                <w:szCs w:val="20"/>
                <w:lang w:eastAsia="sl-SI"/>
              </w:rPr>
            </w:pPr>
            <w:r w:rsidRPr="00FC19D4">
              <w:rPr>
                <w:rFonts w:ascii="Arial" w:eastAsia="Times New Roman" w:hAnsi="Arial" w:cs="Arial"/>
                <w:b/>
                <w:sz w:val="20"/>
                <w:szCs w:val="20"/>
                <w:lang w:eastAsia="sl-SI"/>
              </w:rPr>
              <w:t>8. Predstavitev sodelovanja z združenji občin:</w:t>
            </w:r>
          </w:p>
        </w:tc>
      </w:tr>
      <w:tr w:rsidR="00677C68" w:rsidRPr="00FC19D4" w14:paraId="134C25ED" w14:textId="77777777" w:rsidTr="003D2A73">
        <w:tc>
          <w:tcPr>
            <w:tcW w:w="6669" w:type="dxa"/>
          </w:tcPr>
          <w:p w14:paraId="7133BA85" w14:textId="77777777" w:rsidR="00677C68" w:rsidRPr="00FC19D4" w:rsidRDefault="00677C68" w:rsidP="000E4629">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Vsebina predloženega gradiva (predpisa) vpliva na:</w:t>
            </w:r>
          </w:p>
          <w:p w14:paraId="68876E89" w14:textId="77777777" w:rsidR="00677C68" w:rsidRPr="00FC19D4" w:rsidRDefault="00677C68" w:rsidP="000E4629">
            <w:pPr>
              <w:widowControl w:val="0"/>
              <w:numPr>
                <w:ilvl w:val="1"/>
                <w:numId w:val="3"/>
              </w:numPr>
              <w:suppressAutoHyphens/>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pristojnosti občin,</w:t>
            </w:r>
          </w:p>
          <w:p w14:paraId="2EA85F1A" w14:textId="77777777" w:rsidR="00677C68" w:rsidRPr="00FC19D4" w:rsidRDefault="00677C68" w:rsidP="000E4629">
            <w:pPr>
              <w:widowControl w:val="0"/>
              <w:numPr>
                <w:ilvl w:val="1"/>
                <w:numId w:val="3"/>
              </w:numPr>
              <w:suppressAutoHyphens/>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delovanje občin,</w:t>
            </w:r>
          </w:p>
          <w:p w14:paraId="0C55406A" w14:textId="77777777" w:rsidR="00677C68" w:rsidRPr="00FC19D4" w:rsidRDefault="00677C68" w:rsidP="000E4629">
            <w:pPr>
              <w:widowControl w:val="0"/>
              <w:numPr>
                <w:ilvl w:val="1"/>
                <w:numId w:val="3"/>
              </w:numPr>
              <w:suppressAutoHyphens/>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financiranje občin.</w:t>
            </w:r>
          </w:p>
        </w:tc>
        <w:tc>
          <w:tcPr>
            <w:tcW w:w="2545" w:type="dxa"/>
          </w:tcPr>
          <w:p w14:paraId="3D94DF6D" w14:textId="77777777" w:rsidR="00677C68" w:rsidRPr="00FC19D4" w:rsidRDefault="00677C68" w:rsidP="000E4629">
            <w:pPr>
              <w:widowControl w:val="0"/>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FC19D4">
              <w:rPr>
                <w:rFonts w:ascii="Arial" w:eastAsia="Times New Roman" w:hAnsi="Arial" w:cs="Arial"/>
                <w:sz w:val="20"/>
                <w:szCs w:val="20"/>
                <w:lang w:eastAsia="sl-SI"/>
              </w:rPr>
              <w:t>NE</w:t>
            </w:r>
          </w:p>
        </w:tc>
      </w:tr>
      <w:tr w:rsidR="00677C68" w:rsidRPr="00FC19D4" w14:paraId="09E8151A" w14:textId="77777777" w:rsidTr="003D2A73">
        <w:trPr>
          <w:trHeight w:val="274"/>
        </w:trPr>
        <w:tc>
          <w:tcPr>
            <w:tcW w:w="9214" w:type="dxa"/>
            <w:gridSpan w:val="2"/>
          </w:tcPr>
          <w:p w14:paraId="6B57B9F4" w14:textId="77777777" w:rsidR="00677C68" w:rsidRPr="00FC19D4" w:rsidRDefault="00677C68" w:rsidP="000E4629">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 xml:space="preserve">Gradivo (predpis) je bilo poslano v mnenje: </w:t>
            </w:r>
          </w:p>
          <w:p w14:paraId="1F85C313" w14:textId="77777777" w:rsidR="00677C68" w:rsidRPr="00FC19D4" w:rsidRDefault="00677C68" w:rsidP="000E4629">
            <w:pPr>
              <w:widowControl w:val="0"/>
              <w:numPr>
                <w:ilvl w:val="0"/>
                <w:numId w:val="4"/>
              </w:numPr>
              <w:suppressAutoHyphens/>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Skupnosti občin Slovenije SOS: NE</w:t>
            </w:r>
          </w:p>
          <w:p w14:paraId="69996613" w14:textId="77777777" w:rsidR="00677C68" w:rsidRPr="00FC19D4" w:rsidRDefault="00677C68" w:rsidP="000E4629">
            <w:pPr>
              <w:widowControl w:val="0"/>
              <w:numPr>
                <w:ilvl w:val="0"/>
                <w:numId w:val="4"/>
              </w:numPr>
              <w:suppressAutoHyphens/>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Združenju občin Slovenije ZOS: NE</w:t>
            </w:r>
          </w:p>
          <w:p w14:paraId="3CEDCD41" w14:textId="77777777" w:rsidR="00677C68" w:rsidRPr="00FC19D4" w:rsidRDefault="00677C68" w:rsidP="000E4629">
            <w:pPr>
              <w:widowControl w:val="0"/>
              <w:numPr>
                <w:ilvl w:val="0"/>
                <w:numId w:val="4"/>
              </w:numPr>
              <w:suppressAutoHyphens/>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Združenju mestnih občin Slovenije ZMOS: NE</w:t>
            </w:r>
          </w:p>
        </w:tc>
      </w:tr>
      <w:tr w:rsidR="00677C68" w:rsidRPr="00FC19D4" w14:paraId="30C8C12D" w14:textId="77777777" w:rsidTr="003D2A73">
        <w:tc>
          <w:tcPr>
            <w:tcW w:w="9214" w:type="dxa"/>
            <w:gridSpan w:val="2"/>
          </w:tcPr>
          <w:p w14:paraId="277E3BCC" w14:textId="77777777" w:rsidR="00677C68" w:rsidRPr="00FC19D4" w:rsidRDefault="00677C68" w:rsidP="000E4629">
            <w:pPr>
              <w:widowControl w:val="0"/>
              <w:overflowPunct w:val="0"/>
              <w:autoSpaceDE w:val="0"/>
              <w:autoSpaceDN w:val="0"/>
              <w:adjustRightInd w:val="0"/>
              <w:spacing w:after="0"/>
              <w:textAlignment w:val="baseline"/>
              <w:rPr>
                <w:rFonts w:ascii="Arial" w:eastAsia="Times New Roman" w:hAnsi="Arial" w:cs="Arial"/>
                <w:b/>
                <w:sz w:val="20"/>
                <w:szCs w:val="20"/>
                <w:lang w:eastAsia="sl-SI"/>
              </w:rPr>
            </w:pPr>
            <w:r w:rsidRPr="00FC19D4">
              <w:rPr>
                <w:rFonts w:ascii="Arial" w:eastAsia="Times New Roman" w:hAnsi="Arial" w:cs="Arial"/>
                <w:b/>
                <w:sz w:val="20"/>
                <w:szCs w:val="20"/>
                <w:lang w:eastAsia="sl-SI"/>
              </w:rPr>
              <w:t>9. Predstavitev sodelovanja javnosti:</w:t>
            </w:r>
          </w:p>
        </w:tc>
      </w:tr>
      <w:tr w:rsidR="00677C68" w:rsidRPr="00FC19D4" w14:paraId="20E49499" w14:textId="77777777" w:rsidTr="003D2A73">
        <w:tc>
          <w:tcPr>
            <w:tcW w:w="6669" w:type="dxa"/>
          </w:tcPr>
          <w:p w14:paraId="20A79A71" w14:textId="77777777" w:rsidR="00677C68" w:rsidRPr="00FC19D4" w:rsidRDefault="00677C68" w:rsidP="000E4629">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FC19D4">
              <w:rPr>
                <w:rFonts w:ascii="Arial" w:eastAsia="Times New Roman" w:hAnsi="Arial" w:cs="Arial"/>
                <w:iCs/>
                <w:sz w:val="20"/>
                <w:szCs w:val="20"/>
                <w:lang w:eastAsia="sl-SI"/>
              </w:rPr>
              <w:t>Gradivo je bilo predhodno objavljeno na spletni strani predlagatelja:</w:t>
            </w:r>
          </w:p>
        </w:tc>
        <w:tc>
          <w:tcPr>
            <w:tcW w:w="2545" w:type="dxa"/>
          </w:tcPr>
          <w:p w14:paraId="58DC9247" w14:textId="77777777" w:rsidR="00677C68" w:rsidRPr="00FC19D4" w:rsidRDefault="00677C68" w:rsidP="000E4629">
            <w:pPr>
              <w:widowControl w:val="0"/>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C19D4">
              <w:rPr>
                <w:rFonts w:ascii="Arial" w:eastAsia="Times New Roman" w:hAnsi="Arial" w:cs="Arial"/>
                <w:iCs/>
                <w:sz w:val="20"/>
                <w:szCs w:val="20"/>
                <w:lang w:eastAsia="sl-SI"/>
              </w:rPr>
              <w:t>NE</w:t>
            </w:r>
          </w:p>
        </w:tc>
      </w:tr>
      <w:tr w:rsidR="00677C68" w:rsidRPr="00FC19D4" w14:paraId="42D93427" w14:textId="77777777" w:rsidTr="003D2A73">
        <w:trPr>
          <w:trHeight w:val="274"/>
        </w:trPr>
        <w:tc>
          <w:tcPr>
            <w:tcW w:w="9214" w:type="dxa"/>
            <w:gridSpan w:val="2"/>
          </w:tcPr>
          <w:p w14:paraId="7C256D26" w14:textId="77777777" w:rsidR="00677C68" w:rsidRPr="00FC19D4" w:rsidRDefault="00677C68" w:rsidP="000E4629">
            <w:pPr>
              <w:widowControl w:val="0"/>
              <w:overflowPunct w:val="0"/>
              <w:autoSpaceDE w:val="0"/>
              <w:autoSpaceDN w:val="0"/>
              <w:adjustRightInd w:val="0"/>
              <w:spacing w:after="0"/>
              <w:jc w:val="both"/>
              <w:textAlignment w:val="baseline"/>
              <w:rPr>
                <w:rFonts w:ascii="Arial" w:eastAsia="Times New Roman" w:hAnsi="Arial" w:cs="Arial"/>
                <w:iCs/>
                <w:color w:val="FF0000"/>
                <w:sz w:val="20"/>
                <w:szCs w:val="20"/>
                <w:lang w:eastAsia="sl-SI"/>
              </w:rPr>
            </w:pPr>
            <w:r w:rsidRPr="00FC19D4">
              <w:rPr>
                <w:rFonts w:ascii="Arial" w:eastAsia="Times New Roman" w:hAnsi="Arial" w:cs="Arial"/>
                <w:iCs/>
                <w:sz w:val="20"/>
                <w:szCs w:val="20"/>
                <w:lang w:eastAsia="sl-SI"/>
              </w:rPr>
              <w:t>Javna obravnava je potekala   /</w:t>
            </w:r>
          </w:p>
        </w:tc>
      </w:tr>
      <w:tr w:rsidR="00677C68" w:rsidRPr="00FC19D4" w14:paraId="404C8894" w14:textId="77777777" w:rsidTr="003D2A73">
        <w:tc>
          <w:tcPr>
            <w:tcW w:w="6669" w:type="dxa"/>
            <w:vAlign w:val="center"/>
          </w:tcPr>
          <w:p w14:paraId="21B2A4FF" w14:textId="77777777" w:rsidR="00677C68" w:rsidRPr="00FC19D4" w:rsidRDefault="00677C68" w:rsidP="000E4629">
            <w:pPr>
              <w:widowControl w:val="0"/>
              <w:overflowPunct w:val="0"/>
              <w:autoSpaceDE w:val="0"/>
              <w:autoSpaceDN w:val="0"/>
              <w:adjustRightInd w:val="0"/>
              <w:spacing w:after="0"/>
              <w:textAlignment w:val="baseline"/>
              <w:rPr>
                <w:rFonts w:ascii="Arial" w:eastAsia="Times New Roman" w:hAnsi="Arial" w:cs="Arial"/>
                <w:sz w:val="20"/>
                <w:szCs w:val="20"/>
                <w:lang w:eastAsia="sl-SI"/>
              </w:rPr>
            </w:pPr>
            <w:r w:rsidRPr="00FC19D4">
              <w:rPr>
                <w:rFonts w:ascii="Arial" w:eastAsia="Times New Roman" w:hAnsi="Arial" w:cs="Arial"/>
                <w:b/>
                <w:sz w:val="20"/>
                <w:szCs w:val="20"/>
                <w:lang w:eastAsia="sl-SI"/>
              </w:rPr>
              <w:t>10. Pri pripravi gradiva so bile upoštevane zahteve iz Resolucije o normativni dejavnosti:</w:t>
            </w:r>
          </w:p>
        </w:tc>
        <w:tc>
          <w:tcPr>
            <w:tcW w:w="2545" w:type="dxa"/>
            <w:vAlign w:val="center"/>
          </w:tcPr>
          <w:p w14:paraId="5D708288" w14:textId="77777777" w:rsidR="00677C68" w:rsidRPr="00FC19D4" w:rsidRDefault="00677C68" w:rsidP="000E4629">
            <w:pPr>
              <w:widowControl w:val="0"/>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C19D4">
              <w:rPr>
                <w:rFonts w:ascii="Arial" w:eastAsia="Times New Roman" w:hAnsi="Arial" w:cs="Arial"/>
                <w:sz w:val="20"/>
                <w:szCs w:val="20"/>
                <w:lang w:eastAsia="sl-SI"/>
              </w:rPr>
              <w:t>DA</w:t>
            </w:r>
          </w:p>
        </w:tc>
      </w:tr>
      <w:tr w:rsidR="00677C68" w:rsidRPr="00FC19D4" w14:paraId="3D1A9225" w14:textId="77777777" w:rsidTr="003D2A73">
        <w:tc>
          <w:tcPr>
            <w:tcW w:w="6669" w:type="dxa"/>
            <w:vAlign w:val="center"/>
          </w:tcPr>
          <w:p w14:paraId="53206231" w14:textId="77777777" w:rsidR="00677C68" w:rsidRPr="00FC19D4" w:rsidRDefault="00677C68" w:rsidP="000E4629">
            <w:pPr>
              <w:widowControl w:val="0"/>
              <w:overflowPunct w:val="0"/>
              <w:autoSpaceDE w:val="0"/>
              <w:autoSpaceDN w:val="0"/>
              <w:adjustRightInd w:val="0"/>
              <w:spacing w:after="0"/>
              <w:textAlignment w:val="baseline"/>
              <w:rPr>
                <w:rFonts w:ascii="Arial" w:eastAsia="Times New Roman" w:hAnsi="Arial" w:cs="Arial"/>
                <w:b/>
                <w:sz w:val="20"/>
                <w:szCs w:val="20"/>
                <w:lang w:eastAsia="sl-SI"/>
              </w:rPr>
            </w:pPr>
            <w:r w:rsidRPr="00FC19D4">
              <w:rPr>
                <w:rFonts w:ascii="Arial" w:eastAsia="Times New Roman" w:hAnsi="Arial" w:cs="Arial"/>
                <w:b/>
                <w:sz w:val="20"/>
                <w:szCs w:val="20"/>
                <w:lang w:eastAsia="sl-SI"/>
              </w:rPr>
              <w:t>11. Gradivo je uvrščeno v delovni program vlade:</w:t>
            </w:r>
          </w:p>
        </w:tc>
        <w:tc>
          <w:tcPr>
            <w:tcW w:w="2545" w:type="dxa"/>
            <w:vAlign w:val="center"/>
          </w:tcPr>
          <w:p w14:paraId="1C63D622" w14:textId="77777777" w:rsidR="00677C68" w:rsidRPr="00FC19D4" w:rsidRDefault="00677C68" w:rsidP="000E4629">
            <w:pPr>
              <w:widowControl w:val="0"/>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FC19D4">
              <w:rPr>
                <w:rFonts w:ascii="Arial" w:eastAsia="Times New Roman" w:hAnsi="Arial" w:cs="Arial"/>
                <w:sz w:val="20"/>
                <w:szCs w:val="20"/>
                <w:lang w:eastAsia="sl-SI"/>
              </w:rPr>
              <w:t>NE</w:t>
            </w:r>
          </w:p>
        </w:tc>
      </w:tr>
      <w:tr w:rsidR="00677C68" w:rsidRPr="00FC19D4" w14:paraId="01999EFE" w14:textId="77777777" w:rsidTr="003D2A73">
        <w:tc>
          <w:tcPr>
            <w:tcW w:w="9214" w:type="dxa"/>
            <w:gridSpan w:val="2"/>
            <w:tcBorders>
              <w:top w:val="single" w:sz="4" w:space="0" w:color="000000"/>
              <w:left w:val="single" w:sz="4" w:space="0" w:color="000000"/>
              <w:bottom w:val="single" w:sz="4" w:space="0" w:color="000000"/>
              <w:right w:val="single" w:sz="4" w:space="0" w:color="000000"/>
            </w:tcBorders>
          </w:tcPr>
          <w:p w14:paraId="3F656D55" w14:textId="77777777" w:rsidR="00677C68" w:rsidRPr="00FC19D4" w:rsidRDefault="00677C68" w:rsidP="000E4629">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p>
          <w:p w14:paraId="31203231" w14:textId="77777777" w:rsidR="00310446" w:rsidRPr="00FC19D4" w:rsidRDefault="00310446" w:rsidP="000E4629">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p>
          <w:p w14:paraId="3B325340" w14:textId="77777777" w:rsidR="00677C68" w:rsidRPr="00FC19D4" w:rsidRDefault="00677C68" w:rsidP="000E4629">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FC19D4">
              <w:rPr>
                <w:rFonts w:ascii="Arial" w:eastAsia="Times New Roman" w:hAnsi="Arial" w:cs="Arial"/>
                <w:sz w:val="20"/>
                <w:szCs w:val="20"/>
                <w:lang w:eastAsia="sl-SI"/>
              </w:rPr>
              <w:t xml:space="preserve">                                                                                                   </w:t>
            </w:r>
            <w:r w:rsidR="00AA0064" w:rsidRPr="00FC19D4">
              <w:rPr>
                <w:rFonts w:ascii="Arial" w:eastAsia="Times New Roman" w:hAnsi="Arial" w:cs="Arial"/>
                <w:sz w:val="20"/>
                <w:szCs w:val="20"/>
                <w:lang w:eastAsia="sl-SI"/>
              </w:rPr>
              <w:t xml:space="preserve">     </w:t>
            </w:r>
            <w:r w:rsidRPr="00FC19D4">
              <w:rPr>
                <w:rFonts w:ascii="Arial" w:eastAsia="Times New Roman" w:hAnsi="Arial" w:cs="Arial"/>
                <w:sz w:val="20"/>
                <w:szCs w:val="20"/>
                <w:lang w:eastAsia="sl-SI"/>
              </w:rPr>
              <w:t xml:space="preserve"> mag. </w:t>
            </w:r>
            <w:r w:rsidR="00310446" w:rsidRPr="00FC19D4">
              <w:rPr>
                <w:rFonts w:ascii="Arial" w:eastAsia="Times New Roman" w:hAnsi="Arial" w:cs="Arial"/>
                <w:sz w:val="20"/>
                <w:szCs w:val="20"/>
                <w:lang w:eastAsia="sl-SI"/>
              </w:rPr>
              <w:t>Alenka Bratušek</w:t>
            </w:r>
          </w:p>
          <w:p w14:paraId="14B082BD" w14:textId="77777777" w:rsidR="00677C68" w:rsidRPr="00FC19D4" w:rsidRDefault="00677C68" w:rsidP="000E4629">
            <w:pPr>
              <w:spacing w:after="0"/>
              <w:rPr>
                <w:rFonts w:ascii="Arial" w:eastAsia="Times New Roman" w:hAnsi="Arial" w:cs="Arial"/>
                <w:b/>
                <w:sz w:val="20"/>
                <w:szCs w:val="24"/>
              </w:rPr>
            </w:pPr>
            <w:r w:rsidRPr="00FC19D4">
              <w:rPr>
                <w:rFonts w:ascii="Arial" w:eastAsia="Times New Roman" w:hAnsi="Arial" w:cs="Arial"/>
                <w:sz w:val="20"/>
                <w:szCs w:val="20"/>
                <w:lang w:eastAsia="sl-SI"/>
              </w:rPr>
              <w:t xml:space="preserve">  </w:t>
            </w:r>
            <w:r w:rsidR="0053578D" w:rsidRPr="00FC19D4">
              <w:rPr>
                <w:rFonts w:ascii="Arial" w:eastAsia="Times New Roman" w:hAnsi="Arial" w:cs="Arial"/>
                <w:sz w:val="20"/>
                <w:szCs w:val="20"/>
                <w:lang w:eastAsia="sl-SI"/>
              </w:rPr>
              <w:t xml:space="preserve">                                                                                                    </w:t>
            </w:r>
            <w:r w:rsidR="00310446" w:rsidRPr="00FC19D4">
              <w:rPr>
                <w:rFonts w:ascii="Arial" w:eastAsia="Times New Roman" w:hAnsi="Arial" w:cs="Arial"/>
                <w:sz w:val="20"/>
                <w:szCs w:val="20"/>
                <w:lang w:eastAsia="sl-SI"/>
              </w:rPr>
              <w:t xml:space="preserve">          MINISTRICA</w:t>
            </w:r>
          </w:p>
          <w:p w14:paraId="529440E2" w14:textId="77777777" w:rsidR="00677C68" w:rsidRPr="00FC19D4" w:rsidRDefault="00677C68" w:rsidP="000E4629">
            <w:pPr>
              <w:spacing w:after="0"/>
              <w:rPr>
                <w:rFonts w:ascii="Arial" w:eastAsia="Times New Roman" w:hAnsi="Arial" w:cs="Arial"/>
                <w:b/>
                <w:sz w:val="20"/>
                <w:szCs w:val="24"/>
              </w:rPr>
            </w:pPr>
          </w:p>
          <w:p w14:paraId="1C8A0F19" w14:textId="77777777" w:rsidR="00677C68" w:rsidRPr="00FC19D4" w:rsidRDefault="00677C68" w:rsidP="000E4629">
            <w:pPr>
              <w:spacing w:after="0"/>
              <w:rPr>
                <w:rFonts w:ascii="Arial" w:eastAsia="Times New Roman" w:hAnsi="Arial" w:cs="Arial"/>
                <w:b/>
                <w:sz w:val="20"/>
                <w:szCs w:val="24"/>
              </w:rPr>
            </w:pPr>
          </w:p>
          <w:p w14:paraId="7771E242" w14:textId="77777777" w:rsidR="00677C68" w:rsidRPr="00FC19D4" w:rsidRDefault="00677C68" w:rsidP="000E4629">
            <w:pPr>
              <w:spacing w:after="0"/>
              <w:rPr>
                <w:rFonts w:ascii="Arial" w:eastAsia="Times New Roman" w:hAnsi="Arial" w:cs="Arial"/>
                <w:b/>
                <w:sz w:val="20"/>
                <w:szCs w:val="24"/>
              </w:rPr>
            </w:pPr>
          </w:p>
          <w:p w14:paraId="6701F64F" w14:textId="77777777" w:rsidR="00677C68" w:rsidRPr="00FC19D4" w:rsidRDefault="00677C68" w:rsidP="000E4629">
            <w:pPr>
              <w:spacing w:after="0"/>
              <w:rPr>
                <w:rFonts w:ascii="Arial" w:eastAsia="Times New Roman" w:hAnsi="Arial" w:cs="Arial"/>
                <w:b/>
                <w:sz w:val="20"/>
                <w:szCs w:val="24"/>
              </w:rPr>
            </w:pPr>
          </w:p>
          <w:p w14:paraId="51532A1C" w14:textId="77777777" w:rsidR="00677C68" w:rsidRPr="00FC19D4" w:rsidRDefault="00677C68" w:rsidP="000E4629">
            <w:pPr>
              <w:spacing w:after="0"/>
              <w:rPr>
                <w:rFonts w:ascii="Arial" w:eastAsia="Times New Roman" w:hAnsi="Arial" w:cs="Arial"/>
                <w:b/>
                <w:sz w:val="20"/>
                <w:szCs w:val="24"/>
              </w:rPr>
            </w:pPr>
            <w:r w:rsidRPr="00FC19D4">
              <w:rPr>
                <w:rFonts w:ascii="Arial" w:eastAsia="Times New Roman" w:hAnsi="Arial" w:cs="Arial"/>
                <w:b/>
                <w:sz w:val="20"/>
                <w:szCs w:val="24"/>
              </w:rPr>
              <w:t xml:space="preserve">PRILOGE: </w:t>
            </w:r>
          </w:p>
          <w:p w14:paraId="61FC2688" w14:textId="30EE3E1D" w:rsidR="005B7B61" w:rsidRPr="00FC19D4" w:rsidRDefault="00B14284" w:rsidP="000E4629">
            <w:pPr>
              <w:numPr>
                <w:ilvl w:val="0"/>
                <w:numId w:val="1"/>
              </w:numPr>
              <w:suppressAutoHyphens/>
              <w:overflowPunct w:val="0"/>
              <w:autoSpaceDE w:val="0"/>
              <w:autoSpaceDN w:val="0"/>
              <w:adjustRightInd w:val="0"/>
              <w:spacing w:before="60" w:after="60"/>
              <w:jc w:val="both"/>
              <w:textAlignment w:val="baseline"/>
              <w:rPr>
                <w:rFonts w:ascii="Arial" w:eastAsia="Times New Roman" w:hAnsi="Arial" w:cs="Arial"/>
                <w:sz w:val="20"/>
                <w:szCs w:val="20"/>
                <w:lang w:eastAsia="ar-SA"/>
              </w:rPr>
            </w:pPr>
            <w:r>
              <w:rPr>
                <w:rFonts w:ascii="Arial" w:hAnsi="Arial" w:cs="Arial"/>
                <w:bCs/>
                <w:color w:val="000000"/>
                <w:sz w:val="20"/>
                <w:szCs w:val="20"/>
                <w:lang w:eastAsia="sl-SI"/>
              </w:rPr>
              <w:t>Poročilo</w:t>
            </w:r>
            <w:r w:rsidRPr="00FC19D4">
              <w:rPr>
                <w:rFonts w:ascii="Arial" w:hAnsi="Arial" w:cs="Arial"/>
                <w:bCs/>
                <w:color w:val="000000"/>
                <w:sz w:val="20"/>
                <w:szCs w:val="20"/>
                <w:lang w:eastAsia="sl-SI"/>
              </w:rPr>
              <w:t xml:space="preserve"> </w:t>
            </w:r>
            <w:r w:rsidR="003E5E93" w:rsidRPr="00FC19D4">
              <w:rPr>
                <w:rFonts w:ascii="Arial" w:hAnsi="Arial" w:cs="Arial"/>
                <w:bCs/>
                <w:color w:val="000000"/>
                <w:sz w:val="20"/>
                <w:szCs w:val="20"/>
                <w:lang w:eastAsia="sl-SI"/>
              </w:rPr>
              <w:t>o procesu priprave in sprejemanja celovitega nacionalnega energetskega in podnebnega načrta</w:t>
            </w:r>
          </w:p>
          <w:p w14:paraId="11F510FE" w14:textId="3551588D" w:rsidR="00D36CA8" w:rsidRPr="00FC19D4" w:rsidRDefault="00D36CA8" w:rsidP="000E4629">
            <w:pPr>
              <w:suppressAutoHyphens/>
              <w:overflowPunct w:val="0"/>
              <w:autoSpaceDE w:val="0"/>
              <w:autoSpaceDN w:val="0"/>
              <w:adjustRightInd w:val="0"/>
              <w:spacing w:before="60" w:after="60"/>
              <w:jc w:val="both"/>
              <w:textAlignment w:val="baseline"/>
              <w:rPr>
                <w:rFonts w:ascii="Arial" w:eastAsia="Times New Roman" w:hAnsi="Arial" w:cs="Arial"/>
                <w:sz w:val="20"/>
                <w:szCs w:val="20"/>
                <w:lang w:eastAsia="ar-SA"/>
              </w:rPr>
            </w:pPr>
          </w:p>
        </w:tc>
      </w:tr>
    </w:tbl>
    <w:p w14:paraId="7D752B05" w14:textId="77777777" w:rsidR="00677C68" w:rsidRPr="00FC19D4" w:rsidRDefault="00677C68" w:rsidP="000E4629">
      <w:pPr>
        <w:suppressAutoHyphens/>
        <w:spacing w:after="0"/>
        <w:rPr>
          <w:rFonts w:ascii="Arial" w:eastAsia="Times New Roman" w:hAnsi="Arial" w:cs="Arial"/>
          <w:color w:val="000000"/>
          <w:sz w:val="20"/>
          <w:szCs w:val="20"/>
          <w:lang w:eastAsia="ar-SA"/>
        </w:rPr>
      </w:pPr>
    </w:p>
    <w:p w14:paraId="13005A3A" w14:textId="77777777" w:rsidR="00677C68" w:rsidRPr="00FC19D4" w:rsidRDefault="00677C68" w:rsidP="000E4629">
      <w:pPr>
        <w:suppressAutoHyphens/>
        <w:spacing w:after="0"/>
        <w:rPr>
          <w:rFonts w:ascii="Arial" w:eastAsia="Times New Roman" w:hAnsi="Arial" w:cs="Arial"/>
          <w:color w:val="000000"/>
          <w:sz w:val="20"/>
          <w:szCs w:val="20"/>
          <w:lang w:eastAsia="ar-SA"/>
        </w:rPr>
      </w:pPr>
    </w:p>
    <w:p w14:paraId="0F922862" w14:textId="77777777" w:rsidR="00677C68" w:rsidRPr="00FC19D4" w:rsidRDefault="00677C68" w:rsidP="000E4629">
      <w:pPr>
        <w:suppressAutoHyphens/>
        <w:spacing w:after="0"/>
        <w:rPr>
          <w:rFonts w:ascii="Arial" w:eastAsia="Times New Roman" w:hAnsi="Arial" w:cs="Arial"/>
          <w:color w:val="000000"/>
          <w:sz w:val="20"/>
          <w:szCs w:val="20"/>
          <w:lang w:eastAsia="ar-SA"/>
        </w:rPr>
      </w:pPr>
    </w:p>
    <w:p w14:paraId="7523EBC0" w14:textId="77777777" w:rsidR="00677C68" w:rsidRPr="00FC19D4" w:rsidRDefault="00677C68" w:rsidP="000E4629">
      <w:pPr>
        <w:suppressAutoHyphens/>
        <w:spacing w:after="0"/>
        <w:rPr>
          <w:rFonts w:ascii="Arial" w:eastAsia="Times New Roman" w:hAnsi="Arial" w:cs="Arial"/>
          <w:color w:val="000000"/>
          <w:sz w:val="20"/>
          <w:szCs w:val="20"/>
          <w:lang w:eastAsia="ar-SA"/>
        </w:rPr>
      </w:pPr>
    </w:p>
    <w:p w14:paraId="7E180EC5" w14:textId="77777777" w:rsidR="00677C68" w:rsidRPr="00FC19D4" w:rsidRDefault="00677C68" w:rsidP="000E4629">
      <w:pPr>
        <w:suppressAutoHyphens/>
        <w:spacing w:after="0"/>
        <w:rPr>
          <w:rFonts w:ascii="Arial" w:eastAsia="Times New Roman" w:hAnsi="Arial" w:cs="Arial"/>
          <w:color w:val="000000"/>
          <w:sz w:val="20"/>
          <w:szCs w:val="20"/>
          <w:lang w:eastAsia="ar-SA"/>
        </w:rPr>
      </w:pPr>
    </w:p>
    <w:p w14:paraId="7BFB9CAA" w14:textId="77777777" w:rsidR="00677C68" w:rsidRPr="00FC19D4" w:rsidRDefault="00677C68" w:rsidP="000E4629">
      <w:pPr>
        <w:suppressAutoHyphens/>
        <w:spacing w:after="0"/>
        <w:rPr>
          <w:rFonts w:ascii="Arial" w:eastAsia="Times New Roman" w:hAnsi="Arial" w:cs="Arial"/>
          <w:color w:val="000000"/>
          <w:sz w:val="20"/>
          <w:szCs w:val="20"/>
          <w:lang w:eastAsia="ar-SA"/>
        </w:rPr>
      </w:pPr>
    </w:p>
    <w:p w14:paraId="7EB624C2" w14:textId="77777777" w:rsidR="00677C68" w:rsidRPr="00FC19D4" w:rsidRDefault="00677C68" w:rsidP="000E4629">
      <w:pPr>
        <w:suppressAutoHyphens/>
        <w:spacing w:after="0"/>
        <w:rPr>
          <w:rFonts w:ascii="Arial" w:eastAsia="Times New Roman" w:hAnsi="Arial" w:cs="Arial"/>
          <w:color w:val="000000"/>
          <w:sz w:val="20"/>
          <w:szCs w:val="20"/>
          <w:lang w:eastAsia="ar-SA"/>
        </w:rPr>
      </w:pPr>
    </w:p>
    <w:p w14:paraId="2CAD222F" w14:textId="77777777" w:rsidR="00677C68" w:rsidRPr="00FC19D4" w:rsidRDefault="00677C68" w:rsidP="000E4629">
      <w:pPr>
        <w:suppressAutoHyphens/>
        <w:spacing w:after="0"/>
        <w:rPr>
          <w:rFonts w:ascii="Arial" w:eastAsia="Times New Roman" w:hAnsi="Arial" w:cs="Arial"/>
          <w:color w:val="000000"/>
          <w:sz w:val="20"/>
          <w:szCs w:val="20"/>
          <w:lang w:eastAsia="ar-SA"/>
        </w:rPr>
      </w:pPr>
    </w:p>
    <w:p w14:paraId="09053AB9" w14:textId="77777777" w:rsidR="00677C68" w:rsidRPr="00FC19D4" w:rsidRDefault="00677C68" w:rsidP="000E4629">
      <w:pPr>
        <w:suppressAutoHyphens/>
        <w:spacing w:after="0"/>
        <w:rPr>
          <w:rFonts w:ascii="Arial" w:eastAsia="Times New Roman" w:hAnsi="Arial" w:cs="Arial"/>
          <w:color w:val="000000"/>
          <w:sz w:val="20"/>
          <w:szCs w:val="20"/>
          <w:lang w:eastAsia="ar-SA"/>
        </w:rPr>
      </w:pPr>
    </w:p>
    <w:p w14:paraId="28AA6FEC" w14:textId="77777777" w:rsidR="00677C68" w:rsidRPr="00FC19D4" w:rsidRDefault="00677C68" w:rsidP="000E4629">
      <w:pPr>
        <w:suppressAutoHyphens/>
        <w:spacing w:after="0"/>
        <w:rPr>
          <w:rFonts w:ascii="Arial" w:eastAsia="Times New Roman" w:hAnsi="Arial" w:cs="Arial"/>
          <w:color w:val="000000"/>
          <w:sz w:val="20"/>
          <w:szCs w:val="20"/>
          <w:lang w:eastAsia="ar-SA"/>
        </w:rPr>
      </w:pPr>
    </w:p>
    <w:p w14:paraId="2D948ABA" w14:textId="77777777" w:rsidR="00677C68" w:rsidRPr="00FC19D4" w:rsidRDefault="00677C68" w:rsidP="000E4629">
      <w:pPr>
        <w:suppressAutoHyphens/>
        <w:spacing w:after="0"/>
        <w:rPr>
          <w:rFonts w:ascii="Arial" w:eastAsia="Times New Roman" w:hAnsi="Arial" w:cs="Arial"/>
          <w:color w:val="000000"/>
          <w:sz w:val="20"/>
          <w:szCs w:val="20"/>
          <w:lang w:eastAsia="ar-SA"/>
        </w:rPr>
      </w:pPr>
    </w:p>
    <w:p w14:paraId="369ABAD1" w14:textId="77777777" w:rsidR="00677C68" w:rsidRPr="00FC19D4" w:rsidRDefault="00677C68" w:rsidP="000E4629">
      <w:pPr>
        <w:suppressAutoHyphens/>
        <w:spacing w:after="0"/>
        <w:rPr>
          <w:rFonts w:ascii="Arial" w:eastAsia="Times New Roman" w:hAnsi="Arial" w:cs="Arial"/>
          <w:color w:val="000000"/>
          <w:sz w:val="20"/>
          <w:szCs w:val="20"/>
          <w:lang w:eastAsia="ar-SA"/>
        </w:rPr>
      </w:pPr>
    </w:p>
    <w:p w14:paraId="68FDB512" w14:textId="77777777" w:rsidR="00AA0064" w:rsidRPr="00FC19D4" w:rsidRDefault="00AA0064" w:rsidP="000E4629">
      <w:pPr>
        <w:overflowPunct w:val="0"/>
        <w:autoSpaceDE w:val="0"/>
        <w:autoSpaceDN w:val="0"/>
        <w:adjustRightInd w:val="0"/>
        <w:spacing w:after="0"/>
        <w:textAlignment w:val="baseline"/>
        <w:rPr>
          <w:rFonts w:ascii="Arial" w:eastAsia="Times New Roman" w:hAnsi="Arial" w:cs="Arial"/>
          <w:b/>
          <w:iCs/>
          <w:sz w:val="20"/>
          <w:szCs w:val="24"/>
          <w:lang w:eastAsia="x-none"/>
        </w:rPr>
      </w:pPr>
    </w:p>
    <w:p w14:paraId="681868E0" w14:textId="167AFCC6" w:rsidR="00AA0064" w:rsidRPr="00FC19D4" w:rsidRDefault="00AA0064" w:rsidP="000E4629">
      <w:pPr>
        <w:overflowPunct w:val="0"/>
        <w:autoSpaceDE w:val="0"/>
        <w:autoSpaceDN w:val="0"/>
        <w:adjustRightInd w:val="0"/>
        <w:spacing w:after="0"/>
        <w:textAlignment w:val="baseline"/>
        <w:rPr>
          <w:rFonts w:ascii="Arial" w:eastAsia="Times New Roman" w:hAnsi="Arial" w:cs="Arial"/>
          <w:b/>
          <w:iCs/>
          <w:sz w:val="20"/>
          <w:szCs w:val="24"/>
          <w:lang w:eastAsia="x-none"/>
        </w:rPr>
      </w:pPr>
    </w:p>
    <w:p w14:paraId="073FEF01" w14:textId="2A1C1FFA" w:rsidR="00767F4A" w:rsidRPr="00FC19D4" w:rsidRDefault="00767F4A" w:rsidP="000E4629">
      <w:pPr>
        <w:overflowPunct w:val="0"/>
        <w:autoSpaceDE w:val="0"/>
        <w:autoSpaceDN w:val="0"/>
        <w:adjustRightInd w:val="0"/>
        <w:spacing w:after="0"/>
        <w:textAlignment w:val="baseline"/>
        <w:rPr>
          <w:rFonts w:ascii="Arial" w:eastAsia="Times New Roman" w:hAnsi="Arial" w:cs="Arial"/>
          <w:b/>
          <w:iCs/>
          <w:sz w:val="20"/>
          <w:szCs w:val="24"/>
          <w:lang w:eastAsia="x-none"/>
        </w:rPr>
      </w:pPr>
    </w:p>
    <w:p w14:paraId="14037D1C" w14:textId="452BD8DE" w:rsidR="00767F4A" w:rsidRPr="00FC19D4" w:rsidRDefault="00767F4A" w:rsidP="000E4629">
      <w:pPr>
        <w:overflowPunct w:val="0"/>
        <w:autoSpaceDE w:val="0"/>
        <w:autoSpaceDN w:val="0"/>
        <w:adjustRightInd w:val="0"/>
        <w:spacing w:after="0"/>
        <w:textAlignment w:val="baseline"/>
        <w:rPr>
          <w:rFonts w:ascii="Arial" w:eastAsia="Times New Roman" w:hAnsi="Arial" w:cs="Arial"/>
          <w:b/>
          <w:iCs/>
          <w:sz w:val="20"/>
          <w:szCs w:val="24"/>
          <w:lang w:eastAsia="x-none"/>
        </w:rPr>
      </w:pPr>
    </w:p>
    <w:p w14:paraId="3E2BA0AE" w14:textId="402A6F9E" w:rsidR="00767F4A" w:rsidRPr="00FC19D4" w:rsidRDefault="00767F4A" w:rsidP="000E4629">
      <w:pPr>
        <w:overflowPunct w:val="0"/>
        <w:autoSpaceDE w:val="0"/>
        <w:autoSpaceDN w:val="0"/>
        <w:adjustRightInd w:val="0"/>
        <w:spacing w:after="0"/>
        <w:textAlignment w:val="baseline"/>
        <w:rPr>
          <w:rFonts w:ascii="Arial" w:eastAsia="Times New Roman" w:hAnsi="Arial" w:cs="Arial"/>
          <w:b/>
          <w:iCs/>
          <w:sz w:val="20"/>
          <w:szCs w:val="24"/>
          <w:lang w:eastAsia="x-none"/>
        </w:rPr>
      </w:pPr>
    </w:p>
    <w:p w14:paraId="3708DFEF" w14:textId="0AC7F635" w:rsidR="00767F4A" w:rsidRPr="00FC19D4" w:rsidRDefault="00767F4A" w:rsidP="000E4629">
      <w:pPr>
        <w:overflowPunct w:val="0"/>
        <w:autoSpaceDE w:val="0"/>
        <w:autoSpaceDN w:val="0"/>
        <w:adjustRightInd w:val="0"/>
        <w:spacing w:after="0"/>
        <w:textAlignment w:val="baseline"/>
        <w:rPr>
          <w:rFonts w:ascii="Arial" w:eastAsia="Times New Roman" w:hAnsi="Arial" w:cs="Arial"/>
          <w:b/>
          <w:iCs/>
          <w:sz w:val="20"/>
          <w:szCs w:val="24"/>
          <w:lang w:eastAsia="x-none"/>
        </w:rPr>
      </w:pPr>
    </w:p>
    <w:p w14:paraId="343CF58B" w14:textId="452A3D91" w:rsidR="00767F4A" w:rsidRPr="00FC19D4" w:rsidRDefault="00767F4A" w:rsidP="000E4629">
      <w:pPr>
        <w:overflowPunct w:val="0"/>
        <w:autoSpaceDE w:val="0"/>
        <w:autoSpaceDN w:val="0"/>
        <w:adjustRightInd w:val="0"/>
        <w:spacing w:after="0"/>
        <w:textAlignment w:val="baseline"/>
        <w:rPr>
          <w:rFonts w:ascii="Arial" w:eastAsia="Times New Roman" w:hAnsi="Arial" w:cs="Arial"/>
          <w:b/>
          <w:iCs/>
          <w:sz w:val="20"/>
          <w:szCs w:val="24"/>
          <w:lang w:eastAsia="x-none"/>
        </w:rPr>
      </w:pPr>
    </w:p>
    <w:p w14:paraId="0088B56D" w14:textId="2C8244C8" w:rsidR="00767F4A" w:rsidRPr="00FC19D4" w:rsidRDefault="00767F4A" w:rsidP="000E4629">
      <w:pPr>
        <w:overflowPunct w:val="0"/>
        <w:autoSpaceDE w:val="0"/>
        <w:autoSpaceDN w:val="0"/>
        <w:adjustRightInd w:val="0"/>
        <w:spacing w:after="0"/>
        <w:textAlignment w:val="baseline"/>
        <w:rPr>
          <w:rFonts w:ascii="Arial" w:eastAsia="Times New Roman" w:hAnsi="Arial" w:cs="Arial"/>
          <w:b/>
          <w:iCs/>
          <w:sz w:val="20"/>
          <w:szCs w:val="24"/>
          <w:lang w:eastAsia="x-none"/>
        </w:rPr>
      </w:pPr>
    </w:p>
    <w:p w14:paraId="1C9583C3" w14:textId="4C77A4AE" w:rsidR="00767F4A" w:rsidRPr="00FC19D4" w:rsidRDefault="00767F4A" w:rsidP="000E4629">
      <w:pPr>
        <w:overflowPunct w:val="0"/>
        <w:autoSpaceDE w:val="0"/>
        <w:autoSpaceDN w:val="0"/>
        <w:adjustRightInd w:val="0"/>
        <w:spacing w:after="0"/>
        <w:textAlignment w:val="baseline"/>
        <w:rPr>
          <w:rFonts w:ascii="Arial" w:eastAsia="Times New Roman" w:hAnsi="Arial" w:cs="Arial"/>
          <w:b/>
          <w:iCs/>
          <w:sz w:val="20"/>
          <w:szCs w:val="24"/>
          <w:lang w:eastAsia="x-none"/>
        </w:rPr>
      </w:pPr>
    </w:p>
    <w:p w14:paraId="24F58061" w14:textId="7632DFBE" w:rsidR="00767F4A" w:rsidRPr="00FC19D4" w:rsidRDefault="00767F4A" w:rsidP="000E4629">
      <w:pPr>
        <w:overflowPunct w:val="0"/>
        <w:autoSpaceDE w:val="0"/>
        <w:autoSpaceDN w:val="0"/>
        <w:adjustRightInd w:val="0"/>
        <w:spacing w:after="0"/>
        <w:textAlignment w:val="baseline"/>
        <w:rPr>
          <w:rFonts w:ascii="Arial" w:eastAsia="Times New Roman" w:hAnsi="Arial" w:cs="Arial"/>
          <w:b/>
          <w:iCs/>
          <w:sz w:val="20"/>
          <w:szCs w:val="24"/>
          <w:lang w:eastAsia="x-none"/>
        </w:rPr>
      </w:pPr>
    </w:p>
    <w:p w14:paraId="18BE6F1E" w14:textId="45A385AC" w:rsidR="00767F4A" w:rsidRPr="00FC19D4" w:rsidRDefault="00767F4A" w:rsidP="000E4629">
      <w:pPr>
        <w:overflowPunct w:val="0"/>
        <w:autoSpaceDE w:val="0"/>
        <w:autoSpaceDN w:val="0"/>
        <w:adjustRightInd w:val="0"/>
        <w:spacing w:after="0"/>
        <w:textAlignment w:val="baseline"/>
        <w:rPr>
          <w:rFonts w:ascii="Arial" w:eastAsia="Times New Roman" w:hAnsi="Arial" w:cs="Arial"/>
          <w:b/>
          <w:iCs/>
          <w:sz w:val="20"/>
          <w:szCs w:val="24"/>
          <w:lang w:eastAsia="x-none"/>
        </w:rPr>
      </w:pPr>
    </w:p>
    <w:p w14:paraId="2D4BDE71" w14:textId="6EF02A66" w:rsidR="00767F4A" w:rsidRPr="00FC19D4" w:rsidRDefault="00767F4A" w:rsidP="000E4629">
      <w:pPr>
        <w:overflowPunct w:val="0"/>
        <w:autoSpaceDE w:val="0"/>
        <w:autoSpaceDN w:val="0"/>
        <w:adjustRightInd w:val="0"/>
        <w:spacing w:after="0"/>
        <w:textAlignment w:val="baseline"/>
        <w:rPr>
          <w:rFonts w:ascii="Arial" w:eastAsia="Times New Roman" w:hAnsi="Arial" w:cs="Arial"/>
          <w:b/>
          <w:iCs/>
          <w:sz w:val="20"/>
          <w:szCs w:val="24"/>
          <w:lang w:eastAsia="x-none"/>
        </w:rPr>
      </w:pPr>
    </w:p>
    <w:p w14:paraId="0C0C4984" w14:textId="0E4D700B" w:rsidR="0044727A" w:rsidRPr="00FC19D4" w:rsidRDefault="00B14284" w:rsidP="000E4629">
      <w:pPr>
        <w:jc w:val="both"/>
        <w:rPr>
          <w:rFonts w:ascii="Arial" w:hAnsi="Arial" w:cs="Arial"/>
          <w:b/>
          <w:sz w:val="20"/>
          <w:szCs w:val="20"/>
        </w:rPr>
      </w:pPr>
      <w:r>
        <w:rPr>
          <w:rFonts w:ascii="Arial" w:hAnsi="Arial" w:cs="Arial"/>
          <w:b/>
          <w:sz w:val="20"/>
          <w:szCs w:val="20"/>
        </w:rPr>
        <w:t>POROČILO</w:t>
      </w:r>
      <w:r w:rsidRPr="00FC19D4">
        <w:rPr>
          <w:rFonts w:ascii="Arial" w:hAnsi="Arial" w:cs="Arial"/>
          <w:b/>
          <w:sz w:val="20"/>
          <w:szCs w:val="20"/>
        </w:rPr>
        <w:t xml:space="preserve"> </w:t>
      </w:r>
      <w:r w:rsidR="0044727A" w:rsidRPr="00FC19D4">
        <w:rPr>
          <w:rFonts w:ascii="Arial" w:hAnsi="Arial" w:cs="Arial"/>
          <w:b/>
          <w:sz w:val="20"/>
          <w:szCs w:val="20"/>
        </w:rPr>
        <w:t>O PROCESU PRIPRAVE IN SPREJEMANJA CELOVITEGA NACIONALNEGA ENERGETSKEGA IN PODNEBNEGA NAČRTA</w:t>
      </w:r>
    </w:p>
    <w:p w14:paraId="481ABD99" w14:textId="53C3BE1C" w:rsidR="0044727A" w:rsidRPr="00FC19D4" w:rsidRDefault="00B14284" w:rsidP="000E4629">
      <w:pPr>
        <w:jc w:val="both"/>
        <w:rPr>
          <w:rFonts w:ascii="Arial" w:hAnsi="Arial" w:cs="Arial"/>
          <w:sz w:val="20"/>
          <w:szCs w:val="20"/>
        </w:rPr>
      </w:pPr>
      <w:r>
        <w:rPr>
          <w:rFonts w:ascii="Arial" w:hAnsi="Arial" w:cs="Arial"/>
          <w:sz w:val="20"/>
          <w:szCs w:val="20"/>
        </w:rPr>
        <w:t>Poročilo</w:t>
      </w:r>
      <w:r w:rsidRPr="00FC19D4">
        <w:rPr>
          <w:rFonts w:ascii="Arial" w:hAnsi="Arial" w:cs="Arial"/>
          <w:sz w:val="20"/>
          <w:szCs w:val="20"/>
        </w:rPr>
        <w:t xml:space="preserve"> </w:t>
      </w:r>
      <w:r w:rsidR="0044727A" w:rsidRPr="00FC19D4">
        <w:rPr>
          <w:rFonts w:ascii="Arial" w:hAnsi="Arial" w:cs="Arial"/>
          <w:sz w:val="20"/>
          <w:szCs w:val="20"/>
        </w:rPr>
        <w:t xml:space="preserve">je </w:t>
      </w:r>
      <w:r w:rsidR="00067D4A" w:rsidRPr="00FC19D4">
        <w:rPr>
          <w:rFonts w:ascii="Arial" w:hAnsi="Arial" w:cs="Arial"/>
          <w:sz w:val="20"/>
          <w:szCs w:val="20"/>
        </w:rPr>
        <w:t>pripravljen</w:t>
      </w:r>
      <w:r>
        <w:rPr>
          <w:rFonts w:ascii="Arial" w:hAnsi="Arial" w:cs="Arial"/>
          <w:sz w:val="20"/>
          <w:szCs w:val="20"/>
        </w:rPr>
        <w:t>o</w:t>
      </w:r>
      <w:r w:rsidR="00067D4A" w:rsidRPr="00FC19D4">
        <w:rPr>
          <w:rFonts w:ascii="Arial" w:hAnsi="Arial" w:cs="Arial"/>
          <w:sz w:val="20"/>
          <w:szCs w:val="20"/>
        </w:rPr>
        <w:t xml:space="preserve"> </w:t>
      </w:r>
      <w:r w:rsidR="0044727A" w:rsidRPr="00FC19D4">
        <w:rPr>
          <w:rFonts w:ascii="Arial" w:hAnsi="Arial" w:cs="Arial"/>
          <w:sz w:val="20"/>
          <w:szCs w:val="20"/>
        </w:rPr>
        <w:t xml:space="preserve">skladno s sklepom št. 2 Odbora za infrastrukturo, okolje in prostor, ki je na 7. </w:t>
      </w:r>
      <w:r w:rsidR="00290669">
        <w:rPr>
          <w:rFonts w:ascii="Arial" w:hAnsi="Arial" w:cs="Arial"/>
          <w:sz w:val="20"/>
          <w:szCs w:val="20"/>
        </w:rPr>
        <w:t>n</w:t>
      </w:r>
      <w:r w:rsidR="00290669" w:rsidRPr="00FC19D4">
        <w:rPr>
          <w:rFonts w:ascii="Arial" w:hAnsi="Arial" w:cs="Arial"/>
          <w:sz w:val="20"/>
          <w:szCs w:val="20"/>
        </w:rPr>
        <w:t xml:space="preserve">ujni </w:t>
      </w:r>
      <w:r w:rsidR="0044727A" w:rsidRPr="00FC19D4">
        <w:rPr>
          <w:rFonts w:ascii="Arial" w:hAnsi="Arial" w:cs="Arial"/>
          <w:sz w:val="20"/>
          <w:szCs w:val="20"/>
        </w:rPr>
        <w:t>seji 9. 4. 2019 obravnaval zahtevo Poslanske skupine Levice za sklic nujne seje odbora z naslovom »Poziv mladih za podnebno pravičnost«, št. dokumenta: 801-08/19-1/7 z dne 10. 4. 2019</w:t>
      </w:r>
      <w:r w:rsidR="00067D4A" w:rsidRPr="00FC19D4">
        <w:rPr>
          <w:rFonts w:ascii="Arial" w:hAnsi="Arial" w:cs="Arial"/>
          <w:sz w:val="20"/>
          <w:szCs w:val="20"/>
        </w:rPr>
        <w:t>.</w:t>
      </w:r>
    </w:p>
    <w:p w14:paraId="37860747" w14:textId="77777777" w:rsidR="00E43859" w:rsidRPr="00FC19D4" w:rsidRDefault="00E43859" w:rsidP="000E4629">
      <w:pPr>
        <w:pStyle w:val="ti-grseq-1"/>
        <w:spacing w:before="0" w:beforeAutospacing="0" w:after="0" w:afterAutospacing="0" w:line="276" w:lineRule="auto"/>
        <w:ind w:left="567" w:hanging="567"/>
        <w:jc w:val="both"/>
        <w:rPr>
          <w:rFonts w:ascii="Arial" w:hAnsi="Arial" w:cs="Arial"/>
          <w:b/>
        </w:rPr>
      </w:pPr>
    </w:p>
    <w:p w14:paraId="659AE5D5" w14:textId="05A7B5D1" w:rsidR="0044727A" w:rsidRPr="00FC19D4" w:rsidRDefault="0044727A" w:rsidP="000E4629">
      <w:pPr>
        <w:pStyle w:val="ti-grseq-1"/>
        <w:numPr>
          <w:ilvl w:val="0"/>
          <w:numId w:val="39"/>
        </w:numPr>
        <w:spacing w:before="0" w:beforeAutospacing="0" w:after="0" w:afterAutospacing="0" w:line="276" w:lineRule="auto"/>
        <w:jc w:val="both"/>
        <w:rPr>
          <w:rFonts w:ascii="Arial" w:eastAsia="Calibri" w:hAnsi="Arial" w:cs="Arial"/>
          <w:b/>
          <w:sz w:val="20"/>
          <w:szCs w:val="20"/>
          <w:lang w:eastAsia="en-US"/>
        </w:rPr>
      </w:pPr>
      <w:r w:rsidRPr="00FC19D4">
        <w:rPr>
          <w:rFonts w:ascii="Arial" w:eastAsia="Calibri" w:hAnsi="Arial" w:cs="Arial"/>
          <w:b/>
          <w:sz w:val="20"/>
          <w:szCs w:val="20"/>
          <w:lang w:eastAsia="en-US"/>
        </w:rPr>
        <w:t>PREGLED IN POSTOPEK ZA VZPOSTAVITEV NAČRTA</w:t>
      </w:r>
    </w:p>
    <w:p w14:paraId="4CE4A355" w14:textId="77777777" w:rsidR="00E43859" w:rsidRPr="00FC19D4" w:rsidRDefault="00E43859" w:rsidP="000E4629">
      <w:pPr>
        <w:pStyle w:val="ti-grseq-1"/>
        <w:spacing w:before="0" w:beforeAutospacing="0" w:after="0" w:afterAutospacing="0" w:line="276" w:lineRule="auto"/>
        <w:ind w:left="720"/>
        <w:jc w:val="both"/>
        <w:rPr>
          <w:rFonts w:ascii="Arial" w:eastAsia="Calibri" w:hAnsi="Arial" w:cs="Arial"/>
          <w:b/>
          <w:sz w:val="20"/>
          <w:szCs w:val="20"/>
          <w:lang w:eastAsia="en-US"/>
        </w:rPr>
      </w:pPr>
    </w:p>
    <w:p w14:paraId="02700788" w14:textId="07F790CC" w:rsidR="0044727A" w:rsidRPr="00FC19D4" w:rsidRDefault="0044727A" w:rsidP="000E4629">
      <w:pPr>
        <w:jc w:val="both"/>
        <w:rPr>
          <w:rFonts w:ascii="Arial" w:hAnsi="Arial" w:cs="Arial"/>
          <w:sz w:val="20"/>
          <w:szCs w:val="20"/>
        </w:rPr>
      </w:pPr>
      <w:r w:rsidRPr="00FC19D4">
        <w:rPr>
          <w:rFonts w:ascii="Arial" w:hAnsi="Arial" w:cs="Arial"/>
          <w:sz w:val="20"/>
          <w:szCs w:val="20"/>
        </w:rPr>
        <w:t>Uredba (EU) 2018/1999 z dne 11. decembra 2018 o upravljanju energetske unije in podnebnih ukrepov (uredba), ki</w:t>
      </w:r>
      <w:r w:rsidR="008C40C4" w:rsidRPr="00FC19D4">
        <w:rPr>
          <w:rFonts w:ascii="Arial" w:hAnsi="Arial" w:cs="Arial"/>
          <w:sz w:val="20"/>
          <w:szCs w:val="20"/>
        </w:rPr>
        <w:t xml:space="preserve"> je začela veljati 24. 12. 2018,</w:t>
      </w:r>
      <w:r w:rsidRPr="00FC19D4">
        <w:rPr>
          <w:rFonts w:ascii="Arial" w:hAnsi="Arial" w:cs="Arial"/>
          <w:sz w:val="20"/>
          <w:szCs w:val="20"/>
          <w:vertAlign w:val="superscript"/>
        </w:rPr>
        <w:footnoteReference w:id="2"/>
      </w:r>
      <w:r w:rsidRPr="00FC19D4">
        <w:rPr>
          <w:rFonts w:ascii="Arial" w:hAnsi="Arial" w:cs="Arial"/>
          <w:sz w:val="20"/>
          <w:szCs w:val="20"/>
        </w:rPr>
        <w:t xml:space="preserve"> določa, da morajo države članice pripraviti in Komisiji predložiti:</w:t>
      </w:r>
    </w:p>
    <w:p w14:paraId="1EDD9625" w14:textId="77777777" w:rsidR="0044727A" w:rsidRPr="00FC19D4" w:rsidRDefault="0044727A" w:rsidP="000E4629">
      <w:pPr>
        <w:pStyle w:val="Odstavekseznama"/>
        <w:numPr>
          <w:ilvl w:val="0"/>
          <w:numId w:val="35"/>
        </w:numPr>
        <w:spacing w:after="0"/>
        <w:jc w:val="both"/>
        <w:rPr>
          <w:rFonts w:ascii="Arial" w:hAnsi="Arial" w:cs="Arial"/>
          <w:sz w:val="20"/>
          <w:szCs w:val="20"/>
        </w:rPr>
      </w:pPr>
      <w:r w:rsidRPr="00FC19D4">
        <w:rPr>
          <w:rFonts w:ascii="Arial" w:hAnsi="Arial" w:cs="Arial"/>
          <w:sz w:val="20"/>
          <w:szCs w:val="20"/>
        </w:rPr>
        <w:t>do 31. 12. 2018: osnutek celovitega nacionalnega energetskega in podnebnega načrta (NEPN) za obdobje 2020 do 2030 (in s pogledom do 2040);</w:t>
      </w:r>
    </w:p>
    <w:p w14:paraId="35D5C397" w14:textId="77777777" w:rsidR="0044727A" w:rsidRPr="00FC19D4" w:rsidRDefault="0044727A" w:rsidP="000E4629">
      <w:pPr>
        <w:pStyle w:val="Odstavekseznama"/>
        <w:numPr>
          <w:ilvl w:val="0"/>
          <w:numId w:val="35"/>
        </w:numPr>
        <w:spacing w:after="0"/>
        <w:jc w:val="both"/>
        <w:rPr>
          <w:rFonts w:ascii="Arial" w:hAnsi="Arial" w:cs="Arial"/>
          <w:sz w:val="20"/>
          <w:szCs w:val="20"/>
        </w:rPr>
      </w:pPr>
      <w:r w:rsidRPr="00FC19D4">
        <w:rPr>
          <w:rFonts w:ascii="Arial" w:hAnsi="Arial" w:cs="Arial"/>
          <w:sz w:val="20"/>
          <w:szCs w:val="20"/>
        </w:rPr>
        <w:t xml:space="preserve">do 31. 12. 2019 in nato do 1. 1. 2029, potem pa vsakih deset let: sprejeti NEPN; </w:t>
      </w:r>
    </w:p>
    <w:p w14:paraId="64BD4089" w14:textId="77777777" w:rsidR="0044727A" w:rsidRPr="00FC19D4" w:rsidRDefault="0044727A" w:rsidP="000E4629">
      <w:pPr>
        <w:pStyle w:val="Odstavekseznama"/>
        <w:numPr>
          <w:ilvl w:val="0"/>
          <w:numId w:val="35"/>
        </w:numPr>
        <w:spacing w:after="0"/>
        <w:jc w:val="both"/>
        <w:rPr>
          <w:rFonts w:ascii="Arial" w:hAnsi="Arial" w:cs="Arial"/>
          <w:sz w:val="20"/>
          <w:szCs w:val="20"/>
        </w:rPr>
      </w:pPr>
      <w:r w:rsidRPr="00FC19D4">
        <w:rPr>
          <w:rFonts w:ascii="Arial" w:hAnsi="Arial" w:cs="Arial"/>
          <w:sz w:val="20"/>
          <w:szCs w:val="20"/>
        </w:rPr>
        <w:t xml:space="preserve">do 1. 1. 2020: Dolgoročno strategijo znižanja emisij do 2050; </w:t>
      </w:r>
    </w:p>
    <w:p w14:paraId="4B61A8F3" w14:textId="77777777" w:rsidR="0044727A" w:rsidRPr="00FC19D4" w:rsidRDefault="0044727A" w:rsidP="000E4629">
      <w:pPr>
        <w:pStyle w:val="Odstavekseznama"/>
        <w:numPr>
          <w:ilvl w:val="0"/>
          <w:numId w:val="35"/>
        </w:numPr>
        <w:spacing w:after="0"/>
        <w:jc w:val="both"/>
        <w:rPr>
          <w:rFonts w:ascii="Arial" w:hAnsi="Arial" w:cs="Arial"/>
          <w:sz w:val="20"/>
          <w:szCs w:val="20"/>
        </w:rPr>
      </w:pPr>
      <w:r w:rsidRPr="00FC19D4">
        <w:rPr>
          <w:rFonts w:ascii="Arial" w:hAnsi="Arial" w:cs="Arial"/>
          <w:sz w:val="20"/>
          <w:szCs w:val="20"/>
        </w:rPr>
        <w:t>do 30. 6. 2023 in nato do 1. 1. 2033, potem pa vsakih deset let: osnutek posodobljenega zadnjega priglašenega NEPN.</w:t>
      </w:r>
    </w:p>
    <w:p w14:paraId="7C9B62AB" w14:textId="77777777" w:rsidR="0044727A" w:rsidRPr="00FC19D4" w:rsidRDefault="0044727A" w:rsidP="000E4629">
      <w:pPr>
        <w:jc w:val="both"/>
        <w:rPr>
          <w:rFonts w:ascii="Arial" w:hAnsi="Arial" w:cs="Arial"/>
          <w:sz w:val="20"/>
          <w:szCs w:val="20"/>
        </w:rPr>
      </w:pPr>
    </w:p>
    <w:p w14:paraId="702525A4" w14:textId="77777777" w:rsidR="0044727A" w:rsidRPr="00FC19D4" w:rsidRDefault="0044727A" w:rsidP="000E4629">
      <w:pPr>
        <w:jc w:val="both"/>
        <w:rPr>
          <w:rFonts w:ascii="Arial" w:hAnsi="Arial" w:cs="Arial"/>
          <w:sz w:val="20"/>
          <w:szCs w:val="20"/>
        </w:rPr>
      </w:pPr>
      <w:r w:rsidRPr="00FC19D4">
        <w:rPr>
          <w:rFonts w:ascii="Arial" w:hAnsi="Arial" w:cs="Arial"/>
          <w:sz w:val="20"/>
          <w:szCs w:val="20"/>
        </w:rPr>
        <w:t xml:space="preserve">NEPN je strateški dokument, ki mora za obdobje do leta 2030 (s pogledom do 2040) določiti cilje, politike in ukrepe na petih razsežnostih energetske unije: </w:t>
      </w:r>
    </w:p>
    <w:p w14:paraId="5C21F797" w14:textId="77777777" w:rsidR="0044727A" w:rsidRPr="00FC19D4" w:rsidRDefault="0044727A" w:rsidP="000E4629">
      <w:pPr>
        <w:jc w:val="both"/>
        <w:rPr>
          <w:rFonts w:ascii="Arial" w:hAnsi="Arial" w:cs="Arial"/>
          <w:sz w:val="20"/>
          <w:szCs w:val="20"/>
        </w:rPr>
      </w:pPr>
      <w:r w:rsidRPr="00FC19D4">
        <w:rPr>
          <w:rFonts w:ascii="Arial" w:hAnsi="Arial" w:cs="Arial"/>
          <w:sz w:val="20"/>
          <w:szCs w:val="20"/>
        </w:rPr>
        <w:t xml:space="preserve">  1. razogljičenje (emisije toplogrednih plinov (TGP) in obnovljivi viri energije (OVE)),</w:t>
      </w:r>
    </w:p>
    <w:p w14:paraId="1E24552B" w14:textId="7549AA35" w:rsidR="0044727A" w:rsidRPr="00FC19D4" w:rsidRDefault="0044727A" w:rsidP="000E4629">
      <w:pPr>
        <w:jc w:val="both"/>
        <w:rPr>
          <w:rFonts w:ascii="Arial" w:hAnsi="Arial" w:cs="Arial"/>
          <w:sz w:val="20"/>
          <w:szCs w:val="20"/>
        </w:rPr>
      </w:pPr>
      <w:r w:rsidRPr="00FC19D4">
        <w:rPr>
          <w:rFonts w:ascii="Arial" w:hAnsi="Arial" w:cs="Arial"/>
          <w:sz w:val="20"/>
          <w:szCs w:val="20"/>
        </w:rPr>
        <w:t xml:space="preserve">  2. energetska učinkovitost</w:t>
      </w:r>
      <w:r w:rsidR="00FB482C" w:rsidRPr="00FC19D4">
        <w:rPr>
          <w:rFonts w:ascii="Arial" w:hAnsi="Arial" w:cs="Arial"/>
          <w:sz w:val="20"/>
          <w:szCs w:val="20"/>
        </w:rPr>
        <w:t xml:space="preserve"> (URE)</w:t>
      </w:r>
      <w:r w:rsidRPr="00FC19D4">
        <w:rPr>
          <w:rFonts w:ascii="Arial" w:hAnsi="Arial" w:cs="Arial"/>
          <w:sz w:val="20"/>
          <w:szCs w:val="20"/>
        </w:rPr>
        <w:t xml:space="preserve">, </w:t>
      </w:r>
    </w:p>
    <w:p w14:paraId="72E40904" w14:textId="77777777" w:rsidR="0044727A" w:rsidRPr="00FC19D4" w:rsidRDefault="0044727A" w:rsidP="000E4629">
      <w:pPr>
        <w:jc w:val="both"/>
        <w:rPr>
          <w:rFonts w:ascii="Arial" w:hAnsi="Arial" w:cs="Arial"/>
          <w:sz w:val="20"/>
          <w:szCs w:val="20"/>
        </w:rPr>
      </w:pPr>
      <w:r w:rsidRPr="00FC19D4">
        <w:rPr>
          <w:rFonts w:ascii="Arial" w:hAnsi="Arial" w:cs="Arial"/>
          <w:sz w:val="20"/>
          <w:szCs w:val="20"/>
        </w:rPr>
        <w:t xml:space="preserve">  3. energetska varnost, </w:t>
      </w:r>
    </w:p>
    <w:p w14:paraId="313AD9B6" w14:textId="77777777" w:rsidR="0044727A" w:rsidRPr="00FC19D4" w:rsidRDefault="0044727A" w:rsidP="000E4629">
      <w:pPr>
        <w:jc w:val="both"/>
        <w:rPr>
          <w:rFonts w:ascii="Arial" w:hAnsi="Arial" w:cs="Arial"/>
          <w:sz w:val="20"/>
          <w:szCs w:val="20"/>
        </w:rPr>
      </w:pPr>
      <w:r w:rsidRPr="00FC19D4">
        <w:rPr>
          <w:rFonts w:ascii="Arial" w:hAnsi="Arial" w:cs="Arial"/>
          <w:sz w:val="20"/>
          <w:szCs w:val="20"/>
        </w:rPr>
        <w:t xml:space="preserve">  4. notranji trg energije ter </w:t>
      </w:r>
    </w:p>
    <w:p w14:paraId="39BEED50" w14:textId="77777777" w:rsidR="0044727A" w:rsidRPr="00FC19D4" w:rsidRDefault="0044727A" w:rsidP="000E4629">
      <w:pPr>
        <w:jc w:val="both"/>
        <w:rPr>
          <w:rFonts w:ascii="Arial" w:hAnsi="Arial" w:cs="Arial"/>
          <w:sz w:val="20"/>
          <w:szCs w:val="20"/>
        </w:rPr>
      </w:pPr>
      <w:r w:rsidRPr="00FC19D4">
        <w:rPr>
          <w:rFonts w:ascii="Arial" w:hAnsi="Arial" w:cs="Arial"/>
          <w:sz w:val="20"/>
          <w:szCs w:val="20"/>
        </w:rPr>
        <w:t xml:space="preserve">  5. raziskave, inovacije in konkurenčnost.</w:t>
      </w:r>
    </w:p>
    <w:p w14:paraId="6CA2F9DD" w14:textId="77777777" w:rsidR="0044727A" w:rsidRPr="00FC19D4" w:rsidRDefault="0044727A" w:rsidP="000E4629">
      <w:pPr>
        <w:pStyle w:val="ti-grseq-1"/>
        <w:spacing w:before="0" w:beforeAutospacing="0" w:after="0" w:afterAutospacing="0" w:line="276" w:lineRule="auto"/>
        <w:jc w:val="both"/>
        <w:rPr>
          <w:rFonts w:ascii="Arial" w:eastAsia="Calibri" w:hAnsi="Arial" w:cs="Arial"/>
          <w:sz w:val="20"/>
          <w:szCs w:val="20"/>
          <w:lang w:eastAsia="en-US"/>
        </w:rPr>
      </w:pPr>
    </w:p>
    <w:p w14:paraId="43589164" w14:textId="77777777" w:rsidR="0044727A" w:rsidRPr="00FC19D4" w:rsidRDefault="0044727A" w:rsidP="000E4629">
      <w:pPr>
        <w:pStyle w:val="ti-grseq-1"/>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 xml:space="preserve">Slovenija je s pripravo NEPN pričela oktobra 2017, ko je bila s sklepom Vlade RS ustanovljena Medresorska delovna skupina za pripravo NEPN, ki jo vodi Ministrstvo za infrastrukturo, pristojno za energijo. Naloga medresorske delovne skupine je priprava predloga celovitega nacionalnega energetskega in podnebnega načrta v skladu z uredbo. V njej poleg predstavnikov Ministrstva za infrastrukturo sodelujejo še predstavniki Ministrstva za okolje in prostor, Ministrstva za kmetijstvo, gozdarstvo in prehrano, Ministrstva za finance, Ministrstva za izobraževanje znanost in šport, Ministrstva za gospodarski razvoj in tehnologijo, Urad Republike Slovenije za makroekonomske analize iz razvoj in Služba Vlade Republike Slovenije za razvoj in evropsko kohezijsko politiko. </w:t>
      </w:r>
    </w:p>
    <w:p w14:paraId="37CE77C7" w14:textId="77777777" w:rsidR="0044727A" w:rsidRPr="00FC19D4" w:rsidRDefault="0044727A" w:rsidP="000E4629">
      <w:pPr>
        <w:pStyle w:val="ti-grseq-1"/>
        <w:spacing w:before="0" w:beforeAutospacing="0" w:after="0" w:afterAutospacing="0" w:line="276" w:lineRule="auto"/>
        <w:ind w:left="567" w:hanging="567"/>
        <w:jc w:val="both"/>
        <w:rPr>
          <w:rFonts w:ascii="Arial" w:eastAsia="Calibri" w:hAnsi="Arial" w:cs="Arial"/>
          <w:sz w:val="20"/>
          <w:szCs w:val="20"/>
          <w:lang w:eastAsia="en-US"/>
        </w:rPr>
      </w:pPr>
    </w:p>
    <w:p w14:paraId="06D5EDF4" w14:textId="77777777" w:rsidR="0044727A" w:rsidRPr="00FC19D4" w:rsidRDefault="0044727A" w:rsidP="000E4629">
      <w:pPr>
        <w:pStyle w:val="align-justify"/>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 xml:space="preserve">Medresorska delovna skupina je spomladi 2018 opravila pregled aktualnega stanja in tekom poletja pregled obstoječih ciljev po posameznih razsežnostih energetske unije. Na podlagi zahtev uredbe, da države članice osnutek NEPN Komisiji predložijo do 31. 12. 2018, je Ministrstvo za infrastrukturo v </w:t>
      </w:r>
      <w:r w:rsidRPr="00FC19D4">
        <w:rPr>
          <w:rFonts w:ascii="Arial" w:eastAsia="Calibri" w:hAnsi="Arial" w:cs="Arial"/>
          <w:sz w:val="20"/>
          <w:szCs w:val="20"/>
          <w:lang w:eastAsia="en-US"/>
        </w:rPr>
        <w:lastRenderedPageBreak/>
        <w:t>sodelovanju z medresorsko delovno skupino pripravilo prvi osnutek NEPN, ki podaja presek že sprejetih ciljev, politik in ukrepov na vseh petih razsežnostih energetske unije do leta 2020 in v določeni meri do 2030.</w:t>
      </w:r>
    </w:p>
    <w:p w14:paraId="58166941" w14:textId="77777777" w:rsidR="0044727A" w:rsidRPr="00FC19D4" w:rsidRDefault="0044727A" w:rsidP="000E4629">
      <w:pPr>
        <w:pStyle w:val="align-justify"/>
        <w:spacing w:before="0" w:beforeAutospacing="0" w:after="0" w:afterAutospacing="0" w:line="276" w:lineRule="auto"/>
        <w:jc w:val="both"/>
        <w:rPr>
          <w:rFonts w:ascii="Arial" w:eastAsia="Calibri" w:hAnsi="Arial" w:cs="Arial"/>
          <w:sz w:val="20"/>
          <w:szCs w:val="20"/>
          <w:lang w:eastAsia="en-US"/>
        </w:rPr>
      </w:pPr>
    </w:p>
    <w:p w14:paraId="27DECA47" w14:textId="77777777" w:rsidR="00483BAD" w:rsidRDefault="00067D4A" w:rsidP="000E4629">
      <w:pPr>
        <w:spacing w:after="0"/>
        <w:jc w:val="both"/>
        <w:rPr>
          <w:rFonts w:ascii="Arial" w:hAnsi="Arial" w:cs="Arial"/>
          <w:sz w:val="20"/>
          <w:szCs w:val="20"/>
        </w:rPr>
      </w:pPr>
      <w:r w:rsidRPr="00FC19D4">
        <w:rPr>
          <w:rFonts w:ascii="Arial" w:hAnsi="Arial" w:cs="Arial"/>
          <w:sz w:val="20"/>
          <w:szCs w:val="20"/>
        </w:rPr>
        <w:t xml:space="preserve">Kot ugotavlja Evropska komisija v svojem sporočilu z dne 18.6.2019, je vseh 28 držav članic skladno z uredbo predložilo osnutek NEPN. Slovenski osnutek je </w:t>
      </w:r>
      <w:r w:rsidR="0044727A" w:rsidRPr="00FC19D4">
        <w:rPr>
          <w:rFonts w:ascii="Arial" w:hAnsi="Arial" w:cs="Arial"/>
          <w:sz w:val="20"/>
          <w:szCs w:val="20"/>
        </w:rPr>
        <w:t xml:space="preserve">temeljil na podlagi v preteklosti sprejetih dokumentov in odločitev, </w:t>
      </w:r>
      <w:r w:rsidRPr="00FC19D4">
        <w:rPr>
          <w:rFonts w:ascii="Arial" w:hAnsi="Arial" w:cs="Arial"/>
          <w:sz w:val="20"/>
          <w:szCs w:val="20"/>
        </w:rPr>
        <w:t xml:space="preserve">kot so npr. Strategija razvoja Slovenije do 2030 in Dolgoročna strategija za spodbujanje naložb v prenove stavb, </w:t>
      </w:r>
      <w:r w:rsidR="0044727A" w:rsidRPr="00FC19D4">
        <w:rPr>
          <w:rFonts w:ascii="Arial" w:hAnsi="Arial" w:cs="Arial"/>
          <w:sz w:val="20"/>
          <w:szCs w:val="20"/>
        </w:rPr>
        <w:t xml:space="preserve">saj Slovenija v letu 2018 tudi zaradi predčasnih državnozborskih volitev ni sprejela nobenih novih odločitev o morebitnem povišanju ambicij na področju zmanjševanja emisij toplogrednih plinov, obnovljive rabe energije in energetske učinkovitosti. </w:t>
      </w:r>
      <w:r w:rsidRPr="00FC19D4">
        <w:rPr>
          <w:rFonts w:ascii="Arial" w:hAnsi="Arial" w:cs="Arial"/>
          <w:sz w:val="20"/>
          <w:szCs w:val="20"/>
        </w:rPr>
        <w:t>Osnutek se je skliceval tudi na obveznosti, ki izhajajo iz obstoječe EU zakonodaje (npr. zavezujoči nacionalni cilji Slovenije za emisije toplogrednih plinov in letne zavezujoče nacionalne omejitve na podlagi Uredbe (EU) 2018/842  o zavezujočem letnem zmanjšanju emisij toplogrednih plinov za države članice v obdobju od 2021 do 2030 kot prispevku k podnebnim ukrepom za izpolnitev zavez iz Pariškega sporazuma).</w:t>
      </w:r>
      <w:r w:rsidRPr="00FC19D4">
        <w:rPr>
          <w:rFonts w:ascii="Arial" w:hAnsi="Arial" w:cs="Arial"/>
          <w:sz w:val="20"/>
          <w:szCs w:val="20"/>
        </w:rPr>
        <w:cr/>
      </w:r>
    </w:p>
    <w:p w14:paraId="6ED0C49E" w14:textId="71C653C1" w:rsidR="0044727A" w:rsidRPr="00FC19D4" w:rsidRDefault="00067D4A" w:rsidP="000E4629">
      <w:pPr>
        <w:jc w:val="both"/>
        <w:rPr>
          <w:rFonts w:ascii="Arial" w:hAnsi="Arial" w:cs="Arial"/>
          <w:sz w:val="20"/>
          <w:szCs w:val="20"/>
        </w:rPr>
      </w:pPr>
      <w:r w:rsidRPr="00FC19D4">
        <w:rPr>
          <w:rFonts w:ascii="Arial" w:hAnsi="Arial" w:cs="Arial"/>
          <w:sz w:val="20"/>
          <w:szCs w:val="20"/>
        </w:rPr>
        <w:t>Predložitev sicer nepopolnega osnutka NEPN, ki se je skliceval na že sprejete odločitve</w:t>
      </w:r>
      <w:r w:rsidR="00FB482C" w:rsidRPr="00FC19D4">
        <w:rPr>
          <w:rFonts w:ascii="Arial" w:hAnsi="Arial" w:cs="Arial"/>
          <w:sz w:val="20"/>
          <w:szCs w:val="20"/>
        </w:rPr>
        <w:t xml:space="preserve"> na vladni ravni</w:t>
      </w:r>
      <w:r w:rsidRPr="00FC19D4">
        <w:rPr>
          <w:rFonts w:ascii="Arial" w:hAnsi="Arial" w:cs="Arial"/>
          <w:sz w:val="20"/>
          <w:szCs w:val="20"/>
        </w:rPr>
        <w:t>, je Republik</w:t>
      </w:r>
      <w:r w:rsidR="00FB482C" w:rsidRPr="00FC19D4">
        <w:rPr>
          <w:rFonts w:ascii="Arial" w:hAnsi="Arial" w:cs="Arial"/>
          <w:sz w:val="20"/>
          <w:szCs w:val="20"/>
        </w:rPr>
        <w:t>i Sloveniji omogočila črpanje 45</w:t>
      </w:r>
      <w:r w:rsidRPr="00FC19D4">
        <w:rPr>
          <w:rFonts w:ascii="Arial" w:hAnsi="Arial" w:cs="Arial"/>
          <w:sz w:val="20"/>
          <w:szCs w:val="20"/>
        </w:rPr>
        <w:t xml:space="preserve">0.000 EUR nepovratnih EU sredstev v letu 2019, in </w:t>
      </w:r>
      <w:r w:rsidR="00FB482C" w:rsidRPr="00FC19D4">
        <w:rPr>
          <w:rFonts w:ascii="Arial" w:hAnsi="Arial" w:cs="Arial"/>
          <w:sz w:val="20"/>
          <w:szCs w:val="20"/>
        </w:rPr>
        <w:t xml:space="preserve">preprečil mednarodno zadrego, saj bi bila v primeru </w:t>
      </w:r>
      <w:proofErr w:type="spellStart"/>
      <w:r w:rsidR="00FB482C" w:rsidRPr="00FC19D4">
        <w:rPr>
          <w:rFonts w:ascii="Arial" w:hAnsi="Arial" w:cs="Arial"/>
          <w:sz w:val="20"/>
          <w:szCs w:val="20"/>
        </w:rPr>
        <w:t>nepredložitve</w:t>
      </w:r>
      <w:proofErr w:type="spellEnd"/>
      <w:r w:rsidR="00FB482C" w:rsidRPr="00FC19D4">
        <w:rPr>
          <w:rFonts w:ascii="Arial" w:hAnsi="Arial" w:cs="Arial"/>
          <w:sz w:val="20"/>
          <w:szCs w:val="20"/>
        </w:rPr>
        <w:t xml:space="preserve"> osnutka NEPN Slovenija edina država članica, ki osnutka ne bi predložila.</w:t>
      </w:r>
    </w:p>
    <w:p w14:paraId="45613E1C" w14:textId="673B7564" w:rsidR="0044727A" w:rsidRPr="00FC19D4" w:rsidRDefault="00FB482C" w:rsidP="000E4629">
      <w:pPr>
        <w:jc w:val="both"/>
        <w:rPr>
          <w:rFonts w:ascii="Arial" w:hAnsi="Arial" w:cs="Arial"/>
          <w:sz w:val="20"/>
          <w:szCs w:val="20"/>
        </w:rPr>
      </w:pPr>
      <w:r w:rsidRPr="00FC19D4">
        <w:rPr>
          <w:rFonts w:ascii="Arial" w:hAnsi="Arial" w:cs="Arial"/>
          <w:sz w:val="20"/>
          <w:szCs w:val="20"/>
        </w:rPr>
        <w:t>V osnutku NEPN, ki ga je RS predložila 31.12.2018 Evropski komisiji, so bili podani naslednji cilji do 2030:</w:t>
      </w:r>
      <w:r w:rsidR="0044727A" w:rsidRPr="00FC19D4">
        <w:rPr>
          <w:rFonts w:ascii="Arial" w:hAnsi="Arial" w:cs="Arial"/>
          <w:sz w:val="20"/>
          <w:szCs w:val="20"/>
        </w:rPr>
        <w:t xml:space="preserve"> </w:t>
      </w:r>
    </w:p>
    <w:p w14:paraId="7DD2F282" w14:textId="77777777" w:rsidR="0044727A" w:rsidRPr="00FC19D4" w:rsidRDefault="0044727A" w:rsidP="000E4629">
      <w:pPr>
        <w:pStyle w:val="Odstavekseznama"/>
        <w:numPr>
          <w:ilvl w:val="0"/>
          <w:numId w:val="23"/>
        </w:numPr>
        <w:spacing w:after="0"/>
        <w:jc w:val="both"/>
        <w:rPr>
          <w:rFonts w:ascii="Arial" w:hAnsi="Arial" w:cs="Arial"/>
          <w:sz w:val="20"/>
          <w:szCs w:val="20"/>
        </w:rPr>
      </w:pPr>
      <w:r w:rsidRPr="00FC19D4">
        <w:rPr>
          <w:rFonts w:ascii="Arial" w:hAnsi="Arial" w:cs="Arial"/>
          <w:sz w:val="20"/>
          <w:szCs w:val="20"/>
        </w:rPr>
        <w:t>Cilj OVE je bil povzet iz Strategije razvoja Slovenije do 2030, kjer si je Slovenija določila cilj 27 % do 2030.</w:t>
      </w:r>
    </w:p>
    <w:p w14:paraId="20AE6967" w14:textId="6088103E" w:rsidR="0044727A" w:rsidRPr="00FC19D4" w:rsidRDefault="0044727A" w:rsidP="000E4629">
      <w:pPr>
        <w:pStyle w:val="Odstavekseznama"/>
        <w:numPr>
          <w:ilvl w:val="0"/>
          <w:numId w:val="23"/>
        </w:numPr>
        <w:spacing w:after="0"/>
        <w:jc w:val="both"/>
        <w:rPr>
          <w:rFonts w:ascii="Arial" w:hAnsi="Arial" w:cs="Arial"/>
          <w:sz w:val="20"/>
          <w:szCs w:val="20"/>
        </w:rPr>
      </w:pPr>
      <w:r w:rsidRPr="00FC19D4">
        <w:rPr>
          <w:rFonts w:ascii="Arial" w:hAnsi="Arial" w:cs="Arial"/>
          <w:sz w:val="20"/>
          <w:szCs w:val="20"/>
        </w:rPr>
        <w:t xml:space="preserve">CILJ TGP -15 % do 2030 je določen z </w:t>
      </w:r>
      <w:r w:rsidR="00FB482C" w:rsidRPr="00FC19D4">
        <w:rPr>
          <w:rFonts w:ascii="Arial" w:hAnsi="Arial" w:cs="Arial"/>
          <w:sz w:val="20"/>
          <w:szCs w:val="20"/>
        </w:rPr>
        <w:t>Uredbo (EU) 2018/842  Evropskega parlamenta in Sveta z dne 30. maja 2018 o zavezujočem letnem zmanjšanju emisij toplogrednih plinov za države članice v obdobju od 2021 do 2030 kot prispevku k podnebnim ukrepom za izpolnitev zavez iz Pariškega sporazuma</w:t>
      </w:r>
      <w:r w:rsidRPr="00FC19D4">
        <w:rPr>
          <w:rFonts w:ascii="Arial" w:hAnsi="Arial" w:cs="Arial"/>
          <w:sz w:val="20"/>
          <w:szCs w:val="20"/>
        </w:rPr>
        <w:t>.</w:t>
      </w:r>
    </w:p>
    <w:p w14:paraId="5E0E57C7" w14:textId="4B101E0C" w:rsidR="0044727A" w:rsidRPr="00FC19D4" w:rsidRDefault="0044727A" w:rsidP="000E4629">
      <w:pPr>
        <w:pStyle w:val="Odstavekseznama"/>
        <w:numPr>
          <w:ilvl w:val="0"/>
          <w:numId w:val="23"/>
        </w:numPr>
        <w:spacing w:after="0"/>
        <w:jc w:val="both"/>
        <w:rPr>
          <w:rFonts w:ascii="Arial" w:hAnsi="Arial" w:cs="Arial"/>
          <w:sz w:val="20"/>
          <w:szCs w:val="20"/>
        </w:rPr>
      </w:pPr>
      <w:r w:rsidRPr="00FC19D4">
        <w:rPr>
          <w:rFonts w:ascii="Arial" w:hAnsi="Arial" w:cs="Arial"/>
          <w:sz w:val="20"/>
          <w:szCs w:val="20"/>
        </w:rPr>
        <w:t>Cilj učinkovite rabe energije za Slovenijo do leta 2030 še ni določen, zato je bila podana ocena iz obstoječih strokovnih podlag, ki kaže, da bi Slovenija lahko dosegla 30 % do leta 2030.</w:t>
      </w:r>
    </w:p>
    <w:p w14:paraId="674A5272" w14:textId="77777777" w:rsidR="0044727A" w:rsidRPr="00FC19D4" w:rsidRDefault="0044727A" w:rsidP="000E4629">
      <w:pPr>
        <w:pStyle w:val="align-justify"/>
        <w:spacing w:before="0" w:beforeAutospacing="0" w:after="0" w:afterAutospacing="0" w:line="276" w:lineRule="auto"/>
        <w:jc w:val="both"/>
        <w:rPr>
          <w:rFonts w:ascii="Arial" w:eastAsia="Calibri" w:hAnsi="Arial" w:cs="Arial"/>
          <w:sz w:val="20"/>
          <w:szCs w:val="20"/>
          <w:lang w:eastAsia="en-US"/>
        </w:rPr>
      </w:pPr>
    </w:p>
    <w:p w14:paraId="2949C17F" w14:textId="6C1C4EB1" w:rsidR="0044727A" w:rsidRPr="00FC19D4" w:rsidRDefault="0044727A" w:rsidP="000E4629">
      <w:pPr>
        <w:pStyle w:val="align-justify"/>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 xml:space="preserve">Ta prvi osnutek NEPN predstavlja izhodišče za začetek procesa priprave NEPN, ki zajema celovito posodobitev strokovnih podlag, vzpostavitev podnebnega in energetskega dialoga na več ravneh ter posodobitev in sprejem NEPN. Vzporedno s procesom priprave osnutka NEPN je Ministrstvo za infrastrukturo v letu 2018 namreč pričelo s pripravo razpisa, katerega cilj je bil poiskati zunanjega partnerja, ki bo nudil celovito strokovno in tehnično podporo procesu priprave NEPN. Ministrstvo za infrastrukturo je tako na podlagi Zakona o javnih naročilih (ZJN-3) uspešno izvedlo postopek javnega naročila in v novembru 2018 je bila sklenjena pogodba s konzorcijem institucij pod vodstvom Instituta »Jožef Stefan«, v katerem sodelujejo še Inštitut za ekonomska raziskovanja, ELEK </w:t>
      </w:r>
      <w:proofErr w:type="spellStart"/>
      <w:r w:rsidRPr="00FC19D4">
        <w:rPr>
          <w:rFonts w:ascii="Arial" w:eastAsia="Calibri" w:hAnsi="Arial" w:cs="Arial"/>
          <w:sz w:val="20"/>
          <w:szCs w:val="20"/>
          <w:lang w:eastAsia="en-US"/>
        </w:rPr>
        <w:t>d.o.o</w:t>
      </w:r>
      <w:proofErr w:type="spellEnd"/>
      <w:r w:rsidRPr="00FC19D4">
        <w:rPr>
          <w:rFonts w:ascii="Arial" w:eastAsia="Calibri" w:hAnsi="Arial" w:cs="Arial"/>
          <w:sz w:val="20"/>
          <w:szCs w:val="20"/>
          <w:lang w:eastAsia="en-US"/>
        </w:rPr>
        <w:t xml:space="preserve">., Elektro Gorenjska, </w:t>
      </w:r>
      <w:proofErr w:type="spellStart"/>
      <w:r w:rsidRPr="00FC19D4">
        <w:rPr>
          <w:rFonts w:ascii="Arial" w:eastAsia="Calibri" w:hAnsi="Arial" w:cs="Arial"/>
          <w:sz w:val="20"/>
          <w:szCs w:val="20"/>
          <w:lang w:eastAsia="en-US"/>
        </w:rPr>
        <w:t>d.d</w:t>
      </w:r>
      <w:proofErr w:type="spellEnd"/>
      <w:r w:rsidRPr="00FC19D4">
        <w:rPr>
          <w:rFonts w:ascii="Arial" w:eastAsia="Calibri" w:hAnsi="Arial" w:cs="Arial"/>
          <w:sz w:val="20"/>
          <w:szCs w:val="20"/>
          <w:lang w:eastAsia="en-US"/>
        </w:rPr>
        <w:t xml:space="preserve">., ELES, Kmetijski inštitut Slovenije, PNZ svetovanje projektiranje </w:t>
      </w:r>
      <w:proofErr w:type="spellStart"/>
      <w:r w:rsidRPr="00FC19D4">
        <w:rPr>
          <w:rFonts w:ascii="Arial" w:eastAsia="Calibri" w:hAnsi="Arial" w:cs="Arial"/>
          <w:sz w:val="20"/>
          <w:szCs w:val="20"/>
          <w:lang w:eastAsia="en-US"/>
        </w:rPr>
        <w:t>d.o.o</w:t>
      </w:r>
      <w:proofErr w:type="spellEnd"/>
      <w:r w:rsidRPr="00FC19D4">
        <w:rPr>
          <w:rFonts w:ascii="Arial" w:eastAsia="Calibri" w:hAnsi="Arial" w:cs="Arial"/>
          <w:sz w:val="20"/>
          <w:szCs w:val="20"/>
          <w:lang w:eastAsia="en-US"/>
        </w:rPr>
        <w:t xml:space="preserve">., Center poslovne odličnosti </w:t>
      </w:r>
      <w:r w:rsidR="00290669">
        <w:rPr>
          <w:rFonts w:ascii="Arial" w:eastAsia="Calibri" w:hAnsi="Arial" w:cs="Arial"/>
          <w:sz w:val="20"/>
          <w:szCs w:val="20"/>
          <w:lang w:eastAsia="en-US"/>
        </w:rPr>
        <w:t>Ekonomske fakultete Univerze v Ljubljani</w:t>
      </w:r>
      <w:r w:rsidRPr="00FC19D4">
        <w:rPr>
          <w:rFonts w:ascii="Arial" w:eastAsia="Calibri" w:hAnsi="Arial" w:cs="Arial"/>
          <w:sz w:val="20"/>
          <w:szCs w:val="20"/>
          <w:lang w:eastAsia="en-US"/>
        </w:rPr>
        <w:t>, Gozdarski inštitut</w:t>
      </w:r>
      <w:r w:rsidR="00290669">
        <w:rPr>
          <w:rFonts w:ascii="Arial" w:eastAsia="Calibri" w:hAnsi="Arial" w:cs="Arial"/>
          <w:sz w:val="20"/>
          <w:szCs w:val="20"/>
          <w:lang w:eastAsia="en-US"/>
        </w:rPr>
        <w:t xml:space="preserve"> Slovenije in </w:t>
      </w:r>
      <w:r w:rsidRPr="00FC19D4">
        <w:rPr>
          <w:rFonts w:ascii="Arial" w:eastAsia="Calibri" w:hAnsi="Arial" w:cs="Arial"/>
          <w:sz w:val="20"/>
          <w:szCs w:val="20"/>
          <w:lang w:eastAsia="en-US"/>
        </w:rPr>
        <w:t xml:space="preserve">PLINOVODI </w:t>
      </w:r>
      <w:proofErr w:type="spellStart"/>
      <w:r w:rsidRPr="00FC19D4">
        <w:rPr>
          <w:rFonts w:ascii="Arial" w:eastAsia="Calibri" w:hAnsi="Arial" w:cs="Arial"/>
          <w:sz w:val="20"/>
          <w:szCs w:val="20"/>
          <w:lang w:eastAsia="en-US"/>
        </w:rPr>
        <w:t>d.o.o</w:t>
      </w:r>
      <w:proofErr w:type="spellEnd"/>
      <w:r w:rsidRPr="00FC19D4">
        <w:rPr>
          <w:rFonts w:ascii="Arial" w:eastAsia="Calibri" w:hAnsi="Arial" w:cs="Arial"/>
          <w:sz w:val="20"/>
          <w:szCs w:val="20"/>
          <w:lang w:eastAsia="en-US"/>
        </w:rPr>
        <w:t>.</w:t>
      </w:r>
    </w:p>
    <w:p w14:paraId="0D90F610" w14:textId="77777777" w:rsidR="0044727A" w:rsidRPr="00FC19D4" w:rsidRDefault="0044727A" w:rsidP="000E4629">
      <w:pPr>
        <w:pStyle w:val="ti-grseq-1"/>
        <w:spacing w:before="0" w:beforeAutospacing="0" w:after="0" w:afterAutospacing="0" w:line="276" w:lineRule="auto"/>
        <w:ind w:left="567" w:hanging="567"/>
        <w:jc w:val="both"/>
        <w:rPr>
          <w:rFonts w:ascii="Arial" w:eastAsia="Calibri" w:hAnsi="Arial" w:cs="Arial"/>
          <w:sz w:val="20"/>
          <w:szCs w:val="20"/>
          <w:lang w:eastAsia="en-US"/>
        </w:rPr>
      </w:pPr>
    </w:p>
    <w:p w14:paraId="0D3C7DE3" w14:textId="77777777" w:rsidR="0044727A" w:rsidRPr="00FC19D4" w:rsidRDefault="0044727A" w:rsidP="000E4629">
      <w:pPr>
        <w:pStyle w:val="ti-grseq-1"/>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V letu 2019 sta Ministrstvo za infrastrukturo in konzorcij institucij pod vodstvom IJS v sodelovanju z medresorsko delovno skupino izvedla številne aktivnosti:</w:t>
      </w:r>
    </w:p>
    <w:p w14:paraId="64B6182C" w14:textId="77777777" w:rsidR="0044727A" w:rsidRPr="00FC19D4" w:rsidRDefault="0044727A" w:rsidP="000E4629">
      <w:pPr>
        <w:pStyle w:val="ti-grseq-1"/>
        <w:numPr>
          <w:ilvl w:val="0"/>
          <w:numId w:val="22"/>
        </w:numPr>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oblikovan je bil podnebni in energetski dialog na več ravneh, v okviru katerega je treba med drugim izpostaviti:</w:t>
      </w:r>
    </w:p>
    <w:p w14:paraId="38CA3E5B" w14:textId="77777777" w:rsidR="0044727A" w:rsidRPr="00FC19D4" w:rsidRDefault="0044727A" w:rsidP="000E4629">
      <w:pPr>
        <w:pStyle w:val="ti-grseq-1"/>
        <w:numPr>
          <w:ilvl w:val="1"/>
          <w:numId w:val="22"/>
        </w:numPr>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oblikovanje in nadgrajevanje spletne strani NEPN,</w:t>
      </w:r>
      <w:r w:rsidRPr="00FC19D4">
        <w:rPr>
          <w:rFonts w:ascii="Arial" w:eastAsia="Calibri" w:hAnsi="Arial" w:cs="Arial"/>
          <w:sz w:val="20"/>
          <w:szCs w:val="20"/>
          <w:vertAlign w:val="superscript"/>
          <w:lang w:eastAsia="en-US"/>
        </w:rPr>
        <w:footnoteReference w:id="3"/>
      </w:r>
      <w:r w:rsidRPr="00FC19D4">
        <w:rPr>
          <w:rFonts w:ascii="Arial" w:eastAsia="Calibri" w:hAnsi="Arial" w:cs="Arial"/>
          <w:sz w:val="20"/>
          <w:szCs w:val="20"/>
          <w:vertAlign w:val="superscript"/>
          <w:lang w:eastAsia="en-US"/>
        </w:rPr>
        <w:t xml:space="preserve"> </w:t>
      </w:r>
    </w:p>
    <w:p w14:paraId="41C6F1E4" w14:textId="77777777" w:rsidR="0044727A" w:rsidRPr="00FC19D4" w:rsidRDefault="0044727A" w:rsidP="000E4629">
      <w:pPr>
        <w:pStyle w:val="ti-grseq-1"/>
        <w:numPr>
          <w:ilvl w:val="1"/>
          <w:numId w:val="22"/>
        </w:numPr>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lastRenderedPageBreak/>
        <w:t>opravljeno predhodno posvetovanje z javnostjo glede priprave osnutka NEPN,</w:t>
      </w:r>
      <w:r w:rsidRPr="00FC19D4">
        <w:rPr>
          <w:rFonts w:ascii="Arial" w:eastAsia="Calibri" w:hAnsi="Arial" w:cs="Arial"/>
          <w:sz w:val="20"/>
          <w:szCs w:val="20"/>
          <w:vertAlign w:val="superscript"/>
          <w:lang w:eastAsia="en-US"/>
        </w:rPr>
        <w:footnoteReference w:id="4"/>
      </w:r>
    </w:p>
    <w:p w14:paraId="083A8096" w14:textId="77777777" w:rsidR="0044727A" w:rsidRPr="00FC19D4" w:rsidRDefault="0044727A" w:rsidP="000E4629">
      <w:pPr>
        <w:pStyle w:val="ti-grseq-1"/>
        <w:numPr>
          <w:ilvl w:val="1"/>
          <w:numId w:val="22"/>
        </w:numPr>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številne aktivnosti, ki so potekale usklajeno s pripravo Dolgoročne strategije, tudi v obliki sodelovanja na ciljnih komunikacijskih delavnicah,</w:t>
      </w:r>
      <w:r w:rsidRPr="00FC19D4">
        <w:rPr>
          <w:rFonts w:ascii="Arial" w:eastAsia="Calibri" w:hAnsi="Arial" w:cs="Arial"/>
          <w:sz w:val="20"/>
          <w:szCs w:val="20"/>
          <w:vertAlign w:val="superscript"/>
          <w:lang w:eastAsia="en-US"/>
        </w:rPr>
        <w:footnoteReference w:id="5"/>
      </w:r>
    </w:p>
    <w:p w14:paraId="4763BC47" w14:textId="77777777" w:rsidR="0044727A" w:rsidRPr="00FC19D4" w:rsidRDefault="0044727A" w:rsidP="000E4629">
      <w:pPr>
        <w:pStyle w:val="ti-grseq-1"/>
        <w:numPr>
          <w:ilvl w:val="1"/>
          <w:numId w:val="22"/>
        </w:numPr>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odprt poziv mladim za podnebno pravičnost, da se aktivno vključijo v pripravo osnutka NEPN,</w:t>
      </w:r>
      <w:r w:rsidRPr="00FC19D4">
        <w:rPr>
          <w:rFonts w:ascii="Arial" w:eastAsia="Calibri" w:hAnsi="Arial" w:cs="Arial"/>
          <w:sz w:val="20"/>
          <w:szCs w:val="20"/>
          <w:vertAlign w:val="superscript"/>
          <w:lang w:eastAsia="en-US"/>
        </w:rPr>
        <w:footnoteReference w:id="6"/>
      </w:r>
    </w:p>
    <w:p w14:paraId="583ADC10" w14:textId="531A9ABC" w:rsidR="0044727A" w:rsidRPr="00FC19D4" w:rsidRDefault="00124711" w:rsidP="000E4629">
      <w:pPr>
        <w:pStyle w:val="ti-grseq-1"/>
        <w:numPr>
          <w:ilvl w:val="1"/>
          <w:numId w:val="22"/>
        </w:numPr>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 xml:space="preserve">začetek procesa </w:t>
      </w:r>
      <w:r w:rsidR="0044727A" w:rsidRPr="00FC19D4">
        <w:rPr>
          <w:rFonts w:ascii="Arial" w:eastAsia="Calibri" w:hAnsi="Arial" w:cs="Arial"/>
          <w:sz w:val="20"/>
          <w:szCs w:val="20"/>
          <w:lang w:eastAsia="en-US"/>
        </w:rPr>
        <w:t>celovit</w:t>
      </w:r>
      <w:r w:rsidRPr="00FC19D4">
        <w:rPr>
          <w:rFonts w:ascii="Arial" w:eastAsia="Calibri" w:hAnsi="Arial" w:cs="Arial"/>
          <w:sz w:val="20"/>
          <w:szCs w:val="20"/>
          <w:lang w:eastAsia="en-US"/>
        </w:rPr>
        <w:t>e</w:t>
      </w:r>
      <w:r w:rsidR="0044727A" w:rsidRPr="00FC19D4">
        <w:rPr>
          <w:rFonts w:ascii="Arial" w:eastAsia="Calibri" w:hAnsi="Arial" w:cs="Arial"/>
          <w:sz w:val="20"/>
          <w:szCs w:val="20"/>
          <w:lang w:eastAsia="en-US"/>
        </w:rPr>
        <w:t xml:space="preserve"> presoj</w:t>
      </w:r>
      <w:r w:rsidRPr="00FC19D4">
        <w:rPr>
          <w:rFonts w:ascii="Arial" w:eastAsia="Calibri" w:hAnsi="Arial" w:cs="Arial"/>
          <w:sz w:val="20"/>
          <w:szCs w:val="20"/>
          <w:lang w:eastAsia="en-US"/>
        </w:rPr>
        <w:t>e</w:t>
      </w:r>
      <w:r w:rsidR="0044727A" w:rsidRPr="00FC19D4">
        <w:rPr>
          <w:rFonts w:ascii="Arial" w:eastAsia="Calibri" w:hAnsi="Arial" w:cs="Arial"/>
          <w:sz w:val="20"/>
          <w:szCs w:val="20"/>
          <w:lang w:eastAsia="en-US"/>
        </w:rPr>
        <w:t xml:space="preserve"> vplivov na okolje,</w:t>
      </w:r>
      <w:r w:rsidR="0044727A" w:rsidRPr="00FC19D4">
        <w:rPr>
          <w:rFonts w:ascii="Arial" w:eastAsia="Calibri" w:hAnsi="Arial" w:cs="Arial"/>
          <w:sz w:val="20"/>
          <w:szCs w:val="20"/>
          <w:vertAlign w:val="superscript"/>
          <w:lang w:eastAsia="en-US"/>
        </w:rPr>
        <w:footnoteReference w:id="7"/>
      </w:r>
    </w:p>
    <w:p w14:paraId="65193DB5" w14:textId="77777777" w:rsidR="0044727A" w:rsidRPr="00FC19D4" w:rsidRDefault="0044727A" w:rsidP="000E4629">
      <w:pPr>
        <w:pStyle w:val="ti-grseq-1"/>
        <w:numPr>
          <w:ilvl w:val="1"/>
          <w:numId w:val="22"/>
        </w:numPr>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poročanje Vladi Republike Slovenije in obveščanje Državnega zbora,</w:t>
      </w:r>
      <w:r w:rsidRPr="00FC19D4">
        <w:rPr>
          <w:rFonts w:ascii="Arial" w:eastAsia="Calibri" w:hAnsi="Arial" w:cs="Arial"/>
          <w:sz w:val="20"/>
          <w:szCs w:val="20"/>
          <w:vertAlign w:val="superscript"/>
          <w:lang w:eastAsia="en-US"/>
        </w:rPr>
        <w:footnoteReference w:id="8"/>
      </w:r>
    </w:p>
    <w:p w14:paraId="1461382D" w14:textId="77777777" w:rsidR="0044727A" w:rsidRPr="00FC19D4" w:rsidRDefault="0044727A" w:rsidP="000E4629">
      <w:pPr>
        <w:pStyle w:val="ti-grseq-1"/>
        <w:numPr>
          <w:ilvl w:val="1"/>
          <w:numId w:val="22"/>
        </w:numPr>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zaključno posvetovanje glede posodobljenega osnutka NEPN,</w:t>
      </w:r>
      <w:r w:rsidRPr="00FC19D4">
        <w:rPr>
          <w:rFonts w:ascii="Arial" w:eastAsia="Calibri" w:hAnsi="Arial" w:cs="Arial"/>
          <w:sz w:val="20"/>
          <w:szCs w:val="20"/>
          <w:vertAlign w:val="superscript"/>
          <w:lang w:eastAsia="en-US"/>
        </w:rPr>
        <w:footnoteReference w:id="9"/>
      </w:r>
    </w:p>
    <w:p w14:paraId="70B4CDA4" w14:textId="77777777" w:rsidR="0044727A" w:rsidRPr="00FC19D4" w:rsidRDefault="0044727A" w:rsidP="000E4629">
      <w:pPr>
        <w:pStyle w:val="ti-grseq-1"/>
        <w:numPr>
          <w:ilvl w:val="0"/>
          <w:numId w:val="22"/>
        </w:numPr>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posodobitev strokovnih podlag in projekcij NEPN,</w:t>
      </w:r>
      <w:r w:rsidRPr="00FC19D4">
        <w:rPr>
          <w:rFonts w:ascii="Arial" w:eastAsia="Calibri" w:hAnsi="Arial" w:cs="Arial"/>
          <w:sz w:val="20"/>
          <w:szCs w:val="20"/>
          <w:vertAlign w:val="superscript"/>
          <w:lang w:eastAsia="en-US"/>
        </w:rPr>
        <w:footnoteReference w:id="10"/>
      </w:r>
    </w:p>
    <w:p w14:paraId="63420EBA" w14:textId="77777777" w:rsidR="0044727A" w:rsidRPr="00FC19D4" w:rsidRDefault="0044727A" w:rsidP="000E4629">
      <w:pPr>
        <w:pStyle w:val="ti-grseq-1"/>
        <w:numPr>
          <w:ilvl w:val="0"/>
          <w:numId w:val="22"/>
        </w:numPr>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iterativni proces s Komisijo in posodobitev prvotnega osnutka NEPN skladno s priporočili Komisije,</w:t>
      </w:r>
      <w:r w:rsidRPr="00FC19D4">
        <w:rPr>
          <w:rFonts w:ascii="Arial" w:eastAsia="Calibri" w:hAnsi="Arial" w:cs="Arial"/>
          <w:sz w:val="20"/>
          <w:szCs w:val="20"/>
          <w:vertAlign w:val="superscript"/>
          <w:lang w:eastAsia="en-US"/>
        </w:rPr>
        <w:footnoteReference w:id="11"/>
      </w:r>
    </w:p>
    <w:p w14:paraId="783BE30A" w14:textId="77777777" w:rsidR="0044727A" w:rsidRPr="00FC19D4" w:rsidRDefault="0044727A" w:rsidP="000E4629">
      <w:pPr>
        <w:pStyle w:val="ti-grseq-1"/>
        <w:numPr>
          <w:ilvl w:val="0"/>
          <w:numId w:val="22"/>
        </w:numPr>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prvo regionalno srečanje in posvetovanje strokovnjakov in predstavnikov sosednjih držav, ki sodelujejo pri pripravi osnutka NEPN, iz Italije, Avstrije, Madžarske, Hrvaške in Slovenije ter Evropske komisije, ki je potekalo julija 2019 v Ljubljani.</w:t>
      </w:r>
      <w:r w:rsidRPr="00FC19D4">
        <w:rPr>
          <w:rFonts w:ascii="Arial" w:eastAsia="Calibri" w:hAnsi="Arial" w:cs="Arial"/>
          <w:sz w:val="20"/>
          <w:szCs w:val="20"/>
          <w:vertAlign w:val="superscript"/>
          <w:lang w:eastAsia="en-US"/>
        </w:rPr>
        <w:footnoteReference w:id="12"/>
      </w:r>
    </w:p>
    <w:p w14:paraId="2C81DEEF" w14:textId="77777777" w:rsidR="0044727A" w:rsidRPr="00FC19D4" w:rsidRDefault="0044727A" w:rsidP="000E4629">
      <w:pPr>
        <w:pStyle w:val="ti-grseq-1"/>
        <w:spacing w:before="0" w:beforeAutospacing="0" w:after="0" w:afterAutospacing="0" w:line="276" w:lineRule="auto"/>
        <w:jc w:val="both"/>
        <w:rPr>
          <w:rFonts w:ascii="Arial" w:eastAsia="Calibri" w:hAnsi="Arial" w:cs="Arial"/>
          <w:sz w:val="20"/>
          <w:szCs w:val="20"/>
          <w:lang w:eastAsia="en-US"/>
        </w:rPr>
      </w:pPr>
    </w:p>
    <w:p w14:paraId="0D524AAC" w14:textId="77777777" w:rsidR="0044727A" w:rsidRPr="00FC19D4" w:rsidRDefault="0044727A" w:rsidP="000E4629">
      <w:pPr>
        <w:pStyle w:val="ti-grseq-1"/>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 xml:space="preserve">Do konca leta 2019 bodo izvedene še številne nadaljnje aktivnosti povezane s pripravo NEPN, med katerimi izstopajo celovita presoja vplivov na okolje in celovita posodobitev osnutka NEPN tudi s ciljem sprejetja odločitve glede ambicioznosti energetskih in podnebnih prispevkov in ciljev Slovenije do 2030 (s pogledom do 2040). Do njih bo treba priti upoštevajoč posodobljene projekcije NEPN ter na podlagi široke in utemeljene javne razprave, ki bo pripeljala do soglasja čim širšega kroga deležnikov glede čim bolj ambicioznih, a za Slovenijo smotrnih in uresničljivih ciljev do leta 2030 in 2050, ki bodo ustrezno upoštevali pomembne nacionalne okoliščine. </w:t>
      </w:r>
    </w:p>
    <w:p w14:paraId="290765C7" w14:textId="77777777" w:rsidR="0044727A" w:rsidRPr="00FC19D4" w:rsidRDefault="0044727A" w:rsidP="000E4629">
      <w:pPr>
        <w:pStyle w:val="ti-grseq-1"/>
        <w:spacing w:before="0" w:beforeAutospacing="0" w:after="0" w:afterAutospacing="0" w:line="276" w:lineRule="auto"/>
        <w:jc w:val="both"/>
        <w:rPr>
          <w:rFonts w:ascii="Arial" w:eastAsia="Calibri" w:hAnsi="Arial" w:cs="Arial"/>
          <w:sz w:val="20"/>
          <w:szCs w:val="20"/>
          <w:lang w:eastAsia="en-US"/>
        </w:rPr>
      </w:pPr>
    </w:p>
    <w:p w14:paraId="1BD84D1A" w14:textId="77777777" w:rsidR="0044727A" w:rsidRPr="00FC19D4" w:rsidRDefault="0044727A" w:rsidP="000E4629">
      <w:pPr>
        <w:pStyle w:val="ti-grseq-1"/>
        <w:spacing w:before="0" w:beforeAutospacing="0" w:after="0" w:afterAutospacing="0" w:line="276" w:lineRule="auto"/>
        <w:jc w:val="both"/>
        <w:rPr>
          <w:rFonts w:ascii="Arial" w:eastAsia="Calibri" w:hAnsi="Arial" w:cs="Arial"/>
          <w:sz w:val="20"/>
          <w:szCs w:val="20"/>
          <w:lang w:eastAsia="en-US"/>
        </w:rPr>
      </w:pPr>
      <w:r w:rsidRPr="00FC19D4">
        <w:rPr>
          <w:rFonts w:ascii="Arial" w:eastAsia="Calibri" w:hAnsi="Arial" w:cs="Arial"/>
          <w:sz w:val="20"/>
          <w:szCs w:val="20"/>
          <w:lang w:eastAsia="en-US"/>
        </w:rPr>
        <w:t>Skladno z novelo Energetskega zakona (EZ-1B) z dne 18. junija 2019 NEPN v skladu s 3. členom uredbe pripravi ministrstvo, pristojno za energijo, in ga predloži vladi v sprejem.  Projekti in ukrepi določeni v NEPN so v javnem interesu z vidika energetske in podnebne politike.</w:t>
      </w:r>
      <w:r w:rsidRPr="00483BAD">
        <w:rPr>
          <w:rFonts w:ascii="Arial" w:eastAsia="Calibri" w:hAnsi="Arial" w:cs="Arial"/>
          <w:sz w:val="20"/>
          <w:szCs w:val="20"/>
          <w:vertAlign w:val="superscript"/>
          <w:lang w:eastAsia="en-US"/>
        </w:rPr>
        <w:footnoteReference w:id="13"/>
      </w:r>
    </w:p>
    <w:p w14:paraId="54128EB3" w14:textId="77777777" w:rsidR="0044727A" w:rsidRPr="00FC19D4" w:rsidRDefault="0044727A" w:rsidP="000E4629">
      <w:pPr>
        <w:pStyle w:val="ti-grseq-1"/>
        <w:spacing w:before="0" w:beforeAutospacing="0" w:after="0" w:afterAutospacing="0" w:line="276" w:lineRule="auto"/>
        <w:jc w:val="both"/>
        <w:rPr>
          <w:rFonts w:ascii="Arial" w:hAnsi="Arial" w:cs="Arial"/>
        </w:rPr>
      </w:pPr>
    </w:p>
    <w:p w14:paraId="036491E0" w14:textId="5882E0B7" w:rsidR="0044727A" w:rsidRPr="00FC19D4" w:rsidRDefault="0044727A" w:rsidP="000E4629">
      <w:pPr>
        <w:pStyle w:val="ti-grseq-1"/>
        <w:spacing w:before="0" w:beforeAutospacing="0" w:after="0" w:afterAutospacing="0" w:line="276" w:lineRule="auto"/>
        <w:jc w:val="both"/>
        <w:rPr>
          <w:rFonts w:ascii="Arial" w:hAnsi="Arial" w:cs="Arial"/>
          <w:b/>
          <w:sz w:val="20"/>
          <w:szCs w:val="20"/>
        </w:rPr>
      </w:pPr>
      <w:r w:rsidRPr="00FC19D4">
        <w:rPr>
          <w:rFonts w:ascii="Arial" w:hAnsi="Arial" w:cs="Arial"/>
          <w:b/>
          <w:sz w:val="20"/>
          <w:szCs w:val="20"/>
        </w:rPr>
        <w:t>Skladno z uredbo je dolžna Slovenija do 31. decembra 2019 sprejeti NEPN</w:t>
      </w:r>
      <w:r w:rsidR="00124711" w:rsidRPr="00FC19D4">
        <w:rPr>
          <w:rFonts w:ascii="Arial" w:hAnsi="Arial" w:cs="Arial"/>
          <w:b/>
          <w:sz w:val="20"/>
          <w:szCs w:val="20"/>
        </w:rPr>
        <w:t xml:space="preserve"> in ga</w:t>
      </w:r>
      <w:r w:rsidRPr="00FC19D4">
        <w:rPr>
          <w:rFonts w:ascii="Arial" w:hAnsi="Arial" w:cs="Arial"/>
          <w:b/>
          <w:sz w:val="20"/>
          <w:szCs w:val="20"/>
        </w:rPr>
        <w:t xml:space="preserve"> predložiti Komisiji</w:t>
      </w:r>
      <w:r w:rsidR="00E42341">
        <w:rPr>
          <w:rFonts w:ascii="Arial" w:hAnsi="Arial" w:cs="Arial"/>
          <w:b/>
          <w:sz w:val="20"/>
          <w:szCs w:val="20"/>
        </w:rPr>
        <w:t xml:space="preserve">. </w:t>
      </w:r>
      <w:r w:rsidR="00E42341" w:rsidRPr="00E42341">
        <w:rPr>
          <w:rFonts w:ascii="Arial" w:hAnsi="Arial" w:cs="Arial"/>
          <w:b/>
          <w:sz w:val="20"/>
          <w:szCs w:val="20"/>
        </w:rPr>
        <w:t>Glede na številne in zahtevne aktivnosti</w:t>
      </w:r>
      <w:r w:rsidR="00E42341">
        <w:rPr>
          <w:rFonts w:ascii="Arial" w:hAnsi="Arial" w:cs="Arial"/>
          <w:b/>
          <w:sz w:val="20"/>
          <w:szCs w:val="20"/>
        </w:rPr>
        <w:t xml:space="preserve"> in</w:t>
      </w:r>
      <w:r w:rsidR="00E42341" w:rsidRPr="00E42341">
        <w:rPr>
          <w:rFonts w:ascii="Arial" w:hAnsi="Arial" w:cs="Arial"/>
          <w:b/>
          <w:sz w:val="20"/>
          <w:szCs w:val="20"/>
        </w:rPr>
        <w:t xml:space="preserve"> s konstruktivnim sodelovanjem vseh deležnikov ter uspešno in pravočasno zaključeno celovito presojo vplivov na okolje bo sprejem NEPN mogoče doseči v prvi polovici 2020</w:t>
      </w:r>
      <w:r w:rsidR="00E42341">
        <w:rPr>
          <w:rFonts w:ascii="Arial" w:hAnsi="Arial" w:cs="Arial"/>
          <w:b/>
          <w:sz w:val="20"/>
          <w:szCs w:val="20"/>
        </w:rPr>
        <w:t>.</w:t>
      </w:r>
    </w:p>
    <w:p w14:paraId="443CFC7E" w14:textId="77777777" w:rsidR="0044727A" w:rsidRPr="00FC19D4" w:rsidRDefault="0044727A" w:rsidP="000E4629">
      <w:pPr>
        <w:pStyle w:val="ti-grseq-1"/>
        <w:spacing w:before="0" w:beforeAutospacing="0" w:after="0" w:afterAutospacing="0" w:line="276" w:lineRule="auto"/>
        <w:jc w:val="both"/>
        <w:rPr>
          <w:rFonts w:ascii="Arial" w:hAnsi="Arial" w:cs="Arial"/>
          <w:b/>
          <w:sz w:val="20"/>
          <w:szCs w:val="20"/>
        </w:rPr>
      </w:pPr>
      <w:r w:rsidRPr="00FC19D4">
        <w:rPr>
          <w:rFonts w:ascii="Arial" w:hAnsi="Arial" w:cs="Arial"/>
          <w:b/>
          <w:sz w:val="20"/>
          <w:szCs w:val="20"/>
        </w:rPr>
        <w:lastRenderedPageBreak/>
        <w:t xml:space="preserve">Sprejetje NEPN in njegova predložitev Komisiji bosta predstavljala tudi </w:t>
      </w:r>
      <w:proofErr w:type="spellStart"/>
      <w:r w:rsidRPr="00FC19D4">
        <w:rPr>
          <w:rFonts w:ascii="Arial" w:hAnsi="Arial" w:cs="Arial"/>
          <w:b/>
          <w:sz w:val="20"/>
          <w:szCs w:val="20"/>
        </w:rPr>
        <w:t>omogočitveni</w:t>
      </w:r>
      <w:proofErr w:type="spellEnd"/>
      <w:r w:rsidRPr="00FC19D4">
        <w:rPr>
          <w:rFonts w:ascii="Arial" w:hAnsi="Arial" w:cs="Arial"/>
          <w:b/>
          <w:sz w:val="20"/>
          <w:szCs w:val="20"/>
        </w:rPr>
        <w:t xml:space="preserve"> pogoj za črpanje kohezijskih sredstev v novi večletni finančni perspektivi.</w:t>
      </w:r>
    </w:p>
    <w:p w14:paraId="72AF3780" w14:textId="77777777" w:rsidR="0044727A" w:rsidRPr="00FC19D4" w:rsidRDefault="0044727A" w:rsidP="000E4629">
      <w:pPr>
        <w:jc w:val="both"/>
        <w:rPr>
          <w:rFonts w:ascii="Arial" w:hAnsi="Arial" w:cs="Arial"/>
          <w:b/>
        </w:rPr>
      </w:pPr>
    </w:p>
    <w:p w14:paraId="46F11F83" w14:textId="1CB88A93" w:rsidR="0044727A" w:rsidRPr="00FC19D4" w:rsidRDefault="0044727A" w:rsidP="000E4629">
      <w:pPr>
        <w:pStyle w:val="ti-grseq-1"/>
        <w:numPr>
          <w:ilvl w:val="0"/>
          <w:numId w:val="39"/>
        </w:numPr>
        <w:spacing w:before="0" w:beforeAutospacing="0" w:after="0" w:afterAutospacing="0" w:line="276" w:lineRule="auto"/>
        <w:jc w:val="both"/>
        <w:rPr>
          <w:rFonts w:ascii="Arial" w:eastAsia="Calibri" w:hAnsi="Arial" w:cs="Arial"/>
          <w:b/>
          <w:sz w:val="20"/>
          <w:szCs w:val="20"/>
          <w:lang w:eastAsia="en-US"/>
        </w:rPr>
      </w:pPr>
      <w:r w:rsidRPr="00FC19D4">
        <w:rPr>
          <w:rFonts w:ascii="Arial" w:eastAsia="Calibri" w:hAnsi="Arial" w:cs="Arial"/>
          <w:b/>
          <w:sz w:val="20"/>
          <w:szCs w:val="20"/>
          <w:lang w:eastAsia="en-US"/>
        </w:rPr>
        <w:t>POLITIČNI, GOSPODARSKI, OKOLJSKI IN SOCIALNI KONTEKST NAČRTA</w:t>
      </w:r>
    </w:p>
    <w:p w14:paraId="39FC0209" w14:textId="77777777" w:rsidR="008C40C4" w:rsidRPr="00FC19D4" w:rsidRDefault="008C40C4" w:rsidP="000E4629">
      <w:pPr>
        <w:pStyle w:val="ti-grseq-1"/>
        <w:spacing w:before="0" w:beforeAutospacing="0" w:after="0" w:afterAutospacing="0" w:line="276" w:lineRule="auto"/>
        <w:ind w:left="720"/>
        <w:jc w:val="both"/>
        <w:rPr>
          <w:rFonts w:ascii="Arial" w:hAnsi="Arial" w:cs="Arial"/>
          <w:b/>
        </w:rPr>
      </w:pPr>
    </w:p>
    <w:p w14:paraId="2B52C1BA" w14:textId="77777777" w:rsidR="0044727A" w:rsidRPr="00FC19D4" w:rsidRDefault="0044727A" w:rsidP="000E4629">
      <w:pPr>
        <w:jc w:val="both"/>
        <w:rPr>
          <w:rFonts w:ascii="Arial" w:hAnsi="Arial" w:cs="Arial"/>
          <w:sz w:val="20"/>
          <w:szCs w:val="20"/>
        </w:rPr>
      </w:pPr>
      <w:r w:rsidRPr="00FC19D4">
        <w:rPr>
          <w:rFonts w:ascii="Arial" w:hAnsi="Arial" w:cs="Arial"/>
          <w:sz w:val="20"/>
          <w:szCs w:val="20"/>
        </w:rPr>
        <w:t>Vlada je 7. decembra 2017 sprejela Strategijo razvoja Slovenije 2030 (SRS 2030), krovni razvojni okvir države, ki v ospredje postavlja kakovost življenja za vse.</w:t>
      </w:r>
      <w:r w:rsidRPr="00483BAD">
        <w:rPr>
          <w:rFonts w:ascii="Arial" w:hAnsi="Arial" w:cs="Arial"/>
          <w:sz w:val="20"/>
          <w:szCs w:val="20"/>
          <w:vertAlign w:val="superscript"/>
        </w:rPr>
        <w:footnoteReference w:id="14"/>
      </w:r>
      <w:r w:rsidRPr="00FC19D4">
        <w:rPr>
          <w:rFonts w:ascii="Arial" w:hAnsi="Arial" w:cs="Arial"/>
          <w:sz w:val="20"/>
          <w:szCs w:val="20"/>
        </w:rPr>
        <w:t xml:space="preserve"> Strategija vključuje cilje trajnostnega razvoja dogovorjene na globalni ravni in s petimi strateškimi usmeritvami in dvanajstimi medsebojno povezanimi razvojnimi cilji postavlja nove dolgoročne razvojne temelje Slovenije. </w:t>
      </w:r>
    </w:p>
    <w:p w14:paraId="1E8F7A6F" w14:textId="77777777" w:rsidR="0044727A" w:rsidRPr="00FC19D4" w:rsidRDefault="0044727A" w:rsidP="000E4629">
      <w:pPr>
        <w:jc w:val="both"/>
        <w:rPr>
          <w:rFonts w:ascii="Arial" w:hAnsi="Arial" w:cs="Arial"/>
          <w:sz w:val="20"/>
          <w:szCs w:val="20"/>
        </w:rPr>
      </w:pPr>
      <w:r w:rsidRPr="00FC19D4">
        <w:rPr>
          <w:rFonts w:ascii="Arial" w:hAnsi="Arial" w:cs="Arial"/>
          <w:sz w:val="20"/>
          <w:szCs w:val="20"/>
        </w:rPr>
        <w:t xml:space="preserve">Slovenija postopoma napreduje na področju kakovosti življenja in gospodarskega razvoja, zmanjšujejo se tudi nekateri pritiski na okolje. Kljub temu na številnih področjih gospodarskega, družbenega in </w:t>
      </w:r>
      <w:proofErr w:type="spellStart"/>
      <w:r w:rsidRPr="00FC19D4">
        <w:rPr>
          <w:rFonts w:ascii="Arial" w:hAnsi="Arial" w:cs="Arial"/>
          <w:sz w:val="20"/>
          <w:szCs w:val="20"/>
        </w:rPr>
        <w:t>okoljskega</w:t>
      </w:r>
      <w:proofErr w:type="spellEnd"/>
      <w:r w:rsidRPr="00FC19D4">
        <w:rPr>
          <w:rFonts w:ascii="Arial" w:hAnsi="Arial" w:cs="Arial"/>
          <w:sz w:val="20"/>
          <w:szCs w:val="20"/>
        </w:rPr>
        <w:t xml:space="preserve"> razvoja precej zaostaja za najrazvitejšimi državami, pri čemer so zaostanki posameznih regij različni.</w:t>
      </w:r>
    </w:p>
    <w:p w14:paraId="41E50CBD" w14:textId="77777777" w:rsidR="0044727A" w:rsidRPr="00FC19D4" w:rsidRDefault="0044727A" w:rsidP="000E4629">
      <w:pPr>
        <w:jc w:val="both"/>
        <w:rPr>
          <w:rFonts w:ascii="Arial" w:hAnsi="Arial" w:cs="Arial"/>
          <w:sz w:val="20"/>
          <w:szCs w:val="20"/>
        </w:rPr>
      </w:pPr>
      <w:r w:rsidRPr="00FC19D4">
        <w:rPr>
          <w:rFonts w:ascii="Arial" w:hAnsi="Arial" w:cs="Arial"/>
          <w:sz w:val="20"/>
          <w:szCs w:val="20"/>
        </w:rPr>
        <w:t xml:space="preserve">Pozitivni premiki so bili v zadnjih letih doseženi pri zmanjšanju obremenitev okolja, ki ga prebivalke in prebivalci Slovenije še vedno čezmerno obremenjujemo s sedanjim življenjskim slogom in proizvodnimi procesi. Izpusti toplogrednih plinov so se ob nižji gospodarski aktivnosti v krizi zmanjšali, a na enoto BDP ostajajo višji od povprečja EU. </w:t>
      </w:r>
      <w:proofErr w:type="spellStart"/>
      <w:r w:rsidRPr="00FC19D4">
        <w:rPr>
          <w:rFonts w:ascii="Arial" w:hAnsi="Arial" w:cs="Arial"/>
          <w:sz w:val="20"/>
          <w:szCs w:val="20"/>
        </w:rPr>
        <w:t>Okoljsko</w:t>
      </w:r>
      <w:proofErr w:type="spellEnd"/>
      <w:r w:rsidRPr="00FC19D4">
        <w:rPr>
          <w:rFonts w:ascii="Arial" w:hAnsi="Arial" w:cs="Arial"/>
          <w:sz w:val="20"/>
          <w:szCs w:val="20"/>
        </w:rPr>
        <w:t xml:space="preserve"> problematično je predvsem povečevanje tranzitnega cestnega prometa in splošne </w:t>
      </w:r>
      <w:proofErr w:type="spellStart"/>
      <w:r w:rsidRPr="00FC19D4">
        <w:rPr>
          <w:rFonts w:ascii="Arial" w:hAnsi="Arial" w:cs="Arial"/>
          <w:sz w:val="20"/>
          <w:szCs w:val="20"/>
        </w:rPr>
        <w:t>netrajnostne</w:t>
      </w:r>
      <w:proofErr w:type="spellEnd"/>
      <w:r w:rsidRPr="00FC19D4">
        <w:rPr>
          <w:rFonts w:ascii="Arial" w:hAnsi="Arial" w:cs="Arial"/>
          <w:sz w:val="20"/>
          <w:szCs w:val="20"/>
        </w:rPr>
        <w:t xml:space="preserve"> mobilnosti. Zaradi nižje rabe v gospodinjstvih in industriji se zmanjšuje skupna raba energije, a ostaja sorazmerno visoka na enoto BDP zaradi velikega deleža energetsko intenzivnih dejavnosti.</w:t>
      </w:r>
    </w:p>
    <w:p w14:paraId="6058133F" w14:textId="77777777" w:rsidR="0044727A" w:rsidRPr="00FC19D4" w:rsidRDefault="0044727A" w:rsidP="000E4629">
      <w:pPr>
        <w:jc w:val="both"/>
        <w:rPr>
          <w:rFonts w:ascii="Arial" w:hAnsi="Arial" w:cs="Arial"/>
          <w:sz w:val="20"/>
          <w:szCs w:val="20"/>
        </w:rPr>
      </w:pPr>
      <w:r w:rsidRPr="00FC19D4">
        <w:rPr>
          <w:rFonts w:ascii="Arial" w:hAnsi="Arial" w:cs="Arial"/>
          <w:sz w:val="20"/>
          <w:szCs w:val="20"/>
        </w:rPr>
        <w:t xml:space="preserve">Slovensko gospodarstvo v primerjavi z EU tudi nadpovprečno sloni na rabi surovin, kar se zrcali v njegovi nižji snovni učinkovitosti in zmanjšuje njegovo konkurenčnost. Na nekaterih področjih, kot sta delež obnovljivih virov energije in delež ekološke kmetijske obdelave, je Slovenija uspešnejša od povprečja EU. </w:t>
      </w:r>
    </w:p>
    <w:p w14:paraId="1C0C1FFB" w14:textId="77777777" w:rsidR="0044727A" w:rsidRPr="00FC19D4" w:rsidRDefault="0044727A" w:rsidP="000E4629">
      <w:pPr>
        <w:jc w:val="both"/>
        <w:rPr>
          <w:rFonts w:ascii="Arial" w:hAnsi="Arial" w:cs="Arial"/>
          <w:sz w:val="20"/>
          <w:szCs w:val="20"/>
        </w:rPr>
      </w:pPr>
      <w:r w:rsidRPr="00FC19D4">
        <w:rPr>
          <w:rFonts w:ascii="Arial" w:hAnsi="Arial" w:cs="Arial"/>
          <w:sz w:val="20"/>
          <w:szCs w:val="20"/>
        </w:rPr>
        <w:t xml:space="preserve">Slovenija ima tudi ugodne naravne danosti, obalne in morske vire ter pestro biotsko raznovrstnost, a se zaradi neustrezne rabe naravnih virov (zlasti na področju urbanizacije, kmetijstva in upravljanja voda) stanje ohranjenosti vrst in njihovih življenjskih okolij poslabšuje. </w:t>
      </w:r>
    </w:p>
    <w:p w14:paraId="1299D3AF" w14:textId="77777777" w:rsidR="0044727A" w:rsidRPr="00FC19D4" w:rsidRDefault="0044727A" w:rsidP="000E4629">
      <w:pPr>
        <w:jc w:val="both"/>
        <w:rPr>
          <w:rFonts w:ascii="Arial" w:hAnsi="Arial" w:cs="Arial"/>
          <w:sz w:val="20"/>
          <w:szCs w:val="20"/>
        </w:rPr>
      </w:pPr>
      <w:r w:rsidRPr="00FC19D4">
        <w:rPr>
          <w:rFonts w:ascii="Arial" w:hAnsi="Arial" w:cs="Arial"/>
          <w:sz w:val="20"/>
          <w:szCs w:val="20"/>
        </w:rPr>
        <w:t xml:space="preserve">Prilagajanje podnebnim spremembam, prehod v </w:t>
      </w:r>
      <w:proofErr w:type="spellStart"/>
      <w:r w:rsidRPr="00FC19D4">
        <w:rPr>
          <w:rFonts w:ascii="Arial" w:hAnsi="Arial" w:cs="Arial"/>
          <w:sz w:val="20"/>
          <w:szCs w:val="20"/>
        </w:rPr>
        <w:t>nizkoogljično</w:t>
      </w:r>
      <w:proofErr w:type="spellEnd"/>
      <w:r w:rsidRPr="00FC19D4">
        <w:rPr>
          <w:rFonts w:ascii="Arial" w:hAnsi="Arial" w:cs="Arial"/>
          <w:sz w:val="20"/>
          <w:szCs w:val="20"/>
        </w:rPr>
        <w:t xml:space="preserve"> in krožno gospodarstvo, ki bi omogočal njegovo konkurenčnost in kakovost življenja prebivalstva ob dolgoročnem ohranjanju naravnih virov, zahteva spreminjanje proizvodnje in potrošnje v bolj trajnostne oblike.</w:t>
      </w:r>
    </w:p>
    <w:p w14:paraId="58CEBE4E" w14:textId="009CB7BC" w:rsidR="0044727A" w:rsidRPr="00FC19D4" w:rsidRDefault="0044727A" w:rsidP="000E4629">
      <w:pPr>
        <w:jc w:val="both"/>
        <w:rPr>
          <w:rFonts w:ascii="Arial" w:hAnsi="Arial" w:cs="Arial"/>
          <w:sz w:val="20"/>
          <w:szCs w:val="20"/>
        </w:rPr>
      </w:pPr>
      <w:r w:rsidRPr="00FC19D4">
        <w:rPr>
          <w:rFonts w:ascii="Arial" w:hAnsi="Arial" w:cs="Arial"/>
          <w:sz w:val="20"/>
          <w:szCs w:val="20"/>
        </w:rPr>
        <w:t xml:space="preserve">Skladno s SRS 2030 je osrednji cilj Slovenije do 2030 zagotoviti kakovostno življenje za vse, kar je mogoče uresničiti z uravnoteženim gospodarskim, družbenim in </w:t>
      </w:r>
      <w:proofErr w:type="spellStart"/>
      <w:r w:rsidRPr="00FC19D4">
        <w:rPr>
          <w:rFonts w:ascii="Arial" w:hAnsi="Arial" w:cs="Arial"/>
          <w:sz w:val="20"/>
          <w:szCs w:val="20"/>
        </w:rPr>
        <w:t>okoljskim</w:t>
      </w:r>
      <w:proofErr w:type="spellEnd"/>
      <w:r w:rsidRPr="00FC19D4">
        <w:rPr>
          <w:rFonts w:ascii="Arial" w:hAnsi="Arial" w:cs="Arial"/>
          <w:sz w:val="20"/>
          <w:szCs w:val="20"/>
        </w:rPr>
        <w:t xml:space="preserve"> razvojem, ki upošteva omejitve in zmožnosti planeta ter ustvarja pogoje in priložnosti za sedanje in prihodnje rodove.</w:t>
      </w:r>
    </w:p>
    <w:p w14:paraId="17416437" w14:textId="77777777" w:rsidR="005A18C9" w:rsidRPr="00FC19D4" w:rsidRDefault="005A18C9" w:rsidP="000E4629">
      <w:pPr>
        <w:jc w:val="both"/>
        <w:rPr>
          <w:rFonts w:ascii="Arial" w:hAnsi="Arial" w:cs="Arial"/>
          <w:sz w:val="20"/>
          <w:szCs w:val="20"/>
        </w:rPr>
      </w:pPr>
    </w:p>
    <w:p w14:paraId="5410DF08" w14:textId="7A2239D1" w:rsidR="008C40C4" w:rsidRPr="00FC19D4" w:rsidRDefault="0044727A" w:rsidP="000E4629">
      <w:pPr>
        <w:pStyle w:val="Odstavekseznama"/>
        <w:numPr>
          <w:ilvl w:val="0"/>
          <w:numId w:val="39"/>
        </w:numPr>
        <w:jc w:val="both"/>
        <w:rPr>
          <w:rFonts w:ascii="Arial" w:eastAsia="Arial" w:hAnsi="Arial" w:cs="Arial"/>
          <w:sz w:val="20"/>
          <w:szCs w:val="20"/>
        </w:rPr>
      </w:pPr>
      <w:r w:rsidRPr="00FC19D4">
        <w:rPr>
          <w:rFonts w:ascii="Arial" w:hAnsi="Arial" w:cs="Arial"/>
          <w:b/>
          <w:sz w:val="20"/>
          <w:szCs w:val="20"/>
        </w:rPr>
        <w:t>STRATEGIJA, KI SE NANAŠA NA PET RAZSEŽNOSTI ENERGETSKE UNIJE</w:t>
      </w:r>
    </w:p>
    <w:p w14:paraId="72FA0717" w14:textId="77777777" w:rsidR="0044727A" w:rsidRPr="00FC19D4" w:rsidRDefault="0044727A" w:rsidP="000E4629">
      <w:pPr>
        <w:jc w:val="both"/>
        <w:rPr>
          <w:rFonts w:ascii="Arial" w:hAnsi="Arial" w:cs="Arial"/>
          <w:sz w:val="20"/>
          <w:szCs w:val="20"/>
        </w:rPr>
      </w:pPr>
      <w:r w:rsidRPr="00FC19D4">
        <w:rPr>
          <w:rFonts w:ascii="Arial" w:hAnsi="Arial" w:cs="Arial"/>
          <w:sz w:val="20"/>
          <w:szCs w:val="20"/>
        </w:rPr>
        <w:t xml:space="preserve">Skladno s SRS 2030 in upoštevajoč razsežnosti energetske unije bo Slovenija do leta 2030 kot prednostni razvojni usmeritvi zasledovala prehod v </w:t>
      </w:r>
      <w:proofErr w:type="spellStart"/>
      <w:r w:rsidRPr="00FC19D4">
        <w:rPr>
          <w:rFonts w:ascii="Arial" w:hAnsi="Arial" w:cs="Arial"/>
          <w:sz w:val="20"/>
          <w:szCs w:val="20"/>
        </w:rPr>
        <w:t>nizkoogljično</w:t>
      </w:r>
      <w:proofErr w:type="spellEnd"/>
      <w:r w:rsidRPr="00FC19D4">
        <w:rPr>
          <w:rFonts w:ascii="Arial" w:hAnsi="Arial" w:cs="Arial"/>
          <w:sz w:val="20"/>
          <w:szCs w:val="20"/>
        </w:rPr>
        <w:t xml:space="preserve"> krožno gospodarstvo (SRS 2030, 8. razvojni cilj) in trajnostno upravljanje naravnih virov (SRS 2030, 9. razvojni cilj), kjer si je Slovenija določila naslednje kazalnike uspešnosti:</w:t>
      </w:r>
    </w:p>
    <w:p w14:paraId="7CEEF3BD" w14:textId="77777777" w:rsidR="0044727A" w:rsidRPr="00FC19D4" w:rsidRDefault="0044727A" w:rsidP="000E4629">
      <w:pPr>
        <w:numPr>
          <w:ilvl w:val="0"/>
          <w:numId w:val="24"/>
        </w:numPr>
        <w:spacing w:after="0"/>
        <w:jc w:val="both"/>
        <w:rPr>
          <w:rFonts w:ascii="Arial" w:hAnsi="Arial" w:cs="Arial"/>
          <w:sz w:val="20"/>
          <w:szCs w:val="20"/>
        </w:rPr>
      </w:pPr>
      <w:r w:rsidRPr="00FC19D4">
        <w:rPr>
          <w:rFonts w:ascii="Arial" w:hAnsi="Arial" w:cs="Arial"/>
          <w:sz w:val="20"/>
          <w:szCs w:val="20"/>
        </w:rPr>
        <w:t xml:space="preserve">snovno produktivnost: 1,79 SKM/kg v letu 2015 </w:t>
      </w:r>
      <w:r w:rsidRPr="00FC19D4">
        <w:rPr>
          <w:rFonts w:ascii="Arial" w:hAnsi="Arial" w:cs="Arial"/>
          <w:sz w:val="20"/>
          <w:szCs w:val="20"/>
        </w:rPr>
        <w:sym w:font="Wingdings" w:char="F0E0"/>
      </w:r>
      <w:r w:rsidRPr="00FC19D4">
        <w:rPr>
          <w:rFonts w:ascii="Arial" w:hAnsi="Arial" w:cs="Arial"/>
          <w:sz w:val="20"/>
          <w:szCs w:val="20"/>
        </w:rPr>
        <w:t xml:space="preserve"> 3,5 SKM/kg v letu 2030,</w:t>
      </w:r>
    </w:p>
    <w:p w14:paraId="7609998F" w14:textId="77777777" w:rsidR="0044727A" w:rsidRPr="00FC19D4" w:rsidRDefault="0044727A" w:rsidP="000E4629">
      <w:pPr>
        <w:numPr>
          <w:ilvl w:val="0"/>
          <w:numId w:val="24"/>
        </w:numPr>
        <w:spacing w:after="0"/>
        <w:jc w:val="both"/>
        <w:rPr>
          <w:rFonts w:ascii="Arial" w:hAnsi="Arial" w:cs="Arial"/>
          <w:sz w:val="20"/>
          <w:szCs w:val="20"/>
        </w:rPr>
      </w:pPr>
      <w:r w:rsidRPr="00FC19D4">
        <w:rPr>
          <w:rFonts w:ascii="Arial" w:hAnsi="Arial" w:cs="Arial"/>
          <w:sz w:val="20"/>
          <w:szCs w:val="20"/>
        </w:rPr>
        <w:lastRenderedPageBreak/>
        <w:t xml:space="preserve">delež obnovljivih virov v končni rabi energije: 22 % v letu 2015 </w:t>
      </w:r>
      <w:r w:rsidRPr="00FC19D4">
        <w:rPr>
          <w:rFonts w:ascii="Arial" w:hAnsi="Arial" w:cs="Arial"/>
          <w:sz w:val="20"/>
          <w:szCs w:val="20"/>
        </w:rPr>
        <w:sym w:font="Wingdings" w:char="F0E0"/>
      </w:r>
      <w:r w:rsidRPr="00FC19D4">
        <w:rPr>
          <w:rFonts w:ascii="Arial" w:hAnsi="Arial" w:cs="Arial"/>
          <w:sz w:val="20"/>
          <w:szCs w:val="20"/>
        </w:rPr>
        <w:t xml:space="preserve"> 27 % v letu 2030;</w:t>
      </w:r>
    </w:p>
    <w:p w14:paraId="6955058C" w14:textId="77777777" w:rsidR="0044727A" w:rsidRPr="00FC19D4" w:rsidRDefault="0044727A" w:rsidP="000E4629">
      <w:pPr>
        <w:numPr>
          <w:ilvl w:val="0"/>
          <w:numId w:val="24"/>
        </w:numPr>
        <w:spacing w:after="0"/>
        <w:jc w:val="both"/>
        <w:rPr>
          <w:rFonts w:ascii="Arial" w:hAnsi="Arial" w:cs="Arial"/>
          <w:sz w:val="20"/>
          <w:szCs w:val="20"/>
        </w:rPr>
      </w:pPr>
      <w:r w:rsidRPr="00FC19D4">
        <w:rPr>
          <w:rFonts w:ascii="Arial" w:hAnsi="Arial" w:cs="Arial"/>
          <w:sz w:val="20"/>
          <w:szCs w:val="20"/>
        </w:rPr>
        <w:t xml:space="preserve">emisijsko produktivnost (BDP/izpusti toplogrednih plinov): 2,9 SKM/kg CO2 ustreznik v letu 2015 </w:t>
      </w:r>
      <w:r w:rsidRPr="00FC19D4">
        <w:rPr>
          <w:rFonts w:ascii="Arial" w:hAnsi="Arial" w:cs="Arial"/>
          <w:sz w:val="20"/>
          <w:szCs w:val="20"/>
        </w:rPr>
        <w:sym w:font="Wingdings" w:char="F0E0"/>
      </w:r>
      <w:r w:rsidRPr="00FC19D4">
        <w:rPr>
          <w:rFonts w:ascii="Arial" w:hAnsi="Arial" w:cs="Arial"/>
          <w:sz w:val="20"/>
          <w:szCs w:val="20"/>
        </w:rPr>
        <w:t xml:space="preserve"> povprečje EU v letu 2030;</w:t>
      </w:r>
    </w:p>
    <w:p w14:paraId="7DC2BCC6" w14:textId="77777777" w:rsidR="0044727A" w:rsidRPr="00FC19D4" w:rsidRDefault="0044727A" w:rsidP="000E4629">
      <w:pPr>
        <w:numPr>
          <w:ilvl w:val="0"/>
          <w:numId w:val="24"/>
        </w:numPr>
        <w:spacing w:after="0"/>
        <w:jc w:val="both"/>
        <w:rPr>
          <w:rFonts w:ascii="Arial" w:hAnsi="Arial" w:cs="Arial"/>
          <w:sz w:val="20"/>
          <w:szCs w:val="20"/>
        </w:rPr>
      </w:pPr>
      <w:r w:rsidRPr="00FC19D4">
        <w:rPr>
          <w:rFonts w:ascii="Arial" w:hAnsi="Arial" w:cs="Arial"/>
          <w:sz w:val="20"/>
          <w:szCs w:val="20"/>
        </w:rPr>
        <w:t xml:space="preserve">kmetijska zemljišča v uporabi, delež v skupni površini: 23,7 % v letu 2016 </w:t>
      </w:r>
      <w:r w:rsidRPr="00FC19D4">
        <w:rPr>
          <w:rFonts w:ascii="Arial" w:hAnsi="Arial" w:cs="Arial"/>
          <w:sz w:val="20"/>
          <w:szCs w:val="20"/>
        </w:rPr>
        <w:sym w:font="Wingdings" w:char="F0E0"/>
      </w:r>
      <w:r w:rsidRPr="00FC19D4">
        <w:rPr>
          <w:rFonts w:ascii="Arial" w:hAnsi="Arial" w:cs="Arial"/>
          <w:sz w:val="20"/>
          <w:szCs w:val="20"/>
        </w:rPr>
        <w:t xml:space="preserve"> &gt;24 % v letu 2030;</w:t>
      </w:r>
    </w:p>
    <w:p w14:paraId="32D0EDDE" w14:textId="77777777" w:rsidR="0044727A" w:rsidRPr="00FC19D4" w:rsidRDefault="0044727A" w:rsidP="000E4629">
      <w:pPr>
        <w:numPr>
          <w:ilvl w:val="0"/>
          <w:numId w:val="24"/>
        </w:numPr>
        <w:spacing w:after="0"/>
        <w:jc w:val="both"/>
        <w:rPr>
          <w:rFonts w:ascii="Arial" w:hAnsi="Arial" w:cs="Arial"/>
          <w:sz w:val="20"/>
          <w:szCs w:val="20"/>
        </w:rPr>
      </w:pPr>
      <w:r w:rsidRPr="00FC19D4">
        <w:rPr>
          <w:rFonts w:ascii="Arial" w:hAnsi="Arial" w:cs="Arial"/>
          <w:sz w:val="20"/>
          <w:szCs w:val="20"/>
        </w:rPr>
        <w:t xml:space="preserve">kakovost vodotokov – biokemijska potreba po kisiku v rekah: 1,05 mg O2/l v letu 2015 </w:t>
      </w:r>
      <w:r w:rsidRPr="00FC19D4">
        <w:rPr>
          <w:rFonts w:ascii="Arial" w:hAnsi="Arial" w:cs="Arial"/>
          <w:sz w:val="20"/>
          <w:szCs w:val="20"/>
        </w:rPr>
        <w:sym w:font="Wingdings" w:char="F0E0"/>
      </w:r>
      <w:r w:rsidRPr="00FC19D4">
        <w:rPr>
          <w:rFonts w:ascii="Arial" w:hAnsi="Arial" w:cs="Arial"/>
          <w:sz w:val="20"/>
          <w:szCs w:val="20"/>
        </w:rPr>
        <w:t xml:space="preserve"> &lt;1 mg O2/l v letu 2030;</w:t>
      </w:r>
    </w:p>
    <w:p w14:paraId="144233E5" w14:textId="77777777" w:rsidR="0044727A" w:rsidRPr="00FC19D4" w:rsidRDefault="0044727A" w:rsidP="000E4629">
      <w:pPr>
        <w:numPr>
          <w:ilvl w:val="0"/>
          <w:numId w:val="24"/>
        </w:numPr>
        <w:spacing w:after="0"/>
        <w:jc w:val="both"/>
        <w:rPr>
          <w:rFonts w:ascii="Arial" w:hAnsi="Arial" w:cs="Arial"/>
          <w:sz w:val="20"/>
          <w:szCs w:val="20"/>
        </w:rPr>
      </w:pPr>
      <w:r w:rsidRPr="00FC19D4">
        <w:rPr>
          <w:rFonts w:ascii="Arial" w:hAnsi="Arial" w:cs="Arial"/>
          <w:sz w:val="20"/>
          <w:szCs w:val="20"/>
        </w:rPr>
        <w:t xml:space="preserve">ekološki odtis: 4,7 </w:t>
      </w:r>
      <w:proofErr w:type="spellStart"/>
      <w:r w:rsidRPr="00FC19D4">
        <w:rPr>
          <w:rFonts w:ascii="Arial" w:hAnsi="Arial" w:cs="Arial"/>
          <w:sz w:val="20"/>
          <w:szCs w:val="20"/>
        </w:rPr>
        <w:t>gha</w:t>
      </w:r>
      <w:proofErr w:type="spellEnd"/>
      <w:r w:rsidRPr="00FC19D4">
        <w:rPr>
          <w:rFonts w:ascii="Arial" w:hAnsi="Arial" w:cs="Arial"/>
          <w:sz w:val="20"/>
          <w:szCs w:val="20"/>
        </w:rPr>
        <w:t xml:space="preserve">/osebo v letu 2013 </w:t>
      </w:r>
      <w:r w:rsidRPr="00FC19D4">
        <w:rPr>
          <w:rFonts w:ascii="Arial" w:hAnsi="Arial" w:cs="Arial"/>
          <w:sz w:val="20"/>
          <w:szCs w:val="20"/>
        </w:rPr>
        <w:sym w:font="Wingdings" w:char="F0E0"/>
      </w:r>
      <w:r w:rsidRPr="00FC19D4">
        <w:rPr>
          <w:rFonts w:ascii="Arial" w:hAnsi="Arial" w:cs="Arial"/>
          <w:sz w:val="20"/>
          <w:szCs w:val="20"/>
        </w:rPr>
        <w:t xml:space="preserve"> 3,8 </w:t>
      </w:r>
      <w:proofErr w:type="spellStart"/>
      <w:r w:rsidRPr="00FC19D4">
        <w:rPr>
          <w:rFonts w:ascii="Arial" w:hAnsi="Arial" w:cs="Arial"/>
          <w:sz w:val="20"/>
          <w:szCs w:val="20"/>
        </w:rPr>
        <w:t>gha</w:t>
      </w:r>
      <w:proofErr w:type="spellEnd"/>
      <w:r w:rsidRPr="00FC19D4">
        <w:rPr>
          <w:rFonts w:ascii="Arial" w:hAnsi="Arial" w:cs="Arial"/>
          <w:sz w:val="20"/>
          <w:szCs w:val="20"/>
        </w:rPr>
        <w:t>/osebo v letu 2030.</w:t>
      </w:r>
    </w:p>
    <w:p w14:paraId="4ACD8E4A" w14:textId="77777777" w:rsidR="0044727A" w:rsidRPr="00FC19D4" w:rsidRDefault="0044727A" w:rsidP="000E4629">
      <w:pPr>
        <w:jc w:val="both"/>
        <w:rPr>
          <w:rFonts w:ascii="Arial" w:hAnsi="Arial" w:cs="Arial"/>
          <w:sz w:val="20"/>
          <w:szCs w:val="20"/>
        </w:rPr>
      </w:pPr>
    </w:p>
    <w:p w14:paraId="4AD88C44" w14:textId="2FF3A5DF" w:rsidR="0044727A" w:rsidRPr="00FC19D4" w:rsidRDefault="0044727A" w:rsidP="000E4629">
      <w:pPr>
        <w:pStyle w:val="ti-grseq-1"/>
        <w:spacing w:before="0" w:beforeAutospacing="0" w:after="0" w:afterAutospacing="0" w:line="276" w:lineRule="auto"/>
        <w:jc w:val="both"/>
        <w:rPr>
          <w:rFonts w:ascii="Arial" w:eastAsia="Calibri" w:hAnsi="Arial" w:cs="Arial"/>
          <w:bCs/>
          <w:sz w:val="20"/>
          <w:szCs w:val="20"/>
          <w:lang w:eastAsia="en-US"/>
        </w:rPr>
      </w:pPr>
      <w:r w:rsidRPr="00FC19D4">
        <w:rPr>
          <w:rFonts w:ascii="Arial" w:eastAsia="Calibri" w:hAnsi="Arial" w:cs="Arial"/>
          <w:bCs/>
          <w:sz w:val="20"/>
          <w:szCs w:val="20"/>
          <w:lang w:eastAsia="en-US"/>
        </w:rPr>
        <w:t xml:space="preserve">23. 5. 2019 je Vlada Republike Slovenije obravnavala okvir o pripravi dolgoročne podnebne politike Slovenije do leta 2050 – »Slovenija in zdrav planet«, s katerim </w:t>
      </w:r>
      <w:r w:rsidRPr="00FC19D4">
        <w:rPr>
          <w:rFonts w:ascii="Arial" w:eastAsia="Calibri" w:hAnsi="Arial" w:cs="Arial"/>
          <w:sz w:val="20"/>
          <w:szCs w:val="20"/>
          <w:lang w:eastAsia="en-US"/>
        </w:rPr>
        <w:t xml:space="preserve">želi Slovenija spodbuditi podnebno krepitev vseh relevantnih politik na sektorski in </w:t>
      </w:r>
      <w:proofErr w:type="spellStart"/>
      <w:r w:rsidRPr="00FC19D4">
        <w:rPr>
          <w:rFonts w:ascii="Arial" w:eastAsia="Calibri" w:hAnsi="Arial" w:cs="Arial"/>
          <w:sz w:val="20"/>
          <w:szCs w:val="20"/>
          <w:lang w:eastAsia="en-US"/>
        </w:rPr>
        <w:t>nadsektorski</w:t>
      </w:r>
      <w:proofErr w:type="spellEnd"/>
      <w:r w:rsidRPr="00FC19D4">
        <w:rPr>
          <w:rFonts w:ascii="Arial" w:eastAsia="Calibri" w:hAnsi="Arial" w:cs="Arial"/>
          <w:sz w:val="20"/>
          <w:szCs w:val="20"/>
          <w:lang w:eastAsia="en-US"/>
        </w:rPr>
        <w:t xml:space="preserve"> ravni. </w:t>
      </w:r>
      <w:r w:rsidR="00464013" w:rsidRPr="00FC19D4">
        <w:rPr>
          <w:rFonts w:ascii="Arial" w:hAnsi="Arial" w:cs="Arial"/>
          <w:iCs/>
          <w:sz w:val="20"/>
          <w:szCs w:val="20"/>
        </w:rPr>
        <w:t xml:space="preserve">Nacionalna dolgoročna strategija za nizke emisije in NEPN bosta v Sloveniji pripravljena usklajeno. </w:t>
      </w:r>
      <w:r w:rsidR="00464013" w:rsidRPr="00FC19D4">
        <w:rPr>
          <w:rFonts w:ascii="Arial" w:hAnsi="Arial" w:cs="Arial"/>
          <w:sz w:val="20"/>
          <w:szCs w:val="20"/>
        </w:rPr>
        <w:t xml:space="preserve">Slovenija bo v nadaljevanju pripravila tudi Energetski koncept Slovenije (EKS) kot osnovni dolgoročni razvojni dokument na področju energetike, ki bo na podlagi projekcij gospodarskega, </w:t>
      </w:r>
      <w:proofErr w:type="spellStart"/>
      <w:r w:rsidR="00464013" w:rsidRPr="00FC19D4">
        <w:rPr>
          <w:rFonts w:ascii="Arial" w:hAnsi="Arial" w:cs="Arial"/>
          <w:sz w:val="20"/>
          <w:szCs w:val="20"/>
        </w:rPr>
        <w:t>okoljskega</w:t>
      </w:r>
      <w:proofErr w:type="spellEnd"/>
      <w:r w:rsidR="00464013" w:rsidRPr="00FC19D4">
        <w:rPr>
          <w:rFonts w:ascii="Arial" w:hAnsi="Arial" w:cs="Arial"/>
          <w:sz w:val="20"/>
          <w:szCs w:val="20"/>
        </w:rPr>
        <w:t xml:space="preserve"> in družbenega razvoja države ter na podlagi sprejetih mednarodnih obvez določil cilje zanesljive, trajnostne in konkurenčne oskrbe z energijo za obdobje prihodnjih 20 let in okvirno za 40 let. EKS bo na predlog Vlade Republike Slovenije z resolucijo sprejel Državni zbor Republike Slovenije</w:t>
      </w:r>
    </w:p>
    <w:p w14:paraId="49161E16" w14:textId="29A6BF69" w:rsidR="0044727A" w:rsidRPr="00FC19D4" w:rsidRDefault="0044727A" w:rsidP="000E4629">
      <w:pPr>
        <w:pStyle w:val="ti-grseq-1"/>
        <w:spacing w:after="0" w:line="276" w:lineRule="auto"/>
        <w:jc w:val="both"/>
        <w:rPr>
          <w:rFonts w:ascii="Arial" w:hAnsi="Arial" w:cs="Arial"/>
          <w:sz w:val="20"/>
          <w:szCs w:val="20"/>
        </w:rPr>
      </w:pPr>
      <w:r w:rsidRPr="00FC19D4">
        <w:rPr>
          <w:rFonts w:ascii="Arial" w:hAnsi="Arial" w:cs="Arial"/>
          <w:iCs/>
          <w:sz w:val="20"/>
          <w:szCs w:val="20"/>
        </w:rPr>
        <w:t xml:space="preserve">V skladu s sprejetim stališčem </w:t>
      </w:r>
      <w:r w:rsidR="00124711" w:rsidRPr="00FC19D4">
        <w:rPr>
          <w:rFonts w:ascii="Arial" w:hAnsi="Arial" w:cs="Arial"/>
          <w:iCs/>
          <w:sz w:val="20"/>
          <w:szCs w:val="20"/>
        </w:rPr>
        <w:t xml:space="preserve">dne 11.6.2019 </w:t>
      </w:r>
      <w:r w:rsidRPr="00FC19D4">
        <w:rPr>
          <w:rFonts w:ascii="Arial" w:hAnsi="Arial" w:cs="Arial"/>
          <w:b/>
          <w:iCs/>
          <w:sz w:val="20"/>
          <w:szCs w:val="20"/>
        </w:rPr>
        <w:t>Republika Slovenija podpira cilj doseganja neto ničelnih emisij toplogrednih plinov na ravni EU do leta 2050.</w:t>
      </w:r>
      <w:r w:rsidR="00464013" w:rsidRPr="00FC19D4">
        <w:rPr>
          <w:rFonts w:ascii="Arial" w:hAnsi="Arial" w:cs="Arial"/>
          <w:iCs/>
          <w:sz w:val="20"/>
          <w:szCs w:val="20"/>
        </w:rPr>
        <w:t xml:space="preserve"> </w:t>
      </w:r>
      <w:r w:rsidRPr="00FC19D4">
        <w:rPr>
          <w:rFonts w:ascii="Arial" w:hAnsi="Arial" w:cs="Arial"/>
          <w:sz w:val="20"/>
          <w:szCs w:val="20"/>
        </w:rPr>
        <w:t>Dolgoročna strategija</w:t>
      </w:r>
      <w:r w:rsidR="00464013" w:rsidRPr="00FC19D4">
        <w:rPr>
          <w:rFonts w:ascii="Arial" w:hAnsi="Arial" w:cs="Arial"/>
          <w:sz w:val="20"/>
          <w:szCs w:val="20"/>
        </w:rPr>
        <w:t xml:space="preserve"> EU</w:t>
      </w:r>
      <w:r w:rsidRPr="00FC19D4">
        <w:rPr>
          <w:rFonts w:ascii="Arial" w:hAnsi="Arial" w:cs="Arial"/>
          <w:sz w:val="20"/>
          <w:szCs w:val="20"/>
        </w:rPr>
        <w:t xml:space="preserve"> za nizke emisije do sredine stoletja (analizirano obdobje od leta 2020 do leta 2050) bo vključevala celovito analizo različnih scenarijev za prispevek Unije k izpolnjevanju zavez Unije in držav članic iz Okvirnega sporazuma Združenih narodov o spremembi podnebja in Pariškega sporazuma, med drugim scenarij za dosego ničelnih neto emisij toplogrednih plinov v Uniji do leta 2050 in negativnih emisij za tem, ter posledice teh scenarijev za preostali globalni in EU </w:t>
      </w:r>
      <w:proofErr w:type="spellStart"/>
      <w:r w:rsidRPr="00FC19D4">
        <w:rPr>
          <w:rFonts w:ascii="Arial" w:hAnsi="Arial" w:cs="Arial"/>
          <w:sz w:val="20"/>
          <w:szCs w:val="20"/>
        </w:rPr>
        <w:t>ogljični</w:t>
      </w:r>
      <w:proofErr w:type="spellEnd"/>
      <w:r w:rsidRPr="00FC19D4">
        <w:rPr>
          <w:rFonts w:ascii="Arial" w:hAnsi="Arial" w:cs="Arial"/>
          <w:sz w:val="20"/>
          <w:szCs w:val="20"/>
        </w:rPr>
        <w:t xml:space="preserve"> proračun kot podlago za razpravo o stroškovni učinkovitosti, učinkovitosti in poštenosti pri zmanjševan</w:t>
      </w:r>
      <w:r w:rsidR="00017CC0" w:rsidRPr="00FC19D4">
        <w:rPr>
          <w:rFonts w:ascii="Arial" w:hAnsi="Arial" w:cs="Arial"/>
          <w:sz w:val="20"/>
          <w:szCs w:val="20"/>
        </w:rPr>
        <w:t xml:space="preserve">ju emisij toplogrednih plinov. </w:t>
      </w:r>
    </w:p>
    <w:p w14:paraId="708D133F" w14:textId="77777777" w:rsidR="0044727A" w:rsidRPr="00FC19D4" w:rsidRDefault="0044727A" w:rsidP="000E4629">
      <w:pPr>
        <w:pStyle w:val="ti-grseq-1"/>
        <w:spacing w:before="0" w:beforeAutospacing="0" w:after="0" w:afterAutospacing="0" w:line="276" w:lineRule="auto"/>
        <w:jc w:val="both"/>
        <w:rPr>
          <w:rFonts w:ascii="Arial" w:hAnsi="Arial" w:cs="Arial"/>
        </w:rPr>
      </w:pPr>
    </w:p>
    <w:p w14:paraId="6F284F3F" w14:textId="59F4F12B" w:rsidR="0044727A" w:rsidRPr="00FC19D4" w:rsidRDefault="0044727A" w:rsidP="000E4629">
      <w:pPr>
        <w:pStyle w:val="ti-grseq-1"/>
        <w:numPr>
          <w:ilvl w:val="0"/>
          <w:numId w:val="39"/>
        </w:numPr>
        <w:spacing w:before="0" w:beforeAutospacing="0" w:after="0" w:afterAutospacing="0" w:line="276" w:lineRule="auto"/>
        <w:jc w:val="both"/>
        <w:rPr>
          <w:rFonts w:ascii="Arial" w:hAnsi="Arial" w:cs="Arial"/>
          <w:b/>
          <w:sz w:val="20"/>
          <w:szCs w:val="20"/>
        </w:rPr>
      </w:pPr>
      <w:r w:rsidRPr="00FC19D4">
        <w:rPr>
          <w:rFonts w:ascii="Arial" w:hAnsi="Arial" w:cs="Arial"/>
          <w:b/>
          <w:sz w:val="20"/>
          <w:szCs w:val="20"/>
        </w:rPr>
        <w:t>PREGLEDNA RAZPREDELNICA S KLJUČNIMI ENERGETSKIMI IN PODNEBNIMI PRISPEVKI IN CILJI SLOVENIJE DO 2030</w:t>
      </w:r>
    </w:p>
    <w:p w14:paraId="2C3BCEA7" w14:textId="77777777" w:rsidR="008C40C4" w:rsidRPr="00FC19D4" w:rsidRDefault="008C40C4" w:rsidP="000E4629">
      <w:pPr>
        <w:pStyle w:val="ti-grseq-1"/>
        <w:spacing w:before="0" w:beforeAutospacing="0" w:after="0" w:afterAutospacing="0" w:line="276" w:lineRule="auto"/>
        <w:ind w:left="720"/>
        <w:jc w:val="both"/>
        <w:rPr>
          <w:rFonts w:ascii="Arial" w:hAnsi="Arial" w:cs="Arial"/>
          <w:b/>
          <w:sz w:val="20"/>
          <w:szCs w:val="20"/>
        </w:rPr>
      </w:pPr>
    </w:p>
    <w:p w14:paraId="78750B5C"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 xml:space="preserve">Osnutek NEPN, ki je v procesu celovite posodobitve, bo  temeljil na osveženih srednjeročnih in dolgoročnih projekcijah rabe energije ter vseh akcijskih dokumentih do leta 2020 in 2030, ki jih je Slovenija že sprejela. Končna verzija predloga NEPN bo pripravljena skladno s posvetovanji s širšo strokovno in laično javnostjo, pripravljavci osnutka </w:t>
      </w:r>
      <w:proofErr w:type="spellStart"/>
      <w:r w:rsidRPr="00FC19D4">
        <w:rPr>
          <w:rFonts w:ascii="Arial" w:hAnsi="Arial" w:cs="Arial"/>
          <w:sz w:val="20"/>
          <w:szCs w:val="20"/>
        </w:rPr>
        <w:t>okoljskega</w:t>
      </w:r>
      <w:proofErr w:type="spellEnd"/>
      <w:r w:rsidRPr="00FC19D4">
        <w:rPr>
          <w:rFonts w:ascii="Arial" w:hAnsi="Arial" w:cs="Arial"/>
          <w:sz w:val="20"/>
          <w:szCs w:val="20"/>
        </w:rPr>
        <w:t xml:space="preserve"> poročila in rezultati regionalnega posvetovanja. Pri tem bo Slovenija v čim večji meri upoštevala priporočila Komisije oz. ustrezno obrazložila dele priporočil, ki jih ne bo uspela upoštevati pri oblikovanju NEPN. Pred sprejemom NEPN bo opravljena tudi celovita presoja vplivov na okolje, končni NEPN pa bo skladno z Energetskim zakonom (EZ-1B) sprejela Vlada Republike Slovenije. </w:t>
      </w:r>
    </w:p>
    <w:p w14:paraId="3D41C2C8"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1EDA3DF6"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 xml:space="preserve">Konzorcij institucij pod vodstvom IJS, ki zagotavlja strokovno in tehnično podporo procesu priprave NEPN je v mesecu juniju predstavil preliminarne rezultate posodobljenih projekcij NEPN, ki bodo v mesecu septembru še nadgrajene z makroekonomskimi izračuni. </w:t>
      </w:r>
    </w:p>
    <w:p w14:paraId="3587CEE6"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361920CD"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 xml:space="preserve">Celovit predlog posodobitve osnutka NEPN tako pričakujemo v mesecu septembru. Ta predlog bo podlaga za pripravo osnutka </w:t>
      </w:r>
      <w:proofErr w:type="spellStart"/>
      <w:r w:rsidRPr="00FC19D4">
        <w:rPr>
          <w:rFonts w:ascii="Arial" w:hAnsi="Arial" w:cs="Arial"/>
          <w:sz w:val="20"/>
          <w:szCs w:val="20"/>
        </w:rPr>
        <w:t>okoljskega</w:t>
      </w:r>
      <w:proofErr w:type="spellEnd"/>
      <w:r w:rsidRPr="00FC19D4">
        <w:rPr>
          <w:rFonts w:ascii="Arial" w:hAnsi="Arial" w:cs="Arial"/>
          <w:sz w:val="20"/>
          <w:szCs w:val="20"/>
        </w:rPr>
        <w:t xml:space="preserve"> poročila, na podlagi katerega bo osnutek NEPN ustrezno popravljen ali dopolnjen in nato skupaj z </w:t>
      </w:r>
      <w:proofErr w:type="spellStart"/>
      <w:r w:rsidRPr="00FC19D4">
        <w:rPr>
          <w:rFonts w:ascii="Arial" w:hAnsi="Arial" w:cs="Arial"/>
          <w:sz w:val="20"/>
          <w:szCs w:val="20"/>
        </w:rPr>
        <w:t>okoljskim</w:t>
      </w:r>
      <w:proofErr w:type="spellEnd"/>
      <w:r w:rsidRPr="00FC19D4">
        <w:rPr>
          <w:rFonts w:ascii="Arial" w:hAnsi="Arial" w:cs="Arial"/>
          <w:sz w:val="20"/>
          <w:szCs w:val="20"/>
        </w:rPr>
        <w:t xml:space="preserve"> poročilom predložen v sprejem Vladi Republike Slovenije.</w:t>
      </w:r>
    </w:p>
    <w:p w14:paraId="7D0C2ABE"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56D0A5CC" w14:textId="0F81EE5E"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 xml:space="preserve">V nadaljevanju je podan predlog konzorcija institucij pod vodstvom IJS, ki zagotavlja strokovno in tehnično podporo procesu priprave NEPN, glede ključnih ciljev in prispevkov Slovenije do leta 2030, </w:t>
      </w:r>
      <w:r w:rsidRPr="00FC19D4">
        <w:rPr>
          <w:rFonts w:ascii="Arial" w:hAnsi="Arial" w:cs="Arial"/>
          <w:sz w:val="20"/>
          <w:szCs w:val="20"/>
        </w:rPr>
        <w:lastRenderedPageBreak/>
        <w:t>pripravljen na podlagi preliminarnih rezultatov projekcij NEPN, in ki sledi najbolj ambicioznemu scenariju (tj. scenarij z dodatnimi ukrepi ambiciozno (DUA)</w:t>
      </w:r>
      <w:r w:rsidR="00464013" w:rsidRPr="00FC19D4">
        <w:rPr>
          <w:rFonts w:ascii="Arial" w:hAnsi="Arial" w:cs="Arial"/>
          <w:sz w:val="20"/>
          <w:szCs w:val="20"/>
        </w:rPr>
        <w:t>)</w:t>
      </w:r>
      <w:r w:rsidRPr="00FC19D4">
        <w:rPr>
          <w:rFonts w:ascii="Arial" w:hAnsi="Arial" w:cs="Arial"/>
          <w:sz w:val="20"/>
          <w:szCs w:val="20"/>
        </w:rPr>
        <w:t xml:space="preserve">. </w:t>
      </w:r>
    </w:p>
    <w:p w14:paraId="625903A1" w14:textId="77777777" w:rsidR="0044727A" w:rsidRPr="00FC19D4" w:rsidRDefault="0044727A" w:rsidP="000E4629">
      <w:pPr>
        <w:pStyle w:val="ti-grseq-1"/>
        <w:spacing w:before="0" w:beforeAutospacing="0" w:after="0" w:afterAutospacing="0" w:line="276" w:lineRule="auto"/>
        <w:jc w:val="both"/>
        <w:rPr>
          <w:rFonts w:ascii="Arial" w:hAnsi="Arial" w:cs="Arial"/>
          <w:b/>
          <w:sz w:val="20"/>
          <w:szCs w:val="20"/>
        </w:rPr>
      </w:pPr>
    </w:p>
    <w:p w14:paraId="0BED33B9" w14:textId="617D3C70" w:rsidR="0044727A" w:rsidRPr="00FC19D4" w:rsidRDefault="0044727A" w:rsidP="000E4629">
      <w:pPr>
        <w:pStyle w:val="ti-grseq-1"/>
        <w:spacing w:before="0" w:beforeAutospacing="0" w:after="0" w:afterAutospacing="0" w:line="276" w:lineRule="auto"/>
        <w:jc w:val="both"/>
        <w:rPr>
          <w:rFonts w:ascii="Arial" w:hAnsi="Arial" w:cs="Arial"/>
          <w:b/>
          <w:sz w:val="20"/>
          <w:szCs w:val="20"/>
        </w:rPr>
      </w:pPr>
      <w:proofErr w:type="spellStart"/>
      <w:r w:rsidRPr="00FC19D4">
        <w:rPr>
          <w:rFonts w:ascii="Arial" w:hAnsi="Arial" w:cs="Arial"/>
          <w:b/>
          <w:sz w:val="20"/>
          <w:szCs w:val="20"/>
        </w:rPr>
        <w:t>Časovnico</w:t>
      </w:r>
      <w:proofErr w:type="spellEnd"/>
      <w:r w:rsidRPr="00FC19D4">
        <w:rPr>
          <w:rFonts w:ascii="Arial" w:hAnsi="Arial" w:cs="Arial"/>
          <w:b/>
          <w:sz w:val="20"/>
          <w:szCs w:val="20"/>
        </w:rPr>
        <w:t xml:space="preserve"> in pravičen načrt predčasnega zaprtja Premogovnika Velenje in opustitve rabe fosilnih goriv v Termoelektrarni Šoštanj bo skladno s Sklepi Odbora DZ za infrastrukturo, okolje in prostor pripravila posebna delovna skupina </w:t>
      </w:r>
      <w:r w:rsidR="00BD2528" w:rsidRPr="00BD2528">
        <w:rPr>
          <w:rFonts w:ascii="Arial" w:hAnsi="Arial" w:cs="Arial"/>
          <w:b/>
          <w:sz w:val="20"/>
          <w:szCs w:val="20"/>
        </w:rPr>
        <w:t xml:space="preserve">Vlade Republike Slovenije za prestrukturiranje premogovnih regij, ustanovljena s sklepom VRS </w:t>
      </w:r>
      <w:r w:rsidR="00BD2528">
        <w:rPr>
          <w:rFonts w:ascii="Arial" w:hAnsi="Arial" w:cs="Arial"/>
          <w:b/>
          <w:sz w:val="20"/>
          <w:szCs w:val="20"/>
        </w:rPr>
        <w:t xml:space="preserve">02401-18/2019/3 z dne 30.5.2019 </w:t>
      </w:r>
      <w:r w:rsidRPr="00FC19D4">
        <w:rPr>
          <w:rFonts w:ascii="Arial" w:hAnsi="Arial" w:cs="Arial"/>
          <w:b/>
          <w:sz w:val="20"/>
          <w:szCs w:val="20"/>
        </w:rPr>
        <w:t>do konca leta 2020. Načrt zaprtja Premogovnika Velenje in</w:t>
      </w:r>
      <w:r w:rsidR="00464013" w:rsidRPr="00FC19D4">
        <w:rPr>
          <w:rFonts w:ascii="Arial" w:hAnsi="Arial" w:cs="Arial"/>
          <w:b/>
          <w:sz w:val="20"/>
          <w:szCs w:val="20"/>
        </w:rPr>
        <w:t xml:space="preserve"> opustitve rabe fosilnih goriv v</w:t>
      </w:r>
      <w:r w:rsidRPr="00FC19D4">
        <w:rPr>
          <w:rFonts w:ascii="Arial" w:hAnsi="Arial" w:cs="Arial"/>
          <w:b/>
          <w:sz w:val="20"/>
          <w:szCs w:val="20"/>
        </w:rPr>
        <w:t xml:space="preserve"> TEŠ se bo kot ukrep opredelil v Resoluciji o energetskem konceptu Slovenije.</w:t>
      </w:r>
    </w:p>
    <w:p w14:paraId="25E5F9D4" w14:textId="77777777" w:rsidR="0044727A" w:rsidRPr="00FC19D4" w:rsidRDefault="0044727A" w:rsidP="000E4629">
      <w:pPr>
        <w:pStyle w:val="ti-grseq-1"/>
        <w:spacing w:before="0" w:beforeAutospacing="0" w:after="0" w:afterAutospacing="0" w:line="276" w:lineRule="auto"/>
        <w:jc w:val="both"/>
        <w:rPr>
          <w:rFonts w:ascii="Arial" w:hAnsi="Arial" w:cs="Arial"/>
          <w:b/>
          <w:sz w:val="20"/>
          <w:szCs w:val="20"/>
        </w:rPr>
      </w:pPr>
    </w:p>
    <w:p w14:paraId="55BA66A5" w14:textId="2823CD0C" w:rsidR="0044727A" w:rsidRPr="00FC19D4" w:rsidRDefault="0044727A" w:rsidP="000E4629">
      <w:pPr>
        <w:pStyle w:val="ti-grseq-1"/>
        <w:spacing w:before="0" w:beforeAutospacing="0" w:after="0" w:afterAutospacing="0" w:line="276" w:lineRule="auto"/>
        <w:jc w:val="both"/>
        <w:rPr>
          <w:rFonts w:ascii="Arial" w:hAnsi="Arial" w:cs="Arial"/>
          <w:b/>
          <w:sz w:val="20"/>
          <w:szCs w:val="20"/>
        </w:rPr>
      </w:pPr>
      <w:r w:rsidRPr="00FC19D4">
        <w:rPr>
          <w:rFonts w:ascii="Arial" w:hAnsi="Arial" w:cs="Arial"/>
          <w:sz w:val="20"/>
          <w:szCs w:val="20"/>
        </w:rPr>
        <w:t xml:space="preserve">Glede na potek celovite presoje vplivov na okolje – osnutek </w:t>
      </w:r>
      <w:proofErr w:type="spellStart"/>
      <w:r w:rsidRPr="00FC19D4">
        <w:rPr>
          <w:rFonts w:ascii="Arial" w:hAnsi="Arial" w:cs="Arial"/>
          <w:sz w:val="20"/>
          <w:szCs w:val="20"/>
        </w:rPr>
        <w:t>okoljskega</w:t>
      </w:r>
      <w:proofErr w:type="spellEnd"/>
      <w:r w:rsidRPr="00FC19D4">
        <w:rPr>
          <w:rFonts w:ascii="Arial" w:hAnsi="Arial" w:cs="Arial"/>
          <w:sz w:val="20"/>
          <w:szCs w:val="20"/>
        </w:rPr>
        <w:t xml:space="preserve"> poročila pričakujemo v mesecu oktobru, sledi </w:t>
      </w:r>
      <w:r w:rsidR="00483BAD">
        <w:rPr>
          <w:rFonts w:ascii="Arial" w:hAnsi="Arial" w:cs="Arial"/>
          <w:sz w:val="20"/>
          <w:szCs w:val="20"/>
        </w:rPr>
        <w:t xml:space="preserve">pridobivanje mnenj varstvenih resorjev in izdaja mnenja Ministrstva za okolje in prostor o ustreznosti osnutka </w:t>
      </w:r>
      <w:proofErr w:type="spellStart"/>
      <w:r w:rsidR="00483BAD">
        <w:rPr>
          <w:rFonts w:ascii="Arial" w:hAnsi="Arial" w:cs="Arial"/>
          <w:sz w:val="20"/>
          <w:szCs w:val="20"/>
        </w:rPr>
        <w:t>okoljskega</w:t>
      </w:r>
      <w:proofErr w:type="spellEnd"/>
      <w:r w:rsidR="00483BAD">
        <w:rPr>
          <w:rFonts w:ascii="Arial" w:hAnsi="Arial" w:cs="Arial"/>
          <w:sz w:val="20"/>
          <w:szCs w:val="20"/>
        </w:rPr>
        <w:t xml:space="preserve"> poročila, </w:t>
      </w:r>
      <w:r w:rsidRPr="00FC19D4">
        <w:rPr>
          <w:rFonts w:ascii="Arial" w:hAnsi="Arial" w:cs="Arial"/>
          <w:sz w:val="20"/>
          <w:szCs w:val="20"/>
        </w:rPr>
        <w:t xml:space="preserve">javna razgrnitev in posvetovanje z javnostjo glede </w:t>
      </w:r>
      <w:proofErr w:type="spellStart"/>
      <w:r w:rsidRPr="00FC19D4">
        <w:rPr>
          <w:rFonts w:ascii="Arial" w:hAnsi="Arial" w:cs="Arial"/>
          <w:sz w:val="20"/>
          <w:szCs w:val="20"/>
        </w:rPr>
        <w:t>okoljskega</w:t>
      </w:r>
      <w:proofErr w:type="spellEnd"/>
      <w:r w:rsidRPr="00FC19D4">
        <w:rPr>
          <w:rFonts w:ascii="Arial" w:hAnsi="Arial" w:cs="Arial"/>
          <w:sz w:val="20"/>
          <w:szCs w:val="20"/>
        </w:rPr>
        <w:t xml:space="preserve"> poročila in posodobljenega osnutka NEPN – Ministrstvo za infrastrukturo ocenjuje, da bo  </w:t>
      </w:r>
      <w:r w:rsidR="00464013" w:rsidRPr="00FC19D4">
        <w:rPr>
          <w:rFonts w:ascii="Arial" w:hAnsi="Arial" w:cs="Arial"/>
          <w:sz w:val="20"/>
          <w:szCs w:val="20"/>
        </w:rPr>
        <w:t xml:space="preserve">ob konstruktivnem sodelovanju vseh deležnikov </w:t>
      </w:r>
      <w:r w:rsidRPr="00FC19D4">
        <w:rPr>
          <w:rFonts w:ascii="Arial" w:hAnsi="Arial" w:cs="Arial"/>
          <w:sz w:val="20"/>
          <w:szCs w:val="20"/>
        </w:rPr>
        <w:t>mogoče pripraviti</w:t>
      </w:r>
      <w:r w:rsidR="00483BAD">
        <w:rPr>
          <w:rFonts w:ascii="Arial" w:hAnsi="Arial" w:cs="Arial"/>
          <w:sz w:val="20"/>
          <w:szCs w:val="20"/>
        </w:rPr>
        <w:t xml:space="preserve"> posodobljen NEPN in </w:t>
      </w:r>
      <w:proofErr w:type="spellStart"/>
      <w:r w:rsidR="00483BAD">
        <w:rPr>
          <w:rFonts w:ascii="Arial" w:hAnsi="Arial" w:cs="Arial"/>
          <w:sz w:val="20"/>
          <w:szCs w:val="20"/>
        </w:rPr>
        <w:t>okoljsko</w:t>
      </w:r>
      <w:proofErr w:type="spellEnd"/>
      <w:r w:rsidR="00483BAD">
        <w:rPr>
          <w:rFonts w:ascii="Arial" w:hAnsi="Arial" w:cs="Arial"/>
          <w:sz w:val="20"/>
          <w:szCs w:val="20"/>
        </w:rPr>
        <w:t xml:space="preserve"> poročilo, ki bo s strani Ministrstva za okolje in prostor prejelo odločitev o sprejemljivosti, v prvi polovici leta 2020. </w:t>
      </w:r>
      <w:r w:rsidRPr="00FC19D4">
        <w:rPr>
          <w:rFonts w:ascii="Arial" w:hAnsi="Arial" w:cs="Arial"/>
          <w:b/>
          <w:sz w:val="20"/>
          <w:szCs w:val="20"/>
        </w:rPr>
        <w:t xml:space="preserve">Pravočasen sprejem NEPN </w:t>
      </w:r>
      <w:r w:rsidR="00483BAD">
        <w:rPr>
          <w:rFonts w:ascii="Arial" w:hAnsi="Arial" w:cs="Arial"/>
          <w:b/>
          <w:sz w:val="20"/>
          <w:szCs w:val="20"/>
        </w:rPr>
        <w:t xml:space="preserve">je </w:t>
      </w:r>
      <w:r w:rsidRPr="00FC19D4">
        <w:rPr>
          <w:rFonts w:ascii="Arial" w:hAnsi="Arial" w:cs="Arial"/>
          <w:b/>
          <w:sz w:val="20"/>
          <w:szCs w:val="20"/>
        </w:rPr>
        <w:t>neposredno odvisen od pravočasne in uspešne izvedbe celovite presoje vplivov na okolje.</w:t>
      </w:r>
    </w:p>
    <w:p w14:paraId="6B00BCD4" w14:textId="0AD6BD86" w:rsidR="0044727A" w:rsidRPr="00FC19D4" w:rsidRDefault="0044727A" w:rsidP="000E4629">
      <w:pPr>
        <w:pStyle w:val="ti-grseq-1"/>
        <w:spacing w:before="0" w:beforeAutospacing="0" w:after="0" w:afterAutospacing="0" w:line="276" w:lineRule="auto"/>
        <w:ind w:left="567" w:hanging="567"/>
        <w:jc w:val="both"/>
        <w:rPr>
          <w:rFonts w:ascii="Arial" w:hAnsi="Arial" w:cs="Arial"/>
          <w:sz w:val="20"/>
          <w:szCs w:val="20"/>
        </w:rPr>
      </w:pPr>
    </w:p>
    <w:p w14:paraId="78FB65E6" w14:textId="392F2A3C" w:rsidR="00464013" w:rsidRPr="00FC19D4" w:rsidRDefault="00464013" w:rsidP="000E4629">
      <w:pPr>
        <w:pStyle w:val="ti-grseq-1"/>
        <w:spacing w:before="0" w:beforeAutospacing="0" w:after="0" w:afterAutospacing="0" w:line="276" w:lineRule="auto"/>
        <w:jc w:val="both"/>
        <w:rPr>
          <w:rFonts w:ascii="Arial" w:hAnsi="Arial" w:cs="Arial"/>
          <w:b/>
          <w:sz w:val="20"/>
          <w:szCs w:val="20"/>
        </w:rPr>
      </w:pPr>
      <w:r w:rsidRPr="00FC19D4">
        <w:rPr>
          <w:rFonts w:ascii="Arial" w:hAnsi="Arial" w:cs="Arial"/>
          <w:b/>
          <w:sz w:val="20"/>
          <w:szCs w:val="20"/>
        </w:rPr>
        <w:t xml:space="preserve">Sprejet NEPN bo predstavljal </w:t>
      </w:r>
      <w:proofErr w:type="spellStart"/>
      <w:r w:rsidRPr="00FC19D4">
        <w:rPr>
          <w:rFonts w:ascii="Arial" w:hAnsi="Arial" w:cs="Arial"/>
          <w:b/>
          <w:sz w:val="20"/>
          <w:szCs w:val="20"/>
        </w:rPr>
        <w:t>omogočitveni</w:t>
      </w:r>
      <w:proofErr w:type="spellEnd"/>
      <w:r w:rsidRPr="00FC19D4">
        <w:rPr>
          <w:rFonts w:ascii="Arial" w:hAnsi="Arial" w:cs="Arial"/>
          <w:b/>
          <w:sz w:val="20"/>
          <w:szCs w:val="20"/>
        </w:rPr>
        <w:t xml:space="preserve"> pogoj za črpanje kohezijskih sredstev v novi večletni finančni perspektivi.</w:t>
      </w:r>
    </w:p>
    <w:p w14:paraId="6B3175A6" w14:textId="77777777" w:rsidR="00464013" w:rsidRPr="00FC19D4" w:rsidRDefault="00464013" w:rsidP="000E4629">
      <w:pPr>
        <w:pStyle w:val="ti-grseq-1"/>
        <w:spacing w:before="0" w:beforeAutospacing="0" w:after="0" w:afterAutospacing="0" w:line="276" w:lineRule="auto"/>
        <w:ind w:left="567" w:hanging="567"/>
        <w:jc w:val="both"/>
        <w:rPr>
          <w:rFonts w:ascii="Arial" w:hAnsi="Arial" w:cs="Arial"/>
          <w:sz w:val="20"/>
          <w:szCs w:val="20"/>
        </w:rPr>
      </w:pPr>
    </w:p>
    <w:p w14:paraId="1658F8A5" w14:textId="77777777" w:rsidR="0044727A" w:rsidRPr="00FC19D4" w:rsidRDefault="0044727A" w:rsidP="000E4629">
      <w:pPr>
        <w:pStyle w:val="ti-grseq-1"/>
        <w:spacing w:before="0" w:beforeAutospacing="0" w:after="0" w:afterAutospacing="0" w:line="276" w:lineRule="auto"/>
        <w:ind w:left="567" w:hanging="567"/>
        <w:jc w:val="both"/>
        <w:rPr>
          <w:rFonts w:ascii="Arial" w:hAnsi="Arial" w:cs="Arial"/>
        </w:rPr>
      </w:pPr>
    </w:p>
    <w:p w14:paraId="6E478D82" w14:textId="77777777" w:rsidR="0044727A" w:rsidRPr="00FC19D4" w:rsidRDefault="0044727A" w:rsidP="000E4629">
      <w:pPr>
        <w:pStyle w:val="ti-grseq-1"/>
        <w:spacing w:before="0" w:beforeAutospacing="0" w:after="0" w:afterAutospacing="0" w:line="276" w:lineRule="auto"/>
        <w:ind w:left="567" w:hanging="567"/>
        <w:jc w:val="both"/>
        <w:rPr>
          <w:rFonts w:ascii="Arial" w:hAnsi="Arial" w:cs="Arial"/>
        </w:rPr>
        <w:sectPr w:rsidR="0044727A" w:rsidRPr="00FC19D4">
          <w:footerReference w:type="default" r:id="rId11"/>
          <w:pgSz w:w="11906" w:h="16838"/>
          <w:pgMar w:top="1417" w:right="1417" w:bottom="1417" w:left="1417" w:header="708" w:footer="708" w:gutter="0"/>
          <w:cols w:space="708"/>
          <w:docGrid w:linePitch="360"/>
        </w:sectPr>
      </w:pPr>
    </w:p>
    <w:p w14:paraId="4A0C9D93" w14:textId="4093803D" w:rsidR="0044727A" w:rsidRPr="00FC19D4" w:rsidRDefault="0044727A" w:rsidP="000E4629">
      <w:pPr>
        <w:jc w:val="both"/>
        <w:rPr>
          <w:rFonts w:ascii="Arial" w:hAnsi="Arial" w:cs="Arial"/>
          <w:b/>
          <w:sz w:val="20"/>
          <w:szCs w:val="20"/>
        </w:rPr>
      </w:pPr>
      <w:r w:rsidRPr="00FC19D4">
        <w:rPr>
          <w:rFonts w:ascii="Arial" w:hAnsi="Arial" w:cs="Arial"/>
          <w:sz w:val="20"/>
          <w:szCs w:val="20"/>
        </w:rPr>
        <w:lastRenderedPageBreak/>
        <w:t>Tabela</w:t>
      </w:r>
      <w:r w:rsidRPr="00FC19D4">
        <w:rPr>
          <w:rFonts w:ascii="Arial" w:hAnsi="Arial" w:cs="Arial"/>
          <w:b/>
          <w:sz w:val="20"/>
          <w:szCs w:val="20"/>
        </w:rPr>
        <w:t xml:space="preserve">: </w:t>
      </w:r>
      <w:r w:rsidR="000E4724" w:rsidRPr="00FC19D4">
        <w:rPr>
          <w:rFonts w:ascii="Arial" w:hAnsi="Arial" w:cs="Arial"/>
          <w:b/>
          <w:sz w:val="20"/>
          <w:szCs w:val="20"/>
        </w:rPr>
        <w:t xml:space="preserve">Osnutek </w:t>
      </w:r>
      <w:r w:rsidRPr="00FC19D4">
        <w:rPr>
          <w:rFonts w:ascii="Arial" w:hAnsi="Arial" w:cs="Arial"/>
          <w:b/>
          <w:sz w:val="20"/>
          <w:szCs w:val="20"/>
        </w:rPr>
        <w:t>ključnih ciljev in prispevkov Slovenije do leta 2030</w:t>
      </w:r>
      <w:r w:rsidRPr="00FC19D4">
        <w:rPr>
          <w:rFonts w:ascii="Arial" w:hAnsi="Arial" w:cs="Arial"/>
          <w:sz w:val="20"/>
          <w:szCs w:val="20"/>
        </w:rPr>
        <w:t>, pripravljen na podlagi preliminarnih rezultatov projekcij NEPN, in ki sledi najbolj ambicioznemu scenariju (tj. scenarij z dodatnimi ukrepi ambiciozno (DUA)</w:t>
      </w:r>
      <w:r w:rsidR="00410E25" w:rsidRPr="00FC19D4">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44727A" w:rsidRPr="00BD2528" w14:paraId="3D370455" w14:textId="77777777" w:rsidTr="00067D4A">
        <w:tc>
          <w:tcPr>
            <w:tcW w:w="14000" w:type="dxa"/>
            <w:shd w:val="clear" w:color="auto" w:fill="auto"/>
          </w:tcPr>
          <w:p w14:paraId="6105F93A" w14:textId="77777777" w:rsidR="0044727A" w:rsidRPr="00BD2528" w:rsidRDefault="0044727A" w:rsidP="000E4629">
            <w:pPr>
              <w:pStyle w:val="ti-grseq-1"/>
              <w:spacing w:before="0" w:beforeAutospacing="0" w:after="0" w:afterAutospacing="0" w:line="276" w:lineRule="auto"/>
              <w:jc w:val="center"/>
              <w:rPr>
                <w:rFonts w:ascii="Arial" w:hAnsi="Arial" w:cs="Arial"/>
                <w:b/>
                <w:color w:val="FF0000"/>
                <w:sz w:val="20"/>
                <w:szCs w:val="20"/>
              </w:rPr>
            </w:pPr>
            <w:r w:rsidRPr="00BD2528">
              <w:rPr>
                <w:rFonts w:ascii="Arial" w:hAnsi="Arial" w:cs="Arial"/>
                <w:b/>
                <w:color w:val="FF0000"/>
                <w:sz w:val="20"/>
                <w:szCs w:val="20"/>
              </w:rPr>
              <w:t>Ključni cilji in prispevki Slovenije do leta 2030</w:t>
            </w:r>
          </w:p>
        </w:tc>
      </w:tr>
      <w:tr w:rsidR="0044727A" w:rsidRPr="00BD2528" w14:paraId="0BE3B4B3" w14:textId="77777777" w:rsidTr="00067D4A">
        <w:tc>
          <w:tcPr>
            <w:tcW w:w="14000" w:type="dxa"/>
            <w:shd w:val="clear" w:color="auto" w:fill="auto"/>
          </w:tcPr>
          <w:p w14:paraId="02ADF7B1" w14:textId="77777777" w:rsidR="0044727A" w:rsidRPr="00BD2528" w:rsidRDefault="0044727A" w:rsidP="000E4629">
            <w:pPr>
              <w:pStyle w:val="ti-grseq-1"/>
              <w:spacing w:before="0" w:beforeAutospacing="0" w:after="0" w:afterAutospacing="0" w:line="276" w:lineRule="auto"/>
              <w:jc w:val="both"/>
              <w:rPr>
                <w:rFonts w:ascii="Arial" w:hAnsi="Arial" w:cs="Arial"/>
                <w:b/>
                <w:sz w:val="20"/>
                <w:szCs w:val="20"/>
              </w:rPr>
            </w:pPr>
          </w:p>
          <w:p w14:paraId="6703E75D" w14:textId="77777777" w:rsidR="0044727A" w:rsidRPr="00BD2528" w:rsidRDefault="0044727A" w:rsidP="000E4629">
            <w:pPr>
              <w:pStyle w:val="ti-grseq-1"/>
              <w:spacing w:before="0" w:beforeAutospacing="0" w:after="0" w:afterAutospacing="0" w:line="276" w:lineRule="auto"/>
              <w:jc w:val="center"/>
              <w:rPr>
                <w:rFonts w:ascii="Arial" w:hAnsi="Arial" w:cs="Arial"/>
                <w:sz w:val="20"/>
                <w:szCs w:val="20"/>
              </w:rPr>
            </w:pPr>
            <w:r w:rsidRPr="00BD2528">
              <w:rPr>
                <w:rFonts w:ascii="Arial" w:hAnsi="Arial" w:cs="Arial"/>
                <w:b/>
                <w:sz w:val="20"/>
                <w:szCs w:val="20"/>
              </w:rPr>
              <w:t>Izboljšanje energetske in snovne učinkovitosti v vseh sektorjih</w:t>
            </w:r>
            <w:r w:rsidRPr="00BD2528">
              <w:rPr>
                <w:rFonts w:ascii="Arial" w:hAnsi="Arial" w:cs="Arial"/>
                <w:sz w:val="20"/>
                <w:szCs w:val="20"/>
              </w:rPr>
              <w:t xml:space="preserve"> (in posledično </w:t>
            </w:r>
            <w:r w:rsidRPr="00BD2528">
              <w:rPr>
                <w:rFonts w:ascii="Arial" w:hAnsi="Arial" w:cs="Arial"/>
                <w:b/>
                <w:sz w:val="20"/>
                <w:szCs w:val="20"/>
              </w:rPr>
              <w:t>ZMANJŠANJE RABE ENERGIJE IN DRUGIH NARAVNIH VIROV</w:t>
            </w:r>
            <w:r w:rsidRPr="00BD2528">
              <w:rPr>
                <w:rFonts w:ascii="Arial" w:hAnsi="Arial" w:cs="Arial"/>
                <w:sz w:val="20"/>
                <w:szCs w:val="20"/>
              </w:rPr>
              <w:t xml:space="preserve">) je prvi in ključni ukrep na poti k </w:t>
            </w:r>
            <w:proofErr w:type="spellStart"/>
            <w:r w:rsidRPr="00BD2528">
              <w:rPr>
                <w:rFonts w:ascii="Arial" w:hAnsi="Arial" w:cs="Arial"/>
                <w:sz w:val="20"/>
                <w:szCs w:val="20"/>
              </w:rPr>
              <w:t>nizkoogljični</w:t>
            </w:r>
            <w:proofErr w:type="spellEnd"/>
            <w:r w:rsidRPr="00BD2528">
              <w:rPr>
                <w:rFonts w:ascii="Arial" w:hAnsi="Arial" w:cs="Arial"/>
                <w:sz w:val="20"/>
                <w:szCs w:val="20"/>
              </w:rPr>
              <w:t xml:space="preserve"> družbi.</w:t>
            </w:r>
          </w:p>
          <w:p w14:paraId="1BCFBF1E" w14:textId="77777777" w:rsidR="0044727A" w:rsidRPr="00BD2528" w:rsidRDefault="0044727A" w:rsidP="000E4629">
            <w:pPr>
              <w:pStyle w:val="ti-grseq-1"/>
              <w:spacing w:before="0" w:beforeAutospacing="0" w:after="0" w:afterAutospacing="0" w:line="276" w:lineRule="auto"/>
              <w:jc w:val="both"/>
              <w:rPr>
                <w:rFonts w:ascii="Arial" w:hAnsi="Arial" w:cs="Arial"/>
                <w:b/>
                <w:sz w:val="20"/>
                <w:szCs w:val="20"/>
              </w:rPr>
            </w:pPr>
          </w:p>
        </w:tc>
      </w:tr>
      <w:tr w:rsidR="0044727A" w:rsidRPr="00BD2528" w14:paraId="14DA8A51" w14:textId="77777777" w:rsidTr="00067D4A">
        <w:tc>
          <w:tcPr>
            <w:tcW w:w="14000" w:type="dxa"/>
            <w:shd w:val="clear" w:color="auto" w:fill="EAF1DD"/>
          </w:tcPr>
          <w:p w14:paraId="3997DF7D" w14:textId="77777777" w:rsidR="0044727A" w:rsidRPr="00BD2528" w:rsidRDefault="0044727A" w:rsidP="000E4629">
            <w:pPr>
              <w:pStyle w:val="ti-grseq-1"/>
              <w:spacing w:before="0" w:beforeAutospacing="0" w:after="0" w:afterAutospacing="0" w:line="276" w:lineRule="auto"/>
              <w:jc w:val="center"/>
              <w:rPr>
                <w:rFonts w:ascii="Arial" w:hAnsi="Arial" w:cs="Arial"/>
                <w:b/>
                <w:sz w:val="20"/>
                <w:szCs w:val="20"/>
              </w:rPr>
            </w:pPr>
          </w:p>
          <w:p w14:paraId="12659B8D" w14:textId="77777777" w:rsidR="0044727A" w:rsidRPr="00BD2528" w:rsidRDefault="0044727A" w:rsidP="000E4629">
            <w:pPr>
              <w:pStyle w:val="ti-grseq-1"/>
              <w:spacing w:before="0" w:beforeAutospacing="0" w:after="0" w:afterAutospacing="0" w:line="276" w:lineRule="auto"/>
              <w:jc w:val="center"/>
              <w:rPr>
                <w:rFonts w:ascii="Arial" w:hAnsi="Arial" w:cs="Arial"/>
                <w:b/>
                <w:sz w:val="20"/>
                <w:szCs w:val="20"/>
              </w:rPr>
            </w:pPr>
            <w:r w:rsidRPr="00BD2528">
              <w:rPr>
                <w:rFonts w:ascii="Arial" w:hAnsi="Arial" w:cs="Arial"/>
                <w:b/>
                <w:sz w:val="20"/>
                <w:szCs w:val="20"/>
              </w:rPr>
              <w:t>Razogljičenje: blaženje in prilagajanje podnebnim spremembam</w:t>
            </w:r>
          </w:p>
          <w:p w14:paraId="5F0D1B3B" w14:textId="77777777" w:rsidR="0044727A" w:rsidRPr="00BD2528" w:rsidRDefault="0044727A" w:rsidP="000E4629">
            <w:pPr>
              <w:pStyle w:val="ti-grseq-1"/>
              <w:spacing w:before="0" w:beforeAutospacing="0" w:after="0" w:afterAutospacing="0" w:line="276" w:lineRule="auto"/>
              <w:jc w:val="center"/>
              <w:rPr>
                <w:rFonts w:ascii="Arial" w:hAnsi="Arial" w:cs="Arial"/>
                <w:b/>
                <w:sz w:val="20"/>
                <w:szCs w:val="20"/>
              </w:rPr>
            </w:pPr>
          </w:p>
        </w:tc>
      </w:tr>
      <w:tr w:rsidR="0044727A" w:rsidRPr="00BD2528" w14:paraId="3AA9A93A" w14:textId="77777777" w:rsidTr="00067D4A">
        <w:tc>
          <w:tcPr>
            <w:tcW w:w="14000" w:type="dxa"/>
            <w:shd w:val="clear" w:color="auto" w:fill="auto"/>
          </w:tcPr>
          <w:p w14:paraId="1EF8FDC6" w14:textId="77777777" w:rsidR="0044727A" w:rsidRPr="00BD2528" w:rsidRDefault="0044727A" w:rsidP="000E4629">
            <w:pPr>
              <w:pStyle w:val="Odstavekseznama"/>
              <w:ind w:left="0"/>
              <w:jc w:val="both"/>
              <w:rPr>
                <w:rFonts w:ascii="Arial" w:hAnsi="Arial" w:cs="Arial"/>
                <w:b/>
                <w:sz w:val="20"/>
                <w:szCs w:val="20"/>
              </w:rPr>
            </w:pPr>
            <w:r w:rsidRPr="00BD2528">
              <w:rPr>
                <w:rFonts w:ascii="Arial" w:hAnsi="Arial" w:cs="Arial"/>
                <w:sz w:val="20"/>
                <w:szCs w:val="20"/>
              </w:rPr>
              <w:t xml:space="preserve">Zmanjšati </w:t>
            </w:r>
            <w:r w:rsidRPr="00BD2528">
              <w:rPr>
                <w:rFonts w:ascii="Arial" w:hAnsi="Arial" w:cs="Arial"/>
                <w:b/>
                <w:sz w:val="20"/>
                <w:szCs w:val="20"/>
              </w:rPr>
              <w:t>emisije TGP</w:t>
            </w:r>
            <w:r w:rsidRPr="00BD2528">
              <w:rPr>
                <w:rFonts w:ascii="Arial" w:hAnsi="Arial" w:cs="Arial"/>
                <w:sz w:val="20"/>
                <w:szCs w:val="20"/>
              </w:rPr>
              <w:t xml:space="preserve"> do leta 2030 skladno z Uredbo o delitvi bremen </w:t>
            </w:r>
            <w:r w:rsidRPr="00BD2528">
              <w:rPr>
                <w:rFonts w:ascii="Arial" w:hAnsi="Arial" w:cs="Arial"/>
                <w:b/>
                <w:sz w:val="20"/>
                <w:szCs w:val="20"/>
              </w:rPr>
              <w:t xml:space="preserve">za vsaj 15 % glede na leto 2005 </w:t>
            </w:r>
            <w:r w:rsidRPr="00BD2528">
              <w:rPr>
                <w:rFonts w:ascii="Arial" w:hAnsi="Arial" w:cs="Arial"/>
                <w:sz w:val="20"/>
                <w:szCs w:val="20"/>
              </w:rPr>
              <w:t xml:space="preserve">z </w:t>
            </w:r>
            <w:r w:rsidRPr="00BD2528">
              <w:rPr>
                <w:rFonts w:ascii="Arial" w:hAnsi="Arial" w:cs="Arial"/>
                <w:b/>
                <w:sz w:val="20"/>
                <w:szCs w:val="20"/>
              </w:rPr>
              <w:t>doseganjem indikativnih sektorskih ciljev:</w:t>
            </w:r>
          </w:p>
          <w:p w14:paraId="512C5F2F" w14:textId="77777777" w:rsidR="0044727A" w:rsidRPr="00BD2528" w:rsidRDefault="0044727A" w:rsidP="000E4629">
            <w:pPr>
              <w:pStyle w:val="Odstavekseznama"/>
              <w:numPr>
                <w:ilvl w:val="0"/>
                <w:numId w:val="25"/>
              </w:numPr>
              <w:spacing w:after="0"/>
              <w:jc w:val="both"/>
              <w:rPr>
                <w:rFonts w:ascii="Arial" w:hAnsi="Arial" w:cs="Arial"/>
                <w:sz w:val="20"/>
                <w:szCs w:val="20"/>
              </w:rPr>
            </w:pPr>
            <w:r w:rsidRPr="00BD2528">
              <w:rPr>
                <w:rFonts w:ascii="Arial" w:hAnsi="Arial" w:cs="Arial"/>
                <w:sz w:val="20"/>
                <w:szCs w:val="20"/>
              </w:rPr>
              <w:t>promet: + 18 %,</w:t>
            </w:r>
          </w:p>
          <w:p w14:paraId="2E4C6824" w14:textId="77777777" w:rsidR="0044727A" w:rsidRPr="00BD2528" w:rsidRDefault="0044727A" w:rsidP="000E4629">
            <w:pPr>
              <w:pStyle w:val="Odstavekseznama"/>
              <w:numPr>
                <w:ilvl w:val="0"/>
                <w:numId w:val="25"/>
              </w:numPr>
              <w:spacing w:after="0"/>
              <w:jc w:val="both"/>
              <w:rPr>
                <w:rFonts w:ascii="Arial" w:hAnsi="Arial" w:cs="Arial"/>
                <w:sz w:val="20"/>
                <w:szCs w:val="20"/>
              </w:rPr>
            </w:pPr>
            <w:r w:rsidRPr="00BD2528">
              <w:rPr>
                <w:rFonts w:ascii="Arial" w:hAnsi="Arial" w:cs="Arial"/>
                <w:sz w:val="20"/>
                <w:szCs w:val="20"/>
              </w:rPr>
              <w:t>široka raba: - 66 %,</w:t>
            </w:r>
          </w:p>
          <w:p w14:paraId="4443ED4B" w14:textId="77777777" w:rsidR="0044727A" w:rsidRPr="00BD2528" w:rsidRDefault="0044727A" w:rsidP="000E4629">
            <w:pPr>
              <w:pStyle w:val="Odstavekseznama"/>
              <w:numPr>
                <w:ilvl w:val="0"/>
                <w:numId w:val="25"/>
              </w:numPr>
              <w:spacing w:after="0"/>
              <w:jc w:val="both"/>
              <w:rPr>
                <w:rFonts w:ascii="Arial" w:hAnsi="Arial" w:cs="Arial"/>
                <w:sz w:val="20"/>
                <w:szCs w:val="20"/>
              </w:rPr>
            </w:pPr>
            <w:r w:rsidRPr="00BD2528">
              <w:rPr>
                <w:rFonts w:ascii="Arial" w:hAnsi="Arial" w:cs="Arial"/>
                <w:sz w:val="20"/>
                <w:szCs w:val="20"/>
              </w:rPr>
              <w:t>kmetijstvo: + 6 %,</w:t>
            </w:r>
          </w:p>
          <w:p w14:paraId="7CF32345" w14:textId="77777777" w:rsidR="0044727A" w:rsidRPr="00BD2528" w:rsidRDefault="0044727A" w:rsidP="000E4629">
            <w:pPr>
              <w:pStyle w:val="Odstavekseznama"/>
              <w:numPr>
                <w:ilvl w:val="0"/>
                <w:numId w:val="25"/>
              </w:numPr>
              <w:spacing w:after="0"/>
              <w:jc w:val="both"/>
              <w:rPr>
                <w:rFonts w:ascii="Arial" w:hAnsi="Arial" w:cs="Arial"/>
                <w:sz w:val="20"/>
                <w:szCs w:val="20"/>
              </w:rPr>
            </w:pPr>
            <w:r w:rsidRPr="00BD2528">
              <w:rPr>
                <w:rFonts w:ascii="Arial" w:hAnsi="Arial" w:cs="Arial"/>
                <w:sz w:val="20"/>
                <w:szCs w:val="20"/>
              </w:rPr>
              <w:t>ravnanje z odpadki: - 57 %,</w:t>
            </w:r>
          </w:p>
          <w:p w14:paraId="169D03C8" w14:textId="77777777" w:rsidR="0044727A" w:rsidRPr="00BD2528" w:rsidRDefault="0044727A" w:rsidP="000E4629">
            <w:pPr>
              <w:pStyle w:val="Odstavekseznama"/>
              <w:numPr>
                <w:ilvl w:val="0"/>
                <w:numId w:val="25"/>
              </w:numPr>
              <w:spacing w:after="0"/>
              <w:jc w:val="both"/>
              <w:rPr>
                <w:rFonts w:ascii="Arial" w:hAnsi="Arial" w:cs="Arial"/>
                <w:sz w:val="20"/>
                <w:szCs w:val="20"/>
              </w:rPr>
            </w:pPr>
            <w:r w:rsidRPr="00BD2528">
              <w:rPr>
                <w:rFonts w:ascii="Arial" w:hAnsi="Arial" w:cs="Arial"/>
                <w:sz w:val="20"/>
                <w:szCs w:val="20"/>
              </w:rPr>
              <w:t>industrija: - 32 %,</w:t>
            </w:r>
          </w:p>
          <w:p w14:paraId="20A6D0EC" w14:textId="77777777" w:rsidR="0044727A" w:rsidRPr="00BD2528" w:rsidRDefault="0044727A" w:rsidP="000E4629">
            <w:pPr>
              <w:pStyle w:val="Odstavekseznama"/>
              <w:numPr>
                <w:ilvl w:val="0"/>
                <w:numId w:val="25"/>
              </w:numPr>
              <w:spacing w:after="0"/>
              <w:jc w:val="both"/>
              <w:rPr>
                <w:rFonts w:ascii="Arial" w:hAnsi="Arial" w:cs="Arial"/>
                <w:sz w:val="20"/>
                <w:szCs w:val="20"/>
              </w:rPr>
            </w:pPr>
            <w:r w:rsidRPr="00BD2528">
              <w:rPr>
                <w:rFonts w:ascii="Arial" w:hAnsi="Arial" w:cs="Arial"/>
                <w:sz w:val="20"/>
                <w:szCs w:val="20"/>
              </w:rPr>
              <w:t>energetika: - 16 %</w:t>
            </w:r>
          </w:p>
        </w:tc>
      </w:tr>
      <w:tr w:rsidR="0044727A" w:rsidRPr="00BD2528" w14:paraId="0DC14094" w14:textId="77777777" w:rsidTr="00067D4A">
        <w:tc>
          <w:tcPr>
            <w:tcW w:w="14000" w:type="dxa"/>
            <w:shd w:val="clear" w:color="auto" w:fill="auto"/>
          </w:tcPr>
          <w:p w14:paraId="19CDF874" w14:textId="77777777" w:rsidR="0044727A" w:rsidRPr="00BD2528" w:rsidRDefault="0044727A" w:rsidP="000E4629">
            <w:pPr>
              <w:pStyle w:val="ti-grseq-1"/>
              <w:spacing w:before="0" w:beforeAutospacing="0" w:after="0" w:afterAutospacing="0" w:line="276" w:lineRule="auto"/>
              <w:jc w:val="both"/>
              <w:rPr>
                <w:rFonts w:ascii="Arial" w:hAnsi="Arial" w:cs="Arial"/>
                <w:sz w:val="20"/>
                <w:szCs w:val="20"/>
              </w:rPr>
            </w:pPr>
            <w:r w:rsidRPr="00BD2528">
              <w:rPr>
                <w:rFonts w:ascii="Arial" w:hAnsi="Arial" w:cs="Arial"/>
                <w:sz w:val="20"/>
                <w:szCs w:val="20"/>
              </w:rPr>
              <w:t xml:space="preserve">Zagotoviti, da iz sektorjev </w:t>
            </w:r>
            <w:r w:rsidRPr="00BD2528">
              <w:rPr>
                <w:rFonts w:ascii="Arial" w:hAnsi="Arial" w:cs="Arial"/>
                <w:b/>
                <w:sz w:val="20"/>
                <w:szCs w:val="20"/>
              </w:rPr>
              <w:t>LULUCF</w:t>
            </w:r>
            <w:r w:rsidRPr="00BD2528">
              <w:rPr>
                <w:rFonts w:ascii="Arial" w:hAnsi="Arial" w:cs="Arial"/>
                <w:sz w:val="20"/>
                <w:szCs w:val="20"/>
              </w:rPr>
              <w:t xml:space="preserve"> do leta 2030 ne bodo proizvedene neto emisije (po uporabi obračunskih pravil), tj. emisije v sektorju LULUCF ne bodo presegle ponorov (trenutne projekcije ponorov se gibljejo med</w:t>
            </w:r>
            <w:r w:rsidRPr="00BD2528">
              <w:rPr>
                <w:rFonts w:ascii="Arial" w:hAnsi="Arial" w:cs="Arial"/>
                <w:b/>
                <w:sz w:val="20"/>
                <w:szCs w:val="20"/>
              </w:rPr>
              <w:t xml:space="preserve"> REF -3.887,07 </w:t>
            </w:r>
            <w:proofErr w:type="spellStart"/>
            <w:r w:rsidRPr="00BD2528">
              <w:rPr>
                <w:rFonts w:ascii="Arial" w:hAnsi="Arial" w:cs="Arial"/>
                <w:b/>
                <w:sz w:val="20"/>
                <w:szCs w:val="20"/>
              </w:rPr>
              <w:t>kt</w:t>
            </w:r>
            <w:proofErr w:type="spellEnd"/>
            <w:r w:rsidRPr="00BD2528">
              <w:rPr>
                <w:rFonts w:ascii="Arial" w:hAnsi="Arial" w:cs="Arial"/>
                <w:b/>
                <w:sz w:val="20"/>
                <w:szCs w:val="20"/>
              </w:rPr>
              <w:t xml:space="preserve"> CO</w:t>
            </w:r>
            <w:r w:rsidRPr="00BD2528">
              <w:rPr>
                <w:rFonts w:ascii="Arial" w:hAnsi="Arial" w:cs="Arial"/>
                <w:b/>
                <w:sz w:val="20"/>
                <w:szCs w:val="20"/>
                <w:vertAlign w:val="subscript"/>
              </w:rPr>
              <w:t>2</w:t>
            </w:r>
            <w:r w:rsidRPr="00BD2528">
              <w:rPr>
                <w:rFonts w:ascii="Arial" w:hAnsi="Arial" w:cs="Arial"/>
                <w:b/>
                <w:sz w:val="20"/>
                <w:szCs w:val="20"/>
              </w:rPr>
              <w:t xml:space="preserve"> </w:t>
            </w:r>
            <w:proofErr w:type="spellStart"/>
            <w:r w:rsidRPr="00BD2528">
              <w:rPr>
                <w:rFonts w:ascii="Arial" w:hAnsi="Arial" w:cs="Arial"/>
                <w:b/>
                <w:sz w:val="20"/>
                <w:szCs w:val="20"/>
              </w:rPr>
              <w:t>ekv</w:t>
            </w:r>
            <w:proofErr w:type="spellEnd"/>
            <w:r w:rsidRPr="00BD2528">
              <w:rPr>
                <w:rFonts w:ascii="Arial" w:hAnsi="Arial" w:cs="Arial"/>
                <w:b/>
                <w:sz w:val="20"/>
                <w:szCs w:val="20"/>
              </w:rPr>
              <w:t xml:space="preserve"> in -5.053,73 </w:t>
            </w:r>
            <w:proofErr w:type="spellStart"/>
            <w:r w:rsidRPr="00BD2528">
              <w:rPr>
                <w:rFonts w:ascii="Arial" w:hAnsi="Arial" w:cs="Arial"/>
                <w:b/>
                <w:sz w:val="20"/>
                <w:szCs w:val="20"/>
              </w:rPr>
              <w:t>kt</w:t>
            </w:r>
            <w:proofErr w:type="spellEnd"/>
            <w:r w:rsidRPr="00BD2528">
              <w:rPr>
                <w:rFonts w:ascii="Arial" w:hAnsi="Arial" w:cs="Arial"/>
                <w:b/>
                <w:sz w:val="20"/>
                <w:szCs w:val="20"/>
              </w:rPr>
              <w:t xml:space="preserve"> CO</w:t>
            </w:r>
            <w:r w:rsidRPr="00BD2528">
              <w:rPr>
                <w:rFonts w:ascii="Arial" w:hAnsi="Arial" w:cs="Arial"/>
                <w:b/>
                <w:sz w:val="20"/>
                <w:szCs w:val="20"/>
                <w:vertAlign w:val="subscript"/>
              </w:rPr>
              <w:t>2</w:t>
            </w:r>
            <w:r w:rsidRPr="00BD2528">
              <w:rPr>
                <w:rFonts w:ascii="Arial" w:hAnsi="Arial" w:cs="Arial"/>
                <w:b/>
                <w:sz w:val="20"/>
                <w:szCs w:val="20"/>
              </w:rPr>
              <w:t xml:space="preserve"> </w:t>
            </w:r>
            <w:proofErr w:type="spellStart"/>
            <w:r w:rsidRPr="00BD2528">
              <w:rPr>
                <w:rFonts w:ascii="Arial" w:hAnsi="Arial" w:cs="Arial"/>
                <w:b/>
                <w:sz w:val="20"/>
                <w:szCs w:val="20"/>
              </w:rPr>
              <w:t>ekv</w:t>
            </w:r>
            <w:proofErr w:type="spellEnd"/>
            <w:r w:rsidRPr="00BD2528">
              <w:rPr>
                <w:rFonts w:ascii="Arial" w:hAnsi="Arial" w:cs="Arial"/>
                <w:sz w:val="20"/>
                <w:szCs w:val="20"/>
              </w:rPr>
              <w:t>)</w:t>
            </w:r>
          </w:p>
        </w:tc>
      </w:tr>
      <w:tr w:rsidR="0044727A" w:rsidRPr="00BD2528" w14:paraId="5BA7AA44" w14:textId="77777777" w:rsidTr="00067D4A">
        <w:tc>
          <w:tcPr>
            <w:tcW w:w="14000" w:type="dxa"/>
            <w:shd w:val="clear" w:color="auto" w:fill="auto"/>
          </w:tcPr>
          <w:p w14:paraId="49D7175A" w14:textId="77777777" w:rsidR="0044727A" w:rsidRPr="00BD2528" w:rsidRDefault="0044727A" w:rsidP="000E4629">
            <w:pPr>
              <w:pStyle w:val="ti-grseq-1"/>
              <w:spacing w:before="0" w:beforeAutospacing="0" w:after="0" w:afterAutospacing="0" w:line="276" w:lineRule="auto"/>
              <w:jc w:val="both"/>
              <w:rPr>
                <w:rFonts w:ascii="Arial" w:hAnsi="Arial" w:cs="Arial"/>
                <w:sz w:val="20"/>
                <w:szCs w:val="20"/>
              </w:rPr>
            </w:pPr>
            <w:r w:rsidRPr="00BD2528">
              <w:rPr>
                <w:rFonts w:ascii="Arial" w:hAnsi="Arial" w:cs="Arial"/>
                <w:sz w:val="20"/>
                <w:szCs w:val="20"/>
              </w:rPr>
              <w:t xml:space="preserve">Na področju </w:t>
            </w:r>
            <w:r w:rsidRPr="00BD2528">
              <w:rPr>
                <w:rFonts w:ascii="Arial" w:hAnsi="Arial" w:cs="Arial"/>
                <w:b/>
                <w:sz w:val="20"/>
                <w:szCs w:val="20"/>
              </w:rPr>
              <w:t>prilagajanja</w:t>
            </w:r>
            <w:r w:rsidRPr="00BD2528">
              <w:rPr>
                <w:rFonts w:ascii="Arial" w:hAnsi="Arial" w:cs="Arial"/>
                <w:sz w:val="20"/>
                <w:szCs w:val="20"/>
              </w:rPr>
              <w:t xml:space="preserve"> zmanjšati izpostavljenost vplivom podnebnih sprememb, občutljivosti in ranljivosti Slovenije zanje ter povečevanje odpornosti in prilagoditvene sposobnosti družbe</w:t>
            </w:r>
          </w:p>
        </w:tc>
      </w:tr>
      <w:tr w:rsidR="0044727A" w:rsidRPr="00BD2528" w14:paraId="3758C3D4" w14:textId="77777777" w:rsidTr="00067D4A">
        <w:tc>
          <w:tcPr>
            <w:tcW w:w="14000" w:type="dxa"/>
            <w:shd w:val="clear" w:color="auto" w:fill="EAF1DD"/>
          </w:tcPr>
          <w:p w14:paraId="4A3BD2FC" w14:textId="77777777" w:rsidR="0044727A" w:rsidRPr="00BD2528" w:rsidRDefault="0044727A" w:rsidP="000E4629">
            <w:pPr>
              <w:pStyle w:val="ti-grseq-1"/>
              <w:spacing w:before="0" w:beforeAutospacing="0" w:after="0" w:afterAutospacing="0" w:line="276" w:lineRule="auto"/>
              <w:jc w:val="center"/>
              <w:rPr>
                <w:rFonts w:ascii="Arial" w:hAnsi="Arial" w:cs="Arial"/>
                <w:b/>
                <w:sz w:val="20"/>
                <w:szCs w:val="20"/>
              </w:rPr>
            </w:pPr>
          </w:p>
          <w:p w14:paraId="7419F70B" w14:textId="77777777" w:rsidR="0044727A" w:rsidRPr="00BD2528" w:rsidRDefault="0044727A" w:rsidP="000E4629">
            <w:pPr>
              <w:pStyle w:val="ti-grseq-1"/>
              <w:spacing w:before="0" w:beforeAutospacing="0" w:after="0" w:afterAutospacing="0" w:line="276" w:lineRule="auto"/>
              <w:jc w:val="center"/>
              <w:rPr>
                <w:rFonts w:ascii="Arial" w:hAnsi="Arial" w:cs="Arial"/>
                <w:b/>
                <w:sz w:val="20"/>
                <w:szCs w:val="20"/>
              </w:rPr>
            </w:pPr>
            <w:r w:rsidRPr="00BD2528">
              <w:rPr>
                <w:rFonts w:ascii="Arial" w:hAnsi="Arial" w:cs="Arial"/>
                <w:b/>
                <w:sz w:val="20"/>
                <w:szCs w:val="20"/>
              </w:rPr>
              <w:t>Razogljičenje: obnovljivi viri energije</w:t>
            </w:r>
          </w:p>
          <w:p w14:paraId="2327579C" w14:textId="77777777" w:rsidR="0044727A" w:rsidRPr="00BD2528" w:rsidRDefault="0044727A" w:rsidP="000E4629">
            <w:pPr>
              <w:pStyle w:val="ti-grseq-1"/>
              <w:spacing w:before="0" w:beforeAutospacing="0" w:after="0" w:afterAutospacing="0" w:line="276" w:lineRule="auto"/>
              <w:jc w:val="center"/>
              <w:rPr>
                <w:rFonts w:ascii="Arial" w:hAnsi="Arial" w:cs="Arial"/>
                <w:sz w:val="20"/>
                <w:szCs w:val="20"/>
              </w:rPr>
            </w:pPr>
          </w:p>
        </w:tc>
      </w:tr>
      <w:tr w:rsidR="0044727A" w:rsidRPr="00BD2528" w14:paraId="1AE82D97" w14:textId="77777777" w:rsidTr="00067D4A">
        <w:tc>
          <w:tcPr>
            <w:tcW w:w="14000" w:type="dxa"/>
            <w:shd w:val="clear" w:color="auto" w:fill="auto"/>
          </w:tcPr>
          <w:p w14:paraId="635D72C8" w14:textId="77777777" w:rsidR="0044727A" w:rsidRPr="00BD2528" w:rsidRDefault="0044727A" w:rsidP="000E4629">
            <w:pPr>
              <w:pStyle w:val="Odstavekseznama"/>
              <w:ind w:left="0"/>
              <w:jc w:val="both"/>
              <w:rPr>
                <w:rFonts w:ascii="Arial" w:hAnsi="Arial" w:cs="Arial"/>
                <w:sz w:val="20"/>
                <w:szCs w:val="20"/>
              </w:rPr>
            </w:pPr>
            <w:r w:rsidRPr="00BD2528">
              <w:rPr>
                <w:rFonts w:ascii="Arial" w:hAnsi="Arial" w:cs="Arial"/>
                <w:sz w:val="20"/>
                <w:szCs w:val="20"/>
              </w:rPr>
              <w:t xml:space="preserve">doseči </w:t>
            </w:r>
            <w:r w:rsidRPr="00BD2528">
              <w:rPr>
                <w:rFonts w:ascii="Arial" w:hAnsi="Arial" w:cs="Arial"/>
                <w:b/>
                <w:sz w:val="20"/>
                <w:szCs w:val="20"/>
              </w:rPr>
              <w:t>vsaj</w:t>
            </w:r>
            <w:r w:rsidRPr="00BD2528">
              <w:rPr>
                <w:rFonts w:ascii="Arial" w:hAnsi="Arial" w:cs="Arial"/>
                <w:sz w:val="20"/>
                <w:szCs w:val="20"/>
              </w:rPr>
              <w:t xml:space="preserve"> </w:t>
            </w:r>
            <w:r w:rsidRPr="00BD2528">
              <w:rPr>
                <w:rFonts w:ascii="Arial" w:hAnsi="Arial" w:cs="Arial"/>
                <w:b/>
                <w:sz w:val="20"/>
                <w:szCs w:val="20"/>
              </w:rPr>
              <w:t>27 % delež obnovljivih virov</w:t>
            </w:r>
            <w:r w:rsidRPr="00BD2528">
              <w:rPr>
                <w:rFonts w:ascii="Arial" w:hAnsi="Arial" w:cs="Arial"/>
                <w:sz w:val="20"/>
                <w:szCs w:val="20"/>
              </w:rPr>
              <w:t xml:space="preserve"> v končni rabi energije do leta 2030, tj. (indikativno): </w:t>
            </w:r>
          </w:p>
          <w:p w14:paraId="13094989" w14:textId="77777777" w:rsidR="0044727A" w:rsidRPr="00BD2528" w:rsidRDefault="0044727A" w:rsidP="000E4629">
            <w:pPr>
              <w:pStyle w:val="Odstavekseznama"/>
              <w:numPr>
                <w:ilvl w:val="0"/>
                <w:numId w:val="26"/>
              </w:numPr>
              <w:spacing w:after="0"/>
              <w:jc w:val="both"/>
              <w:rPr>
                <w:rFonts w:ascii="Arial" w:hAnsi="Arial" w:cs="Arial"/>
                <w:sz w:val="20"/>
                <w:szCs w:val="20"/>
              </w:rPr>
            </w:pPr>
            <w:r w:rsidRPr="00BD2528">
              <w:rPr>
                <w:rFonts w:ascii="Arial" w:hAnsi="Arial" w:cs="Arial"/>
                <w:sz w:val="20"/>
                <w:szCs w:val="20"/>
              </w:rPr>
              <w:t xml:space="preserve">vsaj 2/3 </w:t>
            </w:r>
            <w:r w:rsidRPr="00BD2528">
              <w:rPr>
                <w:rFonts w:ascii="Arial" w:hAnsi="Arial" w:cs="Arial"/>
                <w:b/>
                <w:sz w:val="20"/>
                <w:szCs w:val="20"/>
              </w:rPr>
              <w:t>rabe energije v stavbah</w:t>
            </w:r>
            <w:r w:rsidRPr="00BD2528">
              <w:rPr>
                <w:rFonts w:ascii="Arial" w:hAnsi="Arial" w:cs="Arial"/>
                <w:sz w:val="20"/>
                <w:szCs w:val="20"/>
              </w:rPr>
              <w:t xml:space="preserve"> iz obnovljivih virov energije do leta 2030 (gre za delež rabe OVE v končni rabi energentov brez električne energije in daljinske toplote),</w:t>
            </w:r>
          </w:p>
          <w:p w14:paraId="6656CF4E" w14:textId="77777777" w:rsidR="0044727A" w:rsidRPr="00BD2528" w:rsidRDefault="0044727A" w:rsidP="000E4629">
            <w:pPr>
              <w:pStyle w:val="Odstavekseznama"/>
              <w:numPr>
                <w:ilvl w:val="0"/>
                <w:numId w:val="26"/>
              </w:numPr>
              <w:spacing w:after="0"/>
              <w:jc w:val="both"/>
              <w:rPr>
                <w:rFonts w:ascii="Arial" w:hAnsi="Arial" w:cs="Arial"/>
                <w:sz w:val="20"/>
                <w:szCs w:val="20"/>
              </w:rPr>
            </w:pPr>
            <w:r w:rsidRPr="00BD2528">
              <w:rPr>
                <w:rFonts w:ascii="Arial" w:hAnsi="Arial" w:cs="Arial"/>
                <w:sz w:val="20"/>
                <w:szCs w:val="20"/>
              </w:rPr>
              <w:t xml:space="preserve">vsaj 30 % delež OVE v </w:t>
            </w:r>
            <w:r w:rsidRPr="00BD2528">
              <w:rPr>
                <w:rFonts w:ascii="Arial" w:hAnsi="Arial" w:cs="Arial"/>
                <w:b/>
                <w:sz w:val="20"/>
                <w:szCs w:val="20"/>
              </w:rPr>
              <w:t>industriji</w:t>
            </w:r>
            <w:r w:rsidRPr="00BD2528">
              <w:rPr>
                <w:rFonts w:ascii="Arial" w:hAnsi="Arial" w:cs="Arial"/>
                <w:sz w:val="20"/>
                <w:szCs w:val="20"/>
              </w:rPr>
              <w:t>,</w:t>
            </w:r>
          </w:p>
          <w:p w14:paraId="2B5BC891" w14:textId="77777777" w:rsidR="0044727A" w:rsidRPr="00BD2528" w:rsidRDefault="0044727A" w:rsidP="000E4629">
            <w:pPr>
              <w:pStyle w:val="Odstavekseznama"/>
              <w:numPr>
                <w:ilvl w:val="0"/>
                <w:numId w:val="26"/>
              </w:numPr>
              <w:spacing w:after="0"/>
              <w:jc w:val="both"/>
              <w:rPr>
                <w:rFonts w:ascii="Arial" w:hAnsi="Arial" w:cs="Arial"/>
                <w:sz w:val="20"/>
                <w:szCs w:val="20"/>
              </w:rPr>
            </w:pPr>
            <w:r w:rsidRPr="00BD2528">
              <w:rPr>
                <w:rFonts w:ascii="Arial" w:hAnsi="Arial" w:cs="Arial"/>
                <w:sz w:val="20"/>
                <w:szCs w:val="20"/>
              </w:rPr>
              <w:t xml:space="preserve">vsaj 43 % delež OVE pri </w:t>
            </w:r>
            <w:r w:rsidRPr="00BD2528">
              <w:rPr>
                <w:rFonts w:ascii="Arial" w:hAnsi="Arial" w:cs="Arial"/>
                <w:b/>
                <w:sz w:val="20"/>
                <w:szCs w:val="20"/>
              </w:rPr>
              <w:t>proizvodnji električne energije</w:t>
            </w:r>
            <w:r w:rsidRPr="00BD2528">
              <w:rPr>
                <w:rFonts w:ascii="Arial" w:hAnsi="Arial" w:cs="Arial"/>
                <w:sz w:val="20"/>
                <w:szCs w:val="20"/>
              </w:rPr>
              <w:t>,</w:t>
            </w:r>
          </w:p>
          <w:p w14:paraId="7B2A255C" w14:textId="77777777" w:rsidR="0044727A" w:rsidRPr="00BD2528" w:rsidRDefault="0044727A" w:rsidP="000E4629">
            <w:pPr>
              <w:pStyle w:val="Odstavekseznama"/>
              <w:numPr>
                <w:ilvl w:val="0"/>
                <w:numId w:val="26"/>
              </w:numPr>
              <w:spacing w:after="0"/>
              <w:jc w:val="both"/>
              <w:rPr>
                <w:rFonts w:ascii="Arial" w:hAnsi="Arial" w:cs="Arial"/>
                <w:sz w:val="20"/>
                <w:szCs w:val="20"/>
              </w:rPr>
            </w:pPr>
            <w:r w:rsidRPr="00BD2528">
              <w:rPr>
                <w:rFonts w:ascii="Arial" w:hAnsi="Arial" w:cs="Arial"/>
                <w:sz w:val="20"/>
                <w:szCs w:val="20"/>
              </w:rPr>
              <w:t xml:space="preserve">vsaj 14 % delež OVE v </w:t>
            </w:r>
            <w:r w:rsidRPr="00BD2528">
              <w:rPr>
                <w:rFonts w:ascii="Arial" w:hAnsi="Arial" w:cs="Arial"/>
                <w:b/>
                <w:sz w:val="20"/>
                <w:szCs w:val="20"/>
              </w:rPr>
              <w:t>prometu</w:t>
            </w:r>
            <w:r w:rsidRPr="00BD2528">
              <w:rPr>
                <w:rFonts w:ascii="Arial" w:hAnsi="Arial" w:cs="Arial"/>
                <w:sz w:val="20"/>
                <w:szCs w:val="20"/>
              </w:rPr>
              <w:t>.</w:t>
            </w:r>
          </w:p>
        </w:tc>
      </w:tr>
      <w:tr w:rsidR="0044727A" w:rsidRPr="00BD2528" w14:paraId="2D7C7952" w14:textId="77777777" w:rsidTr="00067D4A">
        <w:tc>
          <w:tcPr>
            <w:tcW w:w="14000" w:type="dxa"/>
            <w:shd w:val="clear" w:color="auto" w:fill="EAF1DD"/>
          </w:tcPr>
          <w:p w14:paraId="5829B460" w14:textId="77777777" w:rsidR="0044727A" w:rsidRPr="00BD2528" w:rsidRDefault="0044727A" w:rsidP="000E4629">
            <w:pPr>
              <w:pStyle w:val="ti-grseq-1"/>
              <w:spacing w:before="0" w:beforeAutospacing="0" w:after="0" w:afterAutospacing="0" w:line="276" w:lineRule="auto"/>
              <w:jc w:val="both"/>
              <w:rPr>
                <w:rFonts w:ascii="Arial" w:hAnsi="Arial" w:cs="Arial"/>
                <w:b/>
                <w:sz w:val="20"/>
                <w:szCs w:val="20"/>
              </w:rPr>
            </w:pPr>
          </w:p>
          <w:p w14:paraId="52F99B65" w14:textId="77777777" w:rsidR="0044727A" w:rsidRPr="00BD2528" w:rsidRDefault="0044727A" w:rsidP="000E4629">
            <w:pPr>
              <w:pStyle w:val="ti-grseq-1"/>
              <w:spacing w:before="0" w:beforeAutospacing="0" w:after="0" w:afterAutospacing="0" w:line="276" w:lineRule="auto"/>
              <w:jc w:val="center"/>
              <w:rPr>
                <w:rFonts w:ascii="Arial" w:hAnsi="Arial" w:cs="Arial"/>
                <w:b/>
                <w:sz w:val="20"/>
                <w:szCs w:val="20"/>
              </w:rPr>
            </w:pPr>
            <w:r w:rsidRPr="00BD2528">
              <w:rPr>
                <w:rFonts w:ascii="Arial" w:hAnsi="Arial" w:cs="Arial"/>
                <w:b/>
                <w:sz w:val="20"/>
                <w:szCs w:val="20"/>
              </w:rPr>
              <w:t>Učinkovita raba energije</w:t>
            </w:r>
          </w:p>
          <w:p w14:paraId="4CCB4756" w14:textId="77777777" w:rsidR="0044727A" w:rsidRPr="00BD2528" w:rsidRDefault="0044727A" w:rsidP="000E4629">
            <w:pPr>
              <w:pStyle w:val="ti-grseq-1"/>
              <w:spacing w:before="0" w:beforeAutospacing="0" w:after="0" w:afterAutospacing="0" w:line="276" w:lineRule="auto"/>
              <w:jc w:val="both"/>
              <w:rPr>
                <w:rFonts w:ascii="Arial" w:hAnsi="Arial" w:cs="Arial"/>
                <w:b/>
                <w:sz w:val="20"/>
                <w:szCs w:val="20"/>
              </w:rPr>
            </w:pPr>
          </w:p>
        </w:tc>
      </w:tr>
      <w:tr w:rsidR="0044727A" w:rsidRPr="00BD2528" w14:paraId="118E69E8" w14:textId="77777777" w:rsidTr="00067D4A">
        <w:tc>
          <w:tcPr>
            <w:tcW w:w="14000" w:type="dxa"/>
            <w:shd w:val="clear" w:color="auto" w:fill="auto"/>
          </w:tcPr>
          <w:p w14:paraId="1B4718C8" w14:textId="77777777" w:rsidR="0044727A" w:rsidRPr="00BD2528" w:rsidRDefault="0044727A" w:rsidP="000E4629">
            <w:pPr>
              <w:pStyle w:val="ti-grseq-1"/>
              <w:spacing w:before="0" w:beforeAutospacing="0" w:after="0" w:afterAutospacing="0" w:line="276" w:lineRule="auto"/>
              <w:jc w:val="both"/>
              <w:rPr>
                <w:rFonts w:ascii="Arial" w:hAnsi="Arial" w:cs="Arial"/>
                <w:sz w:val="20"/>
                <w:szCs w:val="20"/>
              </w:rPr>
            </w:pPr>
            <w:r w:rsidRPr="00BD2528">
              <w:rPr>
                <w:rFonts w:ascii="Arial" w:hAnsi="Arial" w:cs="Arial"/>
                <w:sz w:val="20"/>
                <w:szCs w:val="20"/>
              </w:rPr>
              <w:lastRenderedPageBreak/>
              <w:t xml:space="preserve">Do leta 2030 </w:t>
            </w:r>
            <w:r w:rsidRPr="00BD2528">
              <w:rPr>
                <w:rFonts w:ascii="Arial" w:hAnsi="Arial" w:cs="Arial"/>
                <w:b/>
                <w:sz w:val="20"/>
                <w:szCs w:val="20"/>
              </w:rPr>
              <w:t xml:space="preserve">izboljšati energetsko učinkovitost za vsaj 32,5 % </w:t>
            </w:r>
            <w:r w:rsidRPr="00BD2528">
              <w:rPr>
                <w:rFonts w:ascii="Arial" w:hAnsi="Arial" w:cs="Arial"/>
                <w:sz w:val="20"/>
                <w:szCs w:val="20"/>
              </w:rPr>
              <w:t>glede na osnovni scenarij iz leta 2007 (skladno z Direktivo o energetski učinkovitosti).</w:t>
            </w:r>
          </w:p>
        </w:tc>
      </w:tr>
      <w:tr w:rsidR="0044727A" w:rsidRPr="00BD2528" w14:paraId="491A1F26" w14:textId="77777777" w:rsidTr="00067D4A">
        <w:tc>
          <w:tcPr>
            <w:tcW w:w="14000" w:type="dxa"/>
            <w:shd w:val="clear" w:color="auto" w:fill="auto"/>
          </w:tcPr>
          <w:p w14:paraId="1F819411" w14:textId="77777777" w:rsidR="0044727A" w:rsidRPr="00BD2528" w:rsidRDefault="0044727A" w:rsidP="000E4629">
            <w:pPr>
              <w:pStyle w:val="ti-grseq-1"/>
              <w:spacing w:before="0" w:beforeAutospacing="0" w:after="0" w:afterAutospacing="0" w:line="276" w:lineRule="auto"/>
              <w:jc w:val="both"/>
              <w:rPr>
                <w:rFonts w:ascii="Arial" w:hAnsi="Arial" w:cs="Arial"/>
                <w:sz w:val="20"/>
                <w:szCs w:val="20"/>
              </w:rPr>
            </w:pPr>
            <w:r w:rsidRPr="00BD2528">
              <w:rPr>
                <w:rFonts w:ascii="Arial" w:hAnsi="Arial" w:cs="Arial"/>
                <w:sz w:val="20"/>
                <w:szCs w:val="20"/>
              </w:rPr>
              <w:t xml:space="preserve">Zagotoviti </w:t>
            </w:r>
            <w:r w:rsidRPr="00BD2528">
              <w:rPr>
                <w:rFonts w:ascii="Arial" w:hAnsi="Arial" w:cs="Arial"/>
                <w:b/>
                <w:sz w:val="20"/>
                <w:szCs w:val="20"/>
              </w:rPr>
              <w:t>sistematično izvajanje sprejetih politik in ukrepov</w:t>
            </w:r>
            <w:r w:rsidRPr="00BD2528">
              <w:rPr>
                <w:rFonts w:ascii="Arial" w:hAnsi="Arial" w:cs="Arial"/>
                <w:sz w:val="20"/>
                <w:szCs w:val="20"/>
              </w:rPr>
              <w:t xml:space="preserve">, da </w:t>
            </w:r>
            <w:r w:rsidRPr="00BD2528">
              <w:rPr>
                <w:rFonts w:ascii="Arial" w:hAnsi="Arial" w:cs="Arial"/>
                <w:b/>
                <w:sz w:val="20"/>
                <w:szCs w:val="20"/>
              </w:rPr>
              <w:t>primarna raba energije</w:t>
            </w:r>
            <w:r w:rsidRPr="00BD2528">
              <w:rPr>
                <w:rFonts w:ascii="Arial" w:hAnsi="Arial" w:cs="Arial"/>
                <w:sz w:val="20"/>
                <w:szCs w:val="20"/>
              </w:rPr>
              <w:t xml:space="preserve"> leta 2030 </w:t>
            </w:r>
            <w:r w:rsidRPr="00BD2528">
              <w:rPr>
                <w:rFonts w:ascii="Arial" w:hAnsi="Arial" w:cs="Arial"/>
                <w:b/>
                <w:sz w:val="20"/>
                <w:szCs w:val="20"/>
              </w:rPr>
              <w:t>ne bo presegla 272,29 PJ (75.630 GWh)</w:t>
            </w:r>
            <w:r w:rsidRPr="00BD2528">
              <w:rPr>
                <w:rFonts w:ascii="Arial" w:hAnsi="Arial" w:cs="Arial"/>
                <w:sz w:val="20"/>
                <w:szCs w:val="20"/>
              </w:rPr>
              <w:t xml:space="preserve"> ter, da </w:t>
            </w:r>
            <w:r w:rsidRPr="00BD2528">
              <w:rPr>
                <w:rFonts w:ascii="Arial" w:hAnsi="Arial" w:cs="Arial"/>
                <w:b/>
                <w:sz w:val="20"/>
                <w:szCs w:val="20"/>
              </w:rPr>
              <w:t>končna raba energije ne bo presegla 196,69 PJ (54.636 GWh).</w:t>
            </w:r>
          </w:p>
        </w:tc>
      </w:tr>
      <w:tr w:rsidR="0044727A" w:rsidRPr="00BD2528" w14:paraId="037E83DF" w14:textId="77777777" w:rsidTr="00067D4A">
        <w:tc>
          <w:tcPr>
            <w:tcW w:w="14000" w:type="dxa"/>
            <w:shd w:val="clear" w:color="auto" w:fill="auto"/>
          </w:tcPr>
          <w:p w14:paraId="0A29DFE1" w14:textId="77777777" w:rsidR="0044727A" w:rsidRPr="00BD2528" w:rsidRDefault="0044727A" w:rsidP="000E4629">
            <w:pPr>
              <w:pStyle w:val="ti-grseq-1"/>
              <w:spacing w:before="0" w:beforeAutospacing="0" w:after="0" w:afterAutospacing="0" w:line="276" w:lineRule="auto"/>
              <w:jc w:val="both"/>
              <w:rPr>
                <w:rFonts w:ascii="Arial" w:hAnsi="Arial" w:cs="Arial"/>
                <w:sz w:val="20"/>
                <w:szCs w:val="20"/>
              </w:rPr>
            </w:pPr>
            <w:r w:rsidRPr="00BD2528">
              <w:rPr>
                <w:rFonts w:ascii="Arial" w:hAnsi="Arial" w:cs="Arial"/>
                <w:b/>
                <w:sz w:val="20"/>
                <w:szCs w:val="20"/>
              </w:rPr>
              <w:t>Zmanjšati rabo končne energije v stavbah</w:t>
            </w:r>
            <w:r w:rsidRPr="00BD2528">
              <w:rPr>
                <w:rFonts w:ascii="Arial" w:hAnsi="Arial" w:cs="Arial"/>
                <w:sz w:val="20"/>
                <w:szCs w:val="20"/>
              </w:rPr>
              <w:t xml:space="preserve"> za 30 % do leta 2030 glede na leto 2005.</w:t>
            </w:r>
          </w:p>
        </w:tc>
      </w:tr>
      <w:tr w:rsidR="0044727A" w:rsidRPr="00BD2528" w14:paraId="36FE3B76" w14:textId="77777777" w:rsidTr="00067D4A">
        <w:tc>
          <w:tcPr>
            <w:tcW w:w="14000" w:type="dxa"/>
            <w:shd w:val="clear" w:color="auto" w:fill="auto"/>
          </w:tcPr>
          <w:p w14:paraId="2795C047" w14:textId="77777777" w:rsidR="0044727A" w:rsidRPr="00BD2528" w:rsidRDefault="0044727A" w:rsidP="000E4629">
            <w:pPr>
              <w:pStyle w:val="ti-grseq-1"/>
              <w:spacing w:before="0" w:beforeAutospacing="0" w:after="0" w:afterAutospacing="0" w:line="276" w:lineRule="auto"/>
              <w:jc w:val="both"/>
              <w:rPr>
                <w:rFonts w:ascii="Arial" w:hAnsi="Arial" w:cs="Arial"/>
                <w:sz w:val="20"/>
                <w:szCs w:val="20"/>
              </w:rPr>
            </w:pPr>
            <w:r w:rsidRPr="00BD2528">
              <w:rPr>
                <w:rFonts w:ascii="Arial" w:hAnsi="Arial" w:cs="Arial"/>
                <w:b/>
                <w:sz w:val="20"/>
                <w:szCs w:val="20"/>
              </w:rPr>
              <w:t>Energetsko prenoviti</w:t>
            </w:r>
            <w:r w:rsidRPr="00BD2528">
              <w:rPr>
                <w:rFonts w:ascii="Arial" w:hAnsi="Arial" w:cs="Arial"/>
                <w:sz w:val="20"/>
                <w:szCs w:val="20"/>
              </w:rPr>
              <w:t xml:space="preserve"> skoraj 26 mio m</w:t>
            </w:r>
            <w:r w:rsidRPr="00BD2528">
              <w:rPr>
                <w:rFonts w:ascii="Arial" w:hAnsi="Arial" w:cs="Arial"/>
                <w:sz w:val="20"/>
                <w:szCs w:val="20"/>
                <w:vertAlign w:val="superscript"/>
              </w:rPr>
              <w:t>2</w:t>
            </w:r>
            <w:r w:rsidRPr="00BD2528">
              <w:rPr>
                <w:rFonts w:ascii="Arial" w:hAnsi="Arial" w:cs="Arial"/>
                <w:sz w:val="20"/>
                <w:szCs w:val="20"/>
              </w:rPr>
              <w:t xml:space="preserve"> površin stavb oz. 1,3 – 1,7 mio m</w:t>
            </w:r>
            <w:r w:rsidRPr="00BD2528">
              <w:rPr>
                <w:rFonts w:ascii="Arial" w:hAnsi="Arial" w:cs="Arial"/>
                <w:sz w:val="20"/>
                <w:szCs w:val="20"/>
                <w:vertAlign w:val="superscript"/>
              </w:rPr>
              <w:t>2</w:t>
            </w:r>
            <w:r w:rsidRPr="00BD2528">
              <w:rPr>
                <w:rFonts w:ascii="Arial" w:hAnsi="Arial" w:cs="Arial"/>
                <w:sz w:val="20"/>
                <w:szCs w:val="20"/>
              </w:rPr>
              <w:t xml:space="preserve"> letno; od tega dobro tretjino v standardu skoraj nič-energijskih stavb ter zagotoviti zmanjšanje emisij TGP v stavbah za vsaj za 70 % do leta 2030 glede na leto 2005.</w:t>
            </w:r>
          </w:p>
        </w:tc>
      </w:tr>
      <w:tr w:rsidR="0044727A" w:rsidRPr="00BD2528" w14:paraId="45B86841" w14:textId="77777777" w:rsidTr="00067D4A">
        <w:tc>
          <w:tcPr>
            <w:tcW w:w="14000" w:type="dxa"/>
            <w:shd w:val="clear" w:color="auto" w:fill="EAF1DD"/>
          </w:tcPr>
          <w:p w14:paraId="523BE546" w14:textId="77777777" w:rsidR="0044727A" w:rsidRPr="00BD2528" w:rsidRDefault="0044727A" w:rsidP="000E4629">
            <w:pPr>
              <w:pStyle w:val="ti-grseq-1"/>
              <w:spacing w:before="0" w:beforeAutospacing="0" w:after="0" w:afterAutospacing="0" w:line="276" w:lineRule="auto"/>
              <w:jc w:val="both"/>
              <w:rPr>
                <w:rFonts w:ascii="Arial" w:hAnsi="Arial" w:cs="Arial"/>
                <w:b/>
                <w:sz w:val="20"/>
                <w:szCs w:val="20"/>
              </w:rPr>
            </w:pPr>
          </w:p>
          <w:p w14:paraId="5ED78C3D" w14:textId="77777777" w:rsidR="0044727A" w:rsidRPr="00BD2528" w:rsidRDefault="0044727A" w:rsidP="000E4629">
            <w:pPr>
              <w:pStyle w:val="ti-grseq-1"/>
              <w:spacing w:before="0" w:beforeAutospacing="0" w:after="0" w:afterAutospacing="0" w:line="276" w:lineRule="auto"/>
              <w:jc w:val="center"/>
              <w:rPr>
                <w:rFonts w:ascii="Arial" w:hAnsi="Arial" w:cs="Arial"/>
                <w:b/>
                <w:sz w:val="20"/>
                <w:szCs w:val="20"/>
              </w:rPr>
            </w:pPr>
            <w:r w:rsidRPr="00BD2528">
              <w:rPr>
                <w:rFonts w:ascii="Arial" w:hAnsi="Arial" w:cs="Arial"/>
                <w:b/>
                <w:sz w:val="20"/>
                <w:szCs w:val="20"/>
              </w:rPr>
              <w:t>Energetska varnost in notranji trg z energijo</w:t>
            </w:r>
          </w:p>
          <w:p w14:paraId="0E2BE9E3" w14:textId="77777777" w:rsidR="0044727A" w:rsidRPr="00BD2528" w:rsidRDefault="0044727A" w:rsidP="000E4629">
            <w:pPr>
              <w:pStyle w:val="ti-grseq-1"/>
              <w:spacing w:before="0" w:beforeAutospacing="0" w:after="0" w:afterAutospacing="0" w:line="276" w:lineRule="auto"/>
              <w:jc w:val="both"/>
              <w:rPr>
                <w:rFonts w:ascii="Arial" w:hAnsi="Arial" w:cs="Arial"/>
                <w:b/>
                <w:sz w:val="20"/>
                <w:szCs w:val="20"/>
              </w:rPr>
            </w:pPr>
          </w:p>
        </w:tc>
      </w:tr>
      <w:tr w:rsidR="0044727A" w:rsidRPr="00BD2528" w14:paraId="488AE896" w14:textId="77777777" w:rsidTr="00067D4A">
        <w:tc>
          <w:tcPr>
            <w:tcW w:w="14000" w:type="dxa"/>
            <w:shd w:val="clear" w:color="auto" w:fill="auto"/>
          </w:tcPr>
          <w:p w14:paraId="4E8467B2" w14:textId="77777777" w:rsidR="0044727A" w:rsidRPr="00BD2528" w:rsidRDefault="0044727A" w:rsidP="000E4629">
            <w:pPr>
              <w:pStyle w:val="ti-grseq-1"/>
              <w:spacing w:before="0" w:beforeAutospacing="0" w:after="0" w:afterAutospacing="0" w:line="276" w:lineRule="auto"/>
              <w:jc w:val="both"/>
              <w:rPr>
                <w:rFonts w:ascii="Arial" w:hAnsi="Arial" w:cs="Arial"/>
                <w:sz w:val="20"/>
                <w:szCs w:val="20"/>
              </w:rPr>
            </w:pPr>
            <w:r w:rsidRPr="00BD2528">
              <w:rPr>
                <w:rFonts w:ascii="Arial" w:hAnsi="Arial" w:cs="Arial"/>
                <w:b/>
                <w:sz w:val="20"/>
                <w:szCs w:val="20"/>
              </w:rPr>
              <w:t>Zagotoviti pospešeni razvoj omrežja za distribucijo električne energije</w:t>
            </w:r>
            <w:r w:rsidRPr="00BD2528">
              <w:rPr>
                <w:rFonts w:ascii="Arial" w:hAnsi="Arial" w:cs="Arial"/>
                <w:sz w:val="20"/>
                <w:szCs w:val="20"/>
              </w:rPr>
              <w:t xml:space="preserve">, ki vključuje tudi razvojno naravnano določanje višine omrežnine in omogoča pospešeno integracijo toplotnih črpalk, izpolnjevanje zahtev povezanih s pospešenim uvajanjem modernih konceptov </w:t>
            </w:r>
            <w:proofErr w:type="spellStart"/>
            <w:r w:rsidRPr="00BD2528">
              <w:rPr>
                <w:rFonts w:ascii="Arial" w:hAnsi="Arial" w:cs="Arial"/>
                <w:sz w:val="20"/>
                <w:szCs w:val="20"/>
              </w:rPr>
              <w:t>elektromobilnosti</w:t>
            </w:r>
            <w:proofErr w:type="spellEnd"/>
            <w:r w:rsidRPr="00BD2528">
              <w:rPr>
                <w:rFonts w:ascii="Arial" w:hAnsi="Arial" w:cs="Arial"/>
                <w:sz w:val="20"/>
                <w:szCs w:val="20"/>
              </w:rPr>
              <w:t xml:space="preserve"> ter naprav za proizvodnjo električne energije iz obnovljivih virov</w:t>
            </w:r>
          </w:p>
        </w:tc>
      </w:tr>
      <w:tr w:rsidR="0044727A" w:rsidRPr="00BD2528" w14:paraId="4E7D2B90" w14:textId="77777777" w:rsidTr="00067D4A">
        <w:tc>
          <w:tcPr>
            <w:tcW w:w="14000" w:type="dxa"/>
            <w:shd w:val="clear" w:color="auto" w:fill="auto"/>
          </w:tcPr>
          <w:p w14:paraId="1409A2EE" w14:textId="77777777" w:rsidR="0044727A" w:rsidRPr="00BD2528" w:rsidRDefault="0044727A" w:rsidP="000E4629">
            <w:pPr>
              <w:pStyle w:val="Odstavekseznama"/>
              <w:ind w:left="0"/>
              <w:jc w:val="both"/>
              <w:rPr>
                <w:rFonts w:ascii="Arial" w:hAnsi="Arial" w:cs="Arial"/>
                <w:sz w:val="20"/>
                <w:szCs w:val="20"/>
              </w:rPr>
            </w:pPr>
            <w:r w:rsidRPr="00BD2528">
              <w:rPr>
                <w:rFonts w:ascii="Arial" w:hAnsi="Arial" w:cs="Arial"/>
                <w:sz w:val="20"/>
                <w:szCs w:val="20"/>
              </w:rPr>
              <w:t xml:space="preserve">Prizadevati si </w:t>
            </w:r>
            <w:r w:rsidRPr="00BD2528">
              <w:rPr>
                <w:rFonts w:ascii="Arial" w:hAnsi="Arial" w:cs="Arial"/>
                <w:b/>
                <w:sz w:val="20"/>
                <w:szCs w:val="20"/>
              </w:rPr>
              <w:t>v čim večji meri zmanjšati rabo fosilnih virov energije in odvisnost od uvoza fosilnih virov energije</w:t>
            </w:r>
            <w:r w:rsidRPr="00BD2528">
              <w:rPr>
                <w:rFonts w:ascii="Arial" w:hAnsi="Arial" w:cs="Arial"/>
                <w:sz w:val="20"/>
                <w:szCs w:val="20"/>
              </w:rPr>
              <w:t xml:space="preserve"> s:</w:t>
            </w:r>
          </w:p>
          <w:p w14:paraId="50BC2F2B" w14:textId="77D9F672" w:rsidR="0044727A" w:rsidRPr="00BD2528" w:rsidRDefault="0044727A" w:rsidP="000E4629">
            <w:pPr>
              <w:pStyle w:val="Odstavekseznama"/>
              <w:numPr>
                <w:ilvl w:val="0"/>
                <w:numId w:val="27"/>
              </w:numPr>
              <w:spacing w:after="0"/>
              <w:jc w:val="both"/>
              <w:rPr>
                <w:rFonts w:ascii="Arial" w:hAnsi="Arial" w:cs="Arial"/>
                <w:sz w:val="20"/>
                <w:szCs w:val="20"/>
              </w:rPr>
            </w:pPr>
            <w:r w:rsidRPr="00BD2528">
              <w:rPr>
                <w:rFonts w:ascii="Arial" w:hAnsi="Arial" w:cs="Arial"/>
                <w:sz w:val="20"/>
                <w:szCs w:val="20"/>
              </w:rPr>
              <w:t>postopnim opuščanjem rabe premoga (-30% do leta 2030, -50% do leta 2040 in -100% najkasneje do leta 2050),</w:t>
            </w:r>
            <w:r w:rsidR="00410E25" w:rsidRPr="00BD2528">
              <w:rPr>
                <w:rStyle w:val="Sprotnaopomba-sklic"/>
                <w:rFonts w:ascii="Arial" w:hAnsi="Arial" w:cs="Arial"/>
                <w:sz w:val="20"/>
                <w:szCs w:val="20"/>
              </w:rPr>
              <w:footnoteReference w:id="15"/>
            </w:r>
          </w:p>
          <w:p w14:paraId="5E6A72FD" w14:textId="77777777" w:rsidR="0044727A" w:rsidRPr="00BD2528" w:rsidRDefault="0044727A" w:rsidP="000E4629">
            <w:pPr>
              <w:pStyle w:val="Odstavekseznama"/>
              <w:numPr>
                <w:ilvl w:val="0"/>
                <w:numId w:val="27"/>
              </w:numPr>
              <w:spacing w:after="0"/>
              <w:jc w:val="both"/>
              <w:rPr>
                <w:rFonts w:ascii="Arial" w:hAnsi="Arial" w:cs="Arial"/>
                <w:sz w:val="20"/>
                <w:szCs w:val="20"/>
              </w:rPr>
            </w:pPr>
            <w:r w:rsidRPr="00BD2528">
              <w:rPr>
                <w:rFonts w:ascii="Arial" w:hAnsi="Arial" w:cs="Arial"/>
                <w:sz w:val="20"/>
                <w:szCs w:val="20"/>
              </w:rPr>
              <w:t>prepovedjo prodaje in vgradnje novih kotlov na kurilno olje po letu 2025,</w:t>
            </w:r>
          </w:p>
          <w:p w14:paraId="34CA431B" w14:textId="77777777" w:rsidR="0044727A" w:rsidRPr="00BD2528" w:rsidRDefault="0044727A" w:rsidP="000E4629">
            <w:pPr>
              <w:pStyle w:val="Odstavekseznama"/>
              <w:numPr>
                <w:ilvl w:val="0"/>
                <w:numId w:val="27"/>
              </w:numPr>
              <w:spacing w:after="0"/>
              <w:jc w:val="both"/>
              <w:rPr>
                <w:rFonts w:ascii="Arial" w:hAnsi="Arial" w:cs="Arial"/>
                <w:sz w:val="20"/>
                <w:szCs w:val="20"/>
              </w:rPr>
            </w:pPr>
            <w:r w:rsidRPr="00BD2528">
              <w:rPr>
                <w:rFonts w:ascii="Arial" w:hAnsi="Arial" w:cs="Arial"/>
                <w:sz w:val="20"/>
                <w:szCs w:val="20"/>
              </w:rPr>
              <w:t>zagotovitvijo vsaj 10% deleža metana ali vodika obnovljivega izvora v prenosnem in distribucijskem omrežju do leta 2030 in 25% do leta 2040.</w:t>
            </w:r>
          </w:p>
        </w:tc>
      </w:tr>
      <w:tr w:rsidR="0044727A" w:rsidRPr="00BD2528" w14:paraId="4317B13E" w14:textId="77777777" w:rsidTr="00067D4A">
        <w:tc>
          <w:tcPr>
            <w:tcW w:w="14000" w:type="dxa"/>
            <w:shd w:val="clear" w:color="auto" w:fill="auto"/>
          </w:tcPr>
          <w:p w14:paraId="32FD1B77" w14:textId="77777777" w:rsidR="0044727A" w:rsidRPr="00BD2528" w:rsidRDefault="0044727A" w:rsidP="000E4629">
            <w:pPr>
              <w:pStyle w:val="Odstavekseznama"/>
              <w:ind w:left="0"/>
              <w:jc w:val="both"/>
              <w:rPr>
                <w:rFonts w:ascii="Arial" w:hAnsi="Arial" w:cs="Arial"/>
                <w:b/>
                <w:sz w:val="20"/>
                <w:szCs w:val="20"/>
              </w:rPr>
            </w:pPr>
            <w:r w:rsidRPr="00BD2528">
              <w:rPr>
                <w:rFonts w:ascii="Arial" w:hAnsi="Arial" w:cs="Arial"/>
                <w:b/>
                <w:sz w:val="20"/>
                <w:szCs w:val="20"/>
              </w:rPr>
              <w:t>Obvladovanje energetske revščine:</w:t>
            </w:r>
          </w:p>
          <w:p w14:paraId="33136A24" w14:textId="77777777" w:rsidR="0044727A" w:rsidRPr="00BD2528" w:rsidRDefault="0044727A" w:rsidP="000E4629">
            <w:pPr>
              <w:pStyle w:val="Odstavekseznama"/>
              <w:numPr>
                <w:ilvl w:val="0"/>
                <w:numId w:val="22"/>
              </w:numPr>
              <w:spacing w:after="0"/>
              <w:jc w:val="both"/>
              <w:rPr>
                <w:rFonts w:ascii="Arial" w:hAnsi="Arial" w:cs="Arial"/>
                <w:sz w:val="20"/>
                <w:szCs w:val="20"/>
              </w:rPr>
            </w:pPr>
            <w:r w:rsidRPr="00BD2528">
              <w:rPr>
                <w:rFonts w:ascii="Arial" w:hAnsi="Arial" w:cs="Arial"/>
                <w:sz w:val="20"/>
                <w:szCs w:val="20"/>
              </w:rPr>
              <w:t>do leta 2021 zakonsko določiti opredelitev energetske revščine,</w:t>
            </w:r>
          </w:p>
          <w:p w14:paraId="0ADBAC9D" w14:textId="77777777" w:rsidR="0044727A" w:rsidRPr="00BD2528" w:rsidRDefault="0044727A" w:rsidP="000E4629">
            <w:pPr>
              <w:pStyle w:val="Odstavekseznama"/>
              <w:numPr>
                <w:ilvl w:val="0"/>
                <w:numId w:val="22"/>
              </w:numPr>
              <w:spacing w:after="0"/>
              <w:jc w:val="both"/>
              <w:rPr>
                <w:rFonts w:ascii="Arial" w:hAnsi="Arial" w:cs="Arial"/>
                <w:sz w:val="20"/>
                <w:szCs w:val="20"/>
              </w:rPr>
            </w:pPr>
            <w:r w:rsidRPr="00BD2528">
              <w:rPr>
                <w:rFonts w:ascii="Arial" w:hAnsi="Arial" w:cs="Arial"/>
                <w:sz w:val="20"/>
                <w:szCs w:val="20"/>
              </w:rPr>
              <w:t>do leta 2022 določiti način merjenja energetske revščine in natančno analizirati pojav energetske revščine,</w:t>
            </w:r>
          </w:p>
          <w:p w14:paraId="2879CC18" w14:textId="77777777" w:rsidR="0044727A" w:rsidRPr="00BD2528" w:rsidRDefault="0044727A" w:rsidP="000E4629">
            <w:pPr>
              <w:pStyle w:val="Odstavekseznama"/>
              <w:numPr>
                <w:ilvl w:val="0"/>
                <w:numId w:val="22"/>
              </w:numPr>
              <w:spacing w:after="0"/>
              <w:jc w:val="both"/>
              <w:rPr>
                <w:rFonts w:ascii="Arial" w:hAnsi="Arial" w:cs="Arial"/>
                <w:sz w:val="20"/>
                <w:szCs w:val="20"/>
              </w:rPr>
            </w:pPr>
            <w:r w:rsidRPr="00BD2528">
              <w:rPr>
                <w:rFonts w:ascii="Arial" w:hAnsi="Arial" w:cs="Arial"/>
                <w:sz w:val="20"/>
                <w:szCs w:val="20"/>
              </w:rPr>
              <w:t>do leta 2023 določiti ciljne kazalnike za področje energetske revščine za Slovenijo do leta 2030,</w:t>
            </w:r>
          </w:p>
          <w:p w14:paraId="63976C04" w14:textId="77777777" w:rsidR="0044727A" w:rsidRPr="00BD2528" w:rsidRDefault="0044727A" w:rsidP="000E4629">
            <w:pPr>
              <w:pStyle w:val="Odstavekseznama"/>
              <w:numPr>
                <w:ilvl w:val="0"/>
                <w:numId w:val="22"/>
              </w:numPr>
              <w:spacing w:after="0"/>
              <w:jc w:val="both"/>
              <w:rPr>
                <w:rFonts w:ascii="Arial" w:hAnsi="Arial" w:cs="Arial"/>
                <w:sz w:val="20"/>
                <w:szCs w:val="20"/>
              </w:rPr>
            </w:pPr>
            <w:r w:rsidRPr="00BD2528">
              <w:rPr>
                <w:rFonts w:ascii="Arial" w:hAnsi="Arial" w:cs="Arial"/>
                <w:sz w:val="20"/>
                <w:szCs w:val="20"/>
              </w:rPr>
              <w:t>do leta 2023 izdelati Akcijski načrt boja proti energetski revščini v Sloveniji, v katerem bodo opredeljeni ukrepi za dosego ciljnih kazalnikov za področje energetske revščine v Sloveniji.</w:t>
            </w:r>
          </w:p>
        </w:tc>
      </w:tr>
      <w:tr w:rsidR="0044727A" w:rsidRPr="00BD2528" w14:paraId="316A5778" w14:textId="77777777" w:rsidTr="00067D4A">
        <w:tc>
          <w:tcPr>
            <w:tcW w:w="14000" w:type="dxa"/>
            <w:shd w:val="clear" w:color="auto" w:fill="EAF1DD"/>
          </w:tcPr>
          <w:p w14:paraId="7EF75E8D" w14:textId="77777777" w:rsidR="0044727A" w:rsidRPr="00BD2528" w:rsidRDefault="0044727A" w:rsidP="000E4629">
            <w:pPr>
              <w:pStyle w:val="ti-grseq-1"/>
              <w:spacing w:before="0" w:beforeAutospacing="0" w:after="0" w:afterAutospacing="0" w:line="276" w:lineRule="auto"/>
              <w:jc w:val="both"/>
              <w:rPr>
                <w:rFonts w:ascii="Arial" w:hAnsi="Arial" w:cs="Arial"/>
                <w:b/>
                <w:sz w:val="20"/>
                <w:szCs w:val="20"/>
              </w:rPr>
            </w:pPr>
          </w:p>
          <w:p w14:paraId="72F34EEA" w14:textId="77777777" w:rsidR="0044727A" w:rsidRPr="00BD2528" w:rsidRDefault="0044727A" w:rsidP="000E4629">
            <w:pPr>
              <w:pStyle w:val="ti-grseq-1"/>
              <w:spacing w:before="0" w:beforeAutospacing="0" w:after="0" w:afterAutospacing="0" w:line="276" w:lineRule="auto"/>
              <w:jc w:val="center"/>
              <w:rPr>
                <w:rFonts w:ascii="Arial" w:hAnsi="Arial" w:cs="Arial"/>
                <w:b/>
                <w:sz w:val="20"/>
                <w:szCs w:val="20"/>
              </w:rPr>
            </w:pPr>
            <w:r w:rsidRPr="00BD2528">
              <w:rPr>
                <w:rFonts w:ascii="Arial" w:hAnsi="Arial" w:cs="Arial"/>
                <w:b/>
                <w:sz w:val="20"/>
                <w:szCs w:val="20"/>
              </w:rPr>
              <w:t>Raziskave, inovacije in konkurenčnost</w:t>
            </w:r>
          </w:p>
          <w:p w14:paraId="7B276569" w14:textId="77777777" w:rsidR="0044727A" w:rsidRPr="00BD2528" w:rsidRDefault="0044727A" w:rsidP="000E4629">
            <w:pPr>
              <w:pStyle w:val="ti-grseq-1"/>
              <w:spacing w:before="0" w:beforeAutospacing="0" w:after="0" w:afterAutospacing="0" w:line="276" w:lineRule="auto"/>
              <w:jc w:val="both"/>
              <w:rPr>
                <w:rFonts w:ascii="Arial" w:hAnsi="Arial" w:cs="Arial"/>
                <w:b/>
                <w:sz w:val="20"/>
                <w:szCs w:val="20"/>
              </w:rPr>
            </w:pPr>
          </w:p>
        </w:tc>
      </w:tr>
      <w:tr w:rsidR="0044727A" w:rsidRPr="00BD2528" w14:paraId="3F38348D" w14:textId="77777777" w:rsidTr="00067D4A">
        <w:tc>
          <w:tcPr>
            <w:tcW w:w="14000" w:type="dxa"/>
            <w:shd w:val="clear" w:color="auto" w:fill="auto"/>
          </w:tcPr>
          <w:p w14:paraId="57AA66D7" w14:textId="77777777" w:rsidR="0044727A" w:rsidRPr="00BD2528" w:rsidRDefault="0044727A" w:rsidP="000E4629">
            <w:pPr>
              <w:pStyle w:val="ti-grseq-1"/>
              <w:spacing w:before="0" w:beforeAutospacing="0" w:after="0" w:afterAutospacing="0" w:line="276" w:lineRule="auto"/>
              <w:jc w:val="both"/>
              <w:rPr>
                <w:rFonts w:ascii="Arial" w:hAnsi="Arial" w:cs="Arial"/>
                <w:sz w:val="20"/>
                <w:szCs w:val="20"/>
              </w:rPr>
            </w:pPr>
            <w:r w:rsidRPr="00BD2528">
              <w:rPr>
                <w:rFonts w:ascii="Arial" w:hAnsi="Arial" w:cs="Arial"/>
                <w:b/>
                <w:sz w:val="20"/>
                <w:szCs w:val="20"/>
              </w:rPr>
              <w:t>Do leta 2020</w:t>
            </w:r>
            <w:r w:rsidRPr="00BD2528">
              <w:rPr>
                <w:rFonts w:ascii="Arial" w:hAnsi="Arial" w:cs="Arial"/>
                <w:sz w:val="20"/>
                <w:szCs w:val="20"/>
              </w:rPr>
              <w:t xml:space="preserve"> doseči skupna vlaganja javnega in zasebnega sektorja v raziskave in razvoj v višini </w:t>
            </w:r>
            <w:r w:rsidRPr="00BD2528">
              <w:rPr>
                <w:rFonts w:ascii="Arial" w:hAnsi="Arial" w:cs="Arial"/>
                <w:b/>
                <w:sz w:val="20"/>
                <w:szCs w:val="20"/>
              </w:rPr>
              <w:t>najmanj 3 % BDP</w:t>
            </w:r>
            <w:r w:rsidRPr="00BD2528">
              <w:rPr>
                <w:rFonts w:ascii="Arial" w:hAnsi="Arial" w:cs="Arial"/>
                <w:sz w:val="20"/>
                <w:szCs w:val="20"/>
              </w:rPr>
              <w:t xml:space="preserve"> (od tega javna vlaganja najmanj 1 % BDP) ter najmanj </w:t>
            </w:r>
            <w:r w:rsidRPr="00BD2528">
              <w:rPr>
                <w:rFonts w:ascii="Arial" w:hAnsi="Arial" w:cs="Arial"/>
                <w:b/>
                <w:sz w:val="20"/>
                <w:szCs w:val="20"/>
              </w:rPr>
              <w:t>3,6% BDP do leta 2030</w:t>
            </w:r>
          </w:p>
        </w:tc>
      </w:tr>
    </w:tbl>
    <w:p w14:paraId="6A44D505" w14:textId="77777777" w:rsidR="0044727A" w:rsidRPr="00FC19D4" w:rsidRDefault="0044727A" w:rsidP="000E4629">
      <w:pPr>
        <w:jc w:val="both"/>
        <w:rPr>
          <w:rFonts w:ascii="Arial" w:hAnsi="Arial" w:cs="Arial"/>
          <w:b/>
        </w:rPr>
        <w:sectPr w:rsidR="0044727A" w:rsidRPr="00FC19D4" w:rsidSect="00067D4A">
          <w:pgSz w:w="16838" w:h="11906" w:orient="landscape"/>
          <w:pgMar w:top="1417" w:right="1417" w:bottom="1417" w:left="1417" w:header="708" w:footer="708" w:gutter="0"/>
          <w:cols w:space="708"/>
          <w:docGrid w:linePitch="360"/>
        </w:sectPr>
      </w:pPr>
    </w:p>
    <w:p w14:paraId="71D77D18" w14:textId="15C722CD" w:rsidR="0044727A" w:rsidRPr="00FC19D4" w:rsidRDefault="0044727A" w:rsidP="000E4629">
      <w:pPr>
        <w:pStyle w:val="ti-grseq-1"/>
        <w:numPr>
          <w:ilvl w:val="0"/>
          <w:numId w:val="39"/>
        </w:numPr>
        <w:spacing w:before="0" w:beforeAutospacing="0" w:after="0" w:afterAutospacing="0" w:line="276" w:lineRule="auto"/>
        <w:jc w:val="both"/>
        <w:rPr>
          <w:rFonts w:ascii="Arial" w:hAnsi="Arial" w:cs="Arial"/>
          <w:b/>
          <w:sz w:val="20"/>
          <w:szCs w:val="20"/>
        </w:rPr>
      </w:pPr>
      <w:r w:rsidRPr="00FC19D4">
        <w:rPr>
          <w:rFonts w:ascii="Arial" w:hAnsi="Arial" w:cs="Arial"/>
          <w:b/>
          <w:sz w:val="20"/>
          <w:szCs w:val="20"/>
        </w:rPr>
        <w:lastRenderedPageBreak/>
        <w:t>POSVETOVANJA IN SODELOVANJE NACIONALNIH SUBJEKTOV IN SUBJEKTOV IZ UNIJE TER NJIHOV IZID</w:t>
      </w:r>
    </w:p>
    <w:p w14:paraId="66F72C72" w14:textId="77777777" w:rsidR="00EC6483" w:rsidRPr="00FC19D4" w:rsidRDefault="00EC6483" w:rsidP="000E4629">
      <w:pPr>
        <w:pStyle w:val="ti-grseq-1"/>
        <w:spacing w:before="0" w:beforeAutospacing="0" w:after="0" w:afterAutospacing="0" w:line="276" w:lineRule="auto"/>
        <w:ind w:left="720"/>
        <w:jc w:val="both"/>
        <w:rPr>
          <w:rFonts w:ascii="Arial" w:hAnsi="Arial" w:cs="Arial"/>
          <w:b/>
          <w:sz w:val="20"/>
          <w:szCs w:val="20"/>
        </w:rPr>
      </w:pPr>
    </w:p>
    <w:p w14:paraId="72E6E97E" w14:textId="0117AE37" w:rsidR="0044727A" w:rsidRPr="00FC19D4" w:rsidRDefault="0044727A" w:rsidP="000E4629">
      <w:pPr>
        <w:pStyle w:val="ti-grseq-1"/>
        <w:numPr>
          <w:ilvl w:val="0"/>
          <w:numId w:val="40"/>
        </w:numPr>
        <w:spacing w:before="0" w:beforeAutospacing="0" w:after="0" w:afterAutospacing="0" w:line="276" w:lineRule="auto"/>
        <w:jc w:val="both"/>
        <w:rPr>
          <w:rFonts w:ascii="Arial" w:hAnsi="Arial" w:cs="Arial"/>
          <w:b/>
          <w:sz w:val="20"/>
          <w:szCs w:val="20"/>
        </w:rPr>
      </w:pPr>
      <w:r w:rsidRPr="00FC19D4">
        <w:rPr>
          <w:rFonts w:ascii="Arial" w:hAnsi="Arial" w:cs="Arial"/>
          <w:b/>
          <w:sz w:val="20"/>
          <w:szCs w:val="20"/>
        </w:rPr>
        <w:t>Sodelovanje nacionalnega parlamenta</w:t>
      </w:r>
    </w:p>
    <w:p w14:paraId="55321681" w14:textId="77777777" w:rsidR="00EC6483" w:rsidRPr="00FC19D4" w:rsidRDefault="00EC6483" w:rsidP="000E4629">
      <w:pPr>
        <w:pStyle w:val="ti-grseq-1"/>
        <w:spacing w:before="0" w:beforeAutospacing="0" w:after="0" w:afterAutospacing="0" w:line="276" w:lineRule="auto"/>
        <w:ind w:left="1287"/>
        <w:jc w:val="both"/>
        <w:rPr>
          <w:rFonts w:ascii="Arial" w:hAnsi="Arial" w:cs="Arial"/>
          <w:b/>
          <w:sz w:val="20"/>
          <w:szCs w:val="20"/>
        </w:rPr>
      </w:pPr>
    </w:p>
    <w:p w14:paraId="1F9876A5"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Ministrstvo za infrastrukturo je maja 2019 pripravilo predstavitev izhodišč in prvih rezultatov projekcij NEPN za člane Odbora Državnega zbora (DZ) za infrastrukturo, okolje in prostor.</w:t>
      </w:r>
      <w:r w:rsidRPr="00FC19D4">
        <w:rPr>
          <w:rStyle w:val="Sprotnaopomba-sklic"/>
          <w:rFonts w:ascii="Arial" w:hAnsi="Arial" w:cs="Arial"/>
          <w:sz w:val="20"/>
          <w:szCs w:val="20"/>
        </w:rPr>
        <w:footnoteReference w:id="16"/>
      </w:r>
      <w:r w:rsidRPr="00FC19D4">
        <w:rPr>
          <w:rFonts w:ascii="Arial" w:hAnsi="Arial" w:cs="Arial"/>
          <w:sz w:val="20"/>
          <w:szCs w:val="20"/>
        </w:rPr>
        <w:t xml:space="preserve"> </w:t>
      </w:r>
    </w:p>
    <w:p w14:paraId="370C52C3"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6ECFCCDE"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Do konca avgusta 2019 bo Vlada RS skladno s sklepi Odbora DZ za infrastrukturo, okolje in prostor, ki so bili sprejeti 10. aprila 2019, predložila poročilo DZ o procesu priprave in sprejemanja NEPN. Vlada RS, ki skladno z energetskim zakonom (EZ-1B) sprejme NEPN, bo DZ ustrezno seznanila s sprejetim NEPN.</w:t>
      </w:r>
    </w:p>
    <w:p w14:paraId="34F34C2C" w14:textId="77777777" w:rsidR="0044727A" w:rsidRPr="00FC19D4" w:rsidRDefault="0044727A" w:rsidP="000E4629">
      <w:pPr>
        <w:pStyle w:val="ti-grseq-1"/>
        <w:spacing w:before="0" w:beforeAutospacing="0" w:after="0" w:afterAutospacing="0" w:line="276" w:lineRule="auto"/>
        <w:ind w:left="567" w:hanging="567"/>
        <w:jc w:val="both"/>
        <w:rPr>
          <w:rFonts w:ascii="Arial" w:hAnsi="Arial" w:cs="Arial"/>
          <w:sz w:val="20"/>
          <w:szCs w:val="20"/>
        </w:rPr>
      </w:pPr>
    </w:p>
    <w:p w14:paraId="74BE00A2" w14:textId="0C39CDE4" w:rsidR="0044727A" w:rsidRPr="00FC19D4" w:rsidRDefault="0044727A" w:rsidP="000E4629">
      <w:pPr>
        <w:pStyle w:val="ti-grseq-1"/>
        <w:numPr>
          <w:ilvl w:val="0"/>
          <w:numId w:val="40"/>
        </w:numPr>
        <w:spacing w:before="0" w:beforeAutospacing="0" w:after="0" w:afterAutospacing="0" w:line="276" w:lineRule="auto"/>
        <w:jc w:val="both"/>
        <w:rPr>
          <w:rFonts w:ascii="Arial" w:hAnsi="Arial" w:cs="Arial"/>
          <w:b/>
          <w:sz w:val="20"/>
          <w:szCs w:val="20"/>
        </w:rPr>
      </w:pPr>
      <w:r w:rsidRPr="00FC19D4">
        <w:rPr>
          <w:rFonts w:ascii="Arial" w:hAnsi="Arial" w:cs="Arial"/>
          <w:b/>
          <w:sz w:val="20"/>
          <w:szCs w:val="20"/>
        </w:rPr>
        <w:t>Sodelovanje lokalnih in regionalnih organov</w:t>
      </w:r>
    </w:p>
    <w:p w14:paraId="755FA58D" w14:textId="77777777" w:rsidR="00EC6483" w:rsidRPr="00FC19D4" w:rsidRDefault="00EC6483" w:rsidP="000E4629">
      <w:pPr>
        <w:pStyle w:val="ti-grseq-1"/>
        <w:spacing w:before="0" w:beforeAutospacing="0" w:after="0" w:afterAutospacing="0" w:line="276" w:lineRule="auto"/>
        <w:ind w:left="1287"/>
        <w:jc w:val="both"/>
        <w:rPr>
          <w:rFonts w:ascii="Arial" w:hAnsi="Arial" w:cs="Arial"/>
          <w:b/>
          <w:sz w:val="20"/>
          <w:szCs w:val="20"/>
        </w:rPr>
      </w:pPr>
    </w:p>
    <w:p w14:paraId="382B4016"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Posebnega vključevanja lokalnih skupnosti v pripravo osnutka NEPN ni bilo, je pa bila organizacija, ki predstavlja lokalne skupnosti, »Skupnost občin Slovenije«, enako kot ostali deležniki povabljena k predhodnemu posvetovanju glede priprave NEPN in je tudi podala svoje pripombe.</w:t>
      </w:r>
      <w:r w:rsidRPr="00FC19D4">
        <w:rPr>
          <w:rStyle w:val="Sprotnaopomba-sklic"/>
          <w:rFonts w:ascii="Arial" w:hAnsi="Arial" w:cs="Arial"/>
          <w:sz w:val="20"/>
          <w:szCs w:val="20"/>
        </w:rPr>
        <w:footnoteReference w:id="17"/>
      </w:r>
      <w:r w:rsidRPr="00FC19D4">
        <w:rPr>
          <w:rFonts w:ascii="Arial" w:hAnsi="Arial" w:cs="Arial"/>
          <w:sz w:val="20"/>
          <w:szCs w:val="20"/>
        </w:rPr>
        <w:t xml:space="preserve"> </w:t>
      </w:r>
    </w:p>
    <w:p w14:paraId="6E4661EF"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1D27F4C7"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V procesu posodobitve osnutka NEPN so lokalne skupnosti enako kot vsi ostali deležniki vljudno vabljene k aktivnemu sodelovanju. Ministrstvo za infrastrukturo bo o procesu priprave in sprejemanja NEPN obveščalo tudi Državni svet, v katerem je izmed 40 svetnic in svetnikov tudi 22 predstavnikov lokalnih skupnosti.</w:t>
      </w:r>
    </w:p>
    <w:p w14:paraId="20E63FF3"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3C3015F5" w14:textId="1A7D78AE" w:rsidR="0044727A" w:rsidRPr="00FC19D4" w:rsidRDefault="0044727A" w:rsidP="000E4629">
      <w:pPr>
        <w:pStyle w:val="ti-grseq-1"/>
        <w:numPr>
          <w:ilvl w:val="0"/>
          <w:numId w:val="40"/>
        </w:numPr>
        <w:spacing w:before="0" w:beforeAutospacing="0" w:after="0" w:afterAutospacing="0" w:line="276" w:lineRule="auto"/>
        <w:jc w:val="both"/>
        <w:rPr>
          <w:rFonts w:ascii="Arial" w:hAnsi="Arial" w:cs="Arial"/>
          <w:b/>
          <w:sz w:val="20"/>
          <w:szCs w:val="20"/>
        </w:rPr>
      </w:pPr>
      <w:r w:rsidRPr="00FC19D4">
        <w:rPr>
          <w:rFonts w:ascii="Arial" w:hAnsi="Arial" w:cs="Arial"/>
          <w:b/>
          <w:sz w:val="20"/>
          <w:szCs w:val="20"/>
        </w:rPr>
        <w:t>Posvetovanja z deležniki, vključno s socialnimi partnerji, ter vključevanje civilne družbe in splošne javnosti</w:t>
      </w:r>
    </w:p>
    <w:p w14:paraId="5FE109ED" w14:textId="77777777" w:rsidR="00EC6483" w:rsidRPr="00FC19D4" w:rsidRDefault="00EC6483" w:rsidP="000E4629">
      <w:pPr>
        <w:pStyle w:val="ti-grseq-1"/>
        <w:spacing w:before="0" w:beforeAutospacing="0" w:after="0" w:afterAutospacing="0" w:line="276" w:lineRule="auto"/>
        <w:ind w:left="1287"/>
        <w:jc w:val="both"/>
        <w:rPr>
          <w:rFonts w:ascii="Arial" w:hAnsi="Arial" w:cs="Arial"/>
          <w:b/>
          <w:sz w:val="20"/>
          <w:szCs w:val="20"/>
        </w:rPr>
      </w:pPr>
    </w:p>
    <w:p w14:paraId="1BC73930"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Skladno z uredbo poteka priprava NEPN v Sloveniji na način, da ima javnost zgodaj in učinkovito možnost sodelovati pri pripravi NEPN.</w:t>
      </w:r>
      <w:r w:rsidRPr="00FC19D4">
        <w:rPr>
          <w:rStyle w:val="Sprotnaopomba-sklic"/>
          <w:rFonts w:ascii="Arial" w:hAnsi="Arial" w:cs="Arial"/>
          <w:sz w:val="20"/>
          <w:szCs w:val="20"/>
        </w:rPr>
        <w:footnoteReference w:id="18"/>
      </w:r>
      <w:r w:rsidRPr="00FC19D4">
        <w:rPr>
          <w:rFonts w:ascii="Arial" w:hAnsi="Arial" w:cs="Arial"/>
          <w:sz w:val="20"/>
          <w:szCs w:val="20"/>
        </w:rPr>
        <w:t xml:space="preserve"> V ta namen je bila oblikovana spletna stran NEPN, kjer so javno objavljene vse informacije v povezavi s pripravo NEPN, katerih cilj je zagotoviti obveščenost javnosti. Pri tem so določeni razumni roki, ki omogočajo dovolj časa, da se obvesti javnost, da lahko sodeluje in izrazi svoje stališče. Skladno s tem je vzpostavljen tudi podnebni in energetski dialog na več ravneh, v katerem lahko lokalni organi, organizacije civilne družbe, poslovna skupnost, vlagatelji in druge zadevne zainteresirane strani ter širša javnost dejavno sodelujejo.</w:t>
      </w:r>
    </w:p>
    <w:p w14:paraId="44E9B077" w14:textId="77777777" w:rsidR="0044727A" w:rsidRPr="00FC19D4" w:rsidRDefault="0044727A" w:rsidP="000E4629">
      <w:pPr>
        <w:pStyle w:val="ti-grseq-1"/>
        <w:spacing w:before="0" w:beforeAutospacing="0" w:after="0" w:afterAutospacing="0" w:line="276" w:lineRule="auto"/>
        <w:ind w:left="567" w:hanging="567"/>
        <w:jc w:val="both"/>
        <w:rPr>
          <w:rFonts w:ascii="Arial" w:hAnsi="Arial" w:cs="Arial"/>
          <w:sz w:val="20"/>
          <w:szCs w:val="20"/>
        </w:rPr>
      </w:pPr>
    </w:p>
    <w:p w14:paraId="5423B0C0" w14:textId="77777777" w:rsidR="0044727A" w:rsidRPr="00FC19D4" w:rsidRDefault="0044727A" w:rsidP="000E4629">
      <w:pPr>
        <w:pStyle w:val="align-justify"/>
        <w:spacing w:before="0" w:beforeAutospacing="0" w:after="0" w:afterAutospacing="0" w:line="276" w:lineRule="auto"/>
        <w:jc w:val="both"/>
        <w:rPr>
          <w:rFonts w:ascii="Arial" w:hAnsi="Arial" w:cs="Arial"/>
          <w:sz w:val="20"/>
          <w:szCs w:val="20"/>
        </w:rPr>
      </w:pPr>
      <w:r w:rsidRPr="00FC19D4">
        <w:rPr>
          <w:rFonts w:ascii="Arial" w:hAnsi="Arial" w:cs="Arial"/>
          <w:sz w:val="20"/>
          <w:szCs w:val="20"/>
        </w:rPr>
        <w:t>Javno posvetovanje glede priprave NEPN poteka v treh korakih:</w:t>
      </w:r>
    </w:p>
    <w:p w14:paraId="7840A8B0" w14:textId="77777777" w:rsidR="0044727A" w:rsidRPr="00FC19D4" w:rsidRDefault="0044727A" w:rsidP="000E4629">
      <w:pPr>
        <w:numPr>
          <w:ilvl w:val="0"/>
          <w:numId w:val="30"/>
        </w:numPr>
        <w:spacing w:after="0"/>
        <w:jc w:val="both"/>
        <w:rPr>
          <w:rFonts w:ascii="Arial" w:hAnsi="Arial" w:cs="Arial"/>
          <w:sz w:val="20"/>
          <w:szCs w:val="20"/>
        </w:rPr>
      </w:pPr>
      <w:r w:rsidRPr="00FC19D4">
        <w:rPr>
          <w:rFonts w:ascii="Arial" w:hAnsi="Arial" w:cs="Arial"/>
          <w:bCs/>
          <w:sz w:val="20"/>
          <w:szCs w:val="20"/>
        </w:rPr>
        <w:t xml:space="preserve">predhodno posvetovanje glede priprave osnutka NEPN se je odvilo v mesecih marcu in aprilu 2019, ko so bili </w:t>
      </w:r>
      <w:r w:rsidRPr="00FC19D4">
        <w:rPr>
          <w:rFonts w:ascii="Arial" w:hAnsi="Arial" w:cs="Arial"/>
          <w:sz w:val="20"/>
          <w:szCs w:val="20"/>
        </w:rPr>
        <w:t>vljudno vabljeni vsi zainteresirani deležniki, tj. lokalni organi, organizacije civilne družbe, poslovna skupnost, vlagatelji in druge zadevne zainteresirane strani ter širša javnost, da prispevajo k javnemu posvetovanju in dialogu s pripravo prispevkov na pripravljena vprašanja;</w:t>
      </w:r>
      <w:r w:rsidRPr="00FC19D4">
        <w:rPr>
          <w:rStyle w:val="Sprotnaopomba-sklic"/>
          <w:rFonts w:ascii="Arial" w:hAnsi="Arial" w:cs="Arial"/>
          <w:sz w:val="20"/>
          <w:szCs w:val="20"/>
        </w:rPr>
        <w:footnoteReference w:id="19"/>
      </w:r>
    </w:p>
    <w:p w14:paraId="63945A34" w14:textId="007E05A7" w:rsidR="0044727A" w:rsidRPr="00FC19D4" w:rsidRDefault="0044727A" w:rsidP="000E4629">
      <w:pPr>
        <w:numPr>
          <w:ilvl w:val="0"/>
          <w:numId w:val="30"/>
        </w:numPr>
        <w:spacing w:after="0"/>
        <w:jc w:val="both"/>
        <w:rPr>
          <w:rFonts w:ascii="Arial" w:hAnsi="Arial" w:cs="Arial"/>
          <w:sz w:val="20"/>
          <w:szCs w:val="20"/>
        </w:rPr>
      </w:pPr>
      <w:r w:rsidRPr="00FC19D4">
        <w:rPr>
          <w:rFonts w:ascii="Arial" w:hAnsi="Arial" w:cs="Arial"/>
          <w:bCs/>
          <w:sz w:val="20"/>
          <w:szCs w:val="20"/>
        </w:rPr>
        <w:t xml:space="preserve">komunikacijske delavnice, ki so </w:t>
      </w:r>
      <w:r w:rsidRPr="00FC19D4">
        <w:rPr>
          <w:rFonts w:ascii="Arial" w:hAnsi="Arial" w:cs="Arial"/>
          <w:sz w:val="20"/>
          <w:szCs w:val="20"/>
        </w:rPr>
        <w:t xml:space="preserve">namenjene ciljnemu posvetovanju in strokovnemu dialogu glede izpostavljenih vsebin NEPN, potekajo v letu 2019 usklajeno s Projektom LIFE </w:t>
      </w:r>
      <w:r w:rsidR="00290669">
        <w:rPr>
          <w:rFonts w:ascii="Arial" w:hAnsi="Arial" w:cs="Arial"/>
          <w:sz w:val="20"/>
          <w:szCs w:val="20"/>
        </w:rPr>
        <w:t xml:space="preserve">Podnebna </w:t>
      </w:r>
      <w:r w:rsidR="00290669">
        <w:rPr>
          <w:rFonts w:ascii="Arial" w:hAnsi="Arial" w:cs="Arial"/>
          <w:sz w:val="20"/>
          <w:szCs w:val="20"/>
        </w:rPr>
        <w:lastRenderedPageBreak/>
        <w:t>pot</w:t>
      </w:r>
      <w:r w:rsidRPr="00FC19D4">
        <w:rPr>
          <w:rFonts w:ascii="Arial" w:hAnsi="Arial" w:cs="Arial"/>
          <w:sz w:val="20"/>
          <w:szCs w:val="20"/>
        </w:rPr>
        <w:t xml:space="preserve"> 2050 in procesom priprave Dolgoročne strategije, ki ga vodi Ministrstvo za okolje in prostor;</w:t>
      </w:r>
      <w:r w:rsidRPr="00FC19D4">
        <w:rPr>
          <w:rStyle w:val="Sprotnaopomba-sklic"/>
          <w:rFonts w:ascii="Arial" w:hAnsi="Arial" w:cs="Arial"/>
          <w:sz w:val="20"/>
          <w:szCs w:val="20"/>
        </w:rPr>
        <w:footnoteReference w:id="20"/>
      </w:r>
    </w:p>
    <w:p w14:paraId="5DF2D558" w14:textId="22CBBA6A" w:rsidR="0044727A" w:rsidRPr="00C75E6C" w:rsidRDefault="0044727A" w:rsidP="000E4629">
      <w:pPr>
        <w:numPr>
          <w:ilvl w:val="0"/>
          <w:numId w:val="30"/>
        </w:numPr>
        <w:spacing w:after="0"/>
        <w:jc w:val="both"/>
        <w:rPr>
          <w:rFonts w:ascii="Arial" w:hAnsi="Arial" w:cs="Arial"/>
          <w:sz w:val="20"/>
          <w:szCs w:val="20"/>
        </w:rPr>
      </w:pPr>
      <w:r w:rsidRPr="00FC19D4">
        <w:rPr>
          <w:rFonts w:ascii="Arial" w:hAnsi="Arial" w:cs="Arial"/>
          <w:sz w:val="20"/>
          <w:szCs w:val="20"/>
        </w:rPr>
        <w:t>zaključno posvetovanje glede priprave NEPN bo potekalo v drugem delu leta 2019</w:t>
      </w:r>
      <w:r w:rsidR="00666F52">
        <w:rPr>
          <w:rFonts w:ascii="Arial" w:hAnsi="Arial" w:cs="Arial"/>
          <w:sz w:val="20"/>
          <w:szCs w:val="20"/>
        </w:rPr>
        <w:t xml:space="preserve"> in v prvi četrtini leta 2020</w:t>
      </w:r>
      <w:r w:rsidRPr="00FC19D4">
        <w:rPr>
          <w:rFonts w:ascii="Arial" w:hAnsi="Arial" w:cs="Arial"/>
          <w:sz w:val="20"/>
          <w:szCs w:val="20"/>
        </w:rPr>
        <w:t xml:space="preserve">, ko bo osnutek NEPN nadgrajen na podlagi predhodnega posvetovanja, komunikacijskih delavnic, osvežitve projekcij in iterativnega dialoga s Komisijo. </w:t>
      </w:r>
      <w:r w:rsidR="00666F52">
        <w:rPr>
          <w:rFonts w:ascii="Arial" w:hAnsi="Arial" w:cs="Arial"/>
          <w:sz w:val="20"/>
          <w:szCs w:val="20"/>
        </w:rPr>
        <w:t>Za posodobljen osnutek NEPN bo v okviru postopka celovite presoje vplivov na okolje</w:t>
      </w:r>
      <w:r w:rsidR="00666F52" w:rsidRPr="00666F52">
        <w:rPr>
          <w:rFonts w:ascii="Arial" w:hAnsi="Arial" w:cs="Arial"/>
          <w:sz w:val="20"/>
          <w:szCs w:val="20"/>
        </w:rPr>
        <w:t xml:space="preserve"> </w:t>
      </w:r>
      <w:r w:rsidR="00666F52">
        <w:rPr>
          <w:rFonts w:ascii="Arial" w:hAnsi="Arial" w:cs="Arial"/>
          <w:sz w:val="20"/>
          <w:szCs w:val="20"/>
        </w:rPr>
        <w:t xml:space="preserve">pripravljeno tudi </w:t>
      </w:r>
      <w:proofErr w:type="spellStart"/>
      <w:r w:rsidR="00666F52">
        <w:rPr>
          <w:rFonts w:ascii="Arial" w:hAnsi="Arial" w:cs="Arial"/>
          <w:sz w:val="20"/>
          <w:szCs w:val="20"/>
        </w:rPr>
        <w:t>okoljsko</w:t>
      </w:r>
      <w:proofErr w:type="spellEnd"/>
      <w:r w:rsidR="00666F52">
        <w:rPr>
          <w:rFonts w:ascii="Arial" w:hAnsi="Arial" w:cs="Arial"/>
          <w:sz w:val="20"/>
          <w:szCs w:val="20"/>
        </w:rPr>
        <w:t xml:space="preserve"> poročilo, ki bo javno razgrnjeno. Ministrstvo za okolje in prostor bo v okviru postopka celovite presoje vplivov na okolje ugotavljalo sprejemljivost vplivov na okolje in vodilo čezmejno posvetovanje.</w:t>
      </w:r>
      <w:r w:rsidRPr="00FC19D4">
        <w:rPr>
          <w:rStyle w:val="Sprotnaopomba-sklic"/>
          <w:rFonts w:ascii="Arial" w:hAnsi="Arial" w:cs="Arial"/>
          <w:sz w:val="20"/>
          <w:szCs w:val="20"/>
        </w:rPr>
        <w:footnoteReference w:id="21"/>
      </w:r>
    </w:p>
    <w:p w14:paraId="5191E79A" w14:textId="5E410628" w:rsidR="006F5295" w:rsidRPr="00FC19D4" w:rsidRDefault="006F5295" w:rsidP="00C75E6C">
      <w:pPr>
        <w:pStyle w:val="ti-grseq-1"/>
        <w:spacing w:after="240" w:afterAutospacing="0" w:line="276" w:lineRule="auto"/>
        <w:jc w:val="both"/>
        <w:rPr>
          <w:rFonts w:ascii="Arial" w:hAnsi="Arial" w:cs="Arial"/>
          <w:sz w:val="20"/>
          <w:szCs w:val="20"/>
        </w:rPr>
      </w:pPr>
      <w:r w:rsidRPr="00FC19D4">
        <w:rPr>
          <w:rFonts w:ascii="Arial" w:hAnsi="Arial" w:cs="Arial"/>
          <w:sz w:val="20"/>
          <w:szCs w:val="20"/>
        </w:rPr>
        <w:t xml:space="preserve">Ministrstvo za infrastrukturo je tudi sprejelo apel </w:t>
      </w:r>
      <w:r w:rsidRPr="00FC19D4">
        <w:rPr>
          <w:rFonts w:ascii="Arial" w:hAnsi="Arial" w:cs="Arial"/>
          <w:b/>
          <w:sz w:val="20"/>
          <w:szCs w:val="20"/>
        </w:rPr>
        <w:t>»Mladih za podnebno pravičnost«</w:t>
      </w:r>
      <w:r w:rsidRPr="00FC19D4">
        <w:rPr>
          <w:rFonts w:ascii="Arial" w:hAnsi="Arial" w:cs="Arial"/>
          <w:sz w:val="20"/>
          <w:szCs w:val="20"/>
        </w:rPr>
        <w:t xml:space="preserve"> in jih povabilo, da se aktivno vključijo v razpravo glede priprave NEPN.</w:t>
      </w:r>
      <w:r w:rsidRPr="00FC19D4">
        <w:rPr>
          <w:rStyle w:val="Sprotnaopomba-sklic"/>
          <w:rFonts w:ascii="Arial" w:hAnsi="Arial" w:cs="Arial"/>
          <w:sz w:val="20"/>
          <w:szCs w:val="20"/>
        </w:rPr>
        <w:footnoteReference w:id="22"/>
      </w:r>
      <w:r w:rsidRPr="00FC19D4">
        <w:rPr>
          <w:rFonts w:ascii="Arial" w:hAnsi="Arial" w:cs="Arial"/>
          <w:sz w:val="20"/>
          <w:szCs w:val="20"/>
        </w:rPr>
        <w:t xml:space="preserve"> Ministrstvo odziva s strani »Mladih za podnebno pravičnost« na povabilo do 15. julija 2019 ni prejelo, so se pa odzvali in tudi imenovali predstavnika v operativne delovne skupine ministrstva za pripravo ukrepov prestrukturiranja premogovnih regij. Ministrstvo za infrastrukturo ostaja odprto za aktivno vsebinsko sodelovanje mladih v procesu priprave NEPN in jih ponovno vljudno vabi tudi prek tega poročanja Vladi Republike Slovenije in Odboru Državnega zbora za infrastrukturo, okolje in prostor. </w:t>
      </w:r>
    </w:p>
    <w:p w14:paraId="7AA9458E" w14:textId="768C0E82" w:rsidR="006F5295" w:rsidRPr="00FC19D4" w:rsidRDefault="006F5295" w:rsidP="000E4629">
      <w:pPr>
        <w:pStyle w:val="ti-grseq-1"/>
        <w:spacing w:before="0" w:beforeAutospacing="0" w:after="0" w:afterAutospacing="0" w:line="276" w:lineRule="auto"/>
        <w:jc w:val="both"/>
        <w:rPr>
          <w:rFonts w:ascii="Arial" w:hAnsi="Arial" w:cs="Arial"/>
          <w:b/>
          <w:sz w:val="20"/>
          <w:szCs w:val="20"/>
        </w:rPr>
      </w:pPr>
      <w:r w:rsidRPr="00FC19D4">
        <w:rPr>
          <w:rFonts w:ascii="Arial" w:hAnsi="Arial" w:cs="Arial"/>
          <w:sz w:val="20"/>
          <w:szCs w:val="20"/>
        </w:rPr>
        <w:t xml:space="preserve">Ministrstvo za infrastrukturo poudarja, da mora razprava o naši prihodnosti kot tudi politike in ukrepi, ki bodo sledili, temeljiti na zadnjih in čim bolj celovitih strokovnih in znanstvenih podlagah. Poleg dokumentov, ki so bistveni za odločanje na mednarodni ravni in jih npr. pripravlja Medvladna skupina za podnebne spremembe (ang. </w:t>
      </w:r>
      <w:proofErr w:type="spellStart"/>
      <w:r w:rsidRPr="00FC19D4">
        <w:rPr>
          <w:rFonts w:ascii="Arial" w:hAnsi="Arial" w:cs="Arial"/>
          <w:sz w:val="20"/>
          <w:szCs w:val="20"/>
        </w:rPr>
        <w:t>Intergovernmental</w:t>
      </w:r>
      <w:proofErr w:type="spellEnd"/>
      <w:r w:rsidRPr="00FC19D4">
        <w:rPr>
          <w:rFonts w:ascii="Arial" w:hAnsi="Arial" w:cs="Arial"/>
          <w:sz w:val="20"/>
          <w:szCs w:val="20"/>
        </w:rPr>
        <w:t xml:space="preserve"> Panel on </w:t>
      </w:r>
      <w:proofErr w:type="spellStart"/>
      <w:r w:rsidRPr="00FC19D4">
        <w:rPr>
          <w:rFonts w:ascii="Arial" w:hAnsi="Arial" w:cs="Arial"/>
          <w:sz w:val="20"/>
          <w:szCs w:val="20"/>
        </w:rPr>
        <w:t>Climate</w:t>
      </w:r>
      <w:proofErr w:type="spellEnd"/>
      <w:r w:rsidRPr="00FC19D4">
        <w:rPr>
          <w:rFonts w:ascii="Arial" w:hAnsi="Arial" w:cs="Arial"/>
          <w:sz w:val="20"/>
          <w:szCs w:val="20"/>
        </w:rPr>
        <w:t xml:space="preserve"> </w:t>
      </w:r>
      <w:proofErr w:type="spellStart"/>
      <w:r w:rsidRPr="00FC19D4">
        <w:rPr>
          <w:rFonts w:ascii="Arial" w:hAnsi="Arial" w:cs="Arial"/>
          <w:sz w:val="20"/>
          <w:szCs w:val="20"/>
        </w:rPr>
        <w:t>Change</w:t>
      </w:r>
      <w:proofErr w:type="spellEnd"/>
      <w:r w:rsidRPr="00FC19D4">
        <w:rPr>
          <w:rFonts w:ascii="Arial" w:hAnsi="Arial" w:cs="Arial"/>
          <w:sz w:val="20"/>
          <w:szCs w:val="20"/>
        </w:rPr>
        <w:t xml:space="preserve"> (IPCC)), bodo za Slovenijo ključne strokovne podlage, ki jih, tako za potrebe priprave NEPN kot tudi za oblikovanje nacionalne dolgoročne strategije zmanjševanja emisij toplogrednih plinov do leta 2050, pripravlja konzorcij institucij pod vodstvom Instituta »Jožef Stefan«. Te bodo celovito in ustrezno upoštevale značilne razmere v Sloveniji, ki jih preprosto ne moremo spregledati pri oblikovanju naše prihodnje energetske in podnebne politike, če želimo zagotoviti pravično porazdelitev bremen ter družbeno sprejemljiv in pravičen prehod na trajnostno </w:t>
      </w:r>
      <w:proofErr w:type="spellStart"/>
      <w:r w:rsidRPr="00FC19D4">
        <w:rPr>
          <w:rFonts w:ascii="Arial" w:hAnsi="Arial" w:cs="Arial"/>
          <w:sz w:val="20"/>
          <w:szCs w:val="20"/>
        </w:rPr>
        <w:t>nizkoogljično</w:t>
      </w:r>
      <w:proofErr w:type="spellEnd"/>
      <w:r w:rsidRPr="00FC19D4">
        <w:rPr>
          <w:rFonts w:ascii="Arial" w:hAnsi="Arial" w:cs="Arial"/>
          <w:sz w:val="20"/>
          <w:szCs w:val="20"/>
        </w:rPr>
        <w:t xml:space="preserve"> gospodarstvo. </w:t>
      </w:r>
      <w:r w:rsidRPr="00FC19D4">
        <w:rPr>
          <w:rFonts w:ascii="Arial" w:hAnsi="Arial" w:cs="Arial"/>
          <w:b/>
          <w:sz w:val="20"/>
          <w:szCs w:val="20"/>
        </w:rPr>
        <w:t>Ministrstvo za infrastrukturo si bo še naprej prizadevalo, da tako mlade kot tudi vse ostale deležnike aktivno vključuje v proces priprave NEPN.</w:t>
      </w:r>
    </w:p>
    <w:p w14:paraId="47EF887B" w14:textId="77777777" w:rsidR="0044727A" w:rsidRPr="00FC19D4" w:rsidRDefault="0044727A" w:rsidP="00C75E6C">
      <w:pPr>
        <w:pStyle w:val="ti-grseq-1"/>
        <w:spacing w:before="240" w:beforeAutospacing="0" w:after="0" w:afterAutospacing="0" w:line="276" w:lineRule="auto"/>
        <w:jc w:val="both"/>
        <w:rPr>
          <w:rFonts w:ascii="Arial" w:hAnsi="Arial" w:cs="Arial"/>
          <w:sz w:val="20"/>
          <w:szCs w:val="20"/>
        </w:rPr>
      </w:pPr>
    </w:p>
    <w:p w14:paraId="4B53A5A8" w14:textId="77777777" w:rsidR="0044727A" w:rsidRPr="00FC19D4" w:rsidRDefault="0044727A" w:rsidP="00C75E6C">
      <w:pPr>
        <w:pStyle w:val="ti-grseq-1"/>
        <w:spacing w:before="0" w:beforeAutospacing="0" w:after="240" w:afterAutospacing="0" w:line="276" w:lineRule="auto"/>
        <w:ind w:left="567"/>
        <w:jc w:val="both"/>
        <w:rPr>
          <w:rFonts w:ascii="Arial" w:hAnsi="Arial" w:cs="Arial"/>
          <w:b/>
          <w:sz w:val="20"/>
          <w:szCs w:val="20"/>
        </w:rPr>
      </w:pPr>
      <w:r w:rsidRPr="00FC19D4">
        <w:rPr>
          <w:rFonts w:ascii="Arial" w:hAnsi="Arial" w:cs="Arial"/>
          <w:b/>
          <w:sz w:val="20"/>
          <w:szCs w:val="20"/>
        </w:rPr>
        <w:t>iv. Posvetovanja z drugimi državami članicami</w:t>
      </w:r>
    </w:p>
    <w:p w14:paraId="6307091A" w14:textId="04444A0B" w:rsidR="0044727A" w:rsidRPr="00FC19D4" w:rsidRDefault="0044727A" w:rsidP="000E4629">
      <w:pPr>
        <w:jc w:val="both"/>
        <w:rPr>
          <w:rFonts w:ascii="Arial" w:hAnsi="Arial" w:cs="Arial"/>
          <w:sz w:val="20"/>
          <w:szCs w:val="20"/>
        </w:rPr>
      </w:pPr>
      <w:r w:rsidRPr="00FC19D4">
        <w:rPr>
          <w:rFonts w:ascii="Arial" w:hAnsi="Arial" w:cs="Arial"/>
          <w:sz w:val="20"/>
          <w:szCs w:val="20"/>
        </w:rPr>
        <w:t>4. julija 2019 je Slovenija v Ljubljani organizirala regionalno posvetovanje s sosednjimi državami glede priprave NEPN. Regionalnega srečanja strokovnjakov, ki sodelujejo pri pripravi NEPN, so se udeležili predstavniki Avstrije, Hrvaške, Madžarske in Slovenije ter Evropske komisije, predstavniki Italije pa so sodelovali prek videokonference.</w:t>
      </w:r>
      <w:r w:rsidRPr="00FC19D4">
        <w:rPr>
          <w:rStyle w:val="Sprotnaopomba-sklic"/>
          <w:rFonts w:ascii="Arial" w:hAnsi="Arial" w:cs="Arial"/>
          <w:sz w:val="20"/>
          <w:szCs w:val="20"/>
        </w:rPr>
        <w:footnoteReference w:id="23"/>
      </w:r>
    </w:p>
    <w:p w14:paraId="1EA15147" w14:textId="41A0AF5F" w:rsidR="0044727A" w:rsidRPr="00FC19D4" w:rsidRDefault="0044727A" w:rsidP="000E4629">
      <w:pPr>
        <w:jc w:val="both"/>
        <w:rPr>
          <w:rFonts w:ascii="Arial" w:hAnsi="Arial" w:cs="Arial"/>
          <w:sz w:val="20"/>
          <w:szCs w:val="20"/>
        </w:rPr>
      </w:pPr>
      <w:r w:rsidRPr="00FC19D4">
        <w:rPr>
          <w:rFonts w:ascii="Arial" w:hAnsi="Arial" w:cs="Arial"/>
          <w:sz w:val="20"/>
          <w:szCs w:val="20"/>
        </w:rPr>
        <w:t>Udeleženci regionalnega posvetovanja so se dogovorili, da Slovenija pripravi povzetek izmenjave stališč in posvetovanja ter zbere in kratko razčleni izpostavljene skupne izzive in priložnosti za nadaljnje regionalno posvetovanje in sodelovanje, kar bo služilo tudi kot izhodišče za prihodnja bilateralna in multilateralna posvetovanja ter spodbujanje regionalnega sodelovanja med sodelujočimi državami.</w:t>
      </w:r>
    </w:p>
    <w:p w14:paraId="019792B6" w14:textId="0D79CF45" w:rsidR="0044727A" w:rsidRPr="00FC19D4" w:rsidRDefault="0044727A" w:rsidP="000E4629">
      <w:pPr>
        <w:pStyle w:val="ti-grseq-1"/>
        <w:numPr>
          <w:ilvl w:val="0"/>
          <w:numId w:val="41"/>
        </w:numPr>
        <w:spacing w:before="0" w:beforeAutospacing="0" w:after="0" w:afterAutospacing="0" w:line="276" w:lineRule="auto"/>
        <w:jc w:val="both"/>
        <w:rPr>
          <w:rFonts w:ascii="Arial" w:hAnsi="Arial" w:cs="Arial"/>
          <w:b/>
          <w:sz w:val="20"/>
          <w:szCs w:val="20"/>
        </w:rPr>
      </w:pPr>
      <w:r w:rsidRPr="00FC19D4">
        <w:rPr>
          <w:rFonts w:ascii="Arial" w:hAnsi="Arial" w:cs="Arial"/>
          <w:b/>
          <w:sz w:val="20"/>
          <w:szCs w:val="20"/>
        </w:rPr>
        <w:lastRenderedPageBreak/>
        <w:t>Iterativni proces s Komisijo</w:t>
      </w:r>
    </w:p>
    <w:p w14:paraId="2EE531A4" w14:textId="77777777" w:rsidR="00D86AD4" w:rsidRPr="00FC19D4" w:rsidRDefault="00D86AD4" w:rsidP="000E4629">
      <w:pPr>
        <w:pStyle w:val="ti-grseq-1"/>
        <w:spacing w:before="0" w:beforeAutospacing="0" w:after="0" w:afterAutospacing="0" w:line="276" w:lineRule="auto"/>
        <w:ind w:left="1287"/>
        <w:jc w:val="both"/>
        <w:rPr>
          <w:rFonts w:ascii="Arial" w:hAnsi="Arial" w:cs="Arial"/>
          <w:b/>
          <w:sz w:val="20"/>
          <w:szCs w:val="20"/>
        </w:rPr>
      </w:pPr>
    </w:p>
    <w:p w14:paraId="2EE40684"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Slovenija sodeluje pri delu Tehnične skupine za pripravo NEPN pod vodstvom Komisije in si v procesu priprave osnutka NEPN prizadeva za konstruktivno sodelovanje tako s Komisijo kot tudi drugimi državami članicami EU ob pošteni porazdelitvi bremen in spoštovanju nacionalnih zamejitev in relevantnih okoliščin.</w:t>
      </w:r>
    </w:p>
    <w:p w14:paraId="7CDACAD8"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70A4C474"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 xml:space="preserve">Slovenija je kot eno od pomembnih področij NEPN v iterativnem procesu s Komisijo na več ravneh in več priložnostih, tudi bilateralno, izpostavljala vprašanje določanja prispevka OVE, pri čemer je opozarjala na obveznost Komisije, da pri oceni ambicije OVE prispevka, skladno z uredbo (člen 31(2)), upošteva tako indikativno formulo kot tudi relevantne okoliščine, ki jih države članice izpostavijo v osnutku NEPN. </w:t>
      </w:r>
    </w:p>
    <w:p w14:paraId="7C1181A9"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46A82369" w14:textId="0419AD22"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Style w:val="Krepko"/>
          <w:rFonts w:ascii="Arial" w:hAnsi="Arial" w:cs="Arial"/>
          <w:b w:val="0"/>
          <w:sz w:val="20"/>
          <w:szCs w:val="20"/>
        </w:rPr>
        <w:t>18. junija je Komisija objavila svojo oceno osnutkov NEPN držav članic do leta 2030, v kateri je proučila napovedani skupni prispevek držav članic k izpolnjevanju ciljev energetske unije in ciljev EU za leto 2030.</w:t>
      </w:r>
      <w:r w:rsidRPr="00FC19D4">
        <w:rPr>
          <w:rStyle w:val="Sprotnaopomba-sklic"/>
          <w:rFonts w:ascii="Arial" w:hAnsi="Arial" w:cs="Arial"/>
          <w:bCs/>
          <w:sz w:val="20"/>
          <w:szCs w:val="20"/>
        </w:rPr>
        <w:footnoteReference w:id="24"/>
      </w:r>
      <w:r w:rsidRPr="00FC19D4">
        <w:rPr>
          <w:rStyle w:val="Krepko"/>
          <w:rFonts w:ascii="Arial" w:hAnsi="Arial" w:cs="Arial"/>
          <w:b w:val="0"/>
          <w:sz w:val="20"/>
          <w:szCs w:val="20"/>
        </w:rPr>
        <w:t xml:space="preserve"> Slovenija po eni strani ugotavlja, da je Komisija Sloveniji podala jasna in izjemno dobrodošla priporočila, ki bodo pomembno prispevala k celoviti posodobitvi osnutka NEPN. Po drugi strani pa Slovenija ugotavlja, da ji </w:t>
      </w:r>
      <w:r w:rsidRPr="00FC19D4">
        <w:rPr>
          <w:rFonts w:ascii="Arial" w:hAnsi="Arial" w:cs="Arial"/>
          <w:sz w:val="20"/>
          <w:szCs w:val="20"/>
        </w:rPr>
        <w:t xml:space="preserve">Komisija v svoji oceni priporoča dvig ambicije na področju OVE na 37 %, kar temelji </w:t>
      </w:r>
      <w:r w:rsidR="00D86AD4" w:rsidRPr="00FC19D4">
        <w:rPr>
          <w:rFonts w:ascii="Arial" w:hAnsi="Arial" w:cs="Arial"/>
          <w:sz w:val="20"/>
          <w:szCs w:val="20"/>
        </w:rPr>
        <w:t xml:space="preserve">le </w:t>
      </w:r>
      <w:r w:rsidRPr="00FC19D4">
        <w:rPr>
          <w:rFonts w:ascii="Arial" w:hAnsi="Arial" w:cs="Arial"/>
          <w:sz w:val="20"/>
          <w:szCs w:val="20"/>
        </w:rPr>
        <w:t>na uporabi formule iz Priloge 2</w:t>
      </w:r>
      <w:r w:rsidR="00D86AD4" w:rsidRPr="00FC19D4">
        <w:rPr>
          <w:rFonts w:ascii="Arial" w:hAnsi="Arial" w:cs="Arial"/>
          <w:sz w:val="20"/>
          <w:szCs w:val="20"/>
        </w:rPr>
        <w:t xml:space="preserve"> uredbe</w:t>
      </w:r>
      <w:r w:rsidRPr="00FC19D4">
        <w:rPr>
          <w:rFonts w:ascii="Arial" w:hAnsi="Arial" w:cs="Arial"/>
          <w:sz w:val="20"/>
          <w:szCs w:val="20"/>
        </w:rPr>
        <w:t>, ki je indikativne narave, pri čemer Komisija očitno ni upoštevala pomembnih okoliščin, ki jih je Slovenija navedla v osnutku NEPN, čeprav je dolžna, skladno s členom 31(2) uredbe, priporočila pripraviti na podlagi uporabe omenjene formule in upoštevajoč pomembne nacionalne okoliščine, ki jih je Slovenija izpostavila v osnutku NEPN.</w:t>
      </w:r>
    </w:p>
    <w:p w14:paraId="3B634617"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6A84BD1D"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Komisija je slovenski osnutek NEPN v nekaterih vidikih izpostavila tudi kot primer dobre prakse in med drugim poudarila področje prometa, saj je Slovenija v osnutku NEPN razčlenila konkretne ukrepe, vključno s kvantifikacijo potrebne polnilne infrastrukture, in področje prilagajanja, kjer slovenski osnutek NEPN razčleni tudi cilje prilagajanja in ukrepe.</w:t>
      </w:r>
    </w:p>
    <w:p w14:paraId="0157FCCC"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2789C9DF"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bCs/>
          <w:sz w:val="20"/>
          <w:szCs w:val="20"/>
        </w:rPr>
        <w:t>Slovenija je priporočila Komisije celovito preučila in jih bo v svojem končnem NEPN upoštevala oz. v primeru neupoštevanja skladno z uredbo ustrezno obrazložila. Slovenija je določena priporočila Komisije tudi že naslovila.</w:t>
      </w:r>
    </w:p>
    <w:p w14:paraId="10CED71F" w14:textId="652813B8" w:rsidR="00D86AD4" w:rsidRPr="00FC19D4" w:rsidRDefault="00781B5D" w:rsidP="000E4629">
      <w:pPr>
        <w:pStyle w:val="ti-grseq-1"/>
        <w:spacing w:before="0" w:beforeAutospacing="0" w:after="0" w:afterAutospacing="0" w:line="276" w:lineRule="auto"/>
        <w:jc w:val="both"/>
        <w:rPr>
          <w:rFonts w:ascii="Arial" w:hAnsi="Arial" w:cs="Arial"/>
          <w:b/>
          <w:sz w:val="20"/>
          <w:szCs w:val="20"/>
        </w:rPr>
      </w:pPr>
      <w:r w:rsidRPr="00FC19D4">
        <w:rPr>
          <w:rFonts w:ascii="Arial" w:hAnsi="Arial" w:cs="Arial"/>
          <w:sz w:val="20"/>
          <w:szCs w:val="20"/>
        </w:rPr>
        <w:br/>
      </w:r>
    </w:p>
    <w:p w14:paraId="58C1D12A" w14:textId="04A86D17" w:rsidR="0044727A" w:rsidRPr="00FC19D4" w:rsidRDefault="0044727A" w:rsidP="000E4629">
      <w:pPr>
        <w:pStyle w:val="ti-grseq-1"/>
        <w:numPr>
          <w:ilvl w:val="0"/>
          <w:numId w:val="39"/>
        </w:numPr>
        <w:spacing w:before="0" w:beforeAutospacing="0" w:after="0" w:afterAutospacing="0" w:line="276" w:lineRule="auto"/>
        <w:jc w:val="both"/>
        <w:rPr>
          <w:rFonts w:ascii="Arial" w:hAnsi="Arial" w:cs="Arial"/>
          <w:b/>
          <w:sz w:val="20"/>
          <w:szCs w:val="20"/>
        </w:rPr>
      </w:pPr>
      <w:r w:rsidRPr="00FC19D4">
        <w:rPr>
          <w:rFonts w:ascii="Arial" w:hAnsi="Arial" w:cs="Arial"/>
          <w:b/>
          <w:sz w:val="20"/>
          <w:szCs w:val="20"/>
        </w:rPr>
        <w:t>VPRAŠANJE DOLOČANJA PRISPEVKA SLOVENIJE NA PODROČJU OBNOVLJ</w:t>
      </w:r>
      <w:r w:rsidR="004233CF">
        <w:rPr>
          <w:rFonts w:ascii="Arial" w:hAnsi="Arial" w:cs="Arial"/>
          <w:b/>
          <w:sz w:val="20"/>
          <w:szCs w:val="20"/>
        </w:rPr>
        <w:t>I</w:t>
      </w:r>
      <w:r w:rsidRPr="00FC19D4">
        <w:rPr>
          <w:rFonts w:ascii="Arial" w:hAnsi="Arial" w:cs="Arial"/>
          <w:b/>
          <w:sz w:val="20"/>
          <w:szCs w:val="20"/>
        </w:rPr>
        <w:t>VIH VIROV ENERGIJE DO 2030</w:t>
      </w:r>
    </w:p>
    <w:p w14:paraId="4BD84477" w14:textId="77777777" w:rsidR="00A0106C" w:rsidRPr="00FC19D4" w:rsidRDefault="00A0106C" w:rsidP="000E4629">
      <w:pPr>
        <w:pStyle w:val="ti-grseq-1"/>
        <w:spacing w:before="0" w:beforeAutospacing="0" w:after="0" w:afterAutospacing="0" w:line="276" w:lineRule="auto"/>
        <w:ind w:left="720"/>
        <w:jc w:val="both"/>
        <w:rPr>
          <w:rFonts w:ascii="Arial" w:hAnsi="Arial" w:cs="Arial"/>
          <w:b/>
          <w:sz w:val="20"/>
          <w:szCs w:val="20"/>
        </w:rPr>
      </w:pPr>
    </w:p>
    <w:p w14:paraId="1E82285A" w14:textId="4A10BD79" w:rsidR="0044727A" w:rsidRPr="00FC19D4" w:rsidRDefault="0044727A" w:rsidP="000E4629">
      <w:pPr>
        <w:autoSpaceDE w:val="0"/>
        <w:autoSpaceDN w:val="0"/>
        <w:adjustRightInd w:val="0"/>
        <w:jc w:val="both"/>
        <w:rPr>
          <w:rFonts w:ascii="Arial" w:hAnsi="Arial" w:cs="Arial"/>
          <w:sz w:val="20"/>
          <w:szCs w:val="20"/>
        </w:rPr>
      </w:pPr>
      <w:r w:rsidRPr="00FC19D4">
        <w:rPr>
          <w:rFonts w:ascii="Arial" w:hAnsi="Arial" w:cs="Arial"/>
          <w:sz w:val="20"/>
          <w:szCs w:val="20"/>
        </w:rPr>
        <w:t xml:space="preserve">Upoštevajoč, da se je v predhodnem javnem posvetovanju, priporočilih Komisije in splošnih odzivih strokovne in laične javnosti kot eno izmed ključnih vprašanj izpostavil prispevek Slovenije na področju OVE do 2030, je v nadaljevanju podanih nekaj temeljnih informacij glede te teme. </w:t>
      </w:r>
    </w:p>
    <w:p w14:paraId="35CE72BE"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36765C48" w14:textId="77777777" w:rsidR="00B274C0" w:rsidRPr="00FC19D4" w:rsidRDefault="00B274C0" w:rsidP="000E4629">
      <w:pPr>
        <w:pStyle w:val="Odstavekseznama"/>
        <w:numPr>
          <w:ilvl w:val="0"/>
          <w:numId w:val="32"/>
        </w:numPr>
        <w:rPr>
          <w:rFonts w:ascii="Arial" w:eastAsia="Times New Roman" w:hAnsi="Arial" w:cs="Arial"/>
          <w:b/>
          <w:sz w:val="20"/>
          <w:szCs w:val="20"/>
          <w:lang w:eastAsia="sl-SI"/>
        </w:rPr>
      </w:pPr>
      <w:r w:rsidRPr="00FC19D4">
        <w:rPr>
          <w:rFonts w:ascii="Arial" w:hAnsi="Arial" w:cs="Arial"/>
          <w:b/>
          <w:sz w:val="20"/>
          <w:szCs w:val="20"/>
        </w:rPr>
        <w:t xml:space="preserve">Doseganje OVE deleža do 2020 </w:t>
      </w:r>
      <w:r w:rsidRPr="00FC19D4">
        <w:rPr>
          <w:rFonts w:ascii="Arial" w:eastAsia="Times New Roman" w:hAnsi="Arial" w:cs="Arial"/>
          <w:b/>
          <w:sz w:val="20"/>
          <w:szCs w:val="20"/>
          <w:lang w:eastAsia="sl-SI"/>
        </w:rPr>
        <w:t>v bruto končni rabi energije do leta 2020</w:t>
      </w:r>
    </w:p>
    <w:p w14:paraId="27518E58" w14:textId="3FB341DC" w:rsidR="00B274C0" w:rsidRPr="00FC19D4" w:rsidRDefault="00B274C0" w:rsidP="000E4629">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C19D4">
        <w:rPr>
          <w:rFonts w:ascii="Arial" w:hAnsi="Arial" w:cs="Arial"/>
          <w:sz w:val="20"/>
          <w:szCs w:val="20"/>
        </w:rPr>
        <w:t xml:space="preserve">Vlada Republike Slovenije se je dne 18. 4. 2019 </w:t>
      </w:r>
      <w:r w:rsidR="000E4629">
        <w:rPr>
          <w:rFonts w:ascii="Arial" w:hAnsi="Arial" w:cs="Arial"/>
          <w:sz w:val="20"/>
          <w:szCs w:val="20"/>
        </w:rPr>
        <w:t xml:space="preserve">seznanila </w:t>
      </w:r>
      <w:r w:rsidRPr="00FC19D4">
        <w:rPr>
          <w:rFonts w:ascii="Arial" w:hAnsi="Arial" w:cs="Arial"/>
          <w:sz w:val="20"/>
          <w:szCs w:val="20"/>
        </w:rPr>
        <w:t>z informacijo o doseganju deleža obnovljivih virov energije v bruto končni rabi energije do leta 2020</w:t>
      </w:r>
      <w:r w:rsidR="000E4629">
        <w:rPr>
          <w:rFonts w:ascii="Arial" w:hAnsi="Arial" w:cs="Arial"/>
          <w:sz w:val="20"/>
          <w:szCs w:val="20"/>
        </w:rPr>
        <w:t xml:space="preserve"> (sklep št. </w:t>
      </w:r>
      <w:r w:rsidR="000E4629" w:rsidRPr="000E4629">
        <w:rPr>
          <w:rFonts w:ascii="Arial" w:hAnsi="Arial" w:cs="Arial"/>
          <w:sz w:val="20"/>
          <w:szCs w:val="20"/>
        </w:rPr>
        <w:t>36000-3/2019/6</w:t>
      </w:r>
      <w:r w:rsidR="000E4629">
        <w:rPr>
          <w:rFonts w:ascii="Arial" w:hAnsi="Arial" w:cs="Arial"/>
          <w:sz w:val="20"/>
          <w:szCs w:val="20"/>
        </w:rPr>
        <w:t>)</w:t>
      </w:r>
      <w:r w:rsidRPr="00FC19D4">
        <w:rPr>
          <w:rFonts w:ascii="Arial" w:hAnsi="Arial" w:cs="Arial"/>
          <w:sz w:val="20"/>
          <w:szCs w:val="20"/>
        </w:rPr>
        <w:t xml:space="preserve">. </w:t>
      </w:r>
      <w:r w:rsidRPr="00FC19D4">
        <w:rPr>
          <w:rFonts w:ascii="Arial" w:hAnsi="Arial" w:cs="Arial"/>
          <w:sz w:val="20"/>
        </w:rPr>
        <w:t xml:space="preserve">Slovenija je v okviru Direktive </w:t>
      </w:r>
      <w:r w:rsidRPr="00FC19D4">
        <w:rPr>
          <w:rFonts w:ascii="Arial" w:hAnsi="Arial" w:cs="Arial"/>
          <w:iCs/>
          <w:sz w:val="20"/>
        </w:rPr>
        <w:t>2009/28/ES</w:t>
      </w:r>
      <w:r w:rsidRPr="00FC19D4">
        <w:rPr>
          <w:rFonts w:ascii="Arial" w:hAnsi="Arial" w:cs="Arial"/>
          <w:sz w:val="20"/>
        </w:rPr>
        <w:t xml:space="preserve"> o spodbujanju uporabe energije iz obnovljivih virov zavezana do leta 2020 doseči 25 % deleža obnovljivih virov energije v skupni rabi bruto končne energije ter 10 % deleža obnovljivih virov v prometu. Slovenija je v letu 2017 dosegla 21,5 % deleža OVE v bruto končni rabi energije. Za izpolnitev zastavljenega cilja 25 % delež OVE v skupni rabi bruto končne energije do leta 2020 bo </w:t>
      </w:r>
      <w:r w:rsidRPr="00FC19D4">
        <w:rPr>
          <w:rFonts w:ascii="Arial" w:hAnsi="Arial" w:cs="Arial"/>
          <w:sz w:val="20"/>
        </w:rPr>
        <w:lastRenderedPageBreak/>
        <w:t xml:space="preserve">potrebno povečati uporabo OVE za več kot 2 </w:t>
      </w:r>
      <w:proofErr w:type="spellStart"/>
      <w:r w:rsidRPr="00FC19D4">
        <w:rPr>
          <w:rFonts w:ascii="Arial" w:hAnsi="Arial" w:cs="Arial"/>
          <w:sz w:val="20"/>
        </w:rPr>
        <w:t>TWh</w:t>
      </w:r>
      <w:proofErr w:type="spellEnd"/>
      <w:r w:rsidRPr="00FC19D4">
        <w:rPr>
          <w:rFonts w:ascii="Arial" w:hAnsi="Arial" w:cs="Arial"/>
          <w:sz w:val="20"/>
        </w:rPr>
        <w:t xml:space="preserve"> oziroma za 3,5 odstotne točke, kar je skoraj trikrat toliko, kot se je povečal delež OVE v obdobju med letoma 2010 in 2017. Ministrstvo za infrastrukturo ocenjuje, da obstaja možnost, da določenega ciljnega deleža OVE 25 % deleža OVE v skupni rabi bruto končne energije v 2020 Republika Slovenija ne bo dosegla. Ministrstvo za infrastrukturo načrtuje v letih 2019 in 2020 dodatne ukrepe za povečanje deleža OVE v skupni rabi bruto končne energije</w:t>
      </w:r>
      <w:r w:rsidR="000E4629">
        <w:rPr>
          <w:rFonts w:ascii="Arial" w:hAnsi="Arial" w:cs="Arial"/>
          <w:sz w:val="20"/>
        </w:rPr>
        <w:t xml:space="preserve">, ki se bodo </w:t>
      </w:r>
      <w:r w:rsidR="000E4629" w:rsidRPr="000E4629">
        <w:rPr>
          <w:rFonts w:ascii="Arial" w:hAnsi="Arial" w:cs="Arial"/>
          <w:sz w:val="20"/>
        </w:rPr>
        <w:t>izvajali v okvirih in obsegu že sprejetih finančnih načrtov sprejetega proračuna za leto njegovega izvrševanja</w:t>
      </w:r>
      <w:r w:rsidRPr="000E4629">
        <w:rPr>
          <w:rFonts w:ascii="Arial" w:hAnsi="Arial" w:cs="Arial"/>
          <w:sz w:val="20"/>
        </w:rPr>
        <w:t>.</w:t>
      </w:r>
      <w:r w:rsidRPr="00FC19D4">
        <w:rPr>
          <w:rFonts w:ascii="Arial" w:hAnsi="Arial" w:cs="Arial"/>
          <w:sz w:val="20"/>
        </w:rPr>
        <w:t xml:space="preserve"> </w:t>
      </w:r>
    </w:p>
    <w:p w14:paraId="2D15FE6A" w14:textId="77777777" w:rsidR="00B274C0" w:rsidRPr="00FC19D4" w:rsidRDefault="00B274C0" w:rsidP="000E4629">
      <w:pPr>
        <w:pStyle w:val="ti-grseq-1"/>
        <w:spacing w:before="0" w:beforeAutospacing="0" w:after="0" w:afterAutospacing="0" w:line="276" w:lineRule="auto"/>
        <w:jc w:val="both"/>
        <w:rPr>
          <w:rFonts w:ascii="Arial" w:hAnsi="Arial" w:cs="Arial"/>
          <w:b/>
          <w:sz w:val="20"/>
          <w:szCs w:val="20"/>
        </w:rPr>
      </w:pPr>
    </w:p>
    <w:p w14:paraId="4C14A5DC" w14:textId="332FBBEE" w:rsidR="0044727A" w:rsidRPr="00FC19D4" w:rsidRDefault="0044727A" w:rsidP="000E4629">
      <w:pPr>
        <w:pStyle w:val="ti-grseq-1"/>
        <w:numPr>
          <w:ilvl w:val="0"/>
          <w:numId w:val="32"/>
        </w:numPr>
        <w:spacing w:before="0" w:beforeAutospacing="0" w:after="0" w:afterAutospacing="0" w:line="276" w:lineRule="auto"/>
        <w:jc w:val="both"/>
        <w:rPr>
          <w:rFonts w:ascii="Arial" w:hAnsi="Arial" w:cs="Arial"/>
          <w:b/>
          <w:sz w:val="20"/>
          <w:szCs w:val="20"/>
        </w:rPr>
      </w:pPr>
      <w:r w:rsidRPr="00FC19D4">
        <w:rPr>
          <w:rFonts w:ascii="Arial" w:hAnsi="Arial" w:cs="Arial"/>
          <w:b/>
          <w:sz w:val="20"/>
          <w:szCs w:val="20"/>
        </w:rPr>
        <w:t>Obveznosti Slovenije, ki izhajajo iz pravnega okvirja EU</w:t>
      </w:r>
    </w:p>
    <w:p w14:paraId="2212244A" w14:textId="77777777" w:rsidR="00B274C0" w:rsidRPr="00FC19D4" w:rsidRDefault="00B274C0" w:rsidP="000E4629">
      <w:pPr>
        <w:pStyle w:val="ti-grseq-1"/>
        <w:spacing w:before="0" w:beforeAutospacing="0" w:after="0" w:afterAutospacing="0" w:line="276" w:lineRule="auto"/>
        <w:jc w:val="both"/>
        <w:rPr>
          <w:rFonts w:ascii="Arial" w:hAnsi="Arial" w:cs="Arial"/>
          <w:sz w:val="20"/>
          <w:szCs w:val="20"/>
        </w:rPr>
      </w:pPr>
    </w:p>
    <w:p w14:paraId="27E5D2DC" w14:textId="29B67E7B" w:rsidR="00B274C0" w:rsidRPr="00FC19D4" w:rsidRDefault="00B274C0"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 xml:space="preserve">Slovenija si je v skladu s 3. členom Direktive (EU) 2018/2001 Evropskega parlamenta in Sveta z dne 11. decembra 2018 o spodbujanju uporabe energije iz obnovljivih virov dolžna v NEPN določiti nacionalni prispevek na področju OVE do 2030, obenem pa je tudi dolžna od 2021 dalje ves čas dosegati vsaj </w:t>
      </w:r>
      <w:proofErr w:type="spellStart"/>
      <w:r w:rsidRPr="00FC19D4">
        <w:rPr>
          <w:rFonts w:ascii="Arial" w:hAnsi="Arial" w:cs="Arial"/>
          <w:sz w:val="20"/>
          <w:szCs w:val="20"/>
        </w:rPr>
        <w:t>t.i</w:t>
      </w:r>
      <w:proofErr w:type="spellEnd"/>
      <w:r w:rsidRPr="00FC19D4">
        <w:rPr>
          <w:rFonts w:ascii="Arial" w:hAnsi="Arial" w:cs="Arial"/>
          <w:sz w:val="20"/>
          <w:szCs w:val="20"/>
        </w:rPr>
        <w:t>. osnovni delež (tj. 25%).</w:t>
      </w:r>
    </w:p>
    <w:p w14:paraId="3930C236" w14:textId="77777777" w:rsidR="00B274C0" w:rsidRPr="00FC19D4" w:rsidRDefault="00B274C0" w:rsidP="000E4629">
      <w:pPr>
        <w:pStyle w:val="ti-grseq-1"/>
        <w:spacing w:before="0" w:beforeAutospacing="0" w:after="0" w:afterAutospacing="0" w:line="276" w:lineRule="auto"/>
        <w:jc w:val="both"/>
        <w:rPr>
          <w:rFonts w:ascii="Arial" w:hAnsi="Arial" w:cs="Arial"/>
          <w:sz w:val="20"/>
          <w:szCs w:val="20"/>
        </w:rPr>
      </w:pPr>
    </w:p>
    <w:p w14:paraId="4F2BC3A9" w14:textId="0A6C340A"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 xml:space="preserve">Uredba </w:t>
      </w:r>
      <w:r w:rsidR="006F5295" w:rsidRPr="00FC19D4">
        <w:rPr>
          <w:rFonts w:ascii="Arial" w:hAnsi="Arial" w:cs="Arial"/>
          <w:sz w:val="20"/>
          <w:szCs w:val="20"/>
        </w:rPr>
        <w:t xml:space="preserve">(EU) 2018/1999 </w:t>
      </w:r>
      <w:r w:rsidRPr="00FC19D4">
        <w:rPr>
          <w:rFonts w:ascii="Arial" w:hAnsi="Arial" w:cs="Arial"/>
          <w:sz w:val="20"/>
          <w:szCs w:val="20"/>
        </w:rPr>
        <w:t xml:space="preserve">o upravljanju energetske unije in podnebnih ukrepov, 5. člen, določa, da so države članice pri določanju nacionalnega prispevka OVE do 2030 dolžne upoštevati pretekle cilje in politike na področju OVE in URE do 2020 ter vse relevantne okoliščine, kot npr. pravično porazdelitev v EU, gospodarski potencial, stroškovno učinkovitost, geografske, okoljske in naravne omejitve, raven elektroenergetske povezanosti in </w:t>
      </w:r>
      <w:r w:rsidR="006F5295" w:rsidRPr="00FC19D4">
        <w:rPr>
          <w:rFonts w:ascii="Arial" w:hAnsi="Arial" w:cs="Arial"/>
          <w:sz w:val="20"/>
          <w:szCs w:val="20"/>
        </w:rPr>
        <w:t xml:space="preserve">druge relevantne okoliščine, zlasti </w:t>
      </w:r>
      <w:r w:rsidRPr="00FC19D4">
        <w:rPr>
          <w:rFonts w:ascii="Arial" w:hAnsi="Arial" w:cs="Arial"/>
          <w:sz w:val="20"/>
          <w:szCs w:val="20"/>
        </w:rPr>
        <w:t xml:space="preserve">zgodnja prizadevanja. </w:t>
      </w:r>
    </w:p>
    <w:p w14:paraId="5CFE02F5"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17C465AC"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Vsaka država članica je v svojem NEPN dolžna navesti, katere relevantne okoliščine, ki vplivajo na uvedbo energije iz obnovljivih virov, je upoštevala. Države članice so tudi dolžne zagotoviti, da vsota njihovih prispevkov znaša vsaj 32 % energije iz obnovljivih virov v bruto porabi končne energije na ravni Unije do leta 2030.</w:t>
      </w:r>
    </w:p>
    <w:p w14:paraId="647D23D7"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143B9A6A" w14:textId="2250E2BB"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Ko si država članica, v luči doseganja cilja 32 % na ravni Unije, določi svoj nacionalni OVE prispevek, se doseganje prispevka preverja prek referenčnih točk za leta 2022, 2025 in 2027.</w:t>
      </w:r>
      <w:r w:rsidR="006F5295" w:rsidRPr="00FC19D4">
        <w:rPr>
          <w:rFonts w:ascii="Arial" w:hAnsi="Arial" w:cs="Arial"/>
          <w:sz w:val="20"/>
          <w:szCs w:val="20"/>
        </w:rPr>
        <w:t xml:space="preserve"> </w:t>
      </w:r>
      <w:r w:rsidRPr="00FC19D4">
        <w:rPr>
          <w:rFonts w:ascii="Arial" w:hAnsi="Arial" w:cs="Arial"/>
          <w:sz w:val="20"/>
          <w:szCs w:val="20"/>
        </w:rPr>
        <w:t>V letu 2022 mora država članica tako doseči referenčno vrednost vsaj 18-odstotnega, v letu 2025 43-odstotnega, v letu 2027 pa 65-odstotnega skupnega povečanja energije iz OVE med nacionalnim ciljem OVE za leto 2020 in svojim prispevkom OVE za leto 2030.</w:t>
      </w:r>
      <w:r w:rsidR="0053123B" w:rsidRPr="00FC19D4">
        <w:rPr>
          <w:rStyle w:val="Sprotnaopomba-sklic"/>
          <w:rFonts w:ascii="Arial" w:hAnsi="Arial" w:cs="Arial"/>
          <w:sz w:val="20"/>
          <w:szCs w:val="20"/>
        </w:rPr>
        <w:footnoteReference w:id="25"/>
      </w:r>
      <w:r w:rsidRPr="00FC19D4">
        <w:rPr>
          <w:rFonts w:ascii="Arial" w:hAnsi="Arial" w:cs="Arial"/>
          <w:sz w:val="20"/>
          <w:szCs w:val="20"/>
        </w:rPr>
        <w:t xml:space="preserve"> </w:t>
      </w:r>
    </w:p>
    <w:p w14:paraId="3A643B85"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V primeru, da EU kot celota ne doseže svoje skupne referenčne točke, morajo države članice, ki so pod določenimi vrednostmi nacionalnih referenčnih točk, sprejeti potrebne dodatne ukrepe, da v roku enega leta zapolnijo vrzel. Uredba med drugim našteva:</w:t>
      </w:r>
    </w:p>
    <w:p w14:paraId="5401EF12" w14:textId="77777777" w:rsidR="0053123B" w:rsidRPr="00FC19D4" w:rsidRDefault="0044727A" w:rsidP="000E4629">
      <w:pPr>
        <w:pStyle w:val="ti-grseq-1"/>
        <w:numPr>
          <w:ilvl w:val="0"/>
          <w:numId w:val="29"/>
        </w:numPr>
        <w:spacing w:before="0" w:beforeAutospacing="0" w:after="0" w:afterAutospacing="0" w:line="276" w:lineRule="auto"/>
        <w:ind w:left="284" w:hanging="284"/>
        <w:jc w:val="both"/>
        <w:rPr>
          <w:rFonts w:ascii="Arial" w:hAnsi="Arial" w:cs="Arial"/>
          <w:sz w:val="20"/>
          <w:szCs w:val="20"/>
        </w:rPr>
      </w:pPr>
      <w:r w:rsidRPr="00FC19D4">
        <w:rPr>
          <w:rFonts w:ascii="Arial" w:hAnsi="Arial" w:cs="Arial"/>
          <w:sz w:val="20"/>
          <w:szCs w:val="20"/>
        </w:rPr>
        <w:t xml:space="preserve">dodatne nacionalne ukrepe, </w:t>
      </w:r>
    </w:p>
    <w:p w14:paraId="0A038016" w14:textId="74151F33" w:rsidR="0053123B" w:rsidRPr="00FC19D4" w:rsidRDefault="0053123B" w:rsidP="000E4629">
      <w:pPr>
        <w:pStyle w:val="ti-grseq-1"/>
        <w:numPr>
          <w:ilvl w:val="0"/>
          <w:numId w:val="29"/>
        </w:numPr>
        <w:spacing w:before="0" w:beforeAutospacing="0" w:after="0" w:afterAutospacing="0" w:line="276" w:lineRule="auto"/>
        <w:ind w:left="284" w:hanging="284"/>
        <w:jc w:val="both"/>
        <w:rPr>
          <w:rFonts w:ascii="Arial" w:hAnsi="Arial" w:cs="Arial"/>
          <w:sz w:val="20"/>
          <w:szCs w:val="20"/>
        </w:rPr>
      </w:pPr>
      <w:r w:rsidRPr="00FC19D4">
        <w:rPr>
          <w:rFonts w:ascii="Arial" w:hAnsi="Arial" w:cs="Arial"/>
          <w:sz w:val="20"/>
          <w:szCs w:val="20"/>
        </w:rPr>
        <w:t xml:space="preserve">mehanizmi sodelovanja v skladu z Direktivo (EU) 2018/2001 o spodbujanju uporabe energije iz obnovljivih virov (statistični prenosi, skupni projekti, projekti s tretjimi državami) ali </w:t>
      </w:r>
    </w:p>
    <w:p w14:paraId="3C2AEB65" w14:textId="54F024C9" w:rsidR="0044727A" w:rsidRPr="00FC19D4" w:rsidRDefault="0044727A" w:rsidP="000E4629">
      <w:pPr>
        <w:pStyle w:val="ti-grseq-1"/>
        <w:numPr>
          <w:ilvl w:val="0"/>
          <w:numId w:val="29"/>
        </w:numPr>
        <w:spacing w:before="0" w:beforeAutospacing="0" w:after="0" w:afterAutospacing="0" w:line="276" w:lineRule="auto"/>
        <w:ind w:left="284" w:hanging="284"/>
        <w:jc w:val="both"/>
        <w:rPr>
          <w:rFonts w:ascii="Arial" w:hAnsi="Arial" w:cs="Arial"/>
          <w:sz w:val="20"/>
          <w:szCs w:val="20"/>
        </w:rPr>
      </w:pPr>
      <w:r w:rsidRPr="00FC19D4">
        <w:rPr>
          <w:rFonts w:ascii="Arial" w:hAnsi="Arial" w:cs="Arial"/>
          <w:sz w:val="20"/>
          <w:szCs w:val="20"/>
        </w:rPr>
        <w:t>prostovoljno vplačilo v finančni mehanizem</w:t>
      </w:r>
      <w:r w:rsidR="0053123B" w:rsidRPr="00FC19D4">
        <w:rPr>
          <w:rFonts w:ascii="Arial" w:hAnsi="Arial" w:cs="Arial"/>
          <w:sz w:val="20"/>
          <w:szCs w:val="20"/>
        </w:rPr>
        <w:t xml:space="preserve"> EU za financiranje energije iz obnovljivih virov s katerim bo upravljala Evropska komisija</w:t>
      </w:r>
      <w:r w:rsidRPr="00FC19D4">
        <w:rPr>
          <w:rFonts w:ascii="Arial" w:hAnsi="Arial" w:cs="Arial"/>
          <w:sz w:val="20"/>
          <w:szCs w:val="20"/>
        </w:rPr>
        <w:t xml:space="preserve">, </w:t>
      </w:r>
      <w:r w:rsidR="0053123B" w:rsidRPr="00FC19D4">
        <w:rPr>
          <w:rFonts w:ascii="Arial" w:hAnsi="Arial" w:cs="Arial"/>
          <w:sz w:val="20"/>
          <w:szCs w:val="20"/>
        </w:rPr>
        <w:t>in za vplačila v katerega lahko države članice uporabijo prihodke od letnih pravic do emisij iz Direktive 2003/87/ES o vzpostavitvi sistema za trgovanje s pravicami do emisije toplogrednih plinov v Skupnosti</w:t>
      </w:r>
      <w:r w:rsidRPr="00FC19D4">
        <w:rPr>
          <w:rFonts w:ascii="Arial" w:hAnsi="Arial" w:cs="Arial"/>
          <w:sz w:val="20"/>
          <w:szCs w:val="20"/>
        </w:rPr>
        <w:t>.</w:t>
      </w:r>
    </w:p>
    <w:p w14:paraId="55955922" w14:textId="60392B3F"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0C3CF784" w14:textId="3A1CBF1A" w:rsidR="00B274C0" w:rsidRPr="00FC19D4" w:rsidRDefault="00B274C0"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 xml:space="preserve">Našteti ukrepi se uporabijo tudi v primeru, da država članica ne ohranja </w:t>
      </w:r>
      <w:proofErr w:type="spellStart"/>
      <w:r w:rsidRPr="00FC19D4">
        <w:rPr>
          <w:rFonts w:ascii="Arial" w:hAnsi="Arial" w:cs="Arial"/>
          <w:sz w:val="20"/>
          <w:szCs w:val="20"/>
        </w:rPr>
        <w:t>t.i</w:t>
      </w:r>
      <w:proofErr w:type="spellEnd"/>
      <w:r w:rsidRPr="00FC19D4">
        <w:rPr>
          <w:rFonts w:ascii="Arial" w:hAnsi="Arial" w:cs="Arial"/>
          <w:sz w:val="20"/>
          <w:szCs w:val="20"/>
        </w:rPr>
        <w:t>. osnovnega deleža (v primeru Slovenije je to 25% v končni bruto porabi).</w:t>
      </w:r>
    </w:p>
    <w:p w14:paraId="2B09FD8C" w14:textId="77777777" w:rsidR="00B274C0" w:rsidRPr="00FC19D4" w:rsidRDefault="00B274C0" w:rsidP="000E4629">
      <w:pPr>
        <w:pStyle w:val="ti-grseq-1"/>
        <w:spacing w:before="0" w:beforeAutospacing="0" w:after="0" w:afterAutospacing="0" w:line="276" w:lineRule="auto"/>
        <w:jc w:val="both"/>
        <w:rPr>
          <w:rFonts w:ascii="Arial" w:hAnsi="Arial" w:cs="Arial"/>
          <w:sz w:val="20"/>
          <w:szCs w:val="20"/>
        </w:rPr>
      </w:pPr>
    </w:p>
    <w:p w14:paraId="488DCB62" w14:textId="733CA4FE" w:rsidR="00B274C0" w:rsidRPr="00FC19D4" w:rsidRDefault="00B274C0"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V kolikor RS v letih 2021 do 2030 vsako leto posebej ne bo dosegala deleža 25% OVE v končni bruto porabi, in tudi ne bo dosegala zastavljene trajektorije višanja cilja OVE, bo za manjkajoči delež OVE prisiljena ali uporabljati mehanizme sodelovanja (</w:t>
      </w:r>
      <w:r w:rsidR="00E66B60" w:rsidRPr="00FC19D4">
        <w:rPr>
          <w:rFonts w:ascii="Arial" w:hAnsi="Arial" w:cs="Arial"/>
          <w:sz w:val="20"/>
          <w:szCs w:val="20"/>
        </w:rPr>
        <w:t xml:space="preserve">najverjetneje </w:t>
      </w:r>
      <w:r w:rsidRPr="00FC19D4">
        <w:rPr>
          <w:rFonts w:ascii="Arial" w:hAnsi="Arial" w:cs="Arial"/>
          <w:sz w:val="20"/>
          <w:szCs w:val="20"/>
        </w:rPr>
        <w:t xml:space="preserve">statistični prenos OVE energije z </w:t>
      </w:r>
      <w:r w:rsidRPr="00FC19D4">
        <w:rPr>
          <w:rFonts w:ascii="Arial" w:hAnsi="Arial" w:cs="Arial"/>
          <w:sz w:val="20"/>
          <w:szCs w:val="20"/>
        </w:rPr>
        <w:lastRenderedPageBreak/>
        <w:t xml:space="preserve">nakupom v drugi državi članici) ali vplačila v </w:t>
      </w:r>
      <w:r w:rsidR="00E66B60" w:rsidRPr="00FC19D4">
        <w:rPr>
          <w:rFonts w:ascii="Arial" w:hAnsi="Arial" w:cs="Arial"/>
          <w:sz w:val="20"/>
          <w:szCs w:val="20"/>
        </w:rPr>
        <w:t xml:space="preserve">finančni </w:t>
      </w:r>
      <w:r w:rsidRPr="00FC19D4">
        <w:rPr>
          <w:rFonts w:ascii="Arial" w:hAnsi="Arial" w:cs="Arial"/>
          <w:sz w:val="20"/>
          <w:szCs w:val="20"/>
        </w:rPr>
        <w:t>mehanizem EU za financiranje energije iz OVE, ki ga bo upravljala Evropska komisija.</w:t>
      </w:r>
    </w:p>
    <w:p w14:paraId="72188531" w14:textId="77777777" w:rsidR="00B274C0" w:rsidRPr="00FC19D4" w:rsidRDefault="00B274C0" w:rsidP="000E4629">
      <w:pPr>
        <w:pStyle w:val="ti-grseq-1"/>
        <w:spacing w:before="0" w:beforeAutospacing="0" w:after="0" w:afterAutospacing="0" w:line="276" w:lineRule="auto"/>
        <w:jc w:val="both"/>
        <w:rPr>
          <w:rFonts w:ascii="Arial" w:hAnsi="Arial" w:cs="Arial"/>
          <w:sz w:val="20"/>
          <w:szCs w:val="20"/>
        </w:rPr>
      </w:pPr>
    </w:p>
    <w:p w14:paraId="5D894637" w14:textId="2D18ACE4" w:rsidR="0044727A" w:rsidRPr="00FC19D4" w:rsidRDefault="0044727A" w:rsidP="000E4629">
      <w:pPr>
        <w:pStyle w:val="ti-grseq-1"/>
        <w:numPr>
          <w:ilvl w:val="0"/>
          <w:numId w:val="32"/>
        </w:numPr>
        <w:spacing w:before="0" w:beforeAutospacing="0" w:after="0" w:afterAutospacing="0" w:line="276" w:lineRule="auto"/>
        <w:jc w:val="both"/>
        <w:rPr>
          <w:rFonts w:ascii="Arial" w:hAnsi="Arial" w:cs="Arial"/>
          <w:b/>
          <w:sz w:val="20"/>
          <w:szCs w:val="20"/>
        </w:rPr>
      </w:pPr>
      <w:r w:rsidRPr="00FC19D4">
        <w:rPr>
          <w:rFonts w:ascii="Arial" w:hAnsi="Arial" w:cs="Arial"/>
          <w:b/>
          <w:sz w:val="20"/>
          <w:szCs w:val="20"/>
        </w:rPr>
        <w:t>Posodobljene projekcije NEPN</w:t>
      </w:r>
    </w:p>
    <w:p w14:paraId="26AD7B46" w14:textId="77777777" w:rsidR="00B014C9" w:rsidRPr="00FC19D4" w:rsidRDefault="00B014C9" w:rsidP="000E4629">
      <w:pPr>
        <w:pStyle w:val="ti-grseq-1"/>
        <w:spacing w:before="0" w:beforeAutospacing="0" w:after="0" w:afterAutospacing="0" w:line="276" w:lineRule="auto"/>
        <w:ind w:left="1080"/>
        <w:jc w:val="both"/>
        <w:rPr>
          <w:rFonts w:ascii="Arial" w:hAnsi="Arial" w:cs="Arial"/>
          <w:b/>
          <w:sz w:val="20"/>
          <w:szCs w:val="20"/>
        </w:rPr>
      </w:pPr>
    </w:p>
    <w:p w14:paraId="76579627" w14:textId="1BC02031" w:rsidR="0044727A" w:rsidRPr="00FC19D4" w:rsidRDefault="0044727A" w:rsidP="000E4629">
      <w:pPr>
        <w:jc w:val="both"/>
        <w:rPr>
          <w:rFonts w:ascii="Arial" w:hAnsi="Arial" w:cs="Arial"/>
          <w:sz w:val="20"/>
          <w:szCs w:val="20"/>
        </w:rPr>
      </w:pPr>
      <w:r w:rsidRPr="00FC19D4">
        <w:rPr>
          <w:rFonts w:ascii="Arial" w:hAnsi="Arial" w:cs="Arial"/>
          <w:sz w:val="20"/>
          <w:szCs w:val="20"/>
        </w:rPr>
        <w:t>Prvi rezultati projekcij NEPN, ki jih je konzorcij institucij pod vodstvom IJS</w:t>
      </w:r>
      <w:r w:rsidR="0053123B" w:rsidRPr="00FC19D4">
        <w:rPr>
          <w:rFonts w:ascii="Arial" w:hAnsi="Arial" w:cs="Arial"/>
          <w:sz w:val="20"/>
          <w:szCs w:val="20"/>
        </w:rPr>
        <w:t xml:space="preserve"> </w:t>
      </w:r>
      <w:r w:rsidRPr="00FC19D4">
        <w:rPr>
          <w:rFonts w:ascii="Arial" w:hAnsi="Arial" w:cs="Arial"/>
          <w:sz w:val="20"/>
          <w:szCs w:val="20"/>
        </w:rPr>
        <w:t>predstavil v mesecih maj in junij 2019, kažejo, da bi:</w:t>
      </w:r>
    </w:p>
    <w:p w14:paraId="19283EC5" w14:textId="77777777" w:rsidR="0044727A" w:rsidRPr="00FC19D4" w:rsidRDefault="0044727A" w:rsidP="000E4629">
      <w:pPr>
        <w:pStyle w:val="Odstavekseznama"/>
        <w:numPr>
          <w:ilvl w:val="0"/>
          <w:numId w:val="38"/>
        </w:numPr>
        <w:spacing w:after="0"/>
        <w:jc w:val="both"/>
        <w:rPr>
          <w:rFonts w:ascii="Arial" w:hAnsi="Arial" w:cs="Arial"/>
          <w:sz w:val="20"/>
          <w:szCs w:val="20"/>
        </w:rPr>
      </w:pPr>
      <w:r w:rsidRPr="00FC19D4">
        <w:rPr>
          <w:rFonts w:ascii="Arial" w:hAnsi="Arial" w:cs="Arial"/>
          <w:sz w:val="20"/>
          <w:szCs w:val="20"/>
        </w:rPr>
        <w:t xml:space="preserve">v scenariju z obstoječimi ukrepi (OU) bi Slovenija leta 2030 dosegla </w:t>
      </w:r>
      <w:r w:rsidRPr="00FC19D4">
        <w:rPr>
          <w:rFonts w:ascii="Arial" w:hAnsi="Arial" w:cs="Arial"/>
          <w:b/>
          <w:sz w:val="20"/>
          <w:szCs w:val="20"/>
        </w:rPr>
        <w:t xml:space="preserve">23,5 % delež OVE </w:t>
      </w:r>
      <w:r w:rsidRPr="00FC19D4">
        <w:rPr>
          <w:rFonts w:ascii="Arial" w:hAnsi="Arial" w:cs="Arial"/>
          <w:sz w:val="20"/>
          <w:szCs w:val="20"/>
        </w:rPr>
        <w:t>v bruto končni rabi energije;</w:t>
      </w:r>
    </w:p>
    <w:p w14:paraId="37FCD4EC" w14:textId="77777777" w:rsidR="0044727A" w:rsidRPr="00FC19D4" w:rsidRDefault="0044727A" w:rsidP="000E4629">
      <w:pPr>
        <w:pStyle w:val="Odstavekseznama"/>
        <w:numPr>
          <w:ilvl w:val="0"/>
          <w:numId w:val="38"/>
        </w:numPr>
        <w:spacing w:after="0"/>
        <w:jc w:val="both"/>
        <w:rPr>
          <w:rFonts w:ascii="Arial" w:hAnsi="Arial" w:cs="Arial"/>
          <w:sz w:val="20"/>
          <w:szCs w:val="20"/>
        </w:rPr>
      </w:pPr>
      <w:r w:rsidRPr="00FC19D4">
        <w:rPr>
          <w:rFonts w:ascii="Arial" w:hAnsi="Arial" w:cs="Arial"/>
          <w:sz w:val="20"/>
          <w:szCs w:val="20"/>
        </w:rPr>
        <w:t xml:space="preserve">v ambicioznem scenariju z dodatnimi ukrepi (DUA - 1) bi Slovenija leta 2030 lahko dosegla </w:t>
      </w:r>
      <w:r w:rsidRPr="00FC19D4">
        <w:rPr>
          <w:rFonts w:ascii="Arial" w:hAnsi="Arial" w:cs="Arial"/>
          <w:b/>
          <w:sz w:val="20"/>
          <w:szCs w:val="20"/>
        </w:rPr>
        <w:t xml:space="preserve">30,4 % delež OVE </w:t>
      </w:r>
      <w:r w:rsidRPr="00FC19D4">
        <w:rPr>
          <w:rFonts w:ascii="Arial" w:hAnsi="Arial" w:cs="Arial"/>
          <w:sz w:val="20"/>
          <w:szCs w:val="20"/>
        </w:rPr>
        <w:t xml:space="preserve">v bruto končni rabi energije (delež </w:t>
      </w:r>
      <w:proofErr w:type="spellStart"/>
      <w:r w:rsidRPr="00FC19D4">
        <w:rPr>
          <w:rFonts w:ascii="Arial" w:hAnsi="Arial" w:cs="Arial"/>
          <w:sz w:val="20"/>
          <w:szCs w:val="20"/>
        </w:rPr>
        <w:t>biogoriv</w:t>
      </w:r>
      <w:proofErr w:type="spellEnd"/>
      <w:r w:rsidRPr="00FC19D4">
        <w:rPr>
          <w:rFonts w:ascii="Arial" w:hAnsi="Arial" w:cs="Arial"/>
          <w:sz w:val="20"/>
          <w:szCs w:val="20"/>
        </w:rPr>
        <w:t xml:space="preserve"> v sektorju prometa je 9 %; delež OVE v sektorju elektrika je 31 %; delež OVE v sektorju toplota in hlajenje je 37 %);</w:t>
      </w:r>
    </w:p>
    <w:p w14:paraId="6CD77395" w14:textId="64E45FA8" w:rsidR="0044727A" w:rsidRPr="00FC19D4" w:rsidRDefault="00B014C9" w:rsidP="000E4629">
      <w:pPr>
        <w:pStyle w:val="Odstavekseznama"/>
        <w:numPr>
          <w:ilvl w:val="0"/>
          <w:numId w:val="38"/>
        </w:numPr>
        <w:spacing w:after="0"/>
        <w:jc w:val="both"/>
        <w:rPr>
          <w:rFonts w:ascii="Arial" w:hAnsi="Arial" w:cs="Arial"/>
          <w:sz w:val="20"/>
          <w:szCs w:val="20"/>
        </w:rPr>
      </w:pPr>
      <w:r w:rsidRPr="00FC19D4">
        <w:rPr>
          <w:rFonts w:ascii="Arial" w:hAnsi="Arial" w:cs="Arial"/>
          <w:sz w:val="20"/>
          <w:szCs w:val="20"/>
        </w:rPr>
        <w:t>Slovenija bi 37 % delež OVE do leta 2030, kot ga je v svojem priporočilu podala Evropska komisija</w:t>
      </w:r>
      <w:r w:rsidR="0053123B" w:rsidRPr="00FC19D4">
        <w:rPr>
          <w:rFonts w:ascii="Arial" w:hAnsi="Arial" w:cs="Arial"/>
          <w:sz w:val="20"/>
          <w:szCs w:val="20"/>
        </w:rPr>
        <w:t>,</w:t>
      </w:r>
      <w:r w:rsidRPr="00FC19D4">
        <w:rPr>
          <w:rFonts w:ascii="Arial" w:hAnsi="Arial" w:cs="Arial"/>
          <w:sz w:val="20"/>
          <w:szCs w:val="20"/>
        </w:rPr>
        <w:t xml:space="preserve"> lahko dosegla po</w:t>
      </w:r>
      <w:r w:rsidR="0044727A" w:rsidRPr="00FC19D4">
        <w:rPr>
          <w:rFonts w:ascii="Arial" w:hAnsi="Arial" w:cs="Arial"/>
          <w:sz w:val="20"/>
          <w:szCs w:val="20"/>
        </w:rPr>
        <w:t xml:space="preserve"> scenariju, kjer bi delež </w:t>
      </w:r>
      <w:proofErr w:type="spellStart"/>
      <w:r w:rsidR="0044727A" w:rsidRPr="00FC19D4">
        <w:rPr>
          <w:rFonts w:ascii="Arial" w:hAnsi="Arial" w:cs="Arial"/>
          <w:sz w:val="20"/>
          <w:szCs w:val="20"/>
        </w:rPr>
        <w:t>biogoriv</w:t>
      </w:r>
      <w:proofErr w:type="spellEnd"/>
      <w:r w:rsidR="0044727A" w:rsidRPr="00FC19D4">
        <w:rPr>
          <w:rFonts w:ascii="Arial" w:hAnsi="Arial" w:cs="Arial"/>
          <w:sz w:val="20"/>
          <w:szCs w:val="20"/>
        </w:rPr>
        <w:t xml:space="preserve"> v sektorju prometa znašal 37 %</w:t>
      </w:r>
      <w:r w:rsidRPr="00FC19D4">
        <w:rPr>
          <w:rFonts w:ascii="Arial" w:hAnsi="Arial" w:cs="Arial"/>
          <w:sz w:val="20"/>
          <w:szCs w:val="20"/>
        </w:rPr>
        <w:t xml:space="preserve"> (vprašanje realnosti tega dela scenarija)</w:t>
      </w:r>
      <w:r w:rsidR="0044727A" w:rsidRPr="00FC19D4">
        <w:rPr>
          <w:rFonts w:ascii="Arial" w:hAnsi="Arial" w:cs="Arial"/>
          <w:sz w:val="20"/>
          <w:szCs w:val="20"/>
        </w:rPr>
        <w:t>, delež OVE v sektorju elektrika 44 % in delež OVE v sektorju toplota in</w:t>
      </w:r>
      <w:r w:rsidRPr="00FC19D4">
        <w:rPr>
          <w:rFonts w:ascii="Arial" w:hAnsi="Arial" w:cs="Arial"/>
          <w:sz w:val="20"/>
          <w:szCs w:val="20"/>
        </w:rPr>
        <w:t xml:space="preserve"> hlajenje 43 %.</w:t>
      </w:r>
      <w:r w:rsidR="0044727A" w:rsidRPr="00FC19D4">
        <w:rPr>
          <w:rFonts w:ascii="Arial" w:hAnsi="Arial" w:cs="Arial"/>
          <w:sz w:val="20"/>
          <w:szCs w:val="20"/>
        </w:rPr>
        <w:t xml:space="preserve"> </w:t>
      </w:r>
    </w:p>
    <w:p w14:paraId="11572F44" w14:textId="77777777" w:rsidR="00B014C9" w:rsidRPr="00FC19D4" w:rsidRDefault="00B014C9" w:rsidP="000E4629">
      <w:pPr>
        <w:pStyle w:val="Odstavekseznama"/>
        <w:spacing w:after="0"/>
        <w:jc w:val="both"/>
        <w:rPr>
          <w:rFonts w:ascii="Arial" w:hAnsi="Arial" w:cs="Arial"/>
          <w:sz w:val="20"/>
          <w:szCs w:val="20"/>
        </w:rPr>
      </w:pPr>
    </w:p>
    <w:p w14:paraId="207A0A1A"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 xml:space="preserve">Slika: Prikaz scenarijev doseganja prispevka OVE do 2030 </w:t>
      </w:r>
    </w:p>
    <w:p w14:paraId="04E23B60" w14:textId="30123380" w:rsidR="0044727A" w:rsidRPr="00FC19D4" w:rsidRDefault="0044727A" w:rsidP="000E4629">
      <w:pPr>
        <w:jc w:val="both"/>
        <w:rPr>
          <w:rFonts w:ascii="Arial" w:hAnsi="Arial" w:cs="Arial"/>
          <w:sz w:val="20"/>
          <w:szCs w:val="20"/>
        </w:rPr>
      </w:pPr>
      <w:r w:rsidRPr="00FC19D4">
        <w:rPr>
          <w:rFonts w:ascii="Arial" w:hAnsi="Arial" w:cs="Arial"/>
          <w:noProof/>
          <w:sz w:val="20"/>
          <w:szCs w:val="20"/>
          <w:lang w:eastAsia="sl-SI"/>
        </w:rPr>
        <w:drawing>
          <wp:inline distT="0" distB="0" distL="0" distR="0" wp14:anchorId="16EC9583" wp14:editId="649B2CCA">
            <wp:extent cx="5762625" cy="2924175"/>
            <wp:effectExtent l="19050" t="19050" r="28575" b="2857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2625" cy="2924175"/>
                    </a:xfrm>
                    <a:prstGeom prst="rect">
                      <a:avLst/>
                    </a:prstGeom>
                    <a:noFill/>
                    <a:ln w="9525" cmpd="sng">
                      <a:solidFill>
                        <a:srgbClr val="000000"/>
                      </a:solidFill>
                      <a:miter lim="800000"/>
                      <a:headEnd/>
                      <a:tailEnd/>
                    </a:ln>
                    <a:effectLst/>
                  </pic:spPr>
                </pic:pic>
              </a:graphicData>
            </a:graphic>
          </wp:inline>
        </w:drawing>
      </w:r>
    </w:p>
    <w:p w14:paraId="760C80A1"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Vir: IJS CEU, 2019</w:t>
      </w:r>
    </w:p>
    <w:p w14:paraId="58AF8783"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60EEA380"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Konzorcij NEPN glede na prve projekcije izpostavlja, da države, ki imajo relativno majhen energetski sistem in visok izhodiščni delež OVE, veliko težje napredujejo kot ostale, tudi v primeru večjih potencialov in razpoložljivih finančnih virov, saj nizek delež v prometu zahteva veliko višje deleže, pogosto tudi nedosegljive, pri toploti in elektriki (skupni potencial OVE je nižji).</w:t>
      </w:r>
    </w:p>
    <w:p w14:paraId="3E034974"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1F25CCD2" w14:textId="48EA99C0" w:rsidR="0044727A" w:rsidRPr="00FC19D4" w:rsidRDefault="0044727A" w:rsidP="000E4629">
      <w:pPr>
        <w:numPr>
          <w:ilvl w:val="0"/>
          <w:numId w:val="32"/>
        </w:numPr>
        <w:autoSpaceDE w:val="0"/>
        <w:autoSpaceDN w:val="0"/>
        <w:adjustRightInd w:val="0"/>
        <w:spacing w:after="0"/>
        <w:jc w:val="both"/>
        <w:rPr>
          <w:rFonts w:ascii="Arial" w:hAnsi="Arial" w:cs="Arial"/>
          <w:b/>
          <w:sz w:val="20"/>
          <w:szCs w:val="20"/>
        </w:rPr>
      </w:pPr>
      <w:r w:rsidRPr="00FC19D4">
        <w:rPr>
          <w:rFonts w:ascii="Arial" w:hAnsi="Arial" w:cs="Arial"/>
          <w:b/>
          <w:sz w:val="20"/>
          <w:szCs w:val="20"/>
        </w:rPr>
        <w:t>Rezultati predhodnega posvetovanja in dialoga</w:t>
      </w:r>
    </w:p>
    <w:p w14:paraId="6B193EB4" w14:textId="77777777" w:rsidR="00D00EA7" w:rsidRPr="00FC19D4" w:rsidRDefault="00D00EA7" w:rsidP="000E4629">
      <w:pPr>
        <w:autoSpaceDE w:val="0"/>
        <w:autoSpaceDN w:val="0"/>
        <w:adjustRightInd w:val="0"/>
        <w:spacing w:after="0"/>
        <w:ind w:left="1080"/>
        <w:jc w:val="both"/>
        <w:rPr>
          <w:rFonts w:ascii="Arial" w:hAnsi="Arial" w:cs="Arial"/>
          <w:b/>
          <w:sz w:val="20"/>
          <w:szCs w:val="20"/>
        </w:rPr>
      </w:pPr>
    </w:p>
    <w:p w14:paraId="082F5A6D" w14:textId="77777777" w:rsidR="0044727A" w:rsidRPr="00FC19D4" w:rsidRDefault="0044727A" w:rsidP="000E4629">
      <w:pPr>
        <w:autoSpaceDE w:val="0"/>
        <w:autoSpaceDN w:val="0"/>
        <w:adjustRightInd w:val="0"/>
        <w:jc w:val="both"/>
        <w:rPr>
          <w:rFonts w:ascii="Arial" w:hAnsi="Arial" w:cs="Arial"/>
          <w:sz w:val="20"/>
          <w:szCs w:val="20"/>
        </w:rPr>
      </w:pPr>
      <w:r w:rsidRPr="00FC19D4">
        <w:rPr>
          <w:rFonts w:ascii="Arial" w:hAnsi="Arial" w:cs="Arial"/>
          <w:sz w:val="20"/>
          <w:szCs w:val="20"/>
        </w:rPr>
        <w:t xml:space="preserve">Predhodno posvetovanje glede priprave osnutka NEPN je potekalo od 4. marca do 8. aprila 2019. V njem so sodelovali številni in različni deležniki, ki so oddali po vprašanjih strukturirane prispevke in tudi splošne nestrukturirane prispevke. Ocene, kakšen bi moral biti prispevek Slovenije na področju OVE do 2030, segajo od 25,1 % do 45,5 %, pri čemer deležniki različno izpostavljajo bodisi potrebo po ambicioznosti bodisi različne relevantne okoliščine, ki jih je treba upoštevati pri določanju in doseganju prispevka OVE do 2030. </w:t>
      </w:r>
    </w:p>
    <w:p w14:paraId="1BACBBAD" w14:textId="77777777" w:rsidR="0044727A" w:rsidRPr="00FC19D4" w:rsidRDefault="0044727A" w:rsidP="000E4629">
      <w:pPr>
        <w:autoSpaceDE w:val="0"/>
        <w:autoSpaceDN w:val="0"/>
        <w:adjustRightInd w:val="0"/>
        <w:jc w:val="both"/>
        <w:rPr>
          <w:rFonts w:ascii="Arial" w:hAnsi="Arial" w:cs="Arial"/>
          <w:sz w:val="20"/>
          <w:szCs w:val="20"/>
        </w:rPr>
      </w:pPr>
    </w:p>
    <w:p w14:paraId="4CA8988A" w14:textId="77777777" w:rsidR="0044727A" w:rsidRPr="00FC19D4" w:rsidRDefault="0044727A" w:rsidP="000E4629">
      <w:pPr>
        <w:autoSpaceDE w:val="0"/>
        <w:autoSpaceDN w:val="0"/>
        <w:adjustRightInd w:val="0"/>
        <w:jc w:val="both"/>
        <w:rPr>
          <w:rFonts w:ascii="Arial" w:hAnsi="Arial" w:cs="Arial"/>
          <w:sz w:val="20"/>
          <w:szCs w:val="20"/>
        </w:rPr>
      </w:pPr>
      <w:r w:rsidRPr="00FC19D4">
        <w:rPr>
          <w:rFonts w:ascii="Arial" w:hAnsi="Arial" w:cs="Arial"/>
          <w:sz w:val="20"/>
          <w:szCs w:val="20"/>
        </w:rPr>
        <w:t xml:space="preserve">Sodelujoči deležniki pa se na splošno strinjajo, da mora biti usmeritev na področju OVE v celoti in jasno podprta s strani pristojnih ministrstev in Vlade Republike Slovenije kot celote ter izpostavljajo med drugim potrebo po družbenem konsenzu in po tem, da država aktivno pristopi k problematiki umeščanja v prostor bodisi z oblikovanjem posebnega organa za odločanje o prednostih projektih državnega pomena bodisi s pripravo </w:t>
      </w:r>
      <w:r w:rsidRPr="00FC19D4">
        <w:rPr>
          <w:rFonts w:ascii="Arial" w:hAnsi="Arial" w:cs="Arial"/>
          <w:bCs/>
          <w:sz w:val="20"/>
          <w:szCs w:val="20"/>
        </w:rPr>
        <w:t xml:space="preserve">načrtov območij za potencialne investicije OVE </w:t>
      </w:r>
      <w:r w:rsidRPr="00FC19D4">
        <w:rPr>
          <w:rFonts w:ascii="Arial" w:hAnsi="Arial" w:cs="Arial"/>
          <w:sz w:val="20"/>
          <w:szCs w:val="20"/>
        </w:rPr>
        <w:t>ter spodbujanjem zgodnjega vključevanja javnosti v projekte.</w:t>
      </w:r>
      <w:r w:rsidRPr="00FC19D4">
        <w:rPr>
          <w:rStyle w:val="Sprotnaopomba-sklic"/>
          <w:rFonts w:ascii="Arial" w:hAnsi="Arial" w:cs="Arial"/>
          <w:sz w:val="20"/>
          <w:szCs w:val="20"/>
        </w:rPr>
        <w:footnoteReference w:id="26"/>
      </w:r>
    </w:p>
    <w:p w14:paraId="7AF0C4EA" w14:textId="77777777" w:rsidR="0044727A" w:rsidRPr="00FC19D4" w:rsidRDefault="0044727A" w:rsidP="000E4629">
      <w:pPr>
        <w:autoSpaceDE w:val="0"/>
        <w:autoSpaceDN w:val="0"/>
        <w:adjustRightInd w:val="0"/>
        <w:spacing w:after="0"/>
        <w:jc w:val="both"/>
        <w:rPr>
          <w:rFonts w:ascii="Arial" w:hAnsi="Arial" w:cs="Arial"/>
          <w:sz w:val="20"/>
          <w:szCs w:val="20"/>
        </w:rPr>
      </w:pPr>
    </w:p>
    <w:p w14:paraId="01BF3C99" w14:textId="42594AF0" w:rsidR="0044727A" w:rsidRPr="00FC19D4" w:rsidRDefault="0044727A" w:rsidP="000E4629">
      <w:pPr>
        <w:numPr>
          <w:ilvl w:val="0"/>
          <w:numId w:val="32"/>
        </w:numPr>
        <w:autoSpaceDE w:val="0"/>
        <w:autoSpaceDN w:val="0"/>
        <w:adjustRightInd w:val="0"/>
        <w:spacing w:after="0"/>
        <w:jc w:val="both"/>
        <w:rPr>
          <w:rFonts w:ascii="Arial" w:hAnsi="Arial" w:cs="Arial"/>
          <w:b/>
          <w:sz w:val="20"/>
          <w:szCs w:val="20"/>
        </w:rPr>
      </w:pPr>
      <w:r w:rsidRPr="00FC19D4">
        <w:rPr>
          <w:rFonts w:ascii="Arial" w:hAnsi="Arial" w:cs="Arial"/>
          <w:b/>
          <w:sz w:val="20"/>
          <w:szCs w:val="20"/>
        </w:rPr>
        <w:t>Celovita presoja vplivov na okolje</w:t>
      </w:r>
    </w:p>
    <w:p w14:paraId="769CA4A3" w14:textId="77777777" w:rsidR="00F421D3" w:rsidRPr="00FC19D4" w:rsidRDefault="00F421D3" w:rsidP="000E4629">
      <w:pPr>
        <w:autoSpaceDE w:val="0"/>
        <w:autoSpaceDN w:val="0"/>
        <w:adjustRightInd w:val="0"/>
        <w:spacing w:after="0"/>
        <w:ind w:left="1080"/>
        <w:jc w:val="both"/>
        <w:rPr>
          <w:rFonts w:ascii="Arial" w:hAnsi="Arial" w:cs="Arial"/>
          <w:b/>
          <w:sz w:val="20"/>
          <w:szCs w:val="20"/>
        </w:rPr>
      </w:pPr>
    </w:p>
    <w:p w14:paraId="2084692A" w14:textId="39AF3EC4" w:rsidR="0044727A" w:rsidRDefault="00A90486" w:rsidP="000E4629">
      <w:pPr>
        <w:jc w:val="both"/>
        <w:rPr>
          <w:rFonts w:ascii="Arial" w:hAnsi="Arial" w:cs="Arial"/>
          <w:sz w:val="20"/>
          <w:szCs w:val="20"/>
        </w:rPr>
      </w:pPr>
      <w:r>
        <w:rPr>
          <w:rFonts w:ascii="Arial" w:hAnsi="Arial" w:cs="Arial"/>
          <w:sz w:val="20"/>
          <w:szCs w:val="20"/>
        </w:rPr>
        <w:t xml:space="preserve">Za </w:t>
      </w:r>
      <w:r w:rsidR="0044727A" w:rsidRPr="00FC19D4">
        <w:rPr>
          <w:rFonts w:ascii="Arial" w:hAnsi="Arial" w:cs="Arial"/>
          <w:sz w:val="20"/>
          <w:szCs w:val="20"/>
        </w:rPr>
        <w:t>NEPN, ki bo določil energetske in podnebne cilje, potrebne politike in ukrepe za doseganje prispevka OVE do leta 2030 (s pogledom do 2040), bo</w:t>
      </w:r>
      <w:r>
        <w:rPr>
          <w:rFonts w:ascii="Arial" w:hAnsi="Arial" w:cs="Arial"/>
          <w:sz w:val="20"/>
          <w:szCs w:val="20"/>
        </w:rPr>
        <w:t xml:space="preserve"> v skladu z odločbo Ministrstva za okolje in prostor št. 35409-412/2018/9 z dne 4.1.2019</w:t>
      </w:r>
      <w:r w:rsidR="0044727A" w:rsidRPr="00FC19D4">
        <w:rPr>
          <w:rFonts w:ascii="Arial" w:hAnsi="Arial" w:cs="Arial"/>
          <w:sz w:val="20"/>
          <w:szCs w:val="20"/>
        </w:rPr>
        <w:t xml:space="preserve"> </w:t>
      </w:r>
      <w:r>
        <w:rPr>
          <w:rFonts w:ascii="Arial" w:hAnsi="Arial" w:cs="Arial"/>
          <w:sz w:val="20"/>
          <w:szCs w:val="20"/>
        </w:rPr>
        <w:t>opravljena</w:t>
      </w:r>
      <w:r w:rsidR="0044727A" w:rsidRPr="00FC19D4">
        <w:rPr>
          <w:rFonts w:ascii="Arial" w:hAnsi="Arial" w:cs="Arial"/>
          <w:sz w:val="20"/>
          <w:szCs w:val="20"/>
        </w:rPr>
        <w:t xml:space="preserve"> </w:t>
      </w:r>
      <w:r w:rsidRPr="00FC19D4">
        <w:rPr>
          <w:rFonts w:ascii="Arial" w:hAnsi="Arial" w:cs="Arial"/>
          <w:sz w:val="20"/>
          <w:szCs w:val="20"/>
        </w:rPr>
        <w:t>celovit</w:t>
      </w:r>
      <w:r>
        <w:rPr>
          <w:rFonts w:ascii="Arial" w:hAnsi="Arial" w:cs="Arial"/>
          <w:sz w:val="20"/>
          <w:szCs w:val="20"/>
        </w:rPr>
        <w:t>a</w:t>
      </w:r>
      <w:r w:rsidRPr="00FC19D4">
        <w:rPr>
          <w:rFonts w:ascii="Arial" w:hAnsi="Arial" w:cs="Arial"/>
          <w:sz w:val="20"/>
          <w:szCs w:val="20"/>
        </w:rPr>
        <w:t xml:space="preserve"> presoj</w:t>
      </w:r>
      <w:r>
        <w:rPr>
          <w:rFonts w:ascii="Arial" w:hAnsi="Arial" w:cs="Arial"/>
          <w:sz w:val="20"/>
          <w:szCs w:val="20"/>
        </w:rPr>
        <w:t>a</w:t>
      </w:r>
      <w:r w:rsidRPr="00FC19D4">
        <w:rPr>
          <w:rFonts w:ascii="Arial" w:hAnsi="Arial" w:cs="Arial"/>
          <w:sz w:val="20"/>
          <w:szCs w:val="20"/>
        </w:rPr>
        <w:t xml:space="preserve"> </w:t>
      </w:r>
      <w:r w:rsidR="0044727A" w:rsidRPr="00FC19D4">
        <w:rPr>
          <w:rFonts w:ascii="Arial" w:hAnsi="Arial" w:cs="Arial"/>
          <w:sz w:val="20"/>
          <w:szCs w:val="20"/>
        </w:rPr>
        <w:t xml:space="preserve">vplivov na okolje. </w:t>
      </w:r>
      <w:r>
        <w:rPr>
          <w:rFonts w:ascii="Arial" w:hAnsi="Arial" w:cs="Arial"/>
          <w:sz w:val="20"/>
          <w:szCs w:val="20"/>
        </w:rPr>
        <w:t xml:space="preserve">V okviru postopka celovite presoje vplivov na okolje bodo presojani tudi cilji, ukrepi in politike na področju OVE, in rezultat postopka bo nakazal, katere od alternativnih smeri razvoja te razsežnosti so bolj in katere manj </w:t>
      </w:r>
      <w:proofErr w:type="spellStart"/>
      <w:r>
        <w:rPr>
          <w:rFonts w:ascii="Arial" w:hAnsi="Arial" w:cs="Arial"/>
          <w:sz w:val="20"/>
          <w:szCs w:val="20"/>
        </w:rPr>
        <w:t>okoljsko</w:t>
      </w:r>
      <w:proofErr w:type="spellEnd"/>
      <w:r>
        <w:rPr>
          <w:rFonts w:ascii="Arial" w:hAnsi="Arial" w:cs="Arial"/>
          <w:sz w:val="20"/>
          <w:szCs w:val="20"/>
        </w:rPr>
        <w:t xml:space="preserve"> sprejemljive. Na podlagi tega bo mogoče v končnem NEPN mogoče sprejeti odločitev</w:t>
      </w:r>
      <w:r w:rsidR="0044727A" w:rsidRPr="00FC19D4">
        <w:rPr>
          <w:rFonts w:ascii="Arial" w:hAnsi="Arial" w:cs="Arial"/>
          <w:sz w:val="20"/>
          <w:szCs w:val="20"/>
        </w:rPr>
        <w:t xml:space="preserve">, kolikšen prispevek OVE do 2030 lahko na trajnostni način dejansko dosežemo z ukrepi in investicijami v Sloveniji, pod pogojem, da se zagotovi stabilno in predvidljivo okolje investitorje. </w:t>
      </w:r>
    </w:p>
    <w:p w14:paraId="373BC92E" w14:textId="47739A94" w:rsidR="00E42341" w:rsidRPr="00FC19D4" w:rsidRDefault="00E42341" w:rsidP="000E4629">
      <w:pPr>
        <w:jc w:val="both"/>
        <w:rPr>
          <w:rFonts w:ascii="Arial" w:hAnsi="Arial" w:cs="Arial"/>
          <w:sz w:val="20"/>
          <w:szCs w:val="20"/>
        </w:rPr>
      </w:pPr>
      <w:r w:rsidRPr="00E42341">
        <w:rPr>
          <w:rFonts w:ascii="Arial" w:hAnsi="Arial" w:cs="Arial"/>
          <w:sz w:val="20"/>
          <w:szCs w:val="20"/>
        </w:rPr>
        <w:t xml:space="preserve">Postopek izbire pripravljavca osnutka </w:t>
      </w:r>
      <w:proofErr w:type="spellStart"/>
      <w:r w:rsidRPr="00E42341">
        <w:rPr>
          <w:rFonts w:ascii="Arial" w:hAnsi="Arial" w:cs="Arial"/>
          <w:sz w:val="20"/>
          <w:szCs w:val="20"/>
        </w:rPr>
        <w:t>okoljskeg</w:t>
      </w:r>
      <w:r>
        <w:rPr>
          <w:rFonts w:ascii="Arial" w:hAnsi="Arial" w:cs="Arial"/>
          <w:sz w:val="20"/>
          <w:szCs w:val="20"/>
        </w:rPr>
        <w:t>a</w:t>
      </w:r>
      <w:proofErr w:type="spellEnd"/>
      <w:r>
        <w:rPr>
          <w:rFonts w:ascii="Arial" w:hAnsi="Arial" w:cs="Arial"/>
          <w:sz w:val="20"/>
          <w:szCs w:val="20"/>
        </w:rPr>
        <w:t xml:space="preserve"> poročila je za potrebe Ministrstva za infrastrukturo preko pridobljene tehnične pomoči v okviru Programa </w:t>
      </w:r>
      <w:r w:rsidRPr="00E42341">
        <w:rPr>
          <w:rFonts w:ascii="Arial" w:hAnsi="Arial" w:cs="Arial"/>
          <w:sz w:val="20"/>
          <w:szCs w:val="20"/>
        </w:rPr>
        <w:t>za podporo pri strukturnih reformah</w:t>
      </w:r>
      <w:r>
        <w:rPr>
          <w:rFonts w:ascii="Arial" w:hAnsi="Arial" w:cs="Arial"/>
          <w:sz w:val="20"/>
          <w:szCs w:val="20"/>
        </w:rPr>
        <w:t xml:space="preserve"> neodvisno vodila Evropska k</w:t>
      </w:r>
      <w:r w:rsidRPr="00E42341">
        <w:rPr>
          <w:rFonts w:ascii="Arial" w:hAnsi="Arial" w:cs="Arial"/>
          <w:sz w:val="20"/>
          <w:szCs w:val="20"/>
        </w:rPr>
        <w:t xml:space="preserve">omisija ter izbrala in dne 12. julija 2019 podpisala pogodbo za pripravo osnutka </w:t>
      </w:r>
      <w:proofErr w:type="spellStart"/>
      <w:r w:rsidRPr="00E42341">
        <w:rPr>
          <w:rFonts w:ascii="Arial" w:hAnsi="Arial" w:cs="Arial"/>
          <w:sz w:val="20"/>
          <w:szCs w:val="20"/>
        </w:rPr>
        <w:t>okoljskega</w:t>
      </w:r>
      <w:proofErr w:type="spellEnd"/>
      <w:r w:rsidRPr="00E42341">
        <w:rPr>
          <w:rFonts w:ascii="Arial" w:hAnsi="Arial" w:cs="Arial"/>
          <w:sz w:val="20"/>
          <w:szCs w:val="20"/>
        </w:rPr>
        <w:t xml:space="preserve"> poročila s konzorcijem institucij:</w:t>
      </w:r>
      <w:r>
        <w:rPr>
          <w:rFonts w:ascii="Arial" w:hAnsi="Arial" w:cs="Arial"/>
          <w:sz w:val="20"/>
          <w:szCs w:val="20"/>
        </w:rPr>
        <w:t xml:space="preserve"> </w:t>
      </w:r>
      <w:r w:rsidRPr="00E42341">
        <w:rPr>
          <w:rFonts w:ascii="Arial" w:hAnsi="Arial" w:cs="Arial"/>
          <w:sz w:val="20"/>
          <w:szCs w:val="20"/>
        </w:rPr>
        <w:t>Elektroinštitut Milan Vidmar, Inštitut za elektrogospodarstvo in elektroindustrijo (vodja),</w:t>
      </w:r>
      <w:r>
        <w:rPr>
          <w:rFonts w:ascii="Arial" w:hAnsi="Arial" w:cs="Arial"/>
          <w:sz w:val="20"/>
          <w:szCs w:val="20"/>
        </w:rPr>
        <w:t xml:space="preserve"> </w:t>
      </w:r>
      <w:proofErr w:type="spellStart"/>
      <w:r>
        <w:rPr>
          <w:rFonts w:ascii="Arial" w:hAnsi="Arial" w:cs="Arial"/>
          <w:sz w:val="20"/>
          <w:szCs w:val="20"/>
        </w:rPr>
        <w:t>ZaVita</w:t>
      </w:r>
      <w:proofErr w:type="spellEnd"/>
      <w:r>
        <w:rPr>
          <w:rFonts w:ascii="Arial" w:hAnsi="Arial" w:cs="Arial"/>
          <w:sz w:val="20"/>
          <w:szCs w:val="20"/>
        </w:rPr>
        <w:t xml:space="preserve">, svetovanje, d. o. o. in </w:t>
      </w:r>
      <w:r w:rsidRPr="00E42341">
        <w:rPr>
          <w:rFonts w:ascii="Arial" w:hAnsi="Arial" w:cs="Arial"/>
          <w:sz w:val="20"/>
          <w:szCs w:val="20"/>
        </w:rPr>
        <w:t xml:space="preserve">STRITIH, svetovanje za trajnostni razvoj, </w:t>
      </w:r>
      <w:proofErr w:type="spellStart"/>
      <w:r w:rsidRPr="00E42341">
        <w:rPr>
          <w:rFonts w:ascii="Arial" w:hAnsi="Arial" w:cs="Arial"/>
          <w:sz w:val="20"/>
          <w:szCs w:val="20"/>
        </w:rPr>
        <w:t>d.o.o</w:t>
      </w:r>
      <w:proofErr w:type="spellEnd"/>
      <w:r w:rsidRPr="00E42341">
        <w:rPr>
          <w:rFonts w:ascii="Arial" w:hAnsi="Arial" w:cs="Arial"/>
          <w:sz w:val="20"/>
          <w:szCs w:val="20"/>
        </w:rPr>
        <w:t>.</w:t>
      </w:r>
    </w:p>
    <w:p w14:paraId="6535D556" w14:textId="28369A48" w:rsidR="0044727A" w:rsidRPr="00FC19D4" w:rsidRDefault="0044727A" w:rsidP="000E4629">
      <w:pPr>
        <w:autoSpaceDE w:val="0"/>
        <w:autoSpaceDN w:val="0"/>
        <w:adjustRightInd w:val="0"/>
        <w:jc w:val="both"/>
        <w:rPr>
          <w:rFonts w:ascii="Arial" w:hAnsi="Arial" w:cs="Arial"/>
          <w:sz w:val="20"/>
          <w:szCs w:val="20"/>
        </w:rPr>
      </w:pPr>
      <w:r w:rsidRPr="00FC19D4">
        <w:rPr>
          <w:rFonts w:ascii="Arial" w:hAnsi="Arial" w:cs="Arial"/>
          <w:sz w:val="20"/>
          <w:szCs w:val="20"/>
        </w:rPr>
        <w:t xml:space="preserve">Delež OVE, ki ga zaradi </w:t>
      </w:r>
      <w:proofErr w:type="spellStart"/>
      <w:r w:rsidRPr="00FC19D4">
        <w:rPr>
          <w:rFonts w:ascii="Arial" w:hAnsi="Arial" w:cs="Arial"/>
          <w:sz w:val="20"/>
          <w:szCs w:val="20"/>
        </w:rPr>
        <w:t>okoljskih</w:t>
      </w:r>
      <w:proofErr w:type="spellEnd"/>
      <w:r w:rsidRPr="00FC19D4">
        <w:rPr>
          <w:rFonts w:ascii="Arial" w:hAnsi="Arial" w:cs="Arial"/>
          <w:sz w:val="20"/>
          <w:szCs w:val="20"/>
        </w:rPr>
        <w:t xml:space="preserve"> zamejitev ali drugih razlogov ne bomo uspeli doseči v Sloveniji, bo dolžna Slovenija skladno z Uredbo </w:t>
      </w:r>
      <w:r w:rsidR="00E66B60" w:rsidRPr="00FC19D4">
        <w:rPr>
          <w:rFonts w:ascii="Arial" w:hAnsi="Arial" w:cs="Arial"/>
          <w:sz w:val="20"/>
          <w:szCs w:val="20"/>
        </w:rPr>
        <w:t xml:space="preserve">(EU) 2018/1999 </w:t>
      </w:r>
      <w:r w:rsidRPr="00FC19D4">
        <w:rPr>
          <w:rFonts w:ascii="Arial" w:hAnsi="Arial" w:cs="Arial"/>
          <w:sz w:val="20"/>
          <w:szCs w:val="20"/>
        </w:rPr>
        <w:t xml:space="preserve">zagotoviti z drugimi ukrepi, npr. prek sodelovanja v čezmejnih projektih, statističnega prenosa ali prek vplačila v finančni mehanizem </w:t>
      </w:r>
      <w:r w:rsidR="00E66B60" w:rsidRPr="00FC19D4">
        <w:rPr>
          <w:rFonts w:ascii="Arial" w:hAnsi="Arial" w:cs="Arial"/>
          <w:sz w:val="20"/>
          <w:szCs w:val="20"/>
        </w:rPr>
        <w:t xml:space="preserve">EU </w:t>
      </w:r>
      <w:r w:rsidRPr="00FC19D4">
        <w:rPr>
          <w:rFonts w:ascii="Arial" w:hAnsi="Arial" w:cs="Arial"/>
          <w:sz w:val="20"/>
          <w:szCs w:val="20"/>
        </w:rPr>
        <w:t>za OVE.</w:t>
      </w:r>
    </w:p>
    <w:p w14:paraId="0FFC2DDE" w14:textId="5818AB0A" w:rsidR="00F421D3" w:rsidRPr="00FC19D4" w:rsidRDefault="00F421D3" w:rsidP="000E4629">
      <w:pPr>
        <w:autoSpaceDE w:val="0"/>
        <w:autoSpaceDN w:val="0"/>
        <w:adjustRightInd w:val="0"/>
        <w:spacing w:after="0"/>
        <w:jc w:val="both"/>
        <w:rPr>
          <w:rFonts w:ascii="Arial" w:hAnsi="Arial" w:cs="Arial"/>
          <w:sz w:val="20"/>
          <w:szCs w:val="20"/>
        </w:rPr>
      </w:pPr>
    </w:p>
    <w:p w14:paraId="6B779E30" w14:textId="769F91C0" w:rsidR="0044727A" w:rsidRPr="00FC19D4" w:rsidRDefault="0044727A" w:rsidP="000E4629">
      <w:pPr>
        <w:numPr>
          <w:ilvl w:val="0"/>
          <w:numId w:val="32"/>
        </w:numPr>
        <w:autoSpaceDE w:val="0"/>
        <w:autoSpaceDN w:val="0"/>
        <w:adjustRightInd w:val="0"/>
        <w:spacing w:after="0"/>
        <w:jc w:val="both"/>
        <w:rPr>
          <w:rFonts w:ascii="Arial" w:hAnsi="Arial" w:cs="Arial"/>
          <w:b/>
          <w:sz w:val="20"/>
          <w:szCs w:val="20"/>
        </w:rPr>
      </w:pPr>
      <w:r w:rsidRPr="00FC19D4">
        <w:rPr>
          <w:rFonts w:ascii="Arial" w:hAnsi="Arial" w:cs="Arial"/>
          <w:b/>
          <w:sz w:val="20"/>
          <w:szCs w:val="20"/>
        </w:rPr>
        <w:t>Priporočila Komisije</w:t>
      </w:r>
    </w:p>
    <w:p w14:paraId="62A75BCC" w14:textId="77777777" w:rsidR="00F421D3" w:rsidRPr="00FC19D4" w:rsidRDefault="00F421D3" w:rsidP="000E4629">
      <w:pPr>
        <w:autoSpaceDE w:val="0"/>
        <w:autoSpaceDN w:val="0"/>
        <w:adjustRightInd w:val="0"/>
        <w:spacing w:after="0"/>
        <w:ind w:left="1080"/>
        <w:jc w:val="both"/>
        <w:rPr>
          <w:rFonts w:ascii="Arial" w:hAnsi="Arial" w:cs="Arial"/>
          <w:b/>
          <w:sz w:val="20"/>
          <w:szCs w:val="20"/>
        </w:rPr>
      </w:pPr>
    </w:p>
    <w:p w14:paraId="66FC8701" w14:textId="77777777" w:rsidR="0044727A" w:rsidRPr="00FC19D4" w:rsidRDefault="0044727A" w:rsidP="000E4629">
      <w:pPr>
        <w:autoSpaceDE w:val="0"/>
        <w:autoSpaceDN w:val="0"/>
        <w:adjustRightInd w:val="0"/>
        <w:jc w:val="both"/>
        <w:rPr>
          <w:rFonts w:ascii="Arial" w:hAnsi="Arial" w:cs="Arial"/>
          <w:sz w:val="20"/>
          <w:szCs w:val="20"/>
        </w:rPr>
      </w:pPr>
      <w:r w:rsidRPr="00FC19D4">
        <w:rPr>
          <w:rFonts w:ascii="Arial" w:hAnsi="Arial" w:cs="Arial"/>
          <w:sz w:val="20"/>
          <w:szCs w:val="20"/>
        </w:rPr>
        <w:t>Komisija je dne 18. junija 2019 objavila svojo oceno predloženih osnutkov NEPN in državam članicam podala priporočila, pri čemer je Sloveniji na področju OVE priporočila, da:</w:t>
      </w:r>
    </w:p>
    <w:p w14:paraId="00D41D0A" w14:textId="77777777" w:rsidR="0044727A" w:rsidRPr="00FC19D4" w:rsidRDefault="0044727A" w:rsidP="000E4629">
      <w:pPr>
        <w:numPr>
          <w:ilvl w:val="0"/>
          <w:numId w:val="31"/>
        </w:numPr>
        <w:autoSpaceDE w:val="0"/>
        <w:autoSpaceDN w:val="0"/>
        <w:adjustRightInd w:val="0"/>
        <w:spacing w:after="0"/>
        <w:jc w:val="both"/>
        <w:rPr>
          <w:rFonts w:ascii="Arial" w:hAnsi="Arial" w:cs="Arial"/>
          <w:sz w:val="20"/>
          <w:szCs w:val="20"/>
        </w:rPr>
      </w:pPr>
      <w:r w:rsidRPr="00FC19D4">
        <w:rPr>
          <w:rFonts w:ascii="Arial" w:hAnsi="Arial" w:cs="Arial"/>
          <w:sz w:val="20"/>
          <w:szCs w:val="20"/>
        </w:rPr>
        <w:t xml:space="preserve">znatno zviša raven ambicij za leto 2030 na delež energije iz obnovljivih virov, ki znaša vsaj 37 %, kot prispevek Slovenije k cilju Unije za energijo iz obnovljivih virov za leto 2030, kot je navedeno v formuli v Prilogi II k Uredbi (EU) 2018/1999 in ob ustreznem upoštevanju ustreznih okoliščin in nacionalnih omejitev; </w:t>
      </w:r>
    </w:p>
    <w:p w14:paraId="646ABCC8" w14:textId="77777777" w:rsidR="0044727A" w:rsidRPr="00FC19D4" w:rsidRDefault="0044727A" w:rsidP="000E4629">
      <w:pPr>
        <w:numPr>
          <w:ilvl w:val="0"/>
          <w:numId w:val="31"/>
        </w:numPr>
        <w:autoSpaceDE w:val="0"/>
        <w:autoSpaceDN w:val="0"/>
        <w:adjustRightInd w:val="0"/>
        <w:spacing w:after="0"/>
        <w:jc w:val="both"/>
        <w:rPr>
          <w:rFonts w:ascii="Arial" w:hAnsi="Arial" w:cs="Arial"/>
          <w:sz w:val="20"/>
          <w:szCs w:val="20"/>
        </w:rPr>
      </w:pPr>
      <w:r w:rsidRPr="00FC19D4">
        <w:rPr>
          <w:rFonts w:ascii="Arial" w:hAnsi="Arial" w:cs="Arial"/>
          <w:sz w:val="20"/>
          <w:szCs w:val="20"/>
        </w:rPr>
        <w:t xml:space="preserve">v končni celoviti nacionalni energetski in podnebni načrt vključi okvirni začrtani potek, ki dosega vse referenčne vrednosti iz člena 4(a)(2) Uredbe (EU) 2018/1999 v skladu z navedenim deležem, glede na to, da je treba povečati prizadevanja za skupno doseganje tega cilja; </w:t>
      </w:r>
    </w:p>
    <w:p w14:paraId="6DD92EAE" w14:textId="77777777" w:rsidR="0044727A" w:rsidRPr="00FC19D4" w:rsidRDefault="0044727A" w:rsidP="000E4629">
      <w:pPr>
        <w:numPr>
          <w:ilvl w:val="0"/>
          <w:numId w:val="31"/>
        </w:numPr>
        <w:autoSpaceDE w:val="0"/>
        <w:autoSpaceDN w:val="0"/>
        <w:adjustRightInd w:val="0"/>
        <w:spacing w:after="0"/>
        <w:jc w:val="both"/>
        <w:rPr>
          <w:rFonts w:ascii="Arial" w:hAnsi="Arial" w:cs="Arial"/>
          <w:sz w:val="20"/>
          <w:szCs w:val="20"/>
        </w:rPr>
      </w:pPr>
      <w:r w:rsidRPr="00FC19D4">
        <w:rPr>
          <w:rFonts w:ascii="Arial" w:hAnsi="Arial" w:cs="Arial"/>
          <w:sz w:val="20"/>
          <w:szCs w:val="20"/>
        </w:rPr>
        <w:t xml:space="preserve">predloži podrobne in količinsko opredeljene politike in ukrepe, ki so v skladu z obveznostmi iz Direktive (EU) 2018/2001 Evropskega parlamenta in Sveta, da se omogoči pravočasno in stroškovno učinkovito doseganje tega prispevka; </w:t>
      </w:r>
    </w:p>
    <w:p w14:paraId="3FE0AF57" w14:textId="77777777" w:rsidR="0044727A" w:rsidRPr="00FC19D4" w:rsidRDefault="0044727A" w:rsidP="000E4629">
      <w:pPr>
        <w:numPr>
          <w:ilvl w:val="0"/>
          <w:numId w:val="31"/>
        </w:numPr>
        <w:autoSpaceDE w:val="0"/>
        <w:autoSpaceDN w:val="0"/>
        <w:adjustRightInd w:val="0"/>
        <w:spacing w:after="0"/>
        <w:jc w:val="both"/>
        <w:rPr>
          <w:rFonts w:ascii="Arial" w:hAnsi="Arial" w:cs="Arial"/>
          <w:sz w:val="20"/>
          <w:szCs w:val="20"/>
        </w:rPr>
      </w:pPr>
      <w:r w:rsidRPr="00FC19D4">
        <w:rPr>
          <w:rFonts w:ascii="Arial" w:hAnsi="Arial" w:cs="Arial"/>
          <w:sz w:val="20"/>
          <w:szCs w:val="20"/>
        </w:rPr>
        <w:t xml:space="preserve">zagotovi, da se cilj glede energije iz obnovljivih virov za leto 2020, določen v Prilogi I k Direktivi 2009/28/ES Evropskega parlamenta in Sveta, v celoti doseže in ohranja kot izhodišče od leta 2021 naprej, ter pojasni, kako namerava tak izhodiščni delež doseči in ohranjati; </w:t>
      </w:r>
    </w:p>
    <w:p w14:paraId="29B36643" w14:textId="77777777" w:rsidR="0044727A" w:rsidRPr="00FC19D4" w:rsidRDefault="0044727A" w:rsidP="000E4629">
      <w:pPr>
        <w:numPr>
          <w:ilvl w:val="0"/>
          <w:numId w:val="31"/>
        </w:numPr>
        <w:autoSpaceDE w:val="0"/>
        <w:autoSpaceDN w:val="0"/>
        <w:adjustRightInd w:val="0"/>
        <w:spacing w:after="0"/>
        <w:jc w:val="both"/>
        <w:rPr>
          <w:rFonts w:ascii="Arial" w:hAnsi="Arial" w:cs="Arial"/>
          <w:sz w:val="20"/>
          <w:szCs w:val="20"/>
        </w:rPr>
      </w:pPr>
      <w:r w:rsidRPr="00FC19D4">
        <w:rPr>
          <w:rFonts w:ascii="Arial" w:hAnsi="Arial" w:cs="Arial"/>
          <w:sz w:val="20"/>
          <w:szCs w:val="20"/>
        </w:rPr>
        <w:lastRenderedPageBreak/>
        <w:t xml:space="preserve">poveča raven ambicij v sektorju ogrevanja in hlajenja, da doseže okvirni cilj iz člena 23 Direktive (EU) 2018/2001 in cilj na področju prometa iz člena 25 Direktive (EU) 2018/2001; </w:t>
      </w:r>
    </w:p>
    <w:p w14:paraId="6266E105" w14:textId="77777777" w:rsidR="0044727A" w:rsidRPr="00FC19D4" w:rsidRDefault="0044727A" w:rsidP="000E4629">
      <w:pPr>
        <w:numPr>
          <w:ilvl w:val="0"/>
          <w:numId w:val="31"/>
        </w:numPr>
        <w:autoSpaceDE w:val="0"/>
        <w:autoSpaceDN w:val="0"/>
        <w:adjustRightInd w:val="0"/>
        <w:spacing w:after="0"/>
        <w:jc w:val="both"/>
        <w:rPr>
          <w:rFonts w:ascii="Arial" w:hAnsi="Arial" w:cs="Arial"/>
          <w:sz w:val="20"/>
          <w:szCs w:val="20"/>
        </w:rPr>
      </w:pPr>
      <w:r w:rsidRPr="00FC19D4">
        <w:rPr>
          <w:rFonts w:ascii="Arial" w:hAnsi="Arial" w:cs="Arial"/>
          <w:sz w:val="20"/>
          <w:szCs w:val="20"/>
        </w:rPr>
        <w:t xml:space="preserve">zagotovi konkretne ukrepe za poenostavitev upravnih postopkov in </w:t>
      </w:r>
      <w:proofErr w:type="spellStart"/>
      <w:r w:rsidRPr="00FC19D4">
        <w:rPr>
          <w:rFonts w:ascii="Arial" w:hAnsi="Arial" w:cs="Arial"/>
          <w:sz w:val="20"/>
          <w:szCs w:val="20"/>
        </w:rPr>
        <w:t>omogočitvenih</w:t>
      </w:r>
      <w:proofErr w:type="spellEnd"/>
      <w:r w:rsidRPr="00FC19D4">
        <w:rPr>
          <w:rFonts w:ascii="Arial" w:hAnsi="Arial" w:cs="Arial"/>
          <w:sz w:val="20"/>
          <w:szCs w:val="20"/>
        </w:rPr>
        <w:t xml:space="preserve"> okvirov za samooskrbo z energijo iz obnovljivih virov in skupnosti na področju energije iz obnovljivih virov v skladu s členoma 21 in 22 Direktive (EU) 2018/2001.</w:t>
      </w:r>
    </w:p>
    <w:p w14:paraId="1FD35E00" w14:textId="77777777" w:rsidR="0044727A" w:rsidRPr="00FC19D4" w:rsidRDefault="0044727A" w:rsidP="000E4629">
      <w:pPr>
        <w:autoSpaceDE w:val="0"/>
        <w:autoSpaceDN w:val="0"/>
        <w:adjustRightInd w:val="0"/>
        <w:jc w:val="both"/>
        <w:rPr>
          <w:rFonts w:ascii="Arial" w:hAnsi="Arial" w:cs="Arial"/>
          <w:sz w:val="20"/>
          <w:szCs w:val="20"/>
        </w:rPr>
      </w:pPr>
    </w:p>
    <w:p w14:paraId="0AC9F008" w14:textId="77777777" w:rsidR="0044727A" w:rsidRPr="00FC19D4" w:rsidRDefault="0044727A" w:rsidP="000E4629">
      <w:pPr>
        <w:autoSpaceDE w:val="0"/>
        <w:autoSpaceDN w:val="0"/>
        <w:adjustRightInd w:val="0"/>
        <w:jc w:val="both"/>
        <w:rPr>
          <w:rStyle w:val="tlid-translation"/>
          <w:rFonts w:ascii="Arial" w:hAnsi="Arial" w:cs="Arial"/>
          <w:sz w:val="20"/>
          <w:szCs w:val="20"/>
        </w:rPr>
      </w:pPr>
      <w:r w:rsidRPr="00FC19D4">
        <w:rPr>
          <w:rFonts w:ascii="Arial" w:hAnsi="Arial" w:cs="Arial"/>
          <w:sz w:val="20"/>
          <w:szCs w:val="20"/>
        </w:rPr>
        <w:t>V spremnem dokumentu Komisija nadalje izpostavlja, da lahko Slovenija pri p</w:t>
      </w:r>
      <w:r w:rsidRPr="00FC19D4">
        <w:rPr>
          <w:rStyle w:val="tlid-translation"/>
          <w:rFonts w:ascii="Arial" w:hAnsi="Arial" w:cs="Arial"/>
          <w:sz w:val="20"/>
          <w:szCs w:val="20"/>
        </w:rPr>
        <w:t xml:space="preserve">ripravi končnega NEPN in premoščanju ovir za razvoj projektov OVE dodatne usmeritve najde v Smernicah Komisije glede OVE (veter in hidro), prenosa energije in Nature 2000 (ang. </w:t>
      </w:r>
      <w:r w:rsidRPr="00FC19D4">
        <w:rPr>
          <w:rFonts w:ascii="Arial" w:hAnsi="Arial" w:cs="Arial"/>
          <w:i/>
          <w:sz w:val="20"/>
          <w:szCs w:val="20"/>
          <w:lang w:val="en-GB"/>
        </w:rPr>
        <w:t>the Commission’s guidelines on renewable energy (wind and hydro), energy transmission and Natura 2000</w:t>
      </w:r>
      <w:r w:rsidRPr="00FC19D4">
        <w:rPr>
          <w:rFonts w:ascii="Arial" w:hAnsi="Arial" w:cs="Arial"/>
          <w:sz w:val="20"/>
          <w:szCs w:val="20"/>
          <w:lang w:val="en-GB"/>
        </w:rPr>
        <w:t>).</w:t>
      </w:r>
      <w:r w:rsidRPr="00FC19D4">
        <w:rPr>
          <w:rStyle w:val="Sprotnaopomba-sklic"/>
          <w:rFonts w:ascii="Arial" w:hAnsi="Arial" w:cs="Arial"/>
          <w:sz w:val="20"/>
          <w:szCs w:val="20"/>
          <w:lang w:val="en-GB"/>
        </w:rPr>
        <w:footnoteReference w:id="27"/>
      </w:r>
      <w:r w:rsidRPr="00FC19D4">
        <w:rPr>
          <w:rFonts w:ascii="Arial" w:hAnsi="Arial" w:cs="Arial"/>
          <w:sz w:val="20"/>
          <w:szCs w:val="20"/>
          <w:lang w:val="en-GB"/>
        </w:rPr>
        <w:t xml:space="preserve"> </w:t>
      </w:r>
    </w:p>
    <w:p w14:paraId="20AFE0C1" w14:textId="77777777" w:rsidR="0044727A" w:rsidRPr="00FC19D4" w:rsidRDefault="0044727A" w:rsidP="000E4629">
      <w:pPr>
        <w:jc w:val="both"/>
        <w:rPr>
          <w:rFonts w:ascii="Arial" w:hAnsi="Arial" w:cs="Arial"/>
          <w:sz w:val="20"/>
          <w:szCs w:val="20"/>
        </w:rPr>
      </w:pPr>
      <w:r w:rsidRPr="00FC19D4">
        <w:rPr>
          <w:rFonts w:ascii="Arial" w:hAnsi="Arial" w:cs="Arial"/>
          <w:sz w:val="20"/>
          <w:szCs w:val="20"/>
        </w:rPr>
        <w:t>Slovenija, ugotavlja, da je Komisija svoje priporočilo Sloveniji glede ambicije 37 % OVE do 2030 pripravila zgolj na podlagi uporabe formule iz Priloge 2 Uredbi, ki je indikativne narave, pri čemer Komisija očitno ni upoštevala pomembnih okoliščin, ki jih je Slovenija navedla v osnutku NEPN, čeprav je dolžna, skladno z 31. členom Uredbe, priporočila pripraviti na podlagi uporabe omenjene formule in upoštevajoč pomembne nacionalne okoliščine, ki jih države članice izpostavijo v osnutkih NEPN.</w:t>
      </w:r>
    </w:p>
    <w:p w14:paraId="02715628" w14:textId="649C09C9" w:rsidR="00F421D3" w:rsidRPr="00FC19D4" w:rsidRDefault="0044727A" w:rsidP="000E4629">
      <w:pPr>
        <w:jc w:val="both"/>
        <w:rPr>
          <w:rFonts w:ascii="Arial" w:hAnsi="Arial" w:cs="Arial"/>
          <w:bCs/>
          <w:sz w:val="20"/>
          <w:szCs w:val="20"/>
        </w:rPr>
      </w:pPr>
      <w:r w:rsidRPr="00FC19D4">
        <w:rPr>
          <w:rFonts w:ascii="Arial" w:hAnsi="Arial" w:cs="Arial"/>
          <w:bCs/>
          <w:sz w:val="20"/>
          <w:szCs w:val="20"/>
        </w:rPr>
        <w:t xml:space="preserve">Slovenija bo vsa priporočila Komisije celovito preučila in jih v svojem končnem NEPN ustrezno upoštevala oz. v primeru neupoštevanja celovito in ustrezno obrazložila. Slovenija si bo pri tem na področju OVE prizadevala za sprejem čim bolj ambicioznega, a smotrnega in uresničljivega prispevka OVE do 2030 (in s pogledom do 2040), na podlagi </w:t>
      </w:r>
      <w:r w:rsidRPr="00FC19D4">
        <w:rPr>
          <w:rFonts w:ascii="Arial" w:hAnsi="Arial" w:cs="Arial"/>
          <w:sz w:val="20"/>
          <w:szCs w:val="20"/>
        </w:rPr>
        <w:t>strokovnih podlag, široke in utemeljene javne razprave</w:t>
      </w:r>
      <w:r w:rsidRPr="00FC19D4">
        <w:rPr>
          <w:rFonts w:ascii="Arial" w:hAnsi="Arial" w:cs="Arial"/>
          <w:bCs/>
          <w:sz w:val="20"/>
          <w:szCs w:val="20"/>
        </w:rPr>
        <w:t xml:space="preserve">, ki bo celovito podprt s potrebnimi ukrepi ob soglasju </w:t>
      </w:r>
      <w:r w:rsidRPr="00FC19D4">
        <w:rPr>
          <w:rFonts w:ascii="Arial" w:hAnsi="Arial" w:cs="Arial"/>
          <w:sz w:val="20"/>
          <w:szCs w:val="20"/>
        </w:rPr>
        <w:t>čim širšega kroga deležnikov</w:t>
      </w:r>
      <w:r w:rsidRPr="00FC19D4">
        <w:rPr>
          <w:rFonts w:ascii="Arial" w:hAnsi="Arial" w:cs="Arial"/>
          <w:bCs/>
          <w:sz w:val="20"/>
          <w:szCs w:val="20"/>
        </w:rPr>
        <w:t xml:space="preserve"> in bo skladno z Uredbo ustrezno upošteval vse relevantne nacionalne okoliščine.</w:t>
      </w:r>
    </w:p>
    <w:p w14:paraId="0C139BC1" w14:textId="63E31DC7" w:rsidR="0044727A" w:rsidRPr="00FC19D4" w:rsidRDefault="0044727A" w:rsidP="000E4629">
      <w:pPr>
        <w:numPr>
          <w:ilvl w:val="0"/>
          <w:numId w:val="32"/>
        </w:numPr>
        <w:autoSpaceDE w:val="0"/>
        <w:autoSpaceDN w:val="0"/>
        <w:adjustRightInd w:val="0"/>
        <w:spacing w:before="240" w:after="0"/>
        <w:jc w:val="both"/>
        <w:rPr>
          <w:rFonts w:ascii="Arial" w:hAnsi="Arial" w:cs="Arial"/>
          <w:b/>
          <w:sz w:val="20"/>
          <w:szCs w:val="20"/>
        </w:rPr>
      </w:pPr>
      <w:r w:rsidRPr="00FC19D4">
        <w:rPr>
          <w:rFonts w:ascii="Arial" w:hAnsi="Arial" w:cs="Arial"/>
          <w:b/>
          <w:sz w:val="20"/>
          <w:szCs w:val="20"/>
        </w:rPr>
        <w:t>Stanje na področju OVE in relevantne nacionalne okoliščine</w:t>
      </w:r>
    </w:p>
    <w:p w14:paraId="1AFA47B7" w14:textId="77777777" w:rsidR="00F421D3" w:rsidRPr="00FC19D4" w:rsidRDefault="00F421D3" w:rsidP="000E4629">
      <w:pPr>
        <w:autoSpaceDE w:val="0"/>
        <w:autoSpaceDN w:val="0"/>
        <w:adjustRightInd w:val="0"/>
        <w:spacing w:after="0"/>
        <w:ind w:left="1080"/>
        <w:jc w:val="both"/>
        <w:rPr>
          <w:rFonts w:ascii="Arial" w:hAnsi="Arial" w:cs="Arial"/>
          <w:b/>
          <w:sz w:val="20"/>
          <w:szCs w:val="20"/>
        </w:rPr>
      </w:pPr>
    </w:p>
    <w:p w14:paraId="674B012C" w14:textId="22FBF247" w:rsidR="0044727A" w:rsidRPr="00FC19D4" w:rsidRDefault="00E66B60" w:rsidP="000E4629">
      <w:pPr>
        <w:autoSpaceDE w:val="0"/>
        <w:autoSpaceDN w:val="0"/>
        <w:adjustRightInd w:val="0"/>
        <w:jc w:val="both"/>
        <w:rPr>
          <w:rFonts w:ascii="Arial" w:hAnsi="Arial" w:cs="Arial"/>
          <w:sz w:val="20"/>
          <w:szCs w:val="20"/>
        </w:rPr>
      </w:pPr>
      <w:r w:rsidRPr="00FC19D4">
        <w:rPr>
          <w:rFonts w:ascii="Arial" w:hAnsi="Arial" w:cs="Arial"/>
          <w:sz w:val="20"/>
          <w:szCs w:val="20"/>
        </w:rPr>
        <w:t xml:space="preserve">V skladu z </w:t>
      </w:r>
      <w:r w:rsidR="0044727A" w:rsidRPr="00FC19D4">
        <w:rPr>
          <w:rFonts w:ascii="Arial" w:hAnsi="Arial" w:cs="Arial"/>
          <w:sz w:val="20"/>
          <w:szCs w:val="20"/>
        </w:rPr>
        <w:t xml:space="preserve">Direktivo </w:t>
      </w:r>
      <w:r w:rsidRPr="00FC19D4">
        <w:rPr>
          <w:rFonts w:ascii="Arial" w:hAnsi="Arial" w:cs="Arial"/>
          <w:iCs/>
          <w:sz w:val="20"/>
        </w:rPr>
        <w:t>2009/28/ES</w:t>
      </w:r>
      <w:r w:rsidRPr="00FC19D4">
        <w:rPr>
          <w:rFonts w:ascii="Arial" w:hAnsi="Arial" w:cs="Arial"/>
          <w:sz w:val="20"/>
        </w:rPr>
        <w:t xml:space="preserve"> </w:t>
      </w:r>
      <w:r w:rsidR="0044727A" w:rsidRPr="00FC19D4">
        <w:rPr>
          <w:rFonts w:ascii="Arial" w:hAnsi="Arial" w:cs="Arial"/>
          <w:sz w:val="20"/>
          <w:szCs w:val="20"/>
        </w:rPr>
        <w:t xml:space="preserve">o obnovljivih virih energije </w:t>
      </w:r>
      <w:r w:rsidRPr="00FC19D4">
        <w:rPr>
          <w:rFonts w:ascii="Arial" w:hAnsi="Arial" w:cs="Arial"/>
          <w:sz w:val="20"/>
          <w:szCs w:val="20"/>
        </w:rPr>
        <w:t xml:space="preserve">je Slovenija dne 8.7.2010 </w:t>
      </w:r>
      <w:r w:rsidR="0044727A" w:rsidRPr="00FC19D4">
        <w:rPr>
          <w:rFonts w:ascii="Arial" w:hAnsi="Arial" w:cs="Arial"/>
          <w:sz w:val="20"/>
          <w:szCs w:val="20"/>
        </w:rPr>
        <w:t xml:space="preserve">sprejela </w:t>
      </w:r>
      <w:r w:rsidRPr="00FC19D4">
        <w:rPr>
          <w:rFonts w:ascii="Arial" w:hAnsi="Arial" w:cs="Arial"/>
          <w:sz w:val="20"/>
          <w:szCs w:val="20"/>
        </w:rPr>
        <w:t>Akcijski načrt za obnovljive vire energije za obdobje 2010-2020, v katerem si je zastavila sektorske cilje</w:t>
      </w:r>
      <w:r w:rsidR="0044727A" w:rsidRPr="00FC19D4">
        <w:rPr>
          <w:rFonts w:ascii="Arial" w:hAnsi="Arial" w:cs="Arial"/>
          <w:sz w:val="20"/>
          <w:szCs w:val="20"/>
        </w:rPr>
        <w:t xml:space="preserve">. Z izjemo sektorja toplota in hlajenje Slovenija </w:t>
      </w:r>
      <w:r w:rsidRPr="00FC19D4">
        <w:rPr>
          <w:rFonts w:ascii="Arial" w:hAnsi="Arial" w:cs="Arial"/>
          <w:sz w:val="20"/>
          <w:szCs w:val="20"/>
        </w:rPr>
        <w:t xml:space="preserve">trenutno </w:t>
      </w:r>
      <w:r w:rsidR="0044727A" w:rsidRPr="00FC19D4">
        <w:rPr>
          <w:rFonts w:ascii="Arial" w:hAnsi="Arial" w:cs="Arial"/>
          <w:sz w:val="20"/>
          <w:szCs w:val="20"/>
        </w:rPr>
        <w:t>zaostaja pri doseganju indikativnih sektorskih ciljev v sektorjih elektrika in promet (glej sliko spodaj).</w:t>
      </w:r>
      <w:bookmarkStart w:id="1" w:name="_Toc10883958"/>
      <w:bookmarkStart w:id="2" w:name="_Toc11339545"/>
    </w:p>
    <w:p w14:paraId="0F210D9B" w14:textId="53262B48" w:rsidR="0044727A" w:rsidRPr="00FC19D4" w:rsidRDefault="0044727A" w:rsidP="000E4629">
      <w:pPr>
        <w:autoSpaceDE w:val="0"/>
        <w:autoSpaceDN w:val="0"/>
        <w:adjustRightInd w:val="0"/>
        <w:jc w:val="both"/>
        <w:rPr>
          <w:rFonts w:ascii="Arial" w:hAnsi="Arial" w:cs="Arial"/>
          <w:sz w:val="20"/>
          <w:szCs w:val="20"/>
        </w:rPr>
      </w:pPr>
      <w:r w:rsidRPr="00FC19D4">
        <w:rPr>
          <w:rFonts w:ascii="Arial" w:hAnsi="Arial" w:cs="Arial"/>
          <w:i/>
          <w:sz w:val="20"/>
          <w:szCs w:val="20"/>
        </w:rPr>
        <w:t>Slika: Doseganje ciljnih deležev OVE v obdobju do leta 2017 glede na nacionalni cilj in indikativne sektorske cilje AN OVE-2010</w:t>
      </w:r>
      <w:bookmarkEnd w:id="1"/>
      <w:bookmarkEnd w:id="2"/>
      <w:r w:rsidR="00A718CA" w:rsidRPr="00FC19D4">
        <w:rPr>
          <w:rFonts w:ascii="Arial" w:hAnsi="Arial" w:cs="Arial"/>
          <w:i/>
          <w:sz w:val="20"/>
          <w:szCs w:val="20"/>
        </w:rPr>
        <w:t xml:space="preserve"> </w:t>
      </w:r>
      <w:r w:rsidR="00A718CA" w:rsidRPr="00FC19D4">
        <w:rPr>
          <w:rFonts w:ascii="Arial" w:hAnsi="Arial" w:cs="Arial"/>
          <w:sz w:val="20"/>
          <w:szCs w:val="20"/>
        </w:rPr>
        <w:t>(Vir: IJS CEU, 2019)</w:t>
      </w:r>
    </w:p>
    <w:p w14:paraId="0213AA16" w14:textId="52390828" w:rsidR="0044727A" w:rsidRPr="00FC19D4" w:rsidRDefault="0044727A" w:rsidP="000E462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FC19D4">
        <w:rPr>
          <w:rFonts w:ascii="Arial" w:hAnsi="Arial" w:cs="Arial"/>
          <w:i/>
          <w:noProof/>
          <w:sz w:val="20"/>
          <w:szCs w:val="20"/>
          <w:lang w:eastAsia="sl-SI"/>
        </w:rPr>
        <w:lastRenderedPageBreak/>
        <w:drawing>
          <wp:inline distT="0" distB="0" distL="0" distR="0" wp14:anchorId="0D3086B4" wp14:editId="437DF551">
            <wp:extent cx="5762625" cy="30480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3048000"/>
                    </a:xfrm>
                    <a:prstGeom prst="rect">
                      <a:avLst/>
                    </a:prstGeom>
                    <a:noFill/>
                    <a:ln>
                      <a:noFill/>
                    </a:ln>
                  </pic:spPr>
                </pic:pic>
              </a:graphicData>
            </a:graphic>
          </wp:inline>
        </w:drawing>
      </w:r>
    </w:p>
    <w:p w14:paraId="7731D453"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4DAB7567" w14:textId="77777777" w:rsidR="0044727A" w:rsidRPr="00FC19D4" w:rsidRDefault="0044727A" w:rsidP="000E4629">
      <w:pPr>
        <w:pStyle w:val="ti-grseq-1"/>
        <w:spacing w:before="0" w:beforeAutospacing="0" w:after="0" w:afterAutospacing="0" w:line="276" w:lineRule="auto"/>
        <w:jc w:val="both"/>
        <w:rPr>
          <w:rFonts w:ascii="Arial" w:hAnsi="Arial" w:cs="Arial"/>
          <w:b/>
          <w:sz w:val="20"/>
          <w:szCs w:val="20"/>
        </w:rPr>
      </w:pPr>
      <w:r w:rsidRPr="00FC19D4">
        <w:rPr>
          <w:rFonts w:ascii="Arial" w:hAnsi="Arial" w:cs="Arial"/>
          <w:b/>
          <w:sz w:val="20"/>
          <w:szCs w:val="20"/>
        </w:rPr>
        <w:t>Promet</w:t>
      </w:r>
    </w:p>
    <w:p w14:paraId="31454270" w14:textId="77777777" w:rsidR="00A718CA" w:rsidRPr="00FC19D4" w:rsidRDefault="00A718CA" w:rsidP="000E4629">
      <w:pPr>
        <w:pStyle w:val="ti-grseq-1"/>
        <w:spacing w:before="0" w:beforeAutospacing="0" w:after="0" w:afterAutospacing="0" w:line="276" w:lineRule="auto"/>
        <w:jc w:val="both"/>
        <w:rPr>
          <w:rFonts w:ascii="Arial" w:hAnsi="Arial" w:cs="Arial"/>
          <w:sz w:val="20"/>
          <w:szCs w:val="20"/>
        </w:rPr>
      </w:pPr>
    </w:p>
    <w:p w14:paraId="45C3D6FF" w14:textId="5E746A23"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Slovenija je v EU na 4. mestu</w:t>
      </w:r>
      <w:r w:rsidR="00E66B60" w:rsidRPr="00FC19D4">
        <w:rPr>
          <w:rFonts w:ascii="Arial" w:hAnsi="Arial" w:cs="Arial"/>
          <w:sz w:val="20"/>
          <w:szCs w:val="20"/>
        </w:rPr>
        <w:t xml:space="preserve"> v EU</w:t>
      </w:r>
      <w:r w:rsidRPr="00FC19D4">
        <w:rPr>
          <w:rFonts w:ascii="Arial" w:hAnsi="Arial" w:cs="Arial"/>
          <w:sz w:val="20"/>
          <w:szCs w:val="20"/>
        </w:rPr>
        <w:t xml:space="preserve"> glede na delež porabe energije v sektorju prometa v končni porabi energije (slika spodaj), kjer je uvajanje OVE izjemno zahtevno.  </w:t>
      </w:r>
    </w:p>
    <w:p w14:paraId="051BC1AB"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14E1661C" w14:textId="77777777" w:rsidR="0044727A" w:rsidRPr="00FC19D4" w:rsidRDefault="0044727A" w:rsidP="000E4629">
      <w:pPr>
        <w:pStyle w:val="ti-grseq-1"/>
        <w:spacing w:before="0" w:beforeAutospacing="0" w:after="0" w:afterAutospacing="0" w:line="276" w:lineRule="auto"/>
        <w:jc w:val="both"/>
        <w:rPr>
          <w:rFonts w:ascii="Arial" w:hAnsi="Arial" w:cs="Arial"/>
          <w:i/>
          <w:sz w:val="20"/>
          <w:szCs w:val="20"/>
        </w:rPr>
      </w:pPr>
      <w:r w:rsidRPr="00FC19D4">
        <w:rPr>
          <w:rFonts w:ascii="Arial" w:hAnsi="Arial" w:cs="Arial"/>
          <w:i/>
          <w:sz w:val="20"/>
          <w:szCs w:val="20"/>
        </w:rPr>
        <w:t xml:space="preserve">Slika: </w:t>
      </w:r>
      <w:r w:rsidRPr="00FC19D4">
        <w:rPr>
          <w:rFonts w:ascii="Arial" w:hAnsi="Arial" w:cs="Arial"/>
          <w:bCs/>
          <w:i/>
          <w:sz w:val="20"/>
          <w:szCs w:val="20"/>
        </w:rPr>
        <w:t>Primerjava nacionalnih prispevkov OVE, izračuna EK in deleža rabe energije v prometu</w:t>
      </w:r>
    </w:p>
    <w:p w14:paraId="2617015D" w14:textId="4547B276"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noProof/>
          <w:sz w:val="20"/>
          <w:szCs w:val="20"/>
        </w:rPr>
        <w:drawing>
          <wp:inline distT="0" distB="0" distL="0" distR="0" wp14:anchorId="0BA6BEA6" wp14:editId="67410AC9">
            <wp:extent cx="5786755" cy="2971800"/>
            <wp:effectExtent l="0" t="0" r="444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86755" cy="2971800"/>
                    </a:xfrm>
                    <a:prstGeom prst="rect">
                      <a:avLst/>
                    </a:prstGeom>
                    <a:noFill/>
                  </pic:spPr>
                </pic:pic>
              </a:graphicData>
            </a:graphic>
          </wp:inline>
        </w:drawing>
      </w:r>
    </w:p>
    <w:p w14:paraId="5B9C014F"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Vir: izračun MZI na podlagi podatkov IJS CEU, 2019</w:t>
      </w:r>
    </w:p>
    <w:p w14:paraId="0AEB1A34"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785902F2"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Prometne projekcije kažejo na nadaljnjo rast sektorja prometa do leta 2030, tj. osebnega in še zlasti tovornega, kar bo še povečevalo obseg porabe energije v tem sektorju – projekcije po scenarijih kažejo povečanje porabe energije do leta 2030 v sektorju prometa za od 6 % do 24 %. S tem bo uvajanje OVE v sektorju prometa do leta 2030 predstavljalo izjemen izziv, ki bo močno oteževal tudi doseganje skupnega prispevka OVE do 2030, saj bo morala Slovenija v drugih dveh sektorjih (elektrika; toplota in hlajenje) nadoknaditi nižji delež OVE v sektorju prometa.</w:t>
      </w:r>
    </w:p>
    <w:p w14:paraId="09D2F7C0"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7D7741B6"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Slika: Poraba energije v sektorju prometa</w:t>
      </w:r>
    </w:p>
    <w:p w14:paraId="6320CF76" w14:textId="55AB7002" w:rsidR="0044727A" w:rsidRPr="00FC19D4" w:rsidRDefault="0044727A" w:rsidP="000E4629">
      <w:pPr>
        <w:pStyle w:val="ti-grseq-1"/>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sz w:val="20"/>
          <w:szCs w:val="20"/>
        </w:rPr>
      </w:pPr>
      <w:r w:rsidRPr="00FC19D4">
        <w:rPr>
          <w:rFonts w:ascii="Arial" w:hAnsi="Arial" w:cs="Arial"/>
          <w:noProof/>
          <w:sz w:val="20"/>
          <w:szCs w:val="20"/>
        </w:rPr>
        <w:drawing>
          <wp:inline distT="0" distB="0" distL="0" distR="0" wp14:anchorId="04CAA0F4" wp14:editId="5B7C96A0">
            <wp:extent cx="1743075" cy="186690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r="49490"/>
                    <a:stretch>
                      <a:fillRect/>
                    </a:stretch>
                  </pic:blipFill>
                  <pic:spPr bwMode="auto">
                    <a:xfrm>
                      <a:off x="0" y="0"/>
                      <a:ext cx="1743075" cy="1866900"/>
                    </a:xfrm>
                    <a:prstGeom prst="rect">
                      <a:avLst/>
                    </a:prstGeom>
                    <a:noFill/>
                    <a:ln>
                      <a:noFill/>
                    </a:ln>
                  </pic:spPr>
                </pic:pic>
              </a:graphicData>
            </a:graphic>
          </wp:inline>
        </w:drawing>
      </w:r>
      <w:r w:rsidRPr="00FC19D4">
        <w:rPr>
          <w:rFonts w:ascii="Arial" w:hAnsi="Arial" w:cs="Arial"/>
          <w:noProof/>
          <w:sz w:val="20"/>
          <w:szCs w:val="20"/>
        </w:rPr>
        <w:t xml:space="preserve"> </w:t>
      </w:r>
      <w:r w:rsidRPr="00FC19D4">
        <w:rPr>
          <w:rFonts w:ascii="Arial" w:hAnsi="Arial" w:cs="Arial"/>
          <w:noProof/>
          <w:sz w:val="20"/>
          <w:szCs w:val="20"/>
        </w:rPr>
        <w:drawing>
          <wp:inline distT="0" distB="0" distL="0" distR="0" wp14:anchorId="6C8D5EF2" wp14:editId="25E57058">
            <wp:extent cx="1876425" cy="191452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r="49535"/>
                    <a:stretch>
                      <a:fillRect/>
                    </a:stretch>
                  </pic:blipFill>
                  <pic:spPr bwMode="auto">
                    <a:xfrm>
                      <a:off x="0" y="0"/>
                      <a:ext cx="1876425" cy="1914525"/>
                    </a:xfrm>
                    <a:prstGeom prst="rect">
                      <a:avLst/>
                    </a:prstGeom>
                    <a:noFill/>
                    <a:ln>
                      <a:noFill/>
                    </a:ln>
                  </pic:spPr>
                </pic:pic>
              </a:graphicData>
            </a:graphic>
          </wp:inline>
        </w:drawing>
      </w:r>
      <w:r w:rsidRPr="00FC19D4">
        <w:rPr>
          <w:rFonts w:ascii="Arial" w:hAnsi="Arial" w:cs="Arial"/>
          <w:noProof/>
          <w:sz w:val="20"/>
          <w:szCs w:val="20"/>
        </w:rPr>
        <w:drawing>
          <wp:inline distT="0" distB="0" distL="0" distR="0" wp14:anchorId="06804D7F" wp14:editId="0795215D">
            <wp:extent cx="1990725" cy="19050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0725" cy="1905000"/>
                    </a:xfrm>
                    <a:prstGeom prst="rect">
                      <a:avLst/>
                    </a:prstGeom>
                    <a:noFill/>
                    <a:ln>
                      <a:noFill/>
                    </a:ln>
                  </pic:spPr>
                </pic:pic>
              </a:graphicData>
            </a:graphic>
          </wp:inline>
        </w:drawing>
      </w:r>
    </w:p>
    <w:p w14:paraId="7CC3D4E1"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sz w:val="20"/>
          <w:szCs w:val="20"/>
        </w:rPr>
        <w:t>Vir: IJS CEU, 2019</w:t>
      </w:r>
    </w:p>
    <w:p w14:paraId="7FCAB4F8"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p w14:paraId="69E4D79D" w14:textId="01EDD91D" w:rsidR="00E66B60" w:rsidRPr="00FC19D4" w:rsidRDefault="00017CC0" w:rsidP="000E4629">
      <w:pPr>
        <w:pStyle w:val="ti-grseq-1"/>
        <w:spacing w:before="0" w:beforeAutospacing="0" w:after="0" w:afterAutospacing="0" w:line="276" w:lineRule="auto"/>
        <w:jc w:val="both"/>
        <w:rPr>
          <w:rFonts w:ascii="Arial" w:hAnsi="Arial" w:cs="Arial"/>
          <w:b/>
          <w:bCs/>
          <w:sz w:val="20"/>
          <w:szCs w:val="20"/>
        </w:rPr>
      </w:pPr>
      <w:r w:rsidRPr="00FC19D4">
        <w:rPr>
          <w:rFonts w:ascii="Arial" w:hAnsi="Arial" w:cs="Arial"/>
          <w:b/>
          <w:bCs/>
          <w:sz w:val="20"/>
          <w:szCs w:val="20"/>
        </w:rPr>
        <w:t>Električna energija</w:t>
      </w:r>
    </w:p>
    <w:p w14:paraId="3CEF8247" w14:textId="55E510E7" w:rsidR="00E66B60" w:rsidRPr="00FC19D4" w:rsidRDefault="00E66B60" w:rsidP="000E4629">
      <w:pPr>
        <w:pStyle w:val="ti-grseq-1"/>
        <w:spacing w:after="0" w:line="276" w:lineRule="auto"/>
        <w:jc w:val="both"/>
        <w:rPr>
          <w:rFonts w:ascii="Arial" w:hAnsi="Arial" w:cs="Arial"/>
          <w:bCs/>
          <w:sz w:val="20"/>
          <w:szCs w:val="20"/>
        </w:rPr>
      </w:pPr>
      <w:r w:rsidRPr="00FC19D4">
        <w:rPr>
          <w:rFonts w:ascii="Arial" w:hAnsi="Arial" w:cs="Arial"/>
          <w:bCs/>
          <w:sz w:val="20"/>
          <w:szCs w:val="20"/>
        </w:rPr>
        <w:t xml:space="preserve">Razlogi za nedoseganje sektorskega deleža na področju električne energije so predvsem v počasnejši izgradnji velikih hidroelektrarn od predvidene dinamike, zastoju in minimalni realizaciji podporne sheme za električno energijo iz OVE, zaostajanju pri umeščanju vetrnih elektrarn v prostor (nična realizacija), težavah s pridobivanjem </w:t>
      </w:r>
      <w:proofErr w:type="spellStart"/>
      <w:r w:rsidRPr="00FC19D4">
        <w:rPr>
          <w:rFonts w:ascii="Arial" w:hAnsi="Arial" w:cs="Arial"/>
          <w:bCs/>
          <w:sz w:val="20"/>
          <w:szCs w:val="20"/>
        </w:rPr>
        <w:t>okoljskih</w:t>
      </w:r>
      <w:proofErr w:type="spellEnd"/>
      <w:r w:rsidRPr="00FC19D4">
        <w:rPr>
          <w:rFonts w:ascii="Arial" w:hAnsi="Arial" w:cs="Arial"/>
          <w:bCs/>
          <w:sz w:val="20"/>
          <w:szCs w:val="20"/>
        </w:rPr>
        <w:t xml:space="preserve"> dovoljenj za majhne hidroelektrarne, ter v počasnejšem razvoju sončnih elektrarn zaradi sprememb pri višini podpore,  </w:t>
      </w:r>
    </w:p>
    <w:p w14:paraId="37035215" w14:textId="77777777" w:rsidR="0044727A" w:rsidRPr="00FC19D4" w:rsidRDefault="0044727A" w:rsidP="000E4629">
      <w:pPr>
        <w:pStyle w:val="ti-grseq-1"/>
        <w:spacing w:before="0" w:beforeAutospacing="0" w:after="0" w:afterAutospacing="0" w:line="276" w:lineRule="auto"/>
        <w:jc w:val="both"/>
        <w:rPr>
          <w:rFonts w:ascii="Arial" w:hAnsi="Arial" w:cs="Arial"/>
          <w:bCs/>
          <w:sz w:val="20"/>
          <w:szCs w:val="20"/>
        </w:rPr>
      </w:pPr>
      <w:r w:rsidRPr="00FC19D4">
        <w:rPr>
          <w:rFonts w:ascii="Arial" w:hAnsi="Arial" w:cs="Arial"/>
          <w:bCs/>
          <w:sz w:val="20"/>
          <w:szCs w:val="20"/>
        </w:rPr>
        <w:t>Delež Natura 2000 je v Sloveniji med najvišjimi v EU (37,5 %) (glej sliko spodaj) in veliko območij, ki so primerna za uvajanje OVE (predvsem hidro in veter) se nahaja pod zaščito Natura 2000.</w:t>
      </w:r>
    </w:p>
    <w:p w14:paraId="1570C01B" w14:textId="77777777" w:rsidR="0044727A" w:rsidRPr="00FC19D4" w:rsidRDefault="0044727A" w:rsidP="000E4629">
      <w:pPr>
        <w:pStyle w:val="ti-grseq-1"/>
        <w:spacing w:before="0" w:beforeAutospacing="0" w:after="0" w:afterAutospacing="0" w:line="276" w:lineRule="auto"/>
        <w:jc w:val="both"/>
        <w:rPr>
          <w:rFonts w:ascii="Arial" w:hAnsi="Arial" w:cs="Arial"/>
          <w:bCs/>
          <w:sz w:val="20"/>
          <w:szCs w:val="20"/>
        </w:rPr>
      </w:pPr>
    </w:p>
    <w:p w14:paraId="2186826F" w14:textId="1307B9BA" w:rsidR="0044727A" w:rsidRPr="00FC19D4" w:rsidRDefault="0044727A" w:rsidP="000E4629">
      <w:pPr>
        <w:pStyle w:val="ti-grseq-1"/>
        <w:spacing w:before="0" w:beforeAutospacing="0" w:after="0" w:afterAutospacing="0" w:line="276" w:lineRule="auto"/>
        <w:jc w:val="both"/>
        <w:rPr>
          <w:rFonts w:ascii="Arial" w:hAnsi="Arial" w:cs="Arial"/>
          <w:bCs/>
          <w:i/>
          <w:sz w:val="20"/>
          <w:szCs w:val="20"/>
        </w:rPr>
      </w:pPr>
      <w:r w:rsidRPr="00FC19D4">
        <w:rPr>
          <w:rFonts w:ascii="Arial" w:hAnsi="Arial" w:cs="Arial"/>
          <w:bCs/>
          <w:i/>
          <w:sz w:val="20"/>
          <w:szCs w:val="20"/>
        </w:rPr>
        <w:t xml:space="preserve">Slika: </w:t>
      </w:r>
      <w:r w:rsidRPr="00FC19D4">
        <w:rPr>
          <w:rFonts w:ascii="Arial" w:hAnsi="Arial" w:cs="Arial"/>
          <w:i/>
          <w:sz w:val="20"/>
          <w:szCs w:val="20"/>
        </w:rPr>
        <w:t>Zemljevid območij Natura 2000 v Sloveniji in potencialna območja za postavitev hidro in vetrnih elektrarn</w:t>
      </w:r>
      <w:r w:rsidR="00A90486">
        <w:rPr>
          <w:rFonts w:ascii="Arial" w:hAnsi="Arial" w:cs="Arial"/>
          <w:i/>
          <w:sz w:val="20"/>
          <w:szCs w:val="20"/>
        </w:rPr>
        <w:t xml:space="preserve"> z vidika varstva narave</w:t>
      </w:r>
    </w:p>
    <w:p w14:paraId="40469FC3" w14:textId="706EAAD0" w:rsidR="0044727A" w:rsidRPr="00FC19D4" w:rsidRDefault="0044727A" w:rsidP="000E4629">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FC19D4">
        <w:rPr>
          <w:rFonts w:ascii="Arial" w:hAnsi="Arial" w:cs="Arial"/>
          <w:noProof/>
          <w:sz w:val="20"/>
          <w:szCs w:val="20"/>
          <w:lang w:eastAsia="sl-SI"/>
        </w:rPr>
        <w:drawing>
          <wp:inline distT="0" distB="0" distL="0" distR="0" wp14:anchorId="0329C40D" wp14:editId="1B824A72">
            <wp:extent cx="2809875" cy="19907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9875" cy="1990725"/>
                    </a:xfrm>
                    <a:prstGeom prst="rect">
                      <a:avLst/>
                    </a:prstGeom>
                    <a:noFill/>
                    <a:ln>
                      <a:noFill/>
                    </a:ln>
                  </pic:spPr>
                </pic:pic>
              </a:graphicData>
            </a:graphic>
          </wp:inline>
        </w:drawing>
      </w:r>
      <w:r w:rsidRPr="00FC19D4">
        <w:rPr>
          <w:rFonts w:ascii="Arial" w:hAnsi="Arial" w:cs="Arial"/>
          <w:bCs/>
          <w:noProof/>
          <w:sz w:val="20"/>
          <w:szCs w:val="20"/>
          <w:lang w:eastAsia="sl-SI"/>
        </w:rPr>
        <w:drawing>
          <wp:inline distT="0" distB="0" distL="0" distR="0" wp14:anchorId="7452E210" wp14:editId="1B34A786">
            <wp:extent cx="2847975" cy="1952625"/>
            <wp:effectExtent l="0" t="0" r="9525" b="9525"/>
            <wp:docPr id="4" name="Slika 4" descr="VE in HE (za ANOVE)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E in HE (za ANOVE) ver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47975" cy="1952625"/>
                    </a:xfrm>
                    <a:prstGeom prst="rect">
                      <a:avLst/>
                    </a:prstGeom>
                    <a:noFill/>
                    <a:ln>
                      <a:noFill/>
                    </a:ln>
                  </pic:spPr>
                </pic:pic>
              </a:graphicData>
            </a:graphic>
          </wp:inline>
        </w:drawing>
      </w:r>
    </w:p>
    <w:p w14:paraId="706BC198" w14:textId="77777777" w:rsidR="0044727A" w:rsidRPr="00FC19D4" w:rsidRDefault="0044727A" w:rsidP="000E4629">
      <w:pPr>
        <w:pStyle w:val="ti-grseq-1"/>
        <w:spacing w:before="0" w:beforeAutospacing="0" w:after="0" w:afterAutospacing="0" w:line="276" w:lineRule="auto"/>
        <w:jc w:val="both"/>
        <w:rPr>
          <w:rFonts w:ascii="Arial" w:hAnsi="Arial" w:cs="Arial"/>
          <w:bCs/>
          <w:sz w:val="20"/>
          <w:szCs w:val="20"/>
        </w:rPr>
      </w:pPr>
      <w:r w:rsidRPr="00FC19D4">
        <w:rPr>
          <w:rFonts w:ascii="Arial" w:hAnsi="Arial" w:cs="Arial"/>
          <w:bCs/>
          <w:sz w:val="20"/>
          <w:szCs w:val="20"/>
        </w:rPr>
        <w:t xml:space="preserve">Vir: Natura2000.si in </w:t>
      </w:r>
      <w:proofErr w:type="spellStart"/>
      <w:r w:rsidRPr="00FC19D4">
        <w:rPr>
          <w:rFonts w:ascii="Arial" w:hAnsi="Arial" w:cs="Arial"/>
          <w:bCs/>
          <w:sz w:val="20"/>
          <w:szCs w:val="20"/>
        </w:rPr>
        <w:t>Aquarius</w:t>
      </w:r>
      <w:proofErr w:type="spellEnd"/>
    </w:p>
    <w:p w14:paraId="70EEE88A" w14:textId="77777777" w:rsidR="0044727A" w:rsidRPr="00FC19D4" w:rsidRDefault="0044727A" w:rsidP="000E4629">
      <w:pPr>
        <w:pStyle w:val="ti-grseq-1"/>
        <w:spacing w:before="0" w:beforeAutospacing="0" w:after="0" w:afterAutospacing="0" w:line="276" w:lineRule="auto"/>
        <w:jc w:val="both"/>
        <w:rPr>
          <w:rFonts w:ascii="Arial" w:hAnsi="Arial" w:cs="Arial"/>
          <w:bCs/>
          <w:sz w:val="20"/>
          <w:szCs w:val="20"/>
        </w:rPr>
      </w:pPr>
    </w:p>
    <w:p w14:paraId="185BEDF2" w14:textId="77777777" w:rsidR="0044727A" w:rsidRPr="00FC19D4" w:rsidRDefault="0044727A" w:rsidP="000E4629">
      <w:pPr>
        <w:pStyle w:val="ti-grseq-1"/>
        <w:spacing w:before="0" w:beforeAutospacing="0" w:after="0" w:afterAutospacing="0" w:line="276" w:lineRule="auto"/>
        <w:jc w:val="both"/>
        <w:rPr>
          <w:rFonts w:ascii="Arial" w:hAnsi="Arial" w:cs="Arial"/>
          <w:color w:val="000000"/>
          <w:sz w:val="20"/>
          <w:szCs w:val="20"/>
        </w:rPr>
      </w:pPr>
      <w:r w:rsidRPr="00FC19D4">
        <w:rPr>
          <w:rFonts w:ascii="Arial" w:hAnsi="Arial" w:cs="Arial"/>
          <w:bCs/>
          <w:sz w:val="20"/>
          <w:szCs w:val="20"/>
        </w:rPr>
        <w:t xml:space="preserve">Realizacija </w:t>
      </w:r>
      <w:r w:rsidRPr="00FC19D4">
        <w:rPr>
          <w:rFonts w:ascii="Arial" w:hAnsi="Arial" w:cs="Arial"/>
          <w:sz w:val="20"/>
          <w:szCs w:val="20"/>
        </w:rPr>
        <w:t xml:space="preserve">projektov na področju velikih hidroelektrarn je poleg dejavnika ohranjanja narave močno odvisna tudi od nacionalne podpore projektom in aktivnosti Vlade RS tako z vidika določitve koncesijskih obveznosti, postopkov umeščanja v prostor kot izvedbe na te projekte vezane vodne infrastrukture in pa ne nazadnje investicijskih kapacitet koncesionarjev. </w:t>
      </w:r>
      <w:r w:rsidRPr="00FC19D4">
        <w:rPr>
          <w:rFonts w:ascii="Arial" w:hAnsi="Arial" w:cs="Arial"/>
          <w:color w:val="000000"/>
          <w:sz w:val="20"/>
          <w:szCs w:val="20"/>
        </w:rPr>
        <w:t xml:space="preserve">Postopki umeščanja v prostor so v Sloveniji za velike hidroelektrarne zahtevni in se ne obravnavajo prednostno oz. nimajo prioritetnega statusa na državni ravni. </w:t>
      </w:r>
    </w:p>
    <w:p w14:paraId="19C4217A" w14:textId="77777777" w:rsidR="0044727A" w:rsidRPr="00FC19D4" w:rsidRDefault="0044727A" w:rsidP="000E4629">
      <w:pPr>
        <w:pStyle w:val="ti-grseq-1"/>
        <w:spacing w:before="0" w:beforeAutospacing="0" w:after="0" w:afterAutospacing="0" w:line="276" w:lineRule="auto"/>
        <w:jc w:val="both"/>
        <w:rPr>
          <w:rFonts w:ascii="Arial" w:hAnsi="Arial" w:cs="Arial"/>
          <w:color w:val="000000"/>
          <w:sz w:val="20"/>
          <w:szCs w:val="20"/>
        </w:rPr>
      </w:pPr>
    </w:p>
    <w:p w14:paraId="14450084" w14:textId="77777777" w:rsidR="0044727A" w:rsidRPr="00FC19D4" w:rsidRDefault="0044727A" w:rsidP="000E4629">
      <w:pPr>
        <w:pStyle w:val="ti-grseq-1"/>
        <w:spacing w:before="0" w:beforeAutospacing="0" w:after="0" w:afterAutospacing="0" w:line="276" w:lineRule="auto"/>
        <w:jc w:val="both"/>
        <w:rPr>
          <w:rFonts w:ascii="Arial" w:hAnsi="Arial" w:cs="Arial"/>
          <w:color w:val="000000"/>
          <w:sz w:val="20"/>
          <w:szCs w:val="20"/>
        </w:rPr>
      </w:pPr>
      <w:r w:rsidRPr="00FC19D4">
        <w:rPr>
          <w:rFonts w:ascii="Arial" w:hAnsi="Arial" w:cs="Arial"/>
          <w:color w:val="000000"/>
          <w:sz w:val="20"/>
          <w:szCs w:val="20"/>
        </w:rPr>
        <w:t xml:space="preserve">Nadaljnje spodbujanje OVE je v Sloveniji močno pogojeno s tolmačenjem okoljske in prostorske zakonodaje – prihodnja realizacija OVE projektov do leta 2030, posebej s področja hidroenergije in </w:t>
      </w:r>
      <w:r w:rsidRPr="00FC19D4">
        <w:rPr>
          <w:rFonts w:ascii="Arial" w:hAnsi="Arial" w:cs="Arial"/>
          <w:color w:val="000000"/>
          <w:sz w:val="20"/>
          <w:szCs w:val="20"/>
        </w:rPr>
        <w:lastRenderedPageBreak/>
        <w:t xml:space="preserve">vetra, bo v Sloveniji izjemno težko izvedljiva, saj so postopki iz naslova </w:t>
      </w:r>
      <w:proofErr w:type="spellStart"/>
      <w:r w:rsidRPr="00FC19D4">
        <w:rPr>
          <w:rFonts w:ascii="Arial" w:hAnsi="Arial" w:cs="Arial"/>
          <w:color w:val="000000"/>
          <w:sz w:val="20"/>
          <w:szCs w:val="20"/>
        </w:rPr>
        <w:t>okoljskih</w:t>
      </w:r>
      <w:proofErr w:type="spellEnd"/>
      <w:r w:rsidRPr="00FC19D4">
        <w:rPr>
          <w:rFonts w:ascii="Arial" w:hAnsi="Arial" w:cs="Arial"/>
          <w:color w:val="000000"/>
          <w:sz w:val="20"/>
          <w:szCs w:val="20"/>
        </w:rPr>
        <w:t xml:space="preserve"> presoj in umeščanja v prostor zelo dolgi in velikokrat pripeljejo do negativnih rezultatov za investitorje. </w:t>
      </w:r>
    </w:p>
    <w:p w14:paraId="36318E76" w14:textId="77777777" w:rsidR="0044727A" w:rsidRPr="00FC19D4" w:rsidRDefault="0044727A" w:rsidP="000E4629">
      <w:pPr>
        <w:pStyle w:val="ti-grseq-1"/>
        <w:spacing w:before="0" w:beforeAutospacing="0" w:after="0" w:afterAutospacing="0" w:line="276" w:lineRule="auto"/>
        <w:jc w:val="both"/>
        <w:rPr>
          <w:rFonts w:ascii="Arial" w:hAnsi="Arial" w:cs="Arial"/>
          <w:color w:val="000000"/>
          <w:sz w:val="20"/>
          <w:szCs w:val="20"/>
        </w:rPr>
      </w:pPr>
    </w:p>
    <w:p w14:paraId="26331BC9" w14:textId="2A6CC3DA" w:rsidR="0044727A" w:rsidRPr="00FC19D4" w:rsidRDefault="0044727A" w:rsidP="000E4629">
      <w:pPr>
        <w:pStyle w:val="ti-grseq-1"/>
        <w:spacing w:before="0" w:beforeAutospacing="0" w:after="0" w:afterAutospacing="0" w:line="276" w:lineRule="auto"/>
        <w:jc w:val="both"/>
        <w:rPr>
          <w:rFonts w:ascii="Arial" w:hAnsi="Arial" w:cs="Arial"/>
          <w:sz w:val="20"/>
          <w:szCs w:val="20"/>
        </w:rPr>
      </w:pPr>
      <w:r w:rsidRPr="00FC19D4">
        <w:rPr>
          <w:rFonts w:ascii="Arial" w:hAnsi="Arial" w:cs="Arial"/>
          <w:color w:val="000000"/>
          <w:sz w:val="20"/>
          <w:szCs w:val="20"/>
        </w:rPr>
        <w:t>Zastavljen cilj 27 % OVE v letu 2030 samo z izvedbo projektov izven Nature 2000 oziroma projektov, katerih vpliv na okolje bo verjetno ocenjen kot nebistven, ne bo dosežen. Da bi dosegli ta cilj, bi bilo treba izvesti tudi projekt izgradnje</w:t>
      </w:r>
      <w:r w:rsidR="00290669">
        <w:rPr>
          <w:rFonts w:ascii="Arial" w:hAnsi="Arial" w:cs="Arial"/>
          <w:color w:val="000000"/>
          <w:sz w:val="20"/>
          <w:szCs w:val="20"/>
        </w:rPr>
        <w:t xml:space="preserve"> objektov</w:t>
      </w:r>
      <w:r w:rsidRPr="00FC19D4">
        <w:rPr>
          <w:rFonts w:ascii="Arial" w:hAnsi="Arial" w:cs="Arial"/>
          <w:color w:val="000000"/>
          <w:sz w:val="20"/>
          <w:szCs w:val="20"/>
        </w:rPr>
        <w:t xml:space="preserve"> </w:t>
      </w:r>
      <w:r w:rsidR="00290669">
        <w:rPr>
          <w:rFonts w:ascii="Arial" w:hAnsi="Arial" w:cs="Arial"/>
          <w:color w:val="000000"/>
          <w:sz w:val="20"/>
          <w:szCs w:val="20"/>
        </w:rPr>
        <w:t>(</w:t>
      </w:r>
      <w:r w:rsidRPr="00FC19D4">
        <w:rPr>
          <w:rFonts w:ascii="Arial" w:hAnsi="Arial" w:cs="Arial"/>
          <w:color w:val="000000"/>
          <w:sz w:val="20"/>
          <w:szCs w:val="20"/>
        </w:rPr>
        <w:t>HE</w:t>
      </w:r>
      <w:r w:rsidR="00290669">
        <w:rPr>
          <w:rFonts w:ascii="Arial" w:hAnsi="Arial" w:cs="Arial"/>
          <w:color w:val="000000"/>
          <w:sz w:val="20"/>
          <w:szCs w:val="20"/>
        </w:rPr>
        <w:t xml:space="preserve"> ali vetrne elektrarne)</w:t>
      </w:r>
      <w:r w:rsidRPr="00FC19D4">
        <w:rPr>
          <w:rFonts w:ascii="Arial" w:hAnsi="Arial" w:cs="Arial"/>
          <w:color w:val="000000"/>
          <w:sz w:val="20"/>
          <w:szCs w:val="20"/>
        </w:rPr>
        <w:t xml:space="preserve">, za katere je verjetno, da bo njihov vpliv na naravo ocenjen kot bistven. V kolikor bo za te </w:t>
      </w:r>
      <w:r w:rsidR="00290669">
        <w:rPr>
          <w:rFonts w:ascii="Arial" w:hAnsi="Arial" w:cs="Arial"/>
          <w:color w:val="000000"/>
          <w:sz w:val="20"/>
          <w:szCs w:val="20"/>
        </w:rPr>
        <w:t>objekte</w:t>
      </w:r>
      <w:r w:rsidR="00290669" w:rsidRPr="00FC19D4">
        <w:rPr>
          <w:rFonts w:ascii="Arial" w:hAnsi="Arial" w:cs="Arial"/>
          <w:color w:val="000000"/>
          <w:sz w:val="20"/>
          <w:szCs w:val="20"/>
        </w:rPr>
        <w:t xml:space="preserve"> </w:t>
      </w:r>
      <w:r w:rsidRPr="00FC19D4">
        <w:rPr>
          <w:rFonts w:ascii="Arial" w:hAnsi="Arial" w:cs="Arial"/>
          <w:color w:val="000000"/>
          <w:sz w:val="20"/>
          <w:szCs w:val="20"/>
        </w:rPr>
        <w:t xml:space="preserve">vpliv na naravo v </w:t>
      </w:r>
      <w:proofErr w:type="spellStart"/>
      <w:r w:rsidRPr="00FC19D4">
        <w:rPr>
          <w:rFonts w:ascii="Arial" w:hAnsi="Arial" w:cs="Arial"/>
          <w:color w:val="000000"/>
          <w:sz w:val="20"/>
          <w:szCs w:val="20"/>
        </w:rPr>
        <w:t>okoljskem</w:t>
      </w:r>
      <w:proofErr w:type="spellEnd"/>
      <w:r w:rsidRPr="00FC19D4">
        <w:rPr>
          <w:rFonts w:ascii="Arial" w:hAnsi="Arial" w:cs="Arial"/>
          <w:color w:val="000000"/>
          <w:sz w:val="20"/>
          <w:szCs w:val="20"/>
        </w:rPr>
        <w:t xml:space="preserve"> poročilu v okviru priprave DPN ocenjen kot bistven, bo treba v postopku nadaljnje priprave DPN izvesti postopek prevlade javnega interesa varovanja zdravja oz. podnebja/rabe OVE nad javnim interesom varovanja narave, kar pa v Sloveniji v preteklosti še ni bilo storjeno, zaradi česar ni mogoče napovedati trajanja postopkov in končnega rezultata.</w:t>
      </w:r>
    </w:p>
    <w:p w14:paraId="11BDBC79" w14:textId="77777777" w:rsidR="0044727A" w:rsidRPr="00FC19D4" w:rsidRDefault="0044727A" w:rsidP="000E4629">
      <w:pPr>
        <w:pStyle w:val="ti-grseq-1"/>
        <w:spacing w:before="0" w:beforeAutospacing="0" w:after="0" w:afterAutospacing="0" w:line="276" w:lineRule="auto"/>
        <w:jc w:val="both"/>
        <w:rPr>
          <w:rFonts w:ascii="Arial" w:hAnsi="Arial" w:cs="Arial"/>
          <w:sz w:val="20"/>
          <w:szCs w:val="20"/>
        </w:rPr>
      </w:pPr>
    </w:p>
    <w:sectPr w:rsidR="0044727A" w:rsidRPr="00FC19D4">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1A9E8" w14:textId="77777777" w:rsidR="007B2C42" w:rsidRDefault="007B2C42" w:rsidP="00EB6C69">
      <w:pPr>
        <w:spacing w:after="0" w:line="240" w:lineRule="auto"/>
      </w:pPr>
      <w:r>
        <w:separator/>
      </w:r>
    </w:p>
  </w:endnote>
  <w:endnote w:type="continuationSeparator" w:id="0">
    <w:p w14:paraId="5E8B2D60" w14:textId="77777777" w:rsidR="007B2C42" w:rsidRDefault="007B2C42" w:rsidP="00EB6C69">
      <w:pPr>
        <w:spacing w:after="0" w:line="240" w:lineRule="auto"/>
      </w:pPr>
      <w:r>
        <w:continuationSeparator/>
      </w:r>
    </w:p>
  </w:endnote>
  <w:endnote w:type="continuationNotice" w:id="1">
    <w:p w14:paraId="10B489C1" w14:textId="77777777" w:rsidR="007B2C42" w:rsidRDefault="007B2C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8406" w14:textId="00E2D5E0" w:rsidR="00666F52" w:rsidRDefault="00666F52">
    <w:pPr>
      <w:pStyle w:val="Noga"/>
      <w:jc w:val="right"/>
    </w:pPr>
    <w:r>
      <w:fldChar w:fldCharType="begin"/>
    </w:r>
    <w:r>
      <w:instrText>PAGE   \* MERGEFORMAT</w:instrText>
    </w:r>
    <w:r>
      <w:fldChar w:fldCharType="separate"/>
    </w:r>
    <w:r w:rsidR="00C75E6C">
      <w:rPr>
        <w:noProof/>
      </w:rPr>
      <w:t>13</w:t>
    </w:r>
    <w:r>
      <w:fldChar w:fldCharType="end"/>
    </w:r>
  </w:p>
  <w:p w14:paraId="5B828E7A" w14:textId="77777777" w:rsidR="00666F52" w:rsidRDefault="00666F5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38493199"/>
      <w:docPartObj>
        <w:docPartGallery w:val="Page Numbers (Bottom of Page)"/>
        <w:docPartUnique/>
      </w:docPartObj>
    </w:sdtPr>
    <w:sdtEndPr/>
    <w:sdtContent>
      <w:p w14:paraId="3FA03C2E" w14:textId="6FA5CD05" w:rsidR="00666F52" w:rsidRPr="006373A2" w:rsidRDefault="00666F52">
        <w:pPr>
          <w:pStyle w:val="Noga"/>
          <w:jc w:val="center"/>
          <w:rPr>
            <w:rFonts w:ascii="Arial" w:hAnsi="Arial" w:cs="Arial"/>
            <w:sz w:val="20"/>
          </w:rPr>
        </w:pPr>
        <w:r w:rsidRPr="006373A2">
          <w:rPr>
            <w:rFonts w:ascii="Arial" w:hAnsi="Arial" w:cs="Arial"/>
            <w:sz w:val="20"/>
          </w:rPr>
          <w:fldChar w:fldCharType="begin"/>
        </w:r>
        <w:r w:rsidRPr="006373A2">
          <w:rPr>
            <w:rFonts w:ascii="Arial" w:hAnsi="Arial" w:cs="Arial"/>
            <w:sz w:val="20"/>
          </w:rPr>
          <w:instrText>PAGE   \* MERGEFORMAT</w:instrText>
        </w:r>
        <w:r w:rsidRPr="006373A2">
          <w:rPr>
            <w:rFonts w:ascii="Arial" w:hAnsi="Arial" w:cs="Arial"/>
            <w:sz w:val="20"/>
          </w:rPr>
          <w:fldChar w:fldCharType="separate"/>
        </w:r>
        <w:r w:rsidR="00C75E6C">
          <w:rPr>
            <w:rFonts w:ascii="Arial" w:hAnsi="Arial" w:cs="Arial"/>
            <w:noProof/>
            <w:sz w:val="20"/>
          </w:rPr>
          <w:t>21</w:t>
        </w:r>
        <w:r w:rsidRPr="006373A2">
          <w:rPr>
            <w:rFonts w:ascii="Arial" w:hAnsi="Arial" w:cs="Arial"/>
            <w:sz w:val="20"/>
          </w:rPr>
          <w:fldChar w:fldCharType="end"/>
        </w:r>
      </w:p>
    </w:sdtContent>
  </w:sdt>
  <w:p w14:paraId="0131756D" w14:textId="77777777" w:rsidR="00666F52" w:rsidRPr="006373A2" w:rsidRDefault="00666F52">
    <w:pPr>
      <w:pStyle w:val="Noga"/>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DD029" w14:textId="77777777" w:rsidR="007B2C42" w:rsidRDefault="007B2C42" w:rsidP="00EB6C69">
      <w:pPr>
        <w:spacing w:after="0" w:line="240" w:lineRule="auto"/>
      </w:pPr>
      <w:r>
        <w:separator/>
      </w:r>
    </w:p>
  </w:footnote>
  <w:footnote w:type="continuationSeparator" w:id="0">
    <w:p w14:paraId="63BA0A06" w14:textId="77777777" w:rsidR="007B2C42" w:rsidRDefault="007B2C42" w:rsidP="00EB6C69">
      <w:pPr>
        <w:spacing w:after="0" w:line="240" w:lineRule="auto"/>
      </w:pPr>
      <w:r>
        <w:continuationSeparator/>
      </w:r>
    </w:p>
  </w:footnote>
  <w:footnote w:type="continuationNotice" w:id="1">
    <w:p w14:paraId="1B1EF085" w14:textId="77777777" w:rsidR="007B2C42" w:rsidRDefault="007B2C42">
      <w:pPr>
        <w:spacing w:after="0" w:line="240" w:lineRule="auto"/>
      </w:pPr>
    </w:p>
  </w:footnote>
  <w:footnote w:id="2">
    <w:p w14:paraId="11AE1D39"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Uredba je dostopna prek: </w:t>
      </w:r>
      <w:hyperlink r:id="rId1" w:anchor="d1e2221-1-1" w:history="1">
        <w:r w:rsidRPr="00BD2528">
          <w:rPr>
            <w:rStyle w:val="Hiperpovezava"/>
            <w:rFonts w:ascii="Arial" w:hAnsi="Arial" w:cs="Arial"/>
          </w:rPr>
          <w:t>https://eur-lex.europa.eu/legal-content/SL/TXT/HTML/?uri=CELEX:32018R1999&amp;from=SL#d1e2221-1-1</w:t>
        </w:r>
      </w:hyperlink>
      <w:r w:rsidRPr="00BD2528">
        <w:rPr>
          <w:rFonts w:ascii="Arial" w:hAnsi="Arial" w:cs="Arial"/>
        </w:rPr>
        <w:t xml:space="preserve"> </w:t>
      </w:r>
    </w:p>
  </w:footnote>
  <w:footnote w:id="3">
    <w:p w14:paraId="5FA3D1E5"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Spletna stran NEPN je dostopna prek: </w:t>
      </w:r>
      <w:hyperlink r:id="rId2" w:history="1">
        <w:r w:rsidRPr="00BD2528">
          <w:rPr>
            <w:rStyle w:val="Hiperpovezava"/>
            <w:rFonts w:ascii="Arial" w:hAnsi="Arial" w:cs="Arial"/>
          </w:rPr>
          <w:t>https://www.energetika-portal.si/dokumenti/strateski-razvojni-dokumenti/nacionalni-energetski-in-podnebni-nacrt/</w:t>
        </w:r>
      </w:hyperlink>
      <w:r w:rsidRPr="00BD2528">
        <w:rPr>
          <w:rFonts w:ascii="Arial" w:hAnsi="Arial" w:cs="Arial"/>
        </w:rPr>
        <w:t xml:space="preserve"> </w:t>
      </w:r>
    </w:p>
  </w:footnote>
  <w:footnote w:id="4">
    <w:p w14:paraId="2AB83541"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Rezultati predhodnega posvetovanja so dostopni na spletni strani NEPN: </w:t>
      </w:r>
      <w:hyperlink r:id="rId3" w:history="1">
        <w:r w:rsidRPr="00BD2528">
          <w:rPr>
            <w:rStyle w:val="Hiperpovezava"/>
            <w:rFonts w:ascii="Arial" w:hAnsi="Arial" w:cs="Arial"/>
          </w:rPr>
          <w:t>https://www.energetika-portal.si/dokumenti/strateski-razvojni-dokumenti/nacionalni-energetski-in-podnebni-nacrt/dogodki-predhodno-posvetovanje/</w:t>
        </w:r>
      </w:hyperlink>
      <w:r w:rsidRPr="00BD2528">
        <w:rPr>
          <w:rFonts w:ascii="Arial" w:hAnsi="Arial" w:cs="Arial"/>
        </w:rPr>
        <w:t xml:space="preserve"> </w:t>
      </w:r>
    </w:p>
  </w:footnote>
  <w:footnote w:id="5">
    <w:p w14:paraId="77DFCA23"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Informacije o komunikacijskih delavnicah so dostopne na spletni strani NEPN: </w:t>
      </w:r>
      <w:hyperlink r:id="rId4" w:history="1">
        <w:r w:rsidRPr="00BD2528">
          <w:rPr>
            <w:rStyle w:val="Hiperpovezava"/>
            <w:rFonts w:ascii="Arial" w:hAnsi="Arial" w:cs="Arial"/>
          </w:rPr>
          <w:t>https://www.energetika-portal.si/dokumenti/strateski-razvojni-dokumenti/nacionalni-energetski-in-podnebni-nacrt/dogodki-komunikacijske-delavnice/</w:t>
        </w:r>
      </w:hyperlink>
      <w:r w:rsidRPr="00BD2528">
        <w:rPr>
          <w:rFonts w:ascii="Arial" w:hAnsi="Arial" w:cs="Arial"/>
        </w:rPr>
        <w:t xml:space="preserve"> </w:t>
      </w:r>
    </w:p>
  </w:footnote>
  <w:footnote w:id="6">
    <w:p w14:paraId="5F5AA483"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Odprt poziv je dostopen na spletni strani NEPN prek: </w:t>
      </w:r>
      <w:hyperlink r:id="rId5" w:history="1">
        <w:r w:rsidRPr="00BD2528">
          <w:rPr>
            <w:rStyle w:val="Hiperpovezava"/>
            <w:rFonts w:ascii="Arial" w:hAnsi="Arial" w:cs="Arial"/>
          </w:rPr>
          <w:t>https://www.energetika-portal.si/nc/novica/n/poziv-ministrstva-mladim-in-gibanju-mladi-za-podnebno-pravicnost-4210/</w:t>
        </w:r>
      </w:hyperlink>
      <w:r w:rsidRPr="00BD2528">
        <w:rPr>
          <w:rFonts w:ascii="Arial" w:hAnsi="Arial" w:cs="Arial"/>
        </w:rPr>
        <w:t xml:space="preserve"> </w:t>
      </w:r>
    </w:p>
  </w:footnote>
  <w:footnote w:id="7">
    <w:p w14:paraId="336622E9"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Spletna podstran je v izdelavi.</w:t>
      </w:r>
    </w:p>
  </w:footnote>
  <w:footnote w:id="8">
    <w:p w14:paraId="70561F01"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Spletna podstran je v izdelavi.</w:t>
      </w:r>
    </w:p>
  </w:footnote>
  <w:footnote w:id="9">
    <w:p w14:paraId="32F06BD1"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Predvideno konec leta 2019.</w:t>
      </w:r>
    </w:p>
  </w:footnote>
  <w:footnote w:id="10">
    <w:p w14:paraId="4C64ED8B"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Predstavitev prvih rezultatov je dostopna prek spletne strani NEPN: </w:t>
      </w:r>
      <w:hyperlink r:id="rId6" w:history="1">
        <w:r w:rsidRPr="00BD2528">
          <w:rPr>
            <w:rStyle w:val="Hiperpovezava"/>
            <w:rFonts w:ascii="Arial" w:hAnsi="Arial" w:cs="Arial"/>
          </w:rPr>
          <w:t>https://www.energetika-portal.si/fileadmin/dokumenti/publikacije/nepn/dokumenti/nepn_predstavitev_mzi_maj_2019.pdf</w:t>
        </w:r>
      </w:hyperlink>
      <w:r w:rsidRPr="00BD2528">
        <w:rPr>
          <w:rFonts w:ascii="Arial" w:hAnsi="Arial" w:cs="Arial"/>
        </w:rPr>
        <w:t xml:space="preserve"> </w:t>
      </w:r>
    </w:p>
  </w:footnote>
  <w:footnote w:id="11">
    <w:p w14:paraId="56F9C550"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Priporočila komisije so objavljena in dostopna na spletni strani NEPN prek: </w:t>
      </w:r>
      <w:hyperlink r:id="rId7" w:anchor="c965" w:history="1">
        <w:r w:rsidRPr="00BD2528">
          <w:rPr>
            <w:rStyle w:val="Hiperpovezava"/>
            <w:rFonts w:ascii="Arial" w:hAnsi="Arial" w:cs="Arial"/>
          </w:rPr>
          <w:t>https://www.energetika-portal.si/dokumenti/strateski-razvojni-dokumenti/nacionalni-energetski-in-podnebni-nacrt/dokumenti/#c965</w:t>
        </w:r>
      </w:hyperlink>
      <w:r w:rsidRPr="00BD2528">
        <w:rPr>
          <w:rFonts w:ascii="Arial" w:hAnsi="Arial" w:cs="Arial"/>
        </w:rPr>
        <w:t xml:space="preserve"> </w:t>
      </w:r>
    </w:p>
  </w:footnote>
  <w:footnote w:id="12">
    <w:p w14:paraId="47136368"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Spletna stran je v pripravi.</w:t>
      </w:r>
    </w:p>
  </w:footnote>
  <w:footnote w:id="13">
    <w:p w14:paraId="4DD96259" w14:textId="77777777" w:rsidR="00666F52" w:rsidRPr="00BD2528" w:rsidRDefault="00666F52" w:rsidP="0044727A">
      <w:pPr>
        <w:pStyle w:val="Naslov2"/>
        <w:spacing w:before="0" w:beforeAutospacing="0" w:after="0" w:afterAutospacing="0"/>
        <w:jc w:val="both"/>
        <w:rPr>
          <w:rFonts w:ascii="Arial" w:hAnsi="Arial" w:cs="Arial"/>
          <w:b w:val="0"/>
          <w:sz w:val="20"/>
          <w:szCs w:val="20"/>
        </w:rPr>
      </w:pPr>
      <w:r w:rsidRPr="00BD2528">
        <w:rPr>
          <w:rStyle w:val="Sprotnaopomba-sklic"/>
          <w:rFonts w:ascii="Arial" w:hAnsi="Arial" w:cs="Arial"/>
          <w:b w:val="0"/>
          <w:sz w:val="20"/>
          <w:szCs w:val="20"/>
        </w:rPr>
        <w:footnoteRef/>
      </w:r>
      <w:r w:rsidRPr="00BD2528">
        <w:rPr>
          <w:rFonts w:ascii="Arial" w:hAnsi="Arial" w:cs="Arial"/>
          <w:b w:val="0"/>
          <w:sz w:val="20"/>
          <w:szCs w:val="20"/>
        </w:rPr>
        <w:t xml:space="preserve"> Zakon o spremembah in dopolnitvah Energetskega zakona (EZ-1B) je dostopen prek: </w:t>
      </w:r>
      <w:hyperlink r:id="rId8" w:anchor="(Celoviti%C2%A0nacionalni%C2%A0energetski%C2%A0in%C2%A0podnebni%C2%A0na%C4%8Drt)" w:history="1">
        <w:r w:rsidRPr="00BD2528">
          <w:rPr>
            <w:rStyle w:val="Hiperpovezava"/>
            <w:rFonts w:ascii="Arial" w:hAnsi="Arial" w:cs="Arial"/>
            <w:b w:val="0"/>
            <w:sz w:val="20"/>
            <w:szCs w:val="20"/>
          </w:rPr>
          <w:t>https://www.uradni-list.si/glasilo-uradni-list-rs/vsebina/2019-01-1925/zakon-o-spremembah-in-dopolnitvah-energetskega-zakona-ez-1b/#(Celoviti%C2%A0nacionalni%C2%A0energetski%C2%A0in%C2%A0podnebni%C2%A0na%C4%8Drt)</w:t>
        </w:r>
      </w:hyperlink>
      <w:r w:rsidRPr="00BD2528">
        <w:rPr>
          <w:rFonts w:ascii="Arial" w:hAnsi="Arial" w:cs="Arial"/>
          <w:b w:val="0"/>
          <w:sz w:val="20"/>
          <w:szCs w:val="20"/>
        </w:rPr>
        <w:t xml:space="preserve"> </w:t>
      </w:r>
    </w:p>
  </w:footnote>
  <w:footnote w:id="14">
    <w:p w14:paraId="279EDACF"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Strategija razvoja Slovenije 2030, dostopna prek: </w:t>
      </w:r>
      <w:hyperlink r:id="rId9" w:history="1">
        <w:r w:rsidRPr="00BD2528">
          <w:rPr>
            <w:rStyle w:val="Hiperpovezava"/>
            <w:rFonts w:ascii="Arial" w:hAnsi="Arial" w:cs="Arial"/>
          </w:rPr>
          <w:t>http://www.vlada.si/fileadmin/dokumenti/si/projekti/2017/srs2030/Strategija_razvoja_Slovenije_2030.pdf</w:t>
        </w:r>
      </w:hyperlink>
      <w:r w:rsidRPr="00BD2528">
        <w:rPr>
          <w:rFonts w:ascii="Arial" w:hAnsi="Arial" w:cs="Arial"/>
        </w:rPr>
        <w:t xml:space="preserve"> </w:t>
      </w:r>
    </w:p>
  </w:footnote>
  <w:footnote w:id="15">
    <w:p w14:paraId="7FD05BEF" w14:textId="24C24CB3" w:rsidR="00666F52" w:rsidRPr="00BD2528" w:rsidRDefault="00666F52" w:rsidP="00DD4373">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Ob tem velja posebej poudariti, da gre za predpostavke konzorcija pod vodstvom IJS za pripravo scenarijev, saj bo </w:t>
      </w:r>
      <w:proofErr w:type="spellStart"/>
      <w:r w:rsidRPr="00BD2528">
        <w:rPr>
          <w:rFonts w:ascii="Arial" w:hAnsi="Arial" w:cs="Arial"/>
        </w:rPr>
        <w:t>časovnico</w:t>
      </w:r>
      <w:proofErr w:type="spellEnd"/>
      <w:r w:rsidRPr="00BD2528">
        <w:rPr>
          <w:rFonts w:ascii="Arial" w:hAnsi="Arial" w:cs="Arial"/>
        </w:rPr>
        <w:t xml:space="preserve"> in pravičen načrt predčasnega zaprtja Premogovnika Velenje in opustitve rabe fosilnih goriv v TEŠ do konca 2020 pripravila delovna skupina Vlade Republike Slovenije za prestrukturiranje premogovnih regij, ustanovljena s sklepom VRS 02401-18/2019/3 z dne 30.5.2019.</w:t>
      </w:r>
    </w:p>
  </w:footnote>
  <w:footnote w:id="16">
    <w:p w14:paraId="38AB1B79"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Predstavitev je dostopna prek: </w:t>
      </w:r>
      <w:hyperlink r:id="rId10" w:history="1">
        <w:r w:rsidRPr="00BD2528">
          <w:rPr>
            <w:rStyle w:val="Hiperpovezava"/>
            <w:rFonts w:ascii="Arial" w:hAnsi="Arial" w:cs="Arial"/>
          </w:rPr>
          <w:t>https://www.energetika-portal.si/fileadmin/dokumenti/publikacije/nepn/dokumenti/nepn_predstavitev_mzi_maj_2019.pdf</w:t>
        </w:r>
      </w:hyperlink>
      <w:r w:rsidRPr="00BD2528">
        <w:rPr>
          <w:rFonts w:ascii="Arial" w:hAnsi="Arial" w:cs="Arial"/>
        </w:rPr>
        <w:t xml:space="preserve"> </w:t>
      </w:r>
    </w:p>
  </w:footnote>
  <w:footnote w:id="17">
    <w:p w14:paraId="1749D48A"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Prispevek Skupnosti občin Slovenije je dostopen prek: </w:t>
      </w:r>
      <w:hyperlink r:id="rId11" w:history="1">
        <w:r w:rsidRPr="00BD2528">
          <w:rPr>
            <w:rStyle w:val="Hiperpovezava"/>
            <w:rFonts w:ascii="Arial" w:hAnsi="Arial" w:cs="Arial"/>
          </w:rPr>
          <w:t>https://www.energetika-portal.si/fileadmin/dokumenti/publikacije/nepn/predhodno_posvetovanje/11-sos.pdf</w:t>
        </w:r>
      </w:hyperlink>
      <w:r w:rsidRPr="00BD2528">
        <w:rPr>
          <w:rFonts w:ascii="Arial" w:hAnsi="Arial" w:cs="Arial"/>
        </w:rPr>
        <w:t xml:space="preserve"> </w:t>
      </w:r>
    </w:p>
  </w:footnote>
  <w:footnote w:id="18">
    <w:p w14:paraId="066B8070"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Spletna stran NEPN je dostopna prek: </w:t>
      </w:r>
      <w:hyperlink r:id="rId12" w:history="1">
        <w:r w:rsidRPr="00BD2528">
          <w:rPr>
            <w:rStyle w:val="Hiperpovezava"/>
            <w:rFonts w:ascii="Arial" w:hAnsi="Arial" w:cs="Arial"/>
          </w:rPr>
          <w:t>https://www.energetika-portal.si/dokumenti/strateski-razvojni-dokumenti/nacionalni-energetski-in-podnebni-nacrt/</w:t>
        </w:r>
      </w:hyperlink>
      <w:r w:rsidRPr="00BD2528">
        <w:rPr>
          <w:rFonts w:ascii="Arial" w:hAnsi="Arial" w:cs="Arial"/>
        </w:rPr>
        <w:t xml:space="preserve"> </w:t>
      </w:r>
    </w:p>
  </w:footnote>
  <w:footnote w:id="19">
    <w:p w14:paraId="652AF50B"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Dodatne informacije o predhodnem posvetovanju so dostopne prek: </w:t>
      </w:r>
      <w:hyperlink r:id="rId13" w:history="1">
        <w:r w:rsidRPr="00BD2528">
          <w:rPr>
            <w:rStyle w:val="Hiperpovezava"/>
            <w:rFonts w:ascii="Arial" w:hAnsi="Arial" w:cs="Arial"/>
          </w:rPr>
          <w:t>https://www.energetika-portal.si/dokumenti/strateski-razvojni-dokumenti/nacionalni-energetski-in-podnebni-nacrt/dogodki-predhodno-posvetovanje/</w:t>
        </w:r>
      </w:hyperlink>
      <w:r w:rsidRPr="00BD2528">
        <w:rPr>
          <w:rFonts w:ascii="Arial" w:hAnsi="Arial" w:cs="Arial"/>
        </w:rPr>
        <w:t xml:space="preserve"> </w:t>
      </w:r>
    </w:p>
  </w:footnote>
  <w:footnote w:id="20">
    <w:p w14:paraId="3C079537"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Več informacij o komunikacijskih delavnicah je dostopnih prek: </w:t>
      </w:r>
      <w:hyperlink r:id="rId14" w:history="1">
        <w:r w:rsidRPr="00BD2528">
          <w:rPr>
            <w:rStyle w:val="Hiperpovezava"/>
            <w:rFonts w:ascii="Arial" w:hAnsi="Arial" w:cs="Arial"/>
          </w:rPr>
          <w:t>https://www.energetika-portal.si/dokumenti/strateski-razvojni-dokumenti/nacionalni-energetski-in-podnebni-nacrt/komunikacijske-delavnice/</w:t>
        </w:r>
      </w:hyperlink>
      <w:r w:rsidRPr="00BD2528">
        <w:rPr>
          <w:rFonts w:ascii="Arial" w:hAnsi="Arial" w:cs="Arial"/>
        </w:rPr>
        <w:t xml:space="preserve"> </w:t>
      </w:r>
    </w:p>
  </w:footnote>
  <w:footnote w:id="21">
    <w:p w14:paraId="09F4403E"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Več informacij bo na voljo na spletni strani NEPN prek: </w:t>
      </w:r>
      <w:hyperlink r:id="rId15" w:history="1">
        <w:r w:rsidRPr="00BD2528">
          <w:rPr>
            <w:rStyle w:val="Hiperpovezava"/>
            <w:rFonts w:ascii="Arial" w:hAnsi="Arial" w:cs="Arial"/>
          </w:rPr>
          <w:t>https://www.energetika-portal.si/dokumenti/strateski-razvojni-dokumenti/nacionalni-energetski-in-podnebni-nacrt/zakljucno-posvetovanje/</w:t>
        </w:r>
      </w:hyperlink>
      <w:r w:rsidRPr="00BD2528">
        <w:rPr>
          <w:rFonts w:ascii="Arial" w:hAnsi="Arial" w:cs="Arial"/>
        </w:rPr>
        <w:t xml:space="preserve"> </w:t>
      </w:r>
    </w:p>
  </w:footnote>
  <w:footnote w:id="22">
    <w:p w14:paraId="4ADE5617" w14:textId="77777777" w:rsidR="00666F52" w:rsidRPr="00BD2528" w:rsidRDefault="00666F52" w:rsidP="006F5295">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Odprt poziv je dostopen prek: </w:t>
      </w:r>
      <w:hyperlink r:id="rId16" w:history="1">
        <w:r w:rsidRPr="00BD2528">
          <w:rPr>
            <w:rStyle w:val="Hiperpovezava"/>
            <w:rFonts w:ascii="Arial" w:hAnsi="Arial" w:cs="Arial"/>
          </w:rPr>
          <w:t>https://www.energetika-portal.si/nc/novica/n/poziv-ministrstva-mladim-in-gibanju-mladi-za-podnebno-pravicnost-4210/</w:t>
        </w:r>
      </w:hyperlink>
      <w:r w:rsidRPr="00BD2528">
        <w:rPr>
          <w:rFonts w:ascii="Arial" w:hAnsi="Arial" w:cs="Arial"/>
        </w:rPr>
        <w:t xml:space="preserve"> </w:t>
      </w:r>
    </w:p>
  </w:footnote>
  <w:footnote w:id="23">
    <w:p w14:paraId="7A513528"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Informacije in rezultati regionalnega posvetovanja glede NEPN so dostopne prek spletne strani NEPN: </w:t>
      </w:r>
      <w:hyperlink r:id="rId17" w:history="1">
        <w:r w:rsidRPr="00BD2528">
          <w:rPr>
            <w:rStyle w:val="Hiperpovezava"/>
            <w:rFonts w:ascii="Arial" w:hAnsi="Arial" w:cs="Arial"/>
          </w:rPr>
          <w:t>https://www.energetika-portal.si/dokumenti/strateski-razvojni-dokumenti/nacionalni-energetski-in-podnebni-nacrt/regionalno-posvetovanje/</w:t>
        </w:r>
      </w:hyperlink>
      <w:r w:rsidRPr="00BD2528">
        <w:rPr>
          <w:rFonts w:ascii="Arial" w:hAnsi="Arial" w:cs="Arial"/>
        </w:rPr>
        <w:t xml:space="preserve"> </w:t>
      </w:r>
    </w:p>
  </w:footnote>
  <w:footnote w:id="24">
    <w:p w14:paraId="187126EF"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Priporočila Komisije so dostopna prek spletne strani NEPN: </w:t>
      </w:r>
      <w:hyperlink r:id="rId18" w:anchor="c965" w:history="1">
        <w:r w:rsidRPr="00BD2528">
          <w:rPr>
            <w:rStyle w:val="Hiperpovezava"/>
            <w:rFonts w:ascii="Arial" w:hAnsi="Arial" w:cs="Arial"/>
          </w:rPr>
          <w:t>https://www.energetika-portal.si/dokumenti/strateski-razvojni-dokumenti/nacionalni-energetski-in-podnebni-nacrt/dokumenti/#c965</w:t>
        </w:r>
      </w:hyperlink>
      <w:r w:rsidRPr="00BD2528">
        <w:rPr>
          <w:rFonts w:ascii="Arial" w:hAnsi="Arial" w:cs="Arial"/>
        </w:rPr>
        <w:t xml:space="preserve"> </w:t>
      </w:r>
    </w:p>
  </w:footnote>
  <w:footnote w:id="25">
    <w:p w14:paraId="1416EBB0" w14:textId="34D8060C" w:rsidR="00666F52" w:rsidRPr="00BD2528" w:rsidRDefault="00666F52" w:rsidP="0053123B">
      <w:pPr>
        <w:pStyle w:val="Sprotnaopomba-besedilo"/>
        <w:rPr>
          <w:rFonts w:ascii="Arial" w:hAnsi="Arial" w:cs="Arial"/>
        </w:rPr>
      </w:pPr>
      <w:r w:rsidRPr="00BD2528">
        <w:rPr>
          <w:rStyle w:val="Sprotnaopomba-sklic"/>
          <w:rFonts w:ascii="Arial" w:hAnsi="Arial" w:cs="Arial"/>
        </w:rPr>
        <w:footnoteRef/>
      </w:r>
      <w:r w:rsidRPr="00BD2528">
        <w:rPr>
          <w:rFonts w:ascii="Arial" w:hAnsi="Arial" w:cs="Arial"/>
        </w:rPr>
        <w:t xml:space="preserve"> Hipotetični izračun za Slovenijo v primeru prispevka OVE do 2030 v višini 32 % pokaže, da bi morala Slovenija doseči: v letu 2022: 26,26 % OVE, v letu 2025: 28,01 % OVE; v letu 2027: 29,55 % OVE; v letu 2030: 32 % OVE.</w:t>
      </w:r>
    </w:p>
  </w:footnote>
  <w:footnote w:id="26">
    <w:p w14:paraId="5E76A728" w14:textId="77777777" w:rsidR="00666F52" w:rsidRPr="00BD2528" w:rsidRDefault="00666F52" w:rsidP="0044727A">
      <w:pPr>
        <w:pStyle w:val="Sprotnaopomba-besedilo"/>
        <w:jc w:val="both"/>
        <w:rPr>
          <w:rFonts w:ascii="Arial" w:hAnsi="Arial" w:cs="Arial"/>
        </w:rPr>
      </w:pPr>
      <w:r w:rsidRPr="00BD2528">
        <w:rPr>
          <w:rStyle w:val="Sprotnaopomba-sklic"/>
          <w:rFonts w:ascii="Arial" w:hAnsi="Arial" w:cs="Arial"/>
        </w:rPr>
        <w:footnoteRef/>
      </w:r>
      <w:r w:rsidRPr="00BD2528">
        <w:rPr>
          <w:rFonts w:ascii="Arial" w:hAnsi="Arial" w:cs="Arial"/>
        </w:rPr>
        <w:t xml:space="preserve"> Rezultati javnega posvetovanja so dostopni prek spletne strani NEPN: </w:t>
      </w:r>
      <w:hyperlink r:id="rId19" w:history="1">
        <w:r w:rsidRPr="00BD2528">
          <w:rPr>
            <w:rStyle w:val="Hiperpovezava"/>
            <w:rFonts w:ascii="Arial" w:hAnsi="Arial" w:cs="Arial"/>
          </w:rPr>
          <w:t>https://www.energetika-portal.si/dokumenti/strateski-razvojni-dokumenti/nacionalni-energetski-in-podnebni-nacrt/dogodki-predhodno-posvetovanje/</w:t>
        </w:r>
      </w:hyperlink>
      <w:r w:rsidRPr="00BD2528">
        <w:rPr>
          <w:rFonts w:ascii="Arial" w:hAnsi="Arial" w:cs="Arial"/>
        </w:rPr>
        <w:t xml:space="preserve">  </w:t>
      </w:r>
    </w:p>
  </w:footnote>
  <w:footnote w:id="27">
    <w:p w14:paraId="08F7840C" w14:textId="77777777" w:rsidR="00666F52" w:rsidRPr="00BD2528" w:rsidRDefault="00666F52" w:rsidP="0044727A">
      <w:pPr>
        <w:pStyle w:val="Sprotnaopomba-besedilo"/>
        <w:jc w:val="both"/>
        <w:rPr>
          <w:rFonts w:ascii="Arial" w:hAnsi="Arial" w:cs="Arial"/>
        </w:rPr>
      </w:pPr>
      <w:r w:rsidRPr="00BD2528">
        <w:rPr>
          <w:rFonts w:ascii="Arial" w:hAnsi="Arial" w:cs="Arial"/>
        </w:rPr>
        <w:t xml:space="preserve">Dostopne prek: </w:t>
      </w:r>
      <w:hyperlink r:id="rId20" w:history="1">
        <w:r w:rsidRPr="00BD2528">
          <w:rPr>
            <w:rStyle w:val="Hiperpovezava"/>
            <w:rFonts w:ascii="Arial" w:hAnsi="Arial" w:cs="Arial"/>
            <w:lang w:val="en-GB"/>
          </w:rPr>
          <w:t>http://ec.europa.eu/environment/nature/natura2000/management/guidance_en.htm</w:t>
        </w:r>
      </w:hyperlink>
      <w:r w:rsidRPr="00BD2528">
        <w:rPr>
          <w:rFonts w:ascii="Arial" w:hAnsi="Arial" w:cs="Arial"/>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9636" w14:textId="77777777" w:rsidR="00666F52" w:rsidRDefault="00666F5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84B"/>
    <w:multiLevelType w:val="hybridMultilevel"/>
    <w:tmpl w:val="71AE7E3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8335AA"/>
    <w:multiLevelType w:val="hybridMultilevel"/>
    <w:tmpl w:val="7E420CCC"/>
    <w:lvl w:ilvl="0" w:tplc="8432FE76">
      <w:start w:val="1"/>
      <w:numFmt w:val="lowerRoman"/>
      <w:lvlText w:val="%1."/>
      <w:lvlJc w:val="left"/>
      <w:pPr>
        <w:ind w:left="1287" w:hanging="72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 w15:restartNumberingAfterBreak="0">
    <w:nsid w:val="0581629E"/>
    <w:multiLevelType w:val="hybridMultilevel"/>
    <w:tmpl w:val="2FA67232"/>
    <w:lvl w:ilvl="0" w:tplc="06AC5360">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9740A8"/>
    <w:multiLevelType w:val="hybridMultilevel"/>
    <w:tmpl w:val="BE287F88"/>
    <w:lvl w:ilvl="0" w:tplc="F42CBC48">
      <w:start w:val="5"/>
      <w:numFmt w:val="bullet"/>
      <w:lvlText w:val="-"/>
      <w:lvlJc w:val="left"/>
      <w:pPr>
        <w:ind w:left="720" w:hanging="360"/>
      </w:pPr>
      <w:rPr>
        <w:rFonts w:ascii="Times New Roman" w:eastAsia="Times New Roman" w:hAnsi="Times New Roman" w:cs="Times New Roman" w:hint="default"/>
        <w:sz w:val="2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8B0CA6"/>
    <w:multiLevelType w:val="multilevel"/>
    <w:tmpl w:val="48CADBEC"/>
    <w:lvl w:ilvl="0">
      <w:start w:val="1"/>
      <w:numFmt w:val="decimal"/>
      <w:lvlText w:val="%1."/>
      <w:lvlJc w:val="left"/>
      <w:pPr>
        <w:ind w:left="720" w:hanging="360"/>
      </w:pPr>
      <w:rPr>
        <w:rFonts w:eastAsia="Times New Roman"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FD1A2E"/>
    <w:multiLevelType w:val="hybridMultilevel"/>
    <w:tmpl w:val="77821E1E"/>
    <w:lvl w:ilvl="0" w:tplc="E946CDF2">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DA35C7"/>
    <w:multiLevelType w:val="hybridMultilevel"/>
    <w:tmpl w:val="CBA8AB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F64CF7"/>
    <w:multiLevelType w:val="hybridMultilevel"/>
    <w:tmpl w:val="E6365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1547D"/>
    <w:multiLevelType w:val="hybridMultilevel"/>
    <w:tmpl w:val="65F4AC04"/>
    <w:lvl w:ilvl="0" w:tplc="8C9A9682">
      <w:start w:val="5"/>
      <w:numFmt w:val="lowerRoman"/>
      <w:lvlText w:val="%1."/>
      <w:lvlJc w:val="left"/>
      <w:pPr>
        <w:ind w:left="1287" w:hanging="72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9" w15:restartNumberingAfterBreak="0">
    <w:nsid w:val="19C7270A"/>
    <w:multiLevelType w:val="hybridMultilevel"/>
    <w:tmpl w:val="AD7871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DC68DF"/>
    <w:multiLevelType w:val="hybridMultilevel"/>
    <w:tmpl w:val="0DD044D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CE75EC"/>
    <w:multiLevelType w:val="hybridMultilevel"/>
    <w:tmpl w:val="3D3C8420"/>
    <w:lvl w:ilvl="0" w:tplc="06AC5360">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640AFF"/>
    <w:multiLevelType w:val="multilevel"/>
    <w:tmpl w:val="6FF8E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E1E7378"/>
    <w:multiLevelType w:val="hybridMultilevel"/>
    <w:tmpl w:val="8870CD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3230850"/>
    <w:multiLevelType w:val="hybridMultilevel"/>
    <w:tmpl w:val="1382BB0A"/>
    <w:lvl w:ilvl="0" w:tplc="B3D0BC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470D13"/>
    <w:multiLevelType w:val="hybridMultilevel"/>
    <w:tmpl w:val="AC86017A"/>
    <w:lvl w:ilvl="0" w:tplc="E44A9742">
      <w:start w:val="2"/>
      <w:numFmt w:val="bullet"/>
      <w:lvlText w:val="-"/>
      <w:lvlJc w:val="left"/>
      <w:pPr>
        <w:ind w:left="360" w:hanging="360"/>
      </w:pPr>
      <w:rPr>
        <w:rFonts w:ascii="Arial" w:eastAsia="Arial" w:hAnsi="Arial" w:cs="Arial"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18" w15:restartNumberingAfterBreak="0">
    <w:nsid w:val="415A5F40"/>
    <w:multiLevelType w:val="hybridMultilevel"/>
    <w:tmpl w:val="B7608BE2"/>
    <w:lvl w:ilvl="0" w:tplc="659C8BE8">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3EE3808"/>
    <w:multiLevelType w:val="hybridMultilevel"/>
    <w:tmpl w:val="8AE84740"/>
    <w:lvl w:ilvl="0" w:tplc="06AC5360">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D14DEF"/>
    <w:multiLevelType w:val="hybridMultilevel"/>
    <w:tmpl w:val="D6A07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2160" w:hanging="720"/>
      </w:pPr>
      <w:rPr>
        <w:rFonts w:ascii="Symbol" w:hAnsi="Symbol" w:hint="default"/>
      </w:rPr>
    </w:lvl>
    <w:lvl w:ilvl="3" w:tplc="09B6E1AE">
      <w:numFmt w:val="bullet"/>
      <w:lvlText w:val="−"/>
      <w:lvlJc w:val="left"/>
      <w:pPr>
        <w:ind w:left="2520" w:hanging="360"/>
      </w:pPr>
      <w:rPr>
        <w:rFonts w:ascii="Tahoma" w:eastAsia="Calibri" w:hAnsi="Tahoma" w:cs="Tahoma"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1160C7"/>
    <w:multiLevelType w:val="hybridMultilevel"/>
    <w:tmpl w:val="347A8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4B1618"/>
    <w:multiLevelType w:val="hybridMultilevel"/>
    <w:tmpl w:val="839E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05A02"/>
    <w:multiLevelType w:val="hybridMultilevel"/>
    <w:tmpl w:val="8A624C8A"/>
    <w:lvl w:ilvl="0" w:tplc="E44A9742">
      <w:start w:val="2"/>
      <w:numFmt w:val="bullet"/>
      <w:lvlText w:val="-"/>
      <w:lvlJc w:val="left"/>
      <w:pPr>
        <w:ind w:left="360" w:hanging="360"/>
      </w:pPr>
      <w:rPr>
        <w:rFonts w:ascii="Arial" w:eastAsia="Arial" w:hAnsi="Arial" w:cs="Arial"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26" w15:restartNumberingAfterBreak="0">
    <w:nsid w:val="526D60A0"/>
    <w:multiLevelType w:val="multilevel"/>
    <w:tmpl w:val="5E0C5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655D3E"/>
    <w:multiLevelType w:val="hybridMultilevel"/>
    <w:tmpl w:val="9E5CA668"/>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185DF1"/>
    <w:multiLevelType w:val="hybridMultilevel"/>
    <w:tmpl w:val="365CC5D4"/>
    <w:lvl w:ilvl="0" w:tplc="ED3E0E16">
      <w:start w:val="1"/>
      <w:numFmt w:val="decimal"/>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5426F9"/>
    <w:multiLevelType w:val="multilevel"/>
    <w:tmpl w:val="8EDACD5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3630F28"/>
    <w:multiLevelType w:val="hybridMultilevel"/>
    <w:tmpl w:val="22D80E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C11EC7"/>
    <w:multiLevelType w:val="hybridMultilevel"/>
    <w:tmpl w:val="23668AC0"/>
    <w:lvl w:ilvl="0" w:tplc="E44A9742">
      <w:start w:val="2"/>
      <w:numFmt w:val="bullet"/>
      <w:lvlText w:val="-"/>
      <w:lvlJc w:val="left"/>
      <w:pPr>
        <w:ind w:left="700" w:hanging="360"/>
      </w:pPr>
      <w:rPr>
        <w:rFonts w:ascii="Arial" w:eastAsia="Arial" w:hAnsi="Arial" w:cs="Arial" w:hint="default"/>
      </w:rPr>
    </w:lvl>
    <w:lvl w:ilvl="1" w:tplc="04240003" w:tentative="1">
      <w:start w:val="1"/>
      <w:numFmt w:val="bullet"/>
      <w:lvlText w:val="o"/>
      <w:lvlJc w:val="left"/>
      <w:pPr>
        <w:ind w:left="1420" w:hanging="360"/>
      </w:pPr>
      <w:rPr>
        <w:rFonts w:ascii="Courier New" w:hAnsi="Courier New" w:cs="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cs="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cs="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34" w15:restartNumberingAfterBreak="0">
    <w:nsid w:val="65BE6899"/>
    <w:multiLevelType w:val="hybridMultilevel"/>
    <w:tmpl w:val="0576D2FA"/>
    <w:lvl w:ilvl="0" w:tplc="06AC536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D95A19"/>
    <w:multiLevelType w:val="hybridMultilevel"/>
    <w:tmpl w:val="514EACB4"/>
    <w:lvl w:ilvl="0" w:tplc="E44A9742">
      <w:start w:val="2"/>
      <w:numFmt w:val="bullet"/>
      <w:lvlText w:val="-"/>
      <w:lvlJc w:val="left"/>
      <w:pPr>
        <w:ind w:left="360" w:hanging="360"/>
      </w:pPr>
      <w:rPr>
        <w:rFonts w:ascii="Arial" w:eastAsia="Arial" w:hAnsi="Arial" w:cs="Arial"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3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C40199"/>
    <w:multiLevelType w:val="hybridMultilevel"/>
    <w:tmpl w:val="D15C2FAE"/>
    <w:lvl w:ilvl="0" w:tplc="00225B08">
      <w:start w:val="1"/>
      <w:numFmt w:val="decimal"/>
      <w:lvlText w:val="%1."/>
      <w:lvlJc w:val="left"/>
      <w:pPr>
        <w:ind w:left="720" w:hanging="360"/>
      </w:pPr>
      <w:rPr>
        <w:rFonts w:eastAsia="Times New Roman"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DE777DE"/>
    <w:multiLevelType w:val="hybridMultilevel"/>
    <w:tmpl w:val="065C41BA"/>
    <w:lvl w:ilvl="0" w:tplc="FE6E9050">
      <w:start w:val="1"/>
      <w:numFmt w:val="lowerLetter"/>
      <w:lvlText w:val="%1)"/>
      <w:lvlJc w:val="left"/>
      <w:pPr>
        <w:ind w:left="613" w:hanging="360"/>
      </w:pPr>
      <w:rPr>
        <w:rFonts w:ascii="Arial" w:eastAsia="Calibri" w:hAnsi="Arial" w:cs="Arial"/>
      </w:rPr>
    </w:lvl>
    <w:lvl w:ilvl="1" w:tplc="04240003" w:tentative="1">
      <w:start w:val="1"/>
      <w:numFmt w:val="bullet"/>
      <w:lvlText w:val="o"/>
      <w:lvlJc w:val="left"/>
      <w:pPr>
        <w:ind w:left="1333" w:hanging="360"/>
      </w:pPr>
      <w:rPr>
        <w:rFonts w:ascii="Courier New" w:hAnsi="Courier New" w:cs="Courier New" w:hint="default"/>
      </w:rPr>
    </w:lvl>
    <w:lvl w:ilvl="2" w:tplc="04240005" w:tentative="1">
      <w:start w:val="1"/>
      <w:numFmt w:val="bullet"/>
      <w:lvlText w:val=""/>
      <w:lvlJc w:val="left"/>
      <w:pPr>
        <w:ind w:left="2053" w:hanging="360"/>
      </w:pPr>
      <w:rPr>
        <w:rFonts w:ascii="Wingdings" w:hAnsi="Wingdings" w:hint="default"/>
      </w:rPr>
    </w:lvl>
    <w:lvl w:ilvl="3" w:tplc="04240001" w:tentative="1">
      <w:start w:val="1"/>
      <w:numFmt w:val="bullet"/>
      <w:lvlText w:val=""/>
      <w:lvlJc w:val="left"/>
      <w:pPr>
        <w:ind w:left="2773" w:hanging="360"/>
      </w:pPr>
      <w:rPr>
        <w:rFonts w:ascii="Symbol" w:hAnsi="Symbol" w:hint="default"/>
      </w:rPr>
    </w:lvl>
    <w:lvl w:ilvl="4" w:tplc="04240003" w:tentative="1">
      <w:start w:val="1"/>
      <w:numFmt w:val="bullet"/>
      <w:lvlText w:val="o"/>
      <w:lvlJc w:val="left"/>
      <w:pPr>
        <w:ind w:left="3493" w:hanging="360"/>
      </w:pPr>
      <w:rPr>
        <w:rFonts w:ascii="Courier New" w:hAnsi="Courier New" w:cs="Courier New" w:hint="default"/>
      </w:rPr>
    </w:lvl>
    <w:lvl w:ilvl="5" w:tplc="04240005" w:tentative="1">
      <w:start w:val="1"/>
      <w:numFmt w:val="bullet"/>
      <w:lvlText w:val=""/>
      <w:lvlJc w:val="left"/>
      <w:pPr>
        <w:ind w:left="4213" w:hanging="360"/>
      </w:pPr>
      <w:rPr>
        <w:rFonts w:ascii="Wingdings" w:hAnsi="Wingdings" w:hint="default"/>
      </w:rPr>
    </w:lvl>
    <w:lvl w:ilvl="6" w:tplc="04240001" w:tentative="1">
      <w:start w:val="1"/>
      <w:numFmt w:val="bullet"/>
      <w:lvlText w:val=""/>
      <w:lvlJc w:val="left"/>
      <w:pPr>
        <w:ind w:left="4933" w:hanging="360"/>
      </w:pPr>
      <w:rPr>
        <w:rFonts w:ascii="Symbol" w:hAnsi="Symbol" w:hint="default"/>
      </w:rPr>
    </w:lvl>
    <w:lvl w:ilvl="7" w:tplc="04240003" w:tentative="1">
      <w:start w:val="1"/>
      <w:numFmt w:val="bullet"/>
      <w:lvlText w:val="o"/>
      <w:lvlJc w:val="left"/>
      <w:pPr>
        <w:ind w:left="5653" w:hanging="360"/>
      </w:pPr>
      <w:rPr>
        <w:rFonts w:ascii="Courier New" w:hAnsi="Courier New" w:cs="Courier New" w:hint="default"/>
      </w:rPr>
    </w:lvl>
    <w:lvl w:ilvl="8" w:tplc="04240005" w:tentative="1">
      <w:start w:val="1"/>
      <w:numFmt w:val="bullet"/>
      <w:lvlText w:val=""/>
      <w:lvlJc w:val="left"/>
      <w:pPr>
        <w:ind w:left="6373" w:hanging="360"/>
      </w:pPr>
      <w:rPr>
        <w:rFonts w:ascii="Wingdings" w:hAnsi="Wingdings" w:hint="default"/>
      </w:rPr>
    </w:lvl>
  </w:abstractNum>
  <w:abstractNum w:abstractNumId="39" w15:restartNumberingAfterBreak="0">
    <w:nsid w:val="7CBF7A8C"/>
    <w:multiLevelType w:val="hybridMultilevel"/>
    <w:tmpl w:val="2B6056B8"/>
    <w:lvl w:ilvl="0" w:tplc="E44A9742">
      <w:start w:val="2"/>
      <w:numFmt w:val="bullet"/>
      <w:lvlText w:val="-"/>
      <w:lvlJc w:val="left"/>
      <w:pPr>
        <w:ind w:left="360" w:hanging="360"/>
      </w:pPr>
      <w:rPr>
        <w:rFonts w:ascii="Arial" w:eastAsia="Arial" w:hAnsi="Arial" w:cs="Arial" w:hint="default"/>
      </w:rPr>
    </w:lvl>
    <w:lvl w:ilvl="1" w:tplc="04240003">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4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36"/>
  </w:num>
  <w:num w:numId="4">
    <w:abstractNumId w:val="19"/>
  </w:num>
  <w:num w:numId="5">
    <w:abstractNumId w:val="0"/>
  </w:num>
  <w:num w:numId="6">
    <w:abstractNumId w:val="38"/>
  </w:num>
  <w:num w:numId="7">
    <w:abstractNumId w:val="6"/>
  </w:num>
  <w:num w:numId="8">
    <w:abstractNumId w:val="15"/>
  </w:num>
  <w:num w:numId="9">
    <w:abstractNumId w:val="10"/>
  </w:num>
  <w:num w:numId="10">
    <w:abstractNumId w:val="40"/>
  </w:num>
  <w:num w:numId="11">
    <w:abstractNumId w:val="21"/>
  </w:num>
  <w:num w:numId="12">
    <w:abstractNumId w:val="14"/>
  </w:num>
  <w:num w:numId="13">
    <w:abstractNumId w:val="26"/>
  </w:num>
  <w:num w:numId="14">
    <w:abstractNumId w:val="31"/>
  </w:num>
  <w:num w:numId="15">
    <w:abstractNumId w:val="29"/>
  </w:num>
  <w:num w:numId="16">
    <w:abstractNumId w:val="5"/>
  </w:num>
  <w:num w:numId="17">
    <w:abstractNumId w:val="23"/>
  </w:num>
  <w:num w:numId="18">
    <w:abstractNumId w:val="4"/>
  </w:num>
  <w:num w:numId="19">
    <w:abstractNumId w:val="32"/>
  </w:num>
  <w:num w:numId="20">
    <w:abstractNumId w:val="16"/>
  </w:num>
  <w:num w:numId="21">
    <w:abstractNumId w:val="37"/>
  </w:num>
  <w:num w:numId="22">
    <w:abstractNumId w:val="39"/>
  </w:num>
  <w:num w:numId="23">
    <w:abstractNumId w:val="9"/>
  </w:num>
  <w:num w:numId="24">
    <w:abstractNumId w:val="33"/>
  </w:num>
  <w:num w:numId="25">
    <w:abstractNumId w:val="35"/>
  </w:num>
  <w:num w:numId="26">
    <w:abstractNumId w:val="17"/>
  </w:num>
  <w:num w:numId="27">
    <w:abstractNumId w:val="25"/>
  </w:num>
  <w:num w:numId="28">
    <w:abstractNumId w:val="22"/>
  </w:num>
  <w:num w:numId="29">
    <w:abstractNumId w:val="34"/>
  </w:num>
  <w:num w:numId="30">
    <w:abstractNumId w:val="13"/>
  </w:num>
  <w:num w:numId="31">
    <w:abstractNumId w:val="3"/>
  </w:num>
  <w:num w:numId="32">
    <w:abstractNumId w:val="18"/>
  </w:num>
  <w:num w:numId="33">
    <w:abstractNumId w:val="11"/>
  </w:num>
  <w:num w:numId="34">
    <w:abstractNumId w:val="27"/>
  </w:num>
  <w:num w:numId="35">
    <w:abstractNumId w:val="20"/>
  </w:num>
  <w:num w:numId="36">
    <w:abstractNumId w:val="2"/>
  </w:num>
  <w:num w:numId="37">
    <w:abstractNumId w:val="12"/>
  </w:num>
  <w:num w:numId="38">
    <w:abstractNumId w:val="24"/>
  </w:num>
  <w:num w:numId="39">
    <w:abstractNumId w:val="7"/>
  </w:num>
  <w:num w:numId="40">
    <w:abstractNumId w:val="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68"/>
    <w:rsid w:val="00000F08"/>
    <w:rsid w:val="00017CC0"/>
    <w:rsid w:val="00067D4A"/>
    <w:rsid w:val="00071FFE"/>
    <w:rsid w:val="00072CE4"/>
    <w:rsid w:val="00077480"/>
    <w:rsid w:val="0008196A"/>
    <w:rsid w:val="0008475D"/>
    <w:rsid w:val="000A1DDA"/>
    <w:rsid w:val="000C29F5"/>
    <w:rsid w:val="000C724E"/>
    <w:rsid w:val="000D1CA7"/>
    <w:rsid w:val="000E09F9"/>
    <w:rsid w:val="000E3EE9"/>
    <w:rsid w:val="000E4629"/>
    <w:rsid w:val="000E4724"/>
    <w:rsid w:val="000E599D"/>
    <w:rsid w:val="000F004F"/>
    <w:rsid w:val="00100913"/>
    <w:rsid w:val="0010632F"/>
    <w:rsid w:val="00124711"/>
    <w:rsid w:val="00125802"/>
    <w:rsid w:val="001317AE"/>
    <w:rsid w:val="00133748"/>
    <w:rsid w:val="00137F8A"/>
    <w:rsid w:val="00165791"/>
    <w:rsid w:val="00167A16"/>
    <w:rsid w:val="00182826"/>
    <w:rsid w:val="001A1221"/>
    <w:rsid w:val="001B25C3"/>
    <w:rsid w:val="00204C4A"/>
    <w:rsid w:val="00256D99"/>
    <w:rsid w:val="00265FDF"/>
    <w:rsid w:val="002741C6"/>
    <w:rsid w:val="002750BB"/>
    <w:rsid w:val="002753C1"/>
    <w:rsid w:val="002839AD"/>
    <w:rsid w:val="00287300"/>
    <w:rsid w:val="00290669"/>
    <w:rsid w:val="00294533"/>
    <w:rsid w:val="00294F08"/>
    <w:rsid w:val="00295D35"/>
    <w:rsid w:val="002A2D5E"/>
    <w:rsid w:val="002E40E4"/>
    <w:rsid w:val="002F6170"/>
    <w:rsid w:val="00304648"/>
    <w:rsid w:val="00305A08"/>
    <w:rsid w:val="00310446"/>
    <w:rsid w:val="00317BE4"/>
    <w:rsid w:val="003210C1"/>
    <w:rsid w:val="003213FA"/>
    <w:rsid w:val="00324B1E"/>
    <w:rsid w:val="003306D5"/>
    <w:rsid w:val="00343DC4"/>
    <w:rsid w:val="003451D4"/>
    <w:rsid w:val="003471F6"/>
    <w:rsid w:val="003526F6"/>
    <w:rsid w:val="003A1F3D"/>
    <w:rsid w:val="003B13B9"/>
    <w:rsid w:val="003B5C68"/>
    <w:rsid w:val="003C25DF"/>
    <w:rsid w:val="003C69D4"/>
    <w:rsid w:val="003D2A73"/>
    <w:rsid w:val="003E531F"/>
    <w:rsid w:val="003E5E93"/>
    <w:rsid w:val="003F3D1C"/>
    <w:rsid w:val="004014AF"/>
    <w:rsid w:val="00406100"/>
    <w:rsid w:val="00410E25"/>
    <w:rsid w:val="00411009"/>
    <w:rsid w:val="004233CF"/>
    <w:rsid w:val="0044727A"/>
    <w:rsid w:val="004523A6"/>
    <w:rsid w:val="004625B6"/>
    <w:rsid w:val="00464013"/>
    <w:rsid w:val="00483BAD"/>
    <w:rsid w:val="0048715E"/>
    <w:rsid w:val="004916A9"/>
    <w:rsid w:val="004A7D84"/>
    <w:rsid w:val="004B0DF4"/>
    <w:rsid w:val="004B171A"/>
    <w:rsid w:val="004B1C3F"/>
    <w:rsid w:val="004C1B66"/>
    <w:rsid w:val="004C3697"/>
    <w:rsid w:val="004C36F1"/>
    <w:rsid w:val="0053123B"/>
    <w:rsid w:val="0053578D"/>
    <w:rsid w:val="00540FC0"/>
    <w:rsid w:val="00544FA1"/>
    <w:rsid w:val="005452C2"/>
    <w:rsid w:val="00545A65"/>
    <w:rsid w:val="00566C71"/>
    <w:rsid w:val="0058669C"/>
    <w:rsid w:val="005900F4"/>
    <w:rsid w:val="005A18C9"/>
    <w:rsid w:val="005A58E5"/>
    <w:rsid w:val="005A7F76"/>
    <w:rsid w:val="005B05E8"/>
    <w:rsid w:val="005B7B61"/>
    <w:rsid w:val="005C0BA9"/>
    <w:rsid w:val="005C4B37"/>
    <w:rsid w:val="00601142"/>
    <w:rsid w:val="006037E9"/>
    <w:rsid w:val="00606CC6"/>
    <w:rsid w:val="00607CE6"/>
    <w:rsid w:val="006373A2"/>
    <w:rsid w:val="00651368"/>
    <w:rsid w:val="00655064"/>
    <w:rsid w:val="00666F52"/>
    <w:rsid w:val="0067098D"/>
    <w:rsid w:val="00671501"/>
    <w:rsid w:val="00677C68"/>
    <w:rsid w:val="00685EB7"/>
    <w:rsid w:val="006C6431"/>
    <w:rsid w:val="006E1862"/>
    <w:rsid w:val="006F46C0"/>
    <w:rsid w:val="006F5295"/>
    <w:rsid w:val="00700FEC"/>
    <w:rsid w:val="00715C68"/>
    <w:rsid w:val="00716C26"/>
    <w:rsid w:val="007342D8"/>
    <w:rsid w:val="00735FB5"/>
    <w:rsid w:val="00737168"/>
    <w:rsid w:val="00767F4A"/>
    <w:rsid w:val="0077592D"/>
    <w:rsid w:val="00776BD7"/>
    <w:rsid w:val="00776F45"/>
    <w:rsid w:val="00781086"/>
    <w:rsid w:val="00781B5D"/>
    <w:rsid w:val="0078300D"/>
    <w:rsid w:val="00785863"/>
    <w:rsid w:val="007B2C42"/>
    <w:rsid w:val="007E290E"/>
    <w:rsid w:val="007F52B4"/>
    <w:rsid w:val="00801BA1"/>
    <w:rsid w:val="00810E7F"/>
    <w:rsid w:val="00821F12"/>
    <w:rsid w:val="008302E9"/>
    <w:rsid w:val="00830476"/>
    <w:rsid w:val="00836269"/>
    <w:rsid w:val="0086027A"/>
    <w:rsid w:val="008815F0"/>
    <w:rsid w:val="0088200A"/>
    <w:rsid w:val="00890866"/>
    <w:rsid w:val="008B5F1E"/>
    <w:rsid w:val="008C0C3A"/>
    <w:rsid w:val="008C10EA"/>
    <w:rsid w:val="008C36E5"/>
    <w:rsid w:val="008C3FC7"/>
    <w:rsid w:val="008C40C4"/>
    <w:rsid w:val="008D00CF"/>
    <w:rsid w:val="008D1A00"/>
    <w:rsid w:val="008D5354"/>
    <w:rsid w:val="008D5B6F"/>
    <w:rsid w:val="008D7C5A"/>
    <w:rsid w:val="008E1034"/>
    <w:rsid w:val="0091504A"/>
    <w:rsid w:val="009539ED"/>
    <w:rsid w:val="009568FD"/>
    <w:rsid w:val="009703AD"/>
    <w:rsid w:val="00985ECA"/>
    <w:rsid w:val="00987E50"/>
    <w:rsid w:val="009A4003"/>
    <w:rsid w:val="009B63C2"/>
    <w:rsid w:val="009C6AA6"/>
    <w:rsid w:val="009E55CA"/>
    <w:rsid w:val="00A0106C"/>
    <w:rsid w:val="00A4331E"/>
    <w:rsid w:val="00A56EA8"/>
    <w:rsid w:val="00A718CA"/>
    <w:rsid w:val="00A71917"/>
    <w:rsid w:val="00A745E0"/>
    <w:rsid w:val="00A81165"/>
    <w:rsid w:val="00A82CB0"/>
    <w:rsid w:val="00A90486"/>
    <w:rsid w:val="00A92275"/>
    <w:rsid w:val="00A9516B"/>
    <w:rsid w:val="00A9606A"/>
    <w:rsid w:val="00AA0064"/>
    <w:rsid w:val="00AA5E1D"/>
    <w:rsid w:val="00AB4407"/>
    <w:rsid w:val="00AD1799"/>
    <w:rsid w:val="00AE529D"/>
    <w:rsid w:val="00B014C9"/>
    <w:rsid w:val="00B03350"/>
    <w:rsid w:val="00B071CC"/>
    <w:rsid w:val="00B14284"/>
    <w:rsid w:val="00B256F1"/>
    <w:rsid w:val="00B274C0"/>
    <w:rsid w:val="00B312FC"/>
    <w:rsid w:val="00B42D75"/>
    <w:rsid w:val="00B758DF"/>
    <w:rsid w:val="00B92584"/>
    <w:rsid w:val="00B92E88"/>
    <w:rsid w:val="00BA2B4D"/>
    <w:rsid w:val="00BB2FE2"/>
    <w:rsid w:val="00BB3AD7"/>
    <w:rsid w:val="00BD0CBC"/>
    <w:rsid w:val="00BD2528"/>
    <w:rsid w:val="00BD2E14"/>
    <w:rsid w:val="00BE1108"/>
    <w:rsid w:val="00C14939"/>
    <w:rsid w:val="00C35488"/>
    <w:rsid w:val="00C41087"/>
    <w:rsid w:val="00C52115"/>
    <w:rsid w:val="00C70493"/>
    <w:rsid w:val="00C75E6C"/>
    <w:rsid w:val="00C85C9F"/>
    <w:rsid w:val="00C9436A"/>
    <w:rsid w:val="00C97111"/>
    <w:rsid w:val="00CE45E0"/>
    <w:rsid w:val="00CF5EA4"/>
    <w:rsid w:val="00D00DFD"/>
    <w:rsid w:val="00D00EA7"/>
    <w:rsid w:val="00D1474B"/>
    <w:rsid w:val="00D36B7B"/>
    <w:rsid w:val="00D36CA8"/>
    <w:rsid w:val="00D45C70"/>
    <w:rsid w:val="00D72DDF"/>
    <w:rsid w:val="00D86AD4"/>
    <w:rsid w:val="00D94A3B"/>
    <w:rsid w:val="00D94ADC"/>
    <w:rsid w:val="00DB0782"/>
    <w:rsid w:val="00DB082C"/>
    <w:rsid w:val="00DD4373"/>
    <w:rsid w:val="00DD7F33"/>
    <w:rsid w:val="00DE76E5"/>
    <w:rsid w:val="00E07C9A"/>
    <w:rsid w:val="00E24BD2"/>
    <w:rsid w:val="00E41A16"/>
    <w:rsid w:val="00E42341"/>
    <w:rsid w:val="00E43859"/>
    <w:rsid w:val="00E519E6"/>
    <w:rsid w:val="00E51EF2"/>
    <w:rsid w:val="00E55EEB"/>
    <w:rsid w:val="00E66B60"/>
    <w:rsid w:val="00E73891"/>
    <w:rsid w:val="00E76C0A"/>
    <w:rsid w:val="00E9692F"/>
    <w:rsid w:val="00EA0C02"/>
    <w:rsid w:val="00EA37A5"/>
    <w:rsid w:val="00EA5170"/>
    <w:rsid w:val="00EB41DC"/>
    <w:rsid w:val="00EB6C69"/>
    <w:rsid w:val="00EC6483"/>
    <w:rsid w:val="00EC77BD"/>
    <w:rsid w:val="00F00DC1"/>
    <w:rsid w:val="00F10EFB"/>
    <w:rsid w:val="00F11F9B"/>
    <w:rsid w:val="00F124E3"/>
    <w:rsid w:val="00F22927"/>
    <w:rsid w:val="00F421D3"/>
    <w:rsid w:val="00F4738C"/>
    <w:rsid w:val="00F51350"/>
    <w:rsid w:val="00F72526"/>
    <w:rsid w:val="00FB482C"/>
    <w:rsid w:val="00FC0868"/>
    <w:rsid w:val="00FC19D4"/>
    <w:rsid w:val="00FD30ED"/>
    <w:rsid w:val="00FD5EC1"/>
    <w:rsid w:val="00FE5BDD"/>
    <w:rsid w:val="00FF6D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5241"/>
  <w15:docId w15:val="{327A50AF-FD32-4778-9C83-3330B9F0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2">
    <w:name w:val="heading 2"/>
    <w:basedOn w:val="Navaden"/>
    <w:link w:val="Naslov2Znak"/>
    <w:uiPriority w:val="9"/>
    <w:qFormat/>
    <w:rsid w:val="0044727A"/>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rsid w:val="00677C68"/>
    <w:rPr>
      <w:sz w:val="16"/>
      <w:szCs w:val="16"/>
    </w:rPr>
  </w:style>
  <w:style w:type="paragraph" w:styleId="Pripombabesedilo">
    <w:name w:val="annotation text"/>
    <w:basedOn w:val="Navaden"/>
    <w:link w:val="PripombabesediloZnak"/>
    <w:rsid w:val="00677C68"/>
    <w:pPr>
      <w:suppressAutoHyphens/>
      <w:spacing w:after="0" w:line="240" w:lineRule="auto"/>
    </w:pPr>
    <w:rPr>
      <w:rFonts w:ascii="Times New Roman" w:eastAsia="Times New Roman" w:hAnsi="Times New Roman"/>
      <w:sz w:val="20"/>
      <w:szCs w:val="20"/>
      <w:lang w:val="x-none" w:eastAsia="ar-SA"/>
    </w:rPr>
  </w:style>
  <w:style w:type="character" w:customStyle="1" w:styleId="PripombabesediloZnak">
    <w:name w:val="Pripomba – besedilo Znak"/>
    <w:link w:val="Pripombabesedilo"/>
    <w:rsid w:val="00677C68"/>
    <w:rPr>
      <w:rFonts w:ascii="Times New Roman" w:eastAsia="Times New Roman" w:hAnsi="Times New Roman"/>
      <w:lang w:val="x-none" w:eastAsia="ar-SA"/>
    </w:rPr>
  </w:style>
  <w:style w:type="paragraph" w:styleId="Besedilooblaka">
    <w:name w:val="Balloon Text"/>
    <w:basedOn w:val="Navaden"/>
    <w:link w:val="BesedilooblakaZnak"/>
    <w:uiPriority w:val="99"/>
    <w:semiHidden/>
    <w:unhideWhenUsed/>
    <w:rsid w:val="00677C6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677C68"/>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semiHidden/>
    <w:unhideWhenUsed/>
    <w:rsid w:val="00000F08"/>
    <w:pPr>
      <w:suppressAutoHyphens w:val="0"/>
      <w:spacing w:after="200"/>
    </w:pPr>
    <w:rPr>
      <w:rFonts w:ascii="Calibri" w:eastAsia="Calibri" w:hAnsi="Calibri"/>
      <w:b/>
      <w:bCs/>
      <w:lang w:val="sl-SI" w:eastAsia="en-US"/>
    </w:rPr>
  </w:style>
  <w:style w:type="character" w:customStyle="1" w:styleId="ZadevapripombeZnak">
    <w:name w:val="Zadeva pripombe Znak"/>
    <w:basedOn w:val="PripombabesediloZnak"/>
    <w:link w:val="Zadevapripombe"/>
    <w:uiPriority w:val="99"/>
    <w:semiHidden/>
    <w:rsid w:val="00000F08"/>
    <w:rPr>
      <w:rFonts w:ascii="Times New Roman" w:eastAsia="Times New Roman" w:hAnsi="Times New Roman"/>
      <w:b/>
      <w:bCs/>
      <w:lang w:val="x-none" w:eastAsia="en-US"/>
    </w:rPr>
  </w:style>
  <w:style w:type="paragraph" w:styleId="Odstavekseznama">
    <w:name w:val="List Paragraph"/>
    <w:aliases w:val="Odstavec1"/>
    <w:basedOn w:val="Navaden"/>
    <w:link w:val="OdstavekseznamaZnak"/>
    <w:uiPriority w:val="34"/>
    <w:qFormat/>
    <w:rsid w:val="00204C4A"/>
    <w:pPr>
      <w:ind w:left="720"/>
      <w:contextualSpacing/>
    </w:pPr>
  </w:style>
  <w:style w:type="character" w:customStyle="1" w:styleId="Spletnapovezava">
    <w:name w:val="Spletna povezava"/>
    <w:basedOn w:val="Privzetapisavaodstavka"/>
    <w:rsid w:val="005B7B61"/>
    <w:rPr>
      <w:color w:val="0000FF"/>
      <w:u w:val="single"/>
    </w:rPr>
  </w:style>
  <w:style w:type="paragraph" w:customStyle="1" w:styleId="Normal1">
    <w:name w:val="Normal1"/>
    <w:basedOn w:val="Navaden"/>
    <w:qFormat/>
    <w:rsid w:val="005B7B61"/>
    <w:pPr>
      <w:spacing w:before="120" w:after="0" w:line="240" w:lineRule="auto"/>
      <w:jc w:val="both"/>
    </w:pPr>
    <w:rPr>
      <w:rFonts w:ascii="Times" w:eastAsia="Times New Roman" w:hAnsi="Times"/>
      <w:sz w:val="24"/>
      <w:szCs w:val="20"/>
      <w:lang w:val="en-GB" w:eastAsia="sl-SI"/>
    </w:rPr>
  </w:style>
  <w:style w:type="paragraph" w:styleId="Glava">
    <w:name w:val="header"/>
    <w:basedOn w:val="Navaden"/>
    <w:link w:val="GlavaZnak"/>
    <w:uiPriority w:val="99"/>
    <w:unhideWhenUsed/>
    <w:rsid w:val="00EB6C69"/>
    <w:pPr>
      <w:tabs>
        <w:tab w:val="center" w:pos="4536"/>
        <w:tab w:val="right" w:pos="9072"/>
      </w:tabs>
      <w:spacing w:after="0" w:line="240" w:lineRule="auto"/>
    </w:pPr>
  </w:style>
  <w:style w:type="character" w:customStyle="1" w:styleId="GlavaZnak">
    <w:name w:val="Glava Znak"/>
    <w:basedOn w:val="Privzetapisavaodstavka"/>
    <w:link w:val="Glava"/>
    <w:uiPriority w:val="99"/>
    <w:rsid w:val="00EB6C69"/>
    <w:rPr>
      <w:sz w:val="22"/>
      <w:szCs w:val="22"/>
      <w:lang w:eastAsia="en-US"/>
    </w:rPr>
  </w:style>
  <w:style w:type="paragraph" w:styleId="Noga">
    <w:name w:val="footer"/>
    <w:basedOn w:val="Navaden"/>
    <w:link w:val="NogaZnak"/>
    <w:uiPriority w:val="99"/>
    <w:unhideWhenUsed/>
    <w:rsid w:val="00EB6C69"/>
    <w:pPr>
      <w:tabs>
        <w:tab w:val="center" w:pos="4536"/>
        <w:tab w:val="right" w:pos="9072"/>
      </w:tabs>
      <w:spacing w:after="0" w:line="240" w:lineRule="auto"/>
    </w:pPr>
  </w:style>
  <w:style w:type="character" w:customStyle="1" w:styleId="NogaZnak">
    <w:name w:val="Noga Znak"/>
    <w:basedOn w:val="Privzetapisavaodstavka"/>
    <w:link w:val="Noga"/>
    <w:uiPriority w:val="99"/>
    <w:rsid w:val="00EB6C69"/>
    <w:rPr>
      <w:sz w:val="22"/>
      <w:szCs w:val="22"/>
      <w:lang w:eastAsia="en-US"/>
    </w:rPr>
  </w:style>
  <w:style w:type="paragraph" w:styleId="Revizija">
    <w:name w:val="Revision"/>
    <w:hidden/>
    <w:uiPriority w:val="99"/>
    <w:semiHidden/>
    <w:rsid w:val="003D2A73"/>
    <w:rPr>
      <w:sz w:val="22"/>
      <w:szCs w:val="22"/>
      <w:lang w:eastAsia="en-US"/>
    </w:rPr>
  </w:style>
  <w:style w:type="table" w:styleId="Tabelamrea">
    <w:name w:val="Table Grid"/>
    <w:basedOn w:val="Navadnatabela"/>
    <w:uiPriority w:val="59"/>
    <w:rsid w:val="00685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D36B7B"/>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D36B7B"/>
    <w:rPr>
      <w:lang w:eastAsia="en-US"/>
    </w:rPr>
  </w:style>
  <w:style w:type="character" w:styleId="Sprotnaopomba-sklic">
    <w:name w:val="footnote reference"/>
    <w:basedOn w:val="Privzetapisavaodstavka"/>
    <w:unhideWhenUsed/>
    <w:rsid w:val="00D36B7B"/>
    <w:rPr>
      <w:vertAlign w:val="superscript"/>
    </w:rPr>
  </w:style>
  <w:style w:type="character" w:styleId="Hiperpovezava">
    <w:name w:val="Hyperlink"/>
    <w:basedOn w:val="Privzetapisavaodstavka"/>
    <w:uiPriority w:val="99"/>
    <w:semiHidden/>
    <w:unhideWhenUsed/>
    <w:rsid w:val="00D36B7B"/>
    <w:rPr>
      <w:color w:val="0000FF"/>
      <w:u w:val="single"/>
    </w:rPr>
  </w:style>
  <w:style w:type="character" w:customStyle="1" w:styleId="Naslov2Znak">
    <w:name w:val="Naslov 2 Znak"/>
    <w:basedOn w:val="Privzetapisavaodstavka"/>
    <w:link w:val="Naslov2"/>
    <w:uiPriority w:val="9"/>
    <w:rsid w:val="0044727A"/>
    <w:rPr>
      <w:rFonts w:ascii="Times New Roman" w:eastAsia="Times New Roman" w:hAnsi="Times New Roman"/>
      <w:b/>
      <w:bCs/>
      <w:sz w:val="36"/>
      <w:szCs w:val="36"/>
    </w:rPr>
  </w:style>
  <w:style w:type="paragraph" w:customStyle="1" w:styleId="ti-grseq-1">
    <w:name w:val="ti-grseq-1"/>
    <w:basedOn w:val="Navaden"/>
    <w:rsid w:val="0044727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aliases w:val="Odstavec1 Znak"/>
    <w:link w:val="Odstavekseznama"/>
    <w:uiPriority w:val="34"/>
    <w:locked/>
    <w:rsid w:val="0044727A"/>
    <w:rPr>
      <w:sz w:val="22"/>
      <w:szCs w:val="22"/>
      <w:lang w:eastAsia="en-US"/>
    </w:rPr>
  </w:style>
  <w:style w:type="paragraph" w:customStyle="1" w:styleId="align-justify">
    <w:name w:val="align-justify"/>
    <w:basedOn w:val="Navaden"/>
    <w:rsid w:val="0044727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ntStyle16">
    <w:name w:val="Font Style16"/>
    <w:uiPriority w:val="99"/>
    <w:rsid w:val="0044727A"/>
    <w:rPr>
      <w:rFonts w:ascii="Arial" w:hAnsi="Arial" w:cs="Arial"/>
      <w:b/>
      <w:bCs/>
      <w:sz w:val="20"/>
      <w:szCs w:val="20"/>
    </w:rPr>
  </w:style>
  <w:style w:type="character" w:styleId="Krepko">
    <w:name w:val="Strong"/>
    <w:uiPriority w:val="22"/>
    <w:qFormat/>
    <w:rsid w:val="0044727A"/>
    <w:rPr>
      <w:b/>
      <w:bCs/>
    </w:rPr>
  </w:style>
  <w:style w:type="character" w:customStyle="1" w:styleId="tlid-translation">
    <w:name w:val="tlid-translation"/>
    <w:rsid w:val="0044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Gp.gs@gov.si"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mzi.gov.si"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radni-list.si/glasilo-uradni-list-rs/vsebina/2019-01-1925/zakon-o-spremembah-in-dopolnitvah-energetskega-zakona-ez-1b/" TargetMode="External"/><Relationship Id="rId13" Type="http://schemas.openxmlformats.org/officeDocument/2006/relationships/hyperlink" Target="https://www.energetika-portal.si/dokumenti/strateski-razvojni-dokumenti/nacionalni-energetski-in-podnebni-nacrt/dogodki-predhodno-posvetovanje/" TargetMode="External"/><Relationship Id="rId18" Type="http://schemas.openxmlformats.org/officeDocument/2006/relationships/hyperlink" Target="https://www.energetika-portal.si/dokumenti/strateski-razvojni-dokumenti/nacionalni-energetski-in-podnebni-nacrt/dokumenti/" TargetMode="External"/><Relationship Id="rId3" Type="http://schemas.openxmlformats.org/officeDocument/2006/relationships/hyperlink" Target="https://www.energetika-portal.si/dokumenti/strateski-razvojni-dokumenti/nacionalni-energetski-in-podnebni-nacrt/dogodki-predhodno-posvetovanje/" TargetMode="External"/><Relationship Id="rId7" Type="http://schemas.openxmlformats.org/officeDocument/2006/relationships/hyperlink" Target="https://www.energetika-portal.si/dokumenti/strateski-razvojni-dokumenti/nacionalni-energetski-in-podnebni-nacrt/dokumenti/" TargetMode="External"/><Relationship Id="rId12" Type="http://schemas.openxmlformats.org/officeDocument/2006/relationships/hyperlink" Target="https://www.energetika-portal.si/dokumenti/strateski-razvojni-dokumenti/nacionalni-energetski-in-podnebni-nacrt/" TargetMode="External"/><Relationship Id="rId17" Type="http://schemas.openxmlformats.org/officeDocument/2006/relationships/hyperlink" Target="https://www.energetika-portal.si/dokumenti/strateski-razvojni-dokumenti/nacionalni-energetski-in-podnebni-nacrt/regionalno-posvetovanje/" TargetMode="External"/><Relationship Id="rId2" Type="http://schemas.openxmlformats.org/officeDocument/2006/relationships/hyperlink" Target="https://www.energetika-portal.si/dokumenti/strateski-razvojni-dokumenti/nacionalni-energetski-in-podnebni-nacrt/" TargetMode="External"/><Relationship Id="rId16" Type="http://schemas.openxmlformats.org/officeDocument/2006/relationships/hyperlink" Target="https://www.energetika-portal.si/nc/novica/n/poziv-ministrstva-mladim-in-gibanju-mladi-za-podnebno-pravicnost-4210/" TargetMode="External"/><Relationship Id="rId20" Type="http://schemas.openxmlformats.org/officeDocument/2006/relationships/hyperlink" Target="http://ec.europa.eu/environment/nature/natura2000/management/guidance_en.htm" TargetMode="External"/><Relationship Id="rId1" Type="http://schemas.openxmlformats.org/officeDocument/2006/relationships/hyperlink" Target="https://eur-lex.europa.eu/legal-content/SL/TXT/HTML/?uri=CELEX:32018R1999&amp;from=SL" TargetMode="External"/><Relationship Id="rId6" Type="http://schemas.openxmlformats.org/officeDocument/2006/relationships/hyperlink" Target="https://www.energetika-portal.si/fileadmin/dokumenti/publikacije/nepn/dokumenti/nepn_predstavitev_mzi_maj_2019.pdf" TargetMode="External"/><Relationship Id="rId11" Type="http://schemas.openxmlformats.org/officeDocument/2006/relationships/hyperlink" Target="https://www.energetika-portal.si/fileadmin/dokumenti/publikacije/nepn/predhodno_posvetovanje/11-sos.pdf" TargetMode="External"/><Relationship Id="rId5" Type="http://schemas.openxmlformats.org/officeDocument/2006/relationships/hyperlink" Target="https://www.energetika-portal.si/nc/novica/n/poziv-ministrstva-mladim-in-gibanju-mladi-za-podnebno-pravicnost-4210/" TargetMode="External"/><Relationship Id="rId15" Type="http://schemas.openxmlformats.org/officeDocument/2006/relationships/hyperlink" Target="https://www.energetika-portal.si/dokumenti/strateski-razvojni-dokumenti/nacionalni-energetski-in-podnebni-nacrt/zakljucno-posvetovanje/" TargetMode="External"/><Relationship Id="rId10" Type="http://schemas.openxmlformats.org/officeDocument/2006/relationships/hyperlink" Target="https://www.energetika-portal.si/fileadmin/dokumenti/publikacije/nepn/dokumenti/nepn_predstavitev_mzi_maj_2019.pdf" TargetMode="External"/><Relationship Id="rId19" Type="http://schemas.openxmlformats.org/officeDocument/2006/relationships/hyperlink" Target="https://www.energetika-portal.si/dokumenti/strateski-razvojni-dokumenti/nacionalni-energetski-in-podnebni-nacrt/dogodki-predhodno-posvetovanje/" TargetMode="External"/><Relationship Id="rId4" Type="http://schemas.openxmlformats.org/officeDocument/2006/relationships/hyperlink" Target="https://www.energetika-portal.si/dokumenti/strateski-razvojni-dokumenti/nacionalni-energetski-in-podnebni-nacrt/dogodki-komunikacijske-delavnice/" TargetMode="External"/><Relationship Id="rId9" Type="http://schemas.openxmlformats.org/officeDocument/2006/relationships/hyperlink" Target="http://www.vlada.si/fileadmin/dokumenti/si/projekti/2017/srs2030/Strategija_razvoja_Slovenije_2030.pdf" TargetMode="External"/><Relationship Id="rId14" Type="http://schemas.openxmlformats.org/officeDocument/2006/relationships/hyperlink" Target="https://www.energetika-portal.si/dokumenti/strateski-razvojni-dokumenti/nacionalni-energetski-in-podnebni-nacrt/komunikacijske-delavnic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3123-17E1-4CEB-B9A7-5FF276C7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8015</Words>
  <Characters>45686</Characters>
  <Application>Microsoft Office Word</Application>
  <DocSecurity>0</DocSecurity>
  <Lines>380</Lines>
  <Paragraphs>107</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53594</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6422572</vt:i4>
      </vt:variant>
      <vt:variant>
        <vt:i4>0</vt:i4>
      </vt:variant>
      <vt:variant>
        <vt:i4>0</vt:i4>
      </vt:variant>
      <vt:variant>
        <vt:i4>5</vt:i4>
      </vt:variant>
      <vt:variant>
        <vt:lpwstr>http://www.mzi.gov.si/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Silvo Škornik</dc:creator>
  <cp:lastModifiedBy>Tina Seršen</cp:lastModifiedBy>
  <cp:revision>5</cp:revision>
  <cp:lastPrinted>2019-08-05T10:09:00Z</cp:lastPrinted>
  <dcterms:created xsi:type="dcterms:W3CDTF">2019-08-06T10:26:00Z</dcterms:created>
  <dcterms:modified xsi:type="dcterms:W3CDTF">2019-08-06T10:37:00Z</dcterms:modified>
</cp:coreProperties>
</file>