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FA4" w:rsidRPr="002D5D44" w:rsidRDefault="00C35FA4" w:rsidP="00C35FA4">
      <w:pPr>
        <w:jc w:val="center"/>
        <w:rPr>
          <w:rFonts w:ascii="Arial" w:hAnsi="Arial" w:cs="Arial"/>
          <w:sz w:val="20"/>
          <w:szCs w:val="20"/>
        </w:rPr>
      </w:pPr>
      <w:bookmarkStart w:id="0" w:name="_GoBack"/>
      <w:bookmarkEnd w:id="0"/>
      <w:r w:rsidRPr="002D5D44">
        <w:rPr>
          <w:rFonts w:ascii="Arial" w:hAnsi="Arial" w:cs="Arial"/>
          <w:sz w:val="20"/>
          <w:szCs w:val="20"/>
        </w:rPr>
        <w:t>Ministrstvo za okolje in prostor</w:t>
      </w:r>
    </w:p>
    <w:p w:rsidR="00C35FA4" w:rsidRPr="002D5D44" w:rsidRDefault="00C35FA4" w:rsidP="00C35FA4">
      <w:pPr>
        <w:jc w:val="center"/>
        <w:rPr>
          <w:rFonts w:ascii="Arial" w:hAnsi="Arial" w:cs="Arial"/>
        </w:rPr>
      </w:pPr>
    </w:p>
    <w:p w:rsidR="00C35FA4" w:rsidRPr="002D5D44" w:rsidRDefault="00C35FA4" w:rsidP="00C35FA4">
      <w:pPr>
        <w:jc w:val="center"/>
        <w:rPr>
          <w:rFonts w:ascii="Arial" w:hAnsi="Arial" w:cs="Arial"/>
        </w:rPr>
      </w:pPr>
    </w:p>
    <w:p w:rsidR="00C35FA4" w:rsidRPr="002D5D44" w:rsidRDefault="00C35FA4" w:rsidP="00C35FA4">
      <w:pPr>
        <w:jc w:val="center"/>
        <w:rPr>
          <w:rFonts w:ascii="Arial" w:hAnsi="Arial" w:cs="Arial"/>
        </w:rPr>
      </w:pPr>
    </w:p>
    <w:p w:rsidR="00C35FA4" w:rsidRPr="002D5D44" w:rsidRDefault="00C35FA4" w:rsidP="00C35FA4">
      <w:pPr>
        <w:jc w:val="center"/>
        <w:rPr>
          <w:rFonts w:ascii="Arial" w:hAnsi="Arial" w:cs="Arial"/>
        </w:rPr>
      </w:pPr>
    </w:p>
    <w:p w:rsidR="00C35FA4" w:rsidRPr="002D5D44" w:rsidRDefault="00C35FA4" w:rsidP="00C35FA4">
      <w:pPr>
        <w:jc w:val="center"/>
        <w:rPr>
          <w:rFonts w:ascii="Arial" w:hAnsi="Arial" w:cs="Arial"/>
        </w:rPr>
      </w:pPr>
    </w:p>
    <w:p w:rsidR="00C35FA4" w:rsidRPr="002D5D44" w:rsidRDefault="00C35FA4" w:rsidP="00C35FA4">
      <w:pPr>
        <w:jc w:val="center"/>
        <w:rPr>
          <w:rFonts w:ascii="Arial" w:hAnsi="Arial" w:cs="Arial"/>
        </w:rPr>
      </w:pPr>
    </w:p>
    <w:p w:rsidR="00C35FA4" w:rsidRPr="002D5D44" w:rsidRDefault="00C35FA4" w:rsidP="00C35FA4">
      <w:pPr>
        <w:jc w:val="center"/>
        <w:rPr>
          <w:rFonts w:ascii="Arial" w:hAnsi="Arial" w:cs="Arial"/>
        </w:rPr>
      </w:pPr>
    </w:p>
    <w:p w:rsidR="00C35FA4" w:rsidRPr="002D5D44" w:rsidRDefault="00C35FA4" w:rsidP="00C35FA4">
      <w:pPr>
        <w:jc w:val="center"/>
        <w:rPr>
          <w:rFonts w:ascii="Arial" w:hAnsi="Arial" w:cs="Arial"/>
        </w:rPr>
      </w:pPr>
    </w:p>
    <w:p w:rsidR="00C35FA4" w:rsidRPr="002D5D44" w:rsidRDefault="00C35FA4" w:rsidP="00C35FA4">
      <w:pPr>
        <w:jc w:val="center"/>
        <w:rPr>
          <w:rFonts w:ascii="Arial" w:hAnsi="Arial" w:cs="Arial"/>
        </w:rPr>
      </w:pPr>
    </w:p>
    <w:p w:rsidR="00C35FA4" w:rsidRPr="002D5D44" w:rsidRDefault="00C35FA4" w:rsidP="00C35FA4">
      <w:pPr>
        <w:jc w:val="center"/>
        <w:rPr>
          <w:rFonts w:ascii="Arial" w:hAnsi="Arial" w:cs="Arial"/>
        </w:rPr>
      </w:pPr>
    </w:p>
    <w:p w:rsidR="00C35FA4" w:rsidRPr="002D5D44" w:rsidRDefault="00C35FA4" w:rsidP="00C35FA4">
      <w:pPr>
        <w:jc w:val="center"/>
        <w:rPr>
          <w:rFonts w:ascii="Arial" w:hAnsi="Arial" w:cs="Arial"/>
        </w:rPr>
      </w:pPr>
    </w:p>
    <w:p w:rsidR="000722E4" w:rsidRPr="002D5D44" w:rsidRDefault="00C35FA4" w:rsidP="00C35FA4">
      <w:pPr>
        <w:jc w:val="center"/>
        <w:rPr>
          <w:rFonts w:ascii="Arial" w:hAnsi="Arial" w:cs="Arial"/>
          <w:sz w:val="20"/>
          <w:szCs w:val="20"/>
        </w:rPr>
      </w:pPr>
      <w:r w:rsidRPr="002D5D44">
        <w:rPr>
          <w:rFonts w:ascii="Arial" w:hAnsi="Arial" w:cs="Arial"/>
          <w:sz w:val="40"/>
          <w:szCs w:val="40"/>
        </w:rPr>
        <w:t>Tretje letno poročilo o izvajanju Operativnega programa ukrepov zmanjšanja emisij toplogrednih plinov do leta 2020</w:t>
      </w:r>
    </w:p>
    <w:p w:rsidR="00C35FA4" w:rsidRPr="002D5D44" w:rsidRDefault="00C35FA4" w:rsidP="00C35FA4">
      <w:pPr>
        <w:jc w:val="center"/>
        <w:rPr>
          <w:rFonts w:ascii="Arial" w:hAnsi="Arial" w:cs="Arial"/>
          <w:sz w:val="20"/>
          <w:szCs w:val="20"/>
        </w:rPr>
      </w:pPr>
    </w:p>
    <w:p w:rsidR="00C35FA4" w:rsidRPr="002D5D44" w:rsidRDefault="00C35FA4" w:rsidP="00C35FA4">
      <w:pPr>
        <w:jc w:val="center"/>
        <w:rPr>
          <w:rFonts w:ascii="Arial" w:hAnsi="Arial" w:cs="Arial"/>
          <w:sz w:val="20"/>
          <w:szCs w:val="20"/>
        </w:rPr>
      </w:pPr>
    </w:p>
    <w:p w:rsidR="00C35FA4" w:rsidRPr="002D5D44" w:rsidRDefault="00C35FA4" w:rsidP="00C35FA4">
      <w:pPr>
        <w:jc w:val="center"/>
        <w:rPr>
          <w:rFonts w:ascii="Arial" w:hAnsi="Arial" w:cs="Arial"/>
          <w:sz w:val="20"/>
          <w:szCs w:val="20"/>
        </w:rPr>
      </w:pPr>
    </w:p>
    <w:p w:rsidR="00C35FA4" w:rsidRPr="002D5D44" w:rsidRDefault="00C35FA4" w:rsidP="00C35FA4">
      <w:pPr>
        <w:jc w:val="center"/>
        <w:rPr>
          <w:rFonts w:ascii="Arial" w:hAnsi="Arial" w:cs="Arial"/>
          <w:sz w:val="20"/>
          <w:szCs w:val="20"/>
        </w:rPr>
      </w:pPr>
    </w:p>
    <w:p w:rsidR="00C35FA4" w:rsidRPr="002D5D44" w:rsidRDefault="00C35FA4" w:rsidP="00C35FA4">
      <w:pPr>
        <w:jc w:val="center"/>
        <w:rPr>
          <w:rFonts w:ascii="Arial" w:hAnsi="Arial" w:cs="Arial"/>
          <w:sz w:val="20"/>
          <w:szCs w:val="20"/>
        </w:rPr>
      </w:pPr>
    </w:p>
    <w:p w:rsidR="00C35FA4" w:rsidRPr="002D5D44" w:rsidRDefault="00C35FA4" w:rsidP="00C35FA4">
      <w:pPr>
        <w:jc w:val="center"/>
        <w:rPr>
          <w:rFonts w:ascii="Arial" w:hAnsi="Arial" w:cs="Arial"/>
          <w:sz w:val="20"/>
          <w:szCs w:val="20"/>
        </w:rPr>
      </w:pPr>
    </w:p>
    <w:p w:rsidR="00C35FA4" w:rsidRPr="002D5D44" w:rsidRDefault="00C35FA4" w:rsidP="00C35FA4">
      <w:pPr>
        <w:jc w:val="center"/>
        <w:rPr>
          <w:rFonts w:ascii="Arial" w:hAnsi="Arial" w:cs="Arial"/>
          <w:sz w:val="20"/>
          <w:szCs w:val="20"/>
        </w:rPr>
      </w:pPr>
    </w:p>
    <w:p w:rsidR="00C35FA4" w:rsidRPr="002D5D44" w:rsidRDefault="00C35FA4" w:rsidP="00C35FA4">
      <w:pPr>
        <w:jc w:val="center"/>
        <w:rPr>
          <w:rFonts w:ascii="Arial" w:hAnsi="Arial" w:cs="Arial"/>
          <w:sz w:val="20"/>
          <w:szCs w:val="20"/>
        </w:rPr>
      </w:pPr>
    </w:p>
    <w:p w:rsidR="00C35FA4" w:rsidRPr="002D5D44" w:rsidRDefault="00C35FA4" w:rsidP="00C35FA4">
      <w:pPr>
        <w:jc w:val="center"/>
        <w:rPr>
          <w:rFonts w:ascii="Arial" w:hAnsi="Arial" w:cs="Arial"/>
          <w:sz w:val="20"/>
          <w:szCs w:val="20"/>
        </w:rPr>
      </w:pPr>
    </w:p>
    <w:p w:rsidR="00C35FA4" w:rsidRPr="002D5D44" w:rsidRDefault="00C35FA4" w:rsidP="00C35FA4">
      <w:pPr>
        <w:jc w:val="center"/>
        <w:rPr>
          <w:rFonts w:ascii="Arial" w:hAnsi="Arial" w:cs="Arial"/>
          <w:sz w:val="20"/>
          <w:szCs w:val="20"/>
        </w:rPr>
      </w:pPr>
    </w:p>
    <w:p w:rsidR="00C35FA4" w:rsidRPr="002D5D44" w:rsidRDefault="001A4817" w:rsidP="00C35FA4">
      <w:pPr>
        <w:jc w:val="center"/>
        <w:rPr>
          <w:rFonts w:ascii="Arial" w:hAnsi="Arial" w:cs="Arial"/>
          <w:sz w:val="20"/>
          <w:szCs w:val="20"/>
        </w:rPr>
      </w:pPr>
      <w:r>
        <w:rPr>
          <w:rFonts w:ascii="Arial" w:hAnsi="Arial" w:cs="Arial"/>
          <w:sz w:val="20"/>
          <w:szCs w:val="20"/>
        </w:rPr>
        <w:t>December</w:t>
      </w:r>
      <w:r w:rsidR="00C35FA4" w:rsidRPr="002D5D44">
        <w:rPr>
          <w:rFonts w:ascii="Arial" w:hAnsi="Arial" w:cs="Arial"/>
          <w:sz w:val="20"/>
          <w:szCs w:val="20"/>
        </w:rPr>
        <w:t xml:space="preserve"> 2018</w:t>
      </w:r>
    </w:p>
    <w:p w:rsidR="00C35FA4" w:rsidRPr="002D5D44" w:rsidRDefault="00C35FA4" w:rsidP="00C35FA4">
      <w:pPr>
        <w:jc w:val="center"/>
        <w:rPr>
          <w:rFonts w:ascii="Arial" w:hAnsi="Arial" w:cs="Arial"/>
          <w:sz w:val="20"/>
          <w:szCs w:val="20"/>
        </w:rPr>
      </w:pPr>
    </w:p>
    <w:p w:rsidR="00C35FA4" w:rsidRPr="002D5D44" w:rsidRDefault="00C35FA4" w:rsidP="00C35FA4">
      <w:pPr>
        <w:jc w:val="center"/>
        <w:rPr>
          <w:rFonts w:ascii="Arial" w:hAnsi="Arial" w:cs="Arial"/>
          <w:sz w:val="20"/>
          <w:szCs w:val="20"/>
        </w:rPr>
      </w:pPr>
    </w:p>
    <w:p w:rsidR="00C35FA4" w:rsidRPr="002D5D44" w:rsidRDefault="00C35FA4" w:rsidP="00C35FA4">
      <w:pPr>
        <w:jc w:val="center"/>
        <w:rPr>
          <w:rFonts w:ascii="Arial" w:hAnsi="Arial" w:cs="Arial"/>
          <w:sz w:val="20"/>
          <w:szCs w:val="20"/>
        </w:rPr>
      </w:pPr>
    </w:p>
    <w:sdt>
      <w:sdtPr>
        <w:rPr>
          <w:rFonts w:ascii="Arial" w:eastAsiaTheme="minorHAnsi" w:hAnsi="Arial" w:cs="Arial"/>
          <w:b w:val="0"/>
          <w:bCs w:val="0"/>
          <w:color w:val="auto"/>
          <w:sz w:val="22"/>
          <w:szCs w:val="22"/>
          <w:lang w:eastAsia="en-US"/>
        </w:rPr>
        <w:id w:val="-1512909830"/>
        <w:docPartObj>
          <w:docPartGallery w:val="Table of Contents"/>
          <w:docPartUnique/>
        </w:docPartObj>
      </w:sdtPr>
      <w:sdtEndPr/>
      <w:sdtContent>
        <w:p w:rsidR="00D96E78" w:rsidRPr="00EC19A2" w:rsidRDefault="00D96E78">
          <w:pPr>
            <w:pStyle w:val="NaslovTOC"/>
            <w:rPr>
              <w:rFonts w:ascii="Arial" w:hAnsi="Arial" w:cs="Arial"/>
              <w:color w:val="auto"/>
            </w:rPr>
          </w:pPr>
          <w:r w:rsidRPr="00EC19A2">
            <w:rPr>
              <w:rFonts w:ascii="Arial" w:hAnsi="Arial" w:cs="Arial"/>
              <w:color w:val="auto"/>
            </w:rPr>
            <w:t>Kazalo vsebine</w:t>
          </w:r>
        </w:p>
        <w:p w:rsidR="00967F04" w:rsidRPr="00967F04" w:rsidRDefault="00D96E78">
          <w:pPr>
            <w:pStyle w:val="Kazalovsebine1"/>
            <w:tabs>
              <w:tab w:val="left" w:pos="440"/>
              <w:tab w:val="right" w:leader="dot" w:pos="9062"/>
            </w:tabs>
            <w:rPr>
              <w:rFonts w:ascii="Arial" w:hAnsi="Arial" w:cs="Arial"/>
              <w:noProof/>
            </w:rPr>
          </w:pPr>
          <w:r w:rsidRPr="00EC19A2">
            <w:rPr>
              <w:rFonts w:ascii="Arial" w:hAnsi="Arial" w:cs="Arial"/>
            </w:rPr>
            <w:fldChar w:fldCharType="begin"/>
          </w:r>
          <w:r w:rsidRPr="00EC19A2">
            <w:rPr>
              <w:rFonts w:ascii="Arial" w:hAnsi="Arial" w:cs="Arial"/>
            </w:rPr>
            <w:instrText xml:space="preserve"> TOC \o "1-3" \h \z \u </w:instrText>
          </w:r>
          <w:r w:rsidRPr="00EC19A2">
            <w:rPr>
              <w:rFonts w:ascii="Arial" w:hAnsi="Arial" w:cs="Arial"/>
            </w:rPr>
            <w:fldChar w:fldCharType="separate"/>
          </w:r>
          <w:hyperlink w:anchor="_Toc531933445" w:history="1">
            <w:r w:rsidR="00967F04" w:rsidRPr="00967F04">
              <w:rPr>
                <w:rStyle w:val="Hiperpovezava"/>
                <w:rFonts w:ascii="Arial" w:hAnsi="Arial" w:cs="Arial"/>
                <w:noProof/>
              </w:rPr>
              <w:t>1.</w:t>
            </w:r>
            <w:r w:rsidR="00967F04" w:rsidRPr="00967F04">
              <w:rPr>
                <w:rFonts w:ascii="Arial" w:hAnsi="Arial" w:cs="Arial"/>
                <w:noProof/>
              </w:rPr>
              <w:tab/>
            </w:r>
            <w:r w:rsidR="00967F04" w:rsidRPr="00967F04">
              <w:rPr>
                <w:rStyle w:val="Hiperpovezava"/>
                <w:rFonts w:ascii="Arial" w:hAnsi="Arial" w:cs="Arial"/>
                <w:noProof/>
              </w:rPr>
              <w:t>Uvod</w:t>
            </w:r>
            <w:r w:rsidR="00967F04" w:rsidRPr="00967F04">
              <w:rPr>
                <w:rFonts w:ascii="Arial" w:hAnsi="Arial" w:cs="Arial"/>
                <w:noProof/>
                <w:webHidden/>
              </w:rPr>
              <w:tab/>
            </w:r>
            <w:r w:rsidR="00967F04" w:rsidRPr="00967F04">
              <w:rPr>
                <w:rFonts w:ascii="Arial" w:hAnsi="Arial" w:cs="Arial"/>
                <w:noProof/>
                <w:webHidden/>
              </w:rPr>
              <w:fldChar w:fldCharType="begin"/>
            </w:r>
            <w:r w:rsidR="00967F04" w:rsidRPr="00967F04">
              <w:rPr>
                <w:rFonts w:ascii="Arial" w:hAnsi="Arial" w:cs="Arial"/>
                <w:noProof/>
                <w:webHidden/>
              </w:rPr>
              <w:instrText xml:space="preserve"> PAGEREF _Toc531933445 \h </w:instrText>
            </w:r>
            <w:r w:rsidR="00967F04" w:rsidRPr="00967F04">
              <w:rPr>
                <w:rFonts w:ascii="Arial" w:hAnsi="Arial" w:cs="Arial"/>
                <w:noProof/>
                <w:webHidden/>
              </w:rPr>
            </w:r>
            <w:r w:rsidR="00967F04" w:rsidRPr="00967F04">
              <w:rPr>
                <w:rFonts w:ascii="Arial" w:hAnsi="Arial" w:cs="Arial"/>
                <w:noProof/>
                <w:webHidden/>
              </w:rPr>
              <w:fldChar w:fldCharType="separate"/>
            </w:r>
            <w:r w:rsidR="00967F04" w:rsidRPr="00967F04">
              <w:rPr>
                <w:rFonts w:ascii="Arial" w:hAnsi="Arial" w:cs="Arial"/>
                <w:noProof/>
                <w:webHidden/>
              </w:rPr>
              <w:t>1</w:t>
            </w:r>
            <w:r w:rsidR="00967F04" w:rsidRPr="00967F04">
              <w:rPr>
                <w:rFonts w:ascii="Arial" w:hAnsi="Arial" w:cs="Arial"/>
                <w:noProof/>
                <w:webHidden/>
              </w:rPr>
              <w:fldChar w:fldCharType="end"/>
            </w:r>
          </w:hyperlink>
        </w:p>
        <w:p w:rsidR="00967F04" w:rsidRPr="00967F04" w:rsidRDefault="000730B6">
          <w:pPr>
            <w:pStyle w:val="Kazalovsebine1"/>
            <w:tabs>
              <w:tab w:val="left" w:pos="440"/>
              <w:tab w:val="right" w:leader="dot" w:pos="9062"/>
            </w:tabs>
            <w:rPr>
              <w:rFonts w:ascii="Arial" w:hAnsi="Arial" w:cs="Arial"/>
              <w:noProof/>
            </w:rPr>
          </w:pPr>
          <w:hyperlink w:anchor="_Toc531933446" w:history="1">
            <w:r w:rsidR="00967F04" w:rsidRPr="00967F04">
              <w:rPr>
                <w:rStyle w:val="Hiperpovezava"/>
                <w:rFonts w:ascii="Arial" w:hAnsi="Arial" w:cs="Arial"/>
                <w:noProof/>
              </w:rPr>
              <w:t>2.</w:t>
            </w:r>
            <w:r w:rsidR="00967F04" w:rsidRPr="00967F04">
              <w:rPr>
                <w:rFonts w:ascii="Arial" w:hAnsi="Arial" w:cs="Arial"/>
                <w:noProof/>
              </w:rPr>
              <w:tab/>
            </w:r>
            <w:r w:rsidR="00967F04" w:rsidRPr="00967F04">
              <w:rPr>
                <w:rStyle w:val="Hiperpovezava"/>
                <w:rFonts w:ascii="Arial" w:hAnsi="Arial" w:cs="Arial"/>
                <w:noProof/>
              </w:rPr>
              <w:t>Povzetek in ključne ugotovitve</w:t>
            </w:r>
            <w:r w:rsidR="00967F04" w:rsidRPr="00967F04">
              <w:rPr>
                <w:rFonts w:ascii="Arial" w:hAnsi="Arial" w:cs="Arial"/>
                <w:noProof/>
                <w:webHidden/>
              </w:rPr>
              <w:tab/>
            </w:r>
            <w:r w:rsidR="00967F04" w:rsidRPr="00967F04">
              <w:rPr>
                <w:rFonts w:ascii="Arial" w:hAnsi="Arial" w:cs="Arial"/>
                <w:noProof/>
                <w:webHidden/>
              </w:rPr>
              <w:fldChar w:fldCharType="begin"/>
            </w:r>
            <w:r w:rsidR="00967F04" w:rsidRPr="00967F04">
              <w:rPr>
                <w:rFonts w:ascii="Arial" w:hAnsi="Arial" w:cs="Arial"/>
                <w:noProof/>
                <w:webHidden/>
              </w:rPr>
              <w:instrText xml:space="preserve"> PAGEREF _Toc531933446 \h </w:instrText>
            </w:r>
            <w:r w:rsidR="00967F04" w:rsidRPr="00967F04">
              <w:rPr>
                <w:rFonts w:ascii="Arial" w:hAnsi="Arial" w:cs="Arial"/>
                <w:noProof/>
                <w:webHidden/>
              </w:rPr>
            </w:r>
            <w:r w:rsidR="00967F04" w:rsidRPr="00967F04">
              <w:rPr>
                <w:rFonts w:ascii="Arial" w:hAnsi="Arial" w:cs="Arial"/>
                <w:noProof/>
                <w:webHidden/>
              </w:rPr>
              <w:fldChar w:fldCharType="separate"/>
            </w:r>
            <w:r w:rsidR="00967F04" w:rsidRPr="00967F04">
              <w:rPr>
                <w:rFonts w:ascii="Arial" w:hAnsi="Arial" w:cs="Arial"/>
                <w:noProof/>
                <w:webHidden/>
              </w:rPr>
              <w:t>2</w:t>
            </w:r>
            <w:r w:rsidR="00967F04" w:rsidRPr="00967F04">
              <w:rPr>
                <w:rFonts w:ascii="Arial" w:hAnsi="Arial" w:cs="Arial"/>
                <w:noProof/>
                <w:webHidden/>
              </w:rPr>
              <w:fldChar w:fldCharType="end"/>
            </w:r>
          </w:hyperlink>
        </w:p>
        <w:p w:rsidR="00967F04" w:rsidRPr="00967F04" w:rsidRDefault="000730B6">
          <w:pPr>
            <w:pStyle w:val="Kazalovsebine1"/>
            <w:tabs>
              <w:tab w:val="left" w:pos="440"/>
              <w:tab w:val="right" w:leader="dot" w:pos="9062"/>
            </w:tabs>
            <w:rPr>
              <w:rFonts w:ascii="Arial" w:hAnsi="Arial" w:cs="Arial"/>
              <w:noProof/>
            </w:rPr>
          </w:pPr>
          <w:hyperlink w:anchor="_Toc531933447" w:history="1">
            <w:r w:rsidR="00967F04" w:rsidRPr="00967F04">
              <w:rPr>
                <w:rStyle w:val="Hiperpovezava"/>
                <w:rFonts w:ascii="Arial" w:hAnsi="Arial" w:cs="Arial"/>
                <w:noProof/>
              </w:rPr>
              <w:t>3.</w:t>
            </w:r>
            <w:r w:rsidR="00967F04" w:rsidRPr="00967F04">
              <w:rPr>
                <w:rFonts w:ascii="Arial" w:hAnsi="Arial" w:cs="Arial"/>
                <w:noProof/>
              </w:rPr>
              <w:tab/>
            </w:r>
            <w:r w:rsidR="00967F04" w:rsidRPr="00967F04">
              <w:rPr>
                <w:rStyle w:val="Hiperpovezava"/>
                <w:rFonts w:ascii="Arial" w:hAnsi="Arial" w:cs="Arial"/>
                <w:noProof/>
              </w:rPr>
              <w:t>Ocena doseganja ciljev</w:t>
            </w:r>
            <w:r w:rsidR="00967F04" w:rsidRPr="00967F04">
              <w:rPr>
                <w:rFonts w:ascii="Arial" w:hAnsi="Arial" w:cs="Arial"/>
                <w:noProof/>
                <w:webHidden/>
              </w:rPr>
              <w:tab/>
            </w:r>
            <w:r w:rsidR="00967F04" w:rsidRPr="00967F04">
              <w:rPr>
                <w:rFonts w:ascii="Arial" w:hAnsi="Arial" w:cs="Arial"/>
                <w:noProof/>
                <w:webHidden/>
              </w:rPr>
              <w:fldChar w:fldCharType="begin"/>
            </w:r>
            <w:r w:rsidR="00967F04" w:rsidRPr="00967F04">
              <w:rPr>
                <w:rFonts w:ascii="Arial" w:hAnsi="Arial" w:cs="Arial"/>
                <w:noProof/>
                <w:webHidden/>
              </w:rPr>
              <w:instrText xml:space="preserve"> PAGEREF _Toc531933447 \h </w:instrText>
            </w:r>
            <w:r w:rsidR="00967F04" w:rsidRPr="00967F04">
              <w:rPr>
                <w:rFonts w:ascii="Arial" w:hAnsi="Arial" w:cs="Arial"/>
                <w:noProof/>
                <w:webHidden/>
              </w:rPr>
            </w:r>
            <w:r w:rsidR="00967F04" w:rsidRPr="00967F04">
              <w:rPr>
                <w:rFonts w:ascii="Arial" w:hAnsi="Arial" w:cs="Arial"/>
                <w:noProof/>
                <w:webHidden/>
              </w:rPr>
              <w:fldChar w:fldCharType="separate"/>
            </w:r>
            <w:r w:rsidR="00967F04" w:rsidRPr="00967F04">
              <w:rPr>
                <w:rFonts w:ascii="Arial" w:hAnsi="Arial" w:cs="Arial"/>
                <w:noProof/>
                <w:webHidden/>
              </w:rPr>
              <w:t>3</w:t>
            </w:r>
            <w:r w:rsidR="00967F04" w:rsidRPr="00967F04">
              <w:rPr>
                <w:rFonts w:ascii="Arial" w:hAnsi="Arial" w:cs="Arial"/>
                <w:noProof/>
                <w:webHidden/>
              </w:rPr>
              <w:fldChar w:fldCharType="end"/>
            </w:r>
          </w:hyperlink>
        </w:p>
        <w:p w:rsidR="00967F04" w:rsidRPr="00967F04" w:rsidRDefault="000730B6">
          <w:pPr>
            <w:pStyle w:val="Kazalovsebine2"/>
            <w:rPr>
              <w:sz w:val="22"/>
              <w:szCs w:val="22"/>
            </w:rPr>
          </w:pPr>
          <w:hyperlink w:anchor="_Toc531933448" w:history="1">
            <w:r w:rsidR="00967F04" w:rsidRPr="00967F04">
              <w:rPr>
                <w:rStyle w:val="Hiperpovezava"/>
              </w:rPr>
              <w:t>3.1.</w:t>
            </w:r>
            <w:r w:rsidR="00967F04" w:rsidRPr="00967F04">
              <w:rPr>
                <w:sz w:val="22"/>
                <w:szCs w:val="22"/>
              </w:rPr>
              <w:tab/>
            </w:r>
            <w:r w:rsidR="00967F04" w:rsidRPr="00967F04">
              <w:rPr>
                <w:rStyle w:val="Hiperpovezava"/>
              </w:rPr>
              <w:t>Doseganje ciljev po Odločbi 406/2009/ES</w:t>
            </w:r>
            <w:r w:rsidR="00967F04" w:rsidRPr="00967F04">
              <w:rPr>
                <w:webHidden/>
              </w:rPr>
              <w:tab/>
            </w:r>
            <w:r w:rsidR="00967F04" w:rsidRPr="00967F04">
              <w:rPr>
                <w:webHidden/>
              </w:rPr>
              <w:fldChar w:fldCharType="begin"/>
            </w:r>
            <w:r w:rsidR="00967F04" w:rsidRPr="00967F04">
              <w:rPr>
                <w:webHidden/>
              </w:rPr>
              <w:instrText xml:space="preserve"> PAGEREF _Toc531933448 \h </w:instrText>
            </w:r>
            <w:r w:rsidR="00967F04" w:rsidRPr="00967F04">
              <w:rPr>
                <w:webHidden/>
              </w:rPr>
            </w:r>
            <w:r w:rsidR="00967F04" w:rsidRPr="00967F04">
              <w:rPr>
                <w:webHidden/>
              </w:rPr>
              <w:fldChar w:fldCharType="separate"/>
            </w:r>
            <w:r w:rsidR="00967F04" w:rsidRPr="00967F04">
              <w:rPr>
                <w:webHidden/>
              </w:rPr>
              <w:t>3</w:t>
            </w:r>
            <w:r w:rsidR="00967F04" w:rsidRPr="00967F04">
              <w:rPr>
                <w:webHidden/>
              </w:rPr>
              <w:fldChar w:fldCharType="end"/>
            </w:r>
          </w:hyperlink>
        </w:p>
        <w:p w:rsidR="00967F04" w:rsidRPr="00967F04" w:rsidRDefault="000730B6">
          <w:pPr>
            <w:pStyle w:val="Kazalovsebine2"/>
            <w:rPr>
              <w:sz w:val="22"/>
              <w:szCs w:val="22"/>
            </w:rPr>
          </w:pPr>
          <w:hyperlink w:anchor="_Toc531933449" w:history="1">
            <w:r w:rsidR="00967F04" w:rsidRPr="00967F04">
              <w:rPr>
                <w:rStyle w:val="Hiperpovezava"/>
              </w:rPr>
              <w:t>3.2.</w:t>
            </w:r>
            <w:r w:rsidR="00967F04" w:rsidRPr="00967F04">
              <w:rPr>
                <w:sz w:val="22"/>
                <w:szCs w:val="22"/>
              </w:rPr>
              <w:tab/>
            </w:r>
            <w:r w:rsidR="00967F04" w:rsidRPr="00967F04">
              <w:rPr>
                <w:rStyle w:val="Hiperpovezava"/>
              </w:rPr>
              <w:t>Doseganja indikativnih sektorskih ciljev omejevanja emisij TGP iz OP TGP 2020</w:t>
            </w:r>
            <w:r w:rsidR="00967F04" w:rsidRPr="00967F04">
              <w:rPr>
                <w:webHidden/>
              </w:rPr>
              <w:tab/>
            </w:r>
            <w:r w:rsidR="00967F04" w:rsidRPr="00967F04">
              <w:rPr>
                <w:webHidden/>
              </w:rPr>
              <w:fldChar w:fldCharType="begin"/>
            </w:r>
            <w:r w:rsidR="00967F04" w:rsidRPr="00967F04">
              <w:rPr>
                <w:webHidden/>
              </w:rPr>
              <w:instrText xml:space="preserve"> PAGEREF _Toc531933449 \h </w:instrText>
            </w:r>
            <w:r w:rsidR="00967F04" w:rsidRPr="00967F04">
              <w:rPr>
                <w:webHidden/>
              </w:rPr>
            </w:r>
            <w:r w:rsidR="00967F04" w:rsidRPr="00967F04">
              <w:rPr>
                <w:webHidden/>
              </w:rPr>
              <w:fldChar w:fldCharType="separate"/>
            </w:r>
            <w:r w:rsidR="00967F04" w:rsidRPr="00967F04">
              <w:rPr>
                <w:webHidden/>
              </w:rPr>
              <w:t>4</w:t>
            </w:r>
            <w:r w:rsidR="00967F04" w:rsidRPr="00967F04">
              <w:rPr>
                <w:webHidden/>
              </w:rPr>
              <w:fldChar w:fldCharType="end"/>
            </w:r>
          </w:hyperlink>
        </w:p>
        <w:p w:rsidR="00967F04" w:rsidRPr="00967F04" w:rsidRDefault="000730B6">
          <w:pPr>
            <w:pStyle w:val="Kazalovsebine1"/>
            <w:tabs>
              <w:tab w:val="left" w:pos="440"/>
              <w:tab w:val="right" w:leader="dot" w:pos="9062"/>
            </w:tabs>
            <w:rPr>
              <w:rFonts w:ascii="Arial" w:hAnsi="Arial" w:cs="Arial"/>
              <w:noProof/>
            </w:rPr>
          </w:pPr>
          <w:hyperlink w:anchor="_Toc531933450" w:history="1">
            <w:r w:rsidR="00967F04" w:rsidRPr="00967F04">
              <w:rPr>
                <w:rStyle w:val="Hiperpovezava"/>
                <w:rFonts w:ascii="Arial" w:hAnsi="Arial" w:cs="Arial"/>
                <w:noProof/>
              </w:rPr>
              <w:t>4.</w:t>
            </w:r>
            <w:r w:rsidR="00967F04" w:rsidRPr="00967F04">
              <w:rPr>
                <w:rFonts w:ascii="Arial" w:hAnsi="Arial" w:cs="Arial"/>
                <w:noProof/>
              </w:rPr>
              <w:tab/>
            </w:r>
            <w:r w:rsidR="00967F04" w:rsidRPr="00967F04">
              <w:rPr>
                <w:rStyle w:val="Hiperpovezava"/>
                <w:rFonts w:ascii="Arial" w:hAnsi="Arial" w:cs="Arial"/>
                <w:noProof/>
              </w:rPr>
              <w:t>Prve ocene emisij TGP za leto 2017</w:t>
            </w:r>
            <w:r w:rsidR="00967F04" w:rsidRPr="00967F04">
              <w:rPr>
                <w:rFonts w:ascii="Arial" w:hAnsi="Arial" w:cs="Arial"/>
                <w:noProof/>
                <w:webHidden/>
              </w:rPr>
              <w:tab/>
            </w:r>
            <w:r w:rsidR="00967F04" w:rsidRPr="00967F04">
              <w:rPr>
                <w:rFonts w:ascii="Arial" w:hAnsi="Arial" w:cs="Arial"/>
                <w:noProof/>
                <w:webHidden/>
              </w:rPr>
              <w:fldChar w:fldCharType="begin"/>
            </w:r>
            <w:r w:rsidR="00967F04" w:rsidRPr="00967F04">
              <w:rPr>
                <w:rFonts w:ascii="Arial" w:hAnsi="Arial" w:cs="Arial"/>
                <w:noProof/>
                <w:webHidden/>
              </w:rPr>
              <w:instrText xml:space="preserve"> PAGEREF _Toc531933450 \h </w:instrText>
            </w:r>
            <w:r w:rsidR="00967F04" w:rsidRPr="00967F04">
              <w:rPr>
                <w:rFonts w:ascii="Arial" w:hAnsi="Arial" w:cs="Arial"/>
                <w:noProof/>
                <w:webHidden/>
              </w:rPr>
            </w:r>
            <w:r w:rsidR="00967F04" w:rsidRPr="00967F04">
              <w:rPr>
                <w:rFonts w:ascii="Arial" w:hAnsi="Arial" w:cs="Arial"/>
                <w:noProof/>
                <w:webHidden/>
              </w:rPr>
              <w:fldChar w:fldCharType="separate"/>
            </w:r>
            <w:r w:rsidR="00967F04" w:rsidRPr="00967F04">
              <w:rPr>
                <w:rFonts w:ascii="Arial" w:hAnsi="Arial" w:cs="Arial"/>
                <w:noProof/>
                <w:webHidden/>
              </w:rPr>
              <w:t>7</w:t>
            </w:r>
            <w:r w:rsidR="00967F04" w:rsidRPr="00967F04">
              <w:rPr>
                <w:rFonts w:ascii="Arial" w:hAnsi="Arial" w:cs="Arial"/>
                <w:noProof/>
                <w:webHidden/>
              </w:rPr>
              <w:fldChar w:fldCharType="end"/>
            </w:r>
          </w:hyperlink>
        </w:p>
        <w:p w:rsidR="00967F04" w:rsidRPr="00967F04" w:rsidRDefault="000730B6">
          <w:pPr>
            <w:pStyle w:val="Kazalovsebine1"/>
            <w:tabs>
              <w:tab w:val="left" w:pos="440"/>
              <w:tab w:val="right" w:leader="dot" w:pos="9062"/>
            </w:tabs>
            <w:rPr>
              <w:rFonts w:ascii="Arial" w:hAnsi="Arial" w:cs="Arial"/>
              <w:noProof/>
            </w:rPr>
          </w:pPr>
          <w:hyperlink w:anchor="_Toc531933451" w:history="1">
            <w:r w:rsidR="00967F04" w:rsidRPr="00967F04">
              <w:rPr>
                <w:rStyle w:val="Hiperpovezava"/>
                <w:rFonts w:ascii="Arial" w:hAnsi="Arial" w:cs="Arial"/>
                <w:noProof/>
              </w:rPr>
              <w:t>5.</w:t>
            </w:r>
            <w:r w:rsidR="00967F04" w:rsidRPr="00967F04">
              <w:rPr>
                <w:rFonts w:ascii="Arial" w:hAnsi="Arial" w:cs="Arial"/>
                <w:noProof/>
              </w:rPr>
              <w:tab/>
            </w:r>
            <w:r w:rsidR="00967F04" w:rsidRPr="00967F04">
              <w:rPr>
                <w:rStyle w:val="Hiperpovezava"/>
                <w:rFonts w:ascii="Arial" w:hAnsi="Arial" w:cs="Arial"/>
                <w:noProof/>
              </w:rPr>
              <w:t>Pregled ukrepanja in priporočila po sektorjih</w:t>
            </w:r>
            <w:r w:rsidR="00967F04" w:rsidRPr="00967F04">
              <w:rPr>
                <w:rFonts w:ascii="Arial" w:hAnsi="Arial" w:cs="Arial"/>
                <w:noProof/>
                <w:webHidden/>
              </w:rPr>
              <w:tab/>
            </w:r>
            <w:r w:rsidR="00967F04" w:rsidRPr="00967F04">
              <w:rPr>
                <w:rFonts w:ascii="Arial" w:hAnsi="Arial" w:cs="Arial"/>
                <w:noProof/>
                <w:webHidden/>
              </w:rPr>
              <w:fldChar w:fldCharType="begin"/>
            </w:r>
            <w:r w:rsidR="00967F04" w:rsidRPr="00967F04">
              <w:rPr>
                <w:rFonts w:ascii="Arial" w:hAnsi="Arial" w:cs="Arial"/>
                <w:noProof/>
                <w:webHidden/>
              </w:rPr>
              <w:instrText xml:space="preserve"> PAGEREF _Toc531933451 \h </w:instrText>
            </w:r>
            <w:r w:rsidR="00967F04" w:rsidRPr="00967F04">
              <w:rPr>
                <w:rFonts w:ascii="Arial" w:hAnsi="Arial" w:cs="Arial"/>
                <w:noProof/>
                <w:webHidden/>
              </w:rPr>
            </w:r>
            <w:r w:rsidR="00967F04" w:rsidRPr="00967F04">
              <w:rPr>
                <w:rFonts w:ascii="Arial" w:hAnsi="Arial" w:cs="Arial"/>
                <w:noProof/>
                <w:webHidden/>
              </w:rPr>
              <w:fldChar w:fldCharType="separate"/>
            </w:r>
            <w:r w:rsidR="00967F04" w:rsidRPr="00967F04">
              <w:rPr>
                <w:rFonts w:ascii="Arial" w:hAnsi="Arial" w:cs="Arial"/>
                <w:noProof/>
                <w:webHidden/>
              </w:rPr>
              <w:t>7</w:t>
            </w:r>
            <w:r w:rsidR="00967F04" w:rsidRPr="00967F04">
              <w:rPr>
                <w:rFonts w:ascii="Arial" w:hAnsi="Arial" w:cs="Arial"/>
                <w:noProof/>
                <w:webHidden/>
              </w:rPr>
              <w:fldChar w:fldCharType="end"/>
            </w:r>
          </w:hyperlink>
        </w:p>
        <w:p w:rsidR="00967F04" w:rsidRPr="00967F04" w:rsidRDefault="000730B6">
          <w:pPr>
            <w:pStyle w:val="Kazalovsebine2"/>
            <w:rPr>
              <w:sz w:val="22"/>
              <w:szCs w:val="22"/>
            </w:rPr>
          </w:pPr>
          <w:hyperlink w:anchor="_Toc531933452" w:history="1">
            <w:r w:rsidR="00967F04" w:rsidRPr="00967F04">
              <w:rPr>
                <w:rStyle w:val="Hiperpovezava"/>
              </w:rPr>
              <w:t>5.1.</w:t>
            </w:r>
            <w:r w:rsidR="00967F04" w:rsidRPr="00967F04">
              <w:rPr>
                <w:sz w:val="22"/>
                <w:szCs w:val="22"/>
              </w:rPr>
              <w:tab/>
            </w:r>
            <w:r w:rsidR="00967F04" w:rsidRPr="00967F04">
              <w:rPr>
                <w:rStyle w:val="Hiperpovezava"/>
              </w:rPr>
              <w:t>Zelena gospodarska rast</w:t>
            </w:r>
            <w:r w:rsidR="00967F04" w:rsidRPr="00967F04">
              <w:rPr>
                <w:webHidden/>
              </w:rPr>
              <w:tab/>
            </w:r>
            <w:r w:rsidR="00967F04" w:rsidRPr="00967F04">
              <w:rPr>
                <w:webHidden/>
              </w:rPr>
              <w:fldChar w:fldCharType="begin"/>
            </w:r>
            <w:r w:rsidR="00967F04" w:rsidRPr="00967F04">
              <w:rPr>
                <w:webHidden/>
              </w:rPr>
              <w:instrText xml:space="preserve"> PAGEREF _Toc531933452 \h </w:instrText>
            </w:r>
            <w:r w:rsidR="00967F04" w:rsidRPr="00967F04">
              <w:rPr>
                <w:webHidden/>
              </w:rPr>
            </w:r>
            <w:r w:rsidR="00967F04" w:rsidRPr="00967F04">
              <w:rPr>
                <w:webHidden/>
              </w:rPr>
              <w:fldChar w:fldCharType="separate"/>
            </w:r>
            <w:r w:rsidR="00967F04" w:rsidRPr="00967F04">
              <w:rPr>
                <w:webHidden/>
              </w:rPr>
              <w:t>7</w:t>
            </w:r>
            <w:r w:rsidR="00967F04" w:rsidRPr="00967F04">
              <w:rPr>
                <w:webHidden/>
              </w:rPr>
              <w:fldChar w:fldCharType="end"/>
            </w:r>
          </w:hyperlink>
        </w:p>
        <w:p w:rsidR="00967F04" w:rsidRPr="00967F04" w:rsidRDefault="000730B6">
          <w:pPr>
            <w:pStyle w:val="Kazalovsebine2"/>
            <w:rPr>
              <w:sz w:val="22"/>
              <w:szCs w:val="22"/>
            </w:rPr>
          </w:pPr>
          <w:hyperlink w:anchor="_Toc531933453" w:history="1">
            <w:r w:rsidR="00967F04" w:rsidRPr="00967F04">
              <w:rPr>
                <w:rStyle w:val="Hiperpovezava"/>
              </w:rPr>
              <w:t>5.2.</w:t>
            </w:r>
            <w:r w:rsidR="00967F04" w:rsidRPr="00967F04">
              <w:rPr>
                <w:sz w:val="22"/>
                <w:szCs w:val="22"/>
              </w:rPr>
              <w:tab/>
            </w:r>
            <w:r w:rsidR="00967F04" w:rsidRPr="00967F04">
              <w:rPr>
                <w:rStyle w:val="Hiperpovezava"/>
              </w:rPr>
              <w:t>Stavbe</w:t>
            </w:r>
            <w:r w:rsidR="00967F04" w:rsidRPr="00967F04">
              <w:rPr>
                <w:webHidden/>
              </w:rPr>
              <w:tab/>
            </w:r>
            <w:r w:rsidR="00967F04" w:rsidRPr="00967F04">
              <w:rPr>
                <w:webHidden/>
              </w:rPr>
              <w:fldChar w:fldCharType="begin"/>
            </w:r>
            <w:r w:rsidR="00967F04" w:rsidRPr="00967F04">
              <w:rPr>
                <w:webHidden/>
              </w:rPr>
              <w:instrText xml:space="preserve"> PAGEREF _Toc531933453 \h </w:instrText>
            </w:r>
            <w:r w:rsidR="00967F04" w:rsidRPr="00967F04">
              <w:rPr>
                <w:webHidden/>
              </w:rPr>
            </w:r>
            <w:r w:rsidR="00967F04" w:rsidRPr="00967F04">
              <w:rPr>
                <w:webHidden/>
              </w:rPr>
              <w:fldChar w:fldCharType="separate"/>
            </w:r>
            <w:r w:rsidR="00967F04" w:rsidRPr="00967F04">
              <w:rPr>
                <w:webHidden/>
              </w:rPr>
              <w:t>9</w:t>
            </w:r>
            <w:r w:rsidR="00967F04" w:rsidRPr="00967F04">
              <w:rPr>
                <w:webHidden/>
              </w:rPr>
              <w:fldChar w:fldCharType="end"/>
            </w:r>
          </w:hyperlink>
        </w:p>
        <w:p w:rsidR="00967F04" w:rsidRPr="00967F04" w:rsidRDefault="000730B6">
          <w:pPr>
            <w:pStyle w:val="Kazalovsebine2"/>
            <w:rPr>
              <w:sz w:val="22"/>
              <w:szCs w:val="22"/>
            </w:rPr>
          </w:pPr>
          <w:hyperlink w:anchor="_Toc531933454" w:history="1">
            <w:r w:rsidR="00967F04" w:rsidRPr="00967F04">
              <w:rPr>
                <w:rStyle w:val="Hiperpovezava"/>
              </w:rPr>
              <w:t>5.3.</w:t>
            </w:r>
            <w:r w:rsidR="00967F04" w:rsidRPr="00967F04">
              <w:rPr>
                <w:sz w:val="22"/>
                <w:szCs w:val="22"/>
              </w:rPr>
              <w:tab/>
            </w:r>
            <w:r w:rsidR="00967F04" w:rsidRPr="00967F04">
              <w:rPr>
                <w:rStyle w:val="Hiperpovezava"/>
              </w:rPr>
              <w:t>Promet</w:t>
            </w:r>
            <w:r w:rsidR="00967F04" w:rsidRPr="00967F04">
              <w:rPr>
                <w:webHidden/>
              </w:rPr>
              <w:tab/>
            </w:r>
            <w:r w:rsidR="00967F04" w:rsidRPr="00967F04">
              <w:rPr>
                <w:webHidden/>
              </w:rPr>
              <w:fldChar w:fldCharType="begin"/>
            </w:r>
            <w:r w:rsidR="00967F04" w:rsidRPr="00967F04">
              <w:rPr>
                <w:webHidden/>
              </w:rPr>
              <w:instrText xml:space="preserve"> PAGEREF _Toc531933454 \h </w:instrText>
            </w:r>
            <w:r w:rsidR="00967F04" w:rsidRPr="00967F04">
              <w:rPr>
                <w:webHidden/>
              </w:rPr>
            </w:r>
            <w:r w:rsidR="00967F04" w:rsidRPr="00967F04">
              <w:rPr>
                <w:webHidden/>
              </w:rPr>
              <w:fldChar w:fldCharType="separate"/>
            </w:r>
            <w:r w:rsidR="00967F04" w:rsidRPr="00967F04">
              <w:rPr>
                <w:webHidden/>
              </w:rPr>
              <w:t>10</w:t>
            </w:r>
            <w:r w:rsidR="00967F04" w:rsidRPr="00967F04">
              <w:rPr>
                <w:webHidden/>
              </w:rPr>
              <w:fldChar w:fldCharType="end"/>
            </w:r>
          </w:hyperlink>
        </w:p>
        <w:p w:rsidR="00967F04" w:rsidRPr="00967F04" w:rsidRDefault="000730B6">
          <w:pPr>
            <w:pStyle w:val="Kazalovsebine2"/>
            <w:rPr>
              <w:sz w:val="22"/>
              <w:szCs w:val="22"/>
            </w:rPr>
          </w:pPr>
          <w:hyperlink w:anchor="_Toc531933455" w:history="1">
            <w:r w:rsidR="00967F04" w:rsidRPr="00967F04">
              <w:rPr>
                <w:rStyle w:val="Hiperpovezava"/>
              </w:rPr>
              <w:t>5.4.</w:t>
            </w:r>
            <w:r w:rsidR="00967F04" w:rsidRPr="00967F04">
              <w:rPr>
                <w:sz w:val="22"/>
                <w:szCs w:val="22"/>
              </w:rPr>
              <w:tab/>
            </w:r>
            <w:r w:rsidR="00967F04" w:rsidRPr="00967F04">
              <w:rPr>
                <w:rStyle w:val="Hiperpovezava"/>
              </w:rPr>
              <w:t>Kmetijstvo</w:t>
            </w:r>
            <w:r w:rsidR="00967F04" w:rsidRPr="00967F04">
              <w:rPr>
                <w:webHidden/>
              </w:rPr>
              <w:tab/>
            </w:r>
            <w:r w:rsidR="00967F04" w:rsidRPr="00967F04">
              <w:rPr>
                <w:webHidden/>
              </w:rPr>
              <w:fldChar w:fldCharType="begin"/>
            </w:r>
            <w:r w:rsidR="00967F04" w:rsidRPr="00967F04">
              <w:rPr>
                <w:webHidden/>
              </w:rPr>
              <w:instrText xml:space="preserve"> PAGEREF _Toc531933455 \h </w:instrText>
            </w:r>
            <w:r w:rsidR="00967F04" w:rsidRPr="00967F04">
              <w:rPr>
                <w:webHidden/>
              </w:rPr>
            </w:r>
            <w:r w:rsidR="00967F04" w:rsidRPr="00967F04">
              <w:rPr>
                <w:webHidden/>
              </w:rPr>
              <w:fldChar w:fldCharType="separate"/>
            </w:r>
            <w:r w:rsidR="00967F04" w:rsidRPr="00967F04">
              <w:rPr>
                <w:webHidden/>
              </w:rPr>
              <w:t>12</w:t>
            </w:r>
            <w:r w:rsidR="00967F04" w:rsidRPr="00967F04">
              <w:rPr>
                <w:webHidden/>
              </w:rPr>
              <w:fldChar w:fldCharType="end"/>
            </w:r>
          </w:hyperlink>
        </w:p>
        <w:p w:rsidR="00967F04" w:rsidRPr="00967F04" w:rsidRDefault="000730B6">
          <w:pPr>
            <w:pStyle w:val="Kazalovsebine2"/>
            <w:rPr>
              <w:sz w:val="22"/>
              <w:szCs w:val="22"/>
            </w:rPr>
          </w:pPr>
          <w:hyperlink w:anchor="_Toc531933456" w:history="1">
            <w:r w:rsidR="00967F04" w:rsidRPr="00967F04">
              <w:rPr>
                <w:rStyle w:val="Hiperpovezava"/>
              </w:rPr>
              <w:t>5.5.</w:t>
            </w:r>
            <w:r w:rsidR="00967F04" w:rsidRPr="00967F04">
              <w:rPr>
                <w:sz w:val="22"/>
                <w:szCs w:val="22"/>
              </w:rPr>
              <w:tab/>
            </w:r>
            <w:r w:rsidR="00967F04" w:rsidRPr="00967F04">
              <w:rPr>
                <w:rStyle w:val="Hiperpovezava"/>
              </w:rPr>
              <w:t>Drugi ESD sektorji</w:t>
            </w:r>
            <w:r w:rsidR="00967F04" w:rsidRPr="00967F04">
              <w:rPr>
                <w:webHidden/>
              </w:rPr>
              <w:tab/>
            </w:r>
            <w:r w:rsidR="00967F04" w:rsidRPr="00967F04">
              <w:rPr>
                <w:webHidden/>
              </w:rPr>
              <w:fldChar w:fldCharType="begin"/>
            </w:r>
            <w:r w:rsidR="00967F04" w:rsidRPr="00967F04">
              <w:rPr>
                <w:webHidden/>
              </w:rPr>
              <w:instrText xml:space="preserve"> PAGEREF _Toc531933456 \h </w:instrText>
            </w:r>
            <w:r w:rsidR="00967F04" w:rsidRPr="00967F04">
              <w:rPr>
                <w:webHidden/>
              </w:rPr>
            </w:r>
            <w:r w:rsidR="00967F04" w:rsidRPr="00967F04">
              <w:rPr>
                <w:webHidden/>
              </w:rPr>
              <w:fldChar w:fldCharType="separate"/>
            </w:r>
            <w:r w:rsidR="00967F04" w:rsidRPr="00967F04">
              <w:rPr>
                <w:webHidden/>
              </w:rPr>
              <w:t>13</w:t>
            </w:r>
            <w:r w:rsidR="00967F04" w:rsidRPr="00967F04">
              <w:rPr>
                <w:webHidden/>
              </w:rPr>
              <w:fldChar w:fldCharType="end"/>
            </w:r>
          </w:hyperlink>
        </w:p>
        <w:p w:rsidR="00967F04" w:rsidRPr="00967F04" w:rsidRDefault="000730B6">
          <w:pPr>
            <w:pStyle w:val="Kazalovsebine2"/>
            <w:rPr>
              <w:sz w:val="22"/>
              <w:szCs w:val="22"/>
            </w:rPr>
          </w:pPr>
          <w:hyperlink w:anchor="_Toc531933457" w:history="1">
            <w:r w:rsidR="00967F04" w:rsidRPr="00967F04">
              <w:rPr>
                <w:rStyle w:val="Hiperpovezava"/>
              </w:rPr>
              <w:t>5.6.</w:t>
            </w:r>
            <w:r w:rsidR="00967F04" w:rsidRPr="00967F04">
              <w:rPr>
                <w:sz w:val="22"/>
                <w:szCs w:val="22"/>
              </w:rPr>
              <w:tab/>
            </w:r>
            <w:r w:rsidR="00967F04" w:rsidRPr="00967F04">
              <w:rPr>
                <w:rStyle w:val="Hiperpovezava"/>
              </w:rPr>
              <w:t>Izobraževanje, informiranje, usposabljanje in ozaveščanje</w:t>
            </w:r>
            <w:r w:rsidR="00967F04" w:rsidRPr="00967F04">
              <w:rPr>
                <w:webHidden/>
              </w:rPr>
              <w:tab/>
            </w:r>
            <w:r w:rsidR="00967F04" w:rsidRPr="00967F04">
              <w:rPr>
                <w:webHidden/>
              </w:rPr>
              <w:fldChar w:fldCharType="begin"/>
            </w:r>
            <w:r w:rsidR="00967F04" w:rsidRPr="00967F04">
              <w:rPr>
                <w:webHidden/>
              </w:rPr>
              <w:instrText xml:space="preserve"> PAGEREF _Toc531933457 \h </w:instrText>
            </w:r>
            <w:r w:rsidR="00967F04" w:rsidRPr="00967F04">
              <w:rPr>
                <w:webHidden/>
              </w:rPr>
            </w:r>
            <w:r w:rsidR="00967F04" w:rsidRPr="00967F04">
              <w:rPr>
                <w:webHidden/>
              </w:rPr>
              <w:fldChar w:fldCharType="separate"/>
            </w:r>
            <w:r w:rsidR="00967F04" w:rsidRPr="00967F04">
              <w:rPr>
                <w:webHidden/>
              </w:rPr>
              <w:t>14</w:t>
            </w:r>
            <w:r w:rsidR="00967F04" w:rsidRPr="00967F04">
              <w:rPr>
                <w:webHidden/>
              </w:rPr>
              <w:fldChar w:fldCharType="end"/>
            </w:r>
          </w:hyperlink>
        </w:p>
        <w:p w:rsidR="00967F04" w:rsidRPr="00967F04" w:rsidRDefault="000730B6">
          <w:pPr>
            <w:pStyle w:val="Kazalovsebine1"/>
            <w:tabs>
              <w:tab w:val="left" w:pos="440"/>
              <w:tab w:val="right" w:leader="dot" w:pos="9062"/>
            </w:tabs>
            <w:rPr>
              <w:rFonts w:ascii="Arial" w:hAnsi="Arial" w:cs="Arial"/>
              <w:noProof/>
            </w:rPr>
          </w:pPr>
          <w:hyperlink w:anchor="_Toc531933458" w:history="1">
            <w:r w:rsidR="00967F04" w:rsidRPr="00967F04">
              <w:rPr>
                <w:rStyle w:val="Hiperpovezava"/>
                <w:rFonts w:ascii="Arial" w:hAnsi="Arial" w:cs="Arial"/>
                <w:noProof/>
              </w:rPr>
              <w:t>6.</w:t>
            </w:r>
            <w:r w:rsidR="00967F04" w:rsidRPr="00967F04">
              <w:rPr>
                <w:rFonts w:ascii="Arial" w:hAnsi="Arial" w:cs="Arial"/>
                <w:noProof/>
              </w:rPr>
              <w:tab/>
            </w:r>
            <w:r w:rsidR="00967F04" w:rsidRPr="00967F04">
              <w:rPr>
                <w:rStyle w:val="Hiperpovezava"/>
                <w:rFonts w:ascii="Arial" w:hAnsi="Arial" w:cs="Arial"/>
                <w:noProof/>
              </w:rPr>
              <w:t>Financiranje izvajanja ukrepov</w:t>
            </w:r>
            <w:r w:rsidR="00967F04" w:rsidRPr="00967F04">
              <w:rPr>
                <w:rFonts w:ascii="Arial" w:hAnsi="Arial" w:cs="Arial"/>
                <w:noProof/>
                <w:webHidden/>
              </w:rPr>
              <w:tab/>
            </w:r>
            <w:r w:rsidR="00967F04" w:rsidRPr="00967F04">
              <w:rPr>
                <w:rFonts w:ascii="Arial" w:hAnsi="Arial" w:cs="Arial"/>
                <w:noProof/>
                <w:webHidden/>
              </w:rPr>
              <w:fldChar w:fldCharType="begin"/>
            </w:r>
            <w:r w:rsidR="00967F04" w:rsidRPr="00967F04">
              <w:rPr>
                <w:rFonts w:ascii="Arial" w:hAnsi="Arial" w:cs="Arial"/>
                <w:noProof/>
                <w:webHidden/>
              </w:rPr>
              <w:instrText xml:space="preserve"> PAGEREF _Toc531933458 \h </w:instrText>
            </w:r>
            <w:r w:rsidR="00967F04" w:rsidRPr="00967F04">
              <w:rPr>
                <w:rFonts w:ascii="Arial" w:hAnsi="Arial" w:cs="Arial"/>
                <w:noProof/>
                <w:webHidden/>
              </w:rPr>
            </w:r>
            <w:r w:rsidR="00967F04" w:rsidRPr="00967F04">
              <w:rPr>
                <w:rFonts w:ascii="Arial" w:hAnsi="Arial" w:cs="Arial"/>
                <w:noProof/>
                <w:webHidden/>
              </w:rPr>
              <w:fldChar w:fldCharType="separate"/>
            </w:r>
            <w:r w:rsidR="00967F04" w:rsidRPr="00967F04">
              <w:rPr>
                <w:rFonts w:ascii="Arial" w:hAnsi="Arial" w:cs="Arial"/>
                <w:noProof/>
                <w:webHidden/>
              </w:rPr>
              <w:t>16</w:t>
            </w:r>
            <w:r w:rsidR="00967F04" w:rsidRPr="00967F04">
              <w:rPr>
                <w:rFonts w:ascii="Arial" w:hAnsi="Arial" w:cs="Arial"/>
                <w:noProof/>
                <w:webHidden/>
              </w:rPr>
              <w:fldChar w:fldCharType="end"/>
            </w:r>
          </w:hyperlink>
        </w:p>
        <w:p w:rsidR="00967F04" w:rsidRPr="00967F04" w:rsidRDefault="000730B6">
          <w:pPr>
            <w:pStyle w:val="Kazalovsebine1"/>
            <w:tabs>
              <w:tab w:val="left" w:pos="440"/>
              <w:tab w:val="right" w:leader="dot" w:pos="9062"/>
            </w:tabs>
            <w:rPr>
              <w:rFonts w:ascii="Arial" w:hAnsi="Arial" w:cs="Arial"/>
              <w:noProof/>
            </w:rPr>
          </w:pPr>
          <w:hyperlink w:anchor="_Toc531933459" w:history="1">
            <w:r w:rsidR="00967F04" w:rsidRPr="00967F04">
              <w:rPr>
                <w:rStyle w:val="Hiperpovezava"/>
                <w:rFonts w:ascii="Arial" w:hAnsi="Arial" w:cs="Arial"/>
                <w:noProof/>
              </w:rPr>
              <w:t>7.</w:t>
            </w:r>
            <w:r w:rsidR="00967F04" w:rsidRPr="00967F04">
              <w:rPr>
                <w:rFonts w:ascii="Arial" w:hAnsi="Arial" w:cs="Arial"/>
                <w:noProof/>
              </w:rPr>
              <w:tab/>
            </w:r>
            <w:r w:rsidR="00967F04" w:rsidRPr="00967F04">
              <w:rPr>
                <w:rStyle w:val="Hiperpovezava"/>
                <w:rFonts w:ascii="Arial" w:hAnsi="Arial" w:cs="Arial"/>
                <w:noProof/>
              </w:rPr>
              <w:t>Zaključek</w:t>
            </w:r>
            <w:r w:rsidR="00967F04" w:rsidRPr="00967F04">
              <w:rPr>
                <w:rFonts w:ascii="Arial" w:hAnsi="Arial" w:cs="Arial"/>
                <w:noProof/>
                <w:webHidden/>
              </w:rPr>
              <w:tab/>
            </w:r>
            <w:r w:rsidR="00967F04" w:rsidRPr="00967F04">
              <w:rPr>
                <w:rFonts w:ascii="Arial" w:hAnsi="Arial" w:cs="Arial"/>
                <w:noProof/>
                <w:webHidden/>
              </w:rPr>
              <w:fldChar w:fldCharType="begin"/>
            </w:r>
            <w:r w:rsidR="00967F04" w:rsidRPr="00967F04">
              <w:rPr>
                <w:rFonts w:ascii="Arial" w:hAnsi="Arial" w:cs="Arial"/>
                <w:noProof/>
                <w:webHidden/>
              </w:rPr>
              <w:instrText xml:space="preserve"> PAGEREF _Toc531933459 \h </w:instrText>
            </w:r>
            <w:r w:rsidR="00967F04" w:rsidRPr="00967F04">
              <w:rPr>
                <w:rFonts w:ascii="Arial" w:hAnsi="Arial" w:cs="Arial"/>
                <w:noProof/>
                <w:webHidden/>
              </w:rPr>
            </w:r>
            <w:r w:rsidR="00967F04" w:rsidRPr="00967F04">
              <w:rPr>
                <w:rFonts w:ascii="Arial" w:hAnsi="Arial" w:cs="Arial"/>
                <w:noProof/>
                <w:webHidden/>
              </w:rPr>
              <w:fldChar w:fldCharType="separate"/>
            </w:r>
            <w:r w:rsidR="00967F04" w:rsidRPr="00967F04">
              <w:rPr>
                <w:rFonts w:ascii="Arial" w:hAnsi="Arial" w:cs="Arial"/>
                <w:noProof/>
                <w:webHidden/>
              </w:rPr>
              <w:t>18</w:t>
            </w:r>
            <w:r w:rsidR="00967F04" w:rsidRPr="00967F04">
              <w:rPr>
                <w:rFonts w:ascii="Arial" w:hAnsi="Arial" w:cs="Arial"/>
                <w:noProof/>
                <w:webHidden/>
              </w:rPr>
              <w:fldChar w:fldCharType="end"/>
            </w:r>
          </w:hyperlink>
        </w:p>
        <w:p w:rsidR="00967F04" w:rsidRPr="00967F04" w:rsidRDefault="000730B6">
          <w:pPr>
            <w:pStyle w:val="Kazalovsebine1"/>
            <w:tabs>
              <w:tab w:val="left" w:pos="440"/>
              <w:tab w:val="right" w:leader="dot" w:pos="9062"/>
            </w:tabs>
            <w:rPr>
              <w:rFonts w:ascii="Arial" w:hAnsi="Arial" w:cs="Arial"/>
              <w:noProof/>
            </w:rPr>
          </w:pPr>
          <w:hyperlink w:anchor="_Toc531933460" w:history="1">
            <w:r w:rsidR="00967F04" w:rsidRPr="00967F04">
              <w:rPr>
                <w:rStyle w:val="Hiperpovezava"/>
                <w:rFonts w:ascii="Arial" w:hAnsi="Arial" w:cs="Arial"/>
                <w:noProof/>
              </w:rPr>
              <w:t>8.</w:t>
            </w:r>
            <w:r w:rsidR="00967F04" w:rsidRPr="00967F04">
              <w:rPr>
                <w:rFonts w:ascii="Arial" w:hAnsi="Arial" w:cs="Arial"/>
                <w:noProof/>
              </w:rPr>
              <w:tab/>
            </w:r>
            <w:r w:rsidR="00967F04" w:rsidRPr="00967F04">
              <w:rPr>
                <w:rStyle w:val="Hiperpovezava"/>
                <w:rFonts w:ascii="Arial" w:hAnsi="Arial" w:cs="Arial"/>
                <w:noProof/>
              </w:rPr>
              <w:t>Seznam slik</w:t>
            </w:r>
            <w:r w:rsidR="00967F04" w:rsidRPr="00967F04">
              <w:rPr>
                <w:rFonts w:ascii="Arial" w:hAnsi="Arial" w:cs="Arial"/>
                <w:noProof/>
                <w:webHidden/>
              </w:rPr>
              <w:tab/>
            </w:r>
            <w:r w:rsidR="00967F04" w:rsidRPr="00967F04">
              <w:rPr>
                <w:rFonts w:ascii="Arial" w:hAnsi="Arial" w:cs="Arial"/>
                <w:noProof/>
                <w:webHidden/>
              </w:rPr>
              <w:fldChar w:fldCharType="begin"/>
            </w:r>
            <w:r w:rsidR="00967F04" w:rsidRPr="00967F04">
              <w:rPr>
                <w:rFonts w:ascii="Arial" w:hAnsi="Arial" w:cs="Arial"/>
                <w:noProof/>
                <w:webHidden/>
              </w:rPr>
              <w:instrText xml:space="preserve"> PAGEREF _Toc531933460 \h </w:instrText>
            </w:r>
            <w:r w:rsidR="00967F04" w:rsidRPr="00967F04">
              <w:rPr>
                <w:rFonts w:ascii="Arial" w:hAnsi="Arial" w:cs="Arial"/>
                <w:noProof/>
                <w:webHidden/>
              </w:rPr>
            </w:r>
            <w:r w:rsidR="00967F04" w:rsidRPr="00967F04">
              <w:rPr>
                <w:rFonts w:ascii="Arial" w:hAnsi="Arial" w:cs="Arial"/>
                <w:noProof/>
                <w:webHidden/>
              </w:rPr>
              <w:fldChar w:fldCharType="separate"/>
            </w:r>
            <w:r w:rsidR="00967F04" w:rsidRPr="00967F04">
              <w:rPr>
                <w:rFonts w:ascii="Arial" w:hAnsi="Arial" w:cs="Arial"/>
                <w:noProof/>
                <w:webHidden/>
              </w:rPr>
              <w:t>19</w:t>
            </w:r>
            <w:r w:rsidR="00967F04" w:rsidRPr="00967F04">
              <w:rPr>
                <w:rFonts w:ascii="Arial" w:hAnsi="Arial" w:cs="Arial"/>
                <w:noProof/>
                <w:webHidden/>
              </w:rPr>
              <w:fldChar w:fldCharType="end"/>
            </w:r>
          </w:hyperlink>
        </w:p>
        <w:p w:rsidR="00D96E78" w:rsidRPr="002D5D44" w:rsidRDefault="00D96E78">
          <w:r w:rsidRPr="00EC19A2">
            <w:rPr>
              <w:rFonts w:ascii="Arial" w:hAnsi="Arial" w:cs="Arial"/>
              <w:b/>
              <w:bCs/>
            </w:rPr>
            <w:fldChar w:fldCharType="end"/>
          </w:r>
        </w:p>
      </w:sdtContent>
    </w:sdt>
    <w:p w:rsidR="00D96E78" w:rsidRPr="002D5D44" w:rsidRDefault="00D96E78">
      <w:pPr>
        <w:rPr>
          <w:rFonts w:ascii="Arial" w:hAnsi="Arial" w:cs="Arial"/>
          <w:b/>
          <w:sz w:val="24"/>
          <w:szCs w:val="24"/>
        </w:rPr>
      </w:pPr>
      <w:r w:rsidRPr="002D5D44">
        <w:br w:type="page"/>
      </w:r>
    </w:p>
    <w:p w:rsidR="00EE19B9" w:rsidRPr="002D5D44" w:rsidRDefault="00EE19B9" w:rsidP="00C35FA4">
      <w:pPr>
        <w:pStyle w:val="Naslov1"/>
        <w:spacing w:after="0"/>
        <w:sectPr w:rsidR="00EE19B9" w:rsidRPr="002D5D44">
          <w:pgSz w:w="11906" w:h="16838"/>
          <w:pgMar w:top="1417" w:right="1417" w:bottom="1417" w:left="1417" w:header="708" w:footer="708" w:gutter="0"/>
          <w:cols w:space="708"/>
          <w:docGrid w:linePitch="360"/>
        </w:sectPr>
      </w:pPr>
    </w:p>
    <w:p w:rsidR="00C35FA4" w:rsidRPr="002D5D44" w:rsidRDefault="00C35FA4" w:rsidP="00C35FA4">
      <w:pPr>
        <w:pStyle w:val="Naslov1"/>
        <w:spacing w:after="0"/>
      </w:pPr>
      <w:bookmarkStart w:id="1" w:name="_Toc531933445"/>
      <w:r w:rsidRPr="002D5D44">
        <w:lastRenderedPageBreak/>
        <w:t>Uvod</w:t>
      </w:r>
      <w:bookmarkEnd w:id="1"/>
      <w:r w:rsidRPr="002D5D44">
        <w:t xml:space="preserve"> </w:t>
      </w:r>
    </w:p>
    <w:p w:rsidR="003001CC" w:rsidRPr="002D5D44" w:rsidRDefault="003001CC" w:rsidP="003001CC">
      <w:pPr>
        <w:spacing w:after="0"/>
        <w:rPr>
          <w:rFonts w:ascii="Arial" w:hAnsi="Arial" w:cs="Arial"/>
          <w:sz w:val="20"/>
          <w:szCs w:val="20"/>
        </w:rPr>
      </w:pPr>
    </w:p>
    <w:p w:rsidR="00E90838" w:rsidRPr="002D5D44" w:rsidRDefault="00C35FA4" w:rsidP="003001CC">
      <w:pPr>
        <w:spacing w:after="0"/>
        <w:jc w:val="both"/>
        <w:rPr>
          <w:rFonts w:ascii="Arial" w:hAnsi="Arial" w:cs="Arial"/>
          <w:sz w:val="20"/>
          <w:szCs w:val="20"/>
        </w:rPr>
      </w:pPr>
      <w:r w:rsidRPr="002D5D44">
        <w:rPr>
          <w:rFonts w:ascii="Arial" w:hAnsi="Arial" w:cs="Arial"/>
          <w:sz w:val="20"/>
          <w:szCs w:val="20"/>
        </w:rPr>
        <w:t>Operativni program ukrepov zmanjšanja emisij toplogrednih plinov do leta 2020</w:t>
      </w:r>
      <w:r w:rsidR="00652B1C" w:rsidRPr="002D5D44">
        <w:rPr>
          <w:rStyle w:val="Sprotnaopomba-sklic"/>
          <w:rFonts w:ascii="Arial" w:hAnsi="Arial" w:cs="Arial"/>
          <w:sz w:val="20"/>
          <w:szCs w:val="20"/>
        </w:rPr>
        <w:footnoteReference w:id="1"/>
      </w:r>
      <w:r w:rsidR="00272A9D" w:rsidRPr="002D5D44">
        <w:rPr>
          <w:rFonts w:ascii="Arial" w:hAnsi="Arial" w:cs="Arial"/>
          <w:sz w:val="20"/>
          <w:szCs w:val="20"/>
        </w:rPr>
        <w:t xml:space="preserve"> (</w:t>
      </w:r>
      <w:r w:rsidR="007F02A9">
        <w:rPr>
          <w:rFonts w:ascii="Arial" w:hAnsi="Arial" w:cs="Arial"/>
          <w:sz w:val="20"/>
          <w:szCs w:val="20"/>
        </w:rPr>
        <w:t xml:space="preserve">v nadaljnjem besedilu: </w:t>
      </w:r>
      <w:r w:rsidRPr="002D5D44">
        <w:rPr>
          <w:rFonts w:ascii="Arial" w:hAnsi="Arial" w:cs="Arial"/>
          <w:sz w:val="20"/>
          <w:szCs w:val="20"/>
        </w:rPr>
        <w:t xml:space="preserve">OP TGP 2020) je </w:t>
      </w:r>
      <w:r w:rsidR="00E14DBB" w:rsidRPr="002D5D44">
        <w:rPr>
          <w:rFonts w:ascii="Arial" w:hAnsi="Arial" w:cs="Arial"/>
          <w:sz w:val="20"/>
          <w:szCs w:val="20"/>
        </w:rPr>
        <w:t xml:space="preserve">Vlada Republike Slovenije </w:t>
      </w:r>
      <w:r w:rsidR="008812FB">
        <w:rPr>
          <w:rFonts w:ascii="Arial" w:hAnsi="Arial" w:cs="Arial"/>
          <w:sz w:val="20"/>
          <w:szCs w:val="20"/>
        </w:rPr>
        <w:t>sprejela decembra 2014 z namenom</w:t>
      </w:r>
      <w:r w:rsidR="00E21FE4">
        <w:rPr>
          <w:rFonts w:ascii="Arial" w:hAnsi="Arial" w:cs="Arial"/>
          <w:sz w:val="20"/>
          <w:szCs w:val="20"/>
        </w:rPr>
        <w:t>,</w:t>
      </w:r>
      <w:r w:rsidR="008812FB">
        <w:rPr>
          <w:rFonts w:ascii="Arial" w:hAnsi="Arial" w:cs="Arial"/>
          <w:sz w:val="20"/>
          <w:szCs w:val="20"/>
        </w:rPr>
        <w:t xml:space="preserve"> zagotoviti ukrepanje za doseganje </w:t>
      </w:r>
      <w:r w:rsidR="00F47CDB">
        <w:rPr>
          <w:rFonts w:ascii="Arial" w:hAnsi="Arial" w:cs="Arial"/>
          <w:sz w:val="20"/>
          <w:szCs w:val="20"/>
        </w:rPr>
        <w:t xml:space="preserve">emisijskih </w:t>
      </w:r>
      <w:r w:rsidR="008812FB">
        <w:rPr>
          <w:rFonts w:ascii="Arial" w:hAnsi="Arial" w:cs="Arial"/>
          <w:sz w:val="20"/>
          <w:szCs w:val="20"/>
        </w:rPr>
        <w:t xml:space="preserve">ciljev </w:t>
      </w:r>
      <w:r w:rsidR="00F47CDB">
        <w:rPr>
          <w:rFonts w:ascii="Arial" w:hAnsi="Arial" w:cs="Arial"/>
          <w:sz w:val="20"/>
          <w:szCs w:val="20"/>
        </w:rPr>
        <w:t>v sektorjih, na katere se nanaša Odločba</w:t>
      </w:r>
      <w:r w:rsidR="008812FB">
        <w:rPr>
          <w:rFonts w:ascii="Arial" w:hAnsi="Arial" w:cs="Arial"/>
          <w:sz w:val="20"/>
          <w:szCs w:val="20"/>
        </w:rPr>
        <w:t xml:space="preserve"> 406/2009/ES</w:t>
      </w:r>
      <w:r w:rsidR="008812FB" w:rsidRPr="002D5D44">
        <w:rPr>
          <w:rStyle w:val="Sprotnaopomba-sklic"/>
          <w:rFonts w:ascii="Arial" w:hAnsi="Arial" w:cs="Arial"/>
          <w:sz w:val="20"/>
          <w:szCs w:val="20"/>
        </w:rPr>
        <w:footnoteReference w:id="2"/>
      </w:r>
      <w:r w:rsidR="008812FB">
        <w:rPr>
          <w:rFonts w:ascii="Arial" w:hAnsi="Arial" w:cs="Arial"/>
          <w:sz w:val="20"/>
          <w:szCs w:val="20"/>
        </w:rPr>
        <w:t xml:space="preserve"> </w:t>
      </w:r>
      <w:r w:rsidR="008812FB" w:rsidRPr="002D5D44">
        <w:rPr>
          <w:rFonts w:ascii="Arial" w:hAnsi="Arial" w:cs="Arial"/>
          <w:sz w:val="20"/>
          <w:szCs w:val="20"/>
        </w:rPr>
        <w:t>(</w:t>
      </w:r>
      <w:r w:rsidR="008812FB">
        <w:rPr>
          <w:rFonts w:ascii="Arial" w:hAnsi="Arial" w:cs="Arial"/>
          <w:sz w:val="20"/>
          <w:szCs w:val="20"/>
        </w:rPr>
        <w:t xml:space="preserve">v nadaljnjem besedilu: </w:t>
      </w:r>
      <w:r w:rsidR="008812FB" w:rsidRPr="002D5D44">
        <w:rPr>
          <w:rFonts w:ascii="Arial" w:hAnsi="Arial" w:cs="Arial"/>
          <w:sz w:val="20"/>
          <w:szCs w:val="20"/>
        </w:rPr>
        <w:t>ESD sektorji</w:t>
      </w:r>
      <w:r w:rsidR="008812FB">
        <w:rPr>
          <w:rFonts w:ascii="Arial" w:hAnsi="Arial" w:cs="Arial"/>
          <w:sz w:val="20"/>
          <w:szCs w:val="20"/>
        </w:rPr>
        <w:t>).</w:t>
      </w:r>
      <w:r w:rsidRPr="002D5D44">
        <w:rPr>
          <w:rFonts w:ascii="Arial" w:hAnsi="Arial" w:cs="Arial"/>
          <w:sz w:val="20"/>
          <w:szCs w:val="20"/>
        </w:rPr>
        <w:t xml:space="preserve"> Tretje poročilo o</w:t>
      </w:r>
      <w:r w:rsidR="00652B1C" w:rsidRPr="002D5D44">
        <w:rPr>
          <w:rFonts w:ascii="Arial" w:hAnsi="Arial" w:cs="Arial"/>
          <w:sz w:val="20"/>
          <w:szCs w:val="20"/>
        </w:rPr>
        <w:t xml:space="preserve"> njegovem</w:t>
      </w:r>
      <w:r w:rsidRPr="002D5D44">
        <w:rPr>
          <w:rFonts w:ascii="Arial" w:hAnsi="Arial" w:cs="Arial"/>
          <w:sz w:val="20"/>
          <w:szCs w:val="20"/>
        </w:rPr>
        <w:t xml:space="preserve"> izva</w:t>
      </w:r>
      <w:r w:rsidR="00652B1C" w:rsidRPr="002D5D44">
        <w:rPr>
          <w:rFonts w:ascii="Arial" w:hAnsi="Arial" w:cs="Arial"/>
          <w:sz w:val="20"/>
          <w:szCs w:val="20"/>
        </w:rPr>
        <w:t>janju je narejeno</w:t>
      </w:r>
      <w:r w:rsidRPr="002D5D44">
        <w:rPr>
          <w:rFonts w:ascii="Arial" w:hAnsi="Arial" w:cs="Arial"/>
          <w:sz w:val="20"/>
          <w:szCs w:val="20"/>
        </w:rPr>
        <w:t xml:space="preserve"> na osnovi </w:t>
      </w:r>
      <w:r w:rsidR="00E90838" w:rsidRPr="002D5D44">
        <w:rPr>
          <w:rFonts w:ascii="Arial" w:hAnsi="Arial" w:cs="Arial"/>
          <w:sz w:val="20"/>
          <w:szCs w:val="20"/>
        </w:rPr>
        <w:t xml:space="preserve">strokovnih podlag – </w:t>
      </w:r>
      <w:r w:rsidRPr="002D5D44">
        <w:rPr>
          <w:rFonts w:ascii="Arial" w:hAnsi="Arial" w:cs="Arial"/>
          <w:sz w:val="20"/>
          <w:szCs w:val="20"/>
        </w:rPr>
        <w:t>zvezkov</w:t>
      </w:r>
      <w:r w:rsidR="00652B1C" w:rsidRPr="002D5D44">
        <w:rPr>
          <w:rFonts w:ascii="Arial" w:hAnsi="Arial" w:cs="Arial"/>
          <w:sz w:val="20"/>
          <w:szCs w:val="20"/>
        </w:rPr>
        <w:t xml:space="preserve"> </w:t>
      </w:r>
      <w:r w:rsidR="00FF0504" w:rsidRPr="002D5D44">
        <w:rPr>
          <w:rFonts w:ascii="Arial" w:hAnsi="Arial" w:cs="Arial"/>
          <w:sz w:val="20"/>
          <w:szCs w:val="20"/>
        </w:rPr>
        <w:t>Podnebnega ogledala 2018</w:t>
      </w:r>
      <w:r w:rsidR="00652B1C" w:rsidRPr="002D5D44">
        <w:rPr>
          <w:rStyle w:val="Sprotnaopomba-sklic"/>
          <w:rFonts w:ascii="Arial" w:hAnsi="Arial" w:cs="Arial"/>
          <w:sz w:val="20"/>
          <w:szCs w:val="20"/>
        </w:rPr>
        <w:footnoteReference w:id="3"/>
      </w:r>
      <w:r w:rsidR="001A49C9" w:rsidRPr="002D5D44">
        <w:rPr>
          <w:rFonts w:ascii="Arial" w:hAnsi="Arial" w:cs="Arial"/>
          <w:sz w:val="20"/>
          <w:szCs w:val="20"/>
        </w:rPr>
        <w:t>. Ta je bil pripravljen</w:t>
      </w:r>
      <w:r w:rsidRPr="002D5D44">
        <w:rPr>
          <w:rFonts w:ascii="Arial" w:hAnsi="Arial" w:cs="Arial"/>
          <w:sz w:val="20"/>
          <w:szCs w:val="20"/>
        </w:rPr>
        <w:t xml:space="preserve"> v okviru LIFE projekta Podnebna pot 205</w:t>
      </w:r>
      <w:r w:rsidR="00FF0504" w:rsidRPr="002D5D44">
        <w:rPr>
          <w:rFonts w:ascii="Arial" w:hAnsi="Arial" w:cs="Arial"/>
          <w:sz w:val="20"/>
          <w:szCs w:val="20"/>
        </w:rPr>
        <w:t>0</w:t>
      </w:r>
      <w:r w:rsidR="0067394D" w:rsidRPr="002D5D44">
        <w:rPr>
          <w:rStyle w:val="Sprotnaopomba-sklic"/>
          <w:rFonts w:ascii="Arial" w:hAnsi="Arial" w:cs="Arial"/>
          <w:sz w:val="20"/>
          <w:szCs w:val="20"/>
        </w:rPr>
        <w:footnoteReference w:id="4"/>
      </w:r>
      <w:r w:rsidR="001A49C9" w:rsidRPr="002D5D44">
        <w:rPr>
          <w:rFonts w:ascii="Arial" w:hAnsi="Arial" w:cs="Arial"/>
          <w:sz w:val="20"/>
          <w:szCs w:val="20"/>
        </w:rPr>
        <w:t>, ki</w:t>
      </w:r>
      <w:r w:rsidRPr="002D5D44">
        <w:rPr>
          <w:rFonts w:ascii="Arial" w:hAnsi="Arial" w:cs="Arial"/>
          <w:sz w:val="20"/>
          <w:szCs w:val="20"/>
        </w:rPr>
        <w:t xml:space="preserve"> ga sofinancira tudi Ministrstvo za okolje in prostor</w:t>
      </w:r>
      <w:r w:rsidR="00FF0504" w:rsidRPr="002D5D44">
        <w:rPr>
          <w:rFonts w:ascii="Arial" w:hAnsi="Arial" w:cs="Arial"/>
          <w:sz w:val="20"/>
          <w:szCs w:val="20"/>
        </w:rPr>
        <w:t>.</w:t>
      </w:r>
      <w:r w:rsidR="001A49C9" w:rsidRPr="002D5D44">
        <w:rPr>
          <w:rFonts w:ascii="Arial" w:hAnsi="Arial" w:cs="Arial"/>
          <w:sz w:val="20"/>
          <w:szCs w:val="20"/>
        </w:rPr>
        <w:t xml:space="preserve"> Podnebno ogledalo </w:t>
      </w:r>
      <w:r w:rsidR="00D65929">
        <w:rPr>
          <w:rFonts w:ascii="Arial" w:hAnsi="Arial" w:cs="Arial"/>
          <w:sz w:val="20"/>
          <w:szCs w:val="20"/>
        </w:rPr>
        <w:t xml:space="preserve">je tako v procesu </w:t>
      </w:r>
      <w:r w:rsidR="00D75E23">
        <w:rPr>
          <w:rFonts w:ascii="Arial" w:hAnsi="Arial" w:cs="Arial"/>
          <w:sz w:val="20"/>
          <w:szCs w:val="20"/>
        </w:rPr>
        <w:t>tokratnega pripravljanja poročila</w:t>
      </w:r>
      <w:r w:rsidR="00764083" w:rsidRPr="002D5D44">
        <w:rPr>
          <w:rFonts w:ascii="Arial" w:hAnsi="Arial" w:cs="Arial"/>
          <w:sz w:val="20"/>
          <w:szCs w:val="20"/>
        </w:rPr>
        <w:t xml:space="preserve"> prevzelo vlogo osrednjega sistema za spremljanje politike blaženja podnebnih sprememb.</w:t>
      </w:r>
      <w:r w:rsidR="001A49C9" w:rsidRPr="002D5D44">
        <w:rPr>
          <w:rFonts w:ascii="Arial" w:hAnsi="Arial" w:cs="Arial"/>
          <w:sz w:val="20"/>
          <w:szCs w:val="20"/>
        </w:rPr>
        <w:t xml:space="preserve"> </w:t>
      </w:r>
      <w:r w:rsidR="00E90838" w:rsidRPr="002D5D44">
        <w:rPr>
          <w:rFonts w:ascii="Arial" w:hAnsi="Arial" w:cs="Arial"/>
          <w:sz w:val="20"/>
          <w:szCs w:val="20"/>
        </w:rPr>
        <w:t xml:space="preserve"> </w:t>
      </w:r>
    </w:p>
    <w:p w:rsidR="002A638D" w:rsidRPr="007329CC" w:rsidRDefault="00E90838" w:rsidP="00FF0504">
      <w:pPr>
        <w:spacing w:after="0"/>
        <w:jc w:val="both"/>
        <w:rPr>
          <w:rFonts w:ascii="Arial" w:hAnsi="Arial" w:cs="Arial"/>
          <w:color w:val="000000" w:themeColor="text1"/>
          <w:sz w:val="20"/>
          <w:szCs w:val="20"/>
        </w:rPr>
      </w:pPr>
      <w:r w:rsidRPr="002D5D44">
        <w:rPr>
          <w:rFonts w:ascii="Arial" w:hAnsi="Arial" w:cs="Arial"/>
          <w:sz w:val="20"/>
          <w:szCs w:val="20"/>
        </w:rPr>
        <w:t>P</w:t>
      </w:r>
      <w:r w:rsidR="00FF0504" w:rsidRPr="002D5D44">
        <w:rPr>
          <w:rFonts w:ascii="Arial" w:hAnsi="Arial" w:cs="Arial"/>
          <w:sz w:val="20"/>
          <w:szCs w:val="20"/>
        </w:rPr>
        <w:t>oročilo</w:t>
      </w:r>
      <w:r w:rsidR="005932DD" w:rsidRPr="002D5D44">
        <w:rPr>
          <w:rFonts w:ascii="Arial" w:hAnsi="Arial" w:cs="Arial"/>
          <w:sz w:val="20"/>
          <w:szCs w:val="20"/>
        </w:rPr>
        <w:t xml:space="preserve"> </w:t>
      </w:r>
      <w:r w:rsidR="00514659" w:rsidRPr="002D5D44">
        <w:rPr>
          <w:rFonts w:ascii="Arial" w:hAnsi="Arial" w:cs="Arial"/>
          <w:sz w:val="20"/>
          <w:szCs w:val="20"/>
        </w:rPr>
        <w:t>obsega</w:t>
      </w:r>
      <w:r w:rsidR="00013A3A" w:rsidRPr="002D5D44">
        <w:rPr>
          <w:rFonts w:ascii="Arial" w:hAnsi="Arial" w:cs="Arial"/>
          <w:sz w:val="20"/>
          <w:szCs w:val="20"/>
        </w:rPr>
        <w:t xml:space="preserve"> </w:t>
      </w:r>
      <w:r w:rsidRPr="002D5D44">
        <w:rPr>
          <w:rFonts w:ascii="Arial" w:hAnsi="Arial" w:cs="Arial"/>
          <w:sz w:val="20"/>
          <w:szCs w:val="20"/>
        </w:rPr>
        <w:t>glavne ugotovitve</w:t>
      </w:r>
      <w:r w:rsidR="00942C41">
        <w:rPr>
          <w:rFonts w:ascii="Arial" w:hAnsi="Arial" w:cs="Arial"/>
          <w:sz w:val="20"/>
          <w:szCs w:val="20"/>
        </w:rPr>
        <w:t xml:space="preserve"> v zvezi z ukrepanjem</w:t>
      </w:r>
      <w:r w:rsidR="002A638D" w:rsidRPr="002D5D44">
        <w:rPr>
          <w:rFonts w:ascii="Arial" w:hAnsi="Arial" w:cs="Arial"/>
          <w:sz w:val="20"/>
          <w:szCs w:val="20"/>
        </w:rPr>
        <w:t xml:space="preserve">, </w:t>
      </w:r>
      <w:r w:rsidR="00514659" w:rsidRPr="002D5D44">
        <w:rPr>
          <w:rFonts w:ascii="Arial" w:hAnsi="Arial" w:cs="Arial"/>
          <w:sz w:val="20"/>
          <w:szCs w:val="20"/>
        </w:rPr>
        <w:t>povzetke izsledkov</w:t>
      </w:r>
      <w:r w:rsidR="00013A3A" w:rsidRPr="002D5D44">
        <w:rPr>
          <w:rFonts w:ascii="Arial" w:hAnsi="Arial" w:cs="Arial"/>
          <w:sz w:val="20"/>
          <w:szCs w:val="20"/>
        </w:rPr>
        <w:t xml:space="preserve"> </w:t>
      </w:r>
      <w:r w:rsidR="00566B5F" w:rsidRPr="002D5D44">
        <w:rPr>
          <w:rFonts w:ascii="Arial" w:hAnsi="Arial" w:cs="Arial"/>
          <w:sz w:val="20"/>
          <w:szCs w:val="20"/>
        </w:rPr>
        <w:t xml:space="preserve">o gibanju emisij </w:t>
      </w:r>
      <w:r w:rsidR="00566B5F" w:rsidRPr="007329CC">
        <w:rPr>
          <w:rFonts w:ascii="Arial" w:hAnsi="Arial" w:cs="Arial"/>
          <w:sz w:val="20"/>
          <w:szCs w:val="20"/>
        </w:rPr>
        <w:t xml:space="preserve">toplogrednih plinov </w:t>
      </w:r>
      <w:r w:rsidR="00E74E1B" w:rsidRPr="007329CC">
        <w:rPr>
          <w:rFonts w:ascii="Arial" w:hAnsi="Arial" w:cs="Arial"/>
          <w:sz w:val="20"/>
          <w:szCs w:val="20"/>
        </w:rPr>
        <w:t>(</w:t>
      </w:r>
      <w:r w:rsidR="007F02A9" w:rsidRPr="007329CC">
        <w:rPr>
          <w:rFonts w:ascii="Arial" w:hAnsi="Arial" w:cs="Arial"/>
          <w:sz w:val="20"/>
          <w:szCs w:val="20"/>
        </w:rPr>
        <w:t xml:space="preserve">v nadaljnjem besedilu: </w:t>
      </w:r>
      <w:r w:rsidR="00E74E1B" w:rsidRPr="007329CC">
        <w:rPr>
          <w:rFonts w:ascii="Arial" w:hAnsi="Arial" w:cs="Arial"/>
          <w:sz w:val="20"/>
          <w:szCs w:val="20"/>
        </w:rPr>
        <w:t xml:space="preserve">TGP) </w:t>
      </w:r>
      <w:r w:rsidR="00566B5F" w:rsidRPr="007329CC">
        <w:rPr>
          <w:rFonts w:ascii="Arial" w:hAnsi="Arial" w:cs="Arial"/>
          <w:color w:val="000000" w:themeColor="text1"/>
          <w:sz w:val="20"/>
          <w:szCs w:val="20"/>
        </w:rPr>
        <w:t>v Sloveniji po sektorjih</w:t>
      </w:r>
      <w:r w:rsidR="002A638D" w:rsidRPr="007329CC">
        <w:rPr>
          <w:rFonts w:ascii="Arial" w:hAnsi="Arial" w:cs="Arial"/>
          <w:color w:val="000000" w:themeColor="text1"/>
          <w:sz w:val="20"/>
          <w:szCs w:val="20"/>
        </w:rPr>
        <w:t xml:space="preserve"> in</w:t>
      </w:r>
      <w:r w:rsidR="00566B5F" w:rsidRPr="007329CC">
        <w:rPr>
          <w:rFonts w:ascii="Arial" w:hAnsi="Arial" w:cs="Arial"/>
          <w:color w:val="000000" w:themeColor="text1"/>
          <w:sz w:val="20"/>
          <w:szCs w:val="20"/>
        </w:rPr>
        <w:t xml:space="preserve"> </w:t>
      </w:r>
      <w:r w:rsidR="00013A3A" w:rsidRPr="007329CC">
        <w:rPr>
          <w:rFonts w:ascii="Arial" w:hAnsi="Arial" w:cs="Arial"/>
          <w:color w:val="000000" w:themeColor="text1"/>
          <w:sz w:val="20"/>
          <w:szCs w:val="20"/>
        </w:rPr>
        <w:t>usmerit</w:t>
      </w:r>
      <w:r w:rsidR="002A638D" w:rsidRPr="007329CC">
        <w:rPr>
          <w:rFonts w:ascii="Arial" w:hAnsi="Arial" w:cs="Arial"/>
          <w:color w:val="000000" w:themeColor="text1"/>
          <w:sz w:val="20"/>
          <w:szCs w:val="20"/>
        </w:rPr>
        <w:t>ve</w:t>
      </w:r>
      <w:r w:rsidR="00013A3A" w:rsidRPr="007329CC">
        <w:rPr>
          <w:rFonts w:ascii="Arial" w:hAnsi="Arial" w:cs="Arial"/>
          <w:color w:val="000000" w:themeColor="text1"/>
          <w:sz w:val="20"/>
          <w:szCs w:val="20"/>
        </w:rPr>
        <w:t xml:space="preserve"> za odločanje.</w:t>
      </w:r>
      <w:r w:rsidR="002A638D" w:rsidRPr="007329CC">
        <w:rPr>
          <w:rFonts w:ascii="Arial" w:hAnsi="Arial" w:cs="Arial"/>
          <w:color w:val="000000" w:themeColor="text1"/>
          <w:sz w:val="20"/>
          <w:szCs w:val="20"/>
        </w:rPr>
        <w:t xml:space="preserve"> </w:t>
      </w:r>
    </w:p>
    <w:p w:rsidR="00E2391D" w:rsidRPr="002D5D44" w:rsidRDefault="00E80CBE" w:rsidP="00FF0504">
      <w:pPr>
        <w:spacing w:after="0"/>
        <w:jc w:val="both"/>
        <w:rPr>
          <w:rFonts w:ascii="Arial" w:hAnsi="Arial" w:cs="Arial"/>
          <w:sz w:val="20"/>
          <w:szCs w:val="20"/>
        </w:rPr>
      </w:pPr>
      <w:r w:rsidRPr="007329CC">
        <w:rPr>
          <w:rFonts w:ascii="Arial" w:hAnsi="Arial" w:cs="Arial"/>
          <w:color w:val="000000" w:themeColor="text1"/>
          <w:sz w:val="20"/>
          <w:szCs w:val="20"/>
        </w:rPr>
        <w:t>Informacije v zvezi z ukrepanjem</w:t>
      </w:r>
      <w:r w:rsidR="002A638D" w:rsidRPr="007329CC">
        <w:rPr>
          <w:rFonts w:ascii="Arial" w:hAnsi="Arial" w:cs="Arial"/>
          <w:color w:val="000000" w:themeColor="text1"/>
          <w:sz w:val="20"/>
          <w:szCs w:val="20"/>
        </w:rPr>
        <w:t xml:space="preserve"> se nanašajo </w:t>
      </w:r>
      <w:r w:rsidR="001A49C9" w:rsidRPr="007329CC">
        <w:rPr>
          <w:rFonts w:ascii="Arial" w:hAnsi="Arial" w:cs="Arial"/>
          <w:color w:val="000000" w:themeColor="text1"/>
          <w:sz w:val="20"/>
          <w:szCs w:val="20"/>
        </w:rPr>
        <w:t xml:space="preserve">pretežno </w:t>
      </w:r>
      <w:r w:rsidR="00A44743" w:rsidRPr="007329CC">
        <w:rPr>
          <w:rFonts w:ascii="Arial" w:hAnsi="Arial" w:cs="Arial"/>
          <w:color w:val="000000" w:themeColor="text1"/>
          <w:sz w:val="20"/>
          <w:szCs w:val="20"/>
        </w:rPr>
        <w:t xml:space="preserve">na aktivnosti </w:t>
      </w:r>
      <w:r w:rsidR="00D65929" w:rsidRPr="007329CC">
        <w:rPr>
          <w:rFonts w:ascii="Arial" w:hAnsi="Arial" w:cs="Arial"/>
          <w:color w:val="000000" w:themeColor="text1"/>
          <w:sz w:val="20"/>
          <w:szCs w:val="20"/>
        </w:rPr>
        <w:t>izvedene v preteklem letu</w:t>
      </w:r>
      <w:r w:rsidR="00E2391D" w:rsidRPr="007329CC">
        <w:rPr>
          <w:rFonts w:ascii="Arial" w:hAnsi="Arial" w:cs="Arial"/>
          <w:color w:val="000000" w:themeColor="text1"/>
          <w:sz w:val="20"/>
          <w:szCs w:val="20"/>
        </w:rPr>
        <w:t>.</w:t>
      </w:r>
      <w:r w:rsidR="00D65929" w:rsidRPr="007329CC">
        <w:rPr>
          <w:rFonts w:ascii="Arial" w:hAnsi="Arial" w:cs="Arial"/>
          <w:color w:val="000000" w:themeColor="text1"/>
          <w:sz w:val="20"/>
          <w:szCs w:val="20"/>
        </w:rPr>
        <w:t xml:space="preserve"> </w:t>
      </w:r>
      <w:r w:rsidR="0068280D" w:rsidRPr="007329CC">
        <w:rPr>
          <w:rFonts w:ascii="Arial" w:hAnsi="Arial" w:cs="Arial"/>
          <w:color w:val="000000" w:themeColor="text1"/>
          <w:sz w:val="20"/>
          <w:szCs w:val="20"/>
        </w:rPr>
        <w:t xml:space="preserve">Če informacij o ukrepanju v letu 2017 še ni bilo na razpolago in se je ocenilo, da je za </w:t>
      </w:r>
      <w:r w:rsidR="00220171" w:rsidRPr="007329CC">
        <w:rPr>
          <w:rFonts w:ascii="Arial" w:hAnsi="Arial" w:cs="Arial"/>
          <w:color w:val="000000" w:themeColor="text1"/>
          <w:sz w:val="20"/>
          <w:szCs w:val="20"/>
        </w:rPr>
        <w:t>razumevanje konteksta smiselno,</w:t>
      </w:r>
      <w:r w:rsidR="0068280D" w:rsidRPr="007329CC">
        <w:rPr>
          <w:rFonts w:ascii="Arial" w:hAnsi="Arial" w:cs="Arial"/>
          <w:color w:val="000000" w:themeColor="text1"/>
          <w:sz w:val="20"/>
          <w:szCs w:val="20"/>
        </w:rPr>
        <w:t xml:space="preserve"> se je predstavilo tudi informacije o ukrepanju pred letom 2017. </w:t>
      </w:r>
      <w:r w:rsidR="00D65929" w:rsidRPr="007329CC">
        <w:rPr>
          <w:rFonts w:ascii="Arial" w:hAnsi="Arial" w:cs="Arial"/>
          <w:color w:val="000000" w:themeColor="text1"/>
          <w:sz w:val="20"/>
          <w:szCs w:val="20"/>
        </w:rPr>
        <w:t>V nekaterih primerih</w:t>
      </w:r>
      <w:r w:rsidR="007523B2" w:rsidRPr="007329CC">
        <w:rPr>
          <w:rFonts w:ascii="Arial" w:hAnsi="Arial" w:cs="Arial"/>
          <w:color w:val="000000" w:themeColor="text1"/>
          <w:sz w:val="20"/>
          <w:szCs w:val="20"/>
        </w:rPr>
        <w:t>, kjer</w:t>
      </w:r>
      <w:r w:rsidR="00582573" w:rsidRPr="007329CC">
        <w:rPr>
          <w:rFonts w:ascii="Arial" w:hAnsi="Arial" w:cs="Arial"/>
          <w:color w:val="000000" w:themeColor="text1"/>
          <w:sz w:val="20"/>
          <w:szCs w:val="20"/>
        </w:rPr>
        <w:t xml:space="preserve"> so bile </w:t>
      </w:r>
      <w:r w:rsidR="00E91768" w:rsidRPr="007329CC">
        <w:rPr>
          <w:rFonts w:ascii="Arial" w:hAnsi="Arial" w:cs="Arial"/>
          <w:color w:val="000000" w:themeColor="text1"/>
          <w:sz w:val="20"/>
          <w:szCs w:val="20"/>
        </w:rPr>
        <w:t>na voljo uporabne informacije</w:t>
      </w:r>
      <w:r w:rsidR="007523B2" w:rsidRPr="007329CC">
        <w:rPr>
          <w:rFonts w:ascii="Arial" w:hAnsi="Arial" w:cs="Arial"/>
          <w:color w:val="000000" w:themeColor="text1"/>
          <w:sz w:val="20"/>
          <w:szCs w:val="20"/>
        </w:rPr>
        <w:t xml:space="preserve"> o aktivnostih iz tekočega leta 2018</w:t>
      </w:r>
      <w:r w:rsidR="00E91768" w:rsidRPr="007329CC">
        <w:rPr>
          <w:rFonts w:ascii="Arial" w:hAnsi="Arial" w:cs="Arial"/>
          <w:color w:val="000000" w:themeColor="text1"/>
          <w:sz w:val="20"/>
          <w:szCs w:val="20"/>
        </w:rPr>
        <w:t>,</w:t>
      </w:r>
      <w:r w:rsidR="00582573" w:rsidRPr="007329CC">
        <w:rPr>
          <w:rFonts w:ascii="Arial" w:hAnsi="Arial" w:cs="Arial"/>
          <w:color w:val="000000" w:themeColor="text1"/>
          <w:sz w:val="20"/>
          <w:szCs w:val="20"/>
        </w:rPr>
        <w:t xml:space="preserve"> </w:t>
      </w:r>
      <w:r w:rsidR="00220171" w:rsidRPr="007329CC">
        <w:rPr>
          <w:rFonts w:ascii="Arial" w:hAnsi="Arial" w:cs="Arial"/>
          <w:color w:val="000000" w:themeColor="text1"/>
          <w:sz w:val="20"/>
          <w:szCs w:val="20"/>
        </w:rPr>
        <w:t xml:space="preserve">pa </w:t>
      </w:r>
      <w:r w:rsidR="00582573" w:rsidRPr="007329CC">
        <w:rPr>
          <w:rFonts w:ascii="Arial" w:hAnsi="Arial" w:cs="Arial"/>
          <w:sz w:val="20"/>
          <w:szCs w:val="20"/>
        </w:rPr>
        <w:t xml:space="preserve">so </w:t>
      </w:r>
      <w:r w:rsidR="00E91768" w:rsidRPr="007329CC">
        <w:rPr>
          <w:rFonts w:ascii="Arial" w:hAnsi="Arial" w:cs="Arial"/>
          <w:sz w:val="20"/>
          <w:szCs w:val="20"/>
        </w:rPr>
        <w:t>se</w:t>
      </w:r>
      <w:r w:rsidR="007523B2" w:rsidRPr="007329CC">
        <w:rPr>
          <w:rFonts w:ascii="Arial" w:hAnsi="Arial" w:cs="Arial"/>
          <w:sz w:val="20"/>
          <w:szCs w:val="20"/>
        </w:rPr>
        <w:t xml:space="preserve"> </w:t>
      </w:r>
      <w:r w:rsidR="00220171" w:rsidRPr="007329CC">
        <w:rPr>
          <w:rFonts w:ascii="Arial" w:hAnsi="Arial" w:cs="Arial"/>
          <w:sz w:val="20"/>
          <w:szCs w:val="20"/>
        </w:rPr>
        <w:t>izpostavile tudi te</w:t>
      </w:r>
      <w:r w:rsidR="00E91768" w:rsidRPr="007329CC">
        <w:rPr>
          <w:rFonts w:ascii="Arial" w:hAnsi="Arial" w:cs="Arial"/>
          <w:sz w:val="20"/>
          <w:szCs w:val="20"/>
        </w:rPr>
        <w:t xml:space="preserve">. </w:t>
      </w:r>
      <w:r w:rsidR="00E2391D" w:rsidRPr="007329CC">
        <w:rPr>
          <w:rFonts w:ascii="Arial" w:hAnsi="Arial" w:cs="Arial"/>
          <w:sz w:val="20"/>
          <w:szCs w:val="20"/>
        </w:rPr>
        <w:t>Ukrepe iz OP TGP 2020 se je pregledovalo skupaj z novejšimi ukrepi za zmanjševanje emisij TGP. S tem je pregled</w:t>
      </w:r>
      <w:r w:rsidR="00E2391D" w:rsidRPr="002D5D44">
        <w:rPr>
          <w:rFonts w:ascii="Arial" w:hAnsi="Arial" w:cs="Arial"/>
          <w:sz w:val="20"/>
          <w:szCs w:val="20"/>
        </w:rPr>
        <w:t xml:space="preserve"> usklajen s pregledi ukrepov v okviru mednarodnega poročanja</w:t>
      </w:r>
      <w:r w:rsidR="00D65929">
        <w:rPr>
          <w:rFonts w:ascii="Arial" w:hAnsi="Arial" w:cs="Arial"/>
          <w:sz w:val="20"/>
          <w:szCs w:val="20"/>
        </w:rPr>
        <w:t xml:space="preserve"> skladno z Uredbo (EU) št. 525/2013</w:t>
      </w:r>
      <w:r w:rsidR="00D65929">
        <w:rPr>
          <w:rStyle w:val="Sprotnaopomba-sklic"/>
          <w:rFonts w:ascii="Arial" w:hAnsi="Arial" w:cs="Arial"/>
          <w:sz w:val="20"/>
          <w:szCs w:val="20"/>
        </w:rPr>
        <w:footnoteReference w:id="5"/>
      </w:r>
      <w:r w:rsidR="00E2391D" w:rsidRPr="002D5D44">
        <w:rPr>
          <w:rFonts w:ascii="Arial" w:hAnsi="Arial" w:cs="Arial"/>
          <w:sz w:val="20"/>
          <w:szCs w:val="20"/>
        </w:rPr>
        <w:t>.</w:t>
      </w:r>
    </w:p>
    <w:p w:rsidR="00E2391D" w:rsidRPr="002D5D44" w:rsidRDefault="00E2391D" w:rsidP="00FF0504">
      <w:pPr>
        <w:spacing w:after="0"/>
        <w:jc w:val="both"/>
        <w:rPr>
          <w:rFonts w:ascii="Arial" w:hAnsi="Arial" w:cs="Arial"/>
          <w:sz w:val="20"/>
          <w:szCs w:val="20"/>
        </w:rPr>
      </w:pPr>
      <w:r w:rsidRPr="002D5D44">
        <w:rPr>
          <w:rFonts w:ascii="Arial" w:hAnsi="Arial" w:cs="Arial"/>
          <w:sz w:val="20"/>
          <w:szCs w:val="20"/>
        </w:rPr>
        <w:t>I</w:t>
      </w:r>
      <w:r w:rsidR="002A638D" w:rsidRPr="002D5D44">
        <w:rPr>
          <w:rFonts w:ascii="Arial" w:hAnsi="Arial" w:cs="Arial"/>
          <w:sz w:val="20"/>
          <w:szCs w:val="20"/>
        </w:rPr>
        <w:t xml:space="preserve">zsledki </w:t>
      </w:r>
      <w:r w:rsidR="00FE61EC" w:rsidRPr="002D5D44">
        <w:rPr>
          <w:rFonts w:ascii="Arial" w:hAnsi="Arial" w:cs="Arial"/>
          <w:sz w:val="20"/>
          <w:szCs w:val="20"/>
        </w:rPr>
        <w:t>o emisijah</w:t>
      </w:r>
      <w:r w:rsidR="002A638D" w:rsidRPr="002D5D44">
        <w:rPr>
          <w:rFonts w:ascii="Arial" w:hAnsi="Arial" w:cs="Arial"/>
          <w:sz w:val="20"/>
          <w:szCs w:val="20"/>
        </w:rPr>
        <w:t xml:space="preserve"> TGP </w:t>
      </w:r>
      <w:r w:rsidRPr="002D5D44">
        <w:rPr>
          <w:rFonts w:ascii="Arial" w:hAnsi="Arial" w:cs="Arial"/>
          <w:sz w:val="20"/>
          <w:szCs w:val="20"/>
        </w:rPr>
        <w:t xml:space="preserve">izhajajo iz </w:t>
      </w:r>
      <w:r w:rsidR="00AA2CFF">
        <w:rPr>
          <w:rFonts w:ascii="Arial" w:hAnsi="Arial" w:cs="Arial"/>
          <w:sz w:val="20"/>
          <w:szCs w:val="20"/>
        </w:rPr>
        <w:t>končnih</w:t>
      </w:r>
      <w:r w:rsidR="002A638D" w:rsidRPr="002D5D44">
        <w:rPr>
          <w:rFonts w:ascii="Arial" w:hAnsi="Arial" w:cs="Arial"/>
          <w:sz w:val="20"/>
          <w:szCs w:val="20"/>
        </w:rPr>
        <w:t xml:space="preserve"> </w:t>
      </w:r>
      <w:r w:rsidR="00D75E23">
        <w:rPr>
          <w:rFonts w:ascii="Arial" w:hAnsi="Arial" w:cs="Arial"/>
          <w:sz w:val="20"/>
          <w:szCs w:val="20"/>
        </w:rPr>
        <w:t xml:space="preserve">evidenc emisij TGP, ki </w:t>
      </w:r>
      <w:r w:rsidRPr="002D5D44">
        <w:rPr>
          <w:rFonts w:ascii="Arial" w:hAnsi="Arial" w:cs="Arial"/>
          <w:sz w:val="20"/>
          <w:szCs w:val="20"/>
        </w:rPr>
        <w:t>jih</w:t>
      </w:r>
      <w:r w:rsidR="00D75E23">
        <w:rPr>
          <w:rFonts w:ascii="Arial" w:hAnsi="Arial" w:cs="Arial"/>
          <w:sz w:val="20"/>
          <w:szCs w:val="20"/>
        </w:rPr>
        <w:t xml:space="preserve"> Agencija RS za okolje </w:t>
      </w:r>
      <w:r w:rsidR="00AA2CFF">
        <w:rPr>
          <w:rFonts w:ascii="Arial" w:hAnsi="Arial" w:cs="Arial"/>
          <w:sz w:val="20"/>
          <w:szCs w:val="20"/>
        </w:rPr>
        <w:t>predloži Evropski komisiji</w:t>
      </w:r>
      <w:r w:rsidRPr="002D5D44">
        <w:rPr>
          <w:rFonts w:ascii="Arial" w:hAnsi="Arial" w:cs="Arial"/>
          <w:sz w:val="20"/>
          <w:szCs w:val="20"/>
        </w:rPr>
        <w:t xml:space="preserve"> </w:t>
      </w:r>
      <w:r w:rsidR="00D75E23">
        <w:rPr>
          <w:rFonts w:ascii="Arial" w:hAnsi="Arial" w:cs="Arial"/>
          <w:sz w:val="20"/>
          <w:szCs w:val="20"/>
        </w:rPr>
        <w:t xml:space="preserve">vsako leto </w:t>
      </w:r>
      <w:r w:rsidR="00AA2CFF">
        <w:rPr>
          <w:rFonts w:ascii="Arial" w:hAnsi="Arial" w:cs="Arial"/>
          <w:sz w:val="20"/>
          <w:szCs w:val="20"/>
        </w:rPr>
        <w:t>do 15. marca za predpreteklo leto in iz okvirnih evidenc emisij TGP, ki jih agencija predloži  Evropski komisij do 31. julija za preteklo leto (preliminarne vrednosti)</w:t>
      </w:r>
      <w:r w:rsidRPr="002D5D44">
        <w:rPr>
          <w:rFonts w:ascii="Arial" w:hAnsi="Arial" w:cs="Arial"/>
          <w:sz w:val="20"/>
          <w:szCs w:val="20"/>
        </w:rPr>
        <w:t>. V letu 2018 so to podatki</w:t>
      </w:r>
      <w:r w:rsidR="002A638D" w:rsidRPr="002D5D44">
        <w:rPr>
          <w:rFonts w:ascii="Arial" w:hAnsi="Arial" w:cs="Arial"/>
          <w:sz w:val="20"/>
          <w:szCs w:val="20"/>
        </w:rPr>
        <w:t xml:space="preserve"> </w:t>
      </w:r>
      <w:r w:rsidR="00E52DB8">
        <w:rPr>
          <w:rFonts w:ascii="Arial" w:hAnsi="Arial" w:cs="Arial"/>
          <w:sz w:val="20"/>
          <w:szCs w:val="20"/>
        </w:rPr>
        <w:t xml:space="preserve">o končnih evidencah </w:t>
      </w:r>
      <w:r w:rsidR="002A638D" w:rsidRPr="002D5D44">
        <w:rPr>
          <w:rFonts w:ascii="Arial" w:hAnsi="Arial" w:cs="Arial"/>
          <w:sz w:val="20"/>
          <w:szCs w:val="20"/>
        </w:rPr>
        <w:t>za obdobje do leta 2016</w:t>
      </w:r>
      <w:r w:rsidR="00E52DB8">
        <w:rPr>
          <w:rFonts w:ascii="Arial" w:hAnsi="Arial" w:cs="Arial"/>
          <w:sz w:val="20"/>
          <w:szCs w:val="20"/>
        </w:rPr>
        <w:t xml:space="preserve"> in o okvirnih evidencah za leto 2017</w:t>
      </w:r>
      <w:r w:rsidR="002A638D" w:rsidRPr="002D5D44">
        <w:rPr>
          <w:rFonts w:ascii="Arial" w:hAnsi="Arial" w:cs="Arial"/>
          <w:sz w:val="20"/>
          <w:szCs w:val="20"/>
        </w:rPr>
        <w:t xml:space="preserve">. </w:t>
      </w:r>
    </w:p>
    <w:p w:rsidR="00E2391D" w:rsidRPr="002D5D44" w:rsidRDefault="00E2391D" w:rsidP="00FF0504">
      <w:pPr>
        <w:spacing w:after="0"/>
        <w:jc w:val="both"/>
        <w:rPr>
          <w:rFonts w:ascii="Arial" w:hAnsi="Arial" w:cs="Arial"/>
        </w:rPr>
      </w:pPr>
    </w:p>
    <w:p w:rsidR="00FF0504" w:rsidRPr="002D5D44" w:rsidRDefault="00CA202D" w:rsidP="00D96E78">
      <w:pPr>
        <w:spacing w:after="0"/>
        <w:jc w:val="both"/>
        <w:rPr>
          <w:rFonts w:ascii="Arial" w:hAnsi="Arial" w:cs="Arial"/>
          <w:sz w:val="20"/>
          <w:szCs w:val="20"/>
        </w:rPr>
      </w:pPr>
      <w:r w:rsidRPr="002D5D44">
        <w:rPr>
          <w:rFonts w:ascii="Arial" w:hAnsi="Arial" w:cs="Arial"/>
          <w:sz w:val="20"/>
          <w:szCs w:val="20"/>
        </w:rPr>
        <w:t>S poročilom se</w:t>
      </w:r>
      <w:r w:rsidR="005932DD" w:rsidRPr="002D5D44">
        <w:rPr>
          <w:rFonts w:ascii="Arial" w:hAnsi="Arial" w:cs="Arial"/>
          <w:sz w:val="20"/>
          <w:szCs w:val="20"/>
        </w:rPr>
        <w:t xml:space="preserve"> </w:t>
      </w:r>
      <w:r w:rsidR="00197A80" w:rsidRPr="002D5D44">
        <w:rPr>
          <w:rFonts w:ascii="Arial" w:hAnsi="Arial" w:cs="Arial"/>
          <w:sz w:val="20"/>
          <w:szCs w:val="20"/>
        </w:rPr>
        <w:t xml:space="preserve">med drugim </w:t>
      </w:r>
      <w:r w:rsidR="00E74E1B" w:rsidRPr="002D5D44">
        <w:rPr>
          <w:rFonts w:ascii="Arial" w:hAnsi="Arial" w:cs="Arial"/>
          <w:sz w:val="20"/>
          <w:szCs w:val="20"/>
        </w:rPr>
        <w:t>zagotavlja</w:t>
      </w:r>
      <w:r w:rsidR="005932DD" w:rsidRPr="002D5D44">
        <w:rPr>
          <w:rFonts w:ascii="Arial" w:hAnsi="Arial" w:cs="Arial"/>
          <w:sz w:val="20"/>
          <w:szCs w:val="20"/>
        </w:rPr>
        <w:t xml:space="preserve"> dodatne </w:t>
      </w:r>
      <w:r w:rsidR="00514659" w:rsidRPr="002D5D44">
        <w:rPr>
          <w:rFonts w:ascii="Arial" w:hAnsi="Arial" w:cs="Arial"/>
          <w:sz w:val="20"/>
          <w:szCs w:val="20"/>
        </w:rPr>
        <w:t>podlage</w:t>
      </w:r>
      <w:r w:rsidR="00197A80" w:rsidRPr="002D5D44">
        <w:rPr>
          <w:rFonts w:ascii="Arial" w:hAnsi="Arial" w:cs="Arial"/>
          <w:sz w:val="20"/>
          <w:szCs w:val="20"/>
        </w:rPr>
        <w:t>,</w:t>
      </w:r>
      <w:r w:rsidR="005932DD" w:rsidRPr="002D5D44">
        <w:rPr>
          <w:rFonts w:ascii="Arial" w:hAnsi="Arial" w:cs="Arial"/>
          <w:sz w:val="20"/>
          <w:szCs w:val="20"/>
        </w:rPr>
        <w:t xml:space="preserve"> </w:t>
      </w:r>
      <w:r w:rsidR="00D450BD" w:rsidRPr="002D5D44">
        <w:rPr>
          <w:rFonts w:ascii="Arial" w:hAnsi="Arial" w:cs="Arial"/>
          <w:sz w:val="20"/>
          <w:szCs w:val="20"/>
        </w:rPr>
        <w:t>pomembne za</w:t>
      </w:r>
      <w:r w:rsidR="005932DD" w:rsidRPr="002D5D44">
        <w:rPr>
          <w:rFonts w:ascii="Arial" w:hAnsi="Arial" w:cs="Arial"/>
          <w:sz w:val="20"/>
          <w:szCs w:val="20"/>
        </w:rPr>
        <w:t xml:space="preserve"> nadaljnje odločanje o </w:t>
      </w:r>
      <w:r w:rsidR="00A31CAB">
        <w:rPr>
          <w:rFonts w:ascii="Arial" w:hAnsi="Arial" w:cs="Arial"/>
          <w:sz w:val="20"/>
          <w:szCs w:val="20"/>
        </w:rPr>
        <w:t>ukrepanju</w:t>
      </w:r>
      <w:r w:rsidR="005932DD" w:rsidRPr="002D5D44">
        <w:rPr>
          <w:rFonts w:ascii="Arial" w:hAnsi="Arial" w:cs="Arial"/>
          <w:sz w:val="20"/>
          <w:szCs w:val="20"/>
        </w:rPr>
        <w:t xml:space="preserve"> na področju blaženja podnebnih sprememb </w:t>
      </w:r>
      <w:r w:rsidR="00F47CDB">
        <w:rPr>
          <w:rFonts w:ascii="Arial" w:hAnsi="Arial" w:cs="Arial"/>
          <w:sz w:val="20"/>
          <w:szCs w:val="20"/>
        </w:rPr>
        <w:t>v ESD sektorjih</w:t>
      </w:r>
      <w:r w:rsidR="00D450BD" w:rsidRPr="002D5D44">
        <w:rPr>
          <w:rFonts w:ascii="Arial" w:hAnsi="Arial" w:cs="Arial"/>
          <w:sz w:val="20"/>
          <w:szCs w:val="20"/>
        </w:rPr>
        <w:t>.</w:t>
      </w:r>
      <w:r w:rsidR="00823FA8">
        <w:rPr>
          <w:rFonts w:ascii="Arial" w:hAnsi="Arial" w:cs="Arial"/>
          <w:sz w:val="20"/>
          <w:szCs w:val="20"/>
        </w:rPr>
        <w:t xml:space="preserve"> Podrobnejši rezultati opravljenih analiz</w:t>
      </w:r>
      <w:r w:rsidR="00BA3329" w:rsidRPr="002D5D44">
        <w:rPr>
          <w:rFonts w:ascii="Arial" w:hAnsi="Arial" w:cs="Arial"/>
          <w:sz w:val="20"/>
          <w:szCs w:val="20"/>
        </w:rPr>
        <w:t xml:space="preserve"> v zvezi z izvajanjem OP TGP 2020</w:t>
      </w:r>
      <w:r w:rsidR="00E36CDF" w:rsidRPr="002D5D44">
        <w:rPr>
          <w:rFonts w:ascii="Arial" w:hAnsi="Arial" w:cs="Arial"/>
          <w:sz w:val="20"/>
          <w:szCs w:val="20"/>
        </w:rPr>
        <w:t xml:space="preserve"> in doseganjem v njem postavljenih ciljev,</w:t>
      </w:r>
      <w:r w:rsidR="00BA3329" w:rsidRPr="002D5D44">
        <w:rPr>
          <w:rFonts w:ascii="Arial" w:hAnsi="Arial" w:cs="Arial"/>
          <w:sz w:val="20"/>
          <w:szCs w:val="20"/>
        </w:rPr>
        <w:t xml:space="preserve"> so na voljo v zvezkih Podnebnega ogledala 2018</w:t>
      </w:r>
      <w:r w:rsidR="0076779D">
        <w:rPr>
          <w:rFonts w:ascii="Arial" w:hAnsi="Arial" w:cs="Arial"/>
          <w:sz w:val="20"/>
          <w:szCs w:val="20"/>
        </w:rPr>
        <w:t xml:space="preserve"> (Zvezek 2: Kazalci za spremljanje izvajanja OP TGP 2020, Zvezek 3: Pregled izvajanja ukrepov)</w:t>
      </w:r>
      <w:r w:rsidR="00BA3329" w:rsidRPr="002D5D44">
        <w:rPr>
          <w:rFonts w:ascii="Arial" w:hAnsi="Arial" w:cs="Arial"/>
          <w:sz w:val="20"/>
          <w:szCs w:val="20"/>
        </w:rPr>
        <w:t>.</w:t>
      </w:r>
    </w:p>
    <w:p w:rsidR="00D96E78" w:rsidRPr="002D5D44" w:rsidRDefault="00D96E78">
      <w:pPr>
        <w:rPr>
          <w:rFonts w:ascii="Arial" w:hAnsi="Arial" w:cs="Arial"/>
          <w:b/>
          <w:sz w:val="24"/>
          <w:szCs w:val="24"/>
        </w:rPr>
      </w:pPr>
      <w:r w:rsidRPr="002D5D44">
        <w:br w:type="page"/>
      </w:r>
    </w:p>
    <w:p w:rsidR="002D1E47" w:rsidRPr="002D5D44" w:rsidRDefault="008C7CF1" w:rsidP="00533A9C">
      <w:pPr>
        <w:pStyle w:val="Naslov1"/>
        <w:spacing w:after="0" w:line="240" w:lineRule="auto"/>
        <w:ind w:left="714" w:hanging="357"/>
      </w:pPr>
      <w:bookmarkStart w:id="2" w:name="_Toc531933446"/>
      <w:r w:rsidRPr="002D5D44">
        <w:lastRenderedPageBreak/>
        <w:t xml:space="preserve">Povzetek in </w:t>
      </w:r>
      <w:r w:rsidR="000C2DF7" w:rsidRPr="002D5D44">
        <w:t>ključne</w:t>
      </w:r>
      <w:r w:rsidRPr="002D5D44">
        <w:t xml:space="preserve"> ugotovitve</w:t>
      </w:r>
      <w:bookmarkEnd w:id="2"/>
    </w:p>
    <w:p w:rsidR="00044D31" w:rsidRPr="002D5D44" w:rsidRDefault="00044D31" w:rsidP="00533A9C">
      <w:pPr>
        <w:spacing w:after="0" w:line="240" w:lineRule="auto"/>
        <w:rPr>
          <w:rFonts w:ascii="Arial" w:hAnsi="Arial" w:cs="Arial"/>
          <w:sz w:val="20"/>
          <w:szCs w:val="20"/>
        </w:rPr>
      </w:pPr>
    </w:p>
    <w:p w:rsidR="00044D31" w:rsidRPr="002D5D44" w:rsidRDefault="00044D31" w:rsidP="00533A9C">
      <w:pPr>
        <w:spacing w:after="0" w:line="240" w:lineRule="auto"/>
        <w:jc w:val="both"/>
        <w:rPr>
          <w:rFonts w:ascii="Arial" w:hAnsi="Arial" w:cs="Arial"/>
          <w:sz w:val="20"/>
          <w:szCs w:val="20"/>
        </w:rPr>
      </w:pPr>
      <w:r w:rsidRPr="002D5D44">
        <w:rPr>
          <w:rFonts w:ascii="Arial" w:hAnsi="Arial" w:cs="Arial"/>
          <w:sz w:val="20"/>
          <w:szCs w:val="20"/>
        </w:rPr>
        <w:t>Republika Slovenija let</w:t>
      </w:r>
      <w:r w:rsidR="008812FB">
        <w:rPr>
          <w:rFonts w:ascii="Arial" w:hAnsi="Arial" w:cs="Arial"/>
          <w:sz w:val="20"/>
          <w:szCs w:val="20"/>
        </w:rPr>
        <w:t>ne cilje na področju emisij TGP</w:t>
      </w:r>
      <w:r w:rsidRPr="002D5D44">
        <w:rPr>
          <w:rFonts w:ascii="Arial" w:hAnsi="Arial" w:cs="Arial"/>
          <w:sz w:val="20"/>
          <w:szCs w:val="20"/>
        </w:rPr>
        <w:t xml:space="preserve"> v </w:t>
      </w:r>
      <w:r w:rsidR="00CC6C79" w:rsidRPr="002D5D44">
        <w:rPr>
          <w:rFonts w:ascii="Arial" w:hAnsi="Arial" w:cs="Arial"/>
          <w:sz w:val="20"/>
          <w:szCs w:val="20"/>
        </w:rPr>
        <w:t xml:space="preserve">ESD </w:t>
      </w:r>
      <w:r w:rsidRPr="002D5D44">
        <w:rPr>
          <w:rFonts w:ascii="Arial" w:hAnsi="Arial" w:cs="Arial"/>
          <w:sz w:val="20"/>
          <w:szCs w:val="20"/>
        </w:rPr>
        <w:t>sektorjih</w:t>
      </w:r>
      <w:r w:rsidR="00CC6C79" w:rsidRPr="002D5D44">
        <w:rPr>
          <w:rFonts w:ascii="Arial" w:hAnsi="Arial" w:cs="Arial"/>
          <w:sz w:val="20"/>
          <w:szCs w:val="20"/>
        </w:rPr>
        <w:t xml:space="preserve"> </w:t>
      </w:r>
      <w:r w:rsidR="006E269A">
        <w:rPr>
          <w:rFonts w:ascii="Arial" w:hAnsi="Arial" w:cs="Arial"/>
          <w:sz w:val="20"/>
          <w:szCs w:val="20"/>
        </w:rPr>
        <w:t xml:space="preserve">dosega in </w:t>
      </w:r>
      <w:proofErr w:type="spellStart"/>
      <w:r w:rsidR="006E269A">
        <w:rPr>
          <w:rFonts w:ascii="Arial" w:hAnsi="Arial" w:cs="Arial"/>
          <w:sz w:val="20"/>
          <w:szCs w:val="20"/>
        </w:rPr>
        <w:t>zaenkrat</w:t>
      </w:r>
      <w:proofErr w:type="spellEnd"/>
      <w:r w:rsidRPr="002D5D44">
        <w:rPr>
          <w:rFonts w:ascii="Arial" w:hAnsi="Arial" w:cs="Arial"/>
          <w:sz w:val="20"/>
          <w:szCs w:val="20"/>
        </w:rPr>
        <w:t xml:space="preserve"> znatno presega. Emisije TGP v letu 2016 so bile za 9 % nižje od dovoljenih. Projekcije kažejo, da bo Republika Slovenija dosegla tudi cilje do leta 2020 določene na osnovi Odločbe 406/2009/ES</w:t>
      </w:r>
      <w:r w:rsidR="004F37C4">
        <w:rPr>
          <w:rFonts w:ascii="Arial" w:hAnsi="Arial" w:cs="Arial"/>
          <w:sz w:val="20"/>
          <w:szCs w:val="20"/>
        </w:rPr>
        <w:t>, tj. največ 4-odstotno povečanje emisij TGP glede na leto 2005</w:t>
      </w:r>
      <w:r w:rsidR="004F37C4" w:rsidRPr="002D5D44">
        <w:rPr>
          <w:rFonts w:ascii="Arial" w:hAnsi="Arial" w:cs="Arial"/>
          <w:sz w:val="20"/>
          <w:szCs w:val="20"/>
        </w:rPr>
        <w:t>.</w:t>
      </w:r>
      <w:r w:rsidRPr="002D5D44">
        <w:rPr>
          <w:rFonts w:ascii="Arial" w:hAnsi="Arial" w:cs="Arial"/>
          <w:sz w:val="20"/>
          <w:szCs w:val="20"/>
        </w:rPr>
        <w:t xml:space="preserve"> </w:t>
      </w:r>
      <w:r w:rsidR="00E17B8C" w:rsidRPr="002D5D44">
        <w:rPr>
          <w:rFonts w:ascii="Arial" w:hAnsi="Arial" w:cs="Arial"/>
          <w:sz w:val="20"/>
          <w:szCs w:val="20"/>
        </w:rPr>
        <w:t>Vseeno pa obstaja</w:t>
      </w:r>
      <w:r w:rsidRPr="002D5D44">
        <w:rPr>
          <w:rFonts w:ascii="Arial" w:hAnsi="Arial" w:cs="Arial"/>
          <w:sz w:val="20"/>
          <w:szCs w:val="20"/>
        </w:rPr>
        <w:t xml:space="preserve"> določena negotovost</w:t>
      </w:r>
      <w:r w:rsidR="00E17B8C" w:rsidRPr="002D5D44">
        <w:rPr>
          <w:rFonts w:ascii="Arial" w:hAnsi="Arial" w:cs="Arial"/>
          <w:sz w:val="20"/>
          <w:szCs w:val="20"/>
        </w:rPr>
        <w:t xml:space="preserve"> glede absolutnih količin</w:t>
      </w:r>
      <w:r w:rsidRPr="002D5D44">
        <w:rPr>
          <w:rFonts w:ascii="Arial" w:hAnsi="Arial" w:cs="Arial"/>
          <w:sz w:val="20"/>
          <w:szCs w:val="20"/>
        </w:rPr>
        <w:t xml:space="preserve"> emisij in </w:t>
      </w:r>
      <w:r w:rsidR="00CC6C79" w:rsidRPr="002D5D44">
        <w:rPr>
          <w:rFonts w:ascii="Arial" w:hAnsi="Arial" w:cs="Arial"/>
          <w:sz w:val="20"/>
          <w:szCs w:val="20"/>
        </w:rPr>
        <w:t>doseganja</w:t>
      </w:r>
      <w:r w:rsidRPr="002D5D44">
        <w:rPr>
          <w:rFonts w:ascii="Arial" w:hAnsi="Arial" w:cs="Arial"/>
          <w:sz w:val="20"/>
          <w:szCs w:val="20"/>
        </w:rPr>
        <w:t xml:space="preserve"> indikativni</w:t>
      </w:r>
      <w:r w:rsidR="00CC6C79" w:rsidRPr="002D5D44">
        <w:rPr>
          <w:rFonts w:ascii="Arial" w:hAnsi="Arial" w:cs="Arial"/>
          <w:sz w:val="20"/>
          <w:szCs w:val="20"/>
        </w:rPr>
        <w:t>h</w:t>
      </w:r>
      <w:r w:rsidRPr="002D5D44">
        <w:rPr>
          <w:rFonts w:ascii="Arial" w:hAnsi="Arial" w:cs="Arial"/>
          <w:sz w:val="20"/>
          <w:szCs w:val="20"/>
        </w:rPr>
        <w:t xml:space="preserve"> sektorski</w:t>
      </w:r>
      <w:r w:rsidR="00CC6C79" w:rsidRPr="002D5D44">
        <w:rPr>
          <w:rFonts w:ascii="Arial" w:hAnsi="Arial" w:cs="Arial"/>
          <w:sz w:val="20"/>
          <w:szCs w:val="20"/>
        </w:rPr>
        <w:t>h ciljev</w:t>
      </w:r>
      <w:r w:rsidRPr="002D5D44">
        <w:rPr>
          <w:rFonts w:ascii="Arial" w:hAnsi="Arial" w:cs="Arial"/>
          <w:sz w:val="20"/>
          <w:szCs w:val="20"/>
        </w:rPr>
        <w:t xml:space="preserve"> določeni</w:t>
      </w:r>
      <w:r w:rsidR="00CC6C79" w:rsidRPr="002D5D44">
        <w:rPr>
          <w:rFonts w:ascii="Arial" w:hAnsi="Arial" w:cs="Arial"/>
          <w:sz w:val="20"/>
          <w:szCs w:val="20"/>
        </w:rPr>
        <w:t>h</w:t>
      </w:r>
      <w:r w:rsidRPr="002D5D44">
        <w:rPr>
          <w:rFonts w:ascii="Arial" w:hAnsi="Arial" w:cs="Arial"/>
          <w:sz w:val="20"/>
          <w:szCs w:val="20"/>
        </w:rPr>
        <w:t xml:space="preserve"> v OP TGP 2020.</w:t>
      </w:r>
    </w:p>
    <w:p w:rsidR="00E17B8C" w:rsidRPr="002D5D44" w:rsidRDefault="00E17B8C" w:rsidP="00E17B8C">
      <w:pPr>
        <w:spacing w:after="0" w:line="240" w:lineRule="auto"/>
        <w:jc w:val="both"/>
        <w:rPr>
          <w:rFonts w:ascii="Arial" w:hAnsi="Arial" w:cs="Arial"/>
          <w:sz w:val="20"/>
          <w:szCs w:val="20"/>
        </w:rPr>
      </w:pPr>
    </w:p>
    <w:p w:rsidR="00942C41" w:rsidRPr="002D5D44" w:rsidRDefault="00B42AE4" w:rsidP="00942C41">
      <w:pPr>
        <w:spacing w:after="0" w:line="240" w:lineRule="auto"/>
        <w:jc w:val="both"/>
        <w:rPr>
          <w:rFonts w:ascii="Arial" w:hAnsi="Arial" w:cs="Arial"/>
          <w:sz w:val="20"/>
          <w:szCs w:val="20"/>
        </w:rPr>
      </w:pPr>
      <w:r w:rsidRPr="002D5D44">
        <w:rPr>
          <w:rFonts w:ascii="Arial" w:hAnsi="Arial" w:cs="Arial"/>
          <w:sz w:val="20"/>
          <w:szCs w:val="20"/>
        </w:rPr>
        <w:t>Trenutno izpolnjevanje ciljev še ne pomeni dol</w:t>
      </w:r>
      <w:r w:rsidR="00104DEE">
        <w:rPr>
          <w:rFonts w:ascii="Arial" w:hAnsi="Arial" w:cs="Arial"/>
          <w:sz w:val="20"/>
          <w:szCs w:val="20"/>
        </w:rPr>
        <w:t>goročnega obvladovanja emisij. Spodbudni</w:t>
      </w:r>
      <w:r w:rsidR="00956AB7">
        <w:rPr>
          <w:rFonts w:ascii="Arial" w:hAnsi="Arial" w:cs="Arial"/>
          <w:sz w:val="20"/>
          <w:szCs w:val="20"/>
        </w:rPr>
        <w:t xml:space="preserve"> trend zmanjševanja</w:t>
      </w:r>
      <w:r w:rsidRPr="002D5D44">
        <w:rPr>
          <w:rFonts w:ascii="Arial" w:hAnsi="Arial" w:cs="Arial"/>
          <w:sz w:val="20"/>
          <w:szCs w:val="20"/>
        </w:rPr>
        <w:t xml:space="preserve"> iz preteklih let se je obrnil, saj je bilo v letu 2016 drugo leto zapored z</w:t>
      </w:r>
      <w:r w:rsidR="00F277C3">
        <w:rPr>
          <w:rFonts w:ascii="Arial" w:hAnsi="Arial" w:cs="Arial"/>
          <w:sz w:val="20"/>
          <w:szCs w:val="20"/>
        </w:rPr>
        <w:t>abeleženo povečanje emisij. Po 2</w:t>
      </w:r>
      <w:r w:rsidRPr="002D5D44">
        <w:rPr>
          <w:rFonts w:ascii="Arial" w:hAnsi="Arial" w:cs="Arial"/>
          <w:sz w:val="20"/>
          <w:szCs w:val="20"/>
        </w:rPr>
        <w:t xml:space="preserve">,3-odstotni rasti v letu 2015, je ta v letu 2016 znašala 5 %. </w:t>
      </w:r>
      <w:r w:rsidR="00942C41">
        <w:rPr>
          <w:rFonts w:ascii="Arial" w:hAnsi="Arial" w:cs="Arial"/>
          <w:sz w:val="20"/>
          <w:szCs w:val="20"/>
        </w:rPr>
        <w:t xml:space="preserve">Podatki o okvirnih evidencah emisij TGP </w:t>
      </w:r>
      <w:r w:rsidR="00942C41" w:rsidRPr="002D5D44">
        <w:rPr>
          <w:rFonts w:ascii="Arial" w:hAnsi="Arial" w:cs="Arial"/>
          <w:sz w:val="20"/>
          <w:szCs w:val="20"/>
        </w:rPr>
        <w:t xml:space="preserve">za leto 2017 sicer nakazujejo na njihovo ponovno zmanjšanje za </w:t>
      </w:r>
      <w:r w:rsidR="00942C41">
        <w:rPr>
          <w:rFonts w:ascii="Arial" w:hAnsi="Arial" w:cs="Arial"/>
          <w:sz w:val="20"/>
          <w:szCs w:val="20"/>
        </w:rPr>
        <w:t xml:space="preserve">približno </w:t>
      </w:r>
      <w:r w:rsidR="00F879B4">
        <w:rPr>
          <w:rFonts w:ascii="Arial" w:hAnsi="Arial" w:cs="Arial"/>
          <w:sz w:val="20"/>
          <w:szCs w:val="20"/>
        </w:rPr>
        <w:t>2</w:t>
      </w:r>
      <w:r w:rsidR="00942C41" w:rsidRPr="002D5D44">
        <w:rPr>
          <w:rFonts w:ascii="Arial" w:hAnsi="Arial" w:cs="Arial"/>
          <w:sz w:val="20"/>
          <w:szCs w:val="20"/>
        </w:rPr>
        <w:t xml:space="preserve"> %.  </w:t>
      </w:r>
    </w:p>
    <w:p w:rsidR="00E17B8C" w:rsidRPr="002D5D44" w:rsidRDefault="00E17B8C" w:rsidP="00E17B8C">
      <w:pPr>
        <w:spacing w:after="0" w:line="240" w:lineRule="auto"/>
        <w:jc w:val="both"/>
        <w:rPr>
          <w:rFonts w:ascii="Arial" w:hAnsi="Arial" w:cs="Arial"/>
          <w:sz w:val="20"/>
          <w:szCs w:val="20"/>
        </w:rPr>
      </w:pPr>
    </w:p>
    <w:p w:rsidR="00044D31" w:rsidRPr="002D5D44" w:rsidRDefault="00F277C3" w:rsidP="00E17B8C">
      <w:pPr>
        <w:spacing w:after="0" w:line="240" w:lineRule="auto"/>
        <w:jc w:val="both"/>
        <w:rPr>
          <w:rFonts w:ascii="Arial" w:hAnsi="Arial" w:cs="Arial"/>
          <w:sz w:val="20"/>
          <w:szCs w:val="20"/>
        </w:rPr>
      </w:pPr>
      <w:r>
        <w:rPr>
          <w:rFonts w:ascii="Arial" w:hAnsi="Arial" w:cs="Arial"/>
          <w:sz w:val="20"/>
          <w:szCs w:val="20"/>
        </w:rPr>
        <w:t>Na problem</w:t>
      </w:r>
      <w:r w:rsidR="00071807">
        <w:rPr>
          <w:rFonts w:ascii="Arial" w:hAnsi="Arial" w:cs="Arial"/>
          <w:sz w:val="20"/>
          <w:szCs w:val="20"/>
        </w:rPr>
        <w:t xml:space="preserve"> povečevanja</w:t>
      </w:r>
      <w:r>
        <w:rPr>
          <w:rFonts w:ascii="Arial" w:hAnsi="Arial" w:cs="Arial"/>
          <w:sz w:val="20"/>
          <w:szCs w:val="20"/>
        </w:rPr>
        <w:t xml:space="preserve"> emisij TGP nakazuje tudi</w:t>
      </w:r>
      <w:r w:rsidR="00F80710">
        <w:rPr>
          <w:rFonts w:ascii="Arial" w:hAnsi="Arial" w:cs="Arial"/>
          <w:sz w:val="20"/>
          <w:szCs w:val="20"/>
        </w:rPr>
        <w:t xml:space="preserve"> </w:t>
      </w:r>
      <w:r>
        <w:rPr>
          <w:rFonts w:ascii="Arial" w:hAnsi="Arial" w:cs="Arial"/>
          <w:sz w:val="20"/>
          <w:szCs w:val="20"/>
        </w:rPr>
        <w:t>zadnja vrednost</w:t>
      </w:r>
      <w:r w:rsidR="00044D31" w:rsidRPr="002D5D44">
        <w:rPr>
          <w:rFonts w:ascii="Arial" w:hAnsi="Arial" w:cs="Arial"/>
          <w:sz w:val="20"/>
          <w:szCs w:val="20"/>
        </w:rPr>
        <w:t xml:space="preserve"> kazalnika emis</w:t>
      </w:r>
      <w:r w:rsidR="00DA1BD7">
        <w:rPr>
          <w:rFonts w:ascii="Arial" w:hAnsi="Arial" w:cs="Arial"/>
          <w:sz w:val="20"/>
          <w:szCs w:val="20"/>
        </w:rPr>
        <w:t>ijska produktivnost, ki opisuje</w:t>
      </w:r>
      <w:r w:rsidR="00044D31" w:rsidRPr="002D5D44">
        <w:rPr>
          <w:rFonts w:ascii="Arial" w:hAnsi="Arial" w:cs="Arial"/>
          <w:sz w:val="20"/>
          <w:szCs w:val="20"/>
        </w:rPr>
        <w:t xml:space="preserve"> koliko </w:t>
      </w:r>
      <w:r w:rsidR="00071807">
        <w:rPr>
          <w:rFonts w:ascii="Arial" w:hAnsi="Arial" w:cs="Arial"/>
          <w:sz w:val="20"/>
          <w:szCs w:val="20"/>
        </w:rPr>
        <w:t xml:space="preserve">bruto domačega proizvoda (v nadaljnjem besedilu: </w:t>
      </w:r>
      <w:r w:rsidR="00044D31" w:rsidRPr="002D5D44">
        <w:rPr>
          <w:rFonts w:ascii="Arial" w:hAnsi="Arial" w:cs="Arial"/>
          <w:sz w:val="20"/>
          <w:szCs w:val="20"/>
        </w:rPr>
        <w:t>BDP</w:t>
      </w:r>
      <w:r w:rsidR="00071807">
        <w:rPr>
          <w:rFonts w:ascii="Arial" w:hAnsi="Arial" w:cs="Arial"/>
          <w:sz w:val="20"/>
          <w:szCs w:val="20"/>
        </w:rPr>
        <w:t>)</w:t>
      </w:r>
      <w:r w:rsidR="00044D31" w:rsidRPr="002D5D44">
        <w:rPr>
          <w:rFonts w:ascii="Arial" w:hAnsi="Arial" w:cs="Arial"/>
          <w:sz w:val="20"/>
          <w:szCs w:val="20"/>
        </w:rPr>
        <w:t xml:space="preserve"> ustvarimo za vsak kilogram emisij TGP. Kljub temu, da se je emisijska produktivnost</w:t>
      </w:r>
      <w:r w:rsidR="006A0CA4">
        <w:rPr>
          <w:rFonts w:ascii="Arial" w:hAnsi="Arial" w:cs="Arial"/>
          <w:sz w:val="20"/>
          <w:szCs w:val="20"/>
        </w:rPr>
        <w:t xml:space="preserve"> do leta 2016 v primerjavi z letom</w:t>
      </w:r>
      <w:r w:rsidR="00044D31" w:rsidRPr="002D5D44">
        <w:rPr>
          <w:rFonts w:ascii="Arial" w:hAnsi="Arial" w:cs="Arial"/>
          <w:sz w:val="20"/>
          <w:szCs w:val="20"/>
        </w:rPr>
        <w:t xml:space="preserve"> 2005 izboljšala za 33 %, pa </w:t>
      </w:r>
      <w:r w:rsidR="006A0CA4">
        <w:rPr>
          <w:rFonts w:ascii="Arial" w:hAnsi="Arial" w:cs="Arial"/>
          <w:sz w:val="20"/>
          <w:szCs w:val="20"/>
        </w:rPr>
        <w:t xml:space="preserve">primerjava z letom 2015 ni tako </w:t>
      </w:r>
      <w:proofErr w:type="spellStart"/>
      <w:r w:rsidR="006A0CA4">
        <w:rPr>
          <w:rFonts w:ascii="Arial" w:hAnsi="Arial" w:cs="Arial"/>
          <w:sz w:val="20"/>
          <w:szCs w:val="20"/>
        </w:rPr>
        <w:t>vzpodbudna</w:t>
      </w:r>
      <w:proofErr w:type="spellEnd"/>
      <w:r w:rsidR="00843872">
        <w:rPr>
          <w:rFonts w:ascii="Arial" w:hAnsi="Arial" w:cs="Arial"/>
          <w:sz w:val="20"/>
          <w:szCs w:val="20"/>
        </w:rPr>
        <w:t xml:space="preserve">. Emisijska produktivnost se je leta 2016 v primerjavi z letom poprej zmanjšala za </w:t>
      </w:r>
      <w:r w:rsidR="00B90F84">
        <w:rPr>
          <w:rFonts w:ascii="Arial" w:hAnsi="Arial" w:cs="Arial"/>
          <w:sz w:val="20"/>
          <w:szCs w:val="20"/>
        </w:rPr>
        <w:t xml:space="preserve">več kot odstotek. </w:t>
      </w:r>
      <w:r w:rsidR="00843872">
        <w:rPr>
          <w:rFonts w:ascii="Arial" w:hAnsi="Arial" w:cs="Arial"/>
          <w:sz w:val="20"/>
          <w:szCs w:val="20"/>
        </w:rPr>
        <w:t>R</w:t>
      </w:r>
      <w:r w:rsidR="00044D31" w:rsidRPr="002D5D44">
        <w:rPr>
          <w:rFonts w:ascii="Arial" w:hAnsi="Arial" w:cs="Arial"/>
          <w:sz w:val="20"/>
          <w:szCs w:val="20"/>
        </w:rPr>
        <w:t>ast emisij v tem letu</w:t>
      </w:r>
      <w:r w:rsidR="00843872">
        <w:rPr>
          <w:rFonts w:ascii="Arial" w:hAnsi="Arial" w:cs="Arial"/>
          <w:sz w:val="20"/>
          <w:szCs w:val="20"/>
        </w:rPr>
        <w:t xml:space="preserve"> je bila torej</w:t>
      </w:r>
      <w:r w:rsidR="00956AB7">
        <w:rPr>
          <w:rFonts w:ascii="Arial" w:hAnsi="Arial" w:cs="Arial"/>
          <w:sz w:val="20"/>
          <w:szCs w:val="20"/>
        </w:rPr>
        <w:t xml:space="preserve"> večja od gospodarske rasti.</w:t>
      </w:r>
      <w:r w:rsidR="00044D31" w:rsidRPr="002D5D44">
        <w:rPr>
          <w:rFonts w:ascii="Arial" w:hAnsi="Arial" w:cs="Arial"/>
          <w:sz w:val="20"/>
          <w:szCs w:val="20"/>
        </w:rPr>
        <w:t xml:space="preserve"> </w:t>
      </w:r>
      <w:r w:rsidR="007F17B9">
        <w:rPr>
          <w:rFonts w:ascii="Arial" w:hAnsi="Arial" w:cs="Arial"/>
          <w:sz w:val="20"/>
          <w:szCs w:val="20"/>
        </w:rPr>
        <w:t>T</w:t>
      </w:r>
      <w:r w:rsidR="004F37C4">
        <w:rPr>
          <w:rFonts w:ascii="Arial" w:hAnsi="Arial" w:cs="Arial"/>
          <w:sz w:val="20"/>
          <w:szCs w:val="20"/>
        </w:rPr>
        <w:t>o</w:t>
      </w:r>
      <w:r w:rsidR="007F17B9">
        <w:rPr>
          <w:rFonts w:ascii="Arial" w:hAnsi="Arial" w:cs="Arial"/>
          <w:sz w:val="20"/>
          <w:szCs w:val="20"/>
        </w:rPr>
        <w:t xml:space="preserve"> je</w:t>
      </w:r>
      <w:r w:rsidR="00044D31" w:rsidRPr="002D5D44">
        <w:rPr>
          <w:rFonts w:ascii="Arial" w:hAnsi="Arial" w:cs="Arial"/>
          <w:sz w:val="20"/>
          <w:szCs w:val="20"/>
        </w:rPr>
        <w:t xml:space="preserve"> v nasprotju</w:t>
      </w:r>
      <w:r w:rsidR="004F37C4">
        <w:rPr>
          <w:rFonts w:ascii="Arial" w:hAnsi="Arial" w:cs="Arial"/>
          <w:sz w:val="20"/>
          <w:szCs w:val="20"/>
        </w:rPr>
        <w:t xml:space="preserve"> z zastavljenimi cilji. E</w:t>
      </w:r>
      <w:r w:rsidR="00CC6C79" w:rsidRPr="002D5D44">
        <w:rPr>
          <w:rFonts w:ascii="Arial" w:hAnsi="Arial" w:cs="Arial"/>
          <w:sz w:val="20"/>
          <w:szCs w:val="20"/>
        </w:rPr>
        <w:t>den ključnih r</w:t>
      </w:r>
      <w:r w:rsidR="00044D31" w:rsidRPr="002D5D44">
        <w:rPr>
          <w:rFonts w:ascii="Arial" w:hAnsi="Arial" w:cs="Arial"/>
          <w:sz w:val="20"/>
          <w:szCs w:val="20"/>
        </w:rPr>
        <w:t>azlog</w:t>
      </w:r>
      <w:r w:rsidR="00CC6C79" w:rsidRPr="002D5D44">
        <w:rPr>
          <w:rFonts w:ascii="Arial" w:hAnsi="Arial" w:cs="Arial"/>
          <w:sz w:val="20"/>
          <w:szCs w:val="20"/>
        </w:rPr>
        <w:t>ov</w:t>
      </w:r>
      <w:r w:rsidR="00044D31" w:rsidRPr="002D5D44">
        <w:rPr>
          <w:rFonts w:ascii="Arial" w:hAnsi="Arial" w:cs="Arial"/>
          <w:sz w:val="20"/>
          <w:szCs w:val="20"/>
        </w:rPr>
        <w:t xml:space="preserve"> za to</w:t>
      </w:r>
      <w:r w:rsidR="006A0CA4">
        <w:rPr>
          <w:rFonts w:ascii="Arial" w:hAnsi="Arial" w:cs="Arial"/>
          <w:sz w:val="20"/>
          <w:szCs w:val="20"/>
        </w:rPr>
        <w:t xml:space="preserve"> pa</w:t>
      </w:r>
      <w:r w:rsidR="00044D31" w:rsidRPr="002D5D44">
        <w:rPr>
          <w:rFonts w:ascii="Arial" w:hAnsi="Arial" w:cs="Arial"/>
          <w:sz w:val="20"/>
          <w:szCs w:val="20"/>
        </w:rPr>
        <w:t xml:space="preserve"> je </w:t>
      </w:r>
      <w:r w:rsidR="00CC6C79" w:rsidRPr="002D5D44">
        <w:rPr>
          <w:rFonts w:ascii="Arial" w:hAnsi="Arial" w:cs="Arial"/>
          <w:sz w:val="20"/>
          <w:szCs w:val="20"/>
        </w:rPr>
        <w:t>po</w:t>
      </w:r>
      <w:r w:rsidR="00044D31" w:rsidRPr="002D5D44">
        <w:rPr>
          <w:rFonts w:ascii="Arial" w:hAnsi="Arial" w:cs="Arial"/>
          <w:sz w:val="20"/>
          <w:szCs w:val="20"/>
        </w:rPr>
        <w:t>več</w:t>
      </w:r>
      <w:r w:rsidR="00CC6C79" w:rsidRPr="002D5D44">
        <w:rPr>
          <w:rFonts w:ascii="Arial" w:hAnsi="Arial" w:cs="Arial"/>
          <w:sz w:val="20"/>
          <w:szCs w:val="20"/>
        </w:rPr>
        <w:t>anje</w:t>
      </w:r>
      <w:r w:rsidR="00044D31" w:rsidRPr="002D5D44">
        <w:rPr>
          <w:rFonts w:ascii="Arial" w:hAnsi="Arial" w:cs="Arial"/>
          <w:sz w:val="20"/>
          <w:szCs w:val="20"/>
        </w:rPr>
        <w:t xml:space="preserve"> emisij iz prometa.</w:t>
      </w:r>
    </w:p>
    <w:p w:rsidR="00044D31" w:rsidRPr="002D5D44" w:rsidRDefault="00044D31" w:rsidP="00044D31">
      <w:pPr>
        <w:spacing w:after="0" w:line="240" w:lineRule="auto"/>
        <w:jc w:val="both"/>
        <w:rPr>
          <w:rFonts w:ascii="Arial" w:hAnsi="Arial" w:cs="Arial"/>
          <w:sz w:val="20"/>
          <w:szCs w:val="20"/>
        </w:rPr>
      </w:pPr>
    </w:p>
    <w:p w:rsidR="006E1091" w:rsidRPr="002D5D44" w:rsidRDefault="00044D31" w:rsidP="006E1091">
      <w:pPr>
        <w:spacing w:after="0" w:line="240" w:lineRule="auto"/>
        <w:jc w:val="both"/>
        <w:rPr>
          <w:rFonts w:ascii="Arial" w:hAnsi="Arial" w:cs="Arial"/>
          <w:sz w:val="20"/>
          <w:szCs w:val="20"/>
        </w:rPr>
      </w:pPr>
      <w:r w:rsidRPr="002D5D44">
        <w:rPr>
          <w:rFonts w:ascii="Arial" w:hAnsi="Arial" w:cs="Arial"/>
          <w:sz w:val="20"/>
          <w:szCs w:val="20"/>
        </w:rPr>
        <w:t xml:space="preserve">V zadnjih letih se je izkazalo, da je trend emisij </w:t>
      </w:r>
      <w:r w:rsidR="006F3456">
        <w:rPr>
          <w:rFonts w:ascii="Arial" w:hAnsi="Arial" w:cs="Arial"/>
          <w:sz w:val="20"/>
          <w:szCs w:val="20"/>
        </w:rPr>
        <w:t xml:space="preserve">TGP </w:t>
      </w:r>
      <w:r w:rsidRPr="002D5D44">
        <w:rPr>
          <w:rFonts w:ascii="Arial" w:hAnsi="Arial" w:cs="Arial"/>
          <w:sz w:val="20"/>
          <w:szCs w:val="20"/>
        </w:rPr>
        <w:t xml:space="preserve">iz ESD sektorjev odvisen predvsem od </w:t>
      </w:r>
      <w:r w:rsidR="007F17B9">
        <w:rPr>
          <w:rFonts w:ascii="Arial" w:hAnsi="Arial" w:cs="Arial"/>
          <w:sz w:val="20"/>
          <w:szCs w:val="20"/>
        </w:rPr>
        <w:t xml:space="preserve">gibanja </w:t>
      </w:r>
      <w:r w:rsidRPr="002D5D44">
        <w:rPr>
          <w:rFonts w:ascii="Arial" w:hAnsi="Arial" w:cs="Arial"/>
          <w:sz w:val="20"/>
          <w:szCs w:val="20"/>
        </w:rPr>
        <w:t xml:space="preserve">emisij </w:t>
      </w:r>
      <w:r w:rsidR="007F17B9">
        <w:rPr>
          <w:rFonts w:ascii="Arial" w:hAnsi="Arial" w:cs="Arial"/>
          <w:sz w:val="20"/>
          <w:szCs w:val="20"/>
        </w:rPr>
        <w:t>v sektorju  promet</w:t>
      </w:r>
      <w:r w:rsidRPr="002D5D44">
        <w:rPr>
          <w:rFonts w:ascii="Arial" w:hAnsi="Arial" w:cs="Arial"/>
          <w:sz w:val="20"/>
          <w:szCs w:val="20"/>
        </w:rPr>
        <w:t xml:space="preserve">, ki predstavlja </w:t>
      </w:r>
      <w:r w:rsidR="00285ED5">
        <w:rPr>
          <w:rFonts w:ascii="Arial" w:hAnsi="Arial" w:cs="Arial"/>
          <w:sz w:val="20"/>
          <w:szCs w:val="20"/>
        </w:rPr>
        <w:t>vir okrog polovice vseh ESD emisij</w:t>
      </w:r>
      <w:r w:rsidRPr="002D5D44">
        <w:rPr>
          <w:rFonts w:ascii="Arial" w:hAnsi="Arial" w:cs="Arial"/>
          <w:sz w:val="20"/>
          <w:szCs w:val="20"/>
        </w:rPr>
        <w:t>. Spreminjanje trendov emisij iz tega sektorja je odraz kompleksnih dejavnikov, med drugim nanje pomembno vplivata tudi rast BDP in tranzitni promet</w:t>
      </w:r>
      <w:r w:rsidR="00285ED5">
        <w:rPr>
          <w:rFonts w:ascii="Arial" w:hAnsi="Arial" w:cs="Arial"/>
          <w:sz w:val="20"/>
          <w:szCs w:val="20"/>
        </w:rPr>
        <w:t xml:space="preserve"> v povezavi s cenami motornih goriv v Republiki Sloveniji</w:t>
      </w:r>
      <w:r w:rsidRPr="002D5D44">
        <w:rPr>
          <w:rFonts w:ascii="Arial" w:hAnsi="Arial" w:cs="Arial"/>
          <w:sz w:val="20"/>
          <w:szCs w:val="20"/>
        </w:rPr>
        <w:t>.</w:t>
      </w:r>
      <w:r w:rsidR="006E1091" w:rsidRPr="002D5D44">
        <w:rPr>
          <w:rFonts w:ascii="Arial" w:hAnsi="Arial" w:cs="Arial"/>
          <w:sz w:val="20"/>
          <w:szCs w:val="20"/>
        </w:rPr>
        <w:t xml:space="preserve"> Variabilnost teh emisij na letni ravni je lahko tudi do 18-odstotna, kar </w:t>
      </w:r>
      <w:r w:rsidR="00DA654F">
        <w:rPr>
          <w:rFonts w:ascii="Arial" w:hAnsi="Arial" w:cs="Arial"/>
          <w:sz w:val="20"/>
          <w:szCs w:val="20"/>
        </w:rPr>
        <w:t>predstavlja tveganje</w:t>
      </w:r>
      <w:r w:rsidR="006E1091" w:rsidRPr="002D5D44">
        <w:rPr>
          <w:rFonts w:ascii="Arial" w:hAnsi="Arial" w:cs="Arial"/>
          <w:sz w:val="20"/>
          <w:szCs w:val="20"/>
        </w:rPr>
        <w:t>, da bi lahko že kratkotrajna izrazita rast rabe pogonskih goriv, resno ogrozila izpolnjevanje nacionalnega cilja.</w:t>
      </w:r>
    </w:p>
    <w:p w:rsidR="00431970" w:rsidRDefault="00044D31" w:rsidP="00044D31">
      <w:pPr>
        <w:spacing w:after="0" w:line="240" w:lineRule="auto"/>
        <w:jc w:val="both"/>
        <w:rPr>
          <w:rFonts w:ascii="Arial" w:hAnsi="Arial" w:cs="Arial"/>
          <w:sz w:val="20"/>
          <w:szCs w:val="20"/>
        </w:rPr>
      </w:pPr>
      <w:r w:rsidRPr="002D5D44">
        <w:rPr>
          <w:rFonts w:ascii="Arial" w:hAnsi="Arial" w:cs="Arial"/>
          <w:sz w:val="20"/>
          <w:szCs w:val="20"/>
        </w:rPr>
        <w:t>Narejena je bila</w:t>
      </w:r>
      <w:r w:rsidR="006E1091" w:rsidRPr="002D5D44">
        <w:rPr>
          <w:rFonts w:ascii="Arial" w:hAnsi="Arial" w:cs="Arial"/>
          <w:sz w:val="20"/>
          <w:szCs w:val="20"/>
        </w:rPr>
        <w:t xml:space="preserve"> </w:t>
      </w:r>
      <w:r w:rsidRPr="002D5D44">
        <w:rPr>
          <w:rFonts w:ascii="Arial" w:hAnsi="Arial" w:cs="Arial"/>
          <w:sz w:val="20"/>
          <w:szCs w:val="20"/>
        </w:rPr>
        <w:t>analiza občutljivosti projekcij</w:t>
      </w:r>
      <w:r w:rsidR="00285ED5">
        <w:rPr>
          <w:rFonts w:ascii="Arial" w:hAnsi="Arial" w:cs="Arial"/>
          <w:sz w:val="20"/>
          <w:szCs w:val="20"/>
        </w:rPr>
        <w:t xml:space="preserve"> emisij TGP</w:t>
      </w:r>
      <w:r w:rsidRPr="002D5D44">
        <w:rPr>
          <w:rFonts w:ascii="Arial" w:hAnsi="Arial" w:cs="Arial"/>
          <w:sz w:val="20"/>
          <w:szCs w:val="20"/>
        </w:rPr>
        <w:t xml:space="preserve"> na vpliv tranzitnega prometa, poleg tega pa sta bila primerjana tudi scenarija izvajanja ukrepov prometne in okoljske politike v prometnem sektorju. Razpon med najvišjo in najnižjo projekcijo v p</w:t>
      </w:r>
      <w:r w:rsidR="007F17B9">
        <w:rPr>
          <w:rFonts w:ascii="Arial" w:hAnsi="Arial" w:cs="Arial"/>
          <w:sz w:val="20"/>
          <w:szCs w:val="20"/>
        </w:rPr>
        <w:t xml:space="preserve">rometu za leto 2020 znaša 35 %. </w:t>
      </w:r>
    </w:p>
    <w:p w:rsidR="00156A31" w:rsidRDefault="00ED3EF6" w:rsidP="00044D31">
      <w:pPr>
        <w:spacing w:after="0" w:line="240" w:lineRule="auto"/>
        <w:jc w:val="both"/>
        <w:rPr>
          <w:rFonts w:ascii="Arial" w:hAnsi="Arial" w:cs="Arial"/>
          <w:sz w:val="20"/>
          <w:szCs w:val="20"/>
        </w:rPr>
      </w:pPr>
      <w:r>
        <w:rPr>
          <w:rFonts w:ascii="Arial" w:hAnsi="Arial" w:cs="Arial"/>
          <w:sz w:val="20"/>
          <w:szCs w:val="20"/>
        </w:rPr>
        <w:t xml:space="preserve">Doseganje emisijskih ciljev do leta 2020 naj kljub tej projekcijski negotovosti ne bi bilo vprašljivo, zlasti ob </w:t>
      </w:r>
      <w:r w:rsidR="00494D4C" w:rsidRPr="002D5D44">
        <w:rPr>
          <w:rFonts w:ascii="Arial" w:hAnsi="Arial" w:cs="Arial"/>
          <w:sz w:val="20"/>
          <w:szCs w:val="20"/>
        </w:rPr>
        <w:t>do sedaj ustvarjenih presežkih enot dodeljenih letnih emisij TGP</w:t>
      </w:r>
      <w:r w:rsidR="00071807">
        <w:rPr>
          <w:rFonts w:ascii="Arial" w:hAnsi="Arial" w:cs="Arial"/>
          <w:sz w:val="20"/>
          <w:szCs w:val="20"/>
        </w:rPr>
        <w:t xml:space="preserve"> (4.943.928)</w:t>
      </w:r>
      <w:r w:rsidR="00494D4C" w:rsidRPr="002D5D44">
        <w:rPr>
          <w:rFonts w:ascii="Arial" w:hAnsi="Arial" w:cs="Arial"/>
          <w:sz w:val="20"/>
          <w:szCs w:val="20"/>
        </w:rPr>
        <w:t xml:space="preserve"> v okviru Odločbe 406/2009/ES</w:t>
      </w:r>
      <w:r w:rsidR="00C107B1">
        <w:rPr>
          <w:rFonts w:ascii="Arial" w:hAnsi="Arial" w:cs="Arial"/>
          <w:sz w:val="20"/>
          <w:szCs w:val="20"/>
        </w:rPr>
        <w:t xml:space="preserve">, </w:t>
      </w:r>
      <w:r w:rsidR="00127B21">
        <w:rPr>
          <w:rFonts w:ascii="Arial" w:hAnsi="Arial" w:cs="Arial"/>
          <w:sz w:val="20"/>
          <w:szCs w:val="20"/>
        </w:rPr>
        <w:t>ki so rezultat za 4.943.928 t CO</w:t>
      </w:r>
      <w:r w:rsidR="00127B21">
        <w:rPr>
          <w:rFonts w:ascii="Arial" w:hAnsi="Arial" w:cs="Arial"/>
          <w:sz w:val="20"/>
          <w:szCs w:val="20"/>
          <w:vertAlign w:val="subscript"/>
        </w:rPr>
        <w:t>2</w:t>
      </w:r>
      <w:r w:rsidR="00127B21">
        <w:rPr>
          <w:rFonts w:ascii="Arial" w:hAnsi="Arial" w:cs="Arial"/>
          <w:sz w:val="20"/>
          <w:szCs w:val="20"/>
        </w:rPr>
        <w:t xml:space="preserve"> </w:t>
      </w:r>
      <w:proofErr w:type="spellStart"/>
      <w:r w:rsidR="00127B21">
        <w:rPr>
          <w:rFonts w:ascii="Arial" w:hAnsi="Arial" w:cs="Arial"/>
          <w:sz w:val="20"/>
          <w:szCs w:val="20"/>
        </w:rPr>
        <w:t>ekv</w:t>
      </w:r>
      <w:proofErr w:type="spellEnd"/>
      <w:r w:rsidR="00127B21">
        <w:rPr>
          <w:rFonts w:ascii="Arial" w:hAnsi="Arial" w:cs="Arial"/>
          <w:sz w:val="20"/>
          <w:szCs w:val="20"/>
        </w:rPr>
        <w:t xml:space="preserve">. nižjih emisij od dovoljenih. </w:t>
      </w:r>
      <w:r w:rsidR="00C107B1">
        <w:rPr>
          <w:rFonts w:ascii="Arial" w:hAnsi="Arial" w:cs="Arial"/>
          <w:sz w:val="20"/>
          <w:szCs w:val="20"/>
        </w:rPr>
        <w:t>Republika Slovenija</w:t>
      </w:r>
      <w:r w:rsidR="00127B21">
        <w:rPr>
          <w:rFonts w:ascii="Arial" w:hAnsi="Arial" w:cs="Arial"/>
          <w:sz w:val="20"/>
          <w:szCs w:val="20"/>
        </w:rPr>
        <w:t xml:space="preserve"> </w:t>
      </w:r>
      <w:r w:rsidR="00876E0F">
        <w:rPr>
          <w:rFonts w:ascii="Arial" w:hAnsi="Arial" w:cs="Arial"/>
          <w:sz w:val="20"/>
          <w:szCs w:val="20"/>
        </w:rPr>
        <w:t xml:space="preserve">enote </w:t>
      </w:r>
      <w:r w:rsidR="00431970">
        <w:rPr>
          <w:rFonts w:ascii="Arial" w:hAnsi="Arial" w:cs="Arial"/>
          <w:sz w:val="20"/>
          <w:szCs w:val="20"/>
        </w:rPr>
        <w:t xml:space="preserve">letnih dodelitev emisij lahko prenaša v naslednja leta </w:t>
      </w:r>
      <w:r w:rsidR="00876E0F">
        <w:rPr>
          <w:rFonts w:ascii="Arial" w:hAnsi="Arial" w:cs="Arial"/>
          <w:sz w:val="20"/>
          <w:szCs w:val="20"/>
        </w:rPr>
        <w:t>do</w:t>
      </w:r>
      <w:r w:rsidR="00127B21">
        <w:rPr>
          <w:rFonts w:ascii="Arial" w:hAnsi="Arial" w:cs="Arial"/>
          <w:sz w:val="20"/>
          <w:szCs w:val="20"/>
        </w:rPr>
        <w:t xml:space="preserve"> leta 2020 in si z njimi</w:t>
      </w:r>
      <w:r w:rsidR="00956AB7">
        <w:rPr>
          <w:rFonts w:ascii="Arial" w:hAnsi="Arial" w:cs="Arial"/>
          <w:sz w:val="20"/>
          <w:szCs w:val="20"/>
        </w:rPr>
        <w:t>,</w:t>
      </w:r>
      <w:r w:rsidR="00127B21">
        <w:rPr>
          <w:rFonts w:ascii="Arial" w:hAnsi="Arial" w:cs="Arial"/>
          <w:sz w:val="20"/>
          <w:szCs w:val="20"/>
        </w:rPr>
        <w:t xml:space="preserve"> </w:t>
      </w:r>
      <w:r w:rsidR="00956AB7">
        <w:rPr>
          <w:rFonts w:ascii="Arial" w:hAnsi="Arial" w:cs="Arial"/>
          <w:sz w:val="20"/>
          <w:szCs w:val="20"/>
        </w:rPr>
        <w:t xml:space="preserve">ob morebitnih nepričakovanih povečanjih emisij, </w:t>
      </w:r>
      <w:r w:rsidR="00127B21">
        <w:rPr>
          <w:rFonts w:ascii="Arial" w:hAnsi="Arial" w:cs="Arial"/>
          <w:sz w:val="20"/>
          <w:szCs w:val="20"/>
        </w:rPr>
        <w:t>olajšuje doseganje ciljev.</w:t>
      </w:r>
      <w:r w:rsidR="00CA63DC">
        <w:rPr>
          <w:rFonts w:ascii="Arial" w:hAnsi="Arial" w:cs="Arial"/>
          <w:sz w:val="20"/>
          <w:szCs w:val="20"/>
        </w:rPr>
        <w:t xml:space="preserve"> </w:t>
      </w:r>
    </w:p>
    <w:p w:rsidR="00044D31" w:rsidRPr="002D5D44" w:rsidRDefault="004C42AA" w:rsidP="00044D31">
      <w:pPr>
        <w:spacing w:after="0" w:line="240" w:lineRule="auto"/>
        <w:jc w:val="both"/>
        <w:rPr>
          <w:rFonts w:ascii="Arial" w:hAnsi="Arial" w:cs="Arial"/>
          <w:sz w:val="20"/>
          <w:szCs w:val="20"/>
        </w:rPr>
      </w:pPr>
      <w:r>
        <w:rPr>
          <w:rFonts w:ascii="Arial" w:hAnsi="Arial" w:cs="Arial"/>
          <w:sz w:val="20"/>
          <w:szCs w:val="20"/>
        </w:rPr>
        <w:t>I</w:t>
      </w:r>
      <w:r w:rsidR="00044D31" w:rsidRPr="002D5D44">
        <w:rPr>
          <w:rFonts w:ascii="Arial" w:hAnsi="Arial" w:cs="Arial"/>
          <w:sz w:val="20"/>
          <w:szCs w:val="20"/>
        </w:rPr>
        <w:t>nformacija</w:t>
      </w:r>
      <w:r w:rsidR="00494D4C" w:rsidRPr="002D5D44">
        <w:rPr>
          <w:rFonts w:ascii="Arial" w:hAnsi="Arial" w:cs="Arial"/>
          <w:sz w:val="20"/>
          <w:szCs w:val="20"/>
        </w:rPr>
        <w:t xml:space="preserve"> o negotovosti emisij TGP iz prometa v letu 2020</w:t>
      </w:r>
      <w:r w:rsidR="00044D31" w:rsidRPr="002D5D44">
        <w:rPr>
          <w:rFonts w:ascii="Arial" w:hAnsi="Arial" w:cs="Arial"/>
          <w:sz w:val="20"/>
          <w:szCs w:val="20"/>
        </w:rPr>
        <w:t xml:space="preserve"> </w:t>
      </w:r>
      <w:r>
        <w:rPr>
          <w:rFonts w:ascii="Arial" w:hAnsi="Arial" w:cs="Arial"/>
          <w:sz w:val="20"/>
          <w:szCs w:val="20"/>
        </w:rPr>
        <w:t xml:space="preserve">je </w:t>
      </w:r>
      <w:r w:rsidR="00DA1BD7">
        <w:rPr>
          <w:rFonts w:ascii="Arial" w:hAnsi="Arial" w:cs="Arial"/>
          <w:sz w:val="20"/>
          <w:szCs w:val="20"/>
        </w:rPr>
        <w:t xml:space="preserve">tako </w:t>
      </w:r>
      <w:r w:rsidR="00044D31" w:rsidRPr="002D5D44">
        <w:rPr>
          <w:rFonts w:ascii="Arial" w:hAnsi="Arial" w:cs="Arial"/>
          <w:sz w:val="20"/>
          <w:szCs w:val="20"/>
        </w:rPr>
        <w:t>bolj pomembna z</w:t>
      </w:r>
      <w:r w:rsidR="00CA63DC">
        <w:rPr>
          <w:rFonts w:ascii="Arial" w:hAnsi="Arial" w:cs="Arial"/>
          <w:sz w:val="20"/>
          <w:szCs w:val="20"/>
        </w:rPr>
        <w:t xml:space="preserve"> vidika doseganja že določenih</w:t>
      </w:r>
      <w:r w:rsidR="00044D31" w:rsidRPr="002D5D44">
        <w:rPr>
          <w:rFonts w:ascii="Arial" w:hAnsi="Arial" w:cs="Arial"/>
          <w:sz w:val="20"/>
          <w:szCs w:val="20"/>
        </w:rPr>
        <w:t xml:space="preserve"> ciljev do leta 2030</w:t>
      </w:r>
      <w:r>
        <w:rPr>
          <w:rFonts w:ascii="Arial" w:hAnsi="Arial" w:cs="Arial"/>
          <w:sz w:val="20"/>
          <w:szCs w:val="20"/>
        </w:rPr>
        <w:t xml:space="preserve"> v okviru </w:t>
      </w:r>
      <w:r w:rsidR="00127B21">
        <w:rPr>
          <w:rFonts w:ascii="Arial" w:hAnsi="Arial" w:cs="Arial"/>
          <w:sz w:val="20"/>
          <w:szCs w:val="20"/>
        </w:rPr>
        <w:t>Uredbe 2018/842</w:t>
      </w:r>
      <w:r w:rsidR="00127B21">
        <w:rPr>
          <w:rStyle w:val="Sprotnaopomba-sklic"/>
          <w:rFonts w:ascii="Arial" w:hAnsi="Arial" w:cs="Arial"/>
          <w:sz w:val="20"/>
          <w:szCs w:val="20"/>
        </w:rPr>
        <w:footnoteReference w:id="6"/>
      </w:r>
      <w:r w:rsidR="00E11A89">
        <w:rPr>
          <w:rFonts w:ascii="Arial" w:hAnsi="Arial" w:cs="Arial"/>
          <w:sz w:val="20"/>
          <w:szCs w:val="20"/>
        </w:rPr>
        <w:t xml:space="preserve"> (</w:t>
      </w:r>
      <w:r w:rsidR="00127B21">
        <w:rPr>
          <w:rFonts w:ascii="Arial" w:hAnsi="Arial" w:cs="Arial"/>
          <w:sz w:val="20"/>
          <w:szCs w:val="20"/>
        </w:rPr>
        <w:t>t.i. E</w:t>
      </w:r>
      <w:r>
        <w:rPr>
          <w:rFonts w:ascii="Arial" w:hAnsi="Arial" w:cs="Arial"/>
          <w:sz w:val="20"/>
          <w:szCs w:val="20"/>
        </w:rPr>
        <w:t>SR</w:t>
      </w:r>
      <w:r w:rsidR="00127B21">
        <w:rPr>
          <w:rFonts w:ascii="Arial" w:hAnsi="Arial" w:cs="Arial"/>
          <w:sz w:val="20"/>
          <w:szCs w:val="20"/>
        </w:rPr>
        <w:t>)</w:t>
      </w:r>
      <w:r w:rsidR="00044D31" w:rsidRPr="002D5D44">
        <w:rPr>
          <w:rFonts w:ascii="Arial" w:hAnsi="Arial" w:cs="Arial"/>
          <w:sz w:val="20"/>
          <w:szCs w:val="20"/>
        </w:rPr>
        <w:t>.</w:t>
      </w:r>
      <w:r w:rsidR="002F40E0">
        <w:rPr>
          <w:rFonts w:ascii="Arial" w:hAnsi="Arial" w:cs="Arial"/>
          <w:sz w:val="20"/>
          <w:szCs w:val="20"/>
        </w:rPr>
        <w:t xml:space="preserve"> Cilj za Republiko Slovenijo do leta 2030 je zmanjšati emisije</w:t>
      </w:r>
      <w:r w:rsidR="00156A31">
        <w:rPr>
          <w:rFonts w:ascii="Arial" w:hAnsi="Arial" w:cs="Arial"/>
          <w:sz w:val="20"/>
          <w:szCs w:val="20"/>
        </w:rPr>
        <w:t xml:space="preserve"> </w:t>
      </w:r>
      <w:r w:rsidR="002F40E0">
        <w:rPr>
          <w:rFonts w:ascii="Arial" w:hAnsi="Arial" w:cs="Arial"/>
          <w:sz w:val="20"/>
          <w:szCs w:val="20"/>
        </w:rPr>
        <w:t xml:space="preserve">TGP </w:t>
      </w:r>
      <w:r w:rsidR="00156A31">
        <w:rPr>
          <w:rFonts w:ascii="Arial" w:hAnsi="Arial" w:cs="Arial"/>
          <w:sz w:val="20"/>
          <w:szCs w:val="20"/>
        </w:rPr>
        <w:t xml:space="preserve">iz ESD sektorjev </w:t>
      </w:r>
      <w:r w:rsidR="002F40E0">
        <w:rPr>
          <w:rFonts w:ascii="Arial" w:hAnsi="Arial" w:cs="Arial"/>
          <w:sz w:val="20"/>
          <w:szCs w:val="20"/>
        </w:rPr>
        <w:t>za 15 % glede na leto 2005.</w:t>
      </w:r>
      <w:r w:rsidR="00044D31" w:rsidRPr="002D5D44">
        <w:rPr>
          <w:rFonts w:ascii="Arial" w:hAnsi="Arial" w:cs="Arial"/>
          <w:sz w:val="20"/>
          <w:szCs w:val="20"/>
        </w:rPr>
        <w:t xml:space="preserve"> </w:t>
      </w:r>
      <w:r w:rsidR="002F40E0">
        <w:rPr>
          <w:rFonts w:ascii="Arial" w:hAnsi="Arial" w:cs="Arial"/>
          <w:sz w:val="20"/>
          <w:szCs w:val="20"/>
        </w:rPr>
        <w:t xml:space="preserve">Projekcije emisij TGP kažejo, da bo za </w:t>
      </w:r>
      <w:r w:rsidR="00E11A89">
        <w:rPr>
          <w:rFonts w:ascii="Arial" w:hAnsi="Arial" w:cs="Arial"/>
          <w:sz w:val="20"/>
          <w:szCs w:val="20"/>
        </w:rPr>
        <w:t xml:space="preserve">njegovo </w:t>
      </w:r>
      <w:r w:rsidR="002F40E0">
        <w:rPr>
          <w:rFonts w:ascii="Arial" w:hAnsi="Arial" w:cs="Arial"/>
          <w:sz w:val="20"/>
          <w:szCs w:val="20"/>
        </w:rPr>
        <w:t xml:space="preserve">doseganje ključno </w:t>
      </w:r>
      <w:r w:rsidR="00E11A89">
        <w:rPr>
          <w:rFonts w:ascii="Arial" w:hAnsi="Arial" w:cs="Arial"/>
          <w:sz w:val="20"/>
          <w:szCs w:val="20"/>
        </w:rPr>
        <w:t>prav dolgoročno obvladovanje emisij TGP iz prometa</w:t>
      </w:r>
      <w:r w:rsidR="00876E0F">
        <w:rPr>
          <w:rFonts w:ascii="Arial" w:hAnsi="Arial" w:cs="Arial"/>
          <w:sz w:val="20"/>
          <w:szCs w:val="20"/>
        </w:rPr>
        <w:t>, za kar bo potrebno</w:t>
      </w:r>
      <w:r w:rsidR="00E11A89">
        <w:rPr>
          <w:rFonts w:ascii="Arial" w:hAnsi="Arial" w:cs="Arial"/>
          <w:sz w:val="20"/>
          <w:szCs w:val="20"/>
        </w:rPr>
        <w:t xml:space="preserve"> </w:t>
      </w:r>
      <w:r w:rsidR="00876E0F">
        <w:rPr>
          <w:rFonts w:ascii="Arial" w:hAnsi="Arial" w:cs="Arial"/>
          <w:sz w:val="20"/>
          <w:szCs w:val="20"/>
        </w:rPr>
        <w:t>pravočasno okrepiti ukrepanje</w:t>
      </w:r>
      <w:r w:rsidR="00044D31" w:rsidRPr="002D5D44">
        <w:rPr>
          <w:rFonts w:ascii="Arial" w:hAnsi="Arial" w:cs="Arial"/>
          <w:sz w:val="20"/>
          <w:szCs w:val="20"/>
        </w:rPr>
        <w:t>, saj</w:t>
      </w:r>
      <w:r w:rsidR="006F3456">
        <w:rPr>
          <w:rFonts w:ascii="Arial" w:hAnsi="Arial" w:cs="Arial"/>
          <w:sz w:val="20"/>
          <w:szCs w:val="20"/>
        </w:rPr>
        <w:t xml:space="preserve"> so učinki današnjih aktivnosti</w:t>
      </w:r>
      <w:r w:rsidR="00044D31" w:rsidRPr="002D5D44">
        <w:rPr>
          <w:rFonts w:ascii="Arial" w:hAnsi="Arial" w:cs="Arial"/>
          <w:sz w:val="20"/>
          <w:szCs w:val="20"/>
        </w:rPr>
        <w:t xml:space="preserve"> pogosto zaznani šele čez leta</w:t>
      </w:r>
      <w:r w:rsidR="00F12210">
        <w:rPr>
          <w:rFonts w:ascii="Arial" w:hAnsi="Arial" w:cs="Arial"/>
          <w:sz w:val="20"/>
          <w:szCs w:val="20"/>
        </w:rPr>
        <w:t>.</w:t>
      </w:r>
      <w:r w:rsidR="00044D31" w:rsidRPr="002D5D44">
        <w:rPr>
          <w:rFonts w:ascii="Arial" w:eastAsia="Calibri" w:hAnsi="Arial" w:cs="Arial"/>
          <w:sz w:val="20"/>
          <w:szCs w:val="20"/>
        </w:rPr>
        <w:t xml:space="preserve">  </w:t>
      </w:r>
    </w:p>
    <w:p w:rsidR="00CA63DC" w:rsidRPr="00CA63DC" w:rsidRDefault="00285ED5" w:rsidP="00044D31">
      <w:pPr>
        <w:spacing w:after="0" w:line="240" w:lineRule="auto"/>
        <w:contextualSpacing/>
        <w:jc w:val="both"/>
        <w:rPr>
          <w:rFonts w:ascii="Arial" w:hAnsi="Arial" w:cs="Arial"/>
          <w:sz w:val="20"/>
          <w:szCs w:val="20"/>
        </w:rPr>
      </w:pPr>
      <w:r w:rsidRPr="00CA63DC">
        <w:rPr>
          <w:rFonts w:ascii="Arial" w:hAnsi="Arial" w:cs="Arial"/>
          <w:sz w:val="20"/>
          <w:szCs w:val="20"/>
        </w:rPr>
        <w:t>Na področju ukrepanja</w:t>
      </w:r>
      <w:r w:rsidR="00CA63DC">
        <w:rPr>
          <w:rFonts w:ascii="Arial" w:hAnsi="Arial" w:cs="Arial"/>
          <w:sz w:val="20"/>
          <w:szCs w:val="20"/>
        </w:rPr>
        <w:t xml:space="preserve"> v prometu</w:t>
      </w:r>
      <w:r w:rsidRPr="00CA63DC">
        <w:rPr>
          <w:rFonts w:ascii="Arial" w:hAnsi="Arial" w:cs="Arial"/>
          <w:sz w:val="20"/>
          <w:szCs w:val="20"/>
        </w:rPr>
        <w:t xml:space="preserve"> je bilo v </w:t>
      </w:r>
      <w:r w:rsidR="00CA63DC" w:rsidRPr="00CA63DC">
        <w:rPr>
          <w:rFonts w:ascii="Arial" w:hAnsi="Arial" w:cs="Arial"/>
          <w:sz w:val="20"/>
          <w:szCs w:val="20"/>
        </w:rPr>
        <w:t>zadnjem obdobju</w:t>
      </w:r>
      <w:r w:rsidRPr="00CA63DC">
        <w:rPr>
          <w:rFonts w:ascii="Arial" w:hAnsi="Arial" w:cs="Arial"/>
          <w:sz w:val="20"/>
          <w:szCs w:val="20"/>
        </w:rPr>
        <w:t xml:space="preserve"> zabeleženih kar nekaj pozitivnih trendov, </w:t>
      </w:r>
      <w:r w:rsidR="00DD571D" w:rsidRPr="00CA63DC">
        <w:rPr>
          <w:rFonts w:ascii="Arial" w:hAnsi="Arial" w:cs="Arial"/>
          <w:sz w:val="20"/>
          <w:szCs w:val="20"/>
        </w:rPr>
        <w:t xml:space="preserve">še vedno pa obstaja precej možnosti za </w:t>
      </w:r>
      <w:r w:rsidRPr="00CA63DC">
        <w:rPr>
          <w:rFonts w:ascii="Arial" w:hAnsi="Arial" w:cs="Arial"/>
          <w:sz w:val="20"/>
          <w:szCs w:val="20"/>
        </w:rPr>
        <w:t xml:space="preserve">napredek. </w:t>
      </w:r>
      <w:r w:rsidR="00044D31" w:rsidRPr="00CA63DC">
        <w:rPr>
          <w:rFonts w:ascii="Arial" w:hAnsi="Arial" w:cs="Arial"/>
          <w:sz w:val="20"/>
          <w:szCs w:val="20"/>
        </w:rPr>
        <w:t xml:space="preserve">Kot </w:t>
      </w:r>
      <w:r w:rsidR="00CC6C79" w:rsidRPr="00CA63DC">
        <w:rPr>
          <w:rFonts w:ascii="Arial" w:hAnsi="Arial" w:cs="Arial"/>
          <w:sz w:val="20"/>
          <w:szCs w:val="20"/>
        </w:rPr>
        <w:t xml:space="preserve">že narejen </w:t>
      </w:r>
      <w:r w:rsidR="00044D31" w:rsidRPr="00CA63DC">
        <w:rPr>
          <w:rFonts w:ascii="Arial" w:hAnsi="Arial" w:cs="Arial"/>
          <w:sz w:val="20"/>
          <w:szCs w:val="20"/>
        </w:rPr>
        <w:t>pomemben napredek se šteje sprejetje Celostnih prometnih strategij (</w:t>
      </w:r>
      <w:r w:rsidR="007F02A9" w:rsidRPr="00CA63DC">
        <w:rPr>
          <w:rFonts w:ascii="Arial" w:hAnsi="Arial" w:cs="Arial"/>
          <w:sz w:val="20"/>
          <w:szCs w:val="20"/>
        </w:rPr>
        <w:t xml:space="preserve">v nadaljnjem besedilu: </w:t>
      </w:r>
      <w:r w:rsidR="00044D31" w:rsidRPr="00CA63DC">
        <w:rPr>
          <w:rFonts w:ascii="Arial" w:hAnsi="Arial" w:cs="Arial"/>
          <w:sz w:val="20"/>
          <w:szCs w:val="20"/>
        </w:rPr>
        <w:t xml:space="preserve">CPS) v občinah v letu 2017, kot tudi to, da so bila zagotovljena dodatna finančna sredstva za izvajanje ukrepov trajnostne mobilnosti. </w:t>
      </w:r>
    </w:p>
    <w:p w:rsidR="00044D31" w:rsidRPr="00690292" w:rsidRDefault="00044D31" w:rsidP="00044D31">
      <w:pPr>
        <w:spacing w:after="0" w:line="240" w:lineRule="auto"/>
        <w:jc w:val="both"/>
        <w:rPr>
          <w:rFonts w:ascii="Arial" w:hAnsi="Arial" w:cs="Arial"/>
          <w:sz w:val="20"/>
          <w:szCs w:val="20"/>
        </w:rPr>
      </w:pPr>
    </w:p>
    <w:p w:rsidR="001755BC" w:rsidRPr="004C285A" w:rsidRDefault="00044D31" w:rsidP="00B04BBF">
      <w:pPr>
        <w:spacing w:after="0" w:line="240" w:lineRule="auto"/>
        <w:jc w:val="both"/>
        <w:rPr>
          <w:rFonts w:ascii="Arial" w:hAnsi="Arial" w:cs="Arial"/>
          <w:sz w:val="20"/>
          <w:szCs w:val="20"/>
        </w:rPr>
      </w:pPr>
      <w:r w:rsidRPr="004C285A">
        <w:rPr>
          <w:rFonts w:ascii="Arial" w:hAnsi="Arial" w:cs="Arial"/>
          <w:sz w:val="20"/>
          <w:szCs w:val="20"/>
        </w:rPr>
        <w:t xml:space="preserve">Po znatnem zmanjšanju emisij TGP na področju stavb v obdobju 2005–2014 je v zadnjih dveh letih znova sledilo povečanje. </w:t>
      </w:r>
      <w:r w:rsidR="003E701E">
        <w:rPr>
          <w:rFonts w:ascii="Arial" w:hAnsi="Arial" w:cs="Arial"/>
          <w:sz w:val="20"/>
          <w:szCs w:val="20"/>
        </w:rPr>
        <w:t>U</w:t>
      </w:r>
      <w:r w:rsidR="003E701E">
        <w:rPr>
          <w:rFonts w:ascii="Arial" w:eastAsia="Calibri" w:hAnsi="Arial" w:cs="Arial"/>
          <w:sz w:val="20"/>
          <w:szCs w:val="20"/>
        </w:rPr>
        <w:t>krepanje bo zaradi opaženih zaostankov</w:t>
      </w:r>
      <w:r w:rsidRPr="004C285A">
        <w:rPr>
          <w:rFonts w:ascii="Arial" w:eastAsia="Calibri" w:hAnsi="Arial" w:cs="Arial"/>
          <w:sz w:val="20"/>
          <w:szCs w:val="20"/>
        </w:rPr>
        <w:t xml:space="preserve"> potrebno nadgraditi in okrepiti.</w:t>
      </w:r>
      <w:r w:rsidR="001755BC" w:rsidRPr="004C285A">
        <w:rPr>
          <w:rFonts w:ascii="Arial" w:eastAsia="Calibri" w:hAnsi="Arial" w:cs="Arial"/>
          <w:sz w:val="20"/>
          <w:szCs w:val="20"/>
        </w:rPr>
        <w:t xml:space="preserve"> </w:t>
      </w:r>
      <w:r w:rsidRPr="004C285A">
        <w:rPr>
          <w:rFonts w:ascii="Arial" w:eastAsia="Calibri" w:hAnsi="Arial" w:cs="Arial"/>
          <w:sz w:val="20"/>
          <w:szCs w:val="20"/>
        </w:rPr>
        <w:t>Nadaljnje zmanjšanje emisij bo treba do leta 2020 zagotoviti tudi v sektorju ne-ETS industrija, ki v strukturi emisij predstavlja 10-odstotni delež.</w:t>
      </w:r>
      <w:r w:rsidRPr="004C285A">
        <w:rPr>
          <w:rFonts w:ascii="Arial" w:hAnsi="Arial" w:cs="Arial"/>
          <w:sz w:val="20"/>
          <w:szCs w:val="20"/>
        </w:rPr>
        <w:t xml:space="preserve"> </w:t>
      </w:r>
    </w:p>
    <w:p w:rsidR="003001CC" w:rsidRDefault="00044D31" w:rsidP="007D3AF4">
      <w:pPr>
        <w:spacing w:after="0" w:line="240" w:lineRule="auto"/>
        <w:jc w:val="both"/>
        <w:rPr>
          <w:rFonts w:ascii="Arial" w:hAnsi="Arial" w:cs="Arial"/>
          <w:sz w:val="20"/>
          <w:szCs w:val="20"/>
        </w:rPr>
      </w:pPr>
      <w:r w:rsidRPr="004C285A">
        <w:rPr>
          <w:rFonts w:ascii="Arial" w:eastAsia="Calibri" w:hAnsi="Arial" w:cs="Arial"/>
          <w:sz w:val="20"/>
          <w:szCs w:val="20"/>
        </w:rPr>
        <w:t>V kmetijstvu se zaradi stabilnega trenda in počasnih sprememb pričakuje,</w:t>
      </w:r>
      <w:r w:rsidR="00B04BBF" w:rsidRPr="004C285A">
        <w:rPr>
          <w:rFonts w:ascii="Arial" w:eastAsia="Calibri" w:hAnsi="Arial" w:cs="Arial"/>
          <w:sz w:val="20"/>
          <w:szCs w:val="20"/>
        </w:rPr>
        <w:t xml:space="preserve"> da bo indikativni cilj </w:t>
      </w:r>
      <w:r w:rsidR="004C285A">
        <w:rPr>
          <w:rFonts w:ascii="Arial" w:eastAsia="Calibri" w:hAnsi="Arial" w:cs="Arial"/>
          <w:sz w:val="20"/>
          <w:szCs w:val="20"/>
        </w:rPr>
        <w:t xml:space="preserve">iz OP TGP 2020 </w:t>
      </w:r>
      <w:r w:rsidR="00B04BBF" w:rsidRPr="004C285A">
        <w:rPr>
          <w:rFonts w:ascii="Arial" w:eastAsia="Calibri" w:hAnsi="Arial" w:cs="Arial"/>
          <w:sz w:val="20"/>
          <w:szCs w:val="20"/>
        </w:rPr>
        <w:t xml:space="preserve">dosežen, podobno tudi v sektorju odpadki, kjer je potrebno nadaljevati z ukrepanjem tudi zaradi učinkov na doseganje ostalih ciljev iz </w:t>
      </w:r>
      <w:r w:rsidR="00285ED5" w:rsidRPr="004C285A">
        <w:rPr>
          <w:rFonts w:ascii="Arial" w:eastAsia="Calibri" w:hAnsi="Arial" w:cs="Arial"/>
          <w:sz w:val="20"/>
          <w:szCs w:val="20"/>
        </w:rPr>
        <w:t>OP TGP 2020,  med katerimi</w:t>
      </w:r>
      <w:r w:rsidR="004C285A">
        <w:rPr>
          <w:rFonts w:ascii="Arial" w:eastAsia="Calibri" w:hAnsi="Arial" w:cs="Arial"/>
          <w:sz w:val="20"/>
          <w:szCs w:val="20"/>
        </w:rPr>
        <w:t xml:space="preserve"> je</w:t>
      </w:r>
      <w:r w:rsidR="00B04BBF" w:rsidRPr="004C285A">
        <w:rPr>
          <w:rFonts w:ascii="Arial" w:eastAsia="Calibri" w:hAnsi="Arial" w:cs="Arial"/>
          <w:sz w:val="20"/>
          <w:szCs w:val="20"/>
        </w:rPr>
        <w:t xml:space="preserve"> </w:t>
      </w:r>
      <w:r w:rsidR="00285ED5" w:rsidRPr="004C285A">
        <w:rPr>
          <w:rFonts w:ascii="Arial" w:eastAsia="Calibri" w:hAnsi="Arial" w:cs="Arial"/>
          <w:sz w:val="20"/>
          <w:szCs w:val="20"/>
        </w:rPr>
        <w:t>ključni</w:t>
      </w:r>
      <w:r w:rsidR="00B04BBF" w:rsidRPr="004C285A">
        <w:rPr>
          <w:rFonts w:ascii="Arial" w:eastAsia="Calibri" w:hAnsi="Arial" w:cs="Arial"/>
          <w:sz w:val="20"/>
          <w:szCs w:val="20"/>
        </w:rPr>
        <w:t xml:space="preserve"> vzpostavitev trajnostnega krožnega gospodarstva za prehod v </w:t>
      </w:r>
      <w:proofErr w:type="spellStart"/>
      <w:r w:rsidR="00B04BBF" w:rsidRPr="004C285A">
        <w:rPr>
          <w:rFonts w:ascii="Arial" w:eastAsia="Calibri" w:hAnsi="Arial" w:cs="Arial"/>
          <w:sz w:val="20"/>
          <w:szCs w:val="20"/>
        </w:rPr>
        <w:t>nizkoogljično</w:t>
      </w:r>
      <w:proofErr w:type="spellEnd"/>
      <w:r w:rsidR="00B04BBF" w:rsidRPr="004C285A">
        <w:rPr>
          <w:rFonts w:ascii="Arial" w:eastAsia="Calibri" w:hAnsi="Arial" w:cs="Arial"/>
          <w:sz w:val="20"/>
          <w:szCs w:val="20"/>
        </w:rPr>
        <w:t xml:space="preserve"> družbo</w:t>
      </w:r>
      <w:r w:rsidR="001755BC" w:rsidRPr="004C285A">
        <w:rPr>
          <w:rFonts w:ascii="Arial" w:eastAsia="Calibri" w:hAnsi="Arial" w:cs="Arial"/>
          <w:sz w:val="20"/>
          <w:szCs w:val="20"/>
        </w:rPr>
        <w:t>.</w:t>
      </w:r>
      <w:r w:rsidR="00B04BBF" w:rsidRPr="004C285A">
        <w:rPr>
          <w:rFonts w:ascii="Arial" w:eastAsia="Calibri" w:hAnsi="Arial" w:cs="Arial"/>
          <w:sz w:val="20"/>
          <w:szCs w:val="20"/>
        </w:rPr>
        <w:t xml:space="preserve"> </w:t>
      </w:r>
      <w:r w:rsidR="003E3914" w:rsidRPr="004C285A">
        <w:rPr>
          <w:rFonts w:ascii="Arial" w:hAnsi="Arial" w:cs="Arial"/>
          <w:sz w:val="20"/>
          <w:szCs w:val="20"/>
        </w:rPr>
        <w:t>Njegovo doseganje</w:t>
      </w:r>
      <w:r w:rsidR="00B04BBF" w:rsidRPr="004C285A">
        <w:rPr>
          <w:rFonts w:ascii="Arial" w:hAnsi="Arial" w:cs="Arial"/>
          <w:sz w:val="20"/>
          <w:szCs w:val="20"/>
        </w:rPr>
        <w:t xml:space="preserve"> bo v precejšnji meri odvisno od uspešnosti zagotavljanja postopnega zmanjševanja </w:t>
      </w:r>
      <w:r w:rsidR="00DA1BD7">
        <w:rPr>
          <w:rFonts w:ascii="Arial" w:hAnsi="Arial" w:cs="Arial"/>
          <w:sz w:val="20"/>
          <w:szCs w:val="20"/>
        </w:rPr>
        <w:t xml:space="preserve">t. i. </w:t>
      </w:r>
      <w:r w:rsidR="00B04BBF" w:rsidRPr="004C285A">
        <w:rPr>
          <w:rFonts w:ascii="Arial" w:hAnsi="Arial" w:cs="Arial"/>
          <w:sz w:val="20"/>
          <w:szCs w:val="20"/>
        </w:rPr>
        <w:t>okolju škodljivih subvencij</w:t>
      </w:r>
      <w:r w:rsidR="001755BC" w:rsidRPr="004C285A">
        <w:rPr>
          <w:rFonts w:ascii="Arial" w:hAnsi="Arial" w:cs="Arial"/>
          <w:sz w:val="20"/>
          <w:szCs w:val="20"/>
        </w:rPr>
        <w:t xml:space="preserve"> in tudi od vzpostavitve celovitega sistema za informiranje, izobraževanje, usposabljanje in ozaveščanje o problematiki podnebnih sprememb.</w:t>
      </w:r>
    </w:p>
    <w:p w:rsidR="00690292" w:rsidRPr="007D3AF4" w:rsidRDefault="00690292" w:rsidP="007D3AF4">
      <w:pPr>
        <w:spacing w:after="0" w:line="240" w:lineRule="auto"/>
        <w:jc w:val="both"/>
        <w:rPr>
          <w:rFonts w:ascii="Arial" w:hAnsi="Arial" w:cs="Arial"/>
          <w:i/>
          <w:sz w:val="20"/>
          <w:szCs w:val="20"/>
        </w:rPr>
      </w:pPr>
    </w:p>
    <w:p w:rsidR="005C3B17" w:rsidRPr="002D5D44" w:rsidRDefault="00AE3310" w:rsidP="00E90838">
      <w:pPr>
        <w:pStyle w:val="Naslov1"/>
        <w:spacing w:after="0"/>
        <w:ind w:left="714" w:hanging="357"/>
      </w:pPr>
      <w:bookmarkStart w:id="3" w:name="_Toc531933447"/>
      <w:r w:rsidRPr="002D5D44">
        <w:t>Ocena doseganja</w:t>
      </w:r>
      <w:r w:rsidR="00C35FA4" w:rsidRPr="002D5D44">
        <w:t xml:space="preserve"> ciljev</w:t>
      </w:r>
      <w:bookmarkEnd w:id="3"/>
      <w:r w:rsidR="00EA55A4" w:rsidRPr="002D5D44">
        <w:t xml:space="preserve"> </w:t>
      </w:r>
    </w:p>
    <w:p w:rsidR="00CC6C79" w:rsidRPr="002D5D44" w:rsidRDefault="00CC6C79" w:rsidP="00CC6C79">
      <w:pPr>
        <w:spacing w:after="0" w:line="240" w:lineRule="auto"/>
        <w:rPr>
          <w:rFonts w:ascii="Arial" w:hAnsi="Arial" w:cs="Arial"/>
          <w:sz w:val="20"/>
          <w:szCs w:val="20"/>
        </w:rPr>
      </w:pPr>
    </w:p>
    <w:p w:rsidR="00EA55A4" w:rsidRPr="002D5D44" w:rsidRDefault="00197A80" w:rsidP="00D96E78">
      <w:pPr>
        <w:pStyle w:val="Naslov2"/>
      </w:pPr>
      <w:bookmarkStart w:id="4" w:name="_Toc531933448"/>
      <w:r w:rsidRPr="002D5D44">
        <w:t>D</w:t>
      </w:r>
      <w:r w:rsidR="002549C5">
        <w:t>oseganje</w:t>
      </w:r>
      <w:r w:rsidR="005C3B17" w:rsidRPr="002D5D44">
        <w:t xml:space="preserve"> </w:t>
      </w:r>
      <w:r w:rsidRPr="002D5D44">
        <w:t>ciljev</w:t>
      </w:r>
      <w:r w:rsidR="00EA55A4" w:rsidRPr="002D5D44">
        <w:t xml:space="preserve"> po Odločbi 406/2009/ES</w:t>
      </w:r>
      <w:bookmarkEnd w:id="4"/>
    </w:p>
    <w:p w:rsidR="00CC6C79" w:rsidRPr="002D5D44" w:rsidRDefault="00CC6C79" w:rsidP="00CC6C79">
      <w:pPr>
        <w:spacing w:after="0" w:line="240" w:lineRule="auto"/>
      </w:pPr>
    </w:p>
    <w:p w:rsidR="00CF41F3" w:rsidRPr="002D5D44" w:rsidRDefault="00CF41F3" w:rsidP="00CC6C79">
      <w:pPr>
        <w:spacing w:after="0" w:line="240" w:lineRule="auto"/>
        <w:jc w:val="both"/>
        <w:rPr>
          <w:rFonts w:ascii="Arial" w:hAnsi="Arial" w:cs="Arial"/>
          <w:sz w:val="20"/>
          <w:szCs w:val="20"/>
        </w:rPr>
      </w:pPr>
      <w:r w:rsidRPr="002D5D44">
        <w:rPr>
          <w:rFonts w:ascii="Arial" w:hAnsi="Arial" w:cs="Arial"/>
          <w:sz w:val="20"/>
          <w:szCs w:val="20"/>
        </w:rPr>
        <w:t>Republika Slovenija je s sprejetjem Odločbe 406/2009/ES</w:t>
      </w:r>
      <w:r w:rsidRPr="002D5D44">
        <w:rPr>
          <w:rFonts w:ascii="Arial" w:hAnsi="Arial" w:cs="Arial"/>
          <w:noProof/>
          <w:sz w:val="20"/>
          <w:szCs w:val="20"/>
        </w:rPr>
        <w:t xml:space="preserve"> </w:t>
      </w:r>
      <w:r w:rsidRPr="002D5D44">
        <w:rPr>
          <w:rFonts w:ascii="Arial" w:hAnsi="Arial" w:cs="Arial"/>
          <w:sz w:val="20"/>
          <w:szCs w:val="20"/>
        </w:rPr>
        <w:t>prevzela obveznost, da svoje emisije toplogrednih plinov iz ESD sektorjev do leta 2020 ne poveča za več kot 4 % v primerjavi z emisijami v letu 2005. Poleg končnega cilja ta odločba predpisuje tudi metodologijo za določitev letnih dodelitev emisij (ciljne vrednosti) za začetno leto obdobja 2013–2020 in vmesna leta</w:t>
      </w:r>
      <w:r w:rsidR="007D5902">
        <w:rPr>
          <w:rFonts w:ascii="Arial" w:hAnsi="Arial" w:cs="Arial"/>
          <w:sz w:val="20"/>
          <w:szCs w:val="20"/>
        </w:rPr>
        <w:t>.</w:t>
      </w:r>
    </w:p>
    <w:p w:rsidR="00D659EA" w:rsidRPr="002D5D44" w:rsidRDefault="00CF2563" w:rsidP="0051636F">
      <w:pPr>
        <w:spacing w:after="0" w:line="240" w:lineRule="auto"/>
        <w:jc w:val="both"/>
        <w:rPr>
          <w:rFonts w:ascii="Arial" w:hAnsi="Arial" w:cs="Arial"/>
          <w:sz w:val="20"/>
          <w:szCs w:val="20"/>
        </w:rPr>
      </w:pPr>
      <w:r w:rsidRPr="002D5D44">
        <w:rPr>
          <w:rFonts w:ascii="Arial" w:hAnsi="Arial" w:cs="Arial"/>
          <w:sz w:val="20"/>
          <w:szCs w:val="20"/>
        </w:rPr>
        <w:t>Podatki o emisijah TGP</w:t>
      </w:r>
      <w:r w:rsidR="009C760D" w:rsidRPr="002D5D44">
        <w:rPr>
          <w:rFonts w:ascii="Arial" w:hAnsi="Arial" w:cs="Arial"/>
          <w:sz w:val="20"/>
          <w:szCs w:val="20"/>
        </w:rPr>
        <w:t xml:space="preserve"> za dano leto so v Sloveniji</w:t>
      </w:r>
      <w:r w:rsidRPr="002D5D44">
        <w:rPr>
          <w:rFonts w:ascii="Arial" w:hAnsi="Arial" w:cs="Arial"/>
          <w:sz w:val="20"/>
          <w:szCs w:val="20"/>
        </w:rPr>
        <w:t xml:space="preserve"> znani skladno s </w:t>
      </w:r>
      <w:proofErr w:type="spellStart"/>
      <w:r w:rsidRPr="002D5D44">
        <w:rPr>
          <w:rFonts w:ascii="Arial" w:hAnsi="Arial" w:cs="Arial"/>
          <w:sz w:val="20"/>
          <w:szCs w:val="20"/>
        </w:rPr>
        <w:t>časovnico</w:t>
      </w:r>
      <w:proofErr w:type="spellEnd"/>
      <w:r w:rsidRPr="002D5D44">
        <w:rPr>
          <w:rFonts w:ascii="Arial" w:hAnsi="Arial" w:cs="Arial"/>
          <w:sz w:val="20"/>
          <w:szCs w:val="20"/>
        </w:rPr>
        <w:t xml:space="preserve"> za njihovo poročanje Evropski komisiji</w:t>
      </w:r>
      <w:r w:rsidR="00E1224B">
        <w:rPr>
          <w:rFonts w:ascii="Arial" w:hAnsi="Arial" w:cs="Arial"/>
          <w:sz w:val="20"/>
          <w:szCs w:val="20"/>
        </w:rPr>
        <w:t xml:space="preserve"> iz Uredbe (EU) št</w:t>
      </w:r>
      <w:r w:rsidR="0056075A">
        <w:rPr>
          <w:rFonts w:ascii="Arial" w:hAnsi="Arial" w:cs="Arial"/>
          <w:sz w:val="20"/>
          <w:szCs w:val="20"/>
        </w:rPr>
        <w:t>.</w:t>
      </w:r>
      <w:r w:rsidR="00E1224B">
        <w:rPr>
          <w:rFonts w:ascii="Arial" w:hAnsi="Arial" w:cs="Arial"/>
          <w:sz w:val="20"/>
          <w:szCs w:val="20"/>
        </w:rPr>
        <w:t xml:space="preserve"> 525/2013</w:t>
      </w:r>
      <w:r w:rsidR="0056075A">
        <w:rPr>
          <w:rFonts w:ascii="Arial" w:hAnsi="Arial" w:cs="Arial"/>
          <w:sz w:val="20"/>
          <w:szCs w:val="20"/>
        </w:rPr>
        <w:t>.</w:t>
      </w:r>
      <w:r w:rsidR="009C760D" w:rsidRPr="002D5D44">
        <w:rPr>
          <w:rFonts w:ascii="Arial" w:hAnsi="Arial" w:cs="Arial"/>
          <w:sz w:val="20"/>
          <w:szCs w:val="20"/>
        </w:rPr>
        <w:t xml:space="preserve"> </w:t>
      </w:r>
      <w:r w:rsidR="0056075A">
        <w:rPr>
          <w:rFonts w:ascii="Arial" w:hAnsi="Arial" w:cs="Arial"/>
          <w:sz w:val="20"/>
          <w:szCs w:val="20"/>
        </w:rPr>
        <w:t xml:space="preserve">Skladno s členom 9(1) te uredbe se o njih </w:t>
      </w:r>
      <w:r w:rsidR="00BC7B30">
        <w:rPr>
          <w:rFonts w:ascii="Arial" w:hAnsi="Arial" w:cs="Arial"/>
          <w:sz w:val="20"/>
          <w:szCs w:val="20"/>
        </w:rPr>
        <w:t>s predložitvijo končnih evidenc</w:t>
      </w:r>
      <w:r w:rsidR="003A34EC" w:rsidRPr="002D5D44">
        <w:rPr>
          <w:rFonts w:ascii="Arial" w:hAnsi="Arial" w:cs="Arial"/>
          <w:sz w:val="20"/>
          <w:szCs w:val="20"/>
        </w:rPr>
        <w:t xml:space="preserve"> poroča vsako </w:t>
      </w:r>
      <w:r w:rsidR="009C760D" w:rsidRPr="002D5D44">
        <w:rPr>
          <w:rFonts w:ascii="Arial" w:hAnsi="Arial" w:cs="Arial"/>
          <w:sz w:val="20"/>
          <w:szCs w:val="20"/>
        </w:rPr>
        <w:t>leto</w:t>
      </w:r>
      <w:r w:rsidR="000A085A" w:rsidRPr="002D5D44">
        <w:rPr>
          <w:rFonts w:ascii="Arial" w:hAnsi="Arial" w:cs="Arial"/>
          <w:sz w:val="20"/>
          <w:szCs w:val="20"/>
        </w:rPr>
        <w:t xml:space="preserve"> (leto x)</w:t>
      </w:r>
      <w:r w:rsidR="001207CA">
        <w:rPr>
          <w:rFonts w:ascii="Arial" w:hAnsi="Arial" w:cs="Arial"/>
          <w:sz w:val="20"/>
          <w:szCs w:val="20"/>
        </w:rPr>
        <w:t xml:space="preserve"> do 15. </w:t>
      </w:r>
      <w:r w:rsidR="0056075A">
        <w:rPr>
          <w:rFonts w:ascii="Arial" w:hAnsi="Arial" w:cs="Arial"/>
          <w:sz w:val="20"/>
          <w:szCs w:val="20"/>
        </w:rPr>
        <w:t>marca</w:t>
      </w:r>
      <w:r w:rsidR="001207CA">
        <w:rPr>
          <w:rFonts w:ascii="Arial" w:hAnsi="Arial" w:cs="Arial"/>
          <w:sz w:val="20"/>
          <w:szCs w:val="20"/>
        </w:rPr>
        <w:t xml:space="preserve"> in to za</w:t>
      </w:r>
      <w:r w:rsidR="009C760D" w:rsidRPr="002D5D44">
        <w:rPr>
          <w:rFonts w:ascii="Arial" w:hAnsi="Arial" w:cs="Arial"/>
          <w:sz w:val="20"/>
          <w:szCs w:val="20"/>
        </w:rPr>
        <w:t xml:space="preserve"> </w:t>
      </w:r>
      <w:r w:rsidR="006E269A">
        <w:rPr>
          <w:rFonts w:ascii="Arial" w:hAnsi="Arial" w:cs="Arial"/>
          <w:sz w:val="20"/>
          <w:szCs w:val="20"/>
        </w:rPr>
        <w:t xml:space="preserve">pred prejšnje leto (leto </w:t>
      </w:r>
      <w:r w:rsidR="006E269A" w:rsidRPr="002D5D44">
        <w:rPr>
          <w:rFonts w:ascii="Arial" w:hAnsi="Arial" w:cs="Arial"/>
          <w:sz w:val="20"/>
          <w:szCs w:val="20"/>
        </w:rPr>
        <w:t>x-2</w:t>
      </w:r>
      <w:r w:rsidR="006E269A">
        <w:rPr>
          <w:rFonts w:ascii="Arial" w:hAnsi="Arial" w:cs="Arial"/>
          <w:sz w:val="20"/>
          <w:szCs w:val="20"/>
        </w:rPr>
        <w:t>)</w:t>
      </w:r>
      <w:r w:rsidR="009C760D" w:rsidRPr="002D5D44">
        <w:rPr>
          <w:rFonts w:ascii="Arial" w:hAnsi="Arial" w:cs="Arial"/>
          <w:sz w:val="20"/>
          <w:szCs w:val="20"/>
        </w:rPr>
        <w:t xml:space="preserve">. </w:t>
      </w:r>
      <w:r w:rsidR="003A34EC" w:rsidRPr="002D5D44">
        <w:rPr>
          <w:rFonts w:ascii="Arial" w:hAnsi="Arial" w:cs="Arial"/>
          <w:sz w:val="20"/>
          <w:szCs w:val="20"/>
        </w:rPr>
        <w:t xml:space="preserve">Če je mogoče, države članice </w:t>
      </w:r>
      <w:r w:rsidR="0056075A">
        <w:rPr>
          <w:rFonts w:ascii="Arial" w:hAnsi="Arial" w:cs="Arial"/>
          <w:sz w:val="20"/>
          <w:szCs w:val="20"/>
        </w:rPr>
        <w:t xml:space="preserve">skladno s členom 8(1) </w:t>
      </w:r>
      <w:r w:rsidR="003A34EC" w:rsidRPr="002D5D44">
        <w:rPr>
          <w:rFonts w:ascii="Arial" w:hAnsi="Arial" w:cs="Arial"/>
          <w:sz w:val="20"/>
          <w:szCs w:val="20"/>
        </w:rPr>
        <w:t>do 31. julija vsako leto</w:t>
      </w:r>
      <w:r w:rsidR="000A085A" w:rsidRPr="002D5D44">
        <w:rPr>
          <w:rFonts w:ascii="Arial" w:hAnsi="Arial" w:cs="Arial"/>
          <w:sz w:val="20"/>
          <w:szCs w:val="20"/>
        </w:rPr>
        <w:t xml:space="preserve"> (leto x) Evropski k</w:t>
      </w:r>
      <w:r w:rsidR="003A34EC" w:rsidRPr="002D5D44">
        <w:rPr>
          <w:rFonts w:ascii="Arial" w:hAnsi="Arial" w:cs="Arial"/>
          <w:sz w:val="20"/>
          <w:szCs w:val="20"/>
        </w:rPr>
        <w:t xml:space="preserve">omisij predložijo tudi okvirne evidence </w:t>
      </w:r>
      <w:r w:rsidR="00C204C2" w:rsidRPr="002D5D44">
        <w:rPr>
          <w:rFonts w:ascii="Arial" w:hAnsi="Arial" w:cs="Arial"/>
          <w:sz w:val="20"/>
          <w:szCs w:val="20"/>
        </w:rPr>
        <w:t>TGP</w:t>
      </w:r>
      <w:r w:rsidR="003A34EC" w:rsidRPr="002D5D44">
        <w:rPr>
          <w:rFonts w:ascii="Arial" w:hAnsi="Arial" w:cs="Arial"/>
          <w:sz w:val="20"/>
          <w:szCs w:val="20"/>
        </w:rPr>
        <w:t xml:space="preserve"> za prejšnje leto</w:t>
      </w:r>
      <w:r w:rsidR="006E269A">
        <w:rPr>
          <w:rFonts w:ascii="Arial" w:hAnsi="Arial" w:cs="Arial"/>
          <w:sz w:val="20"/>
          <w:szCs w:val="20"/>
        </w:rPr>
        <w:t xml:space="preserve"> (</w:t>
      </w:r>
      <w:r w:rsidR="006E269A" w:rsidRPr="002D5D44">
        <w:rPr>
          <w:rFonts w:ascii="Arial" w:hAnsi="Arial" w:cs="Arial"/>
          <w:sz w:val="20"/>
          <w:szCs w:val="20"/>
        </w:rPr>
        <w:t>leto x-1</w:t>
      </w:r>
      <w:r w:rsidR="006E269A">
        <w:rPr>
          <w:rFonts w:ascii="Arial" w:hAnsi="Arial" w:cs="Arial"/>
          <w:sz w:val="20"/>
          <w:szCs w:val="20"/>
        </w:rPr>
        <w:t>)</w:t>
      </w:r>
      <w:r w:rsidR="003A34EC" w:rsidRPr="002D5D44">
        <w:rPr>
          <w:rFonts w:ascii="Arial" w:hAnsi="Arial" w:cs="Arial"/>
          <w:sz w:val="20"/>
          <w:szCs w:val="20"/>
        </w:rPr>
        <w:t>.</w:t>
      </w:r>
      <w:r w:rsidR="00F8171E" w:rsidRPr="002D5D44">
        <w:rPr>
          <w:rFonts w:ascii="Arial" w:hAnsi="Arial" w:cs="Arial"/>
          <w:sz w:val="20"/>
          <w:szCs w:val="20"/>
        </w:rPr>
        <w:t xml:space="preserve"> </w:t>
      </w:r>
      <w:r w:rsidR="0056075A">
        <w:rPr>
          <w:rFonts w:ascii="Arial" w:hAnsi="Arial" w:cs="Arial"/>
          <w:sz w:val="20"/>
          <w:szCs w:val="20"/>
        </w:rPr>
        <w:t>Od avgusta</w:t>
      </w:r>
      <w:r w:rsidR="00F8171E" w:rsidRPr="002D5D44">
        <w:rPr>
          <w:rFonts w:ascii="Arial" w:hAnsi="Arial" w:cs="Arial"/>
          <w:sz w:val="20"/>
          <w:szCs w:val="20"/>
        </w:rPr>
        <w:t xml:space="preserve"> </w:t>
      </w:r>
      <w:r w:rsidR="00F879B4">
        <w:rPr>
          <w:rFonts w:ascii="Arial" w:hAnsi="Arial" w:cs="Arial"/>
          <w:sz w:val="20"/>
          <w:szCs w:val="20"/>
        </w:rPr>
        <w:t>2018</w:t>
      </w:r>
      <w:r w:rsidR="0056075A">
        <w:rPr>
          <w:rFonts w:ascii="Arial" w:hAnsi="Arial" w:cs="Arial"/>
          <w:sz w:val="20"/>
          <w:szCs w:val="20"/>
        </w:rPr>
        <w:t xml:space="preserve"> </w:t>
      </w:r>
      <w:r w:rsidR="00F8171E" w:rsidRPr="002D5D44">
        <w:rPr>
          <w:rFonts w:ascii="Arial" w:hAnsi="Arial" w:cs="Arial"/>
          <w:sz w:val="20"/>
          <w:szCs w:val="20"/>
        </w:rPr>
        <w:t xml:space="preserve">so </w:t>
      </w:r>
      <w:r w:rsidR="00DD571D">
        <w:rPr>
          <w:rFonts w:ascii="Arial" w:hAnsi="Arial" w:cs="Arial"/>
          <w:sz w:val="20"/>
          <w:szCs w:val="20"/>
        </w:rPr>
        <w:t xml:space="preserve">tako </w:t>
      </w:r>
      <w:r w:rsidR="000A085A" w:rsidRPr="002D5D44">
        <w:rPr>
          <w:rFonts w:ascii="Arial" w:hAnsi="Arial" w:cs="Arial"/>
          <w:sz w:val="20"/>
          <w:szCs w:val="20"/>
        </w:rPr>
        <w:t>znani</w:t>
      </w:r>
      <w:r w:rsidR="000D6A8A" w:rsidRPr="002D5D44">
        <w:rPr>
          <w:rFonts w:ascii="Arial" w:hAnsi="Arial" w:cs="Arial"/>
          <w:sz w:val="20"/>
          <w:szCs w:val="20"/>
        </w:rPr>
        <w:t xml:space="preserve"> podatki o </w:t>
      </w:r>
      <w:r w:rsidR="0056075A">
        <w:rPr>
          <w:rFonts w:ascii="Arial" w:hAnsi="Arial" w:cs="Arial"/>
          <w:sz w:val="20"/>
          <w:szCs w:val="20"/>
        </w:rPr>
        <w:t>končnih</w:t>
      </w:r>
      <w:r w:rsidR="003A34EC" w:rsidRPr="002D5D44">
        <w:rPr>
          <w:rFonts w:ascii="Arial" w:hAnsi="Arial" w:cs="Arial"/>
          <w:sz w:val="20"/>
          <w:szCs w:val="20"/>
        </w:rPr>
        <w:t xml:space="preserve"> </w:t>
      </w:r>
      <w:r w:rsidR="000D6A8A" w:rsidRPr="002D5D44">
        <w:rPr>
          <w:rFonts w:ascii="Arial" w:hAnsi="Arial" w:cs="Arial"/>
          <w:sz w:val="20"/>
          <w:szCs w:val="20"/>
        </w:rPr>
        <w:t xml:space="preserve">evidencah </w:t>
      </w:r>
      <w:r w:rsidR="001207CA">
        <w:rPr>
          <w:rFonts w:ascii="Arial" w:hAnsi="Arial" w:cs="Arial"/>
          <w:sz w:val="20"/>
          <w:szCs w:val="20"/>
        </w:rPr>
        <w:t xml:space="preserve">TGP </w:t>
      </w:r>
      <w:r w:rsidR="000D6A8A" w:rsidRPr="002D5D44">
        <w:rPr>
          <w:rFonts w:ascii="Arial" w:hAnsi="Arial" w:cs="Arial"/>
          <w:sz w:val="20"/>
          <w:szCs w:val="20"/>
        </w:rPr>
        <w:t>za leto</w:t>
      </w:r>
      <w:r w:rsidR="00F879B4">
        <w:rPr>
          <w:rFonts w:ascii="Arial" w:hAnsi="Arial" w:cs="Arial"/>
          <w:sz w:val="20"/>
          <w:szCs w:val="20"/>
        </w:rPr>
        <w:t xml:space="preserve"> 2016 in</w:t>
      </w:r>
      <w:r w:rsidR="000D6A8A" w:rsidRPr="002D5D44">
        <w:rPr>
          <w:rFonts w:ascii="Arial" w:hAnsi="Arial" w:cs="Arial"/>
          <w:sz w:val="20"/>
          <w:szCs w:val="20"/>
        </w:rPr>
        <w:t xml:space="preserve"> </w:t>
      </w:r>
      <w:r w:rsidR="001207CA">
        <w:rPr>
          <w:rFonts w:ascii="Arial" w:hAnsi="Arial" w:cs="Arial"/>
          <w:sz w:val="20"/>
          <w:szCs w:val="20"/>
        </w:rPr>
        <w:t xml:space="preserve">tudi </w:t>
      </w:r>
      <w:r w:rsidR="000D6A8A" w:rsidRPr="002D5D44">
        <w:rPr>
          <w:rFonts w:ascii="Arial" w:hAnsi="Arial" w:cs="Arial"/>
          <w:sz w:val="20"/>
          <w:szCs w:val="20"/>
        </w:rPr>
        <w:t>podatki o</w:t>
      </w:r>
      <w:r w:rsidR="00F879B4">
        <w:rPr>
          <w:rFonts w:ascii="Arial" w:hAnsi="Arial" w:cs="Arial"/>
          <w:sz w:val="20"/>
          <w:szCs w:val="20"/>
        </w:rPr>
        <w:t xml:space="preserve"> okvirnih evidencah za leto x-1</w:t>
      </w:r>
      <w:r w:rsidR="000D6A8A" w:rsidRPr="002D5D44">
        <w:rPr>
          <w:rFonts w:ascii="Arial" w:hAnsi="Arial" w:cs="Arial"/>
          <w:sz w:val="20"/>
          <w:szCs w:val="20"/>
        </w:rPr>
        <w:t xml:space="preserve">. </w:t>
      </w:r>
      <w:r w:rsidR="00D659EA" w:rsidRPr="002D5D44">
        <w:rPr>
          <w:rFonts w:ascii="Arial" w:hAnsi="Arial" w:cs="Arial"/>
          <w:sz w:val="20"/>
          <w:szCs w:val="20"/>
        </w:rPr>
        <w:t xml:space="preserve"> </w:t>
      </w:r>
    </w:p>
    <w:p w:rsidR="00C204C2" w:rsidRPr="002D5D44" w:rsidRDefault="00C204C2" w:rsidP="0051636F">
      <w:pPr>
        <w:spacing w:after="0" w:line="240" w:lineRule="auto"/>
        <w:jc w:val="both"/>
        <w:rPr>
          <w:rFonts w:ascii="Arial" w:hAnsi="Arial" w:cs="Arial"/>
          <w:sz w:val="20"/>
          <w:szCs w:val="20"/>
        </w:rPr>
      </w:pPr>
    </w:p>
    <w:p w:rsidR="008162AD" w:rsidRPr="002D5D44" w:rsidRDefault="00610162" w:rsidP="000A085A">
      <w:pPr>
        <w:tabs>
          <w:tab w:val="left" w:pos="708"/>
        </w:tabs>
        <w:spacing w:after="0" w:line="240" w:lineRule="auto"/>
        <w:jc w:val="both"/>
        <w:rPr>
          <w:rFonts w:ascii="Arial" w:hAnsi="Arial" w:cs="Arial"/>
          <w:sz w:val="20"/>
          <w:szCs w:val="20"/>
        </w:rPr>
      </w:pPr>
      <w:r w:rsidRPr="002D5D44">
        <w:rPr>
          <w:rFonts w:ascii="Arial" w:hAnsi="Arial" w:cs="Arial"/>
          <w:sz w:val="20"/>
          <w:szCs w:val="20"/>
        </w:rPr>
        <w:t xml:space="preserve">Republika Slovenija dosega letni cilj omejevanja emisij </w:t>
      </w:r>
      <w:r w:rsidR="008162AD" w:rsidRPr="002D5D44">
        <w:rPr>
          <w:rFonts w:ascii="Arial" w:hAnsi="Arial" w:cs="Arial"/>
          <w:sz w:val="20"/>
          <w:szCs w:val="20"/>
        </w:rPr>
        <w:t xml:space="preserve">TGP </w:t>
      </w:r>
      <w:r w:rsidR="00640A61" w:rsidRPr="002D5D44">
        <w:rPr>
          <w:rFonts w:ascii="Arial" w:hAnsi="Arial" w:cs="Arial"/>
          <w:sz w:val="20"/>
          <w:szCs w:val="20"/>
        </w:rPr>
        <w:t>za leto 2016</w:t>
      </w:r>
      <w:r w:rsidR="004B7AAC" w:rsidRPr="002D5D44">
        <w:rPr>
          <w:rFonts w:ascii="Arial" w:hAnsi="Arial" w:cs="Arial"/>
          <w:sz w:val="20"/>
          <w:szCs w:val="20"/>
        </w:rPr>
        <w:t>.</w:t>
      </w:r>
      <w:r w:rsidR="003A34EC" w:rsidRPr="002D5D44">
        <w:rPr>
          <w:rFonts w:ascii="Arial" w:hAnsi="Arial" w:cs="Arial"/>
          <w:sz w:val="20"/>
          <w:szCs w:val="20"/>
        </w:rPr>
        <w:t xml:space="preserve"> </w:t>
      </w:r>
      <w:r w:rsidR="003A34EC" w:rsidRPr="002D5D44">
        <w:rPr>
          <w:rFonts w:ascii="Arial" w:hAnsi="Arial" w:cs="Arial"/>
          <w:noProof/>
          <w:sz w:val="20"/>
          <w:szCs w:val="20"/>
        </w:rPr>
        <w:t>Emisije</w:t>
      </w:r>
      <w:r w:rsidR="0051636F" w:rsidRPr="002D5D44">
        <w:rPr>
          <w:rFonts w:ascii="Arial" w:hAnsi="Arial" w:cs="Arial"/>
          <w:noProof/>
          <w:sz w:val="20"/>
          <w:szCs w:val="20"/>
        </w:rPr>
        <w:t xml:space="preserve"> iz</w:t>
      </w:r>
      <w:r w:rsidR="000A085A" w:rsidRPr="002D5D44">
        <w:rPr>
          <w:rFonts w:ascii="Arial" w:hAnsi="Arial" w:cs="Arial"/>
          <w:noProof/>
          <w:sz w:val="20"/>
          <w:szCs w:val="20"/>
        </w:rPr>
        <w:t xml:space="preserve"> ESD sektorjev</w:t>
      </w:r>
      <w:r w:rsidR="00C204C2" w:rsidRPr="002D5D44">
        <w:rPr>
          <w:rFonts w:ascii="Arial" w:hAnsi="Arial" w:cs="Arial"/>
          <w:noProof/>
          <w:sz w:val="20"/>
          <w:szCs w:val="20"/>
        </w:rPr>
        <w:t xml:space="preserve"> </w:t>
      </w:r>
      <w:r w:rsidR="003A34EC" w:rsidRPr="002D5D44">
        <w:rPr>
          <w:rFonts w:ascii="Arial" w:hAnsi="Arial" w:cs="Arial"/>
          <w:noProof/>
          <w:sz w:val="20"/>
          <w:szCs w:val="20"/>
        </w:rPr>
        <w:t>v</w:t>
      </w:r>
      <w:r w:rsidR="0051636F" w:rsidRPr="002D5D44">
        <w:rPr>
          <w:rFonts w:ascii="Arial" w:hAnsi="Arial" w:cs="Arial"/>
          <w:noProof/>
          <w:sz w:val="20"/>
          <w:szCs w:val="20"/>
        </w:rPr>
        <w:t xml:space="preserve"> tem</w:t>
      </w:r>
      <w:r w:rsidR="003A34EC" w:rsidRPr="002D5D44">
        <w:rPr>
          <w:rFonts w:ascii="Arial" w:hAnsi="Arial" w:cs="Arial"/>
          <w:sz w:val="20"/>
          <w:szCs w:val="20"/>
        </w:rPr>
        <w:t xml:space="preserve"> letu</w:t>
      </w:r>
      <w:r w:rsidR="0051636F" w:rsidRPr="002D5D44">
        <w:rPr>
          <w:rFonts w:ascii="Arial" w:hAnsi="Arial" w:cs="Arial"/>
          <w:sz w:val="20"/>
          <w:szCs w:val="20"/>
        </w:rPr>
        <w:t xml:space="preserve"> so znašale 11.236,89 </w:t>
      </w:r>
      <w:proofErr w:type="spellStart"/>
      <w:r w:rsidR="0051636F" w:rsidRPr="002D5D44">
        <w:rPr>
          <w:rFonts w:ascii="Arial" w:hAnsi="Arial" w:cs="Arial"/>
          <w:sz w:val="20"/>
          <w:szCs w:val="20"/>
        </w:rPr>
        <w:t>kt</w:t>
      </w:r>
      <w:proofErr w:type="spellEnd"/>
      <w:r w:rsidR="0051636F" w:rsidRPr="002D5D44">
        <w:rPr>
          <w:rFonts w:ascii="Arial" w:hAnsi="Arial" w:cs="Arial"/>
          <w:sz w:val="20"/>
          <w:szCs w:val="20"/>
        </w:rPr>
        <w:t xml:space="preserve"> CO</w:t>
      </w:r>
      <w:r w:rsidR="0051636F" w:rsidRPr="002D5D44">
        <w:rPr>
          <w:rFonts w:ascii="Arial" w:hAnsi="Arial" w:cs="Arial"/>
          <w:sz w:val="20"/>
          <w:szCs w:val="20"/>
          <w:vertAlign w:val="subscript"/>
        </w:rPr>
        <w:t>2</w:t>
      </w:r>
      <w:r w:rsidR="0051636F" w:rsidRPr="002D5D44">
        <w:rPr>
          <w:rFonts w:ascii="Arial" w:hAnsi="Arial" w:cs="Arial"/>
          <w:sz w:val="20"/>
          <w:szCs w:val="20"/>
        </w:rPr>
        <w:t xml:space="preserve"> </w:t>
      </w:r>
      <w:proofErr w:type="spellStart"/>
      <w:r w:rsidR="0051636F" w:rsidRPr="002D5D44">
        <w:rPr>
          <w:rFonts w:ascii="Arial" w:hAnsi="Arial" w:cs="Arial"/>
          <w:sz w:val="20"/>
          <w:szCs w:val="20"/>
        </w:rPr>
        <w:t>ekv</w:t>
      </w:r>
      <w:proofErr w:type="spellEnd"/>
      <w:r w:rsidR="0051636F" w:rsidRPr="002D5D44">
        <w:rPr>
          <w:rFonts w:ascii="Arial" w:hAnsi="Arial" w:cs="Arial"/>
          <w:sz w:val="20"/>
          <w:szCs w:val="20"/>
        </w:rPr>
        <w:t>., kar je 9 % manj od omejitvene vrednosti</w:t>
      </w:r>
      <w:r w:rsidR="0051636F" w:rsidRPr="002D5D44">
        <w:rPr>
          <w:rFonts w:ascii="Arial" w:hAnsi="Arial" w:cs="Arial"/>
        </w:rPr>
        <w:t>.</w:t>
      </w:r>
      <w:r w:rsidR="000A085A" w:rsidRPr="002D5D44">
        <w:rPr>
          <w:rFonts w:ascii="Arial" w:hAnsi="Arial" w:cs="Arial"/>
          <w:sz w:val="20"/>
          <w:szCs w:val="20"/>
        </w:rPr>
        <w:t xml:space="preserve"> </w:t>
      </w:r>
      <w:r w:rsidR="0051636F" w:rsidRPr="002D5D44">
        <w:rPr>
          <w:rFonts w:ascii="Arial" w:hAnsi="Arial" w:cs="Arial"/>
          <w:sz w:val="20"/>
          <w:szCs w:val="20"/>
        </w:rPr>
        <w:t>Te emisije so</w:t>
      </w:r>
      <w:r w:rsidR="008162AD" w:rsidRPr="002D5D44">
        <w:rPr>
          <w:rFonts w:ascii="Arial" w:hAnsi="Arial" w:cs="Arial"/>
          <w:sz w:val="20"/>
          <w:szCs w:val="20"/>
        </w:rPr>
        <w:t xml:space="preserve"> </w:t>
      </w:r>
      <w:r w:rsidR="00D74942" w:rsidRPr="002D5D44">
        <w:rPr>
          <w:rFonts w:ascii="Arial" w:hAnsi="Arial" w:cs="Arial"/>
          <w:sz w:val="20"/>
          <w:szCs w:val="20"/>
        </w:rPr>
        <w:t>predstavljale 63 % skupnih</w:t>
      </w:r>
      <w:r w:rsidR="0050341C" w:rsidRPr="002D5D44">
        <w:rPr>
          <w:rFonts w:ascii="Arial" w:hAnsi="Arial" w:cs="Arial"/>
          <w:sz w:val="20"/>
          <w:szCs w:val="20"/>
        </w:rPr>
        <w:t xml:space="preserve"> emisij TGP</w:t>
      </w:r>
      <w:r w:rsidR="00D659EA" w:rsidRPr="002D5D44">
        <w:rPr>
          <w:rFonts w:ascii="Arial" w:hAnsi="Arial" w:cs="Arial"/>
          <w:sz w:val="20"/>
          <w:szCs w:val="20"/>
        </w:rPr>
        <w:t xml:space="preserve">, preostalih 37 % </w:t>
      </w:r>
      <w:r w:rsidR="0051636F" w:rsidRPr="002D5D44">
        <w:rPr>
          <w:rFonts w:ascii="Arial" w:hAnsi="Arial" w:cs="Arial"/>
          <w:sz w:val="20"/>
          <w:szCs w:val="20"/>
        </w:rPr>
        <w:t xml:space="preserve">so </w:t>
      </w:r>
      <w:r w:rsidR="00D659EA" w:rsidRPr="002D5D44">
        <w:rPr>
          <w:rFonts w:ascii="Arial" w:hAnsi="Arial" w:cs="Arial"/>
          <w:sz w:val="20"/>
          <w:szCs w:val="20"/>
        </w:rPr>
        <w:t>emisije</w:t>
      </w:r>
      <w:r w:rsidR="00640A61" w:rsidRPr="002D5D44">
        <w:rPr>
          <w:rFonts w:ascii="Arial" w:hAnsi="Arial" w:cs="Arial"/>
          <w:sz w:val="20"/>
          <w:szCs w:val="20"/>
        </w:rPr>
        <w:t xml:space="preserve"> </w:t>
      </w:r>
      <w:r w:rsidR="00D659EA" w:rsidRPr="002D5D44">
        <w:rPr>
          <w:rFonts w:ascii="Arial" w:hAnsi="Arial" w:cs="Arial"/>
          <w:sz w:val="20"/>
          <w:szCs w:val="20"/>
        </w:rPr>
        <w:t>iz</w:t>
      </w:r>
      <w:r w:rsidR="00C204C2" w:rsidRPr="002D5D44">
        <w:rPr>
          <w:rFonts w:ascii="Arial" w:hAnsi="Arial" w:cs="Arial"/>
          <w:sz w:val="20"/>
          <w:szCs w:val="20"/>
        </w:rPr>
        <w:t xml:space="preserve"> virov</w:t>
      </w:r>
      <w:r w:rsidR="00D659EA" w:rsidRPr="002D5D44">
        <w:rPr>
          <w:rFonts w:ascii="Arial" w:hAnsi="Arial" w:cs="Arial"/>
          <w:sz w:val="20"/>
          <w:szCs w:val="20"/>
        </w:rPr>
        <w:t xml:space="preserve"> vključenih</w:t>
      </w:r>
      <w:r w:rsidR="004B7AAC" w:rsidRPr="002D5D44">
        <w:rPr>
          <w:rFonts w:ascii="Arial" w:hAnsi="Arial" w:cs="Arial"/>
          <w:sz w:val="20"/>
          <w:szCs w:val="20"/>
        </w:rPr>
        <w:t xml:space="preserve"> v sistem </w:t>
      </w:r>
      <w:r w:rsidR="004B7AAC" w:rsidRPr="001B5AE6">
        <w:rPr>
          <w:rFonts w:ascii="Arial" w:hAnsi="Arial" w:cs="Arial"/>
          <w:sz w:val="20"/>
          <w:szCs w:val="20"/>
        </w:rPr>
        <w:t>trgovanja z emisijskimi kuponi (t.</w:t>
      </w:r>
      <w:r w:rsidR="00041BED" w:rsidRPr="001B5AE6">
        <w:rPr>
          <w:rFonts w:ascii="Arial" w:hAnsi="Arial" w:cs="Arial"/>
          <w:sz w:val="20"/>
          <w:szCs w:val="20"/>
        </w:rPr>
        <w:t xml:space="preserve"> </w:t>
      </w:r>
      <w:r w:rsidR="004B7AAC" w:rsidRPr="001B5AE6">
        <w:rPr>
          <w:rFonts w:ascii="Arial" w:hAnsi="Arial" w:cs="Arial"/>
          <w:sz w:val="20"/>
          <w:szCs w:val="20"/>
        </w:rPr>
        <w:t>i. ETS sistem</w:t>
      </w:r>
      <w:r w:rsidR="007D5902" w:rsidRPr="001B5AE6">
        <w:rPr>
          <w:rFonts w:ascii="Arial" w:hAnsi="Arial" w:cs="Arial"/>
          <w:sz w:val="20"/>
          <w:szCs w:val="20"/>
        </w:rPr>
        <w:t xml:space="preserve">), za katere pa cilj omejevanja emisij na ravni države </w:t>
      </w:r>
      <w:r w:rsidR="00041BED" w:rsidRPr="001B5AE6">
        <w:rPr>
          <w:rFonts w:ascii="Arial" w:hAnsi="Arial" w:cs="Arial"/>
          <w:sz w:val="20"/>
          <w:szCs w:val="20"/>
        </w:rPr>
        <w:t xml:space="preserve">še </w:t>
      </w:r>
      <w:r w:rsidR="00F879B4" w:rsidRPr="001B5AE6">
        <w:rPr>
          <w:rFonts w:ascii="Arial" w:hAnsi="Arial" w:cs="Arial"/>
          <w:sz w:val="20"/>
          <w:szCs w:val="20"/>
        </w:rPr>
        <w:t>ni postavljen</w:t>
      </w:r>
      <w:r w:rsidR="007D5902" w:rsidRPr="001B5AE6">
        <w:rPr>
          <w:rFonts w:ascii="Arial" w:hAnsi="Arial" w:cs="Arial"/>
          <w:sz w:val="20"/>
          <w:szCs w:val="20"/>
        </w:rPr>
        <w:t xml:space="preserve">. </w:t>
      </w:r>
      <w:r w:rsidR="008F4BE6" w:rsidRPr="001B5AE6">
        <w:rPr>
          <w:rFonts w:ascii="Arial" w:hAnsi="Arial" w:cs="Arial"/>
          <w:sz w:val="20"/>
          <w:szCs w:val="20"/>
        </w:rPr>
        <w:t>Delež emisij iz civilnega letalstva je nižji od 0,1 %.</w:t>
      </w:r>
    </w:p>
    <w:p w:rsidR="004E743F" w:rsidRPr="002D5D44" w:rsidRDefault="004E743F" w:rsidP="000A085A">
      <w:pPr>
        <w:tabs>
          <w:tab w:val="left" w:pos="708"/>
        </w:tabs>
        <w:spacing w:after="0" w:line="240" w:lineRule="auto"/>
        <w:jc w:val="both"/>
        <w:rPr>
          <w:rFonts w:ascii="Arial" w:hAnsi="Arial" w:cs="Arial"/>
          <w:sz w:val="20"/>
          <w:szCs w:val="20"/>
        </w:rPr>
      </w:pPr>
    </w:p>
    <w:p w:rsidR="004E743F" w:rsidRPr="002D5D44" w:rsidRDefault="004E743F" w:rsidP="000A085A">
      <w:pPr>
        <w:tabs>
          <w:tab w:val="left" w:pos="708"/>
        </w:tabs>
        <w:spacing w:after="0" w:line="240" w:lineRule="auto"/>
        <w:jc w:val="both"/>
        <w:rPr>
          <w:rFonts w:ascii="Arial" w:hAnsi="Arial" w:cs="Arial"/>
          <w:sz w:val="20"/>
          <w:szCs w:val="20"/>
        </w:rPr>
      </w:pPr>
      <w:bookmarkStart w:id="5" w:name="_Toc531933515"/>
      <w:r w:rsidRPr="002D5D44">
        <w:rPr>
          <w:rFonts w:ascii="Arial" w:hAnsi="Arial" w:cs="Arial"/>
          <w:b/>
          <w:sz w:val="18"/>
        </w:rPr>
        <w:t xml:space="preserve">Slika </w:t>
      </w:r>
      <w:r w:rsidRPr="002D5D44">
        <w:rPr>
          <w:rFonts w:ascii="Arial" w:hAnsi="Arial" w:cs="Arial"/>
          <w:b/>
          <w:i/>
          <w:sz w:val="18"/>
        </w:rPr>
        <w:fldChar w:fldCharType="begin"/>
      </w:r>
      <w:r w:rsidRPr="002D5D44">
        <w:rPr>
          <w:rFonts w:ascii="Arial" w:hAnsi="Arial" w:cs="Arial"/>
          <w:b/>
          <w:sz w:val="18"/>
        </w:rPr>
        <w:instrText xml:space="preserve"> SEQ Slika \* ARABIC </w:instrText>
      </w:r>
      <w:r w:rsidRPr="002D5D44">
        <w:rPr>
          <w:rFonts w:ascii="Arial" w:hAnsi="Arial" w:cs="Arial"/>
          <w:b/>
          <w:i/>
          <w:sz w:val="18"/>
        </w:rPr>
        <w:fldChar w:fldCharType="separate"/>
      </w:r>
      <w:r w:rsidR="00E24745">
        <w:rPr>
          <w:rFonts w:ascii="Arial" w:hAnsi="Arial" w:cs="Arial"/>
          <w:b/>
          <w:noProof/>
          <w:sz w:val="18"/>
        </w:rPr>
        <w:t>1</w:t>
      </w:r>
      <w:r w:rsidRPr="002D5D44">
        <w:rPr>
          <w:rFonts w:ascii="Arial" w:hAnsi="Arial" w:cs="Arial"/>
          <w:b/>
          <w:i/>
          <w:sz w:val="18"/>
        </w:rPr>
        <w:fldChar w:fldCharType="end"/>
      </w:r>
      <w:r w:rsidRPr="002D5D44">
        <w:rPr>
          <w:rFonts w:ascii="Arial" w:hAnsi="Arial" w:cs="Arial"/>
          <w:b/>
          <w:sz w:val="18"/>
        </w:rPr>
        <w:t>:</w:t>
      </w:r>
      <w:r w:rsidRPr="002D5D44">
        <w:rPr>
          <w:rFonts w:ascii="Arial" w:hAnsi="Arial" w:cs="Arial"/>
          <w:b/>
          <w:sz w:val="18"/>
        </w:rPr>
        <w:tab/>
        <w:t>Gibanje emisij iz ESD sektorjev v obdobju 2005−2016 v primerjavi z gibanjem emisij po ciljni trajektoriji v obdobju 2013−2020 preračunano na emisije iz leta 2005</w:t>
      </w:r>
      <w:bookmarkEnd w:id="5"/>
    </w:p>
    <w:p w:rsidR="00156BC1" w:rsidRPr="002D5D44" w:rsidRDefault="00156BC1" w:rsidP="00D659EA">
      <w:pPr>
        <w:spacing w:after="0"/>
        <w:jc w:val="both"/>
        <w:rPr>
          <w:rFonts w:ascii="Arial" w:hAnsi="Arial" w:cs="Arial"/>
          <w:sz w:val="20"/>
          <w:szCs w:val="20"/>
        </w:rPr>
      </w:pPr>
      <w:r w:rsidRPr="002D5D44">
        <w:rPr>
          <w:rFonts w:ascii="Arial" w:hAnsi="Arial" w:cs="Arial"/>
          <w:noProof/>
          <w:lang w:eastAsia="sl-SI"/>
        </w:rPr>
        <w:drawing>
          <wp:inline distT="0" distB="0" distL="0" distR="0" wp14:anchorId="0996F9ED" wp14:editId="7FFEA5E7">
            <wp:extent cx="5760720" cy="3324653"/>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324653"/>
                    </a:xfrm>
                    <a:prstGeom prst="rect">
                      <a:avLst/>
                    </a:prstGeom>
                    <a:noFill/>
                    <a:ln>
                      <a:noFill/>
                    </a:ln>
                  </pic:spPr>
                </pic:pic>
              </a:graphicData>
            </a:graphic>
          </wp:inline>
        </w:drawing>
      </w:r>
    </w:p>
    <w:p w:rsidR="007A2D21" w:rsidRPr="006B7E4F" w:rsidRDefault="004E743F" w:rsidP="0087583A">
      <w:pPr>
        <w:pStyle w:val="Napis"/>
        <w:spacing w:after="0"/>
        <w:rPr>
          <w:rFonts w:ascii="Arial" w:hAnsi="Arial" w:cs="Arial"/>
          <w:bCs w:val="0"/>
          <w:i w:val="0"/>
          <w:sz w:val="18"/>
          <w:lang w:val="sl-SI"/>
        </w:rPr>
      </w:pPr>
      <w:r w:rsidRPr="006B7E4F">
        <w:rPr>
          <w:rFonts w:ascii="Arial" w:hAnsi="Arial" w:cs="Arial"/>
          <w:i w:val="0"/>
          <w:sz w:val="18"/>
          <w:lang w:val="sl-SI"/>
        </w:rPr>
        <w:t xml:space="preserve"> V</w:t>
      </w:r>
      <w:r w:rsidR="007A2D21" w:rsidRPr="006B7E4F">
        <w:rPr>
          <w:rFonts w:ascii="Arial" w:hAnsi="Arial" w:cs="Arial"/>
          <w:i w:val="0"/>
          <w:sz w:val="18"/>
          <w:lang w:val="sl-SI"/>
        </w:rPr>
        <w:t>ir: IJS-CEU</w:t>
      </w:r>
    </w:p>
    <w:p w:rsidR="00156BC1" w:rsidRPr="002D5D44" w:rsidRDefault="00156BC1" w:rsidP="004073CB">
      <w:pPr>
        <w:spacing w:after="0" w:line="240" w:lineRule="auto"/>
        <w:jc w:val="both"/>
        <w:rPr>
          <w:rFonts w:ascii="Arial" w:hAnsi="Arial" w:cs="Arial"/>
          <w:sz w:val="20"/>
          <w:szCs w:val="20"/>
        </w:rPr>
      </w:pPr>
    </w:p>
    <w:p w:rsidR="009556BC" w:rsidRPr="002D5D44" w:rsidRDefault="008F1F5B" w:rsidP="004073CB">
      <w:pPr>
        <w:spacing w:after="0" w:line="240" w:lineRule="auto"/>
        <w:jc w:val="both"/>
        <w:rPr>
          <w:rFonts w:ascii="Arial" w:hAnsi="Arial" w:cs="Arial"/>
          <w:sz w:val="20"/>
          <w:szCs w:val="20"/>
        </w:rPr>
      </w:pPr>
      <w:r w:rsidRPr="002D5D44">
        <w:rPr>
          <w:rFonts w:ascii="Arial" w:hAnsi="Arial" w:cs="Arial"/>
          <w:sz w:val="20"/>
          <w:szCs w:val="20"/>
        </w:rPr>
        <w:t>Emisije TGP</w:t>
      </w:r>
      <w:r w:rsidR="004073CB">
        <w:rPr>
          <w:rFonts w:ascii="Arial" w:hAnsi="Arial" w:cs="Arial"/>
          <w:sz w:val="20"/>
          <w:szCs w:val="20"/>
        </w:rPr>
        <w:t xml:space="preserve"> </w:t>
      </w:r>
      <w:r w:rsidR="007D5902">
        <w:rPr>
          <w:rFonts w:ascii="Arial" w:hAnsi="Arial" w:cs="Arial"/>
          <w:sz w:val="20"/>
          <w:szCs w:val="20"/>
        </w:rPr>
        <w:t>iz ESD sektorjev</w:t>
      </w:r>
      <w:r w:rsidR="004073CB">
        <w:rPr>
          <w:rFonts w:ascii="Arial" w:hAnsi="Arial" w:cs="Arial"/>
          <w:sz w:val="20"/>
          <w:szCs w:val="20"/>
        </w:rPr>
        <w:t xml:space="preserve"> v letu 2016</w:t>
      </w:r>
      <w:r w:rsidRPr="002D5D44">
        <w:rPr>
          <w:rFonts w:ascii="Arial" w:hAnsi="Arial" w:cs="Arial"/>
          <w:sz w:val="20"/>
          <w:szCs w:val="20"/>
        </w:rPr>
        <w:t xml:space="preserve"> so </w:t>
      </w:r>
      <w:r w:rsidR="00640A61" w:rsidRPr="002D5D44">
        <w:rPr>
          <w:rFonts w:ascii="Arial" w:hAnsi="Arial" w:cs="Arial"/>
          <w:sz w:val="20"/>
          <w:szCs w:val="20"/>
        </w:rPr>
        <w:t>se v prime</w:t>
      </w:r>
      <w:r w:rsidR="009C1820">
        <w:rPr>
          <w:rFonts w:ascii="Arial" w:hAnsi="Arial" w:cs="Arial"/>
          <w:sz w:val="20"/>
          <w:szCs w:val="20"/>
        </w:rPr>
        <w:t>rjavi z letom 2005 znižale za 5</w:t>
      </w:r>
      <w:r w:rsidR="00640A61" w:rsidRPr="002D5D44">
        <w:rPr>
          <w:rFonts w:ascii="Arial" w:hAnsi="Arial" w:cs="Arial"/>
          <w:sz w:val="20"/>
          <w:szCs w:val="20"/>
        </w:rPr>
        <w:t xml:space="preserve"> %,</w:t>
      </w:r>
      <w:r w:rsidRPr="002D5D44">
        <w:rPr>
          <w:rFonts w:ascii="Arial" w:hAnsi="Arial" w:cs="Arial"/>
          <w:sz w:val="20"/>
          <w:szCs w:val="20"/>
        </w:rPr>
        <w:t xml:space="preserve"> v primerjavi z letom 2015</w:t>
      </w:r>
      <w:r w:rsidR="00640A61" w:rsidRPr="002D5D44">
        <w:rPr>
          <w:rFonts w:ascii="Arial" w:hAnsi="Arial" w:cs="Arial"/>
          <w:sz w:val="20"/>
          <w:szCs w:val="20"/>
        </w:rPr>
        <w:t xml:space="preserve"> pa</w:t>
      </w:r>
      <w:r w:rsidR="009C1820">
        <w:rPr>
          <w:rFonts w:ascii="Arial" w:hAnsi="Arial" w:cs="Arial"/>
          <w:sz w:val="20"/>
          <w:szCs w:val="20"/>
        </w:rPr>
        <w:t xml:space="preserve"> povečale za 5</w:t>
      </w:r>
      <w:r w:rsidRPr="002D5D44">
        <w:rPr>
          <w:rFonts w:ascii="Arial" w:hAnsi="Arial" w:cs="Arial"/>
          <w:sz w:val="20"/>
          <w:szCs w:val="20"/>
        </w:rPr>
        <w:t xml:space="preserve"> %</w:t>
      </w:r>
      <w:r w:rsidR="00640A61" w:rsidRPr="002D5D44">
        <w:rPr>
          <w:rFonts w:ascii="Arial" w:hAnsi="Arial" w:cs="Arial"/>
          <w:sz w:val="20"/>
          <w:szCs w:val="20"/>
        </w:rPr>
        <w:t xml:space="preserve">. </w:t>
      </w:r>
      <w:r w:rsidRPr="002D5D44">
        <w:rPr>
          <w:rFonts w:ascii="Arial" w:hAnsi="Arial" w:cs="Arial"/>
          <w:sz w:val="20"/>
          <w:szCs w:val="20"/>
        </w:rPr>
        <w:t>Trend naraščanja</w:t>
      </w:r>
      <w:r w:rsidR="00CF41F3" w:rsidRPr="002D5D44">
        <w:rPr>
          <w:rFonts w:ascii="Arial" w:hAnsi="Arial" w:cs="Arial"/>
          <w:sz w:val="20"/>
          <w:szCs w:val="20"/>
        </w:rPr>
        <w:t xml:space="preserve"> je bil </w:t>
      </w:r>
      <w:r w:rsidR="00156BC1" w:rsidRPr="002D5D44">
        <w:rPr>
          <w:rFonts w:ascii="Arial" w:hAnsi="Arial" w:cs="Arial"/>
          <w:sz w:val="20"/>
          <w:szCs w:val="20"/>
        </w:rPr>
        <w:t>po treh</w:t>
      </w:r>
      <w:r w:rsidR="000D6A8A" w:rsidRPr="002D5D44">
        <w:rPr>
          <w:rFonts w:ascii="Arial" w:hAnsi="Arial" w:cs="Arial"/>
          <w:sz w:val="20"/>
          <w:szCs w:val="20"/>
        </w:rPr>
        <w:t xml:space="preserve"> letih upadanja </w:t>
      </w:r>
      <w:r w:rsidR="005B051D" w:rsidRPr="002D5D44">
        <w:rPr>
          <w:rFonts w:ascii="Arial" w:hAnsi="Arial" w:cs="Arial"/>
          <w:sz w:val="20"/>
          <w:szCs w:val="20"/>
        </w:rPr>
        <w:t>ponovno zaznan leta 2015.</w:t>
      </w:r>
    </w:p>
    <w:p w:rsidR="00D91587" w:rsidRPr="002D5D44" w:rsidRDefault="00D91587" w:rsidP="004073CB">
      <w:pPr>
        <w:jc w:val="both"/>
        <w:rPr>
          <w:b/>
        </w:rPr>
      </w:pPr>
      <w:r w:rsidRPr="002D5D44">
        <w:br w:type="page"/>
      </w:r>
    </w:p>
    <w:p w:rsidR="005C3B17" w:rsidRPr="002D5D44" w:rsidRDefault="00197A80" w:rsidP="00D96E78">
      <w:pPr>
        <w:pStyle w:val="Naslov2"/>
      </w:pPr>
      <w:bookmarkStart w:id="6" w:name="_Toc531933449"/>
      <w:r w:rsidRPr="002D5D44">
        <w:lastRenderedPageBreak/>
        <w:t>D</w:t>
      </w:r>
      <w:r w:rsidR="005C3B17" w:rsidRPr="002D5D44">
        <w:t xml:space="preserve">oseganja </w:t>
      </w:r>
      <w:r w:rsidR="00062E90" w:rsidRPr="002D5D44">
        <w:t>indikativnih sektorskih</w:t>
      </w:r>
      <w:r w:rsidR="005C3B17" w:rsidRPr="002D5D44">
        <w:t xml:space="preserve"> ciljev omejevanja emisij TGP iz OP TGP 2020</w:t>
      </w:r>
      <w:bookmarkEnd w:id="6"/>
    </w:p>
    <w:p w:rsidR="00CC6C79" w:rsidRPr="002D5D44" w:rsidRDefault="00CC6C79" w:rsidP="00CC6C79">
      <w:pPr>
        <w:spacing w:after="0" w:line="240" w:lineRule="auto"/>
      </w:pPr>
    </w:p>
    <w:p w:rsidR="002634C4" w:rsidRPr="002D5D44" w:rsidRDefault="002634C4" w:rsidP="00CC6C79">
      <w:pPr>
        <w:spacing w:after="0" w:line="240" w:lineRule="auto"/>
        <w:jc w:val="both"/>
        <w:rPr>
          <w:rFonts w:ascii="Arial" w:hAnsi="Arial" w:cs="Arial"/>
          <w:sz w:val="20"/>
          <w:szCs w:val="20"/>
        </w:rPr>
      </w:pPr>
      <w:r w:rsidRPr="002D5D44">
        <w:rPr>
          <w:rFonts w:ascii="Arial" w:hAnsi="Arial" w:cs="Arial"/>
          <w:sz w:val="20"/>
          <w:szCs w:val="20"/>
        </w:rPr>
        <w:t xml:space="preserve">Glavni dejavnik spreminjanja trenda emisij TGP </w:t>
      </w:r>
      <w:r w:rsidR="00E14DBB" w:rsidRPr="002D5D44">
        <w:rPr>
          <w:rFonts w:ascii="Arial" w:hAnsi="Arial" w:cs="Arial"/>
          <w:sz w:val="20"/>
          <w:szCs w:val="20"/>
        </w:rPr>
        <w:t xml:space="preserve">iz ESD sektorjev </w:t>
      </w:r>
      <w:r w:rsidRPr="002D5D44">
        <w:rPr>
          <w:rFonts w:ascii="Arial" w:hAnsi="Arial" w:cs="Arial"/>
          <w:sz w:val="20"/>
          <w:szCs w:val="20"/>
        </w:rPr>
        <w:t>še naprej ostajajo emisije iz sektorja promet, saj te predstav</w:t>
      </w:r>
      <w:r w:rsidR="006E269A">
        <w:rPr>
          <w:rFonts w:ascii="Arial" w:hAnsi="Arial" w:cs="Arial"/>
          <w:sz w:val="20"/>
          <w:szCs w:val="20"/>
        </w:rPr>
        <w:t>ljajo 51</w:t>
      </w:r>
      <w:r w:rsidRPr="002D5D44">
        <w:rPr>
          <w:rFonts w:ascii="Arial" w:hAnsi="Arial" w:cs="Arial"/>
          <w:sz w:val="20"/>
          <w:szCs w:val="20"/>
        </w:rPr>
        <w:t xml:space="preserve"> % vseh emisij, njihova možna letna spremenljivost pa je ocenjena na 18 %. V zadnjem letu so se emisije iz tega sektorja npr. povečale za 7 %.</w:t>
      </w:r>
    </w:p>
    <w:p w:rsidR="004E743F" w:rsidRPr="002D5D44" w:rsidRDefault="004E743F" w:rsidP="00CC6C79">
      <w:pPr>
        <w:spacing w:after="0" w:line="240" w:lineRule="auto"/>
        <w:jc w:val="both"/>
        <w:rPr>
          <w:rFonts w:ascii="Arial" w:hAnsi="Arial" w:cs="Arial"/>
          <w:sz w:val="20"/>
          <w:szCs w:val="20"/>
        </w:rPr>
      </w:pPr>
    </w:p>
    <w:p w:rsidR="002634C4" w:rsidRPr="002D5D44" w:rsidRDefault="004E743F" w:rsidP="00CC6C79">
      <w:pPr>
        <w:spacing w:after="0" w:line="240" w:lineRule="auto"/>
        <w:rPr>
          <w:rFonts w:ascii="Arial" w:hAnsi="Arial" w:cs="Arial"/>
          <w:sz w:val="20"/>
          <w:szCs w:val="20"/>
        </w:rPr>
      </w:pPr>
      <w:bookmarkStart w:id="7" w:name="_Toc531933516"/>
      <w:r w:rsidRPr="002D5D44">
        <w:rPr>
          <w:rFonts w:ascii="Arial" w:hAnsi="Arial" w:cs="Arial"/>
          <w:b/>
          <w:sz w:val="18"/>
        </w:rPr>
        <w:t xml:space="preserve">Slika </w:t>
      </w:r>
      <w:r w:rsidRPr="002D5D44">
        <w:rPr>
          <w:rFonts w:ascii="Arial" w:hAnsi="Arial" w:cs="Arial"/>
          <w:b/>
          <w:i/>
          <w:sz w:val="18"/>
        </w:rPr>
        <w:fldChar w:fldCharType="begin"/>
      </w:r>
      <w:r w:rsidRPr="002D5D44">
        <w:rPr>
          <w:rFonts w:ascii="Arial" w:hAnsi="Arial" w:cs="Arial"/>
          <w:b/>
          <w:sz w:val="18"/>
        </w:rPr>
        <w:instrText xml:space="preserve"> SEQ Slika \* ARABIC </w:instrText>
      </w:r>
      <w:r w:rsidRPr="002D5D44">
        <w:rPr>
          <w:rFonts w:ascii="Arial" w:hAnsi="Arial" w:cs="Arial"/>
          <w:b/>
          <w:i/>
          <w:sz w:val="18"/>
        </w:rPr>
        <w:fldChar w:fldCharType="separate"/>
      </w:r>
      <w:r w:rsidR="00E24745">
        <w:rPr>
          <w:rFonts w:ascii="Arial" w:hAnsi="Arial" w:cs="Arial"/>
          <w:b/>
          <w:noProof/>
          <w:sz w:val="18"/>
        </w:rPr>
        <w:t>2</w:t>
      </w:r>
      <w:r w:rsidRPr="002D5D44">
        <w:rPr>
          <w:rFonts w:ascii="Arial" w:hAnsi="Arial" w:cs="Arial"/>
          <w:b/>
          <w:i/>
          <w:sz w:val="18"/>
        </w:rPr>
        <w:fldChar w:fldCharType="end"/>
      </w:r>
      <w:r w:rsidRPr="002D5D44">
        <w:rPr>
          <w:rFonts w:ascii="Arial" w:hAnsi="Arial" w:cs="Arial"/>
          <w:b/>
          <w:sz w:val="18"/>
        </w:rPr>
        <w:t>:</w:t>
      </w:r>
      <w:r w:rsidRPr="002D5D44">
        <w:rPr>
          <w:rFonts w:ascii="Arial" w:hAnsi="Arial" w:cs="Arial"/>
          <w:b/>
          <w:sz w:val="18"/>
        </w:rPr>
        <w:tab/>
        <w:t>Struktura emisij TGP po sektorjih ESD v letu 2016</w:t>
      </w:r>
      <w:bookmarkEnd w:id="7"/>
    </w:p>
    <w:p w:rsidR="002634C4" w:rsidRPr="002D5D44" w:rsidRDefault="002634C4" w:rsidP="002634C4">
      <w:pPr>
        <w:spacing w:after="0"/>
        <w:jc w:val="center"/>
        <w:rPr>
          <w:rFonts w:ascii="Arial" w:hAnsi="Arial" w:cs="Arial"/>
        </w:rPr>
      </w:pPr>
      <w:r w:rsidRPr="002D5D44">
        <w:rPr>
          <w:rFonts w:ascii="Arial" w:hAnsi="Arial" w:cs="Arial"/>
          <w:noProof/>
          <w:lang w:eastAsia="sl-SI"/>
        </w:rPr>
        <w:drawing>
          <wp:inline distT="0" distB="0" distL="0" distR="0" wp14:anchorId="672F8095" wp14:editId="2464C31A">
            <wp:extent cx="4562475" cy="31527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62475" cy="3152775"/>
                    </a:xfrm>
                    <a:prstGeom prst="rect">
                      <a:avLst/>
                    </a:prstGeom>
                    <a:noFill/>
                    <a:ln>
                      <a:noFill/>
                    </a:ln>
                  </pic:spPr>
                </pic:pic>
              </a:graphicData>
            </a:graphic>
          </wp:inline>
        </w:drawing>
      </w:r>
    </w:p>
    <w:p w:rsidR="002634C4" w:rsidRPr="006B7E4F" w:rsidRDefault="004E743F" w:rsidP="0038793D">
      <w:pPr>
        <w:pStyle w:val="Napis"/>
        <w:rPr>
          <w:rFonts w:ascii="Arial" w:hAnsi="Arial" w:cs="Arial"/>
          <w:bCs w:val="0"/>
          <w:i w:val="0"/>
          <w:sz w:val="18"/>
          <w:lang w:val="sl-SI"/>
        </w:rPr>
      </w:pPr>
      <w:r w:rsidRPr="006B7E4F">
        <w:rPr>
          <w:rFonts w:ascii="Arial" w:hAnsi="Arial" w:cs="Arial"/>
          <w:i w:val="0"/>
          <w:sz w:val="18"/>
          <w:lang w:val="sl-SI"/>
        </w:rPr>
        <w:t xml:space="preserve"> V</w:t>
      </w:r>
      <w:r w:rsidR="002634C4" w:rsidRPr="006B7E4F">
        <w:rPr>
          <w:rFonts w:ascii="Arial" w:hAnsi="Arial" w:cs="Arial"/>
          <w:i w:val="0"/>
          <w:sz w:val="18"/>
          <w:lang w:val="sl-SI"/>
        </w:rPr>
        <w:t>ir: IJS-CEU</w:t>
      </w:r>
    </w:p>
    <w:p w:rsidR="002634C4" w:rsidRPr="002D5D44" w:rsidRDefault="002634C4" w:rsidP="004073CB">
      <w:pPr>
        <w:spacing w:after="0"/>
        <w:jc w:val="both"/>
        <w:rPr>
          <w:rFonts w:ascii="Arial" w:hAnsi="Arial" w:cs="Arial"/>
          <w:sz w:val="20"/>
          <w:szCs w:val="20"/>
        </w:rPr>
      </w:pPr>
      <w:r w:rsidRPr="002D5D44">
        <w:rPr>
          <w:rFonts w:ascii="Arial" w:hAnsi="Arial" w:cs="Arial"/>
          <w:sz w:val="20"/>
          <w:szCs w:val="20"/>
        </w:rPr>
        <w:t xml:space="preserve">Nobeden izmed ostalih ESD sektorjev ne predstavlja več kot 16-odstotnega deleža v bilanci emisij, zato se tudi do sedaj ugotovljena </w:t>
      </w:r>
      <w:r w:rsidR="004073CB">
        <w:rPr>
          <w:rFonts w:ascii="Arial" w:hAnsi="Arial" w:cs="Arial"/>
          <w:sz w:val="20"/>
          <w:szCs w:val="20"/>
        </w:rPr>
        <w:t xml:space="preserve">letna </w:t>
      </w:r>
      <w:r w:rsidRPr="002D5D44">
        <w:rPr>
          <w:rFonts w:ascii="Arial" w:hAnsi="Arial" w:cs="Arial"/>
          <w:sz w:val="20"/>
          <w:szCs w:val="20"/>
        </w:rPr>
        <w:t xml:space="preserve">sektorska nihanja, v skupni bilanci ne odražajo v takšni meri kot v primeru prometa. </w:t>
      </w:r>
    </w:p>
    <w:p w:rsidR="002634C4" w:rsidRPr="002D5D44" w:rsidRDefault="002634C4" w:rsidP="004073CB">
      <w:pPr>
        <w:spacing w:after="0" w:line="240" w:lineRule="auto"/>
        <w:jc w:val="both"/>
        <w:rPr>
          <w:rFonts w:ascii="Arial" w:hAnsi="Arial" w:cs="Arial"/>
          <w:b/>
          <w:sz w:val="20"/>
          <w:szCs w:val="20"/>
        </w:rPr>
      </w:pPr>
      <w:r w:rsidRPr="002D5D44">
        <w:rPr>
          <w:rFonts w:ascii="Arial" w:hAnsi="Arial" w:cs="Arial"/>
          <w:sz w:val="20"/>
          <w:szCs w:val="20"/>
        </w:rPr>
        <w:t>V</w:t>
      </w:r>
      <w:r w:rsidR="004073CB">
        <w:rPr>
          <w:rFonts w:ascii="Arial" w:hAnsi="Arial" w:cs="Arial"/>
          <w:sz w:val="20"/>
          <w:szCs w:val="20"/>
        </w:rPr>
        <w:t xml:space="preserve"> primerjavi z letom 2015 je bila sicer opaznejša letna sprememba emisij ugotovljena</w:t>
      </w:r>
      <w:r w:rsidRPr="002D5D44">
        <w:rPr>
          <w:rFonts w:ascii="Arial" w:hAnsi="Arial" w:cs="Arial"/>
          <w:sz w:val="20"/>
          <w:szCs w:val="20"/>
        </w:rPr>
        <w:t xml:space="preserve"> še pri sektorjih stavbe (druga področja – široka raba) in ne-ETS energetika</w:t>
      </w:r>
      <w:r w:rsidR="00E14DBB" w:rsidRPr="002D5D44">
        <w:rPr>
          <w:rFonts w:ascii="Arial" w:hAnsi="Arial" w:cs="Arial"/>
          <w:sz w:val="20"/>
          <w:szCs w:val="20"/>
        </w:rPr>
        <w:t xml:space="preserve"> (proizvodnja električne energije in toplote)</w:t>
      </w:r>
      <w:r w:rsidRPr="002D5D44">
        <w:rPr>
          <w:rFonts w:ascii="Arial" w:hAnsi="Arial" w:cs="Arial"/>
          <w:sz w:val="20"/>
          <w:szCs w:val="20"/>
        </w:rPr>
        <w:t>. V ostalih sektorjih (kmetijstvo, odpadki) se emisije v zadnjem letu niso bistveno spremenile.</w:t>
      </w:r>
    </w:p>
    <w:p w:rsidR="002634C4" w:rsidRPr="002D5D44" w:rsidRDefault="002634C4" w:rsidP="00197A80">
      <w:pPr>
        <w:spacing w:after="0" w:line="240" w:lineRule="auto"/>
        <w:rPr>
          <w:rFonts w:ascii="Arial" w:hAnsi="Arial" w:cs="Arial"/>
          <w:b/>
          <w:sz w:val="20"/>
          <w:szCs w:val="20"/>
        </w:rPr>
      </w:pPr>
    </w:p>
    <w:p w:rsidR="002634C4" w:rsidRDefault="00197A80" w:rsidP="00197A80">
      <w:pPr>
        <w:spacing w:after="0" w:line="240" w:lineRule="auto"/>
        <w:rPr>
          <w:rFonts w:ascii="Arial" w:hAnsi="Arial" w:cs="Arial"/>
          <w:b/>
          <w:sz w:val="20"/>
          <w:szCs w:val="20"/>
        </w:rPr>
      </w:pPr>
      <w:r w:rsidRPr="002D5D44">
        <w:rPr>
          <w:rFonts w:ascii="Arial" w:hAnsi="Arial" w:cs="Arial"/>
          <w:b/>
          <w:sz w:val="20"/>
          <w:szCs w:val="20"/>
        </w:rPr>
        <w:t>Stavbe</w:t>
      </w:r>
    </w:p>
    <w:p w:rsidR="009E1F43" w:rsidRPr="002D5D44" w:rsidRDefault="009E1F43" w:rsidP="00197A80">
      <w:pPr>
        <w:spacing w:after="0" w:line="240" w:lineRule="auto"/>
        <w:rPr>
          <w:rFonts w:ascii="Arial" w:hAnsi="Arial" w:cs="Arial"/>
          <w:b/>
          <w:sz w:val="20"/>
          <w:szCs w:val="20"/>
        </w:rPr>
      </w:pPr>
    </w:p>
    <w:p w:rsidR="00197A80" w:rsidRPr="002D5D44" w:rsidRDefault="00197A80" w:rsidP="004073CB">
      <w:pPr>
        <w:spacing w:after="0" w:line="240" w:lineRule="auto"/>
        <w:jc w:val="both"/>
        <w:rPr>
          <w:rFonts w:ascii="Arial" w:hAnsi="Arial" w:cs="Arial"/>
          <w:sz w:val="20"/>
          <w:szCs w:val="20"/>
        </w:rPr>
      </w:pPr>
      <w:r w:rsidRPr="002D5D44">
        <w:rPr>
          <w:rFonts w:ascii="Arial" w:hAnsi="Arial" w:cs="Arial"/>
          <w:sz w:val="20"/>
          <w:szCs w:val="20"/>
        </w:rPr>
        <w:t>Emisije TGP iz gospodinjste</w:t>
      </w:r>
      <w:r w:rsidR="00C644EB">
        <w:rPr>
          <w:rFonts w:ascii="Arial" w:hAnsi="Arial" w:cs="Arial"/>
          <w:sz w:val="20"/>
          <w:szCs w:val="20"/>
        </w:rPr>
        <w:t>v so leta 2016 predstavljale 8</w:t>
      </w:r>
      <w:r w:rsidRPr="002D5D44">
        <w:rPr>
          <w:rFonts w:ascii="Arial" w:hAnsi="Arial" w:cs="Arial"/>
          <w:sz w:val="20"/>
          <w:szCs w:val="20"/>
        </w:rPr>
        <w:t xml:space="preserve"> %, emisije iz storitven</w:t>
      </w:r>
      <w:r w:rsidR="00C644EB">
        <w:rPr>
          <w:rFonts w:ascii="Arial" w:hAnsi="Arial" w:cs="Arial"/>
          <w:sz w:val="20"/>
          <w:szCs w:val="20"/>
        </w:rPr>
        <w:t>ih dejavnosti pa 4</w:t>
      </w:r>
      <w:r w:rsidR="006E269A">
        <w:rPr>
          <w:rFonts w:ascii="Arial" w:hAnsi="Arial" w:cs="Arial"/>
          <w:sz w:val="20"/>
          <w:szCs w:val="20"/>
        </w:rPr>
        <w:t xml:space="preserve"> % vseh </w:t>
      </w:r>
      <w:r w:rsidRPr="002D5D44">
        <w:rPr>
          <w:rFonts w:ascii="Arial" w:hAnsi="Arial" w:cs="Arial"/>
          <w:sz w:val="20"/>
          <w:szCs w:val="20"/>
        </w:rPr>
        <w:t>emisij</w:t>
      </w:r>
      <w:r w:rsidR="006E269A">
        <w:rPr>
          <w:rFonts w:ascii="Arial" w:hAnsi="Arial" w:cs="Arial"/>
          <w:sz w:val="20"/>
          <w:szCs w:val="20"/>
        </w:rPr>
        <w:t xml:space="preserve"> iz ESD sektorjev</w:t>
      </w:r>
      <w:r w:rsidRPr="002D5D44">
        <w:rPr>
          <w:rFonts w:ascii="Arial" w:hAnsi="Arial" w:cs="Arial"/>
          <w:sz w:val="20"/>
          <w:szCs w:val="20"/>
        </w:rPr>
        <w:t xml:space="preserve">. Skupno </w:t>
      </w:r>
      <w:r w:rsidR="00D91587" w:rsidRPr="002D5D44">
        <w:rPr>
          <w:rFonts w:ascii="Arial" w:hAnsi="Arial" w:cs="Arial"/>
          <w:sz w:val="20"/>
          <w:szCs w:val="20"/>
        </w:rPr>
        <w:t>torej</w:t>
      </w:r>
      <w:r w:rsidR="006E269A">
        <w:rPr>
          <w:rFonts w:ascii="Arial" w:hAnsi="Arial" w:cs="Arial"/>
          <w:sz w:val="20"/>
          <w:szCs w:val="20"/>
        </w:rPr>
        <w:t xml:space="preserve"> 12 %</w:t>
      </w:r>
      <w:r w:rsidRPr="002D5D44">
        <w:rPr>
          <w:rFonts w:ascii="Arial" w:hAnsi="Arial" w:cs="Arial"/>
          <w:sz w:val="20"/>
          <w:szCs w:val="20"/>
        </w:rPr>
        <w:t>. V zadnjem l</w:t>
      </w:r>
      <w:r w:rsidR="00C644EB">
        <w:rPr>
          <w:rFonts w:ascii="Arial" w:hAnsi="Arial" w:cs="Arial"/>
          <w:sz w:val="20"/>
          <w:szCs w:val="20"/>
        </w:rPr>
        <w:t xml:space="preserve">etu so se te povečale </w:t>
      </w:r>
      <w:r w:rsidR="00C644EB" w:rsidRPr="00C644EB">
        <w:rPr>
          <w:rFonts w:ascii="Arial" w:hAnsi="Arial" w:cs="Arial"/>
          <w:sz w:val="20"/>
          <w:szCs w:val="20"/>
        </w:rPr>
        <w:t>za 6</w:t>
      </w:r>
      <w:r w:rsidR="00BB278D" w:rsidRPr="00C644EB">
        <w:rPr>
          <w:rFonts w:ascii="Arial" w:hAnsi="Arial" w:cs="Arial"/>
          <w:sz w:val="20"/>
          <w:szCs w:val="20"/>
        </w:rPr>
        <w:t xml:space="preserve"> %. </w:t>
      </w:r>
      <w:r w:rsidRPr="00C644EB">
        <w:rPr>
          <w:rFonts w:ascii="Arial" w:hAnsi="Arial" w:cs="Arial"/>
          <w:sz w:val="20"/>
          <w:szCs w:val="20"/>
        </w:rPr>
        <w:t>Dolgoročni</w:t>
      </w:r>
      <w:r w:rsidRPr="002D5D44">
        <w:rPr>
          <w:rFonts w:ascii="Arial" w:hAnsi="Arial" w:cs="Arial"/>
          <w:sz w:val="20"/>
          <w:szCs w:val="20"/>
        </w:rPr>
        <w:t xml:space="preserve"> trend kljub </w:t>
      </w:r>
      <w:r w:rsidR="00C644EB" w:rsidRPr="00C644EB">
        <w:rPr>
          <w:rFonts w:ascii="Arial" w:hAnsi="Arial" w:cs="Arial"/>
          <w:sz w:val="20"/>
          <w:szCs w:val="20"/>
        </w:rPr>
        <w:t>temu ostaja ugoden, saj so se glede na leto</w:t>
      </w:r>
      <w:r w:rsidRPr="00C644EB">
        <w:rPr>
          <w:rFonts w:ascii="Arial" w:hAnsi="Arial" w:cs="Arial"/>
          <w:sz w:val="20"/>
          <w:szCs w:val="20"/>
        </w:rPr>
        <w:t xml:space="preserve"> 2011 zmanjšale za 26 %</w:t>
      </w:r>
      <w:r w:rsidR="00C644EB" w:rsidRPr="00C644EB">
        <w:rPr>
          <w:rFonts w:ascii="Arial" w:hAnsi="Arial" w:cs="Arial"/>
          <w:sz w:val="20"/>
          <w:szCs w:val="20"/>
        </w:rPr>
        <w:t>, glede na leto 2005 pa za 44 %</w:t>
      </w:r>
      <w:r w:rsidRPr="00C644EB">
        <w:rPr>
          <w:rFonts w:ascii="Arial" w:hAnsi="Arial" w:cs="Arial"/>
          <w:sz w:val="20"/>
          <w:szCs w:val="20"/>
        </w:rPr>
        <w:t>.</w:t>
      </w:r>
    </w:p>
    <w:p w:rsidR="00197A80" w:rsidRPr="002D5D44" w:rsidRDefault="00197A80" w:rsidP="004073CB">
      <w:pPr>
        <w:spacing w:after="0" w:line="240" w:lineRule="auto"/>
        <w:jc w:val="both"/>
        <w:rPr>
          <w:rFonts w:ascii="Arial" w:hAnsi="Arial" w:cs="Arial"/>
          <w:sz w:val="20"/>
          <w:szCs w:val="20"/>
        </w:rPr>
      </w:pPr>
    </w:p>
    <w:p w:rsidR="00197A80" w:rsidRPr="002D5D44" w:rsidRDefault="00197A80" w:rsidP="004073CB">
      <w:pPr>
        <w:autoSpaceDE w:val="0"/>
        <w:autoSpaceDN w:val="0"/>
        <w:adjustRightInd w:val="0"/>
        <w:spacing w:after="0" w:line="240" w:lineRule="auto"/>
        <w:jc w:val="both"/>
        <w:rPr>
          <w:rFonts w:ascii="Arial" w:hAnsi="Arial" w:cs="Arial"/>
          <w:sz w:val="20"/>
          <w:szCs w:val="20"/>
        </w:rPr>
      </w:pPr>
      <w:r w:rsidRPr="002D5D44">
        <w:rPr>
          <w:rFonts w:ascii="Arial" w:hAnsi="Arial" w:cs="Arial"/>
          <w:sz w:val="20"/>
          <w:szCs w:val="20"/>
        </w:rPr>
        <w:t>Indikativni sektorski cilj</w:t>
      </w:r>
      <w:r w:rsidR="00BB278D">
        <w:rPr>
          <w:rFonts w:ascii="Arial" w:hAnsi="Arial" w:cs="Arial"/>
          <w:sz w:val="20"/>
          <w:szCs w:val="20"/>
        </w:rPr>
        <w:t xml:space="preserve"> iz OP TGP 2020</w:t>
      </w:r>
      <w:r w:rsidRPr="002D5D44">
        <w:rPr>
          <w:rFonts w:ascii="Arial" w:hAnsi="Arial" w:cs="Arial"/>
          <w:sz w:val="20"/>
          <w:szCs w:val="20"/>
        </w:rPr>
        <w:t xml:space="preserve"> je zmanjšati emisije TGP za 53 % do leta 2020 v primerjavi z letom 2005. Za doseganje tega cilja bo potrebno v obdobju 2017–2020 emisije zmanjšati za 12 %.</w:t>
      </w:r>
    </w:p>
    <w:p w:rsidR="00197A80" w:rsidRPr="002D5D44" w:rsidRDefault="00197A80" w:rsidP="004073CB">
      <w:pPr>
        <w:autoSpaceDE w:val="0"/>
        <w:autoSpaceDN w:val="0"/>
        <w:adjustRightInd w:val="0"/>
        <w:spacing w:after="0" w:line="240" w:lineRule="auto"/>
        <w:jc w:val="both"/>
        <w:rPr>
          <w:rFonts w:ascii="Arial" w:hAnsi="Arial" w:cs="Arial"/>
          <w:sz w:val="20"/>
          <w:szCs w:val="20"/>
        </w:rPr>
      </w:pPr>
      <w:r w:rsidRPr="002D5D44">
        <w:rPr>
          <w:rFonts w:ascii="Arial" w:hAnsi="Arial" w:cs="Arial"/>
          <w:sz w:val="20"/>
          <w:szCs w:val="20"/>
        </w:rPr>
        <w:t>Vrednost kumulativnega zmanjšanja emisij CO</w:t>
      </w:r>
      <w:r w:rsidRPr="002D5D44">
        <w:rPr>
          <w:rFonts w:ascii="Arial" w:hAnsi="Arial" w:cs="Arial"/>
          <w:sz w:val="20"/>
          <w:szCs w:val="20"/>
          <w:vertAlign w:val="subscript"/>
        </w:rPr>
        <w:t>2</w:t>
      </w:r>
      <w:r w:rsidRPr="002D5D44">
        <w:rPr>
          <w:rFonts w:ascii="Arial" w:hAnsi="Arial" w:cs="Arial"/>
          <w:sz w:val="20"/>
          <w:szCs w:val="20"/>
        </w:rPr>
        <w:t xml:space="preserve"> za indikativnim letnim ciljem kaže na zaostajanje za 24 %.</w:t>
      </w:r>
    </w:p>
    <w:p w:rsidR="00197A80" w:rsidRPr="002D5D44" w:rsidRDefault="00197A80" w:rsidP="00197A80">
      <w:pPr>
        <w:autoSpaceDE w:val="0"/>
        <w:autoSpaceDN w:val="0"/>
        <w:adjustRightInd w:val="0"/>
        <w:spacing w:after="0" w:line="240" w:lineRule="auto"/>
        <w:jc w:val="both"/>
        <w:rPr>
          <w:rFonts w:ascii="Arial" w:hAnsi="Arial" w:cs="Arial"/>
          <w:sz w:val="20"/>
          <w:szCs w:val="20"/>
        </w:rPr>
      </w:pPr>
    </w:p>
    <w:p w:rsidR="00BE768D" w:rsidRPr="002D5D44" w:rsidRDefault="00197A80" w:rsidP="0098120C">
      <w:pPr>
        <w:spacing w:after="0" w:line="240" w:lineRule="auto"/>
        <w:jc w:val="both"/>
        <w:rPr>
          <w:rFonts w:ascii="Arial" w:hAnsi="Arial" w:cs="Arial"/>
          <w:sz w:val="20"/>
          <w:szCs w:val="20"/>
        </w:rPr>
      </w:pPr>
      <w:r w:rsidRPr="002D5D44">
        <w:rPr>
          <w:rFonts w:ascii="Arial" w:hAnsi="Arial" w:cs="Arial"/>
          <w:sz w:val="20"/>
          <w:szCs w:val="20"/>
        </w:rPr>
        <w:t>Vzroki za nedoseganja indikativne sektorske ciljne vrednosti so tako v stanovanjskem kot tudi  javnem sektorju. Na to kažejo tudi vrednosti kazalnikov. Vrednosti kazalnikov zmanjšanje emisij</w:t>
      </w:r>
      <w:r w:rsidR="00C644EB">
        <w:rPr>
          <w:rFonts w:ascii="Arial" w:hAnsi="Arial" w:cs="Arial"/>
          <w:sz w:val="20"/>
          <w:szCs w:val="20"/>
        </w:rPr>
        <w:t xml:space="preserve"> v javnem sektorju</w:t>
      </w:r>
      <w:r w:rsidRPr="002D5D44">
        <w:rPr>
          <w:rFonts w:ascii="Arial" w:hAnsi="Arial" w:cs="Arial"/>
          <w:sz w:val="20"/>
          <w:szCs w:val="20"/>
        </w:rPr>
        <w:t xml:space="preserve"> in prihranki energije v javnem sektorju za letnima ci</w:t>
      </w:r>
      <w:r w:rsidR="00C644EB">
        <w:rPr>
          <w:rFonts w:ascii="Arial" w:hAnsi="Arial" w:cs="Arial"/>
          <w:sz w:val="20"/>
          <w:szCs w:val="20"/>
        </w:rPr>
        <w:t>ljema namreč zaostajata že za 23 oz. 29</w:t>
      </w:r>
      <w:r w:rsidRPr="002D5D44">
        <w:rPr>
          <w:rFonts w:ascii="Arial" w:hAnsi="Arial" w:cs="Arial"/>
          <w:sz w:val="20"/>
          <w:szCs w:val="20"/>
        </w:rPr>
        <w:t xml:space="preserve"> %, </w:t>
      </w:r>
      <w:r w:rsidR="00532DA4">
        <w:rPr>
          <w:rFonts w:ascii="Arial" w:hAnsi="Arial" w:cs="Arial"/>
          <w:sz w:val="20"/>
          <w:szCs w:val="20"/>
        </w:rPr>
        <w:t xml:space="preserve">specifične </w:t>
      </w:r>
      <w:r w:rsidRPr="002D5D44">
        <w:rPr>
          <w:rFonts w:ascii="Arial" w:hAnsi="Arial" w:cs="Arial"/>
          <w:sz w:val="20"/>
          <w:szCs w:val="20"/>
        </w:rPr>
        <w:t>emisije TGP v stanovanjskem sektorju pa so bile leta 2016 10 % pod indikativno ciljno vrednostjo. Trend</w:t>
      </w:r>
      <w:r w:rsidR="00532DA4">
        <w:rPr>
          <w:rFonts w:ascii="Arial" w:hAnsi="Arial" w:cs="Arial"/>
          <w:sz w:val="20"/>
          <w:szCs w:val="20"/>
        </w:rPr>
        <w:t xml:space="preserve"> zmanjševanja</w:t>
      </w:r>
      <w:r w:rsidRPr="002D5D44">
        <w:rPr>
          <w:rFonts w:ascii="Arial" w:hAnsi="Arial" w:cs="Arial"/>
          <w:sz w:val="20"/>
          <w:szCs w:val="20"/>
        </w:rPr>
        <w:t xml:space="preserve"> slednjih je bil neugoden zlasti v zadnjih dveh letih.</w:t>
      </w:r>
    </w:p>
    <w:p w:rsidR="002634C4" w:rsidRPr="002D5D44" w:rsidRDefault="002634C4" w:rsidP="00197A80">
      <w:pPr>
        <w:spacing w:after="0"/>
        <w:jc w:val="both"/>
        <w:rPr>
          <w:rFonts w:ascii="Arial" w:hAnsi="Arial" w:cs="Arial"/>
          <w:sz w:val="20"/>
          <w:szCs w:val="20"/>
        </w:rPr>
      </w:pPr>
    </w:p>
    <w:p w:rsidR="002634C4" w:rsidRDefault="002634C4" w:rsidP="002634C4">
      <w:pPr>
        <w:spacing w:after="0" w:line="240" w:lineRule="auto"/>
        <w:rPr>
          <w:rFonts w:ascii="Arial" w:hAnsi="Arial" w:cs="Arial"/>
          <w:b/>
          <w:sz w:val="20"/>
          <w:szCs w:val="20"/>
        </w:rPr>
      </w:pPr>
      <w:r w:rsidRPr="002D5D44">
        <w:rPr>
          <w:rFonts w:ascii="Arial" w:hAnsi="Arial" w:cs="Arial"/>
          <w:b/>
          <w:sz w:val="20"/>
          <w:szCs w:val="20"/>
        </w:rPr>
        <w:t>Promet</w:t>
      </w:r>
    </w:p>
    <w:p w:rsidR="009E1F43" w:rsidRPr="002D5D44" w:rsidRDefault="009E1F43" w:rsidP="002634C4">
      <w:pPr>
        <w:spacing w:after="0" w:line="240" w:lineRule="auto"/>
        <w:rPr>
          <w:rFonts w:ascii="Arial" w:hAnsi="Arial" w:cs="Arial"/>
          <w:b/>
          <w:sz w:val="20"/>
          <w:szCs w:val="20"/>
        </w:rPr>
      </w:pPr>
    </w:p>
    <w:p w:rsidR="002634C4" w:rsidRPr="002D5D44" w:rsidRDefault="002634C4" w:rsidP="002634C4">
      <w:pPr>
        <w:pStyle w:val="Brezrazmikov"/>
        <w:jc w:val="both"/>
        <w:rPr>
          <w:rFonts w:ascii="Arial" w:hAnsi="Arial" w:cs="Arial"/>
          <w:sz w:val="20"/>
          <w:szCs w:val="20"/>
        </w:rPr>
      </w:pPr>
      <w:r w:rsidRPr="002D5D44">
        <w:rPr>
          <w:rFonts w:ascii="Arial" w:hAnsi="Arial" w:cs="Arial"/>
          <w:sz w:val="20"/>
          <w:szCs w:val="20"/>
        </w:rPr>
        <w:t>Promet p</w:t>
      </w:r>
      <w:r w:rsidR="009C1820">
        <w:rPr>
          <w:rFonts w:ascii="Arial" w:hAnsi="Arial" w:cs="Arial"/>
          <w:sz w:val="20"/>
          <w:szCs w:val="20"/>
        </w:rPr>
        <w:t>redstavlja</w:t>
      </w:r>
      <w:r w:rsidRPr="002D5D44">
        <w:rPr>
          <w:rFonts w:ascii="Arial" w:hAnsi="Arial" w:cs="Arial"/>
          <w:sz w:val="20"/>
          <w:szCs w:val="20"/>
        </w:rPr>
        <w:t xml:space="preserve"> 5</w:t>
      </w:r>
      <w:r w:rsidR="00A15BC7">
        <w:rPr>
          <w:rFonts w:ascii="Arial" w:hAnsi="Arial" w:cs="Arial"/>
          <w:sz w:val="20"/>
          <w:szCs w:val="20"/>
        </w:rPr>
        <w:t>1 % emisij TGP iz ESD sektorjev, še leta 2005 le 38 %.</w:t>
      </w:r>
      <w:r w:rsidR="009C1820">
        <w:rPr>
          <w:rFonts w:ascii="Arial" w:hAnsi="Arial" w:cs="Arial"/>
          <w:sz w:val="20"/>
          <w:szCs w:val="20"/>
        </w:rPr>
        <w:t xml:space="preserve"> V</w:t>
      </w:r>
      <w:r w:rsidRPr="002D5D44">
        <w:rPr>
          <w:rFonts w:ascii="Arial" w:hAnsi="Arial" w:cs="Arial"/>
          <w:sz w:val="20"/>
          <w:szCs w:val="20"/>
        </w:rPr>
        <w:t>ariabilnost em</w:t>
      </w:r>
      <w:r w:rsidR="009C1820">
        <w:rPr>
          <w:rFonts w:ascii="Arial" w:hAnsi="Arial" w:cs="Arial"/>
          <w:sz w:val="20"/>
          <w:szCs w:val="20"/>
        </w:rPr>
        <w:t>isij znotraj sektorja je velika,  e</w:t>
      </w:r>
      <w:r w:rsidRPr="002D5D44">
        <w:rPr>
          <w:rFonts w:ascii="Arial" w:hAnsi="Arial" w:cs="Arial"/>
          <w:sz w:val="20"/>
          <w:szCs w:val="20"/>
        </w:rPr>
        <w:t>misije v letu 2016 so se glede na preteklo leto</w:t>
      </w:r>
      <w:r w:rsidR="009C1820">
        <w:rPr>
          <w:rFonts w:ascii="Arial" w:hAnsi="Arial" w:cs="Arial"/>
          <w:sz w:val="20"/>
          <w:szCs w:val="20"/>
        </w:rPr>
        <w:t xml:space="preserve"> npr.</w:t>
      </w:r>
      <w:r w:rsidRPr="002D5D44">
        <w:rPr>
          <w:rFonts w:ascii="Arial" w:hAnsi="Arial" w:cs="Arial"/>
          <w:sz w:val="20"/>
          <w:szCs w:val="20"/>
        </w:rPr>
        <w:t xml:space="preserve"> povečale za 7 %, kar je izrazito </w:t>
      </w:r>
      <w:r w:rsidRPr="002D5D44">
        <w:rPr>
          <w:rFonts w:ascii="Arial" w:hAnsi="Arial" w:cs="Arial"/>
          <w:sz w:val="20"/>
          <w:szCs w:val="20"/>
        </w:rPr>
        <w:lastRenderedPageBreak/>
        <w:t>več kot je bila zabeležena rast BDP v Sloveniji v tem letu (3,1</w:t>
      </w:r>
      <w:r w:rsidR="009C1820">
        <w:rPr>
          <w:rFonts w:ascii="Arial" w:hAnsi="Arial" w:cs="Arial"/>
          <w:sz w:val="20"/>
          <w:szCs w:val="20"/>
        </w:rPr>
        <w:t xml:space="preserve"> </w:t>
      </w:r>
      <w:r w:rsidR="004073CB">
        <w:rPr>
          <w:rFonts w:ascii="Arial" w:hAnsi="Arial" w:cs="Arial"/>
          <w:sz w:val="20"/>
          <w:szCs w:val="20"/>
        </w:rPr>
        <w:t>%). To nakazuje</w:t>
      </w:r>
      <w:r w:rsidRPr="002D5D44">
        <w:rPr>
          <w:rFonts w:ascii="Arial" w:hAnsi="Arial" w:cs="Arial"/>
          <w:sz w:val="20"/>
          <w:szCs w:val="20"/>
        </w:rPr>
        <w:t xml:space="preserve"> na odsotnost razkoraka</w:t>
      </w:r>
      <w:r w:rsidR="00B3466F">
        <w:rPr>
          <w:rFonts w:ascii="Arial" w:hAnsi="Arial" w:cs="Arial"/>
          <w:sz w:val="20"/>
          <w:szCs w:val="20"/>
        </w:rPr>
        <w:t xml:space="preserve"> med trendom rasti BDP in trendom emisij TGP</w:t>
      </w:r>
      <w:r w:rsidR="004073CB">
        <w:rPr>
          <w:rFonts w:ascii="Arial" w:hAnsi="Arial" w:cs="Arial"/>
          <w:sz w:val="20"/>
          <w:szCs w:val="20"/>
        </w:rPr>
        <w:t xml:space="preserve"> ter na</w:t>
      </w:r>
      <w:r w:rsidRPr="002D5D44">
        <w:rPr>
          <w:rFonts w:ascii="Arial" w:hAnsi="Arial" w:cs="Arial"/>
          <w:sz w:val="20"/>
          <w:szCs w:val="20"/>
        </w:rPr>
        <w:t xml:space="preserve"> oddeljevanje od cilja zniževanja emisij v tem sektorju.</w:t>
      </w:r>
    </w:p>
    <w:p w:rsidR="002634C4" w:rsidRPr="002D5D44" w:rsidRDefault="002634C4" w:rsidP="002634C4">
      <w:pPr>
        <w:pStyle w:val="Brezrazmikov"/>
        <w:jc w:val="both"/>
        <w:rPr>
          <w:rFonts w:ascii="Arial" w:hAnsi="Arial" w:cs="Arial"/>
          <w:sz w:val="20"/>
          <w:szCs w:val="20"/>
        </w:rPr>
      </w:pPr>
    </w:p>
    <w:p w:rsidR="002634C4" w:rsidRPr="002D5D44" w:rsidRDefault="002634C4" w:rsidP="002634C4">
      <w:pPr>
        <w:spacing w:after="0" w:line="240" w:lineRule="auto"/>
        <w:jc w:val="both"/>
        <w:rPr>
          <w:rFonts w:ascii="Arial" w:hAnsi="Arial" w:cs="Arial"/>
          <w:sz w:val="20"/>
          <w:szCs w:val="20"/>
        </w:rPr>
      </w:pPr>
      <w:r w:rsidRPr="002D5D44">
        <w:rPr>
          <w:rFonts w:ascii="Arial" w:hAnsi="Arial" w:cs="Arial"/>
          <w:sz w:val="20"/>
          <w:szCs w:val="20"/>
        </w:rPr>
        <w:t xml:space="preserve">Cilj do leta 2020 je omejiti emisije TGP iz prometa tako, da te ne bodo za več kot 27 % višje glede na leto 2005. </w:t>
      </w:r>
      <w:r w:rsidRPr="002D5D44">
        <w:rPr>
          <w:rFonts w:ascii="Arial" w:eastAsia="SimSun" w:hAnsi="Arial" w:cs="Arial"/>
          <w:sz w:val="20"/>
          <w:szCs w:val="20"/>
        </w:rPr>
        <w:t>Promet je edini sektor, v katerem so se emisije v obdobju 2005−</w:t>
      </w:r>
      <w:r w:rsidR="009C1820">
        <w:rPr>
          <w:rFonts w:ascii="Arial" w:eastAsia="SimSun" w:hAnsi="Arial" w:cs="Arial"/>
          <w:sz w:val="20"/>
          <w:szCs w:val="20"/>
        </w:rPr>
        <w:t xml:space="preserve">2016 povečale, in sicer za </w:t>
      </w:r>
      <w:r w:rsidR="00C656C6">
        <w:rPr>
          <w:rFonts w:ascii="Arial" w:eastAsia="SimSun" w:hAnsi="Arial" w:cs="Arial"/>
          <w:sz w:val="20"/>
          <w:szCs w:val="20"/>
        </w:rPr>
        <w:t>23</w:t>
      </w:r>
      <w:r w:rsidRPr="002D5D44">
        <w:rPr>
          <w:rFonts w:ascii="Arial" w:eastAsia="SimSun" w:hAnsi="Arial" w:cs="Arial"/>
          <w:sz w:val="20"/>
          <w:szCs w:val="20"/>
        </w:rPr>
        <w:t xml:space="preserve"> %. </w:t>
      </w:r>
      <w:r w:rsidRPr="002D5D44">
        <w:rPr>
          <w:rFonts w:ascii="Arial" w:hAnsi="Arial" w:cs="Arial"/>
          <w:bCs/>
          <w:sz w:val="20"/>
          <w:szCs w:val="20"/>
        </w:rPr>
        <w:t xml:space="preserve">Izpolnjevanje </w:t>
      </w:r>
      <w:r w:rsidR="00A15BC7">
        <w:rPr>
          <w:rFonts w:ascii="Arial" w:hAnsi="Arial" w:cs="Arial"/>
          <w:bCs/>
          <w:sz w:val="20"/>
          <w:szCs w:val="20"/>
        </w:rPr>
        <w:t xml:space="preserve">indikativnega </w:t>
      </w:r>
      <w:r w:rsidRPr="002D5D44">
        <w:rPr>
          <w:rFonts w:ascii="Arial" w:hAnsi="Arial" w:cs="Arial"/>
          <w:bCs/>
          <w:sz w:val="20"/>
          <w:szCs w:val="20"/>
        </w:rPr>
        <w:t>cilja v letu 2020 je v tem sektorju negotovo.</w:t>
      </w:r>
    </w:p>
    <w:p w:rsidR="002634C4" w:rsidRPr="002D5D44" w:rsidRDefault="002634C4" w:rsidP="002634C4">
      <w:pPr>
        <w:autoSpaceDE w:val="0"/>
        <w:autoSpaceDN w:val="0"/>
        <w:adjustRightInd w:val="0"/>
        <w:spacing w:after="0" w:line="240" w:lineRule="auto"/>
        <w:jc w:val="both"/>
        <w:rPr>
          <w:rFonts w:ascii="Arial" w:hAnsi="Arial" w:cs="Arial"/>
          <w:sz w:val="20"/>
          <w:szCs w:val="20"/>
        </w:rPr>
      </w:pPr>
    </w:p>
    <w:p w:rsidR="002634C4" w:rsidRPr="002D5D44" w:rsidRDefault="002634C4" w:rsidP="002634C4">
      <w:pPr>
        <w:spacing w:after="0" w:line="240" w:lineRule="auto"/>
        <w:jc w:val="both"/>
        <w:rPr>
          <w:rFonts w:ascii="Arial" w:hAnsi="Arial" w:cs="Arial"/>
          <w:sz w:val="20"/>
          <w:szCs w:val="20"/>
        </w:rPr>
      </w:pPr>
      <w:r w:rsidRPr="002D5D44">
        <w:rPr>
          <w:rFonts w:ascii="Arial" w:eastAsia="SimSun" w:hAnsi="Arial" w:cs="Arial"/>
          <w:sz w:val="20"/>
          <w:szCs w:val="20"/>
        </w:rPr>
        <w:t>Večina emisij je iz cestnega prometa.</w:t>
      </w:r>
      <w:r w:rsidRPr="002D5D44">
        <w:rPr>
          <w:rFonts w:ascii="Arial" w:eastAsia="SimSun" w:hAnsi="Arial" w:cs="Arial"/>
          <w:b/>
          <w:sz w:val="20"/>
          <w:szCs w:val="20"/>
        </w:rPr>
        <w:t xml:space="preserve"> </w:t>
      </w:r>
      <w:r w:rsidRPr="002D5D44">
        <w:rPr>
          <w:rFonts w:ascii="Arial" w:eastAsia="SimSun" w:hAnsi="Arial" w:cs="Arial"/>
          <w:sz w:val="20"/>
          <w:szCs w:val="20"/>
        </w:rPr>
        <w:t>Na njihovo spreminjanje najbolj vplivata dva dejavnika: aktivnost v sektorju promet (prometno delo) in izvoz goriva v rezervoarjih vozil (tranzitni promet).</w:t>
      </w:r>
    </w:p>
    <w:p w:rsidR="002634C4" w:rsidRPr="002D5D44" w:rsidRDefault="002634C4" w:rsidP="002634C4">
      <w:pPr>
        <w:spacing w:after="0" w:line="240" w:lineRule="auto"/>
        <w:jc w:val="both"/>
        <w:rPr>
          <w:rFonts w:ascii="Arial" w:eastAsia="SimSun" w:hAnsi="Arial" w:cs="Arial"/>
          <w:sz w:val="20"/>
          <w:szCs w:val="20"/>
        </w:rPr>
      </w:pPr>
      <w:r w:rsidRPr="002D5D44">
        <w:rPr>
          <w:rFonts w:ascii="Arial" w:eastAsia="SimSun" w:hAnsi="Arial" w:cs="Arial"/>
          <w:sz w:val="20"/>
          <w:szCs w:val="20"/>
        </w:rPr>
        <w:t xml:space="preserve">Le eden od štirih kazalcev trenutno kaže na uspešno približevanje cilju, in sicer delež železniškega prometa v skupnem tovornem prometu z vsaj eno točko v Sloveniji.                                                                                                                                        </w:t>
      </w:r>
    </w:p>
    <w:p w:rsidR="002634C4" w:rsidRPr="007F02A9" w:rsidRDefault="00D91587" w:rsidP="007F02A9">
      <w:pPr>
        <w:spacing w:after="0" w:line="240" w:lineRule="auto"/>
        <w:jc w:val="both"/>
        <w:rPr>
          <w:rFonts w:ascii="Arial" w:eastAsia="SimSun" w:hAnsi="Arial" w:cs="Arial"/>
          <w:sz w:val="20"/>
          <w:szCs w:val="20"/>
        </w:rPr>
      </w:pPr>
      <w:r w:rsidRPr="002D5D44">
        <w:rPr>
          <w:rFonts w:ascii="Arial" w:eastAsia="SimSun" w:hAnsi="Arial" w:cs="Arial"/>
          <w:sz w:val="20"/>
          <w:szCs w:val="20"/>
        </w:rPr>
        <w:t>Emisije CO</w:t>
      </w:r>
      <w:r w:rsidRPr="002D5D44">
        <w:rPr>
          <w:rFonts w:ascii="Arial" w:eastAsia="SimSun" w:hAnsi="Arial" w:cs="Arial"/>
          <w:sz w:val="20"/>
          <w:szCs w:val="20"/>
          <w:vertAlign w:val="subscript"/>
        </w:rPr>
        <w:t>2</w:t>
      </w:r>
      <w:r w:rsidR="002634C4" w:rsidRPr="002D5D44">
        <w:rPr>
          <w:rFonts w:ascii="Arial" w:eastAsia="SimSun" w:hAnsi="Arial" w:cs="Arial"/>
          <w:sz w:val="20"/>
          <w:szCs w:val="20"/>
        </w:rPr>
        <w:t xml:space="preserve"> na prevožen kilometer vseh vozil</w:t>
      </w:r>
      <w:r w:rsidR="004073CB">
        <w:rPr>
          <w:rFonts w:ascii="Arial" w:eastAsia="SimSun" w:hAnsi="Arial" w:cs="Arial"/>
          <w:sz w:val="20"/>
          <w:szCs w:val="20"/>
        </w:rPr>
        <w:t xml:space="preserve"> se zmanjšujejo počasneje</w:t>
      </w:r>
      <w:r w:rsidR="002634C4" w:rsidRPr="002D5D44">
        <w:rPr>
          <w:rFonts w:ascii="Arial" w:eastAsia="SimSun" w:hAnsi="Arial" w:cs="Arial"/>
          <w:sz w:val="20"/>
          <w:szCs w:val="20"/>
        </w:rPr>
        <w:t xml:space="preserve"> kot bi bilo potrebno za doseganje cilja. V letu 2016 se je delež </w:t>
      </w:r>
      <w:r w:rsidRPr="002D5D44">
        <w:rPr>
          <w:rFonts w:ascii="Arial" w:eastAsia="SimSun" w:hAnsi="Arial" w:cs="Arial"/>
          <w:sz w:val="20"/>
          <w:szCs w:val="20"/>
        </w:rPr>
        <w:t>obnovljivih virov energije (</w:t>
      </w:r>
      <w:r w:rsidR="002634C4" w:rsidRPr="002D5D44">
        <w:rPr>
          <w:rFonts w:ascii="Arial" w:eastAsia="SimSun" w:hAnsi="Arial" w:cs="Arial"/>
          <w:sz w:val="20"/>
          <w:szCs w:val="20"/>
        </w:rPr>
        <w:t>OVE</w:t>
      </w:r>
      <w:r w:rsidRPr="002D5D44">
        <w:rPr>
          <w:rFonts w:ascii="Arial" w:eastAsia="SimSun" w:hAnsi="Arial" w:cs="Arial"/>
          <w:sz w:val="20"/>
          <w:szCs w:val="20"/>
        </w:rPr>
        <w:t>)</w:t>
      </w:r>
      <w:r w:rsidR="002634C4" w:rsidRPr="002D5D44">
        <w:rPr>
          <w:rFonts w:ascii="Arial" w:eastAsia="SimSun" w:hAnsi="Arial" w:cs="Arial"/>
          <w:sz w:val="20"/>
          <w:szCs w:val="20"/>
        </w:rPr>
        <w:t xml:space="preserve"> v prometu zmanjšal in je znašal le 1,6 %. S tem je bil znatno nižji od cilja v OP TGP 2020 in v AN OVE</w:t>
      </w:r>
      <w:r w:rsidR="002634C4" w:rsidRPr="002D5D44">
        <w:rPr>
          <w:rFonts w:ascii="Arial" w:eastAsia="SimSun" w:hAnsi="Arial" w:cs="Arial"/>
          <w:sz w:val="20"/>
          <w:szCs w:val="20"/>
          <w:vertAlign w:val="superscript"/>
        </w:rPr>
        <w:footnoteReference w:id="7"/>
      </w:r>
      <w:r w:rsidR="002634C4" w:rsidRPr="002D5D44">
        <w:rPr>
          <w:rFonts w:ascii="Arial" w:eastAsia="SimSun" w:hAnsi="Arial" w:cs="Arial"/>
          <w:sz w:val="20"/>
          <w:szCs w:val="20"/>
        </w:rPr>
        <w:t>. Število potniških kilometrov v javnem prevozu nadaljuje trend rasti iz leta 2015. Rast je prepočasna za dosego cilja.</w:t>
      </w:r>
    </w:p>
    <w:p w:rsidR="00D91587" w:rsidRPr="002D5D44" w:rsidRDefault="00D91587" w:rsidP="00D91587">
      <w:pPr>
        <w:spacing w:after="0" w:line="240" w:lineRule="auto"/>
        <w:rPr>
          <w:rFonts w:ascii="Arial" w:hAnsi="Arial" w:cs="Arial"/>
          <w:b/>
          <w:sz w:val="20"/>
          <w:szCs w:val="20"/>
          <w:u w:val="single"/>
        </w:rPr>
      </w:pPr>
    </w:p>
    <w:p w:rsidR="002634C4" w:rsidRDefault="002634C4" w:rsidP="002634C4">
      <w:pPr>
        <w:spacing w:after="0" w:line="240" w:lineRule="auto"/>
        <w:rPr>
          <w:rFonts w:ascii="Arial" w:hAnsi="Arial" w:cs="Arial"/>
          <w:b/>
          <w:sz w:val="20"/>
          <w:szCs w:val="20"/>
        </w:rPr>
      </w:pPr>
      <w:r w:rsidRPr="002D5D44">
        <w:rPr>
          <w:rFonts w:ascii="Arial" w:hAnsi="Arial" w:cs="Arial"/>
          <w:b/>
          <w:sz w:val="20"/>
          <w:szCs w:val="20"/>
        </w:rPr>
        <w:t>Kmetijstvo</w:t>
      </w:r>
    </w:p>
    <w:p w:rsidR="009E1F43" w:rsidRPr="002D5D44" w:rsidRDefault="009E1F43" w:rsidP="002634C4">
      <w:pPr>
        <w:spacing w:after="0" w:line="240" w:lineRule="auto"/>
        <w:rPr>
          <w:rFonts w:ascii="Arial" w:hAnsi="Arial" w:cs="Arial"/>
          <w:b/>
          <w:sz w:val="20"/>
          <w:szCs w:val="20"/>
        </w:rPr>
      </w:pPr>
    </w:p>
    <w:p w:rsidR="002634C4" w:rsidRPr="002D5D44" w:rsidRDefault="002634C4" w:rsidP="002634C4">
      <w:pPr>
        <w:spacing w:after="0" w:line="240" w:lineRule="auto"/>
        <w:jc w:val="both"/>
        <w:rPr>
          <w:rFonts w:ascii="Arial" w:hAnsi="Arial" w:cs="Arial"/>
          <w:sz w:val="20"/>
          <w:szCs w:val="20"/>
        </w:rPr>
      </w:pPr>
      <w:r w:rsidRPr="002D5D44">
        <w:rPr>
          <w:rFonts w:ascii="Arial" w:hAnsi="Arial" w:cs="Arial"/>
          <w:sz w:val="20"/>
          <w:szCs w:val="20"/>
        </w:rPr>
        <w:t xml:space="preserve">Sektor kmetijstvo je </w:t>
      </w:r>
      <w:r w:rsidR="00D91587" w:rsidRPr="002D5D44">
        <w:rPr>
          <w:rFonts w:ascii="Arial" w:hAnsi="Arial" w:cs="Arial"/>
          <w:sz w:val="20"/>
          <w:szCs w:val="20"/>
        </w:rPr>
        <w:t xml:space="preserve">med ESD sektorji </w:t>
      </w:r>
      <w:r w:rsidRPr="002D5D44">
        <w:rPr>
          <w:rFonts w:ascii="Arial" w:hAnsi="Arial" w:cs="Arial"/>
          <w:sz w:val="20"/>
          <w:szCs w:val="20"/>
        </w:rPr>
        <w:t xml:space="preserve">drugi največji vir emisij TGP. V letu 2016 je predstavljal </w:t>
      </w:r>
      <w:r w:rsidR="00C656C6">
        <w:rPr>
          <w:rFonts w:ascii="Arial" w:hAnsi="Arial" w:cs="Arial"/>
          <w:sz w:val="20"/>
          <w:szCs w:val="20"/>
        </w:rPr>
        <w:t xml:space="preserve">16-odstotni delež. </w:t>
      </w:r>
      <w:r w:rsidRPr="002D5D44">
        <w:rPr>
          <w:rFonts w:ascii="Arial" w:hAnsi="Arial" w:cs="Arial"/>
          <w:sz w:val="20"/>
          <w:szCs w:val="20"/>
        </w:rPr>
        <w:t>Trend</w:t>
      </w:r>
      <w:r w:rsidR="00C656C6">
        <w:rPr>
          <w:rFonts w:ascii="Arial" w:hAnsi="Arial" w:cs="Arial"/>
          <w:sz w:val="20"/>
          <w:szCs w:val="20"/>
        </w:rPr>
        <w:t xml:space="preserve"> emisij</w:t>
      </w:r>
      <w:r w:rsidRPr="002D5D44">
        <w:rPr>
          <w:rFonts w:ascii="Arial" w:hAnsi="Arial" w:cs="Arial"/>
          <w:sz w:val="20"/>
          <w:szCs w:val="20"/>
        </w:rPr>
        <w:t xml:space="preserve"> </w:t>
      </w:r>
      <w:r w:rsidR="0098120C" w:rsidRPr="002D5D44">
        <w:rPr>
          <w:rFonts w:ascii="Arial" w:hAnsi="Arial" w:cs="Arial"/>
          <w:sz w:val="20"/>
          <w:szCs w:val="20"/>
        </w:rPr>
        <w:t>nekoliko niha, p</w:t>
      </w:r>
      <w:r w:rsidRPr="002D5D44">
        <w:rPr>
          <w:rFonts w:ascii="Arial" w:hAnsi="Arial" w:cs="Arial"/>
          <w:sz w:val="20"/>
          <w:szCs w:val="20"/>
        </w:rPr>
        <w:t xml:space="preserve">o nižanju v obdobju 2005–2013 so se količine v naslednjih letih nekoliko povečale, tako do so bile leta 2016 znova na ravni iz leta 2005. </w:t>
      </w:r>
    </w:p>
    <w:p w:rsidR="002634C4" w:rsidRPr="002D5D44" w:rsidRDefault="002634C4" w:rsidP="002634C4">
      <w:pPr>
        <w:spacing w:after="0" w:line="240" w:lineRule="auto"/>
        <w:jc w:val="both"/>
        <w:rPr>
          <w:rFonts w:ascii="Arial" w:hAnsi="Arial" w:cs="Arial"/>
          <w:sz w:val="20"/>
          <w:szCs w:val="20"/>
        </w:rPr>
      </w:pPr>
      <w:r w:rsidRPr="002D5D44">
        <w:rPr>
          <w:rFonts w:ascii="Arial" w:hAnsi="Arial" w:cs="Arial"/>
          <w:sz w:val="20"/>
          <w:szCs w:val="20"/>
        </w:rPr>
        <w:t xml:space="preserve">Še vedno večino k emisijam TGP iz tega sektorja prispevajo emisije metana (okrog 70 %), sledijo emisije </w:t>
      </w:r>
      <w:proofErr w:type="spellStart"/>
      <w:r w:rsidRPr="002D5D44">
        <w:rPr>
          <w:rFonts w:ascii="Arial" w:hAnsi="Arial" w:cs="Arial"/>
          <w:sz w:val="20"/>
          <w:szCs w:val="20"/>
        </w:rPr>
        <w:t>didušikovega</w:t>
      </w:r>
      <w:proofErr w:type="spellEnd"/>
      <w:r w:rsidRPr="002D5D44">
        <w:rPr>
          <w:rFonts w:ascii="Arial" w:hAnsi="Arial" w:cs="Arial"/>
          <w:sz w:val="20"/>
          <w:szCs w:val="20"/>
        </w:rPr>
        <w:t xml:space="preserve"> oksida (okrog 30 %). </w:t>
      </w:r>
      <w:r w:rsidR="005A7606">
        <w:rPr>
          <w:rFonts w:ascii="Arial" w:hAnsi="Arial" w:cs="Arial"/>
          <w:sz w:val="20"/>
          <w:szCs w:val="20"/>
        </w:rPr>
        <w:t>Glavni vir je živinoreja (več kot 70 %).</w:t>
      </w:r>
    </w:p>
    <w:p w:rsidR="002634C4" w:rsidRPr="002D5D44" w:rsidRDefault="002634C4" w:rsidP="002634C4">
      <w:pPr>
        <w:spacing w:after="0" w:line="240" w:lineRule="auto"/>
        <w:jc w:val="both"/>
        <w:rPr>
          <w:rFonts w:ascii="Arial" w:hAnsi="Arial" w:cs="Arial"/>
          <w:sz w:val="20"/>
          <w:szCs w:val="20"/>
          <w:u w:val="single"/>
        </w:rPr>
      </w:pPr>
    </w:p>
    <w:p w:rsidR="002634C4" w:rsidRPr="002D5D44" w:rsidRDefault="002634C4" w:rsidP="002634C4">
      <w:pPr>
        <w:spacing w:after="0" w:line="240" w:lineRule="auto"/>
        <w:jc w:val="both"/>
        <w:rPr>
          <w:rFonts w:ascii="Arial" w:hAnsi="Arial" w:cs="Arial"/>
          <w:sz w:val="20"/>
          <w:szCs w:val="20"/>
        </w:rPr>
      </w:pPr>
      <w:r w:rsidRPr="002D5D44">
        <w:rPr>
          <w:rFonts w:ascii="Arial" w:hAnsi="Arial" w:cs="Arial"/>
          <w:sz w:val="20"/>
          <w:szCs w:val="20"/>
        </w:rPr>
        <w:t>Sektorski cilj iz OP TGP 2020 je obvladovati povečevanje emisije TGP do leta 2020 v obsegu do 5 %</w:t>
      </w:r>
      <w:r w:rsidR="005E65D4">
        <w:rPr>
          <w:rFonts w:ascii="Arial" w:hAnsi="Arial" w:cs="Arial"/>
          <w:sz w:val="20"/>
          <w:szCs w:val="20"/>
        </w:rPr>
        <w:t xml:space="preserve"> glede na leto 2005</w:t>
      </w:r>
      <w:r w:rsidRPr="002D5D44">
        <w:rPr>
          <w:rFonts w:ascii="Arial" w:hAnsi="Arial" w:cs="Arial"/>
          <w:sz w:val="20"/>
          <w:szCs w:val="20"/>
        </w:rPr>
        <w:t>, ob hkratnem povečevanju stopnje prehranske samooskrbe.</w:t>
      </w:r>
    </w:p>
    <w:p w:rsidR="002634C4" w:rsidRPr="002D5D44" w:rsidRDefault="002634C4" w:rsidP="002634C4">
      <w:pPr>
        <w:spacing w:after="0" w:line="240" w:lineRule="auto"/>
        <w:jc w:val="both"/>
        <w:rPr>
          <w:rFonts w:ascii="Arial" w:hAnsi="Arial" w:cs="Arial"/>
          <w:sz w:val="20"/>
          <w:szCs w:val="20"/>
        </w:rPr>
      </w:pPr>
      <w:r w:rsidRPr="002D5D44">
        <w:rPr>
          <w:rFonts w:ascii="Arial" w:hAnsi="Arial" w:cs="Arial"/>
          <w:sz w:val="20"/>
          <w:szCs w:val="20"/>
        </w:rPr>
        <w:t xml:space="preserve">Gibanje emisij iz sektorja kmetijstvo </w:t>
      </w:r>
      <w:proofErr w:type="spellStart"/>
      <w:r w:rsidRPr="002D5D44">
        <w:rPr>
          <w:rFonts w:ascii="Arial" w:hAnsi="Arial" w:cs="Arial"/>
          <w:sz w:val="20"/>
          <w:szCs w:val="20"/>
        </w:rPr>
        <w:t>zaenkrat</w:t>
      </w:r>
      <w:proofErr w:type="spellEnd"/>
      <w:r w:rsidRPr="002D5D44">
        <w:rPr>
          <w:rFonts w:ascii="Arial" w:hAnsi="Arial" w:cs="Arial"/>
          <w:sz w:val="20"/>
          <w:szCs w:val="20"/>
        </w:rPr>
        <w:t xml:space="preserve"> ostaja skladno z zastavljenim ciljem. </w:t>
      </w:r>
      <w:r w:rsidR="0098120C" w:rsidRPr="002D5D44">
        <w:rPr>
          <w:rFonts w:ascii="Arial" w:hAnsi="Arial" w:cs="Arial"/>
          <w:sz w:val="20"/>
          <w:szCs w:val="20"/>
        </w:rPr>
        <w:t xml:space="preserve">Stopnja prehranske samooskrbe pa se po letih razlikuje, tudi zaradi spremenljivih </w:t>
      </w:r>
      <w:r w:rsidR="00D91587" w:rsidRPr="002D5D44">
        <w:rPr>
          <w:rFonts w:ascii="Arial" w:hAnsi="Arial" w:cs="Arial"/>
          <w:sz w:val="20"/>
          <w:szCs w:val="20"/>
        </w:rPr>
        <w:t xml:space="preserve">vremenskih razmer. </w:t>
      </w:r>
      <w:r w:rsidR="005F459E" w:rsidRPr="002D5D44">
        <w:rPr>
          <w:rFonts w:ascii="Arial" w:hAnsi="Arial" w:cs="Arial"/>
          <w:sz w:val="20"/>
          <w:szCs w:val="20"/>
        </w:rPr>
        <w:t xml:space="preserve">Leta 2016 je bila </w:t>
      </w:r>
      <w:r w:rsidR="005E65D4">
        <w:rPr>
          <w:rFonts w:ascii="Arial" w:hAnsi="Arial" w:cs="Arial"/>
          <w:sz w:val="20"/>
          <w:szCs w:val="20"/>
        </w:rPr>
        <w:t xml:space="preserve">kot običajno </w:t>
      </w:r>
      <w:r w:rsidR="005F459E" w:rsidRPr="002D5D44">
        <w:rPr>
          <w:rFonts w:ascii="Arial" w:hAnsi="Arial" w:cs="Arial"/>
          <w:sz w:val="20"/>
          <w:szCs w:val="20"/>
        </w:rPr>
        <w:t>n</w:t>
      </w:r>
      <w:r w:rsidR="0063796F" w:rsidRPr="002D5D44">
        <w:rPr>
          <w:rFonts w:ascii="Arial" w:hAnsi="Arial" w:cs="Arial"/>
          <w:sz w:val="20"/>
          <w:szCs w:val="20"/>
        </w:rPr>
        <w:t xml:space="preserve">ajvišja pri </w:t>
      </w:r>
      <w:r w:rsidR="005F459E" w:rsidRPr="002D5D44">
        <w:rPr>
          <w:rFonts w:ascii="Arial" w:hAnsi="Arial" w:cs="Arial"/>
          <w:sz w:val="20"/>
          <w:szCs w:val="20"/>
        </w:rPr>
        <w:t>jajcih (</w:t>
      </w:r>
      <w:r w:rsidR="000B5888" w:rsidRPr="002D5D44">
        <w:rPr>
          <w:rFonts w:ascii="Arial" w:hAnsi="Arial" w:cs="Arial"/>
          <w:sz w:val="20"/>
          <w:szCs w:val="20"/>
        </w:rPr>
        <w:t xml:space="preserve">nad 90 %) </w:t>
      </w:r>
      <w:r w:rsidR="0063796F" w:rsidRPr="002D5D44">
        <w:rPr>
          <w:rFonts w:ascii="Arial" w:hAnsi="Arial" w:cs="Arial"/>
          <w:sz w:val="20"/>
          <w:szCs w:val="20"/>
        </w:rPr>
        <w:t>mesu in žitih (okrog 75 %)</w:t>
      </w:r>
      <w:r w:rsidR="000B5888" w:rsidRPr="002D5D44">
        <w:rPr>
          <w:rFonts w:ascii="Arial" w:hAnsi="Arial" w:cs="Arial"/>
          <w:sz w:val="20"/>
          <w:szCs w:val="20"/>
        </w:rPr>
        <w:t xml:space="preserve">, manjša pa pri krompirju (55 %), svežem sadju (44 %) in zelenjavi (42 %). </w:t>
      </w:r>
      <w:r w:rsidR="00D91587" w:rsidRPr="002D5D44">
        <w:rPr>
          <w:rFonts w:ascii="Arial" w:hAnsi="Arial" w:cs="Arial"/>
          <w:sz w:val="20"/>
          <w:szCs w:val="20"/>
        </w:rPr>
        <w:t>Po</w:t>
      </w:r>
      <w:r w:rsidRPr="002D5D44">
        <w:rPr>
          <w:rFonts w:ascii="Arial" w:hAnsi="Arial" w:cs="Arial"/>
          <w:sz w:val="20"/>
          <w:szCs w:val="20"/>
        </w:rPr>
        <w:t xml:space="preserve"> nekaterih glavnih vrstah kmetijskih proizvodov se je leta 2016 v </w:t>
      </w:r>
      <w:r w:rsidRPr="00523969">
        <w:rPr>
          <w:rFonts w:ascii="Arial" w:hAnsi="Arial" w:cs="Arial"/>
          <w:sz w:val="20"/>
          <w:szCs w:val="20"/>
        </w:rPr>
        <w:t>primerjavi z letom 2015 povečala</w:t>
      </w:r>
      <w:r w:rsidR="000B5888" w:rsidRPr="00523969">
        <w:rPr>
          <w:rFonts w:ascii="Arial" w:hAnsi="Arial" w:cs="Arial"/>
          <w:sz w:val="20"/>
          <w:szCs w:val="20"/>
        </w:rPr>
        <w:t>. P</w:t>
      </w:r>
      <w:r w:rsidRPr="00523969">
        <w:rPr>
          <w:rFonts w:ascii="Arial" w:hAnsi="Arial" w:cs="Arial"/>
          <w:sz w:val="20"/>
          <w:szCs w:val="20"/>
        </w:rPr>
        <w:t xml:space="preserve">ri mesu za </w:t>
      </w:r>
      <w:r w:rsidR="00F227F0" w:rsidRPr="00523969">
        <w:rPr>
          <w:rFonts w:ascii="Arial" w:hAnsi="Arial" w:cs="Arial"/>
          <w:sz w:val="20"/>
          <w:szCs w:val="20"/>
        </w:rPr>
        <w:t xml:space="preserve">skoraj </w:t>
      </w:r>
      <w:r w:rsidRPr="00523969">
        <w:rPr>
          <w:rFonts w:ascii="Arial" w:hAnsi="Arial" w:cs="Arial"/>
          <w:sz w:val="20"/>
          <w:szCs w:val="20"/>
        </w:rPr>
        <w:t>3</w:t>
      </w:r>
      <w:r w:rsidR="007751E5" w:rsidRPr="00523969">
        <w:rPr>
          <w:rFonts w:ascii="Arial" w:hAnsi="Arial" w:cs="Arial"/>
          <w:sz w:val="20"/>
          <w:szCs w:val="20"/>
        </w:rPr>
        <w:t xml:space="preserve"> </w:t>
      </w:r>
      <w:r w:rsidR="005E65D4" w:rsidRPr="00523969">
        <w:rPr>
          <w:rFonts w:ascii="Arial" w:hAnsi="Arial" w:cs="Arial"/>
          <w:sz w:val="20"/>
          <w:szCs w:val="20"/>
        </w:rPr>
        <w:t>odstotne točke</w:t>
      </w:r>
      <w:r w:rsidR="007751E5" w:rsidRPr="00523969">
        <w:rPr>
          <w:rFonts w:ascii="Arial" w:hAnsi="Arial" w:cs="Arial"/>
          <w:sz w:val="20"/>
          <w:szCs w:val="20"/>
        </w:rPr>
        <w:t xml:space="preserve">, pri žitih, </w:t>
      </w:r>
      <w:r w:rsidR="0063796F" w:rsidRPr="00523969">
        <w:rPr>
          <w:rFonts w:ascii="Arial" w:hAnsi="Arial" w:cs="Arial"/>
          <w:sz w:val="20"/>
          <w:szCs w:val="20"/>
        </w:rPr>
        <w:t>zelenjavi</w:t>
      </w:r>
      <w:r w:rsidR="007751E5" w:rsidRPr="00523969">
        <w:rPr>
          <w:rFonts w:ascii="Arial" w:hAnsi="Arial" w:cs="Arial"/>
          <w:sz w:val="20"/>
          <w:szCs w:val="20"/>
        </w:rPr>
        <w:t xml:space="preserve"> in jajcih</w:t>
      </w:r>
      <w:r w:rsidRPr="00523969">
        <w:rPr>
          <w:rFonts w:ascii="Arial" w:hAnsi="Arial" w:cs="Arial"/>
          <w:sz w:val="20"/>
          <w:szCs w:val="20"/>
        </w:rPr>
        <w:t xml:space="preserve"> za okrog 2 </w:t>
      </w:r>
      <w:r w:rsidR="005E65D4" w:rsidRPr="00523969">
        <w:rPr>
          <w:rFonts w:ascii="Arial" w:hAnsi="Arial" w:cs="Arial"/>
          <w:sz w:val="20"/>
          <w:szCs w:val="20"/>
        </w:rPr>
        <w:t>odstotni točki</w:t>
      </w:r>
      <w:r w:rsidR="007751E5" w:rsidRPr="00523969">
        <w:rPr>
          <w:rFonts w:ascii="Arial" w:hAnsi="Arial" w:cs="Arial"/>
          <w:sz w:val="20"/>
          <w:szCs w:val="20"/>
        </w:rPr>
        <w:t xml:space="preserve">. </w:t>
      </w:r>
      <w:r w:rsidRPr="00523969">
        <w:rPr>
          <w:rFonts w:ascii="Arial" w:hAnsi="Arial" w:cs="Arial"/>
          <w:sz w:val="20"/>
          <w:szCs w:val="20"/>
        </w:rPr>
        <w:t>Zmanj</w:t>
      </w:r>
      <w:r w:rsidR="0063796F" w:rsidRPr="00523969">
        <w:rPr>
          <w:rFonts w:ascii="Arial" w:hAnsi="Arial" w:cs="Arial"/>
          <w:sz w:val="20"/>
          <w:szCs w:val="20"/>
        </w:rPr>
        <w:t>šala se je pri sadju za okrog 17</w:t>
      </w:r>
      <w:r w:rsidRPr="00523969">
        <w:rPr>
          <w:rFonts w:ascii="Arial" w:hAnsi="Arial" w:cs="Arial"/>
          <w:sz w:val="20"/>
          <w:szCs w:val="20"/>
        </w:rPr>
        <w:t xml:space="preserve"> </w:t>
      </w:r>
      <w:r w:rsidR="005E65D4" w:rsidRPr="00523969">
        <w:rPr>
          <w:rFonts w:ascii="Arial" w:hAnsi="Arial" w:cs="Arial"/>
          <w:sz w:val="20"/>
          <w:szCs w:val="20"/>
        </w:rPr>
        <w:t>odstotnih točk</w:t>
      </w:r>
      <w:r w:rsidRPr="00523969">
        <w:rPr>
          <w:rFonts w:ascii="Arial" w:hAnsi="Arial" w:cs="Arial"/>
          <w:sz w:val="20"/>
          <w:szCs w:val="20"/>
        </w:rPr>
        <w:t xml:space="preserve"> in krompirju za 4 </w:t>
      </w:r>
      <w:r w:rsidR="00523969" w:rsidRPr="00523969">
        <w:rPr>
          <w:rFonts w:ascii="Arial" w:hAnsi="Arial" w:cs="Arial"/>
          <w:sz w:val="20"/>
          <w:szCs w:val="20"/>
        </w:rPr>
        <w:t xml:space="preserve">odstotne </w:t>
      </w:r>
      <w:r w:rsidR="005E65D4" w:rsidRPr="00523969">
        <w:rPr>
          <w:rFonts w:ascii="Arial" w:hAnsi="Arial" w:cs="Arial"/>
          <w:sz w:val="20"/>
          <w:szCs w:val="20"/>
        </w:rPr>
        <w:t>točk</w:t>
      </w:r>
      <w:r w:rsidR="00523969" w:rsidRPr="00523969">
        <w:rPr>
          <w:rFonts w:ascii="Arial" w:hAnsi="Arial" w:cs="Arial"/>
          <w:sz w:val="20"/>
          <w:szCs w:val="20"/>
        </w:rPr>
        <w:t>e</w:t>
      </w:r>
      <w:r w:rsidRPr="00523969">
        <w:rPr>
          <w:rStyle w:val="Sprotnaopomba-sklic"/>
          <w:rFonts w:ascii="Arial" w:hAnsi="Arial" w:cs="Arial"/>
          <w:sz w:val="20"/>
          <w:szCs w:val="20"/>
        </w:rPr>
        <w:footnoteReference w:id="8"/>
      </w:r>
      <w:r w:rsidRPr="00523969">
        <w:rPr>
          <w:rFonts w:ascii="Arial" w:hAnsi="Arial" w:cs="Arial"/>
          <w:sz w:val="20"/>
          <w:szCs w:val="20"/>
        </w:rPr>
        <w:t>.</w:t>
      </w:r>
      <w:r w:rsidRPr="002D5D44">
        <w:rPr>
          <w:rFonts w:ascii="Arial" w:hAnsi="Arial" w:cs="Arial"/>
          <w:sz w:val="20"/>
          <w:szCs w:val="20"/>
        </w:rPr>
        <w:t xml:space="preserve">    </w:t>
      </w:r>
    </w:p>
    <w:p w:rsidR="002634C4" w:rsidRPr="002D5D44" w:rsidRDefault="002634C4" w:rsidP="002634C4">
      <w:pPr>
        <w:spacing w:after="0" w:line="240" w:lineRule="auto"/>
        <w:jc w:val="both"/>
        <w:rPr>
          <w:rFonts w:ascii="Arial" w:hAnsi="Arial" w:cs="Arial"/>
          <w:sz w:val="20"/>
          <w:szCs w:val="20"/>
        </w:rPr>
      </w:pPr>
    </w:p>
    <w:p w:rsidR="002634C4" w:rsidRDefault="002634C4" w:rsidP="002634C4">
      <w:pPr>
        <w:spacing w:after="0" w:line="240" w:lineRule="auto"/>
        <w:rPr>
          <w:rFonts w:ascii="Arial" w:hAnsi="Arial" w:cs="Arial"/>
          <w:b/>
          <w:sz w:val="20"/>
          <w:szCs w:val="20"/>
        </w:rPr>
      </w:pPr>
      <w:r w:rsidRPr="002D5D44">
        <w:rPr>
          <w:rFonts w:ascii="Arial" w:hAnsi="Arial" w:cs="Arial"/>
          <w:b/>
          <w:sz w:val="20"/>
          <w:szCs w:val="20"/>
        </w:rPr>
        <w:t>Industrija ne-ETS</w:t>
      </w:r>
    </w:p>
    <w:p w:rsidR="009E1F43" w:rsidRPr="002D5D44" w:rsidRDefault="009E1F43" w:rsidP="002634C4">
      <w:pPr>
        <w:spacing w:after="0" w:line="240" w:lineRule="auto"/>
        <w:rPr>
          <w:rFonts w:ascii="Arial" w:hAnsi="Arial" w:cs="Arial"/>
          <w:b/>
          <w:sz w:val="20"/>
          <w:szCs w:val="20"/>
        </w:rPr>
      </w:pPr>
    </w:p>
    <w:p w:rsidR="002634C4" w:rsidRPr="002D5D44" w:rsidRDefault="002634C4" w:rsidP="002634C4">
      <w:pPr>
        <w:spacing w:after="0" w:line="240" w:lineRule="auto"/>
        <w:jc w:val="both"/>
        <w:rPr>
          <w:rFonts w:ascii="Arial" w:eastAsia="SimSun" w:hAnsi="Arial" w:cs="Arial"/>
          <w:sz w:val="20"/>
          <w:szCs w:val="20"/>
        </w:rPr>
      </w:pPr>
      <w:r w:rsidRPr="002D5D44">
        <w:rPr>
          <w:rFonts w:ascii="Arial" w:eastAsia="SimSun" w:hAnsi="Arial" w:cs="Arial"/>
          <w:sz w:val="20"/>
          <w:szCs w:val="20"/>
        </w:rPr>
        <w:t>Leta 2016 so emisije iz zgorevanja goriv v industriji in gradbeništvu ter procesne emisije pre</w:t>
      </w:r>
      <w:r w:rsidR="00D91587" w:rsidRPr="002D5D44">
        <w:rPr>
          <w:rFonts w:ascii="Arial" w:eastAsia="SimSun" w:hAnsi="Arial" w:cs="Arial"/>
          <w:sz w:val="20"/>
          <w:szCs w:val="20"/>
        </w:rPr>
        <w:t xml:space="preserve">dstavljale skupaj  </w:t>
      </w:r>
      <w:r w:rsidR="00C656C6">
        <w:rPr>
          <w:rFonts w:ascii="Arial" w:eastAsia="SimSun" w:hAnsi="Arial" w:cs="Arial"/>
          <w:sz w:val="20"/>
          <w:szCs w:val="20"/>
        </w:rPr>
        <w:t>10</w:t>
      </w:r>
      <w:r w:rsidR="00D91587" w:rsidRPr="002D5D44">
        <w:rPr>
          <w:rFonts w:ascii="Arial" w:eastAsia="SimSun" w:hAnsi="Arial" w:cs="Arial"/>
          <w:sz w:val="20"/>
          <w:szCs w:val="20"/>
        </w:rPr>
        <w:t> % emisij</w:t>
      </w:r>
      <w:r w:rsidRPr="002D5D44">
        <w:rPr>
          <w:rFonts w:ascii="Arial" w:eastAsia="SimSun" w:hAnsi="Arial" w:cs="Arial"/>
          <w:sz w:val="20"/>
          <w:szCs w:val="20"/>
        </w:rPr>
        <w:t xml:space="preserve"> ESD sektorjev. Emisije so </w:t>
      </w:r>
      <w:r w:rsidR="00B1318F">
        <w:rPr>
          <w:rFonts w:ascii="Arial" w:eastAsia="SimSun" w:hAnsi="Arial" w:cs="Arial"/>
          <w:sz w:val="20"/>
          <w:szCs w:val="20"/>
        </w:rPr>
        <w:t>v primerjavi z letom 2015</w:t>
      </w:r>
      <w:r w:rsidRPr="002D5D44">
        <w:rPr>
          <w:rFonts w:ascii="Arial" w:eastAsia="SimSun" w:hAnsi="Arial" w:cs="Arial"/>
          <w:sz w:val="20"/>
          <w:szCs w:val="20"/>
        </w:rPr>
        <w:t xml:space="preserve"> stagni</w:t>
      </w:r>
      <w:r w:rsidR="00B1318F">
        <w:rPr>
          <w:rFonts w:ascii="Arial" w:eastAsia="SimSun" w:hAnsi="Arial" w:cs="Arial"/>
          <w:sz w:val="20"/>
          <w:szCs w:val="20"/>
        </w:rPr>
        <w:t>rale, od leta 2005 do leta 2016</w:t>
      </w:r>
      <w:r w:rsidRPr="002D5D44">
        <w:rPr>
          <w:rFonts w:ascii="Arial" w:eastAsia="SimSun" w:hAnsi="Arial" w:cs="Arial"/>
          <w:sz w:val="20"/>
          <w:szCs w:val="20"/>
        </w:rPr>
        <w:t xml:space="preserve"> pa so se zmanjšale za skoraj 29 %.</w:t>
      </w:r>
    </w:p>
    <w:p w:rsidR="002634C4" w:rsidRPr="002D5D44" w:rsidRDefault="002634C4" w:rsidP="002634C4">
      <w:pPr>
        <w:spacing w:after="0" w:line="240" w:lineRule="auto"/>
        <w:jc w:val="both"/>
        <w:rPr>
          <w:rFonts w:ascii="Arial" w:eastAsia="SimSun" w:hAnsi="Arial" w:cs="Arial"/>
          <w:sz w:val="20"/>
          <w:szCs w:val="20"/>
        </w:rPr>
      </w:pPr>
    </w:p>
    <w:p w:rsidR="002634C4" w:rsidRPr="002D5D44" w:rsidRDefault="002634C4" w:rsidP="002634C4">
      <w:pPr>
        <w:spacing w:after="0" w:line="240" w:lineRule="auto"/>
        <w:jc w:val="both"/>
        <w:rPr>
          <w:rFonts w:ascii="Arial" w:eastAsia="SimSun" w:hAnsi="Arial" w:cs="Arial"/>
          <w:sz w:val="20"/>
          <w:szCs w:val="20"/>
        </w:rPr>
      </w:pPr>
      <w:r w:rsidRPr="002D5D44">
        <w:rPr>
          <w:rFonts w:ascii="Arial" w:eastAsia="SimSun" w:hAnsi="Arial" w:cs="Arial"/>
          <w:sz w:val="20"/>
          <w:szCs w:val="20"/>
        </w:rPr>
        <w:t xml:space="preserve">Indikativni sektorski cilj je z ukrepi za prehod v konkurenčno </w:t>
      </w:r>
      <w:proofErr w:type="spellStart"/>
      <w:r w:rsidRPr="002D5D44">
        <w:rPr>
          <w:rFonts w:ascii="Arial" w:eastAsia="SimSun" w:hAnsi="Arial" w:cs="Arial"/>
          <w:sz w:val="20"/>
          <w:szCs w:val="20"/>
        </w:rPr>
        <w:t>nizkoogljično</w:t>
      </w:r>
      <w:proofErr w:type="spellEnd"/>
      <w:r w:rsidRPr="002D5D44">
        <w:rPr>
          <w:rFonts w:ascii="Arial" w:eastAsia="SimSun" w:hAnsi="Arial" w:cs="Arial"/>
          <w:sz w:val="20"/>
          <w:szCs w:val="20"/>
        </w:rPr>
        <w:t xml:space="preserve"> </w:t>
      </w:r>
      <w:r w:rsidR="00D91587" w:rsidRPr="002D5D44">
        <w:rPr>
          <w:rFonts w:ascii="Arial" w:eastAsia="SimSun" w:hAnsi="Arial" w:cs="Arial"/>
          <w:sz w:val="20"/>
          <w:szCs w:val="20"/>
        </w:rPr>
        <w:t>proizvodnjo zagotoviti zmanjšanje</w:t>
      </w:r>
      <w:r w:rsidRPr="002D5D44">
        <w:rPr>
          <w:rFonts w:ascii="Arial" w:eastAsia="SimSun" w:hAnsi="Arial" w:cs="Arial"/>
          <w:sz w:val="20"/>
          <w:szCs w:val="20"/>
        </w:rPr>
        <w:t xml:space="preserve"> emisije TGP do leta 2020 za 42 % glede na leto 2005. Vrednosti kazalnika o emisijah TGP iz tega sektorja v zadnjih dveh letih so še vedno v okviru letnih ciljev, vendar trend nakazuje na oddaljevanje od zastavljenega cilja v letu 2020. </w:t>
      </w:r>
    </w:p>
    <w:p w:rsidR="002634C4" w:rsidRPr="002D5D44" w:rsidRDefault="002634C4" w:rsidP="002634C4">
      <w:pPr>
        <w:spacing w:after="0" w:line="240" w:lineRule="auto"/>
        <w:jc w:val="both"/>
        <w:rPr>
          <w:rFonts w:ascii="Arial" w:eastAsia="SimSun" w:hAnsi="Arial" w:cs="Arial"/>
          <w:sz w:val="20"/>
          <w:szCs w:val="20"/>
        </w:rPr>
      </w:pPr>
    </w:p>
    <w:p w:rsidR="002634C4" w:rsidRDefault="002634C4" w:rsidP="002634C4">
      <w:pPr>
        <w:spacing w:after="0" w:line="240" w:lineRule="auto"/>
        <w:jc w:val="both"/>
        <w:rPr>
          <w:rFonts w:ascii="Arial" w:hAnsi="Arial" w:cs="Arial"/>
          <w:b/>
          <w:sz w:val="20"/>
          <w:szCs w:val="20"/>
        </w:rPr>
      </w:pPr>
      <w:r w:rsidRPr="002D5D44">
        <w:rPr>
          <w:rFonts w:ascii="Arial" w:hAnsi="Arial" w:cs="Arial"/>
          <w:b/>
          <w:sz w:val="20"/>
          <w:szCs w:val="20"/>
        </w:rPr>
        <w:t>Odpadki</w:t>
      </w:r>
    </w:p>
    <w:p w:rsidR="009E1F43" w:rsidRPr="002D5D44" w:rsidRDefault="009E1F43" w:rsidP="002634C4">
      <w:pPr>
        <w:spacing w:after="0" w:line="240" w:lineRule="auto"/>
        <w:jc w:val="both"/>
        <w:rPr>
          <w:rFonts w:ascii="Arial" w:hAnsi="Arial" w:cs="Arial"/>
          <w:b/>
          <w:sz w:val="20"/>
          <w:szCs w:val="20"/>
        </w:rPr>
      </w:pPr>
    </w:p>
    <w:p w:rsidR="002634C4" w:rsidRPr="002D5D44" w:rsidRDefault="002634C4" w:rsidP="003E101D">
      <w:pPr>
        <w:spacing w:after="0" w:line="240" w:lineRule="auto"/>
        <w:jc w:val="both"/>
        <w:rPr>
          <w:rFonts w:ascii="Arial" w:hAnsi="Arial" w:cs="Arial"/>
          <w:sz w:val="20"/>
          <w:szCs w:val="20"/>
        </w:rPr>
      </w:pPr>
      <w:r w:rsidRPr="002D5D44">
        <w:rPr>
          <w:rFonts w:ascii="Arial" w:hAnsi="Arial" w:cs="Arial"/>
          <w:sz w:val="20"/>
          <w:szCs w:val="20"/>
        </w:rPr>
        <w:t xml:space="preserve">Emisije TGP iz </w:t>
      </w:r>
      <w:r w:rsidR="00B1318F">
        <w:rPr>
          <w:rFonts w:ascii="Arial" w:hAnsi="Arial" w:cs="Arial"/>
          <w:sz w:val="20"/>
          <w:szCs w:val="20"/>
        </w:rPr>
        <w:t>ravnanja z</w:t>
      </w:r>
      <w:r w:rsidRPr="002D5D44">
        <w:rPr>
          <w:rFonts w:ascii="Arial" w:hAnsi="Arial" w:cs="Arial"/>
          <w:sz w:val="20"/>
          <w:szCs w:val="20"/>
        </w:rPr>
        <w:t xml:space="preserve"> odpadki so l</w:t>
      </w:r>
      <w:r w:rsidR="001A7BF6">
        <w:rPr>
          <w:rFonts w:ascii="Arial" w:hAnsi="Arial" w:cs="Arial"/>
          <w:sz w:val="20"/>
          <w:szCs w:val="20"/>
        </w:rPr>
        <w:t>eta 2016 predstavljale 5</w:t>
      </w:r>
      <w:r w:rsidR="00BB411C">
        <w:rPr>
          <w:rFonts w:ascii="Arial" w:hAnsi="Arial" w:cs="Arial"/>
          <w:sz w:val="20"/>
          <w:szCs w:val="20"/>
        </w:rPr>
        <w:t xml:space="preserve"> %</w:t>
      </w:r>
      <w:r w:rsidRPr="002D5D44">
        <w:rPr>
          <w:rFonts w:ascii="Arial" w:hAnsi="Arial" w:cs="Arial"/>
          <w:sz w:val="20"/>
          <w:szCs w:val="20"/>
        </w:rPr>
        <w:t xml:space="preserve"> emisij</w:t>
      </w:r>
      <w:r w:rsidR="00BB411C">
        <w:rPr>
          <w:rFonts w:ascii="Arial" w:hAnsi="Arial" w:cs="Arial"/>
          <w:sz w:val="20"/>
          <w:szCs w:val="20"/>
        </w:rPr>
        <w:t xml:space="preserve"> ESD sektorjev</w:t>
      </w:r>
      <w:r w:rsidRPr="002D5D44">
        <w:rPr>
          <w:rFonts w:ascii="Arial" w:hAnsi="Arial" w:cs="Arial"/>
          <w:sz w:val="20"/>
          <w:szCs w:val="20"/>
        </w:rPr>
        <w:t xml:space="preserve">. V primerjavi s preteklim letom so se zmanjšale za en odstotek. Veliko večino emisij TGP iz sektorja odpadki predstavljajo emisije metana.  </w:t>
      </w:r>
    </w:p>
    <w:p w:rsidR="002634C4" w:rsidRPr="002D5D44" w:rsidRDefault="002634C4" w:rsidP="002634C4">
      <w:pPr>
        <w:spacing w:after="0" w:line="240" w:lineRule="auto"/>
        <w:jc w:val="both"/>
        <w:rPr>
          <w:rFonts w:ascii="Arial" w:hAnsi="Arial" w:cs="Arial"/>
          <w:sz w:val="20"/>
          <w:szCs w:val="20"/>
          <w:u w:val="single"/>
        </w:rPr>
      </w:pPr>
    </w:p>
    <w:p w:rsidR="002634C4" w:rsidRPr="002D5D44" w:rsidRDefault="002634C4" w:rsidP="00D91587">
      <w:pPr>
        <w:spacing w:after="0" w:line="240" w:lineRule="auto"/>
        <w:jc w:val="both"/>
        <w:rPr>
          <w:rFonts w:ascii="Arial" w:hAnsi="Arial" w:cs="Arial"/>
          <w:sz w:val="20"/>
          <w:szCs w:val="20"/>
        </w:rPr>
      </w:pPr>
      <w:r w:rsidRPr="002D5D44">
        <w:rPr>
          <w:rFonts w:ascii="Arial" w:hAnsi="Arial" w:cs="Arial"/>
          <w:sz w:val="20"/>
          <w:szCs w:val="20"/>
        </w:rPr>
        <w:t>Cilj do leta 2020 je zmanjšati emisije TGP iz odpadkov za 44 % glede na leto 2005. Do leta 2014 so se emisije TGP zmanjševale skladno z indikativnim začrtanim potekom (trajektorijo) do le</w:t>
      </w:r>
      <w:r w:rsidR="006A0501">
        <w:rPr>
          <w:rFonts w:ascii="Arial" w:hAnsi="Arial" w:cs="Arial"/>
          <w:sz w:val="20"/>
          <w:szCs w:val="20"/>
        </w:rPr>
        <w:t>ta 2020. Leta 2016 so bile za 31</w:t>
      </w:r>
      <w:r w:rsidRPr="002D5D44">
        <w:rPr>
          <w:rFonts w:ascii="Arial" w:hAnsi="Arial" w:cs="Arial"/>
          <w:sz w:val="20"/>
          <w:szCs w:val="20"/>
        </w:rPr>
        <w:t xml:space="preserve"> % nižje od </w:t>
      </w:r>
      <w:r w:rsidR="006A0501">
        <w:rPr>
          <w:rFonts w:ascii="Arial" w:hAnsi="Arial" w:cs="Arial"/>
          <w:sz w:val="20"/>
          <w:szCs w:val="20"/>
        </w:rPr>
        <w:t>tistih iz leta 2005</w:t>
      </w:r>
      <w:r w:rsidRPr="002D5D44">
        <w:rPr>
          <w:rFonts w:ascii="Arial" w:hAnsi="Arial" w:cs="Arial"/>
          <w:sz w:val="20"/>
          <w:szCs w:val="20"/>
        </w:rPr>
        <w:t xml:space="preserve">. </w:t>
      </w:r>
      <w:r w:rsidR="00377107">
        <w:rPr>
          <w:rFonts w:ascii="Arial" w:hAnsi="Arial" w:cs="Arial"/>
          <w:sz w:val="20"/>
          <w:szCs w:val="20"/>
        </w:rPr>
        <w:t>Tudi v</w:t>
      </w:r>
      <w:r w:rsidRPr="002D5D44">
        <w:rPr>
          <w:rFonts w:ascii="Arial" w:hAnsi="Arial" w:cs="Arial"/>
          <w:sz w:val="20"/>
          <w:szCs w:val="20"/>
        </w:rPr>
        <w:t xml:space="preserve"> prihodnje se zaradi pričakovane nižje količine </w:t>
      </w:r>
      <w:r w:rsidRPr="002D5D44">
        <w:rPr>
          <w:rFonts w:ascii="Arial" w:hAnsi="Arial" w:cs="Arial"/>
          <w:sz w:val="20"/>
          <w:szCs w:val="20"/>
        </w:rPr>
        <w:lastRenderedPageBreak/>
        <w:t>odloženih biorazgradljivih odpadkov pričakuje hitro zmanjševanje emisij TGP. Cilj za leto 2020 je dosegljiv.</w:t>
      </w:r>
    </w:p>
    <w:p w:rsidR="00B841B2" w:rsidRDefault="00B841B2" w:rsidP="002634C4">
      <w:pPr>
        <w:spacing w:after="0" w:line="240" w:lineRule="auto"/>
        <w:jc w:val="both"/>
        <w:rPr>
          <w:rFonts w:ascii="Arial" w:hAnsi="Arial" w:cs="Arial"/>
          <w:b/>
          <w:sz w:val="20"/>
          <w:szCs w:val="20"/>
        </w:rPr>
      </w:pPr>
    </w:p>
    <w:p w:rsidR="002634C4" w:rsidRDefault="002634C4" w:rsidP="002634C4">
      <w:pPr>
        <w:spacing w:after="0" w:line="240" w:lineRule="auto"/>
        <w:jc w:val="both"/>
        <w:rPr>
          <w:rFonts w:ascii="Arial" w:hAnsi="Arial" w:cs="Arial"/>
          <w:b/>
          <w:sz w:val="20"/>
          <w:szCs w:val="20"/>
        </w:rPr>
      </w:pPr>
      <w:r w:rsidRPr="002D5D44">
        <w:rPr>
          <w:rFonts w:ascii="Arial" w:hAnsi="Arial" w:cs="Arial"/>
          <w:b/>
          <w:sz w:val="20"/>
          <w:szCs w:val="20"/>
        </w:rPr>
        <w:t>Ne-ETS energetika</w:t>
      </w:r>
    </w:p>
    <w:p w:rsidR="009E1F43" w:rsidRPr="002D5D44" w:rsidRDefault="009E1F43" w:rsidP="002634C4">
      <w:pPr>
        <w:spacing w:after="0" w:line="240" w:lineRule="auto"/>
        <w:jc w:val="both"/>
        <w:rPr>
          <w:rFonts w:ascii="Arial" w:hAnsi="Arial" w:cs="Arial"/>
          <w:b/>
          <w:sz w:val="20"/>
          <w:szCs w:val="20"/>
        </w:rPr>
      </w:pPr>
    </w:p>
    <w:p w:rsidR="002634C4" w:rsidRPr="002D5D44" w:rsidRDefault="002634C4" w:rsidP="002634C4">
      <w:pPr>
        <w:spacing w:after="0" w:line="240" w:lineRule="auto"/>
        <w:jc w:val="both"/>
        <w:rPr>
          <w:rFonts w:ascii="Arial" w:hAnsi="Arial" w:cs="Arial"/>
          <w:sz w:val="20"/>
          <w:szCs w:val="20"/>
        </w:rPr>
      </w:pPr>
      <w:r w:rsidRPr="002D5D44">
        <w:rPr>
          <w:rFonts w:ascii="Arial" w:hAnsi="Arial" w:cs="Arial"/>
          <w:sz w:val="20"/>
          <w:szCs w:val="20"/>
        </w:rPr>
        <w:t>Večji del emisij iz energetike je vključen v shemo trgovanja s pravicami do emisije TGP in ni predmet ciljev iz Odločbe 406/2009/ES. V sektor ne-ETS energetika so uvrščene ubežne emisije in emisije iz manjših kotlarn v sistemih daljinskega ogrevanja. Skupno so emisije iz sektorja ne-</w:t>
      </w:r>
      <w:r w:rsidR="006A0501">
        <w:rPr>
          <w:rFonts w:ascii="Arial" w:hAnsi="Arial" w:cs="Arial"/>
          <w:sz w:val="20"/>
          <w:szCs w:val="20"/>
        </w:rPr>
        <w:t>ETS energetika</w:t>
      </w:r>
      <w:r w:rsidR="00B1318F">
        <w:rPr>
          <w:rFonts w:ascii="Arial" w:hAnsi="Arial" w:cs="Arial"/>
          <w:sz w:val="20"/>
          <w:szCs w:val="20"/>
        </w:rPr>
        <w:t xml:space="preserve"> leta 2016</w:t>
      </w:r>
      <w:r w:rsidR="006A0501">
        <w:rPr>
          <w:rFonts w:ascii="Arial" w:hAnsi="Arial" w:cs="Arial"/>
          <w:sz w:val="20"/>
          <w:szCs w:val="20"/>
        </w:rPr>
        <w:t xml:space="preserve"> predstavljale 4</w:t>
      </w:r>
      <w:r w:rsidRPr="002D5D44">
        <w:rPr>
          <w:rFonts w:ascii="Arial" w:hAnsi="Arial" w:cs="Arial"/>
          <w:sz w:val="20"/>
          <w:szCs w:val="20"/>
        </w:rPr>
        <w:t xml:space="preserve"> % ESD emisij. </w:t>
      </w:r>
    </w:p>
    <w:p w:rsidR="002634C4" w:rsidRPr="002D5D44" w:rsidRDefault="002634C4" w:rsidP="002634C4">
      <w:pPr>
        <w:spacing w:after="0" w:line="240" w:lineRule="auto"/>
        <w:jc w:val="both"/>
        <w:rPr>
          <w:rFonts w:ascii="Arial" w:hAnsi="Arial" w:cs="Arial"/>
          <w:sz w:val="20"/>
          <w:szCs w:val="20"/>
        </w:rPr>
      </w:pPr>
    </w:p>
    <w:p w:rsidR="003001CC" w:rsidRPr="002D5D44" w:rsidRDefault="002634C4" w:rsidP="00D91587">
      <w:pPr>
        <w:spacing w:line="240" w:lineRule="auto"/>
        <w:jc w:val="both"/>
        <w:rPr>
          <w:rFonts w:ascii="Arial" w:hAnsi="Arial" w:cs="Arial"/>
          <w:b/>
          <w:sz w:val="24"/>
          <w:szCs w:val="24"/>
        </w:rPr>
      </w:pPr>
      <w:r w:rsidRPr="002D5D44">
        <w:rPr>
          <w:rFonts w:ascii="Arial" w:eastAsia="SimSun" w:hAnsi="Arial" w:cs="Arial"/>
          <w:sz w:val="20"/>
          <w:szCs w:val="20"/>
        </w:rPr>
        <w:t>Sektorski cilj do leta 2020 je omejiti naraščanje emisij TGP do 6 % glede na leto 2005. V obdobju 2005−2016 so se emisije</w:t>
      </w:r>
      <w:r w:rsidR="00B45672">
        <w:rPr>
          <w:rFonts w:ascii="Arial" w:eastAsia="SimSun" w:hAnsi="Arial" w:cs="Arial"/>
          <w:sz w:val="20"/>
          <w:szCs w:val="20"/>
        </w:rPr>
        <w:t xml:space="preserve"> zmanjšale za</w:t>
      </w:r>
      <w:r w:rsidRPr="002D5D44">
        <w:rPr>
          <w:rFonts w:ascii="Arial" w:eastAsia="SimSun" w:hAnsi="Arial" w:cs="Arial"/>
          <w:sz w:val="20"/>
          <w:szCs w:val="20"/>
        </w:rPr>
        <w:t xml:space="preserve"> 18 %, so se pa v zadnjih dveh letih </w:t>
      </w:r>
      <w:r w:rsidR="006A0501">
        <w:rPr>
          <w:rFonts w:ascii="Arial" w:eastAsia="SimSun" w:hAnsi="Arial" w:cs="Arial"/>
          <w:sz w:val="20"/>
          <w:szCs w:val="20"/>
        </w:rPr>
        <w:t>povečale. V letu 2016 za 7</w:t>
      </w:r>
      <w:r w:rsidRPr="002D5D44">
        <w:rPr>
          <w:rFonts w:ascii="Arial" w:eastAsia="SimSun" w:hAnsi="Arial" w:cs="Arial"/>
          <w:sz w:val="20"/>
          <w:szCs w:val="20"/>
        </w:rPr>
        <w:t xml:space="preserve"> %. K rasti emisij je prispevalo povečevanje emisij iz daljinskega ogrevanja, ter rast ubežnih emisij zaradi povečane količine izkopanega premoga. Emisije so še vedno v skladu z indikativnim sektorskim ciljem, saj s</w:t>
      </w:r>
      <w:r w:rsidR="00183306">
        <w:rPr>
          <w:rFonts w:ascii="Arial" w:eastAsia="SimSun" w:hAnsi="Arial" w:cs="Arial"/>
          <w:sz w:val="20"/>
          <w:szCs w:val="20"/>
        </w:rPr>
        <w:t>o  znatno pod začrtanim potekom</w:t>
      </w:r>
      <w:r w:rsidRPr="002D5D44">
        <w:rPr>
          <w:rFonts w:ascii="Arial" w:eastAsia="SimSun" w:hAnsi="Arial" w:cs="Arial"/>
          <w:sz w:val="20"/>
          <w:szCs w:val="20"/>
        </w:rPr>
        <w:t xml:space="preserve">. </w:t>
      </w:r>
      <w:r w:rsidR="003001CC" w:rsidRPr="002D5D44">
        <w:br w:type="page"/>
      </w:r>
    </w:p>
    <w:p w:rsidR="003C3CC0" w:rsidRDefault="003C3CC0" w:rsidP="00D96E78">
      <w:pPr>
        <w:pStyle w:val="Naslov1"/>
        <w:spacing w:after="0" w:line="240" w:lineRule="auto"/>
        <w:ind w:hanging="357"/>
      </w:pPr>
      <w:bookmarkStart w:id="8" w:name="_Toc531933450"/>
      <w:r>
        <w:lastRenderedPageBreak/>
        <w:t>Prve ocene emisij TGP za leto 2017</w:t>
      </w:r>
      <w:bookmarkEnd w:id="8"/>
    </w:p>
    <w:p w:rsidR="003C3CC0" w:rsidRDefault="003C3CC0" w:rsidP="003C3CC0">
      <w:pPr>
        <w:spacing w:after="0" w:line="240" w:lineRule="auto"/>
        <w:rPr>
          <w:rFonts w:ascii="Arial" w:hAnsi="Arial" w:cs="Arial"/>
          <w:sz w:val="20"/>
          <w:szCs w:val="20"/>
        </w:rPr>
      </w:pPr>
    </w:p>
    <w:p w:rsidR="00AB55FE" w:rsidRDefault="00AB55FE" w:rsidP="00817809">
      <w:pPr>
        <w:spacing w:after="0" w:line="240" w:lineRule="auto"/>
        <w:jc w:val="both"/>
        <w:rPr>
          <w:rFonts w:ascii="Arial" w:hAnsi="Arial" w:cs="Arial"/>
          <w:sz w:val="20"/>
          <w:szCs w:val="20"/>
        </w:rPr>
      </w:pPr>
      <w:r>
        <w:rPr>
          <w:rFonts w:ascii="Arial" w:hAnsi="Arial" w:cs="Arial"/>
          <w:sz w:val="20"/>
          <w:szCs w:val="20"/>
        </w:rPr>
        <w:t>P</w:t>
      </w:r>
      <w:r w:rsidRPr="002D5D44">
        <w:rPr>
          <w:rFonts w:ascii="Arial" w:hAnsi="Arial" w:cs="Arial"/>
          <w:sz w:val="20"/>
          <w:szCs w:val="20"/>
        </w:rPr>
        <w:t xml:space="preserve">odatki </w:t>
      </w:r>
      <w:r>
        <w:rPr>
          <w:rFonts w:ascii="Arial" w:hAnsi="Arial" w:cs="Arial"/>
          <w:sz w:val="20"/>
          <w:szCs w:val="20"/>
        </w:rPr>
        <w:t>iz okvirnih evidenc</w:t>
      </w:r>
      <w:r w:rsidR="00BC7B30">
        <w:rPr>
          <w:rFonts w:ascii="Arial" w:hAnsi="Arial" w:cs="Arial"/>
          <w:sz w:val="20"/>
          <w:szCs w:val="20"/>
        </w:rPr>
        <w:t xml:space="preserve"> </w:t>
      </w:r>
      <w:r>
        <w:rPr>
          <w:rFonts w:ascii="Arial" w:hAnsi="Arial" w:cs="Arial"/>
          <w:sz w:val="20"/>
          <w:szCs w:val="20"/>
        </w:rPr>
        <w:t xml:space="preserve"> TGP za leto 2017 nakazujejo na zmanjšanje emisij TGP iz ESD sektorjev za približno</w:t>
      </w:r>
      <w:r w:rsidR="00611E52">
        <w:rPr>
          <w:rFonts w:ascii="Arial" w:hAnsi="Arial" w:cs="Arial"/>
          <w:sz w:val="20"/>
          <w:szCs w:val="20"/>
        </w:rPr>
        <w:t xml:space="preserve"> 2</w:t>
      </w:r>
      <w:r w:rsidR="00BC1FC3">
        <w:rPr>
          <w:rFonts w:ascii="Arial" w:hAnsi="Arial" w:cs="Arial"/>
          <w:sz w:val="20"/>
          <w:szCs w:val="20"/>
        </w:rPr>
        <w:t xml:space="preserve"> % v primerjavi z emisijami v letu</w:t>
      </w:r>
      <w:r>
        <w:rPr>
          <w:rFonts w:ascii="Arial" w:hAnsi="Arial" w:cs="Arial"/>
          <w:sz w:val="20"/>
          <w:szCs w:val="20"/>
        </w:rPr>
        <w:t xml:space="preserve"> 2016. Upravičeno se pričakuje, da bo tudi cilj za leto 2017 po Odločbi 406/2009/ES dosežen.   </w:t>
      </w:r>
    </w:p>
    <w:p w:rsidR="00AB55FE" w:rsidRDefault="00AB55FE" w:rsidP="00817809">
      <w:pPr>
        <w:spacing w:after="0" w:line="240" w:lineRule="auto"/>
        <w:jc w:val="both"/>
        <w:rPr>
          <w:rFonts w:ascii="Arial" w:hAnsi="Arial" w:cs="Arial"/>
          <w:sz w:val="20"/>
          <w:szCs w:val="20"/>
        </w:rPr>
      </w:pPr>
      <w:r>
        <w:rPr>
          <w:rFonts w:ascii="Arial" w:hAnsi="Arial" w:cs="Arial"/>
          <w:sz w:val="20"/>
          <w:szCs w:val="20"/>
        </w:rPr>
        <w:t>Na zmanjšanje emisij TGP iz ESD sektorjev je vplivalo predvsem zmanjšanje emisij iz sektorja promet za</w:t>
      </w:r>
      <w:r w:rsidR="006A0501">
        <w:rPr>
          <w:rFonts w:ascii="Arial" w:hAnsi="Arial" w:cs="Arial"/>
          <w:sz w:val="20"/>
          <w:szCs w:val="20"/>
        </w:rPr>
        <w:t xml:space="preserve"> več kot 1</w:t>
      </w:r>
      <w:r>
        <w:rPr>
          <w:rFonts w:ascii="Arial" w:hAnsi="Arial" w:cs="Arial"/>
          <w:sz w:val="20"/>
          <w:szCs w:val="20"/>
        </w:rPr>
        <w:t xml:space="preserve"> %. Podobno zmanjšanje je sicer ocenjeno tudi za sektor kmetijstvo. V ostalih sektorjih so predvidene spremembe manjše od 1 %.</w:t>
      </w:r>
    </w:p>
    <w:p w:rsidR="00AB55FE" w:rsidRDefault="00AB55FE" w:rsidP="00817809">
      <w:pPr>
        <w:spacing w:after="0" w:line="240" w:lineRule="auto"/>
        <w:jc w:val="both"/>
        <w:rPr>
          <w:rFonts w:ascii="Arial" w:hAnsi="Arial" w:cs="Arial"/>
          <w:sz w:val="20"/>
          <w:szCs w:val="20"/>
        </w:rPr>
      </w:pPr>
    </w:p>
    <w:p w:rsidR="00AB55FE" w:rsidRPr="002D5D44" w:rsidRDefault="00AB55FE" w:rsidP="00817809">
      <w:pPr>
        <w:spacing w:after="0" w:line="240" w:lineRule="auto"/>
        <w:jc w:val="both"/>
        <w:rPr>
          <w:rFonts w:ascii="Arial" w:hAnsi="Arial" w:cs="Arial"/>
          <w:sz w:val="20"/>
          <w:szCs w:val="20"/>
        </w:rPr>
      </w:pPr>
      <w:r>
        <w:rPr>
          <w:rFonts w:ascii="Arial" w:hAnsi="Arial" w:cs="Arial"/>
          <w:sz w:val="20"/>
          <w:szCs w:val="20"/>
        </w:rPr>
        <w:t xml:space="preserve">Emisije TGP iz okvirnih evidenc še ne predstavljajo končnih vrednosti. Bolj točne vrednosti bodo znane po </w:t>
      </w:r>
      <w:r w:rsidR="007D65D8">
        <w:rPr>
          <w:rFonts w:ascii="Arial" w:hAnsi="Arial" w:cs="Arial"/>
          <w:sz w:val="20"/>
          <w:szCs w:val="20"/>
        </w:rPr>
        <w:t xml:space="preserve">poročanju o antropogenih emisijah TGP </w:t>
      </w:r>
      <w:r>
        <w:rPr>
          <w:rFonts w:ascii="Arial" w:hAnsi="Arial" w:cs="Arial"/>
          <w:sz w:val="20"/>
          <w:szCs w:val="20"/>
        </w:rPr>
        <w:t>Evropski komisiji</w:t>
      </w:r>
      <w:r w:rsidR="00D129DC">
        <w:rPr>
          <w:rFonts w:ascii="Arial" w:hAnsi="Arial" w:cs="Arial"/>
          <w:sz w:val="20"/>
          <w:szCs w:val="20"/>
        </w:rPr>
        <w:t xml:space="preserve"> </w:t>
      </w:r>
      <w:r w:rsidR="00BC7B30">
        <w:rPr>
          <w:rFonts w:ascii="Arial" w:hAnsi="Arial" w:cs="Arial"/>
          <w:sz w:val="20"/>
          <w:szCs w:val="20"/>
        </w:rPr>
        <w:t xml:space="preserve">do 15. januarja 2019, </w:t>
      </w:r>
      <w:r w:rsidR="00D129DC">
        <w:rPr>
          <w:rFonts w:ascii="Arial" w:hAnsi="Arial" w:cs="Arial"/>
          <w:sz w:val="20"/>
          <w:szCs w:val="20"/>
        </w:rPr>
        <w:t>skladno s členom 7(1)a Uredbe (EU) št. 525/2013</w:t>
      </w:r>
      <w:r>
        <w:rPr>
          <w:rFonts w:ascii="Arial" w:hAnsi="Arial" w:cs="Arial"/>
          <w:sz w:val="20"/>
          <w:szCs w:val="20"/>
        </w:rPr>
        <w:t xml:space="preserve"> oz. po predložitvi končnih evidenc</w:t>
      </w:r>
      <w:r w:rsidR="007D65D8">
        <w:rPr>
          <w:rFonts w:ascii="Arial" w:hAnsi="Arial" w:cs="Arial"/>
          <w:sz w:val="20"/>
          <w:szCs w:val="20"/>
        </w:rPr>
        <w:t xml:space="preserve"> TGP</w:t>
      </w:r>
      <w:r w:rsidR="00D129DC">
        <w:rPr>
          <w:rFonts w:ascii="Arial" w:hAnsi="Arial" w:cs="Arial"/>
          <w:sz w:val="20"/>
          <w:szCs w:val="20"/>
        </w:rPr>
        <w:t xml:space="preserve"> </w:t>
      </w:r>
      <w:r>
        <w:rPr>
          <w:rFonts w:ascii="Arial" w:hAnsi="Arial" w:cs="Arial"/>
          <w:sz w:val="20"/>
          <w:szCs w:val="20"/>
        </w:rPr>
        <w:t>do 15. marca 2019</w:t>
      </w:r>
      <w:r w:rsidR="00BC7B30" w:rsidRPr="00BC7B30">
        <w:rPr>
          <w:rFonts w:ascii="Arial" w:hAnsi="Arial" w:cs="Arial"/>
          <w:sz w:val="20"/>
          <w:szCs w:val="20"/>
        </w:rPr>
        <w:t xml:space="preserve"> </w:t>
      </w:r>
      <w:r w:rsidR="00BC7B30">
        <w:rPr>
          <w:rFonts w:ascii="Arial" w:hAnsi="Arial" w:cs="Arial"/>
          <w:sz w:val="20"/>
          <w:szCs w:val="20"/>
        </w:rPr>
        <w:t>skladno s členom 9(1) Uredbe (EU) št. 525/2013</w:t>
      </w:r>
      <w:r>
        <w:rPr>
          <w:rFonts w:ascii="Arial" w:hAnsi="Arial" w:cs="Arial"/>
          <w:sz w:val="20"/>
          <w:szCs w:val="20"/>
        </w:rPr>
        <w:t>. Skupne emisije</w:t>
      </w:r>
      <w:r w:rsidR="00986A18">
        <w:rPr>
          <w:rFonts w:ascii="Arial" w:hAnsi="Arial" w:cs="Arial"/>
          <w:sz w:val="20"/>
          <w:szCs w:val="20"/>
        </w:rPr>
        <w:t xml:space="preserve"> ESD sektorjev</w:t>
      </w:r>
      <w:r>
        <w:rPr>
          <w:rFonts w:ascii="Arial" w:hAnsi="Arial" w:cs="Arial"/>
          <w:sz w:val="20"/>
          <w:szCs w:val="20"/>
        </w:rPr>
        <w:t xml:space="preserve"> za leto 2017 </w:t>
      </w:r>
      <w:r w:rsidR="00E4424A">
        <w:rPr>
          <w:rFonts w:ascii="Arial" w:hAnsi="Arial" w:cs="Arial"/>
          <w:sz w:val="20"/>
          <w:szCs w:val="20"/>
        </w:rPr>
        <w:t xml:space="preserve">pa </w:t>
      </w:r>
      <w:r>
        <w:rPr>
          <w:rFonts w:ascii="Arial" w:hAnsi="Arial" w:cs="Arial"/>
          <w:sz w:val="20"/>
          <w:szCs w:val="20"/>
        </w:rPr>
        <w:t xml:space="preserve">bodo potrjene šele z izvedbenim </w:t>
      </w:r>
      <w:r w:rsidR="00E4424A">
        <w:rPr>
          <w:rFonts w:ascii="Arial" w:hAnsi="Arial" w:cs="Arial"/>
          <w:sz w:val="20"/>
          <w:szCs w:val="20"/>
        </w:rPr>
        <w:t>aktom Evropske</w:t>
      </w:r>
      <w:r>
        <w:rPr>
          <w:rFonts w:ascii="Arial" w:hAnsi="Arial" w:cs="Arial"/>
          <w:sz w:val="20"/>
          <w:szCs w:val="20"/>
        </w:rPr>
        <w:t xml:space="preserve"> komisije skladno s členom 19(6) iz Uredbe (EU) št. 525/2013</w:t>
      </w:r>
      <w:r w:rsidR="00E4424A">
        <w:rPr>
          <w:rFonts w:ascii="Arial" w:hAnsi="Arial" w:cs="Arial"/>
          <w:sz w:val="20"/>
          <w:szCs w:val="20"/>
        </w:rPr>
        <w:t>,</w:t>
      </w:r>
      <w:r w:rsidR="00F879B4">
        <w:rPr>
          <w:rFonts w:ascii="Arial" w:hAnsi="Arial" w:cs="Arial"/>
          <w:sz w:val="20"/>
          <w:szCs w:val="20"/>
        </w:rPr>
        <w:t xml:space="preserve"> predvidoma v zadnjem četrtletju leta 2019.</w:t>
      </w:r>
      <w:r w:rsidR="00817809">
        <w:rPr>
          <w:rFonts w:ascii="Arial" w:hAnsi="Arial" w:cs="Arial"/>
          <w:sz w:val="20"/>
          <w:szCs w:val="20"/>
        </w:rPr>
        <w:t xml:space="preserve"> </w:t>
      </w:r>
    </w:p>
    <w:p w:rsidR="00F77209" w:rsidRDefault="00F77209" w:rsidP="008D2A05">
      <w:pPr>
        <w:spacing w:after="0" w:line="240" w:lineRule="auto"/>
        <w:jc w:val="both"/>
        <w:rPr>
          <w:rFonts w:ascii="Arial" w:hAnsi="Arial" w:cs="Arial"/>
          <w:sz w:val="20"/>
          <w:szCs w:val="20"/>
        </w:rPr>
      </w:pPr>
    </w:p>
    <w:p w:rsidR="003C3CC0" w:rsidRPr="003C3CC0" w:rsidRDefault="008D2A05" w:rsidP="008D2A05">
      <w:pPr>
        <w:spacing w:after="0" w:line="240" w:lineRule="auto"/>
        <w:jc w:val="both"/>
        <w:rPr>
          <w:rFonts w:ascii="Arial" w:hAnsi="Arial" w:cs="Arial"/>
          <w:sz w:val="20"/>
          <w:szCs w:val="20"/>
        </w:rPr>
      </w:pPr>
      <w:r>
        <w:rPr>
          <w:rFonts w:ascii="Arial" w:hAnsi="Arial" w:cs="Arial"/>
          <w:sz w:val="20"/>
          <w:szCs w:val="20"/>
        </w:rPr>
        <w:t xml:space="preserve"> </w:t>
      </w:r>
    </w:p>
    <w:p w:rsidR="00C35FA4" w:rsidRPr="002D5D44" w:rsidRDefault="0066320C" w:rsidP="00D96E78">
      <w:pPr>
        <w:pStyle w:val="Naslov1"/>
        <w:spacing w:after="0" w:line="240" w:lineRule="auto"/>
        <w:ind w:hanging="357"/>
      </w:pPr>
      <w:bookmarkStart w:id="9" w:name="_Toc531933451"/>
      <w:r w:rsidRPr="002D5D44">
        <w:t>Pregled</w:t>
      </w:r>
      <w:r w:rsidR="00C35FA4" w:rsidRPr="002D5D44">
        <w:t xml:space="preserve"> </w:t>
      </w:r>
      <w:r w:rsidR="00044D31" w:rsidRPr="002D5D44">
        <w:t xml:space="preserve">ukrepanja </w:t>
      </w:r>
      <w:r w:rsidR="00E14DBB" w:rsidRPr="002D5D44">
        <w:t xml:space="preserve">in priporočila </w:t>
      </w:r>
      <w:r w:rsidR="00C35FA4" w:rsidRPr="002D5D44">
        <w:t>po sektorjih</w:t>
      </w:r>
      <w:bookmarkEnd w:id="9"/>
      <w:r w:rsidR="00C279AD" w:rsidRPr="002D5D44">
        <w:t xml:space="preserve"> </w:t>
      </w:r>
    </w:p>
    <w:p w:rsidR="00D96E78" w:rsidRPr="002D5D44" w:rsidRDefault="00D96E78" w:rsidP="00D96E78">
      <w:pPr>
        <w:spacing w:after="0" w:line="240" w:lineRule="auto"/>
        <w:rPr>
          <w:rFonts w:ascii="Arial" w:hAnsi="Arial" w:cs="Arial"/>
          <w:sz w:val="20"/>
          <w:szCs w:val="20"/>
        </w:rPr>
      </w:pPr>
    </w:p>
    <w:p w:rsidR="000B7C5D" w:rsidRPr="002D5D44" w:rsidRDefault="00881578" w:rsidP="00D96E78">
      <w:pPr>
        <w:pStyle w:val="Naslov2"/>
        <w:ind w:hanging="357"/>
      </w:pPr>
      <w:bookmarkStart w:id="10" w:name="_Toc531933452"/>
      <w:r w:rsidRPr="002D5D44">
        <w:t>Z</w:t>
      </w:r>
      <w:r w:rsidR="000B7C5D" w:rsidRPr="002D5D44">
        <w:t>elena gospodarska rast</w:t>
      </w:r>
      <w:bookmarkEnd w:id="10"/>
    </w:p>
    <w:p w:rsidR="007A149B" w:rsidRPr="002D5D44" w:rsidRDefault="007A149B" w:rsidP="007A149B">
      <w:pPr>
        <w:spacing w:after="0" w:line="240" w:lineRule="auto"/>
        <w:rPr>
          <w:rFonts w:ascii="Arial" w:hAnsi="Arial" w:cs="Arial"/>
          <w:sz w:val="20"/>
          <w:szCs w:val="20"/>
        </w:rPr>
      </w:pPr>
    </w:p>
    <w:p w:rsidR="00881578" w:rsidRPr="002D5D44" w:rsidRDefault="00A70D99" w:rsidP="007A149B">
      <w:pPr>
        <w:spacing w:after="0" w:line="240" w:lineRule="auto"/>
        <w:jc w:val="both"/>
        <w:rPr>
          <w:rFonts w:ascii="Arial" w:hAnsi="Arial" w:cs="Arial"/>
          <w:sz w:val="20"/>
          <w:szCs w:val="20"/>
        </w:rPr>
      </w:pPr>
      <w:r w:rsidRPr="002D5D44">
        <w:rPr>
          <w:rFonts w:ascii="Arial" w:hAnsi="Arial" w:cs="Arial"/>
          <w:sz w:val="20"/>
          <w:szCs w:val="20"/>
        </w:rPr>
        <w:t>Cilj OP TGP 2020 je z</w:t>
      </w:r>
      <w:r w:rsidR="00D43A96" w:rsidRPr="002D5D44">
        <w:rPr>
          <w:rFonts w:ascii="Arial" w:hAnsi="Arial" w:cs="Arial"/>
          <w:sz w:val="20"/>
          <w:szCs w:val="20"/>
        </w:rPr>
        <w:t xml:space="preserve"> izvajanjem </w:t>
      </w:r>
      <w:r w:rsidR="00AC7A29" w:rsidRPr="002D5D44">
        <w:rPr>
          <w:rFonts w:ascii="Arial" w:hAnsi="Arial" w:cs="Arial"/>
          <w:sz w:val="20"/>
          <w:szCs w:val="20"/>
        </w:rPr>
        <w:t>ukrepov</w:t>
      </w:r>
      <w:r w:rsidR="009C59C9" w:rsidRPr="002D5D44">
        <w:rPr>
          <w:rFonts w:ascii="Arial" w:hAnsi="Arial" w:cs="Arial"/>
          <w:sz w:val="20"/>
          <w:szCs w:val="20"/>
        </w:rPr>
        <w:t xml:space="preserve"> zmanjševanja</w:t>
      </w:r>
      <w:r w:rsidRPr="002D5D44">
        <w:rPr>
          <w:rFonts w:ascii="Arial" w:hAnsi="Arial" w:cs="Arial"/>
          <w:sz w:val="20"/>
          <w:szCs w:val="20"/>
        </w:rPr>
        <w:t xml:space="preserve"> emisij TGP</w:t>
      </w:r>
      <w:r w:rsidR="00D43A96" w:rsidRPr="002D5D44">
        <w:rPr>
          <w:rFonts w:ascii="Arial" w:hAnsi="Arial" w:cs="Arial"/>
          <w:sz w:val="20"/>
          <w:szCs w:val="20"/>
        </w:rPr>
        <w:t xml:space="preserve"> zagotovi</w:t>
      </w:r>
      <w:r w:rsidR="00AC7A29" w:rsidRPr="002D5D44">
        <w:rPr>
          <w:rFonts w:ascii="Arial" w:hAnsi="Arial" w:cs="Arial"/>
          <w:sz w:val="20"/>
          <w:szCs w:val="20"/>
        </w:rPr>
        <w:t>ti trajnostno rast gospod</w:t>
      </w:r>
      <w:r w:rsidR="00BB6F25" w:rsidRPr="002D5D44">
        <w:rPr>
          <w:rFonts w:ascii="Arial" w:hAnsi="Arial" w:cs="Arial"/>
          <w:sz w:val="20"/>
          <w:szCs w:val="20"/>
        </w:rPr>
        <w:t xml:space="preserve">arstva. </w:t>
      </w:r>
      <w:r w:rsidR="009C59C9" w:rsidRPr="002D5D44">
        <w:rPr>
          <w:rFonts w:ascii="Arial" w:hAnsi="Arial" w:cs="Arial"/>
          <w:sz w:val="20"/>
          <w:szCs w:val="20"/>
        </w:rPr>
        <w:t xml:space="preserve">Prehod v </w:t>
      </w:r>
      <w:proofErr w:type="spellStart"/>
      <w:r w:rsidR="009C59C9" w:rsidRPr="002D5D44">
        <w:rPr>
          <w:rFonts w:ascii="Arial" w:hAnsi="Arial" w:cs="Arial"/>
          <w:sz w:val="20"/>
          <w:szCs w:val="20"/>
        </w:rPr>
        <w:t>nizkoogljično</w:t>
      </w:r>
      <w:proofErr w:type="spellEnd"/>
      <w:r w:rsidR="009C59C9" w:rsidRPr="002D5D44">
        <w:rPr>
          <w:rFonts w:ascii="Arial" w:hAnsi="Arial" w:cs="Arial"/>
          <w:sz w:val="20"/>
          <w:szCs w:val="20"/>
        </w:rPr>
        <w:t xml:space="preserve"> družbo</w:t>
      </w:r>
      <w:r w:rsidR="00AC7A29" w:rsidRPr="002D5D44">
        <w:rPr>
          <w:rFonts w:ascii="Arial" w:hAnsi="Arial" w:cs="Arial"/>
          <w:sz w:val="20"/>
          <w:szCs w:val="20"/>
        </w:rPr>
        <w:t xml:space="preserve"> ob hkratnem</w:t>
      </w:r>
      <w:r w:rsidR="00BB6F25" w:rsidRPr="002D5D44">
        <w:rPr>
          <w:rFonts w:ascii="Arial" w:hAnsi="Arial" w:cs="Arial"/>
          <w:sz w:val="20"/>
          <w:szCs w:val="20"/>
        </w:rPr>
        <w:t xml:space="preserve"> povečevanju</w:t>
      </w:r>
      <w:r w:rsidR="00AC7A29" w:rsidRPr="002D5D44">
        <w:rPr>
          <w:rFonts w:ascii="Arial" w:hAnsi="Arial" w:cs="Arial"/>
          <w:sz w:val="20"/>
          <w:szCs w:val="20"/>
        </w:rPr>
        <w:t xml:space="preserve"> konkurenčnosti</w:t>
      </w:r>
      <w:r w:rsidR="005D6876" w:rsidRPr="002D5D44">
        <w:rPr>
          <w:rFonts w:ascii="Arial" w:hAnsi="Arial" w:cs="Arial"/>
          <w:sz w:val="20"/>
          <w:szCs w:val="20"/>
        </w:rPr>
        <w:t xml:space="preserve"> gospodarstva</w:t>
      </w:r>
      <w:r w:rsidR="00AC7A29" w:rsidRPr="002D5D44">
        <w:rPr>
          <w:rFonts w:ascii="Arial" w:hAnsi="Arial" w:cs="Arial"/>
          <w:sz w:val="20"/>
          <w:szCs w:val="20"/>
        </w:rPr>
        <w:t xml:space="preserve"> in varnosti</w:t>
      </w:r>
      <w:r w:rsidR="005D6876" w:rsidRPr="002D5D44">
        <w:rPr>
          <w:rFonts w:ascii="Arial" w:hAnsi="Arial" w:cs="Arial"/>
          <w:sz w:val="20"/>
          <w:szCs w:val="20"/>
        </w:rPr>
        <w:t xml:space="preserve"> oskrbe z energijo</w:t>
      </w:r>
      <w:r w:rsidR="00BB6F25" w:rsidRPr="002D5D44">
        <w:rPr>
          <w:rFonts w:ascii="Arial" w:hAnsi="Arial" w:cs="Arial"/>
          <w:sz w:val="20"/>
          <w:szCs w:val="20"/>
        </w:rPr>
        <w:t xml:space="preserve"> mora zato</w:t>
      </w:r>
      <w:r w:rsidR="00AC7A29" w:rsidRPr="002D5D44">
        <w:rPr>
          <w:rFonts w:ascii="Arial" w:hAnsi="Arial" w:cs="Arial"/>
          <w:sz w:val="20"/>
          <w:szCs w:val="20"/>
        </w:rPr>
        <w:t xml:space="preserve"> temelji</w:t>
      </w:r>
      <w:r w:rsidR="00BB6F25" w:rsidRPr="002D5D44">
        <w:rPr>
          <w:rFonts w:ascii="Arial" w:hAnsi="Arial" w:cs="Arial"/>
          <w:sz w:val="20"/>
          <w:szCs w:val="20"/>
        </w:rPr>
        <w:t>ti</w:t>
      </w:r>
      <w:r w:rsidR="00AC7A29" w:rsidRPr="002D5D44">
        <w:rPr>
          <w:rFonts w:ascii="Arial" w:hAnsi="Arial" w:cs="Arial"/>
          <w:sz w:val="20"/>
          <w:szCs w:val="20"/>
        </w:rPr>
        <w:t xml:space="preserve"> na inovacijah</w:t>
      </w:r>
      <w:r w:rsidR="00BB6F25" w:rsidRPr="002D5D44">
        <w:rPr>
          <w:rFonts w:ascii="Arial" w:hAnsi="Arial" w:cs="Arial"/>
          <w:sz w:val="20"/>
          <w:szCs w:val="20"/>
        </w:rPr>
        <w:t xml:space="preserve"> in spodbujanju trajnostne potrošnje ter proizvodnje. </w:t>
      </w:r>
      <w:proofErr w:type="spellStart"/>
      <w:r w:rsidR="005D6876" w:rsidRPr="002D5D44">
        <w:rPr>
          <w:rFonts w:ascii="Arial" w:hAnsi="Arial" w:cs="Arial"/>
          <w:sz w:val="20"/>
          <w:szCs w:val="20"/>
        </w:rPr>
        <w:t>Nizkoogljično</w:t>
      </w:r>
      <w:proofErr w:type="spellEnd"/>
      <w:r w:rsidR="005D6876" w:rsidRPr="002D5D44">
        <w:rPr>
          <w:rFonts w:ascii="Arial" w:hAnsi="Arial" w:cs="Arial"/>
          <w:sz w:val="20"/>
          <w:szCs w:val="20"/>
        </w:rPr>
        <w:t xml:space="preserve"> krožno gospodarstvo je ključno za dolgoročno zmanjševanje emisij TGP, saj imajo ukrepi krožnega gospodarstva in učinkovite rabe virov </w:t>
      </w:r>
      <w:r w:rsidR="007A149B" w:rsidRPr="002D5D44">
        <w:rPr>
          <w:rFonts w:ascii="Arial" w:hAnsi="Arial" w:cs="Arial"/>
          <w:sz w:val="20"/>
          <w:szCs w:val="20"/>
        </w:rPr>
        <w:t>velik</w:t>
      </w:r>
      <w:r w:rsidR="005D6876" w:rsidRPr="002D5D44">
        <w:rPr>
          <w:rFonts w:ascii="Arial" w:hAnsi="Arial" w:cs="Arial"/>
          <w:sz w:val="20"/>
          <w:szCs w:val="20"/>
        </w:rPr>
        <w:t xml:space="preserve"> razvojno/okoljski potencial</w:t>
      </w:r>
      <w:r w:rsidR="007A149B" w:rsidRPr="002D5D44">
        <w:rPr>
          <w:rFonts w:ascii="Arial" w:hAnsi="Arial" w:cs="Arial"/>
          <w:sz w:val="20"/>
          <w:szCs w:val="20"/>
        </w:rPr>
        <w:t>.</w:t>
      </w:r>
      <w:r w:rsidR="00AC7A29" w:rsidRPr="002D5D44">
        <w:rPr>
          <w:rFonts w:ascii="Arial" w:hAnsi="Arial" w:cs="Arial"/>
          <w:sz w:val="20"/>
          <w:szCs w:val="20"/>
        </w:rPr>
        <w:t xml:space="preserve"> </w:t>
      </w:r>
    </w:p>
    <w:p w:rsidR="00881578" w:rsidRPr="002D5D44" w:rsidRDefault="00881578" w:rsidP="0088528E">
      <w:pPr>
        <w:spacing w:after="0"/>
        <w:jc w:val="both"/>
        <w:rPr>
          <w:rFonts w:ascii="Arial" w:hAnsi="Arial" w:cs="Arial"/>
          <w:sz w:val="20"/>
          <w:szCs w:val="20"/>
        </w:rPr>
      </w:pPr>
    </w:p>
    <w:p w:rsidR="005D6876" w:rsidRPr="002D5D44" w:rsidRDefault="00775BEA" w:rsidP="0088528E">
      <w:pPr>
        <w:autoSpaceDE w:val="0"/>
        <w:autoSpaceDN w:val="0"/>
        <w:adjustRightInd w:val="0"/>
        <w:spacing w:after="0" w:line="240" w:lineRule="auto"/>
        <w:jc w:val="both"/>
        <w:rPr>
          <w:rFonts w:ascii="Arial" w:hAnsi="Arial" w:cs="Arial"/>
          <w:sz w:val="20"/>
          <w:szCs w:val="20"/>
          <w:u w:val="single"/>
        </w:rPr>
      </w:pPr>
      <w:r w:rsidRPr="002D5D44">
        <w:rPr>
          <w:rFonts w:ascii="Arial" w:hAnsi="Arial" w:cs="Arial"/>
          <w:sz w:val="20"/>
          <w:szCs w:val="20"/>
          <w:u w:val="single"/>
        </w:rPr>
        <w:t>Ukrepanje</w:t>
      </w:r>
    </w:p>
    <w:p w:rsidR="007329CC" w:rsidRDefault="007329CC" w:rsidP="00F93288">
      <w:pPr>
        <w:spacing w:after="0" w:line="240" w:lineRule="auto"/>
        <w:jc w:val="both"/>
        <w:rPr>
          <w:rFonts w:ascii="Arial" w:hAnsi="Arial" w:cs="Arial"/>
          <w:sz w:val="20"/>
          <w:szCs w:val="20"/>
        </w:rPr>
      </w:pPr>
    </w:p>
    <w:p w:rsidR="005D6876" w:rsidRPr="002D5D44" w:rsidRDefault="005D6876" w:rsidP="00F93288">
      <w:pPr>
        <w:spacing w:after="0" w:line="240" w:lineRule="auto"/>
        <w:jc w:val="both"/>
        <w:rPr>
          <w:rFonts w:ascii="Arial" w:hAnsi="Arial" w:cs="Arial"/>
          <w:bCs/>
          <w:sz w:val="20"/>
          <w:szCs w:val="20"/>
        </w:rPr>
      </w:pPr>
      <w:r w:rsidRPr="002D5D44">
        <w:rPr>
          <w:rFonts w:ascii="Arial" w:hAnsi="Arial" w:cs="Arial"/>
          <w:sz w:val="20"/>
          <w:szCs w:val="20"/>
        </w:rPr>
        <w:t>Sprejeta je bila Strategija razvoja Slovenije 2030 (</w:t>
      </w:r>
      <w:r w:rsidR="00847EC5">
        <w:rPr>
          <w:rFonts w:ascii="Arial" w:hAnsi="Arial" w:cs="Arial"/>
          <w:sz w:val="20"/>
          <w:szCs w:val="20"/>
        </w:rPr>
        <w:t xml:space="preserve">v nadaljnjem besedilu: </w:t>
      </w:r>
      <w:r w:rsidRPr="002D5D44">
        <w:rPr>
          <w:rFonts w:ascii="Arial" w:hAnsi="Arial" w:cs="Arial"/>
          <w:sz w:val="20"/>
          <w:szCs w:val="20"/>
        </w:rPr>
        <w:t xml:space="preserve">SRS), ki prehod v </w:t>
      </w:r>
      <w:proofErr w:type="spellStart"/>
      <w:r w:rsidRPr="002D5D44">
        <w:rPr>
          <w:rFonts w:ascii="Arial" w:hAnsi="Arial" w:cs="Arial"/>
          <w:sz w:val="20"/>
          <w:szCs w:val="20"/>
        </w:rPr>
        <w:t>nizkoogljično</w:t>
      </w:r>
      <w:proofErr w:type="spellEnd"/>
      <w:r w:rsidRPr="002D5D44">
        <w:rPr>
          <w:rFonts w:ascii="Arial" w:hAnsi="Arial" w:cs="Arial"/>
          <w:sz w:val="20"/>
          <w:szCs w:val="20"/>
        </w:rPr>
        <w:t xml:space="preserve"> krožno gospodarstvo uvršča med razvojne cilje države. SRS med cilje uvršča izboljšanje emisijske produktivnosti (razmerja med BDP in emisijo toplogrednih plinov), kar je pomembno, saj ta </w:t>
      </w:r>
      <w:r w:rsidR="00365854" w:rsidRPr="002D5D44">
        <w:rPr>
          <w:rFonts w:ascii="Arial" w:hAnsi="Arial" w:cs="Arial"/>
          <w:sz w:val="20"/>
          <w:szCs w:val="20"/>
        </w:rPr>
        <w:t xml:space="preserve">kazalnik </w:t>
      </w:r>
      <w:r w:rsidRPr="002D5D44">
        <w:rPr>
          <w:rFonts w:ascii="Arial" w:hAnsi="Arial" w:cs="Arial"/>
          <w:sz w:val="20"/>
          <w:szCs w:val="20"/>
        </w:rPr>
        <w:t>sočasno sledi ciljema izboljšanja konkurenčnosti družbe in zmanjšanja emisij TGP</w:t>
      </w:r>
      <w:r w:rsidRPr="002D5D44">
        <w:rPr>
          <w:vertAlign w:val="superscript"/>
        </w:rPr>
        <w:footnoteReference w:id="9"/>
      </w:r>
      <w:r w:rsidRPr="002D5D44">
        <w:rPr>
          <w:rFonts w:ascii="Arial" w:hAnsi="Arial" w:cs="Arial"/>
          <w:sz w:val="20"/>
          <w:szCs w:val="20"/>
        </w:rPr>
        <w:t>.</w:t>
      </w:r>
    </w:p>
    <w:p w:rsidR="007329CC" w:rsidRDefault="007329CC" w:rsidP="00F93288">
      <w:pPr>
        <w:autoSpaceDE w:val="0"/>
        <w:autoSpaceDN w:val="0"/>
        <w:adjustRightInd w:val="0"/>
        <w:spacing w:after="0" w:line="240" w:lineRule="auto"/>
        <w:jc w:val="both"/>
        <w:rPr>
          <w:rFonts w:ascii="Arial" w:hAnsi="Arial" w:cs="Arial"/>
          <w:sz w:val="20"/>
          <w:szCs w:val="20"/>
        </w:rPr>
      </w:pPr>
    </w:p>
    <w:p w:rsidR="00DA1E1B" w:rsidRPr="002D5D44" w:rsidRDefault="0088528E" w:rsidP="00F93288">
      <w:pPr>
        <w:autoSpaceDE w:val="0"/>
        <w:autoSpaceDN w:val="0"/>
        <w:adjustRightInd w:val="0"/>
        <w:spacing w:after="0" w:line="240" w:lineRule="auto"/>
        <w:jc w:val="both"/>
        <w:rPr>
          <w:rFonts w:ascii="Arial" w:hAnsi="Arial" w:cs="Arial"/>
          <w:sz w:val="20"/>
          <w:szCs w:val="20"/>
        </w:rPr>
      </w:pPr>
      <w:r w:rsidRPr="002D5D44">
        <w:rPr>
          <w:rFonts w:ascii="Arial" w:hAnsi="Arial" w:cs="Arial"/>
          <w:sz w:val="20"/>
          <w:szCs w:val="20"/>
        </w:rPr>
        <w:t>U</w:t>
      </w:r>
      <w:r w:rsidR="001C44F3" w:rsidRPr="002D5D44">
        <w:rPr>
          <w:rFonts w:ascii="Arial" w:hAnsi="Arial" w:cs="Arial"/>
          <w:sz w:val="20"/>
          <w:szCs w:val="20"/>
        </w:rPr>
        <w:t>krepanje</w:t>
      </w:r>
      <w:r w:rsidR="00FA5ACF" w:rsidRPr="002D5D44">
        <w:rPr>
          <w:rFonts w:ascii="Arial" w:hAnsi="Arial" w:cs="Arial"/>
          <w:sz w:val="20"/>
          <w:szCs w:val="20"/>
        </w:rPr>
        <w:t xml:space="preserve"> za</w:t>
      </w:r>
      <w:r w:rsidR="00F85976" w:rsidRPr="002D5D44">
        <w:rPr>
          <w:rFonts w:ascii="Arial" w:hAnsi="Arial" w:cs="Arial"/>
          <w:sz w:val="20"/>
          <w:szCs w:val="20"/>
        </w:rPr>
        <w:t xml:space="preserve"> spodbujanje raziskav in inovacij </w:t>
      </w:r>
      <w:r w:rsidRPr="002D5D44">
        <w:rPr>
          <w:rFonts w:ascii="Arial" w:hAnsi="Arial" w:cs="Arial"/>
          <w:sz w:val="20"/>
          <w:szCs w:val="20"/>
        </w:rPr>
        <w:t xml:space="preserve">se je </w:t>
      </w:r>
      <w:r w:rsidR="00FA5ACF" w:rsidRPr="002D5D44">
        <w:rPr>
          <w:rFonts w:ascii="Arial" w:hAnsi="Arial" w:cs="Arial"/>
          <w:sz w:val="20"/>
          <w:szCs w:val="20"/>
        </w:rPr>
        <w:t>izvajalo</w:t>
      </w:r>
      <w:r w:rsidR="001C5049" w:rsidRPr="002D5D44">
        <w:rPr>
          <w:rFonts w:ascii="Arial" w:hAnsi="Arial" w:cs="Arial"/>
          <w:sz w:val="20"/>
          <w:szCs w:val="20"/>
        </w:rPr>
        <w:t xml:space="preserve"> tudi</w:t>
      </w:r>
      <w:r w:rsidR="00FA5ACF" w:rsidRPr="002D5D44">
        <w:rPr>
          <w:rFonts w:ascii="Arial" w:hAnsi="Arial" w:cs="Arial"/>
          <w:sz w:val="20"/>
          <w:szCs w:val="20"/>
        </w:rPr>
        <w:t xml:space="preserve"> </w:t>
      </w:r>
      <w:r w:rsidR="001C5049" w:rsidRPr="002D5D44">
        <w:rPr>
          <w:rFonts w:ascii="Arial" w:hAnsi="Arial" w:cs="Arial"/>
          <w:sz w:val="20"/>
          <w:szCs w:val="20"/>
        </w:rPr>
        <w:t>preko</w:t>
      </w:r>
      <w:r w:rsidR="00FA5ACF" w:rsidRPr="002D5D44">
        <w:rPr>
          <w:rFonts w:ascii="Arial" w:hAnsi="Arial" w:cs="Arial"/>
          <w:sz w:val="20"/>
          <w:szCs w:val="20"/>
        </w:rPr>
        <w:t xml:space="preserve"> projektov izbranih na razpisu </w:t>
      </w:r>
      <w:r w:rsidR="00FA5ACF" w:rsidRPr="002D5D44">
        <w:rPr>
          <w:rFonts w:ascii="Arial" w:hAnsi="Arial" w:cs="Arial"/>
          <w:i/>
          <w:sz w:val="20"/>
          <w:szCs w:val="20"/>
        </w:rPr>
        <w:t>Podpora strateškim razvojno inovacijskim partnerstvom (SRIP) na prioritetnih področjih pametne specializacije</w:t>
      </w:r>
      <w:r w:rsidR="00FA5ACF" w:rsidRPr="002D5D44">
        <w:rPr>
          <w:rFonts w:ascii="Arial" w:hAnsi="Arial" w:cs="Arial"/>
          <w:sz w:val="20"/>
          <w:szCs w:val="20"/>
        </w:rPr>
        <w:t xml:space="preserve"> in razpisih </w:t>
      </w:r>
      <w:r w:rsidR="00FA5ACF" w:rsidRPr="003D3666">
        <w:rPr>
          <w:rFonts w:ascii="Arial" w:hAnsi="Arial" w:cs="Arial"/>
          <w:sz w:val="20"/>
          <w:szCs w:val="20"/>
        </w:rPr>
        <w:t>za raziskovalno-razvojne in inovacijske</w:t>
      </w:r>
      <w:r w:rsidR="00F129BF">
        <w:rPr>
          <w:rFonts w:ascii="Arial" w:hAnsi="Arial" w:cs="Arial"/>
          <w:sz w:val="20"/>
          <w:szCs w:val="20"/>
        </w:rPr>
        <w:t xml:space="preserve"> (RRI)</w:t>
      </w:r>
      <w:r w:rsidR="00FA5ACF" w:rsidRPr="003D3666">
        <w:rPr>
          <w:rFonts w:ascii="Arial" w:hAnsi="Arial" w:cs="Arial"/>
          <w:sz w:val="20"/>
          <w:szCs w:val="20"/>
        </w:rPr>
        <w:t xml:space="preserve"> dejavnosti v verigah in mrežah vrednosti na prednostnih področjih </w:t>
      </w:r>
      <w:r w:rsidR="00F129BF">
        <w:rPr>
          <w:rFonts w:ascii="Arial" w:hAnsi="Arial" w:cs="Arial"/>
          <w:sz w:val="20"/>
          <w:szCs w:val="20"/>
        </w:rPr>
        <w:t>Strategije pametne specializacije</w:t>
      </w:r>
      <w:r w:rsidR="00C6024D">
        <w:rPr>
          <w:rStyle w:val="Sprotnaopomba-sklic"/>
          <w:rFonts w:ascii="Arial" w:hAnsi="Arial" w:cs="Arial"/>
          <w:sz w:val="20"/>
          <w:szCs w:val="20"/>
        </w:rPr>
        <w:footnoteReference w:id="10"/>
      </w:r>
      <w:r w:rsidR="00F129BF">
        <w:rPr>
          <w:rFonts w:ascii="Arial" w:hAnsi="Arial" w:cs="Arial"/>
          <w:sz w:val="20"/>
          <w:szCs w:val="20"/>
        </w:rPr>
        <w:t xml:space="preserve"> </w:t>
      </w:r>
      <w:r w:rsidR="00C6024D">
        <w:rPr>
          <w:rFonts w:ascii="Arial" w:hAnsi="Arial" w:cs="Arial"/>
          <w:sz w:val="20"/>
          <w:szCs w:val="20"/>
        </w:rPr>
        <w:t xml:space="preserve">(t.i. </w:t>
      </w:r>
      <w:r w:rsidR="00FA5ACF" w:rsidRPr="003D3666">
        <w:rPr>
          <w:rFonts w:ascii="Arial" w:hAnsi="Arial" w:cs="Arial"/>
          <w:sz w:val="20"/>
          <w:szCs w:val="20"/>
        </w:rPr>
        <w:t>S4</w:t>
      </w:r>
      <w:r w:rsidR="00C6024D">
        <w:rPr>
          <w:rFonts w:ascii="Arial" w:hAnsi="Arial" w:cs="Arial"/>
          <w:sz w:val="20"/>
          <w:szCs w:val="20"/>
        </w:rPr>
        <w:t>)</w:t>
      </w:r>
      <w:r w:rsidR="00FA5ACF" w:rsidRPr="003D3666">
        <w:rPr>
          <w:rFonts w:ascii="Arial" w:hAnsi="Arial" w:cs="Arial"/>
          <w:sz w:val="20"/>
          <w:szCs w:val="20"/>
        </w:rPr>
        <w:t>.</w:t>
      </w:r>
      <w:r w:rsidR="00FA5ACF" w:rsidRPr="002D5D44">
        <w:rPr>
          <w:rFonts w:ascii="Arial" w:hAnsi="Arial" w:cs="Arial"/>
          <w:sz w:val="20"/>
          <w:szCs w:val="20"/>
        </w:rPr>
        <w:t xml:space="preserve"> </w:t>
      </w:r>
    </w:p>
    <w:p w:rsidR="00DA1E1B" w:rsidRPr="002D5D44" w:rsidRDefault="00DA1E1B" w:rsidP="005D6876">
      <w:pPr>
        <w:autoSpaceDE w:val="0"/>
        <w:autoSpaceDN w:val="0"/>
        <w:adjustRightInd w:val="0"/>
        <w:spacing w:after="0" w:line="240" w:lineRule="auto"/>
        <w:jc w:val="both"/>
        <w:rPr>
          <w:rFonts w:ascii="Arial" w:hAnsi="Arial" w:cs="Arial"/>
          <w:sz w:val="20"/>
          <w:szCs w:val="20"/>
        </w:rPr>
      </w:pPr>
    </w:p>
    <w:p w:rsidR="00DA1E1B" w:rsidRPr="002D5D44" w:rsidRDefault="00FA5ACF" w:rsidP="005D6876">
      <w:pPr>
        <w:autoSpaceDE w:val="0"/>
        <w:autoSpaceDN w:val="0"/>
        <w:adjustRightInd w:val="0"/>
        <w:spacing w:after="0" w:line="240" w:lineRule="auto"/>
        <w:jc w:val="both"/>
        <w:rPr>
          <w:rFonts w:ascii="Arial" w:hAnsi="Arial" w:cs="Arial"/>
          <w:sz w:val="20"/>
          <w:szCs w:val="20"/>
        </w:rPr>
      </w:pPr>
      <w:r w:rsidRPr="002D5D44">
        <w:rPr>
          <w:rFonts w:ascii="Arial" w:hAnsi="Arial" w:cs="Arial"/>
          <w:sz w:val="20"/>
          <w:szCs w:val="20"/>
        </w:rPr>
        <w:t>V</w:t>
      </w:r>
      <w:r w:rsidR="001C5049" w:rsidRPr="002D5D44">
        <w:rPr>
          <w:rFonts w:ascii="Arial" w:hAnsi="Arial" w:cs="Arial"/>
          <w:sz w:val="20"/>
          <w:szCs w:val="20"/>
        </w:rPr>
        <w:t xml:space="preserve"> okviru prvega razpisa se je v vrednosti 0,09 milijona </w:t>
      </w:r>
      <w:proofErr w:type="spellStart"/>
      <w:r w:rsidR="001C5049" w:rsidRPr="002D5D44">
        <w:rPr>
          <w:rFonts w:ascii="Arial" w:hAnsi="Arial" w:cs="Arial"/>
          <w:sz w:val="20"/>
          <w:szCs w:val="20"/>
        </w:rPr>
        <w:t>eurov</w:t>
      </w:r>
      <w:proofErr w:type="spellEnd"/>
      <w:r w:rsidR="001C5049" w:rsidRPr="002D5D44">
        <w:rPr>
          <w:rFonts w:ascii="Arial" w:hAnsi="Arial" w:cs="Arial"/>
          <w:sz w:val="20"/>
          <w:szCs w:val="20"/>
        </w:rPr>
        <w:t xml:space="preserve"> podprlo </w:t>
      </w:r>
      <w:r w:rsidR="00C6024D">
        <w:rPr>
          <w:rFonts w:ascii="Arial" w:hAnsi="Arial" w:cs="Arial"/>
          <w:sz w:val="20"/>
          <w:szCs w:val="20"/>
        </w:rPr>
        <w:t>delovanje SRIP-</w:t>
      </w:r>
      <w:proofErr w:type="spellStart"/>
      <w:r w:rsidR="00C6024D">
        <w:rPr>
          <w:rFonts w:ascii="Arial" w:hAnsi="Arial" w:cs="Arial"/>
          <w:sz w:val="20"/>
          <w:szCs w:val="20"/>
        </w:rPr>
        <w:t>ov</w:t>
      </w:r>
      <w:proofErr w:type="spellEnd"/>
      <w:r w:rsidR="00C6024D">
        <w:rPr>
          <w:rFonts w:ascii="Arial" w:hAnsi="Arial" w:cs="Arial"/>
          <w:sz w:val="20"/>
          <w:szCs w:val="20"/>
        </w:rPr>
        <w:t xml:space="preserve"> na področjih</w:t>
      </w:r>
      <w:r w:rsidR="00DA1E1B" w:rsidRPr="002D5D44">
        <w:rPr>
          <w:rFonts w:ascii="Arial" w:hAnsi="Arial" w:cs="Arial"/>
          <w:sz w:val="20"/>
          <w:szCs w:val="20"/>
        </w:rPr>
        <w:t>:</w:t>
      </w:r>
    </w:p>
    <w:p w:rsidR="00DA1E1B" w:rsidRPr="002D5D44" w:rsidRDefault="00DA1E1B" w:rsidP="00DA1E1B">
      <w:pPr>
        <w:pStyle w:val="Odstavekseznama"/>
        <w:numPr>
          <w:ilvl w:val="0"/>
          <w:numId w:val="26"/>
        </w:numPr>
        <w:autoSpaceDE w:val="0"/>
        <w:autoSpaceDN w:val="0"/>
        <w:adjustRightInd w:val="0"/>
        <w:spacing w:after="0" w:line="240" w:lineRule="auto"/>
        <w:jc w:val="both"/>
        <w:rPr>
          <w:rFonts w:ascii="Arial" w:hAnsi="Arial" w:cs="Arial"/>
          <w:sz w:val="20"/>
          <w:szCs w:val="20"/>
        </w:rPr>
      </w:pPr>
      <w:r w:rsidRPr="002D5D44">
        <w:rPr>
          <w:rFonts w:ascii="Arial" w:hAnsi="Arial" w:cs="Arial"/>
          <w:i/>
          <w:sz w:val="20"/>
          <w:szCs w:val="20"/>
        </w:rPr>
        <w:t xml:space="preserve">Pametne stavbe in dom, </w:t>
      </w:r>
    </w:p>
    <w:p w:rsidR="00DA1E1B" w:rsidRPr="002D5D44" w:rsidRDefault="00DA1E1B" w:rsidP="00DA1E1B">
      <w:pPr>
        <w:pStyle w:val="Odstavekseznama"/>
        <w:numPr>
          <w:ilvl w:val="0"/>
          <w:numId w:val="26"/>
        </w:numPr>
        <w:autoSpaceDE w:val="0"/>
        <w:autoSpaceDN w:val="0"/>
        <w:adjustRightInd w:val="0"/>
        <w:spacing w:after="0" w:line="240" w:lineRule="auto"/>
        <w:jc w:val="both"/>
        <w:rPr>
          <w:rFonts w:ascii="Arial" w:hAnsi="Arial" w:cs="Arial"/>
          <w:sz w:val="20"/>
          <w:szCs w:val="20"/>
        </w:rPr>
      </w:pPr>
      <w:r w:rsidRPr="002D5D44">
        <w:rPr>
          <w:rFonts w:ascii="Arial" w:hAnsi="Arial" w:cs="Arial"/>
          <w:i/>
          <w:sz w:val="20"/>
          <w:szCs w:val="20"/>
        </w:rPr>
        <w:t>T</w:t>
      </w:r>
      <w:r w:rsidR="001C5049" w:rsidRPr="002D5D44">
        <w:rPr>
          <w:rFonts w:ascii="Arial" w:hAnsi="Arial" w:cs="Arial"/>
          <w:i/>
          <w:sz w:val="20"/>
          <w:szCs w:val="20"/>
        </w:rPr>
        <w:t xml:space="preserve">ovarne prihodnosti, </w:t>
      </w:r>
    </w:p>
    <w:p w:rsidR="00DA1E1B" w:rsidRPr="002D5D44" w:rsidRDefault="001C5049" w:rsidP="00DA1E1B">
      <w:pPr>
        <w:pStyle w:val="Odstavekseznama"/>
        <w:numPr>
          <w:ilvl w:val="0"/>
          <w:numId w:val="26"/>
        </w:numPr>
        <w:autoSpaceDE w:val="0"/>
        <w:autoSpaceDN w:val="0"/>
        <w:adjustRightInd w:val="0"/>
        <w:spacing w:after="0" w:line="240" w:lineRule="auto"/>
        <w:jc w:val="both"/>
        <w:rPr>
          <w:rFonts w:ascii="Arial" w:hAnsi="Arial" w:cs="Arial"/>
          <w:sz w:val="20"/>
          <w:szCs w:val="20"/>
        </w:rPr>
      </w:pPr>
      <w:r w:rsidRPr="002D5D44">
        <w:rPr>
          <w:rFonts w:ascii="Arial" w:hAnsi="Arial" w:cs="Arial"/>
          <w:i/>
          <w:sz w:val="20"/>
          <w:szCs w:val="20"/>
        </w:rPr>
        <w:t xml:space="preserve">Pametna mesta in skupnosti, </w:t>
      </w:r>
    </w:p>
    <w:p w:rsidR="00DA1E1B" w:rsidRPr="002D5D44" w:rsidRDefault="00BF3ED3" w:rsidP="00DA1E1B">
      <w:pPr>
        <w:pStyle w:val="Odstavekseznama"/>
        <w:numPr>
          <w:ilvl w:val="0"/>
          <w:numId w:val="26"/>
        </w:numPr>
        <w:autoSpaceDE w:val="0"/>
        <w:autoSpaceDN w:val="0"/>
        <w:adjustRightInd w:val="0"/>
        <w:spacing w:after="0" w:line="240" w:lineRule="auto"/>
        <w:jc w:val="both"/>
        <w:rPr>
          <w:rFonts w:ascii="Arial" w:hAnsi="Arial" w:cs="Arial"/>
          <w:sz w:val="20"/>
          <w:szCs w:val="20"/>
        </w:rPr>
      </w:pPr>
      <w:r>
        <w:rPr>
          <w:rFonts w:ascii="Arial" w:hAnsi="Arial" w:cs="Arial"/>
          <w:i/>
          <w:sz w:val="20"/>
          <w:szCs w:val="20"/>
        </w:rPr>
        <w:t>Mobilnost</w:t>
      </w:r>
      <w:r w:rsidR="001C5049" w:rsidRPr="002D5D44">
        <w:rPr>
          <w:rFonts w:ascii="Arial" w:hAnsi="Arial" w:cs="Arial"/>
          <w:i/>
          <w:sz w:val="20"/>
          <w:szCs w:val="20"/>
        </w:rPr>
        <w:t xml:space="preserve">, </w:t>
      </w:r>
    </w:p>
    <w:p w:rsidR="00DA1E1B" w:rsidRPr="002D5D44" w:rsidRDefault="00DA1E1B" w:rsidP="00DA1E1B">
      <w:pPr>
        <w:pStyle w:val="Odstavekseznama"/>
        <w:numPr>
          <w:ilvl w:val="0"/>
          <w:numId w:val="26"/>
        </w:numPr>
        <w:autoSpaceDE w:val="0"/>
        <w:autoSpaceDN w:val="0"/>
        <w:adjustRightInd w:val="0"/>
        <w:spacing w:after="0" w:line="240" w:lineRule="auto"/>
        <w:jc w:val="both"/>
        <w:rPr>
          <w:rFonts w:ascii="Arial" w:hAnsi="Arial" w:cs="Arial"/>
          <w:sz w:val="20"/>
          <w:szCs w:val="20"/>
        </w:rPr>
      </w:pPr>
      <w:r w:rsidRPr="002D5D44">
        <w:rPr>
          <w:rFonts w:ascii="Arial" w:hAnsi="Arial" w:cs="Arial"/>
          <w:i/>
          <w:sz w:val="20"/>
          <w:szCs w:val="20"/>
        </w:rPr>
        <w:t>Krožno gospodarstvo,</w:t>
      </w:r>
      <w:r w:rsidR="001C5049" w:rsidRPr="002D5D44">
        <w:rPr>
          <w:rFonts w:ascii="Arial" w:hAnsi="Arial" w:cs="Arial"/>
          <w:i/>
          <w:sz w:val="20"/>
          <w:szCs w:val="20"/>
        </w:rPr>
        <w:t xml:space="preserve"> </w:t>
      </w:r>
    </w:p>
    <w:p w:rsidR="00DA1E1B" w:rsidRPr="002D5D44" w:rsidRDefault="00BF3ED3" w:rsidP="00DA1E1B">
      <w:pPr>
        <w:pStyle w:val="Odstavekseznama"/>
        <w:numPr>
          <w:ilvl w:val="0"/>
          <w:numId w:val="26"/>
        </w:numPr>
        <w:autoSpaceDE w:val="0"/>
        <w:autoSpaceDN w:val="0"/>
        <w:adjustRightInd w:val="0"/>
        <w:spacing w:after="0" w:line="240" w:lineRule="auto"/>
        <w:jc w:val="both"/>
        <w:rPr>
          <w:rFonts w:ascii="Arial" w:hAnsi="Arial" w:cs="Arial"/>
          <w:sz w:val="20"/>
          <w:szCs w:val="20"/>
        </w:rPr>
      </w:pPr>
      <w:r>
        <w:rPr>
          <w:rFonts w:ascii="Arial" w:hAnsi="Arial" w:cs="Arial"/>
          <w:i/>
          <w:sz w:val="20"/>
          <w:szCs w:val="20"/>
        </w:rPr>
        <w:t>Materiali kot končni produkti</w:t>
      </w:r>
      <w:r w:rsidR="00DA1E1B" w:rsidRPr="002D5D44">
        <w:rPr>
          <w:rFonts w:ascii="Arial" w:hAnsi="Arial" w:cs="Arial"/>
          <w:sz w:val="20"/>
          <w:szCs w:val="20"/>
        </w:rPr>
        <w:t>.</w:t>
      </w:r>
      <w:r w:rsidR="001C44F3" w:rsidRPr="002D5D44">
        <w:rPr>
          <w:rFonts w:ascii="Arial" w:hAnsi="Arial" w:cs="Arial"/>
          <w:sz w:val="20"/>
          <w:szCs w:val="20"/>
        </w:rPr>
        <w:t xml:space="preserve"> </w:t>
      </w:r>
    </w:p>
    <w:p w:rsidR="00DA1E1B" w:rsidRPr="002D5D44" w:rsidRDefault="00DA1E1B" w:rsidP="00DA1E1B">
      <w:pPr>
        <w:autoSpaceDE w:val="0"/>
        <w:autoSpaceDN w:val="0"/>
        <w:adjustRightInd w:val="0"/>
        <w:spacing w:after="0" w:line="240" w:lineRule="auto"/>
        <w:jc w:val="both"/>
        <w:rPr>
          <w:rFonts w:ascii="Arial" w:hAnsi="Arial" w:cs="Arial"/>
          <w:sz w:val="20"/>
          <w:szCs w:val="20"/>
        </w:rPr>
      </w:pPr>
    </w:p>
    <w:p w:rsidR="00DA1E1B" w:rsidRPr="002D5D44" w:rsidRDefault="00DA1E1B" w:rsidP="00DA1E1B">
      <w:pPr>
        <w:autoSpaceDE w:val="0"/>
        <w:autoSpaceDN w:val="0"/>
        <w:adjustRightInd w:val="0"/>
        <w:spacing w:after="0" w:line="240" w:lineRule="auto"/>
        <w:jc w:val="both"/>
        <w:rPr>
          <w:rFonts w:ascii="Arial" w:hAnsi="Arial" w:cs="Arial"/>
          <w:sz w:val="20"/>
          <w:szCs w:val="20"/>
        </w:rPr>
      </w:pPr>
      <w:r w:rsidRPr="002D5D44">
        <w:rPr>
          <w:rFonts w:ascii="Arial" w:hAnsi="Arial" w:cs="Arial"/>
          <w:sz w:val="20"/>
          <w:szCs w:val="20"/>
        </w:rPr>
        <w:t>V</w:t>
      </w:r>
      <w:r w:rsidR="001C44F3" w:rsidRPr="002D5D44">
        <w:rPr>
          <w:rFonts w:ascii="Arial" w:hAnsi="Arial" w:cs="Arial"/>
          <w:sz w:val="20"/>
          <w:szCs w:val="20"/>
        </w:rPr>
        <w:t xml:space="preserve"> okviru ostalih</w:t>
      </w:r>
      <w:r w:rsidRPr="002D5D44">
        <w:rPr>
          <w:rFonts w:ascii="Arial" w:hAnsi="Arial" w:cs="Arial"/>
          <w:sz w:val="20"/>
          <w:szCs w:val="20"/>
        </w:rPr>
        <w:t xml:space="preserve"> razpisov se je v vrednosti 42,2 milijona </w:t>
      </w:r>
      <w:proofErr w:type="spellStart"/>
      <w:r w:rsidRPr="002D5D44">
        <w:rPr>
          <w:rFonts w:ascii="Arial" w:hAnsi="Arial" w:cs="Arial"/>
          <w:sz w:val="20"/>
          <w:szCs w:val="20"/>
        </w:rPr>
        <w:t>eurov</w:t>
      </w:r>
      <w:proofErr w:type="spellEnd"/>
      <w:r w:rsidRPr="002D5D44">
        <w:rPr>
          <w:rFonts w:ascii="Arial" w:hAnsi="Arial" w:cs="Arial"/>
          <w:sz w:val="20"/>
          <w:szCs w:val="20"/>
        </w:rPr>
        <w:t xml:space="preserve"> podprlo projekte:</w:t>
      </w:r>
    </w:p>
    <w:p w:rsidR="00DA1E1B" w:rsidRPr="002D5D44" w:rsidRDefault="001C5049" w:rsidP="00DA1E1B">
      <w:pPr>
        <w:pStyle w:val="Odstavekseznama"/>
        <w:numPr>
          <w:ilvl w:val="0"/>
          <w:numId w:val="27"/>
        </w:numPr>
        <w:autoSpaceDE w:val="0"/>
        <w:autoSpaceDN w:val="0"/>
        <w:adjustRightInd w:val="0"/>
        <w:spacing w:after="0" w:line="240" w:lineRule="auto"/>
        <w:jc w:val="both"/>
        <w:rPr>
          <w:rFonts w:ascii="Arial" w:hAnsi="Arial" w:cs="Arial"/>
          <w:sz w:val="20"/>
          <w:szCs w:val="20"/>
        </w:rPr>
      </w:pPr>
      <w:r w:rsidRPr="002D5D44">
        <w:rPr>
          <w:rFonts w:ascii="Arial" w:hAnsi="Arial" w:cs="Arial"/>
          <w:i/>
          <w:iCs/>
          <w:sz w:val="20"/>
          <w:szCs w:val="20"/>
        </w:rPr>
        <w:t>Ekološki Varen Avtomobil za zeleno mobilnost - EVA4green,</w:t>
      </w:r>
    </w:p>
    <w:p w:rsidR="00DA1E1B" w:rsidRPr="002D5D44" w:rsidRDefault="001C5049" w:rsidP="00DA1E1B">
      <w:pPr>
        <w:pStyle w:val="Odstavekseznama"/>
        <w:numPr>
          <w:ilvl w:val="0"/>
          <w:numId w:val="27"/>
        </w:numPr>
        <w:autoSpaceDE w:val="0"/>
        <w:autoSpaceDN w:val="0"/>
        <w:adjustRightInd w:val="0"/>
        <w:spacing w:after="0" w:line="240" w:lineRule="auto"/>
        <w:jc w:val="both"/>
        <w:rPr>
          <w:rFonts w:ascii="Arial" w:hAnsi="Arial" w:cs="Arial"/>
          <w:sz w:val="20"/>
          <w:szCs w:val="20"/>
        </w:rPr>
      </w:pPr>
      <w:r w:rsidRPr="002D5D44">
        <w:rPr>
          <w:rFonts w:ascii="Arial" w:hAnsi="Arial" w:cs="Arial"/>
          <w:i/>
          <w:iCs/>
          <w:sz w:val="20"/>
          <w:szCs w:val="20"/>
        </w:rPr>
        <w:t xml:space="preserve">Trajnostno in inovativno gradbeništvo za pametne stavbe – TIGR4smart, </w:t>
      </w:r>
    </w:p>
    <w:p w:rsidR="00DA1E1B" w:rsidRPr="002D5D44" w:rsidRDefault="001C5049" w:rsidP="00DA1E1B">
      <w:pPr>
        <w:pStyle w:val="Odstavekseznama"/>
        <w:numPr>
          <w:ilvl w:val="0"/>
          <w:numId w:val="27"/>
        </w:numPr>
        <w:autoSpaceDE w:val="0"/>
        <w:autoSpaceDN w:val="0"/>
        <w:adjustRightInd w:val="0"/>
        <w:spacing w:after="0" w:line="240" w:lineRule="auto"/>
        <w:jc w:val="both"/>
        <w:rPr>
          <w:rFonts w:ascii="Arial" w:hAnsi="Arial" w:cs="Arial"/>
          <w:sz w:val="20"/>
          <w:szCs w:val="20"/>
        </w:rPr>
      </w:pPr>
      <w:r w:rsidRPr="002D5D44">
        <w:rPr>
          <w:rFonts w:ascii="Arial" w:hAnsi="Arial" w:cs="Arial"/>
          <w:i/>
          <w:iCs/>
          <w:sz w:val="20"/>
          <w:szCs w:val="20"/>
        </w:rPr>
        <w:t xml:space="preserve">Inteligentni dom nove generacije, </w:t>
      </w:r>
    </w:p>
    <w:p w:rsidR="00DA1E1B" w:rsidRPr="002D5D44" w:rsidRDefault="001C5049" w:rsidP="00DA1E1B">
      <w:pPr>
        <w:pStyle w:val="Odstavekseznama"/>
        <w:numPr>
          <w:ilvl w:val="0"/>
          <w:numId w:val="27"/>
        </w:numPr>
        <w:autoSpaceDE w:val="0"/>
        <w:autoSpaceDN w:val="0"/>
        <w:adjustRightInd w:val="0"/>
        <w:spacing w:after="0" w:line="240" w:lineRule="auto"/>
        <w:jc w:val="both"/>
        <w:rPr>
          <w:rFonts w:ascii="Arial" w:hAnsi="Arial" w:cs="Arial"/>
          <w:sz w:val="20"/>
          <w:szCs w:val="20"/>
        </w:rPr>
      </w:pPr>
      <w:proofErr w:type="spellStart"/>
      <w:r w:rsidRPr="002D5D44">
        <w:rPr>
          <w:rFonts w:ascii="Arial" w:hAnsi="Arial" w:cs="Arial"/>
          <w:i/>
          <w:iCs/>
          <w:sz w:val="20"/>
          <w:szCs w:val="20"/>
        </w:rPr>
        <w:t>Eko</w:t>
      </w:r>
      <w:proofErr w:type="spellEnd"/>
      <w:r w:rsidRPr="002D5D44">
        <w:rPr>
          <w:rFonts w:ascii="Arial" w:hAnsi="Arial" w:cs="Arial"/>
          <w:i/>
          <w:iCs/>
          <w:sz w:val="20"/>
          <w:szCs w:val="20"/>
        </w:rPr>
        <w:t xml:space="preserve"> Sistem Pametnega Mesta, </w:t>
      </w:r>
    </w:p>
    <w:p w:rsidR="001C5049" w:rsidRPr="002D5D44" w:rsidRDefault="001C5049" w:rsidP="00DA1E1B">
      <w:pPr>
        <w:pStyle w:val="Odstavekseznama"/>
        <w:numPr>
          <w:ilvl w:val="0"/>
          <w:numId w:val="27"/>
        </w:numPr>
        <w:autoSpaceDE w:val="0"/>
        <w:autoSpaceDN w:val="0"/>
        <w:adjustRightInd w:val="0"/>
        <w:spacing w:after="0" w:line="240" w:lineRule="auto"/>
        <w:jc w:val="both"/>
        <w:rPr>
          <w:rFonts w:ascii="Arial" w:hAnsi="Arial" w:cs="Arial"/>
          <w:sz w:val="20"/>
          <w:szCs w:val="20"/>
        </w:rPr>
      </w:pPr>
      <w:r w:rsidRPr="002D5D44">
        <w:rPr>
          <w:rFonts w:ascii="Arial" w:hAnsi="Arial" w:cs="Arial"/>
          <w:i/>
          <w:iCs/>
          <w:sz w:val="20"/>
          <w:szCs w:val="20"/>
        </w:rPr>
        <w:t>Materiali in tehnologije za nove aplikacije</w:t>
      </w:r>
      <w:r w:rsidR="001C44F3" w:rsidRPr="002D5D44">
        <w:rPr>
          <w:rFonts w:ascii="Arial" w:hAnsi="Arial" w:cs="Arial"/>
          <w:sz w:val="20"/>
          <w:szCs w:val="20"/>
        </w:rPr>
        <w:t>.</w:t>
      </w:r>
    </w:p>
    <w:p w:rsidR="006266BC" w:rsidRPr="002D5D44" w:rsidRDefault="006266BC" w:rsidP="005D6876">
      <w:pPr>
        <w:autoSpaceDE w:val="0"/>
        <w:autoSpaceDN w:val="0"/>
        <w:adjustRightInd w:val="0"/>
        <w:spacing w:after="0" w:line="240" w:lineRule="auto"/>
        <w:jc w:val="both"/>
        <w:rPr>
          <w:rFonts w:ascii="Arial" w:hAnsi="Arial" w:cs="Arial"/>
          <w:sz w:val="20"/>
          <w:szCs w:val="20"/>
        </w:rPr>
      </w:pPr>
    </w:p>
    <w:p w:rsidR="00BF3ED3" w:rsidRDefault="00BF3ED3" w:rsidP="005D6876">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V okviru priprave osnutka Nacionalnega programa varstva okolja je bil izdelan okvirni pregled stanja,  predlagani so bili tudi cilji in usmeritve za področje raziskav, razvoja in inovacij na področju okolja (vključno s podnebnimi spremembami) do leta 2030.</w:t>
      </w:r>
    </w:p>
    <w:p w:rsidR="00BF3ED3" w:rsidRDefault="00BF3ED3" w:rsidP="005D6876">
      <w:pPr>
        <w:autoSpaceDE w:val="0"/>
        <w:autoSpaceDN w:val="0"/>
        <w:adjustRightInd w:val="0"/>
        <w:spacing w:after="0" w:line="240" w:lineRule="auto"/>
        <w:jc w:val="both"/>
        <w:rPr>
          <w:rFonts w:ascii="Arial" w:hAnsi="Arial" w:cs="Arial"/>
          <w:sz w:val="20"/>
          <w:szCs w:val="20"/>
        </w:rPr>
      </w:pPr>
    </w:p>
    <w:p w:rsidR="0088528E" w:rsidRPr="002D5D44" w:rsidRDefault="00F076F7" w:rsidP="005D6876">
      <w:pPr>
        <w:autoSpaceDE w:val="0"/>
        <w:autoSpaceDN w:val="0"/>
        <w:adjustRightInd w:val="0"/>
        <w:spacing w:after="0" w:line="240" w:lineRule="auto"/>
        <w:jc w:val="both"/>
        <w:rPr>
          <w:rFonts w:ascii="Arial" w:hAnsi="Arial" w:cs="Arial"/>
          <w:sz w:val="20"/>
          <w:szCs w:val="20"/>
        </w:rPr>
      </w:pPr>
      <w:r w:rsidRPr="002D5D44">
        <w:rPr>
          <w:rFonts w:ascii="Arial" w:hAnsi="Arial" w:cs="Arial"/>
          <w:sz w:val="20"/>
          <w:szCs w:val="20"/>
        </w:rPr>
        <w:t xml:space="preserve">Za spodbujanje razvoja podjetništva, ki vpliva na zmanjševanje emisij TGP je bilo v letih 2016 in 2017 projektom izbranim na javnih razpisih </w:t>
      </w:r>
      <w:r w:rsidRPr="002D5D44">
        <w:rPr>
          <w:rFonts w:ascii="Arial" w:hAnsi="Arial" w:cs="Arial"/>
          <w:i/>
          <w:sz w:val="20"/>
          <w:szCs w:val="20"/>
        </w:rPr>
        <w:t>Spodbude za mala in srednja podjetja v lesarstvu</w:t>
      </w:r>
      <w:r w:rsidRPr="002D5D44">
        <w:rPr>
          <w:rFonts w:ascii="Arial" w:hAnsi="Arial" w:cs="Arial"/>
          <w:sz w:val="20"/>
          <w:szCs w:val="20"/>
        </w:rPr>
        <w:t xml:space="preserve"> in </w:t>
      </w:r>
      <w:r w:rsidRPr="002D5D44">
        <w:rPr>
          <w:rFonts w:ascii="Arial" w:hAnsi="Arial" w:cs="Arial"/>
          <w:i/>
          <w:sz w:val="20"/>
          <w:szCs w:val="20"/>
        </w:rPr>
        <w:t>Spodbude za rast podjetij na področju lesa</w:t>
      </w:r>
      <w:r w:rsidRPr="002D5D44">
        <w:rPr>
          <w:rFonts w:ascii="Arial" w:hAnsi="Arial" w:cs="Arial"/>
          <w:sz w:val="20"/>
          <w:szCs w:val="20"/>
        </w:rPr>
        <w:t xml:space="preserve"> namenjenih 6 milijonov </w:t>
      </w:r>
      <w:proofErr w:type="spellStart"/>
      <w:r w:rsidRPr="002D5D44">
        <w:rPr>
          <w:rFonts w:ascii="Arial" w:hAnsi="Arial" w:cs="Arial"/>
          <w:sz w:val="20"/>
          <w:szCs w:val="20"/>
        </w:rPr>
        <w:t>eurov</w:t>
      </w:r>
      <w:proofErr w:type="spellEnd"/>
      <w:r w:rsidRPr="002D5D44">
        <w:rPr>
          <w:rFonts w:ascii="Arial" w:hAnsi="Arial" w:cs="Arial"/>
          <w:sz w:val="20"/>
          <w:szCs w:val="20"/>
        </w:rPr>
        <w:t>.</w:t>
      </w:r>
      <w:r w:rsidR="0088528E" w:rsidRPr="002D5D44">
        <w:rPr>
          <w:rFonts w:ascii="Arial" w:hAnsi="Arial" w:cs="Arial"/>
          <w:sz w:val="20"/>
          <w:szCs w:val="20"/>
        </w:rPr>
        <w:t xml:space="preserve"> Spodbuja</w:t>
      </w:r>
      <w:r w:rsidR="005547BD" w:rsidRPr="002D5D44">
        <w:rPr>
          <w:rFonts w:ascii="Arial" w:hAnsi="Arial" w:cs="Arial"/>
          <w:sz w:val="20"/>
          <w:szCs w:val="20"/>
        </w:rPr>
        <w:t>lo</w:t>
      </w:r>
      <w:r w:rsidR="0088528E" w:rsidRPr="002D5D44">
        <w:rPr>
          <w:rFonts w:ascii="Arial" w:hAnsi="Arial" w:cs="Arial"/>
          <w:sz w:val="20"/>
          <w:szCs w:val="20"/>
        </w:rPr>
        <w:t xml:space="preserve"> se</w:t>
      </w:r>
      <w:r w:rsidR="005547BD" w:rsidRPr="002D5D44">
        <w:rPr>
          <w:rFonts w:ascii="Arial" w:hAnsi="Arial" w:cs="Arial"/>
          <w:sz w:val="20"/>
          <w:szCs w:val="20"/>
        </w:rPr>
        <w:t xml:space="preserve"> je</w:t>
      </w:r>
      <w:r w:rsidR="0088528E" w:rsidRPr="002D5D44">
        <w:rPr>
          <w:rFonts w:ascii="Arial" w:hAnsi="Arial" w:cs="Arial"/>
          <w:sz w:val="20"/>
          <w:szCs w:val="20"/>
        </w:rPr>
        <w:t xml:space="preserve"> predvsem ukrepe za prehod v krožno gospodarstvo</w:t>
      </w:r>
      <w:r w:rsidR="005547BD" w:rsidRPr="002D5D44">
        <w:rPr>
          <w:rFonts w:ascii="Arial" w:hAnsi="Arial" w:cs="Arial"/>
          <w:sz w:val="20"/>
          <w:szCs w:val="20"/>
        </w:rPr>
        <w:t>,</w:t>
      </w:r>
      <w:r w:rsidR="0088528E" w:rsidRPr="002D5D44">
        <w:rPr>
          <w:rFonts w:ascii="Arial" w:hAnsi="Arial" w:cs="Arial"/>
          <w:sz w:val="20"/>
          <w:szCs w:val="20"/>
        </w:rPr>
        <w:t xml:space="preserve"> s katerimi se zmanjšuje</w:t>
      </w:r>
      <w:r w:rsidR="005547BD" w:rsidRPr="002D5D44">
        <w:rPr>
          <w:rFonts w:ascii="Arial" w:hAnsi="Arial" w:cs="Arial"/>
          <w:sz w:val="20"/>
          <w:szCs w:val="20"/>
        </w:rPr>
        <w:t xml:space="preserve"> tudi</w:t>
      </w:r>
      <w:r w:rsidR="0088528E" w:rsidRPr="002D5D44">
        <w:rPr>
          <w:rFonts w:ascii="Arial" w:hAnsi="Arial" w:cs="Arial"/>
          <w:sz w:val="20"/>
          <w:szCs w:val="20"/>
        </w:rPr>
        <w:t xml:space="preserve"> </w:t>
      </w:r>
      <w:proofErr w:type="spellStart"/>
      <w:r w:rsidR="0088528E" w:rsidRPr="002D5D44">
        <w:rPr>
          <w:rFonts w:ascii="Arial" w:hAnsi="Arial" w:cs="Arial"/>
          <w:sz w:val="20"/>
          <w:szCs w:val="20"/>
        </w:rPr>
        <w:t>ogljični</w:t>
      </w:r>
      <w:proofErr w:type="spellEnd"/>
      <w:r w:rsidR="0088528E" w:rsidRPr="002D5D44">
        <w:rPr>
          <w:rFonts w:ascii="Arial" w:hAnsi="Arial" w:cs="Arial"/>
          <w:sz w:val="20"/>
          <w:szCs w:val="20"/>
        </w:rPr>
        <w:t xml:space="preserve"> odtis izdelkov.</w:t>
      </w:r>
    </w:p>
    <w:p w:rsidR="00F93288" w:rsidRPr="00C6024D" w:rsidRDefault="00F93288" w:rsidP="00C6024D">
      <w:pPr>
        <w:autoSpaceDE w:val="0"/>
        <w:autoSpaceDN w:val="0"/>
        <w:adjustRightInd w:val="0"/>
        <w:spacing w:after="0" w:line="240" w:lineRule="auto"/>
        <w:jc w:val="both"/>
        <w:rPr>
          <w:rFonts w:ascii="Arial" w:hAnsi="Arial" w:cs="Arial"/>
          <w:sz w:val="20"/>
          <w:szCs w:val="20"/>
        </w:rPr>
      </w:pPr>
    </w:p>
    <w:p w:rsidR="0088528E" w:rsidRPr="002D5D44" w:rsidRDefault="00E45225" w:rsidP="005D6876">
      <w:pPr>
        <w:autoSpaceDE w:val="0"/>
        <w:autoSpaceDN w:val="0"/>
        <w:adjustRightInd w:val="0"/>
        <w:spacing w:after="0" w:line="240" w:lineRule="auto"/>
        <w:jc w:val="both"/>
        <w:rPr>
          <w:rFonts w:ascii="Arial" w:hAnsi="Arial" w:cs="Arial"/>
          <w:sz w:val="20"/>
          <w:szCs w:val="20"/>
        </w:rPr>
      </w:pPr>
      <w:r w:rsidRPr="002D5D44">
        <w:rPr>
          <w:rFonts w:ascii="Arial" w:hAnsi="Arial" w:cs="Arial"/>
          <w:sz w:val="20"/>
          <w:szCs w:val="20"/>
        </w:rPr>
        <w:t>Zeleno</w:t>
      </w:r>
      <w:r w:rsidR="00AF064F" w:rsidRPr="002D5D44">
        <w:rPr>
          <w:rFonts w:ascii="Arial" w:hAnsi="Arial" w:cs="Arial"/>
          <w:sz w:val="20"/>
          <w:szCs w:val="20"/>
        </w:rPr>
        <w:t xml:space="preserve"> rast gospodarstva</w:t>
      </w:r>
      <w:r w:rsidRPr="002D5D44">
        <w:rPr>
          <w:rFonts w:ascii="Arial" w:hAnsi="Arial" w:cs="Arial"/>
          <w:sz w:val="20"/>
          <w:szCs w:val="20"/>
        </w:rPr>
        <w:t xml:space="preserve"> se je spodbudilo tudi z demonstracijskimi</w:t>
      </w:r>
      <w:r w:rsidR="00876596" w:rsidRPr="002D5D44">
        <w:rPr>
          <w:rFonts w:ascii="Arial" w:hAnsi="Arial" w:cs="Arial"/>
          <w:sz w:val="20"/>
          <w:szCs w:val="20"/>
        </w:rPr>
        <w:t xml:space="preserve"> in pilotnimi</w:t>
      </w:r>
      <w:r w:rsidR="003D3666">
        <w:rPr>
          <w:rFonts w:ascii="Arial" w:hAnsi="Arial" w:cs="Arial"/>
          <w:sz w:val="20"/>
          <w:szCs w:val="20"/>
        </w:rPr>
        <w:t xml:space="preserve"> projekti,</w:t>
      </w:r>
      <w:r w:rsidRPr="002D5D44">
        <w:rPr>
          <w:rFonts w:ascii="Arial" w:hAnsi="Arial" w:cs="Arial"/>
          <w:sz w:val="20"/>
          <w:szCs w:val="20"/>
        </w:rPr>
        <w:t xml:space="preserve"> katerih namen je </w:t>
      </w:r>
      <w:r w:rsidR="00876596" w:rsidRPr="002D5D44">
        <w:rPr>
          <w:rFonts w:ascii="Arial" w:hAnsi="Arial" w:cs="Arial"/>
          <w:sz w:val="20"/>
          <w:szCs w:val="20"/>
        </w:rPr>
        <w:t xml:space="preserve">bil </w:t>
      </w:r>
      <w:r w:rsidRPr="002D5D44">
        <w:rPr>
          <w:rFonts w:ascii="Arial" w:hAnsi="Arial" w:cs="Arial"/>
          <w:sz w:val="20"/>
          <w:szCs w:val="20"/>
        </w:rPr>
        <w:t xml:space="preserve">vpeljevati nova znanja in postopke pri izvajanju </w:t>
      </w:r>
      <w:r w:rsidR="00EC53D1">
        <w:rPr>
          <w:rFonts w:ascii="Arial" w:hAnsi="Arial" w:cs="Arial"/>
          <w:sz w:val="20"/>
          <w:szCs w:val="20"/>
        </w:rPr>
        <w:t xml:space="preserve">energetskih </w:t>
      </w:r>
      <w:r w:rsidRPr="002D5D44">
        <w:rPr>
          <w:rFonts w:ascii="Arial" w:hAnsi="Arial" w:cs="Arial"/>
          <w:sz w:val="20"/>
          <w:szCs w:val="20"/>
        </w:rPr>
        <w:t>prenov stavb</w:t>
      </w:r>
      <w:r w:rsidR="00876596" w:rsidRPr="002D5D44">
        <w:rPr>
          <w:rFonts w:ascii="Arial" w:hAnsi="Arial" w:cs="Arial"/>
          <w:sz w:val="20"/>
          <w:szCs w:val="20"/>
        </w:rPr>
        <w:t>.</w:t>
      </w:r>
      <w:r w:rsidR="00AF064F" w:rsidRPr="002D5D44">
        <w:rPr>
          <w:rFonts w:ascii="Arial" w:hAnsi="Arial" w:cs="Arial"/>
          <w:sz w:val="20"/>
          <w:szCs w:val="20"/>
        </w:rPr>
        <w:t xml:space="preserve"> </w:t>
      </w:r>
      <w:r w:rsidR="00EC53D1">
        <w:rPr>
          <w:rFonts w:ascii="Arial" w:hAnsi="Arial" w:cs="Arial"/>
          <w:sz w:val="20"/>
          <w:szCs w:val="20"/>
        </w:rPr>
        <w:t>Realizirani so bili</w:t>
      </w:r>
      <w:r w:rsidR="00876596" w:rsidRPr="002D5D44">
        <w:rPr>
          <w:rFonts w:ascii="Arial" w:hAnsi="Arial" w:cs="Arial"/>
          <w:sz w:val="20"/>
          <w:szCs w:val="20"/>
        </w:rPr>
        <w:t xml:space="preserve"> tri</w:t>
      </w:r>
      <w:r w:rsidR="00EC53D1">
        <w:rPr>
          <w:rFonts w:ascii="Arial" w:hAnsi="Arial" w:cs="Arial"/>
          <w:sz w:val="20"/>
          <w:szCs w:val="20"/>
        </w:rPr>
        <w:t>je</w:t>
      </w:r>
      <w:r w:rsidR="00876596" w:rsidRPr="002D5D44">
        <w:rPr>
          <w:rFonts w:ascii="Arial" w:hAnsi="Arial" w:cs="Arial"/>
          <w:sz w:val="20"/>
          <w:szCs w:val="20"/>
        </w:rPr>
        <w:t xml:space="preserve"> pilotn</w:t>
      </w:r>
      <w:r w:rsidR="00EC53D1">
        <w:rPr>
          <w:rFonts w:ascii="Arial" w:hAnsi="Arial" w:cs="Arial"/>
          <w:sz w:val="20"/>
          <w:szCs w:val="20"/>
        </w:rPr>
        <w:t>i</w:t>
      </w:r>
      <w:r w:rsidR="00876596" w:rsidRPr="002D5D44">
        <w:rPr>
          <w:rFonts w:ascii="Arial" w:hAnsi="Arial" w:cs="Arial"/>
          <w:sz w:val="20"/>
          <w:szCs w:val="20"/>
        </w:rPr>
        <w:t xml:space="preserve"> projekt</w:t>
      </w:r>
      <w:r w:rsidR="00EC53D1">
        <w:rPr>
          <w:rFonts w:ascii="Arial" w:hAnsi="Arial" w:cs="Arial"/>
          <w:sz w:val="20"/>
          <w:szCs w:val="20"/>
        </w:rPr>
        <w:t>i</w:t>
      </w:r>
      <w:r w:rsidR="00876596" w:rsidRPr="002D5D44">
        <w:rPr>
          <w:rFonts w:ascii="Arial" w:hAnsi="Arial" w:cs="Arial"/>
          <w:sz w:val="20"/>
          <w:szCs w:val="20"/>
        </w:rPr>
        <w:t xml:space="preserve"> energetske prenove stavb po modelu energetskega </w:t>
      </w:r>
      <w:proofErr w:type="spellStart"/>
      <w:r w:rsidR="00876596" w:rsidRPr="002D5D44">
        <w:rPr>
          <w:rFonts w:ascii="Arial" w:hAnsi="Arial" w:cs="Arial"/>
          <w:sz w:val="20"/>
          <w:szCs w:val="20"/>
        </w:rPr>
        <w:t>pogodbeništva</w:t>
      </w:r>
      <w:proofErr w:type="spellEnd"/>
      <w:r w:rsidR="00EC53D1">
        <w:rPr>
          <w:rFonts w:ascii="Arial" w:hAnsi="Arial" w:cs="Arial"/>
          <w:sz w:val="20"/>
          <w:szCs w:val="20"/>
        </w:rPr>
        <w:t>, sredstva se je</w:t>
      </w:r>
      <w:r w:rsidR="00876596" w:rsidRPr="002D5D44">
        <w:rPr>
          <w:rFonts w:ascii="Arial" w:hAnsi="Arial" w:cs="Arial"/>
          <w:sz w:val="20"/>
          <w:szCs w:val="20"/>
        </w:rPr>
        <w:t xml:space="preserve"> v znesku 7,4 milijona </w:t>
      </w:r>
      <w:proofErr w:type="spellStart"/>
      <w:r w:rsidR="00876596" w:rsidRPr="002D5D44">
        <w:rPr>
          <w:rFonts w:ascii="Arial" w:hAnsi="Arial" w:cs="Arial"/>
          <w:sz w:val="20"/>
          <w:szCs w:val="20"/>
        </w:rPr>
        <w:t>eurov</w:t>
      </w:r>
      <w:proofErr w:type="spellEnd"/>
      <w:r w:rsidR="00876596" w:rsidRPr="002D5D44">
        <w:rPr>
          <w:rFonts w:ascii="Arial" w:hAnsi="Arial" w:cs="Arial"/>
          <w:sz w:val="20"/>
          <w:szCs w:val="20"/>
        </w:rPr>
        <w:t xml:space="preserve"> </w:t>
      </w:r>
      <w:r w:rsidR="00EC53D1">
        <w:rPr>
          <w:rFonts w:ascii="Arial" w:hAnsi="Arial" w:cs="Arial"/>
          <w:sz w:val="20"/>
          <w:szCs w:val="20"/>
        </w:rPr>
        <w:t xml:space="preserve">dodelilo </w:t>
      </w:r>
      <w:r w:rsidR="00876596" w:rsidRPr="002D5D44">
        <w:rPr>
          <w:rFonts w:ascii="Arial" w:hAnsi="Arial" w:cs="Arial"/>
          <w:sz w:val="20"/>
          <w:szCs w:val="20"/>
        </w:rPr>
        <w:t xml:space="preserve">sedmim projektom, izbranim na javnem razpisu </w:t>
      </w:r>
      <w:r w:rsidR="00876596" w:rsidRPr="002D5D44">
        <w:rPr>
          <w:rFonts w:ascii="Arial" w:hAnsi="Arial" w:cs="Arial"/>
          <w:i/>
          <w:sz w:val="20"/>
          <w:szCs w:val="20"/>
        </w:rPr>
        <w:t>Pilotni/demonstracijski projekti – I. sklop: pretvorba, distribucija in upravljanje energije</w:t>
      </w:r>
      <w:r w:rsidR="00876596" w:rsidRPr="002D5D44">
        <w:rPr>
          <w:rFonts w:ascii="Arial" w:hAnsi="Arial" w:cs="Arial"/>
          <w:sz w:val="20"/>
          <w:szCs w:val="20"/>
        </w:rPr>
        <w:t>.</w:t>
      </w:r>
    </w:p>
    <w:p w:rsidR="00F93288" w:rsidRPr="00732494" w:rsidRDefault="00732494" w:rsidP="00B935F9">
      <w:pPr>
        <w:tabs>
          <w:tab w:val="left" w:pos="1605"/>
        </w:tabs>
        <w:spacing w:after="0" w:line="240" w:lineRule="auto"/>
        <w:jc w:val="both"/>
        <w:rPr>
          <w:rFonts w:ascii="Arial" w:hAnsi="Arial" w:cs="Arial"/>
          <w:sz w:val="20"/>
          <w:szCs w:val="20"/>
        </w:rPr>
      </w:pPr>
      <w:r>
        <w:rPr>
          <w:rFonts w:ascii="Arial" w:hAnsi="Arial" w:cs="Arial"/>
          <w:sz w:val="20"/>
          <w:szCs w:val="20"/>
        </w:rPr>
        <w:tab/>
      </w:r>
    </w:p>
    <w:p w:rsidR="00606949" w:rsidRPr="00594548" w:rsidRDefault="001941D9" w:rsidP="00606949">
      <w:pPr>
        <w:spacing w:after="0" w:line="240" w:lineRule="auto"/>
        <w:jc w:val="both"/>
        <w:rPr>
          <w:rFonts w:ascii="Arial" w:hAnsi="Arial" w:cs="Arial"/>
          <w:sz w:val="20"/>
          <w:szCs w:val="20"/>
        </w:rPr>
      </w:pPr>
      <w:r w:rsidRPr="002D5D44">
        <w:rPr>
          <w:rFonts w:ascii="Arial" w:hAnsi="Arial" w:cs="Arial"/>
          <w:sz w:val="20"/>
          <w:szCs w:val="20"/>
        </w:rPr>
        <w:t xml:space="preserve">Na področju davkov in taks </w:t>
      </w:r>
      <w:r w:rsidR="00E30089">
        <w:rPr>
          <w:rFonts w:ascii="Arial" w:hAnsi="Arial" w:cs="Arial"/>
          <w:sz w:val="20"/>
          <w:szCs w:val="20"/>
        </w:rPr>
        <w:t>je vrednost okoljske dajatve</w:t>
      </w:r>
      <w:r w:rsidR="00DA61A2" w:rsidRPr="002D5D44">
        <w:rPr>
          <w:rFonts w:ascii="Arial" w:hAnsi="Arial" w:cs="Arial"/>
          <w:sz w:val="20"/>
          <w:szCs w:val="20"/>
        </w:rPr>
        <w:t xml:space="preserve"> za onesnaževanje zraka z emisijo CO</w:t>
      </w:r>
      <w:r w:rsidR="00DA61A2" w:rsidRPr="002D5D44">
        <w:rPr>
          <w:rFonts w:ascii="Arial" w:hAnsi="Arial" w:cs="Arial"/>
          <w:sz w:val="20"/>
          <w:szCs w:val="20"/>
          <w:vertAlign w:val="subscript"/>
        </w:rPr>
        <w:t>2</w:t>
      </w:r>
      <w:r w:rsidR="00DA61A2">
        <w:rPr>
          <w:rFonts w:ascii="Arial" w:hAnsi="Arial" w:cs="Arial"/>
          <w:sz w:val="20"/>
          <w:szCs w:val="20"/>
          <w:vertAlign w:val="subscript"/>
        </w:rPr>
        <w:t xml:space="preserve"> </w:t>
      </w:r>
      <w:r w:rsidR="00E30089">
        <w:rPr>
          <w:rFonts w:ascii="Arial" w:hAnsi="Arial" w:cs="Arial"/>
          <w:sz w:val="20"/>
          <w:szCs w:val="20"/>
        </w:rPr>
        <w:t xml:space="preserve">v </w:t>
      </w:r>
      <w:r w:rsidR="00E30089" w:rsidRPr="00594548">
        <w:rPr>
          <w:rFonts w:ascii="Arial" w:hAnsi="Arial" w:cs="Arial"/>
          <w:sz w:val="20"/>
          <w:szCs w:val="20"/>
        </w:rPr>
        <w:t xml:space="preserve">preteklem letu </w:t>
      </w:r>
      <w:r w:rsidR="00DA61A2" w:rsidRPr="00594548">
        <w:rPr>
          <w:rFonts w:ascii="Arial" w:hAnsi="Arial" w:cs="Arial"/>
          <w:sz w:val="20"/>
          <w:szCs w:val="20"/>
        </w:rPr>
        <w:t xml:space="preserve">še naprej </w:t>
      </w:r>
      <w:r w:rsidR="00E30089" w:rsidRPr="00594548">
        <w:rPr>
          <w:rFonts w:ascii="Arial" w:hAnsi="Arial" w:cs="Arial"/>
          <w:sz w:val="20"/>
          <w:szCs w:val="20"/>
        </w:rPr>
        <w:t>znašala</w:t>
      </w:r>
      <w:r w:rsidR="00DA61A2" w:rsidRPr="00594548">
        <w:rPr>
          <w:rFonts w:ascii="Arial" w:hAnsi="Arial" w:cs="Arial"/>
          <w:sz w:val="20"/>
          <w:szCs w:val="20"/>
        </w:rPr>
        <w:t xml:space="preserve"> 17,3 €/t CO</w:t>
      </w:r>
      <w:r w:rsidR="00DA61A2" w:rsidRPr="00594548">
        <w:rPr>
          <w:rFonts w:ascii="Arial" w:hAnsi="Arial" w:cs="Arial"/>
          <w:sz w:val="20"/>
          <w:szCs w:val="20"/>
          <w:vertAlign w:val="subscript"/>
        </w:rPr>
        <w:t>2</w:t>
      </w:r>
      <w:r w:rsidR="00DA61A2" w:rsidRPr="00594548">
        <w:rPr>
          <w:rFonts w:ascii="Arial" w:hAnsi="Arial" w:cs="Arial"/>
          <w:sz w:val="20"/>
          <w:szCs w:val="20"/>
        </w:rPr>
        <w:t xml:space="preserve">. </w:t>
      </w:r>
    </w:p>
    <w:p w:rsidR="00606949" w:rsidRPr="00594548" w:rsidRDefault="00606949" w:rsidP="00606949">
      <w:pPr>
        <w:spacing w:after="0" w:line="240" w:lineRule="auto"/>
        <w:jc w:val="both"/>
        <w:rPr>
          <w:rFonts w:ascii="Arial" w:hAnsi="Arial" w:cs="Arial"/>
          <w:sz w:val="20"/>
          <w:szCs w:val="20"/>
        </w:rPr>
      </w:pPr>
    </w:p>
    <w:p w:rsidR="007C0EF7" w:rsidRDefault="00606949" w:rsidP="00C24483">
      <w:pPr>
        <w:spacing w:after="0" w:line="240" w:lineRule="auto"/>
        <w:jc w:val="both"/>
        <w:rPr>
          <w:rFonts w:ascii="Arial" w:hAnsi="Arial" w:cs="Arial"/>
          <w:sz w:val="20"/>
          <w:szCs w:val="20"/>
        </w:rPr>
      </w:pPr>
      <w:r w:rsidRPr="00594548">
        <w:rPr>
          <w:rFonts w:ascii="Arial" w:hAnsi="Arial" w:cs="Arial"/>
          <w:sz w:val="20"/>
          <w:szCs w:val="20"/>
        </w:rPr>
        <w:t xml:space="preserve">Pomembna ukrepa, ki podpirata cilje OP TGP 2020 na davčnem področju, sta </w:t>
      </w:r>
      <w:r w:rsidRPr="00594548">
        <w:rPr>
          <w:rFonts w:ascii="Arial" w:hAnsi="Arial" w:cs="Arial"/>
          <w:i/>
          <w:sz w:val="20"/>
          <w:szCs w:val="20"/>
        </w:rPr>
        <w:t>Postopno zmanjševanje subvencij fosilnim gorivom</w:t>
      </w:r>
      <w:r w:rsidRPr="00594548">
        <w:rPr>
          <w:rFonts w:ascii="Arial" w:hAnsi="Arial" w:cs="Arial"/>
          <w:sz w:val="20"/>
          <w:szCs w:val="20"/>
        </w:rPr>
        <w:t xml:space="preserve"> oz. </w:t>
      </w:r>
      <w:r w:rsidRPr="00594548">
        <w:rPr>
          <w:rFonts w:ascii="Arial" w:hAnsi="Arial" w:cs="Arial"/>
          <w:i/>
          <w:sz w:val="20"/>
          <w:szCs w:val="20"/>
        </w:rPr>
        <w:t>Postopno ukinjanje neučinkovitih subvencij</w:t>
      </w:r>
      <w:r w:rsidRPr="00594548">
        <w:rPr>
          <w:rFonts w:ascii="Arial" w:hAnsi="Arial" w:cs="Arial"/>
          <w:sz w:val="20"/>
          <w:szCs w:val="20"/>
        </w:rPr>
        <w:t xml:space="preserve"> – </w:t>
      </w:r>
      <w:r w:rsidRPr="00594548">
        <w:rPr>
          <w:rFonts w:ascii="Arial" w:hAnsi="Arial" w:cs="Arial"/>
          <w:i/>
          <w:sz w:val="20"/>
          <w:szCs w:val="20"/>
        </w:rPr>
        <w:t>Odpraviti instrumente izkrivljanja tržnih cen z okolju škodljivimi subvencijami</w:t>
      </w:r>
      <w:r w:rsidRPr="00594548">
        <w:rPr>
          <w:rFonts w:ascii="Arial" w:hAnsi="Arial" w:cs="Arial"/>
          <w:sz w:val="20"/>
          <w:szCs w:val="20"/>
        </w:rPr>
        <w:t xml:space="preserve"> in S</w:t>
      </w:r>
      <w:r w:rsidRPr="00594548">
        <w:rPr>
          <w:rFonts w:ascii="Arial" w:hAnsi="Arial" w:cs="Arial"/>
          <w:i/>
          <w:sz w:val="20"/>
          <w:szCs w:val="20"/>
        </w:rPr>
        <w:t xml:space="preserve">podbujanje energetske učinkovitosti in izkoriščanja </w:t>
      </w:r>
      <w:r w:rsidR="006B7BBE" w:rsidRPr="00594548">
        <w:rPr>
          <w:rFonts w:ascii="Arial" w:hAnsi="Arial" w:cs="Arial"/>
          <w:i/>
          <w:sz w:val="20"/>
          <w:szCs w:val="20"/>
        </w:rPr>
        <w:t>OVE</w:t>
      </w:r>
      <w:r w:rsidRPr="00594548">
        <w:rPr>
          <w:rFonts w:ascii="Arial" w:hAnsi="Arial" w:cs="Arial"/>
          <w:sz w:val="20"/>
          <w:szCs w:val="20"/>
        </w:rPr>
        <w:t xml:space="preserve"> v okviru drugih davkov na energente, kjer se spodbuja </w:t>
      </w:r>
      <w:r>
        <w:rPr>
          <w:rFonts w:ascii="Arial" w:hAnsi="Arial" w:cs="Arial"/>
          <w:color w:val="000000"/>
          <w:sz w:val="20"/>
          <w:szCs w:val="20"/>
        </w:rPr>
        <w:t xml:space="preserve">raba alternativnih goriv in vozil v prometu na področju električne mobilnosti, rabe utekočinjenega naftnega plina ter stisnjenega in utekočinjenega zemeljskega plina. </w:t>
      </w:r>
      <w:r w:rsidR="007C0EF7">
        <w:rPr>
          <w:rFonts w:ascii="Arial" w:hAnsi="Arial" w:cs="Arial"/>
          <w:sz w:val="20"/>
          <w:szCs w:val="20"/>
        </w:rPr>
        <w:t>V letu 2017 v ureditvi teh dveh področij glede podpore ciljem OP TGP ni bilo sprememb.</w:t>
      </w:r>
      <w:r w:rsidR="007C0EF7">
        <w:rPr>
          <w:rFonts w:ascii="Arial" w:hAnsi="Arial" w:cs="Arial"/>
          <w:color w:val="000000"/>
          <w:sz w:val="20"/>
          <w:szCs w:val="20"/>
        </w:rPr>
        <w:t xml:space="preserve"> </w:t>
      </w:r>
      <w:r w:rsidR="007C0EF7">
        <w:rPr>
          <w:rFonts w:ascii="Arial" w:hAnsi="Arial" w:cs="Arial"/>
          <w:sz w:val="20"/>
          <w:szCs w:val="20"/>
        </w:rPr>
        <w:t>U</w:t>
      </w:r>
      <w:r w:rsidR="007C0EF7" w:rsidRPr="002D5D44">
        <w:rPr>
          <w:rFonts w:ascii="Arial" w:hAnsi="Arial" w:cs="Arial"/>
          <w:sz w:val="20"/>
          <w:szCs w:val="20"/>
        </w:rPr>
        <w:t>reditev glede vračila trošarin se kljub sprejetima dvema pravilnikoma o vračilu trošarine ni spremenila</w:t>
      </w:r>
      <w:r w:rsidR="007C0EF7">
        <w:rPr>
          <w:rFonts w:ascii="Arial" w:hAnsi="Arial" w:cs="Arial"/>
          <w:sz w:val="20"/>
          <w:szCs w:val="20"/>
        </w:rPr>
        <w:t>. S</w:t>
      </w:r>
      <w:r w:rsidR="007C0EF7" w:rsidRPr="002D5D44">
        <w:rPr>
          <w:rFonts w:ascii="Arial" w:hAnsi="Arial" w:cs="Arial"/>
          <w:sz w:val="20"/>
          <w:szCs w:val="20"/>
        </w:rPr>
        <w:t>ubvencij</w:t>
      </w:r>
      <w:r w:rsidR="007C0EF7">
        <w:rPr>
          <w:rFonts w:ascii="Arial" w:hAnsi="Arial" w:cs="Arial"/>
          <w:sz w:val="20"/>
          <w:szCs w:val="20"/>
        </w:rPr>
        <w:t>e</w:t>
      </w:r>
      <w:r w:rsidR="007C0EF7" w:rsidRPr="002D5D44">
        <w:rPr>
          <w:rFonts w:ascii="Arial" w:hAnsi="Arial" w:cs="Arial"/>
          <w:sz w:val="20"/>
          <w:szCs w:val="20"/>
        </w:rPr>
        <w:t xml:space="preserve"> za fosilna goriva se</w:t>
      </w:r>
      <w:r w:rsidR="007C0EF7">
        <w:rPr>
          <w:rFonts w:ascii="Arial" w:hAnsi="Arial" w:cs="Arial"/>
          <w:sz w:val="20"/>
          <w:szCs w:val="20"/>
        </w:rPr>
        <w:t xml:space="preserve"> niso zmanjševale. </w:t>
      </w:r>
    </w:p>
    <w:p w:rsidR="007C0EF7" w:rsidRPr="00594548" w:rsidRDefault="007C0EF7" w:rsidP="00C24483">
      <w:pPr>
        <w:spacing w:after="0" w:line="240" w:lineRule="auto"/>
        <w:jc w:val="both"/>
        <w:rPr>
          <w:rFonts w:ascii="Arial" w:hAnsi="Arial" w:cs="Arial"/>
          <w:sz w:val="20"/>
          <w:szCs w:val="20"/>
        </w:rPr>
      </w:pPr>
    </w:p>
    <w:p w:rsidR="00C17860" w:rsidRDefault="00DA61A2" w:rsidP="00DC1F19">
      <w:pPr>
        <w:spacing w:after="0" w:line="240" w:lineRule="auto"/>
        <w:jc w:val="both"/>
        <w:rPr>
          <w:rFonts w:ascii="Arial" w:hAnsi="Arial" w:cs="Arial"/>
          <w:sz w:val="20"/>
          <w:szCs w:val="20"/>
        </w:rPr>
      </w:pPr>
      <w:r>
        <w:rPr>
          <w:rFonts w:ascii="Arial" w:hAnsi="Arial" w:cs="Arial"/>
          <w:sz w:val="20"/>
          <w:szCs w:val="20"/>
        </w:rPr>
        <w:t xml:space="preserve">Leta 2017 se je </w:t>
      </w:r>
      <w:r w:rsidR="00A516B5">
        <w:rPr>
          <w:rFonts w:ascii="Arial" w:hAnsi="Arial" w:cs="Arial"/>
          <w:sz w:val="20"/>
          <w:szCs w:val="20"/>
        </w:rPr>
        <w:t xml:space="preserve">začelo </w:t>
      </w:r>
      <w:r w:rsidR="006A5C9E">
        <w:rPr>
          <w:rFonts w:ascii="Arial" w:hAnsi="Arial" w:cs="Arial"/>
          <w:sz w:val="20"/>
          <w:szCs w:val="20"/>
        </w:rPr>
        <w:t>z vladnim</w:t>
      </w:r>
      <w:r w:rsidR="006A5C9E" w:rsidRPr="002D5D44">
        <w:rPr>
          <w:rFonts w:ascii="Arial" w:hAnsi="Arial" w:cs="Arial"/>
          <w:sz w:val="20"/>
          <w:szCs w:val="20"/>
        </w:rPr>
        <w:t xml:space="preserve"> </w:t>
      </w:r>
      <w:r w:rsidR="00DA4F0B" w:rsidRPr="002D5D44">
        <w:rPr>
          <w:rFonts w:ascii="Arial" w:hAnsi="Arial" w:cs="Arial"/>
          <w:sz w:val="20"/>
          <w:szCs w:val="20"/>
        </w:rPr>
        <w:t>strateškim razvojnim projektom</w:t>
      </w:r>
      <w:r w:rsidR="00F94192" w:rsidRPr="002D5D44">
        <w:rPr>
          <w:rFonts w:ascii="Arial" w:hAnsi="Arial" w:cs="Arial"/>
          <w:sz w:val="20"/>
          <w:szCs w:val="20"/>
        </w:rPr>
        <w:t xml:space="preserve"> </w:t>
      </w:r>
      <w:r w:rsidR="00CA67FE" w:rsidRPr="00CF0D96">
        <w:rPr>
          <w:rFonts w:ascii="Arial" w:hAnsi="Arial" w:cs="Arial"/>
          <w:i/>
          <w:sz w:val="20"/>
          <w:szCs w:val="20"/>
        </w:rPr>
        <w:t xml:space="preserve">P3: </w:t>
      </w:r>
      <w:r w:rsidR="00F94192" w:rsidRPr="00CF0D96">
        <w:rPr>
          <w:rFonts w:ascii="Arial" w:hAnsi="Arial" w:cs="Arial"/>
          <w:i/>
          <w:sz w:val="20"/>
          <w:szCs w:val="20"/>
        </w:rPr>
        <w:t>Zelena</w:t>
      </w:r>
      <w:r w:rsidR="00F94192" w:rsidRPr="003D3666">
        <w:rPr>
          <w:rFonts w:ascii="Arial" w:hAnsi="Arial" w:cs="Arial"/>
          <w:i/>
          <w:sz w:val="20"/>
          <w:szCs w:val="20"/>
        </w:rPr>
        <w:t xml:space="preserve"> proračunska reforma</w:t>
      </w:r>
      <w:r w:rsidR="00B935F9">
        <w:rPr>
          <w:rFonts w:ascii="Arial" w:hAnsi="Arial" w:cs="Arial"/>
          <w:i/>
          <w:sz w:val="20"/>
          <w:szCs w:val="20"/>
        </w:rPr>
        <w:t>.</w:t>
      </w:r>
      <w:r w:rsidR="00B935F9">
        <w:rPr>
          <w:rFonts w:ascii="Arial" w:hAnsi="Arial" w:cs="Arial"/>
          <w:sz w:val="20"/>
          <w:szCs w:val="20"/>
        </w:rPr>
        <w:t xml:space="preserve"> </w:t>
      </w:r>
      <w:r w:rsidR="002A1584">
        <w:rPr>
          <w:rFonts w:ascii="Arial" w:hAnsi="Arial" w:cs="Arial"/>
          <w:sz w:val="20"/>
          <w:szCs w:val="20"/>
        </w:rPr>
        <w:t xml:space="preserve">Vizija na tem področju je oblikovati takšno ekonomsko politiko države, da bo z medsebojno povezanim in usklajenim naborom ukrepov bolje podprt prehod v bolj učinkovito in okolju prijaznejše </w:t>
      </w:r>
      <w:r w:rsidR="002A1584" w:rsidRPr="00C24483">
        <w:rPr>
          <w:rFonts w:ascii="Arial" w:hAnsi="Arial" w:cs="Arial"/>
          <w:sz w:val="20"/>
          <w:szCs w:val="20"/>
        </w:rPr>
        <w:t xml:space="preserve">gospodarstvo. </w:t>
      </w:r>
      <w:r w:rsidRPr="00C24483">
        <w:rPr>
          <w:rFonts w:ascii="Arial" w:hAnsi="Arial" w:cs="Arial"/>
          <w:sz w:val="20"/>
          <w:szCs w:val="20"/>
        </w:rPr>
        <w:t xml:space="preserve">Delovna skupina za izvedbo projekta se je </w:t>
      </w:r>
      <w:r w:rsidRPr="00C24483">
        <w:rPr>
          <w:rFonts w:ascii="Arial" w:eastAsia="Times New Roman" w:hAnsi="Arial" w:cs="Arial"/>
          <w:sz w:val="20"/>
          <w:szCs w:val="20"/>
          <w:lang w:eastAsia="sl-SI"/>
        </w:rPr>
        <w:t>osredotočila na pregled in analizo obstoječih davčnih olajšav, subvencij in drugih spodbud. Ugotavljalo se je kateri izmed ukrepov imajo negativne in kateri pozitivne okoljske (podnebne) učinke, ter proučilo možnosti izboljšanja ali nadomestitve neučinkovitih ukrepov z drugimi.</w:t>
      </w:r>
      <w:r w:rsidRPr="00C24483">
        <w:rPr>
          <w:rFonts w:ascii="Arial" w:hAnsi="Arial" w:cs="Arial"/>
          <w:sz w:val="20"/>
          <w:szCs w:val="20"/>
        </w:rPr>
        <w:t xml:space="preserve"> </w:t>
      </w:r>
      <w:r w:rsidR="00295AF0" w:rsidRPr="0088737E">
        <w:rPr>
          <w:rFonts w:ascii="Arial" w:eastAsia="Times New Roman" w:hAnsi="Arial" w:cs="Arial"/>
          <w:sz w:val="20"/>
          <w:szCs w:val="20"/>
        </w:rPr>
        <w:t>V okviru opravljene analize je bila z vidika emisij TGP posebna pozornost namenjena področju uporabe fosilnih goriv in spodbudam za nakup dizelskega goriva za pogon</w:t>
      </w:r>
      <w:r w:rsidR="00597F26">
        <w:rPr>
          <w:rFonts w:ascii="Arial" w:eastAsia="Times New Roman" w:hAnsi="Arial" w:cs="Arial"/>
          <w:sz w:val="20"/>
          <w:szCs w:val="20"/>
        </w:rPr>
        <w:t>.</w:t>
      </w:r>
      <w:r w:rsidR="00295AF0" w:rsidRPr="00C24483">
        <w:rPr>
          <w:rFonts w:ascii="Arial" w:hAnsi="Arial" w:cs="Arial"/>
          <w:sz w:val="20"/>
          <w:szCs w:val="20"/>
        </w:rPr>
        <w:t xml:space="preserve"> </w:t>
      </w:r>
      <w:r w:rsidRPr="00C24483">
        <w:rPr>
          <w:rFonts w:ascii="Arial" w:hAnsi="Arial" w:cs="Arial"/>
          <w:sz w:val="20"/>
          <w:szCs w:val="20"/>
        </w:rPr>
        <w:t>Med drugim</w:t>
      </w:r>
      <w:r>
        <w:rPr>
          <w:rFonts w:ascii="Arial" w:hAnsi="Arial" w:cs="Arial"/>
          <w:sz w:val="20"/>
          <w:szCs w:val="20"/>
        </w:rPr>
        <w:t xml:space="preserve"> je</w:t>
      </w:r>
      <w:r w:rsidRPr="00C24483">
        <w:rPr>
          <w:rFonts w:ascii="Arial" w:hAnsi="Arial" w:cs="Arial"/>
          <w:sz w:val="20"/>
          <w:szCs w:val="20"/>
        </w:rPr>
        <w:t xml:space="preserve"> analiza potrdila, da Republika Slovenija precej sredstev namenja različnim spodbudam za nakup dizelskega goriva za pogon, kar prispeva k večjim emisijam TGP</w:t>
      </w:r>
      <w:r w:rsidR="00146F40">
        <w:rPr>
          <w:rFonts w:ascii="Arial" w:hAnsi="Arial" w:cs="Arial"/>
          <w:sz w:val="20"/>
          <w:szCs w:val="20"/>
        </w:rPr>
        <w:t xml:space="preserve">, zato </w:t>
      </w:r>
      <w:r w:rsidRPr="00C24483">
        <w:rPr>
          <w:rFonts w:ascii="Arial" w:hAnsi="Arial" w:cs="Arial"/>
          <w:sz w:val="20"/>
          <w:szCs w:val="20"/>
        </w:rPr>
        <w:t xml:space="preserve"> bi jih bilo</w:t>
      </w:r>
      <w:r w:rsidR="00146F40">
        <w:rPr>
          <w:rFonts w:ascii="Arial" w:hAnsi="Arial" w:cs="Arial"/>
          <w:sz w:val="20"/>
          <w:szCs w:val="20"/>
        </w:rPr>
        <w:t xml:space="preserve"> </w:t>
      </w:r>
      <w:r w:rsidR="00F75F8A">
        <w:rPr>
          <w:rFonts w:ascii="Arial" w:hAnsi="Arial" w:cs="Arial"/>
          <w:sz w:val="20"/>
          <w:szCs w:val="20"/>
        </w:rPr>
        <w:t>primerno</w:t>
      </w:r>
      <w:r w:rsidR="00F75F8A" w:rsidRPr="00C24483">
        <w:rPr>
          <w:rFonts w:ascii="Arial" w:hAnsi="Arial" w:cs="Arial"/>
          <w:sz w:val="20"/>
          <w:szCs w:val="20"/>
        </w:rPr>
        <w:t xml:space="preserve"> </w:t>
      </w:r>
      <w:r w:rsidRPr="00C24483">
        <w:rPr>
          <w:rFonts w:ascii="Arial" w:hAnsi="Arial" w:cs="Arial"/>
          <w:sz w:val="20"/>
          <w:szCs w:val="20"/>
        </w:rPr>
        <w:t>odpraviti</w:t>
      </w:r>
      <w:r w:rsidR="00146F40">
        <w:rPr>
          <w:rFonts w:ascii="Arial" w:hAnsi="Arial" w:cs="Arial"/>
          <w:sz w:val="20"/>
          <w:szCs w:val="20"/>
        </w:rPr>
        <w:t xml:space="preserve"> </w:t>
      </w:r>
      <w:r w:rsidR="00F75F8A">
        <w:rPr>
          <w:rFonts w:ascii="Arial" w:hAnsi="Arial" w:cs="Arial"/>
          <w:sz w:val="20"/>
          <w:szCs w:val="20"/>
        </w:rPr>
        <w:t>ob hkratnem upoštevanju vpliva teh spodbud na konkurenčnost gospodarstva in javnofinančne prihodke</w:t>
      </w:r>
      <w:r w:rsidR="0080438E">
        <w:rPr>
          <w:rFonts w:ascii="Arial" w:hAnsi="Arial" w:cs="Arial"/>
          <w:sz w:val="20"/>
          <w:szCs w:val="20"/>
        </w:rPr>
        <w:t xml:space="preserve"> </w:t>
      </w:r>
      <w:r w:rsidR="00F75F8A">
        <w:rPr>
          <w:rFonts w:ascii="Arial" w:hAnsi="Arial" w:cs="Arial"/>
          <w:sz w:val="20"/>
          <w:szCs w:val="20"/>
        </w:rPr>
        <w:t>(Zaključno poročilo projekta P3:Zelena proračunska reforma, str. 15, 16)</w:t>
      </w:r>
      <w:r w:rsidRPr="00C24483">
        <w:rPr>
          <w:rFonts w:ascii="Arial" w:hAnsi="Arial" w:cs="Arial"/>
          <w:sz w:val="20"/>
          <w:szCs w:val="20"/>
        </w:rPr>
        <w:t xml:space="preserve">. Z namenom spodbuditi razpravo o mogočem preoblikovanju posameznih spodbud je bilo pripravljenih pet primerov scenarijev, ki prikazujejo vpliv petih različnih spodbud na obremenjevanje okolja, konkurenčnost gospodarstva in na javnofinančne prihodke. Dodatno se je pripravilo in priporočilo uporabo zelenega (okoljskega) testa za oceno vpliva vsakega vladnega gradiva na okolje. Del tega testa je tudi presojanje posledic na emisije TGP. </w:t>
      </w:r>
      <w:r w:rsidR="00CF0D96">
        <w:rPr>
          <w:rFonts w:ascii="Arial" w:hAnsi="Arial" w:cs="Arial"/>
          <w:sz w:val="20"/>
          <w:szCs w:val="20"/>
        </w:rPr>
        <w:t xml:space="preserve">Projekt se je zaključil aprila 2018. </w:t>
      </w:r>
      <w:r w:rsidR="00460EE6" w:rsidRPr="00C24483">
        <w:rPr>
          <w:rFonts w:ascii="Arial" w:hAnsi="Arial" w:cs="Arial"/>
          <w:sz w:val="20"/>
          <w:szCs w:val="20"/>
        </w:rPr>
        <w:t>V zaključnem poročilu</w:t>
      </w:r>
      <w:r w:rsidR="00CF0D96" w:rsidRPr="00C24483">
        <w:rPr>
          <w:rStyle w:val="Sprotnaopomba-sklic"/>
          <w:rFonts w:ascii="Arial" w:hAnsi="Arial" w:cs="Arial"/>
          <w:sz w:val="20"/>
          <w:szCs w:val="20"/>
        </w:rPr>
        <w:footnoteReference w:id="11"/>
      </w:r>
      <w:r>
        <w:rPr>
          <w:rFonts w:ascii="Arial" w:hAnsi="Arial" w:cs="Arial"/>
          <w:sz w:val="20"/>
          <w:szCs w:val="20"/>
        </w:rPr>
        <w:t xml:space="preserve"> </w:t>
      </w:r>
      <w:r w:rsidR="007C0EF7">
        <w:rPr>
          <w:rFonts w:ascii="Arial" w:hAnsi="Arial" w:cs="Arial"/>
          <w:sz w:val="20"/>
          <w:szCs w:val="20"/>
        </w:rPr>
        <w:t>se je kot ključno</w:t>
      </w:r>
      <w:r w:rsidR="00460EE6" w:rsidRPr="00C24483">
        <w:rPr>
          <w:rFonts w:ascii="Arial" w:hAnsi="Arial" w:cs="Arial"/>
          <w:sz w:val="20"/>
          <w:szCs w:val="20"/>
        </w:rPr>
        <w:t xml:space="preserve"> izpostav</w:t>
      </w:r>
      <w:r w:rsidR="007C0EF7">
        <w:rPr>
          <w:rFonts w:ascii="Arial" w:hAnsi="Arial" w:cs="Arial"/>
          <w:sz w:val="20"/>
          <w:szCs w:val="20"/>
        </w:rPr>
        <w:t>ilo</w:t>
      </w:r>
      <w:r w:rsidR="00460EE6" w:rsidRPr="00C24483">
        <w:rPr>
          <w:rFonts w:ascii="Arial" w:hAnsi="Arial" w:cs="Arial"/>
          <w:sz w:val="20"/>
          <w:szCs w:val="20"/>
        </w:rPr>
        <w:t xml:space="preserve">, da projekt predstavlja eno izmed pomembnih orodij za nadaljnje ukrepanje na področju postopne odprave </w:t>
      </w:r>
      <w:r w:rsidR="007F2205">
        <w:rPr>
          <w:rFonts w:ascii="Arial" w:hAnsi="Arial" w:cs="Arial"/>
          <w:sz w:val="20"/>
          <w:szCs w:val="20"/>
        </w:rPr>
        <w:t xml:space="preserve">t. i. </w:t>
      </w:r>
      <w:r w:rsidR="00460EE6" w:rsidRPr="00C24483">
        <w:rPr>
          <w:rFonts w:ascii="Arial" w:hAnsi="Arial" w:cs="Arial"/>
          <w:sz w:val="20"/>
          <w:szCs w:val="20"/>
        </w:rPr>
        <w:t xml:space="preserve">okolju škodljivih subvencij. </w:t>
      </w:r>
    </w:p>
    <w:p w:rsidR="00F93288" w:rsidRPr="002D5D44" w:rsidRDefault="00F93288" w:rsidP="0054537F">
      <w:pPr>
        <w:autoSpaceDE w:val="0"/>
        <w:autoSpaceDN w:val="0"/>
        <w:adjustRightInd w:val="0"/>
        <w:spacing w:after="0" w:line="240" w:lineRule="auto"/>
        <w:jc w:val="both"/>
        <w:rPr>
          <w:rFonts w:ascii="Arial" w:hAnsi="Arial" w:cs="Arial"/>
          <w:sz w:val="20"/>
          <w:szCs w:val="20"/>
        </w:rPr>
      </w:pPr>
    </w:p>
    <w:p w:rsidR="00B73EE0" w:rsidRPr="00594548" w:rsidRDefault="00B73EE0" w:rsidP="00A73600">
      <w:pPr>
        <w:autoSpaceDE w:val="0"/>
        <w:autoSpaceDN w:val="0"/>
        <w:spacing w:after="0" w:line="240" w:lineRule="auto"/>
        <w:jc w:val="both"/>
        <w:rPr>
          <w:rFonts w:ascii="Arial" w:hAnsi="Arial" w:cs="Arial"/>
          <w:sz w:val="20"/>
          <w:szCs w:val="20"/>
        </w:rPr>
      </w:pPr>
      <w:r w:rsidRPr="00594548">
        <w:rPr>
          <w:rFonts w:ascii="Arial" w:hAnsi="Arial" w:cs="Arial"/>
          <w:sz w:val="20"/>
          <w:szCs w:val="20"/>
        </w:rPr>
        <w:t>S 1.1.2018 je začela veljati nova Uredba o zelenem javnem naročanju</w:t>
      </w:r>
      <w:r w:rsidR="00CA764C" w:rsidRPr="00594548">
        <w:rPr>
          <w:rStyle w:val="Sprotnaopomba-sklic"/>
          <w:rFonts w:ascii="Arial" w:hAnsi="Arial" w:cs="Arial"/>
          <w:sz w:val="20"/>
          <w:szCs w:val="20"/>
        </w:rPr>
        <w:footnoteReference w:id="12"/>
      </w:r>
      <w:r w:rsidRPr="00753F5D">
        <w:rPr>
          <w:rFonts w:ascii="Arial" w:hAnsi="Arial" w:cs="Arial"/>
          <w:sz w:val="20"/>
          <w:szCs w:val="20"/>
        </w:rPr>
        <w:t xml:space="preserve"> </w:t>
      </w:r>
      <w:r w:rsidRPr="00594548">
        <w:rPr>
          <w:rFonts w:ascii="Arial" w:hAnsi="Arial" w:cs="Arial"/>
          <w:sz w:val="20"/>
          <w:szCs w:val="20"/>
        </w:rPr>
        <w:t xml:space="preserve">(v nadaljnjem besedilu: Uredba o </w:t>
      </w:r>
      <w:proofErr w:type="spellStart"/>
      <w:r w:rsidRPr="00594548">
        <w:rPr>
          <w:rFonts w:ascii="Arial" w:hAnsi="Arial" w:cs="Arial"/>
          <w:sz w:val="20"/>
          <w:szCs w:val="20"/>
        </w:rPr>
        <w:t>ZeJN</w:t>
      </w:r>
      <w:proofErr w:type="spellEnd"/>
      <w:r w:rsidRPr="00594548">
        <w:rPr>
          <w:rFonts w:ascii="Arial" w:hAnsi="Arial" w:cs="Arial"/>
          <w:sz w:val="20"/>
          <w:szCs w:val="20"/>
        </w:rPr>
        <w:t xml:space="preserve">), ki uvaja prenovljen koncept urejanja zelenega javnega naročanja. Področje uporabe razširja na več predmetov, od prejšnjih dvanajst na sedanjih dvajset. Uredba o </w:t>
      </w:r>
      <w:proofErr w:type="spellStart"/>
      <w:r w:rsidRPr="00594548">
        <w:rPr>
          <w:rFonts w:ascii="Arial" w:hAnsi="Arial" w:cs="Arial"/>
          <w:sz w:val="20"/>
          <w:szCs w:val="20"/>
        </w:rPr>
        <w:t>ZeJN</w:t>
      </w:r>
      <w:proofErr w:type="spellEnd"/>
      <w:r w:rsidRPr="00594548">
        <w:rPr>
          <w:rFonts w:ascii="Arial" w:hAnsi="Arial" w:cs="Arial"/>
          <w:sz w:val="20"/>
          <w:szCs w:val="20"/>
        </w:rPr>
        <w:t xml:space="preserve"> določa, za katere predmete je zeleno javno naročanje obvezno, katere okoljske vidike naj naročnik upoštevajo pri oddaji javnih naročil ter cilje, ki jih mora v vsakem postopku javnega naročanja za naročanje predmetov iz prenovljene uredbe doseči naročnik. Med okoljskimi vidiki Uredba o </w:t>
      </w:r>
      <w:proofErr w:type="spellStart"/>
      <w:r w:rsidRPr="00594548">
        <w:rPr>
          <w:rFonts w:ascii="Arial" w:hAnsi="Arial" w:cs="Arial"/>
          <w:sz w:val="20"/>
          <w:szCs w:val="20"/>
        </w:rPr>
        <w:t>ZeJN</w:t>
      </w:r>
      <w:proofErr w:type="spellEnd"/>
      <w:r w:rsidRPr="00594548">
        <w:rPr>
          <w:rFonts w:ascii="Arial" w:hAnsi="Arial" w:cs="Arial"/>
          <w:sz w:val="20"/>
          <w:szCs w:val="20"/>
        </w:rPr>
        <w:t xml:space="preserve"> opredeljuje energijsko učinkovitost in uporabo obnovljivih oziroma drugih nizko-ali </w:t>
      </w:r>
      <w:proofErr w:type="spellStart"/>
      <w:r w:rsidRPr="00594548">
        <w:rPr>
          <w:rFonts w:ascii="Arial" w:hAnsi="Arial" w:cs="Arial"/>
          <w:sz w:val="20"/>
          <w:szCs w:val="20"/>
        </w:rPr>
        <w:t>brezogljičnih</w:t>
      </w:r>
      <w:proofErr w:type="spellEnd"/>
      <w:r w:rsidRPr="00594548">
        <w:rPr>
          <w:rFonts w:ascii="Arial" w:hAnsi="Arial" w:cs="Arial"/>
          <w:sz w:val="20"/>
          <w:szCs w:val="20"/>
        </w:rPr>
        <w:t xml:space="preserve"> alternativnih virov energije, prav tako pa se uporaba OVE izrecno omenja tudi med cilji (npr. za električno energijo, vozila). Poleg predmetov, ki so bili del zelenega javnega naročanja že po predhodni ureditvi, so v novo Uredbo o </w:t>
      </w:r>
      <w:proofErr w:type="spellStart"/>
      <w:r w:rsidRPr="00594548">
        <w:rPr>
          <w:rFonts w:ascii="Arial" w:hAnsi="Arial" w:cs="Arial"/>
          <w:sz w:val="20"/>
          <w:szCs w:val="20"/>
        </w:rPr>
        <w:t>ZeJN</w:t>
      </w:r>
      <w:proofErr w:type="spellEnd"/>
      <w:r w:rsidRPr="00594548">
        <w:rPr>
          <w:rFonts w:ascii="Arial" w:hAnsi="Arial" w:cs="Arial"/>
          <w:sz w:val="20"/>
          <w:szCs w:val="20"/>
        </w:rPr>
        <w:t xml:space="preserve"> vključeni še naslednji dodatni predmeti: tekstilni izdelki, grelniki vode, grelniki prostora in njihove </w:t>
      </w:r>
      <w:r w:rsidRPr="00594548">
        <w:rPr>
          <w:rFonts w:ascii="Arial" w:hAnsi="Arial" w:cs="Arial"/>
          <w:sz w:val="20"/>
          <w:szCs w:val="20"/>
        </w:rPr>
        <w:lastRenderedPageBreak/>
        <w:t xml:space="preserve">kombinacije ter hranilniki tople vode, sanitarne armature, oprema za stranišča na splakovanje in oprema za pisoarje, stenske plošče, projektiranje oziroma izvedba gradnje cest in cestna razsvetljava in prometna signalizacija. Med predmete iz Uredbe o </w:t>
      </w:r>
      <w:proofErr w:type="spellStart"/>
      <w:r w:rsidRPr="00594548">
        <w:rPr>
          <w:rFonts w:ascii="Arial" w:hAnsi="Arial" w:cs="Arial"/>
          <w:sz w:val="20"/>
          <w:szCs w:val="20"/>
        </w:rPr>
        <w:t>ZeJN</w:t>
      </w:r>
      <w:proofErr w:type="spellEnd"/>
      <w:r w:rsidRPr="00594548">
        <w:rPr>
          <w:rFonts w:ascii="Arial" w:hAnsi="Arial" w:cs="Arial"/>
          <w:sz w:val="20"/>
          <w:szCs w:val="20"/>
        </w:rPr>
        <w:t xml:space="preserve"> sodi tudi projektiranje oziroma izvedba gradnje stavb, ki je bilo že del predhodne Uredbe o zelenem javnem naročanju, veljavne do 1.1.2018, pri čemer je obseg sedaj zožen zgolj na upravne in poslovne stavbe (klasifikacija objektov CC-SI 122), naročnik pa lahko alternativno uporabi tudi katerega od priznanih sistemov gradnje in certificiranje trajnostne gradnje, kot so</w:t>
      </w:r>
      <w:r w:rsidRPr="00594548">
        <w:rPr>
          <w:rFonts w:ascii="Arial" w:hAnsi="Arial" w:cs="Arial"/>
          <w:color w:val="70AD47"/>
          <w:sz w:val="20"/>
          <w:szCs w:val="20"/>
        </w:rPr>
        <w:t xml:space="preserve"> </w:t>
      </w:r>
      <w:r w:rsidRPr="00594548">
        <w:rPr>
          <w:rFonts w:ascii="Arial" w:hAnsi="Arial" w:cs="Arial"/>
          <w:sz w:val="20"/>
          <w:szCs w:val="20"/>
        </w:rPr>
        <w:t xml:space="preserve">npr. DGNB, BREEAM, LEED, pri čemer v primeru tovrstne trajnostne gradnje ni potrebno doseči cilja iz 6. člena Uredbe o </w:t>
      </w:r>
      <w:proofErr w:type="spellStart"/>
      <w:r w:rsidRPr="00594548">
        <w:rPr>
          <w:rFonts w:ascii="Arial" w:hAnsi="Arial" w:cs="Arial"/>
          <w:sz w:val="20"/>
          <w:szCs w:val="20"/>
        </w:rPr>
        <w:t>ZeJN</w:t>
      </w:r>
      <w:proofErr w:type="spellEnd"/>
      <w:r w:rsidRPr="00594548">
        <w:rPr>
          <w:rFonts w:ascii="Arial" w:hAnsi="Arial" w:cs="Arial"/>
          <w:sz w:val="20"/>
          <w:szCs w:val="20"/>
        </w:rPr>
        <w:t>.</w:t>
      </w:r>
    </w:p>
    <w:p w:rsidR="00753F5D" w:rsidRPr="00594548" w:rsidRDefault="00753F5D" w:rsidP="00A73600">
      <w:pPr>
        <w:autoSpaceDE w:val="0"/>
        <w:autoSpaceDN w:val="0"/>
        <w:spacing w:after="0" w:line="240" w:lineRule="auto"/>
        <w:jc w:val="both"/>
        <w:rPr>
          <w:rFonts w:ascii="Arial" w:hAnsi="Arial" w:cs="Arial"/>
          <w:sz w:val="20"/>
          <w:szCs w:val="20"/>
          <w:lang w:eastAsia="sl-SI"/>
        </w:rPr>
      </w:pPr>
      <w:r w:rsidRPr="00594548">
        <w:rPr>
          <w:rFonts w:ascii="Arial" w:hAnsi="Arial" w:cs="Arial"/>
          <w:sz w:val="20"/>
          <w:szCs w:val="20"/>
        </w:rPr>
        <w:t xml:space="preserve">Sistem izvajanja zelenega javnega naročanja se spremlja na podlagi 9. člena Uredbe o </w:t>
      </w:r>
      <w:proofErr w:type="spellStart"/>
      <w:r w:rsidRPr="00594548">
        <w:rPr>
          <w:rFonts w:ascii="Arial" w:hAnsi="Arial" w:cs="Arial"/>
          <w:sz w:val="20"/>
          <w:szCs w:val="20"/>
        </w:rPr>
        <w:t>ZeJN</w:t>
      </w:r>
      <w:proofErr w:type="spellEnd"/>
      <w:r w:rsidRPr="00594548">
        <w:rPr>
          <w:rFonts w:ascii="Arial" w:hAnsi="Arial" w:cs="Arial"/>
          <w:sz w:val="20"/>
          <w:szCs w:val="20"/>
        </w:rPr>
        <w:t xml:space="preserve">. Ministrstvo pristojno za javna naročila na </w:t>
      </w:r>
      <w:r w:rsidRPr="00753F5D">
        <w:rPr>
          <w:rFonts w:ascii="Arial" w:hAnsi="Arial" w:cs="Arial"/>
          <w:sz w:val="20"/>
          <w:szCs w:val="20"/>
        </w:rPr>
        <w:t>podlagi</w:t>
      </w:r>
      <w:r w:rsidRPr="00594548">
        <w:rPr>
          <w:rFonts w:ascii="Arial" w:hAnsi="Arial" w:cs="Arial"/>
          <w:sz w:val="20"/>
          <w:szCs w:val="20"/>
        </w:rPr>
        <w:t xml:space="preserve"> objav na portalu javnih naročil pripravi statistične podatke, ki med drugim vsebujejo število in vrednost oddanih zelenih javnih naročil ter njihov delež v masi vseh oddanih javnih naročil, ločeno razčlenjeno na področje javnega naročanja, vrsto predmeta javnega naročila (CPV), predmete iz prvega ostavka 4. člena Uredbe o </w:t>
      </w:r>
      <w:proofErr w:type="spellStart"/>
      <w:r w:rsidRPr="00594548">
        <w:rPr>
          <w:rFonts w:ascii="Arial" w:hAnsi="Arial" w:cs="Arial"/>
          <w:sz w:val="20"/>
          <w:szCs w:val="20"/>
        </w:rPr>
        <w:t>ZeJN</w:t>
      </w:r>
      <w:proofErr w:type="spellEnd"/>
      <w:r w:rsidRPr="00594548">
        <w:rPr>
          <w:rFonts w:ascii="Arial" w:hAnsi="Arial" w:cs="Arial"/>
          <w:sz w:val="20"/>
          <w:szCs w:val="20"/>
        </w:rPr>
        <w:t xml:space="preserve"> ter druge podatke, ki jih določa </w:t>
      </w:r>
      <w:r w:rsidRPr="00753F5D">
        <w:rPr>
          <w:rFonts w:ascii="Arial" w:hAnsi="Arial" w:cs="Arial"/>
          <w:sz w:val="20"/>
          <w:szCs w:val="20"/>
        </w:rPr>
        <w:t>Uredba</w:t>
      </w:r>
      <w:r w:rsidRPr="00594548">
        <w:rPr>
          <w:rFonts w:ascii="Arial" w:hAnsi="Arial" w:cs="Arial"/>
          <w:sz w:val="20"/>
          <w:szCs w:val="20"/>
        </w:rPr>
        <w:t xml:space="preserve"> o </w:t>
      </w:r>
      <w:proofErr w:type="spellStart"/>
      <w:r w:rsidRPr="00594548">
        <w:rPr>
          <w:rFonts w:ascii="Arial" w:hAnsi="Arial" w:cs="Arial"/>
          <w:sz w:val="20"/>
          <w:szCs w:val="20"/>
        </w:rPr>
        <w:t>ZeJN</w:t>
      </w:r>
      <w:proofErr w:type="spellEnd"/>
      <w:r w:rsidRPr="00594548">
        <w:rPr>
          <w:rFonts w:ascii="Arial" w:hAnsi="Arial" w:cs="Arial"/>
          <w:sz w:val="20"/>
          <w:szCs w:val="20"/>
        </w:rPr>
        <w:t>.</w:t>
      </w:r>
    </w:p>
    <w:p w:rsidR="0059438F" w:rsidRDefault="003F08B6" w:rsidP="0054537F">
      <w:pPr>
        <w:pStyle w:val="Default"/>
        <w:jc w:val="both"/>
        <w:rPr>
          <w:rFonts w:ascii="Arial" w:hAnsi="Arial" w:cs="Arial"/>
          <w:sz w:val="20"/>
          <w:szCs w:val="20"/>
        </w:rPr>
      </w:pPr>
      <w:r w:rsidRPr="002D5D44">
        <w:rPr>
          <w:rFonts w:ascii="Arial" w:hAnsi="Arial" w:cs="Arial"/>
          <w:sz w:val="20"/>
          <w:szCs w:val="20"/>
        </w:rPr>
        <w:t xml:space="preserve"> </w:t>
      </w:r>
    </w:p>
    <w:p w:rsidR="00B43393" w:rsidRPr="002D5D44" w:rsidRDefault="00B43393" w:rsidP="0054537F">
      <w:pPr>
        <w:pStyle w:val="Default"/>
        <w:jc w:val="both"/>
        <w:rPr>
          <w:rFonts w:ascii="Arial" w:hAnsi="Arial" w:cs="Arial"/>
          <w:sz w:val="20"/>
          <w:szCs w:val="20"/>
        </w:rPr>
      </w:pPr>
    </w:p>
    <w:p w:rsidR="00C84E20" w:rsidRDefault="00796B7A" w:rsidP="00BB6F25">
      <w:pPr>
        <w:spacing w:after="0"/>
        <w:jc w:val="both"/>
        <w:rPr>
          <w:rFonts w:ascii="Arial" w:hAnsi="Arial" w:cs="Arial"/>
          <w:sz w:val="20"/>
          <w:szCs w:val="20"/>
          <w:u w:val="single"/>
        </w:rPr>
      </w:pPr>
      <w:r w:rsidRPr="002D5D44">
        <w:rPr>
          <w:rFonts w:ascii="Arial" w:hAnsi="Arial" w:cs="Arial"/>
          <w:sz w:val="20"/>
          <w:szCs w:val="20"/>
          <w:u w:val="single"/>
        </w:rPr>
        <w:t>Priporočila</w:t>
      </w:r>
    </w:p>
    <w:p w:rsidR="009E1F43" w:rsidRPr="002D5D44" w:rsidRDefault="009E1F43" w:rsidP="00BB6F25">
      <w:pPr>
        <w:spacing w:after="0"/>
        <w:jc w:val="both"/>
        <w:rPr>
          <w:rFonts w:ascii="Arial" w:hAnsi="Arial" w:cs="Arial"/>
          <w:sz w:val="20"/>
          <w:szCs w:val="20"/>
          <w:u w:val="single"/>
        </w:rPr>
      </w:pPr>
    </w:p>
    <w:p w:rsidR="00775BEA" w:rsidRPr="002D5D44" w:rsidRDefault="008A7335" w:rsidP="00556FED">
      <w:pPr>
        <w:spacing w:after="0" w:line="240" w:lineRule="auto"/>
        <w:jc w:val="both"/>
        <w:rPr>
          <w:rFonts w:ascii="Arial" w:hAnsi="Arial" w:cs="Arial"/>
          <w:sz w:val="20"/>
          <w:szCs w:val="20"/>
        </w:rPr>
      </w:pPr>
      <w:r w:rsidRPr="002D5D44">
        <w:rPr>
          <w:rFonts w:ascii="Arial" w:hAnsi="Arial" w:cs="Arial"/>
          <w:sz w:val="20"/>
          <w:szCs w:val="20"/>
        </w:rPr>
        <w:t xml:space="preserve">Doseganje ciljev </w:t>
      </w:r>
      <w:r w:rsidR="00FE4E75" w:rsidRPr="002D5D44">
        <w:rPr>
          <w:rFonts w:ascii="Arial" w:hAnsi="Arial" w:cs="Arial"/>
          <w:sz w:val="20"/>
          <w:szCs w:val="20"/>
        </w:rPr>
        <w:t xml:space="preserve">prehoda v trajnostno gospodarstvo in s tem tudi ciljev </w:t>
      </w:r>
      <w:r w:rsidRPr="002D5D44">
        <w:rPr>
          <w:rFonts w:ascii="Arial" w:hAnsi="Arial" w:cs="Arial"/>
          <w:sz w:val="20"/>
          <w:szCs w:val="20"/>
        </w:rPr>
        <w:t xml:space="preserve">zmanjšanja emisij TGP iz OP TGP 2020 se </w:t>
      </w:r>
      <w:r w:rsidR="00DD1FE0" w:rsidRPr="002D5D44">
        <w:rPr>
          <w:rFonts w:ascii="Arial" w:hAnsi="Arial" w:cs="Arial"/>
          <w:sz w:val="20"/>
          <w:szCs w:val="20"/>
        </w:rPr>
        <w:t xml:space="preserve">otežuje tudi </w:t>
      </w:r>
      <w:r w:rsidRPr="002D5D44">
        <w:rPr>
          <w:rFonts w:ascii="Arial" w:hAnsi="Arial" w:cs="Arial"/>
          <w:sz w:val="20"/>
          <w:szCs w:val="20"/>
        </w:rPr>
        <w:t xml:space="preserve">zaradi povečevanja </w:t>
      </w:r>
      <w:r w:rsidR="00151F34">
        <w:rPr>
          <w:rFonts w:ascii="Arial" w:hAnsi="Arial" w:cs="Arial"/>
          <w:sz w:val="20"/>
          <w:szCs w:val="20"/>
        </w:rPr>
        <w:t xml:space="preserve">t. i. okolju škodljivih </w:t>
      </w:r>
      <w:r w:rsidR="007F7771" w:rsidRPr="002D5D44">
        <w:rPr>
          <w:rFonts w:ascii="Arial" w:hAnsi="Arial" w:cs="Arial"/>
          <w:sz w:val="20"/>
          <w:szCs w:val="20"/>
        </w:rPr>
        <w:t>subven</w:t>
      </w:r>
      <w:r w:rsidR="00151F34">
        <w:rPr>
          <w:rFonts w:ascii="Arial" w:hAnsi="Arial" w:cs="Arial"/>
          <w:sz w:val="20"/>
          <w:szCs w:val="20"/>
        </w:rPr>
        <w:t>cij.</w:t>
      </w:r>
      <w:r w:rsidR="00DD1FE0" w:rsidRPr="002D5D44">
        <w:rPr>
          <w:rFonts w:ascii="Arial" w:hAnsi="Arial" w:cs="Arial"/>
          <w:sz w:val="20"/>
          <w:szCs w:val="20"/>
        </w:rPr>
        <w:t xml:space="preserve"> </w:t>
      </w:r>
      <w:r w:rsidR="007F7771" w:rsidRPr="002D5D44">
        <w:rPr>
          <w:rFonts w:ascii="Arial" w:hAnsi="Arial" w:cs="Arial"/>
          <w:sz w:val="20"/>
          <w:szCs w:val="20"/>
        </w:rPr>
        <w:t xml:space="preserve">Trend naraščanja teh sredstev je v nasprotju s predvidenim </w:t>
      </w:r>
      <w:r w:rsidR="00DD1FE0" w:rsidRPr="002D5D44">
        <w:rPr>
          <w:rFonts w:ascii="Arial" w:hAnsi="Arial" w:cs="Arial"/>
          <w:sz w:val="20"/>
          <w:szCs w:val="20"/>
        </w:rPr>
        <w:t xml:space="preserve">njihovim </w:t>
      </w:r>
      <w:r w:rsidR="007F7771" w:rsidRPr="002D5D44">
        <w:rPr>
          <w:rFonts w:ascii="Arial" w:hAnsi="Arial" w:cs="Arial"/>
          <w:sz w:val="20"/>
          <w:szCs w:val="20"/>
        </w:rPr>
        <w:t xml:space="preserve">postopnim zmanjševanjem, kar vpliva na potrebo po dodatnih ukrepih in finančnih sredstvih. V okviru </w:t>
      </w:r>
      <w:r w:rsidR="00C24483">
        <w:rPr>
          <w:rFonts w:ascii="Arial" w:hAnsi="Arial" w:cs="Arial"/>
          <w:sz w:val="20"/>
          <w:szCs w:val="20"/>
        </w:rPr>
        <w:t>izvajanja</w:t>
      </w:r>
      <w:r w:rsidR="007F7771" w:rsidRPr="002D5D44">
        <w:rPr>
          <w:rFonts w:ascii="Arial" w:hAnsi="Arial" w:cs="Arial"/>
          <w:sz w:val="20"/>
          <w:szCs w:val="20"/>
        </w:rPr>
        <w:t xml:space="preserve"> zelene proračunske reforme bi bilo</w:t>
      </w:r>
      <w:r w:rsidR="00DD1FE0" w:rsidRPr="002D5D44">
        <w:rPr>
          <w:rFonts w:ascii="Arial" w:hAnsi="Arial" w:cs="Arial"/>
          <w:sz w:val="20"/>
          <w:szCs w:val="20"/>
        </w:rPr>
        <w:t xml:space="preserve"> zato</w:t>
      </w:r>
      <w:r w:rsidR="007F7771" w:rsidRPr="002D5D44">
        <w:rPr>
          <w:rFonts w:ascii="Arial" w:hAnsi="Arial" w:cs="Arial"/>
          <w:sz w:val="20"/>
          <w:szCs w:val="20"/>
        </w:rPr>
        <w:t xml:space="preserve"> potrebno </w:t>
      </w:r>
      <w:r w:rsidR="00C24483">
        <w:rPr>
          <w:rFonts w:ascii="Arial" w:hAnsi="Arial" w:cs="Arial"/>
          <w:sz w:val="20"/>
          <w:szCs w:val="20"/>
        </w:rPr>
        <w:t xml:space="preserve">slediti </w:t>
      </w:r>
      <w:r w:rsidR="00151F34">
        <w:rPr>
          <w:rFonts w:ascii="Arial" w:hAnsi="Arial" w:cs="Arial"/>
          <w:sz w:val="20"/>
          <w:szCs w:val="20"/>
        </w:rPr>
        <w:t>priporočilom</w:t>
      </w:r>
      <w:r w:rsidR="00C24483">
        <w:rPr>
          <w:rFonts w:ascii="Arial" w:hAnsi="Arial" w:cs="Arial"/>
          <w:sz w:val="20"/>
          <w:szCs w:val="20"/>
        </w:rPr>
        <w:t xml:space="preserve"> </w:t>
      </w:r>
      <w:r w:rsidR="003E026A">
        <w:rPr>
          <w:rFonts w:ascii="Arial" w:hAnsi="Arial" w:cs="Arial"/>
          <w:sz w:val="20"/>
          <w:szCs w:val="20"/>
        </w:rPr>
        <w:t xml:space="preserve">iz </w:t>
      </w:r>
      <w:r w:rsidR="00C24483">
        <w:rPr>
          <w:rFonts w:ascii="Arial" w:hAnsi="Arial" w:cs="Arial"/>
          <w:sz w:val="20"/>
          <w:szCs w:val="20"/>
        </w:rPr>
        <w:t xml:space="preserve">projekta </w:t>
      </w:r>
      <w:r w:rsidR="00C24483" w:rsidRPr="00C24483">
        <w:rPr>
          <w:rFonts w:ascii="Arial" w:hAnsi="Arial" w:cs="Arial"/>
          <w:i/>
          <w:sz w:val="20"/>
          <w:szCs w:val="20"/>
        </w:rPr>
        <w:t>P3:Zelena</w:t>
      </w:r>
      <w:r w:rsidR="00C24483" w:rsidRPr="00F15072">
        <w:rPr>
          <w:rFonts w:ascii="Arial" w:hAnsi="Arial" w:cs="Arial"/>
          <w:i/>
          <w:sz w:val="20"/>
          <w:szCs w:val="20"/>
        </w:rPr>
        <w:t xml:space="preserve"> proračunska reforma</w:t>
      </w:r>
      <w:r w:rsidR="00C24483" w:rsidRPr="002D5D44">
        <w:rPr>
          <w:rFonts w:ascii="Arial" w:hAnsi="Arial" w:cs="Arial"/>
          <w:sz w:val="20"/>
          <w:szCs w:val="20"/>
        </w:rPr>
        <w:t xml:space="preserve"> </w:t>
      </w:r>
      <w:r w:rsidR="00C24483">
        <w:rPr>
          <w:rFonts w:ascii="Arial" w:hAnsi="Arial" w:cs="Arial"/>
          <w:sz w:val="20"/>
          <w:szCs w:val="20"/>
        </w:rPr>
        <w:t xml:space="preserve">in </w:t>
      </w:r>
      <w:r w:rsidR="007F7771" w:rsidRPr="002D5D44">
        <w:rPr>
          <w:rFonts w:ascii="Arial" w:hAnsi="Arial" w:cs="Arial"/>
          <w:sz w:val="20"/>
          <w:szCs w:val="20"/>
        </w:rPr>
        <w:t xml:space="preserve">zagotoviti </w:t>
      </w:r>
      <w:r w:rsidR="00A73600">
        <w:rPr>
          <w:rFonts w:ascii="Arial" w:hAnsi="Arial" w:cs="Arial"/>
          <w:sz w:val="20"/>
          <w:szCs w:val="20"/>
        </w:rPr>
        <w:t xml:space="preserve">smiselno </w:t>
      </w:r>
      <w:r w:rsidR="007F7771" w:rsidRPr="002D5D44">
        <w:rPr>
          <w:rFonts w:ascii="Arial" w:hAnsi="Arial" w:cs="Arial"/>
          <w:sz w:val="20"/>
          <w:szCs w:val="20"/>
        </w:rPr>
        <w:t>postopno zmanjše</w:t>
      </w:r>
      <w:r w:rsidR="00151F34">
        <w:rPr>
          <w:rFonts w:ascii="Arial" w:hAnsi="Arial" w:cs="Arial"/>
          <w:sz w:val="20"/>
          <w:szCs w:val="20"/>
        </w:rPr>
        <w:t>vanje tovrstnih</w:t>
      </w:r>
      <w:r w:rsidR="00C24483">
        <w:rPr>
          <w:rFonts w:ascii="Arial" w:hAnsi="Arial" w:cs="Arial"/>
          <w:sz w:val="20"/>
          <w:szCs w:val="20"/>
        </w:rPr>
        <w:t xml:space="preserve"> subvencij.</w:t>
      </w:r>
    </w:p>
    <w:p w:rsidR="0059438F" w:rsidRPr="002D5D44" w:rsidRDefault="0031389F" w:rsidP="00556FED">
      <w:pPr>
        <w:spacing w:after="0" w:line="240" w:lineRule="auto"/>
        <w:jc w:val="both"/>
        <w:rPr>
          <w:rFonts w:ascii="Arial" w:hAnsi="Arial" w:cs="Arial"/>
          <w:sz w:val="20"/>
          <w:szCs w:val="20"/>
        </w:rPr>
      </w:pPr>
      <w:r w:rsidRPr="002D5D44">
        <w:rPr>
          <w:rFonts w:ascii="Arial" w:hAnsi="Arial" w:cs="Arial"/>
          <w:sz w:val="20"/>
          <w:szCs w:val="20"/>
        </w:rPr>
        <w:t xml:space="preserve">Za izboljšanje učinkovitosti podnebnih politik bo potrebno </w:t>
      </w:r>
      <w:r w:rsidR="00DC1F19" w:rsidRPr="002D5D44">
        <w:rPr>
          <w:rFonts w:ascii="Arial" w:hAnsi="Arial" w:cs="Arial"/>
          <w:sz w:val="20"/>
          <w:szCs w:val="20"/>
        </w:rPr>
        <w:t xml:space="preserve">cilje prehoda v </w:t>
      </w:r>
      <w:proofErr w:type="spellStart"/>
      <w:r w:rsidR="00DC1F19" w:rsidRPr="002D5D44">
        <w:rPr>
          <w:rFonts w:ascii="Arial" w:hAnsi="Arial" w:cs="Arial"/>
          <w:sz w:val="20"/>
          <w:szCs w:val="20"/>
        </w:rPr>
        <w:t>nizkoogljično</w:t>
      </w:r>
      <w:proofErr w:type="spellEnd"/>
      <w:r w:rsidR="00DC1F19" w:rsidRPr="002D5D44">
        <w:rPr>
          <w:rFonts w:ascii="Arial" w:hAnsi="Arial" w:cs="Arial"/>
          <w:sz w:val="20"/>
          <w:szCs w:val="20"/>
        </w:rPr>
        <w:t xml:space="preserve"> krožno gospodarstvo vključiti </w:t>
      </w:r>
      <w:r w:rsidR="001C5E7F" w:rsidRPr="002D5D44">
        <w:rPr>
          <w:rFonts w:ascii="Arial" w:hAnsi="Arial" w:cs="Arial"/>
          <w:sz w:val="20"/>
          <w:szCs w:val="20"/>
        </w:rPr>
        <w:t xml:space="preserve">še </w:t>
      </w:r>
      <w:r w:rsidR="00DC1F19" w:rsidRPr="002D5D44">
        <w:rPr>
          <w:rFonts w:ascii="Arial" w:hAnsi="Arial" w:cs="Arial"/>
          <w:sz w:val="20"/>
          <w:szCs w:val="20"/>
        </w:rPr>
        <w:t xml:space="preserve">v </w:t>
      </w:r>
      <w:r w:rsidR="001C5E7F" w:rsidRPr="002D5D44">
        <w:rPr>
          <w:rFonts w:ascii="Arial" w:hAnsi="Arial" w:cs="Arial"/>
          <w:sz w:val="20"/>
          <w:szCs w:val="20"/>
        </w:rPr>
        <w:t xml:space="preserve">tiste </w:t>
      </w:r>
      <w:proofErr w:type="spellStart"/>
      <w:r w:rsidR="00DC1F19" w:rsidRPr="002D5D44">
        <w:rPr>
          <w:rFonts w:ascii="Arial" w:hAnsi="Arial" w:cs="Arial"/>
          <w:sz w:val="20"/>
          <w:szCs w:val="20"/>
        </w:rPr>
        <w:t>večsektorske</w:t>
      </w:r>
      <w:proofErr w:type="spellEnd"/>
      <w:r w:rsidR="00DC1F19" w:rsidRPr="002D5D44">
        <w:rPr>
          <w:rFonts w:ascii="Arial" w:hAnsi="Arial" w:cs="Arial"/>
          <w:sz w:val="20"/>
          <w:szCs w:val="20"/>
        </w:rPr>
        <w:t xml:space="preserve"> in sektorske politike</w:t>
      </w:r>
      <w:r w:rsidR="001C5E7F" w:rsidRPr="002D5D44">
        <w:rPr>
          <w:rFonts w:ascii="Arial" w:hAnsi="Arial" w:cs="Arial"/>
          <w:sz w:val="20"/>
          <w:szCs w:val="20"/>
        </w:rPr>
        <w:t>, ki niso del SRS</w:t>
      </w:r>
      <w:r w:rsidR="00C17860">
        <w:rPr>
          <w:rFonts w:ascii="Arial" w:hAnsi="Arial" w:cs="Arial"/>
          <w:sz w:val="20"/>
          <w:szCs w:val="20"/>
        </w:rPr>
        <w:t xml:space="preserve"> oz. kjer to še ni zagotovljeno (energetika, </w:t>
      </w:r>
      <w:r w:rsidR="00775BEA" w:rsidRPr="002D5D44">
        <w:rPr>
          <w:rFonts w:ascii="Arial" w:hAnsi="Arial" w:cs="Arial"/>
          <w:sz w:val="20"/>
          <w:szCs w:val="20"/>
        </w:rPr>
        <w:t>kmetijstvo itd.).</w:t>
      </w:r>
    </w:p>
    <w:p w:rsidR="00423EAD" w:rsidRPr="002D5D44" w:rsidRDefault="00FE4E75" w:rsidP="00556FED">
      <w:pPr>
        <w:spacing w:after="0" w:line="240" w:lineRule="auto"/>
        <w:jc w:val="both"/>
        <w:rPr>
          <w:rFonts w:ascii="Arial" w:hAnsi="Arial" w:cs="Arial"/>
          <w:sz w:val="20"/>
          <w:szCs w:val="20"/>
        </w:rPr>
      </w:pPr>
      <w:r w:rsidRPr="002D5D44">
        <w:rPr>
          <w:rFonts w:ascii="Arial" w:hAnsi="Arial" w:cs="Arial"/>
          <w:sz w:val="20"/>
          <w:szCs w:val="20"/>
        </w:rPr>
        <w:t>Na področju zelenega javnega naročanja bi bilo potrebno s sistemskimi in podpornimi dejavnostmi zagotoviti povečan</w:t>
      </w:r>
      <w:r w:rsidR="00DC6805">
        <w:rPr>
          <w:rFonts w:ascii="Arial" w:hAnsi="Arial" w:cs="Arial"/>
          <w:sz w:val="20"/>
          <w:szCs w:val="20"/>
        </w:rPr>
        <w:t>je</w:t>
      </w:r>
      <w:r w:rsidR="008E52FE">
        <w:rPr>
          <w:rFonts w:ascii="Arial" w:hAnsi="Arial" w:cs="Arial"/>
          <w:sz w:val="20"/>
          <w:szCs w:val="20"/>
        </w:rPr>
        <w:t xml:space="preserve"> </w:t>
      </w:r>
      <w:r w:rsidR="00DC6805">
        <w:rPr>
          <w:rFonts w:ascii="Arial" w:hAnsi="Arial" w:cs="Arial"/>
          <w:sz w:val="20"/>
          <w:szCs w:val="20"/>
        </w:rPr>
        <w:t xml:space="preserve">obsega, npr. tudi </w:t>
      </w:r>
      <w:r w:rsidR="00717416">
        <w:rPr>
          <w:rFonts w:ascii="Arial" w:hAnsi="Arial" w:cs="Arial"/>
          <w:sz w:val="20"/>
          <w:szCs w:val="20"/>
        </w:rPr>
        <w:t xml:space="preserve">z izboljšanjem pogojev za zeleno javno naročanje na področju stavb, </w:t>
      </w:r>
      <w:r w:rsidR="00506A51">
        <w:rPr>
          <w:rFonts w:ascii="Arial" w:hAnsi="Arial" w:cs="Arial"/>
          <w:sz w:val="20"/>
          <w:szCs w:val="20"/>
        </w:rPr>
        <w:t xml:space="preserve">česar </w:t>
      </w:r>
      <w:r w:rsidRPr="002D5D44">
        <w:rPr>
          <w:rFonts w:ascii="Arial" w:hAnsi="Arial" w:cs="Arial"/>
          <w:sz w:val="20"/>
          <w:szCs w:val="20"/>
        </w:rPr>
        <w:t>Pravilnik o učinkoviti rabe energije v stavbah</w:t>
      </w:r>
      <w:r w:rsidR="00303ECF" w:rsidRPr="002D5D44">
        <w:rPr>
          <w:rStyle w:val="Sprotnaopomba-sklic"/>
          <w:rFonts w:ascii="Arial" w:hAnsi="Arial" w:cs="Arial"/>
          <w:sz w:val="20"/>
          <w:szCs w:val="20"/>
        </w:rPr>
        <w:footnoteReference w:id="13"/>
      </w:r>
      <w:r w:rsidRPr="002D5D44">
        <w:rPr>
          <w:rFonts w:ascii="Arial" w:hAnsi="Arial" w:cs="Arial"/>
          <w:sz w:val="20"/>
          <w:szCs w:val="20"/>
        </w:rPr>
        <w:t xml:space="preserve"> </w:t>
      </w:r>
      <w:r w:rsidR="005C35F2" w:rsidRPr="002D5D44">
        <w:rPr>
          <w:rFonts w:ascii="Arial" w:hAnsi="Arial" w:cs="Arial"/>
          <w:sz w:val="20"/>
          <w:szCs w:val="20"/>
        </w:rPr>
        <w:t>(</w:t>
      </w:r>
      <w:r w:rsidR="00544F83">
        <w:rPr>
          <w:rFonts w:ascii="Arial" w:hAnsi="Arial" w:cs="Arial"/>
          <w:sz w:val="20"/>
          <w:szCs w:val="20"/>
        </w:rPr>
        <w:t xml:space="preserve">v nadaljnjem besedilu: </w:t>
      </w:r>
      <w:r w:rsidR="005C35F2" w:rsidRPr="002D5D44">
        <w:rPr>
          <w:rFonts w:ascii="Arial" w:hAnsi="Arial" w:cs="Arial"/>
          <w:sz w:val="20"/>
          <w:szCs w:val="20"/>
        </w:rPr>
        <w:t xml:space="preserve">PURES-2) </w:t>
      </w:r>
      <w:r w:rsidRPr="002D5D44">
        <w:rPr>
          <w:rFonts w:ascii="Arial" w:hAnsi="Arial" w:cs="Arial"/>
          <w:sz w:val="20"/>
          <w:szCs w:val="20"/>
        </w:rPr>
        <w:t>ne ureja v celoti.</w:t>
      </w:r>
      <w:r w:rsidR="00640BA6" w:rsidRPr="002D5D44">
        <w:rPr>
          <w:rFonts w:ascii="Arial" w:hAnsi="Arial" w:cs="Arial"/>
          <w:sz w:val="20"/>
          <w:szCs w:val="20"/>
        </w:rPr>
        <w:t xml:space="preserve"> Skladno z nač</w:t>
      </w:r>
      <w:r w:rsidR="00506A51">
        <w:rPr>
          <w:rFonts w:ascii="Arial" w:hAnsi="Arial" w:cs="Arial"/>
          <w:sz w:val="20"/>
          <w:szCs w:val="20"/>
        </w:rPr>
        <w:t>rtom v OP TGP 2020 in Operativnim programom</w:t>
      </w:r>
      <w:r w:rsidR="00640BA6" w:rsidRPr="002D5D44">
        <w:rPr>
          <w:rFonts w:ascii="Arial" w:hAnsi="Arial" w:cs="Arial"/>
          <w:sz w:val="20"/>
          <w:szCs w:val="20"/>
        </w:rPr>
        <w:t xml:space="preserve"> ukrepov za izvajanje evropske kohezijske politike v obdobju 2014–2020</w:t>
      </w:r>
      <w:r w:rsidR="00640BA6" w:rsidRPr="002D5D44">
        <w:rPr>
          <w:rStyle w:val="Sprotnaopomba-sklic"/>
          <w:rFonts w:ascii="Arial" w:hAnsi="Arial" w:cs="Arial"/>
          <w:sz w:val="20"/>
          <w:szCs w:val="20"/>
        </w:rPr>
        <w:footnoteReference w:id="14"/>
      </w:r>
      <w:r w:rsidR="00543E87" w:rsidRPr="002D5D44">
        <w:rPr>
          <w:rFonts w:ascii="Arial" w:hAnsi="Arial" w:cs="Arial"/>
          <w:sz w:val="20"/>
          <w:szCs w:val="20"/>
        </w:rPr>
        <w:t xml:space="preserve"> (</w:t>
      </w:r>
      <w:r w:rsidR="00544F83">
        <w:rPr>
          <w:rFonts w:ascii="Arial" w:hAnsi="Arial" w:cs="Arial"/>
          <w:sz w:val="20"/>
          <w:szCs w:val="20"/>
        </w:rPr>
        <w:t xml:space="preserve">v nadaljnjem besedilu: </w:t>
      </w:r>
      <w:r w:rsidR="00543E87" w:rsidRPr="002D5D44">
        <w:rPr>
          <w:rFonts w:ascii="Arial" w:hAnsi="Arial" w:cs="Arial"/>
          <w:sz w:val="20"/>
          <w:szCs w:val="20"/>
        </w:rPr>
        <w:t>OP E</w:t>
      </w:r>
      <w:r w:rsidR="00640BA6" w:rsidRPr="002D5D44">
        <w:rPr>
          <w:rFonts w:ascii="Arial" w:hAnsi="Arial" w:cs="Arial"/>
          <w:sz w:val="20"/>
          <w:szCs w:val="20"/>
        </w:rPr>
        <w:t>KP)</w:t>
      </w:r>
      <w:r w:rsidR="006C3A74" w:rsidRPr="002D5D44">
        <w:rPr>
          <w:rFonts w:ascii="Arial" w:hAnsi="Arial" w:cs="Arial"/>
          <w:sz w:val="20"/>
          <w:szCs w:val="20"/>
        </w:rPr>
        <w:t xml:space="preserve"> bi bilo potrebno začeti z izvajanjem zelenega javnega naročanja inovativnih izdelkov in storitev. </w:t>
      </w:r>
    </w:p>
    <w:p w:rsidR="00287B71" w:rsidRPr="002D5D44" w:rsidRDefault="00640BA6" w:rsidP="00BB6F25">
      <w:pPr>
        <w:spacing w:after="0"/>
        <w:jc w:val="both"/>
        <w:rPr>
          <w:rFonts w:ascii="Arial" w:hAnsi="Arial" w:cs="Arial"/>
          <w:sz w:val="20"/>
          <w:szCs w:val="20"/>
        </w:rPr>
      </w:pPr>
      <w:r w:rsidRPr="002D5D44">
        <w:rPr>
          <w:rFonts w:ascii="Arial" w:hAnsi="Arial" w:cs="Arial"/>
          <w:sz w:val="20"/>
          <w:szCs w:val="20"/>
        </w:rPr>
        <w:t xml:space="preserve"> </w:t>
      </w:r>
      <w:r w:rsidR="00FE4E75" w:rsidRPr="002D5D44">
        <w:rPr>
          <w:rFonts w:ascii="Arial" w:hAnsi="Arial" w:cs="Arial"/>
          <w:sz w:val="20"/>
          <w:szCs w:val="20"/>
        </w:rPr>
        <w:t xml:space="preserve"> </w:t>
      </w:r>
    </w:p>
    <w:p w:rsidR="00423EAD" w:rsidRPr="002D5D44" w:rsidRDefault="00423EAD" w:rsidP="00D96E78">
      <w:pPr>
        <w:pStyle w:val="Naslov2"/>
      </w:pPr>
      <w:bookmarkStart w:id="11" w:name="_Toc531933453"/>
      <w:r w:rsidRPr="002D5D44">
        <w:t>Stavbe</w:t>
      </w:r>
      <w:bookmarkEnd w:id="11"/>
    </w:p>
    <w:p w:rsidR="002634C4" w:rsidRPr="002D5D44" w:rsidRDefault="002634C4" w:rsidP="002634C4">
      <w:pPr>
        <w:spacing w:after="0" w:line="240" w:lineRule="auto"/>
        <w:rPr>
          <w:rFonts w:ascii="Arial" w:hAnsi="Arial" w:cs="Arial"/>
          <w:sz w:val="20"/>
          <w:szCs w:val="20"/>
        </w:rPr>
      </w:pPr>
    </w:p>
    <w:p w:rsidR="00C84E20" w:rsidRDefault="00F02343" w:rsidP="002634C4">
      <w:pPr>
        <w:autoSpaceDE w:val="0"/>
        <w:autoSpaceDN w:val="0"/>
        <w:adjustRightInd w:val="0"/>
        <w:spacing w:after="0" w:line="240" w:lineRule="auto"/>
        <w:jc w:val="both"/>
        <w:rPr>
          <w:rFonts w:ascii="Arial" w:hAnsi="Arial" w:cs="Arial"/>
          <w:sz w:val="20"/>
          <w:szCs w:val="20"/>
          <w:u w:val="single"/>
        </w:rPr>
      </w:pPr>
      <w:r w:rsidRPr="002D5D44">
        <w:rPr>
          <w:rFonts w:ascii="Arial" w:hAnsi="Arial" w:cs="Arial"/>
          <w:sz w:val="20"/>
          <w:szCs w:val="20"/>
          <w:u w:val="single"/>
        </w:rPr>
        <w:t>Ukrepanje</w:t>
      </w:r>
    </w:p>
    <w:p w:rsidR="009E1F43" w:rsidRPr="002D5D44" w:rsidRDefault="009E1F43" w:rsidP="002634C4">
      <w:pPr>
        <w:autoSpaceDE w:val="0"/>
        <w:autoSpaceDN w:val="0"/>
        <w:adjustRightInd w:val="0"/>
        <w:spacing w:after="0" w:line="240" w:lineRule="auto"/>
        <w:jc w:val="both"/>
        <w:rPr>
          <w:rFonts w:ascii="Arial" w:hAnsi="Arial" w:cs="Arial"/>
          <w:sz w:val="20"/>
          <w:szCs w:val="20"/>
          <w:u w:val="single"/>
        </w:rPr>
      </w:pPr>
    </w:p>
    <w:p w:rsidR="00C573E4" w:rsidRPr="002D5D44" w:rsidRDefault="006F624A" w:rsidP="002634C4">
      <w:pPr>
        <w:spacing w:after="0" w:line="240" w:lineRule="auto"/>
        <w:jc w:val="both"/>
        <w:rPr>
          <w:rFonts w:ascii="Arial" w:hAnsi="Arial" w:cs="Arial"/>
          <w:sz w:val="20"/>
          <w:szCs w:val="20"/>
        </w:rPr>
      </w:pPr>
      <w:r w:rsidRPr="002D5D44">
        <w:rPr>
          <w:rFonts w:ascii="Arial" w:hAnsi="Arial" w:cs="Arial"/>
          <w:sz w:val="20"/>
          <w:szCs w:val="20"/>
        </w:rPr>
        <w:t xml:space="preserve">Med ključne dosežke v letu 2017 se uvršča: </w:t>
      </w:r>
    </w:p>
    <w:p w:rsidR="00C573E4" w:rsidRPr="002D5D44" w:rsidRDefault="006F624A" w:rsidP="00C573E4">
      <w:pPr>
        <w:pStyle w:val="Odstavekseznama"/>
        <w:numPr>
          <w:ilvl w:val="0"/>
          <w:numId w:val="2"/>
        </w:numPr>
        <w:spacing w:after="0" w:line="240" w:lineRule="auto"/>
        <w:jc w:val="both"/>
        <w:rPr>
          <w:rFonts w:ascii="Arial" w:hAnsi="Arial" w:cs="Arial"/>
          <w:sz w:val="20"/>
          <w:szCs w:val="20"/>
        </w:rPr>
      </w:pPr>
      <w:r w:rsidRPr="002D5D44">
        <w:rPr>
          <w:rFonts w:ascii="Arial" w:hAnsi="Arial" w:cs="Arial"/>
          <w:sz w:val="20"/>
          <w:szCs w:val="20"/>
        </w:rPr>
        <w:t>pričetek izvajanja energetske prenove javnih s</w:t>
      </w:r>
      <w:r w:rsidR="009B6F3A" w:rsidRPr="002D5D44">
        <w:rPr>
          <w:rFonts w:ascii="Arial" w:hAnsi="Arial" w:cs="Arial"/>
          <w:sz w:val="20"/>
          <w:szCs w:val="20"/>
        </w:rPr>
        <w:t>tavb, tudi s pilotnimi projekti;</w:t>
      </w:r>
      <w:r w:rsidRPr="002D5D44">
        <w:rPr>
          <w:rFonts w:ascii="Arial" w:hAnsi="Arial" w:cs="Arial"/>
          <w:sz w:val="20"/>
          <w:szCs w:val="20"/>
        </w:rPr>
        <w:t xml:space="preserve"> </w:t>
      </w:r>
    </w:p>
    <w:p w:rsidR="00C573E4" w:rsidRPr="002D5D44" w:rsidRDefault="006F624A" w:rsidP="00C573E4">
      <w:pPr>
        <w:pStyle w:val="Odstavekseznama"/>
        <w:numPr>
          <w:ilvl w:val="0"/>
          <w:numId w:val="2"/>
        </w:numPr>
        <w:spacing w:after="0" w:line="240" w:lineRule="auto"/>
        <w:jc w:val="both"/>
        <w:rPr>
          <w:rFonts w:ascii="Arial" w:hAnsi="Arial" w:cs="Arial"/>
          <w:sz w:val="20"/>
          <w:szCs w:val="20"/>
        </w:rPr>
      </w:pPr>
      <w:r w:rsidRPr="002D5D44">
        <w:rPr>
          <w:rFonts w:ascii="Arial" w:hAnsi="Arial" w:cs="Arial"/>
          <w:sz w:val="20"/>
          <w:szCs w:val="20"/>
        </w:rPr>
        <w:t xml:space="preserve">izvajanje projektov po modelu energetskega </w:t>
      </w:r>
      <w:proofErr w:type="spellStart"/>
      <w:r w:rsidRPr="002D5D44">
        <w:rPr>
          <w:rFonts w:ascii="Arial" w:hAnsi="Arial" w:cs="Arial"/>
          <w:sz w:val="20"/>
          <w:szCs w:val="20"/>
        </w:rPr>
        <w:t>pogodbeništva</w:t>
      </w:r>
      <w:proofErr w:type="spellEnd"/>
      <w:r w:rsidR="00CE6486" w:rsidRPr="002D5D44">
        <w:rPr>
          <w:rFonts w:ascii="Arial" w:hAnsi="Arial" w:cs="Arial"/>
          <w:sz w:val="20"/>
          <w:szCs w:val="20"/>
        </w:rPr>
        <w:t xml:space="preserve"> (npr. končan je bil izvedbeni del treh pilotnih projektov energetske prenove stavb v okviru OP EKP)</w:t>
      </w:r>
      <w:r w:rsidR="009B6F3A" w:rsidRPr="002D5D44">
        <w:rPr>
          <w:rFonts w:ascii="Arial" w:hAnsi="Arial" w:cs="Arial"/>
          <w:sz w:val="20"/>
          <w:szCs w:val="20"/>
        </w:rPr>
        <w:t>;</w:t>
      </w:r>
      <w:r w:rsidRPr="002D5D44">
        <w:rPr>
          <w:rFonts w:ascii="Arial" w:hAnsi="Arial" w:cs="Arial"/>
          <w:sz w:val="20"/>
          <w:szCs w:val="20"/>
        </w:rPr>
        <w:t xml:space="preserve"> </w:t>
      </w:r>
    </w:p>
    <w:p w:rsidR="00C573E4" w:rsidRPr="002D5D44" w:rsidRDefault="00ED5346" w:rsidP="00C573E4">
      <w:pPr>
        <w:pStyle w:val="Odstavekseznama"/>
        <w:numPr>
          <w:ilvl w:val="0"/>
          <w:numId w:val="2"/>
        </w:numPr>
        <w:spacing w:after="0" w:line="240" w:lineRule="auto"/>
        <w:jc w:val="both"/>
        <w:rPr>
          <w:rFonts w:ascii="Arial" w:hAnsi="Arial" w:cs="Arial"/>
          <w:sz w:val="20"/>
          <w:szCs w:val="20"/>
        </w:rPr>
      </w:pPr>
      <w:r>
        <w:rPr>
          <w:rFonts w:ascii="Arial" w:hAnsi="Arial" w:cs="Arial"/>
          <w:sz w:val="20"/>
          <w:szCs w:val="20"/>
        </w:rPr>
        <w:t xml:space="preserve">pridobitev do 1,7 milijonov </w:t>
      </w:r>
      <w:proofErr w:type="spellStart"/>
      <w:r>
        <w:rPr>
          <w:rFonts w:ascii="Arial" w:hAnsi="Arial" w:cs="Arial"/>
          <w:sz w:val="20"/>
          <w:szCs w:val="20"/>
        </w:rPr>
        <w:t>eurov</w:t>
      </w:r>
      <w:proofErr w:type="spellEnd"/>
      <w:r w:rsidR="006F624A" w:rsidRPr="002D5D44">
        <w:rPr>
          <w:rFonts w:ascii="Arial" w:hAnsi="Arial" w:cs="Arial"/>
          <w:sz w:val="20"/>
          <w:szCs w:val="20"/>
        </w:rPr>
        <w:t xml:space="preserve"> mednarodne tehnične pomoči ELENA za sofinanciranje priprave projektov za stavbe v državni lasti in zaključek dveh ter uspešno izvajanje tretj</w:t>
      </w:r>
      <w:r w:rsidR="009B6F3A" w:rsidRPr="002D5D44">
        <w:rPr>
          <w:rFonts w:ascii="Arial" w:hAnsi="Arial" w:cs="Arial"/>
          <w:sz w:val="20"/>
          <w:szCs w:val="20"/>
        </w:rPr>
        <w:t>ega ELENA v lokalnih skupnostih;</w:t>
      </w:r>
    </w:p>
    <w:p w:rsidR="006F624A" w:rsidRPr="002D5D44" w:rsidRDefault="00C573E4" w:rsidP="00C573E4">
      <w:pPr>
        <w:pStyle w:val="Odstavekseznama"/>
        <w:numPr>
          <w:ilvl w:val="0"/>
          <w:numId w:val="2"/>
        </w:numPr>
        <w:spacing w:after="0" w:line="240" w:lineRule="auto"/>
        <w:jc w:val="both"/>
        <w:rPr>
          <w:rFonts w:ascii="Arial" w:hAnsi="Arial" w:cs="Arial"/>
          <w:sz w:val="20"/>
          <w:szCs w:val="20"/>
        </w:rPr>
      </w:pPr>
      <w:r w:rsidRPr="002D5D44">
        <w:rPr>
          <w:rFonts w:ascii="Arial" w:hAnsi="Arial" w:cs="Arial"/>
          <w:sz w:val="20"/>
          <w:szCs w:val="20"/>
        </w:rPr>
        <w:t>vzpostavitev</w:t>
      </w:r>
      <w:r w:rsidR="006F624A" w:rsidRPr="002D5D44">
        <w:rPr>
          <w:rFonts w:ascii="Arial" w:hAnsi="Arial" w:cs="Arial"/>
          <w:sz w:val="20"/>
          <w:szCs w:val="20"/>
        </w:rPr>
        <w:t xml:space="preserve"> sistem</w:t>
      </w:r>
      <w:r w:rsidRPr="002D5D44">
        <w:rPr>
          <w:rFonts w:ascii="Arial" w:hAnsi="Arial" w:cs="Arial"/>
          <w:sz w:val="20"/>
          <w:szCs w:val="20"/>
        </w:rPr>
        <w:t>a</w:t>
      </w:r>
      <w:r w:rsidR="006F624A" w:rsidRPr="002D5D44">
        <w:rPr>
          <w:rFonts w:ascii="Arial" w:hAnsi="Arial" w:cs="Arial"/>
          <w:sz w:val="20"/>
          <w:szCs w:val="20"/>
        </w:rPr>
        <w:t xml:space="preserve"> energetskega knjigovodstva za zbiranje poda</w:t>
      </w:r>
      <w:r w:rsidR="006223BE" w:rsidRPr="002D5D44">
        <w:rPr>
          <w:rFonts w:ascii="Arial" w:hAnsi="Arial" w:cs="Arial"/>
          <w:sz w:val="20"/>
          <w:szCs w:val="20"/>
        </w:rPr>
        <w:t>tkov za stavbe javnega sektorja.</w:t>
      </w:r>
    </w:p>
    <w:p w:rsidR="006F624A" w:rsidRPr="002D5D44" w:rsidRDefault="006F624A" w:rsidP="0005190B">
      <w:pPr>
        <w:spacing w:after="0" w:line="240" w:lineRule="auto"/>
        <w:rPr>
          <w:rFonts w:ascii="Arial" w:hAnsi="Arial" w:cs="Arial"/>
          <w:sz w:val="20"/>
          <w:szCs w:val="20"/>
          <w:u w:val="single"/>
        </w:rPr>
      </w:pPr>
    </w:p>
    <w:p w:rsidR="00691980" w:rsidRPr="002D5D44" w:rsidRDefault="00C531AC" w:rsidP="00C531AC">
      <w:pPr>
        <w:spacing w:after="0" w:line="240" w:lineRule="auto"/>
        <w:jc w:val="both"/>
        <w:rPr>
          <w:rFonts w:ascii="Arial" w:hAnsi="Arial" w:cs="Arial"/>
          <w:sz w:val="20"/>
          <w:szCs w:val="20"/>
        </w:rPr>
      </w:pPr>
      <w:r w:rsidRPr="002D5D44">
        <w:rPr>
          <w:rFonts w:ascii="Arial" w:hAnsi="Arial" w:cs="Arial"/>
          <w:sz w:val="20"/>
          <w:szCs w:val="20"/>
        </w:rPr>
        <w:t>Sprememb in dopolnit</w:t>
      </w:r>
      <w:r w:rsidR="007E7C25" w:rsidRPr="002D5D44">
        <w:rPr>
          <w:rFonts w:ascii="Arial" w:hAnsi="Arial" w:cs="Arial"/>
          <w:sz w:val="20"/>
          <w:szCs w:val="20"/>
        </w:rPr>
        <w:t>ev</w:t>
      </w:r>
      <w:r w:rsidRPr="002D5D44">
        <w:rPr>
          <w:rFonts w:ascii="Arial" w:hAnsi="Arial" w:cs="Arial"/>
          <w:sz w:val="20"/>
          <w:szCs w:val="20"/>
        </w:rPr>
        <w:t xml:space="preserve"> predpisov za energetsko učinkovitost stavb v letu 2017 ni bilo, bil pa je v javno obravnavo posredovan Aneks k Dolgoročni strategiji za spodbujanje naložb energetske prenove stavb</w:t>
      </w:r>
      <w:r w:rsidRPr="002D5D44">
        <w:rPr>
          <w:rStyle w:val="Sprotnaopomba-sklic"/>
          <w:rFonts w:ascii="Arial" w:hAnsi="Arial" w:cs="Arial"/>
          <w:sz w:val="20"/>
          <w:szCs w:val="20"/>
        </w:rPr>
        <w:footnoteReference w:id="15"/>
      </w:r>
      <w:r w:rsidR="00691980" w:rsidRPr="002D5D44">
        <w:rPr>
          <w:rFonts w:ascii="Arial" w:hAnsi="Arial" w:cs="Arial"/>
          <w:sz w:val="20"/>
          <w:szCs w:val="20"/>
        </w:rPr>
        <w:t xml:space="preserve"> (</w:t>
      </w:r>
      <w:r w:rsidR="00302614">
        <w:rPr>
          <w:rFonts w:ascii="Arial" w:hAnsi="Arial" w:cs="Arial"/>
          <w:sz w:val="20"/>
          <w:szCs w:val="20"/>
        </w:rPr>
        <w:t xml:space="preserve">v nadaljnjem besedilu: </w:t>
      </w:r>
      <w:r w:rsidR="006B72F3" w:rsidRPr="002D5D44">
        <w:rPr>
          <w:rFonts w:ascii="Arial" w:hAnsi="Arial" w:cs="Arial"/>
          <w:sz w:val="20"/>
          <w:szCs w:val="20"/>
        </w:rPr>
        <w:t>DSEPS)</w:t>
      </w:r>
      <w:r w:rsidRPr="002D5D44">
        <w:rPr>
          <w:rFonts w:ascii="Arial" w:hAnsi="Arial" w:cs="Arial"/>
          <w:sz w:val="20"/>
          <w:szCs w:val="20"/>
        </w:rPr>
        <w:t>, v katerem so</w:t>
      </w:r>
      <w:r w:rsidR="00FC1399">
        <w:rPr>
          <w:rFonts w:ascii="Arial" w:hAnsi="Arial" w:cs="Arial"/>
          <w:sz w:val="20"/>
          <w:szCs w:val="20"/>
        </w:rPr>
        <w:t xml:space="preserve"> bile</w:t>
      </w:r>
      <w:r w:rsidRPr="002D5D44">
        <w:rPr>
          <w:rFonts w:ascii="Arial" w:hAnsi="Arial" w:cs="Arial"/>
          <w:sz w:val="20"/>
          <w:szCs w:val="20"/>
        </w:rPr>
        <w:t xml:space="preserve"> predlagane nekatere vsebine, ki bi jih bilo po sprejetju aneksa potrebno vključiti v </w:t>
      </w:r>
      <w:r w:rsidR="00312A8D" w:rsidRPr="002D5D44">
        <w:rPr>
          <w:rFonts w:ascii="Arial" w:hAnsi="Arial" w:cs="Arial"/>
          <w:sz w:val="20"/>
          <w:szCs w:val="20"/>
        </w:rPr>
        <w:t>PURES-2</w:t>
      </w:r>
      <w:r w:rsidRPr="002D5D44">
        <w:rPr>
          <w:rFonts w:ascii="Arial" w:hAnsi="Arial" w:cs="Arial"/>
          <w:sz w:val="20"/>
          <w:szCs w:val="20"/>
        </w:rPr>
        <w:t>.</w:t>
      </w:r>
      <w:r w:rsidR="006F624A" w:rsidRPr="002D5D44">
        <w:rPr>
          <w:rFonts w:ascii="Arial" w:hAnsi="Arial" w:cs="Arial"/>
          <w:sz w:val="20"/>
          <w:szCs w:val="20"/>
        </w:rPr>
        <w:t xml:space="preserve"> </w:t>
      </w:r>
      <w:r w:rsidR="00964685">
        <w:rPr>
          <w:rFonts w:ascii="Arial" w:hAnsi="Arial" w:cs="Arial"/>
          <w:sz w:val="20"/>
          <w:szCs w:val="20"/>
        </w:rPr>
        <w:t xml:space="preserve">Predlagani aneks je bil v </w:t>
      </w:r>
      <w:r w:rsidR="00864BA5">
        <w:rPr>
          <w:rFonts w:ascii="Arial" w:hAnsi="Arial" w:cs="Arial"/>
          <w:sz w:val="20"/>
          <w:szCs w:val="20"/>
        </w:rPr>
        <w:t>posodobljeni</w:t>
      </w:r>
      <w:r w:rsidR="00964685">
        <w:rPr>
          <w:rFonts w:ascii="Arial" w:hAnsi="Arial" w:cs="Arial"/>
          <w:sz w:val="20"/>
          <w:szCs w:val="20"/>
        </w:rPr>
        <w:t xml:space="preserve"> obliki </w:t>
      </w:r>
      <w:r w:rsidR="00864BA5">
        <w:rPr>
          <w:rFonts w:ascii="Arial" w:hAnsi="Arial" w:cs="Arial"/>
          <w:sz w:val="20"/>
          <w:szCs w:val="20"/>
        </w:rPr>
        <w:t>potem v začetku leta 2018 sprejet kot Dopolnitev D</w:t>
      </w:r>
      <w:r w:rsidR="00FC1399">
        <w:rPr>
          <w:rFonts w:ascii="Arial" w:hAnsi="Arial" w:cs="Arial"/>
          <w:sz w:val="20"/>
          <w:szCs w:val="20"/>
        </w:rPr>
        <w:t>olgoročne strategije za spodbujanje naložb energetske prenove stavb</w:t>
      </w:r>
      <w:r w:rsidR="00FC1399">
        <w:rPr>
          <w:rStyle w:val="Sprotnaopomba-sklic"/>
          <w:rFonts w:ascii="Arial" w:hAnsi="Arial" w:cs="Arial"/>
          <w:sz w:val="20"/>
          <w:szCs w:val="20"/>
        </w:rPr>
        <w:footnoteReference w:id="16"/>
      </w:r>
      <w:r w:rsidR="000A0E52">
        <w:rPr>
          <w:rFonts w:ascii="Arial" w:hAnsi="Arial" w:cs="Arial"/>
          <w:sz w:val="20"/>
          <w:szCs w:val="20"/>
        </w:rPr>
        <w:t xml:space="preserve"> (v nadaljnjem besedilu: D</w:t>
      </w:r>
      <w:r w:rsidR="00864BA5">
        <w:rPr>
          <w:rFonts w:ascii="Arial" w:hAnsi="Arial" w:cs="Arial"/>
          <w:sz w:val="20"/>
          <w:szCs w:val="20"/>
        </w:rPr>
        <w:t>opolnitev DSEPS)</w:t>
      </w:r>
      <w:r w:rsidR="00FC1399">
        <w:rPr>
          <w:rFonts w:ascii="Arial" w:hAnsi="Arial" w:cs="Arial"/>
          <w:sz w:val="20"/>
          <w:szCs w:val="20"/>
        </w:rPr>
        <w:t xml:space="preserve">. </w:t>
      </w:r>
    </w:p>
    <w:p w:rsidR="00FC4D5E" w:rsidRPr="002D5D44" w:rsidRDefault="006F624A" w:rsidP="00C531AC">
      <w:pPr>
        <w:spacing w:after="0" w:line="240" w:lineRule="auto"/>
        <w:jc w:val="both"/>
        <w:rPr>
          <w:rFonts w:ascii="Arial" w:hAnsi="Arial" w:cs="Arial"/>
          <w:sz w:val="20"/>
          <w:szCs w:val="20"/>
        </w:rPr>
      </w:pPr>
      <w:r w:rsidRPr="002D5D44">
        <w:rPr>
          <w:rFonts w:ascii="Arial" w:hAnsi="Arial" w:cs="Arial"/>
          <w:sz w:val="20"/>
          <w:szCs w:val="20"/>
        </w:rPr>
        <w:lastRenderedPageBreak/>
        <w:t xml:space="preserve">V </w:t>
      </w:r>
      <w:r w:rsidR="000A0E52">
        <w:rPr>
          <w:rFonts w:ascii="Arial" w:hAnsi="Arial" w:cs="Arial"/>
          <w:sz w:val="20"/>
          <w:szCs w:val="20"/>
        </w:rPr>
        <w:t>D</w:t>
      </w:r>
      <w:r w:rsidR="00FC1399">
        <w:rPr>
          <w:rFonts w:ascii="Arial" w:hAnsi="Arial" w:cs="Arial"/>
          <w:sz w:val="20"/>
          <w:szCs w:val="20"/>
        </w:rPr>
        <w:t>opolnitvi</w:t>
      </w:r>
      <w:r w:rsidRPr="002D5D44">
        <w:rPr>
          <w:rFonts w:ascii="Arial" w:hAnsi="Arial" w:cs="Arial"/>
          <w:sz w:val="20"/>
          <w:szCs w:val="20"/>
        </w:rPr>
        <w:t xml:space="preserve"> DSEPS se je </w:t>
      </w:r>
      <w:r w:rsidR="00864BA5">
        <w:rPr>
          <w:rFonts w:ascii="Arial" w:hAnsi="Arial" w:cs="Arial"/>
          <w:sz w:val="20"/>
          <w:szCs w:val="20"/>
        </w:rPr>
        <w:t xml:space="preserve">med drugim </w:t>
      </w:r>
      <w:r w:rsidRPr="002D5D44">
        <w:rPr>
          <w:rFonts w:ascii="Arial" w:hAnsi="Arial" w:cs="Arial"/>
          <w:sz w:val="20"/>
          <w:szCs w:val="20"/>
        </w:rPr>
        <w:t>predlagalo</w:t>
      </w:r>
      <w:r w:rsidR="00FC1399">
        <w:rPr>
          <w:rFonts w:ascii="Arial" w:hAnsi="Arial" w:cs="Arial"/>
          <w:sz w:val="20"/>
          <w:szCs w:val="20"/>
        </w:rPr>
        <w:t xml:space="preserve"> tudi</w:t>
      </w:r>
      <w:r w:rsidRPr="002D5D44">
        <w:rPr>
          <w:rFonts w:ascii="Arial" w:hAnsi="Arial" w:cs="Arial"/>
          <w:sz w:val="20"/>
          <w:szCs w:val="20"/>
        </w:rPr>
        <w:t xml:space="preserve"> preoblikovanje meril za dodeljevanje nepovratnih sredstev na tak način, da bodo stavbe kulturne dediščine deležne enakopravnejše obravnave in prilagoditev pri višinah dodeljenih sredstev glede na zahtevnost in obseg posegov. Shema finančnih podpor za projekte prenove stavb kulturne dediščine še ni vzpostavljena.</w:t>
      </w:r>
    </w:p>
    <w:p w:rsidR="00543E87" w:rsidRDefault="00543E87" w:rsidP="00C531AC">
      <w:pPr>
        <w:spacing w:after="0" w:line="240" w:lineRule="auto"/>
        <w:jc w:val="both"/>
        <w:rPr>
          <w:rFonts w:ascii="Arial" w:hAnsi="Arial" w:cs="Arial"/>
          <w:sz w:val="20"/>
          <w:szCs w:val="20"/>
        </w:rPr>
      </w:pPr>
    </w:p>
    <w:p w:rsidR="000757AA" w:rsidRDefault="000757AA" w:rsidP="000757AA">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Leta 2017 se je zaključil projekt </w:t>
      </w:r>
      <w:r w:rsidRPr="00E30089">
        <w:rPr>
          <w:rFonts w:ascii="Arial" w:hAnsi="Arial" w:cs="Arial"/>
          <w:i/>
          <w:sz w:val="20"/>
          <w:szCs w:val="20"/>
        </w:rPr>
        <w:t>Pregled sistemov trajnostnih kriterijev s predlogom prenosa</w:t>
      </w:r>
      <w:r w:rsidR="00406E35">
        <w:rPr>
          <w:rFonts w:ascii="Arial" w:hAnsi="Arial" w:cs="Arial"/>
          <w:i/>
          <w:sz w:val="20"/>
          <w:szCs w:val="20"/>
        </w:rPr>
        <w:t>,</w:t>
      </w:r>
      <w:r>
        <w:rPr>
          <w:rFonts w:ascii="Arial" w:hAnsi="Arial" w:cs="Arial"/>
          <w:sz w:val="20"/>
          <w:szCs w:val="20"/>
        </w:rPr>
        <w:t xml:space="preserve"> z izvedbo katerega se je zagotovilo strokovne podlage za opredelitev sistema trajnostnih kriterijev za stavbe</w:t>
      </w:r>
      <w:r w:rsidR="007F56FE">
        <w:rPr>
          <w:rFonts w:ascii="Arial" w:hAnsi="Arial" w:cs="Arial"/>
          <w:sz w:val="20"/>
          <w:szCs w:val="20"/>
        </w:rPr>
        <w:t xml:space="preserve"> in pripravo smernic za trajnostno gradnjo javnih stavb. </w:t>
      </w:r>
      <w:r w:rsidR="009D47CD">
        <w:rPr>
          <w:rFonts w:ascii="Arial" w:hAnsi="Arial" w:cs="Arial"/>
          <w:sz w:val="20"/>
          <w:szCs w:val="20"/>
        </w:rPr>
        <w:t>D</w:t>
      </w:r>
      <w:r w:rsidR="00406E35">
        <w:rPr>
          <w:rFonts w:ascii="Arial" w:hAnsi="Arial" w:cs="Arial"/>
          <w:sz w:val="20"/>
          <w:szCs w:val="20"/>
        </w:rPr>
        <w:t>odatno</w:t>
      </w:r>
      <w:r w:rsidR="009D47CD">
        <w:rPr>
          <w:rFonts w:ascii="Arial" w:hAnsi="Arial" w:cs="Arial"/>
          <w:sz w:val="20"/>
          <w:szCs w:val="20"/>
        </w:rPr>
        <w:t xml:space="preserve"> podlago za spodbudo trajnostne gradnje predstavlja</w:t>
      </w:r>
      <w:r w:rsidR="00406E35">
        <w:rPr>
          <w:rFonts w:ascii="Arial" w:hAnsi="Arial" w:cs="Arial"/>
          <w:sz w:val="20"/>
          <w:szCs w:val="20"/>
        </w:rPr>
        <w:t xml:space="preserve"> </w:t>
      </w:r>
      <w:r w:rsidR="009D47CD">
        <w:rPr>
          <w:rFonts w:ascii="Arial" w:hAnsi="Arial" w:cs="Arial"/>
          <w:sz w:val="20"/>
          <w:szCs w:val="20"/>
        </w:rPr>
        <w:t>s</w:t>
      </w:r>
      <w:r w:rsidR="009D47CD" w:rsidRPr="00406E35">
        <w:rPr>
          <w:rFonts w:ascii="Arial" w:hAnsi="Arial" w:cs="Arial"/>
          <w:sz w:val="20"/>
          <w:szCs w:val="20"/>
        </w:rPr>
        <w:t>kupni evropski okvir ključnih kazalnikov trajnostne gradnje</w:t>
      </w:r>
      <w:r w:rsidR="009D47CD" w:rsidRPr="00406E35">
        <w:rPr>
          <w:rFonts w:ascii="Arial" w:hAnsi="Arial" w:cs="Arial"/>
          <w:i/>
          <w:sz w:val="20"/>
          <w:szCs w:val="20"/>
        </w:rPr>
        <w:t xml:space="preserve"> </w:t>
      </w:r>
      <w:proofErr w:type="spellStart"/>
      <w:r w:rsidR="009D47CD" w:rsidRPr="00406E35">
        <w:rPr>
          <w:rFonts w:ascii="Arial" w:hAnsi="Arial" w:cs="Arial"/>
          <w:i/>
          <w:sz w:val="20"/>
          <w:szCs w:val="20"/>
        </w:rPr>
        <w:t>Level</w:t>
      </w:r>
      <w:proofErr w:type="spellEnd"/>
      <w:r w:rsidR="009D47CD" w:rsidRPr="00406E35">
        <w:rPr>
          <w:rFonts w:ascii="Arial" w:hAnsi="Arial" w:cs="Arial"/>
          <w:i/>
          <w:sz w:val="20"/>
          <w:szCs w:val="20"/>
        </w:rPr>
        <w:t>(s)</w:t>
      </w:r>
      <w:r w:rsidR="009D47CD">
        <w:rPr>
          <w:rFonts w:ascii="Arial" w:hAnsi="Arial" w:cs="Arial"/>
          <w:sz w:val="20"/>
          <w:szCs w:val="20"/>
        </w:rPr>
        <w:t>,</w:t>
      </w:r>
      <w:r w:rsidR="007F56FE">
        <w:rPr>
          <w:rFonts w:ascii="Arial" w:hAnsi="Arial" w:cs="Arial"/>
          <w:sz w:val="20"/>
          <w:szCs w:val="20"/>
        </w:rPr>
        <w:t xml:space="preserve"> </w:t>
      </w:r>
      <w:r w:rsidR="00406E35">
        <w:rPr>
          <w:rFonts w:ascii="Arial" w:hAnsi="Arial" w:cs="Arial"/>
          <w:sz w:val="20"/>
          <w:szCs w:val="20"/>
        </w:rPr>
        <w:t>ki</w:t>
      </w:r>
      <w:r w:rsidR="009D47CD">
        <w:rPr>
          <w:rFonts w:ascii="Arial" w:hAnsi="Arial" w:cs="Arial"/>
          <w:sz w:val="20"/>
          <w:szCs w:val="20"/>
        </w:rPr>
        <w:t xml:space="preserve"> ga je lani pripravila Evropska komisija.</w:t>
      </w:r>
      <w:r w:rsidR="007F56FE">
        <w:rPr>
          <w:rFonts w:ascii="Arial" w:hAnsi="Arial" w:cs="Arial"/>
          <w:sz w:val="20"/>
          <w:szCs w:val="20"/>
        </w:rPr>
        <w:t xml:space="preserve"> </w:t>
      </w:r>
    </w:p>
    <w:p w:rsidR="000757AA" w:rsidRPr="002D5D44" w:rsidRDefault="000757AA" w:rsidP="00C531AC">
      <w:pPr>
        <w:spacing w:after="0" w:line="240" w:lineRule="auto"/>
        <w:jc w:val="both"/>
        <w:rPr>
          <w:rFonts w:ascii="Arial" w:hAnsi="Arial" w:cs="Arial"/>
          <w:sz w:val="20"/>
          <w:szCs w:val="20"/>
        </w:rPr>
      </w:pPr>
    </w:p>
    <w:p w:rsidR="003361CE" w:rsidRPr="002D5D44" w:rsidRDefault="003361CE" w:rsidP="003361CE">
      <w:pPr>
        <w:spacing w:after="0" w:line="240" w:lineRule="auto"/>
        <w:jc w:val="both"/>
        <w:rPr>
          <w:rFonts w:ascii="Arial" w:hAnsi="Arial" w:cs="Arial"/>
          <w:bCs/>
          <w:sz w:val="20"/>
          <w:szCs w:val="20"/>
        </w:rPr>
      </w:pPr>
      <w:r w:rsidRPr="002D5D44">
        <w:rPr>
          <w:rFonts w:ascii="Arial" w:hAnsi="Arial" w:cs="Arial"/>
          <w:sz w:val="20"/>
          <w:szCs w:val="20"/>
        </w:rPr>
        <w:t>Zadnji razpoložlj</w:t>
      </w:r>
      <w:r w:rsidR="00AD0E88" w:rsidRPr="002D5D44">
        <w:rPr>
          <w:rFonts w:ascii="Arial" w:hAnsi="Arial" w:cs="Arial"/>
          <w:sz w:val="20"/>
          <w:szCs w:val="20"/>
        </w:rPr>
        <w:t>ivi podatki o izvajanju ukrepov</w:t>
      </w:r>
      <w:r w:rsidR="00691980" w:rsidRPr="002D5D44">
        <w:rPr>
          <w:rFonts w:ascii="Arial" w:hAnsi="Arial" w:cs="Arial"/>
          <w:sz w:val="20"/>
          <w:szCs w:val="20"/>
        </w:rPr>
        <w:t xml:space="preserve"> učinkovite rabe energije (</w:t>
      </w:r>
      <w:r w:rsidR="00302614">
        <w:rPr>
          <w:rFonts w:ascii="Arial" w:hAnsi="Arial" w:cs="Arial"/>
          <w:sz w:val="20"/>
          <w:szCs w:val="20"/>
        </w:rPr>
        <w:t xml:space="preserve">v nadaljnjem besedilu: </w:t>
      </w:r>
      <w:r w:rsidR="00691980" w:rsidRPr="002D5D44">
        <w:rPr>
          <w:rFonts w:ascii="Arial" w:hAnsi="Arial" w:cs="Arial"/>
          <w:sz w:val="20"/>
          <w:szCs w:val="20"/>
        </w:rPr>
        <w:t>URE)</w:t>
      </w:r>
      <w:r w:rsidR="004C171A">
        <w:rPr>
          <w:rFonts w:ascii="Arial" w:hAnsi="Arial" w:cs="Arial"/>
          <w:sz w:val="20"/>
          <w:szCs w:val="20"/>
        </w:rPr>
        <w:t xml:space="preserve"> </w:t>
      </w:r>
      <w:r w:rsidRPr="002D5D44">
        <w:rPr>
          <w:rFonts w:ascii="Arial" w:hAnsi="Arial" w:cs="Arial"/>
          <w:sz w:val="20"/>
          <w:szCs w:val="20"/>
        </w:rPr>
        <w:t xml:space="preserve"> in OVE v stanovanjskem sektorju kažejo, da </w:t>
      </w:r>
      <w:r w:rsidR="00691980" w:rsidRPr="002D5D44">
        <w:rPr>
          <w:rFonts w:ascii="Arial" w:hAnsi="Arial" w:cs="Arial"/>
          <w:sz w:val="20"/>
          <w:szCs w:val="20"/>
        </w:rPr>
        <w:t>se je</w:t>
      </w:r>
      <w:r w:rsidR="00BA5EC4" w:rsidRPr="002D5D44">
        <w:rPr>
          <w:rFonts w:ascii="Arial" w:hAnsi="Arial" w:cs="Arial"/>
          <w:sz w:val="20"/>
          <w:szCs w:val="20"/>
        </w:rPr>
        <w:t xml:space="preserve"> zanje</w:t>
      </w:r>
      <w:r w:rsidRPr="002D5D44">
        <w:rPr>
          <w:rFonts w:ascii="Arial" w:hAnsi="Arial" w:cs="Arial"/>
          <w:sz w:val="20"/>
          <w:szCs w:val="20"/>
        </w:rPr>
        <w:t xml:space="preserve"> leta 2016 namenil</w:t>
      </w:r>
      <w:r w:rsidR="00691980" w:rsidRPr="002D5D44">
        <w:rPr>
          <w:rFonts w:ascii="Arial" w:hAnsi="Arial" w:cs="Arial"/>
          <w:sz w:val="20"/>
          <w:szCs w:val="20"/>
        </w:rPr>
        <w:t>o</w:t>
      </w:r>
      <w:r w:rsidRPr="002D5D44">
        <w:rPr>
          <w:rFonts w:ascii="Arial" w:hAnsi="Arial" w:cs="Arial"/>
          <w:sz w:val="20"/>
          <w:szCs w:val="20"/>
        </w:rPr>
        <w:t xml:space="preserve"> </w:t>
      </w:r>
      <w:r w:rsidR="00FE1A06" w:rsidRPr="002D5D44">
        <w:rPr>
          <w:rFonts w:ascii="Arial" w:hAnsi="Arial" w:cs="Arial"/>
          <w:bCs/>
          <w:sz w:val="20"/>
          <w:szCs w:val="20"/>
        </w:rPr>
        <w:t xml:space="preserve">21,5 milijonov </w:t>
      </w:r>
      <w:proofErr w:type="spellStart"/>
      <w:r w:rsidR="00FE1A06" w:rsidRPr="002D5D44">
        <w:rPr>
          <w:rFonts w:ascii="Arial" w:hAnsi="Arial" w:cs="Arial"/>
          <w:bCs/>
          <w:sz w:val="20"/>
          <w:szCs w:val="20"/>
        </w:rPr>
        <w:t>eu</w:t>
      </w:r>
      <w:r w:rsidRPr="002D5D44">
        <w:rPr>
          <w:rFonts w:ascii="Arial" w:hAnsi="Arial" w:cs="Arial"/>
          <w:bCs/>
          <w:sz w:val="20"/>
          <w:szCs w:val="20"/>
        </w:rPr>
        <w:t>rov</w:t>
      </w:r>
      <w:proofErr w:type="spellEnd"/>
      <w:r w:rsidRPr="002D5D44">
        <w:rPr>
          <w:rFonts w:ascii="Arial" w:hAnsi="Arial" w:cs="Arial"/>
          <w:bCs/>
          <w:sz w:val="20"/>
          <w:szCs w:val="20"/>
        </w:rPr>
        <w:t xml:space="preserve">, kar je za dobro petino več </w:t>
      </w:r>
      <w:r w:rsidR="00691980" w:rsidRPr="002D5D44">
        <w:rPr>
          <w:rFonts w:ascii="Arial" w:hAnsi="Arial" w:cs="Arial"/>
          <w:bCs/>
          <w:sz w:val="20"/>
          <w:szCs w:val="20"/>
        </w:rPr>
        <w:t>kot v letu</w:t>
      </w:r>
      <w:r w:rsidRPr="002D5D44">
        <w:rPr>
          <w:rFonts w:ascii="Arial" w:hAnsi="Arial" w:cs="Arial"/>
          <w:bCs/>
          <w:sz w:val="20"/>
          <w:szCs w:val="20"/>
        </w:rPr>
        <w:t xml:space="preserve"> prej.</w:t>
      </w:r>
    </w:p>
    <w:p w:rsidR="00917DB5" w:rsidRDefault="00917DB5" w:rsidP="003103C6">
      <w:pPr>
        <w:autoSpaceDE w:val="0"/>
        <w:autoSpaceDN w:val="0"/>
        <w:adjustRightInd w:val="0"/>
        <w:spacing w:after="0" w:line="240" w:lineRule="auto"/>
        <w:jc w:val="both"/>
        <w:rPr>
          <w:rFonts w:ascii="Arial" w:hAnsi="Arial" w:cs="Arial"/>
          <w:sz w:val="20"/>
          <w:szCs w:val="20"/>
        </w:rPr>
      </w:pPr>
    </w:p>
    <w:p w:rsidR="00EC19A2" w:rsidRPr="002D5D44" w:rsidRDefault="00EC19A2" w:rsidP="003103C6">
      <w:pPr>
        <w:autoSpaceDE w:val="0"/>
        <w:autoSpaceDN w:val="0"/>
        <w:adjustRightInd w:val="0"/>
        <w:spacing w:after="0" w:line="240" w:lineRule="auto"/>
        <w:jc w:val="both"/>
        <w:rPr>
          <w:rFonts w:ascii="Arial" w:hAnsi="Arial" w:cs="Arial"/>
          <w:sz w:val="20"/>
          <w:szCs w:val="20"/>
        </w:rPr>
      </w:pPr>
    </w:p>
    <w:p w:rsidR="00C84E20" w:rsidRDefault="00926E0E" w:rsidP="0005190B">
      <w:pPr>
        <w:spacing w:after="0" w:line="240" w:lineRule="auto"/>
        <w:rPr>
          <w:rFonts w:ascii="Arial" w:hAnsi="Arial" w:cs="Arial"/>
          <w:sz w:val="20"/>
          <w:szCs w:val="20"/>
          <w:u w:val="single"/>
        </w:rPr>
      </w:pPr>
      <w:r w:rsidRPr="002D5D44">
        <w:rPr>
          <w:rFonts w:ascii="Arial" w:hAnsi="Arial" w:cs="Arial"/>
          <w:sz w:val="20"/>
          <w:szCs w:val="20"/>
          <w:u w:val="single"/>
        </w:rPr>
        <w:t>Priporočila</w:t>
      </w:r>
    </w:p>
    <w:p w:rsidR="009E1F43" w:rsidRPr="002D5D44" w:rsidRDefault="009E1F43" w:rsidP="0005190B">
      <w:pPr>
        <w:spacing w:after="0" w:line="240" w:lineRule="auto"/>
        <w:rPr>
          <w:rFonts w:ascii="Arial" w:hAnsi="Arial" w:cs="Arial"/>
          <w:sz w:val="20"/>
          <w:szCs w:val="20"/>
          <w:u w:val="single"/>
        </w:rPr>
      </w:pPr>
    </w:p>
    <w:p w:rsidR="002548EE" w:rsidRPr="002D5D44" w:rsidRDefault="002548EE" w:rsidP="005448CB">
      <w:pPr>
        <w:spacing w:after="0" w:line="240" w:lineRule="auto"/>
        <w:jc w:val="both"/>
        <w:rPr>
          <w:rFonts w:ascii="Arial" w:hAnsi="Arial" w:cs="Arial"/>
          <w:sz w:val="20"/>
          <w:szCs w:val="20"/>
        </w:rPr>
      </w:pPr>
      <w:r w:rsidRPr="002D5D44">
        <w:rPr>
          <w:rFonts w:ascii="Arial" w:hAnsi="Arial" w:cs="Arial"/>
          <w:sz w:val="20"/>
          <w:szCs w:val="20"/>
        </w:rPr>
        <w:t>V skladu s 3</w:t>
      </w:r>
      <w:r w:rsidR="00130034" w:rsidRPr="002D5D44">
        <w:rPr>
          <w:rFonts w:ascii="Arial" w:hAnsi="Arial" w:cs="Arial"/>
          <w:sz w:val="20"/>
          <w:szCs w:val="20"/>
        </w:rPr>
        <w:t xml:space="preserve">30. </w:t>
      </w:r>
      <w:r w:rsidR="009C0445">
        <w:rPr>
          <w:rFonts w:ascii="Arial" w:hAnsi="Arial" w:cs="Arial"/>
          <w:sz w:val="20"/>
          <w:szCs w:val="20"/>
        </w:rPr>
        <w:t xml:space="preserve">in 542 </w:t>
      </w:r>
      <w:r w:rsidR="00130034" w:rsidRPr="002D5D44">
        <w:rPr>
          <w:rFonts w:ascii="Arial" w:hAnsi="Arial" w:cs="Arial"/>
          <w:sz w:val="20"/>
          <w:szCs w:val="20"/>
        </w:rPr>
        <w:t>členom energetskega zakona</w:t>
      </w:r>
      <w:r w:rsidRPr="002D5D44">
        <w:rPr>
          <w:rStyle w:val="Sprotnaopomba-sklic"/>
          <w:rFonts w:ascii="Arial" w:hAnsi="Arial" w:cs="Arial"/>
          <w:sz w:val="20"/>
          <w:szCs w:val="20"/>
        </w:rPr>
        <w:footnoteReference w:id="17"/>
      </w:r>
      <w:r w:rsidR="00130034" w:rsidRPr="002D5D44">
        <w:rPr>
          <w:rFonts w:ascii="Arial" w:hAnsi="Arial" w:cs="Arial"/>
          <w:sz w:val="20"/>
          <w:szCs w:val="20"/>
        </w:rPr>
        <w:t xml:space="preserve"> (</w:t>
      </w:r>
      <w:r w:rsidR="00302614">
        <w:rPr>
          <w:rFonts w:ascii="Arial" w:hAnsi="Arial" w:cs="Arial"/>
          <w:sz w:val="20"/>
          <w:szCs w:val="20"/>
        </w:rPr>
        <w:t xml:space="preserve">v nadaljnjem besedilu: </w:t>
      </w:r>
      <w:r w:rsidR="00130034" w:rsidRPr="002D5D44">
        <w:rPr>
          <w:rFonts w:ascii="Arial" w:hAnsi="Arial" w:cs="Arial"/>
          <w:sz w:val="20"/>
          <w:szCs w:val="20"/>
        </w:rPr>
        <w:t>EZ-1)</w:t>
      </w:r>
      <w:r w:rsidRPr="002D5D44">
        <w:rPr>
          <w:rFonts w:ascii="Arial" w:hAnsi="Arial" w:cs="Arial"/>
          <w:sz w:val="20"/>
          <w:szCs w:val="20"/>
        </w:rPr>
        <w:t xml:space="preserve"> morajo biti nove stavbe, ki so v lasti Republike Slovenije ali samoupravnih lokalnih skupnosti in jih uporabljajo osebe javnega sektorja, od začetka leta 2019 dalje skoraj </w:t>
      </w:r>
      <w:proofErr w:type="spellStart"/>
      <w:r w:rsidRPr="002D5D44">
        <w:rPr>
          <w:rFonts w:ascii="Arial" w:hAnsi="Arial" w:cs="Arial"/>
          <w:sz w:val="20"/>
          <w:szCs w:val="20"/>
        </w:rPr>
        <w:t>ničenergijske</w:t>
      </w:r>
      <w:proofErr w:type="spellEnd"/>
      <w:r w:rsidRPr="002D5D44">
        <w:rPr>
          <w:rFonts w:ascii="Arial" w:hAnsi="Arial" w:cs="Arial"/>
          <w:sz w:val="20"/>
          <w:szCs w:val="20"/>
        </w:rPr>
        <w:t xml:space="preserve">, zato je potrebno </w:t>
      </w:r>
      <w:r w:rsidR="00914275" w:rsidRPr="002D5D44">
        <w:rPr>
          <w:rFonts w:ascii="Arial" w:hAnsi="Arial" w:cs="Arial"/>
          <w:sz w:val="20"/>
          <w:szCs w:val="20"/>
        </w:rPr>
        <w:t xml:space="preserve">skladno s tem </w:t>
      </w:r>
      <w:r w:rsidR="000325FD" w:rsidRPr="002D5D44">
        <w:rPr>
          <w:rFonts w:ascii="Arial" w:hAnsi="Arial" w:cs="Arial"/>
          <w:sz w:val="20"/>
          <w:szCs w:val="20"/>
        </w:rPr>
        <w:t xml:space="preserve">čim prej sprejeti nov </w:t>
      </w:r>
      <w:r w:rsidR="00C733F7" w:rsidRPr="002D5D44">
        <w:rPr>
          <w:rFonts w:ascii="Arial" w:hAnsi="Arial" w:cs="Arial"/>
          <w:sz w:val="20"/>
          <w:szCs w:val="20"/>
        </w:rPr>
        <w:t>p</w:t>
      </w:r>
      <w:r w:rsidRPr="002D5D44">
        <w:rPr>
          <w:rFonts w:ascii="Arial" w:hAnsi="Arial" w:cs="Arial"/>
          <w:sz w:val="20"/>
          <w:szCs w:val="20"/>
        </w:rPr>
        <w:t xml:space="preserve">ravilnik o spremembah in dopolnitvah </w:t>
      </w:r>
      <w:r w:rsidR="00914275" w:rsidRPr="002D5D44">
        <w:rPr>
          <w:rFonts w:ascii="Arial" w:hAnsi="Arial" w:cs="Arial"/>
          <w:sz w:val="20"/>
          <w:szCs w:val="20"/>
        </w:rPr>
        <w:t>PURES-2</w:t>
      </w:r>
      <w:r w:rsidRPr="002D5D44">
        <w:rPr>
          <w:rFonts w:ascii="Arial" w:hAnsi="Arial" w:cs="Arial"/>
          <w:sz w:val="20"/>
          <w:szCs w:val="20"/>
        </w:rPr>
        <w:t xml:space="preserve"> in pripadajoče tehnične smernice.</w:t>
      </w:r>
    </w:p>
    <w:p w:rsidR="00953A67" w:rsidRPr="002D5D44" w:rsidRDefault="00953A67" w:rsidP="005448CB">
      <w:pPr>
        <w:spacing w:after="0" w:line="240" w:lineRule="auto"/>
        <w:jc w:val="both"/>
        <w:rPr>
          <w:rFonts w:ascii="Arial" w:hAnsi="Arial" w:cs="Arial"/>
          <w:sz w:val="20"/>
          <w:szCs w:val="20"/>
        </w:rPr>
      </w:pPr>
    </w:p>
    <w:p w:rsidR="00E7738C" w:rsidRPr="002D5D44" w:rsidRDefault="00953A67" w:rsidP="005448CB">
      <w:pPr>
        <w:spacing w:after="0" w:line="240" w:lineRule="auto"/>
        <w:jc w:val="both"/>
        <w:rPr>
          <w:rFonts w:ascii="Arial" w:hAnsi="Arial" w:cs="Arial"/>
          <w:sz w:val="20"/>
          <w:szCs w:val="20"/>
        </w:rPr>
      </w:pPr>
      <w:r w:rsidRPr="002D5D44">
        <w:rPr>
          <w:rFonts w:ascii="Arial" w:hAnsi="Arial" w:cs="Arial"/>
          <w:sz w:val="20"/>
          <w:szCs w:val="20"/>
        </w:rPr>
        <w:t xml:space="preserve">Vzpostavitev podpornega okolja za trajnostno </w:t>
      </w:r>
      <w:r w:rsidR="009C0445">
        <w:rPr>
          <w:rFonts w:ascii="Arial" w:hAnsi="Arial" w:cs="Arial"/>
          <w:sz w:val="20"/>
          <w:szCs w:val="20"/>
        </w:rPr>
        <w:t>prenovo</w:t>
      </w:r>
      <w:r w:rsidR="009C0445" w:rsidRPr="002D5D44">
        <w:rPr>
          <w:rFonts w:ascii="Arial" w:hAnsi="Arial" w:cs="Arial"/>
          <w:sz w:val="20"/>
          <w:szCs w:val="20"/>
        </w:rPr>
        <w:t xml:space="preserve"> </w:t>
      </w:r>
      <w:r w:rsidRPr="002D5D44">
        <w:rPr>
          <w:rFonts w:ascii="Arial" w:hAnsi="Arial" w:cs="Arial"/>
          <w:sz w:val="20"/>
          <w:szCs w:val="20"/>
        </w:rPr>
        <w:t>stavb in priprava podlag za spodbujanje in financiranje tovrstne prenove, bi pripomogla k vzpostavljanju</w:t>
      </w:r>
      <w:r w:rsidR="00E55D91" w:rsidRPr="002D5D44">
        <w:rPr>
          <w:rFonts w:ascii="Arial" w:hAnsi="Arial" w:cs="Arial"/>
          <w:sz w:val="20"/>
          <w:szCs w:val="20"/>
        </w:rPr>
        <w:t xml:space="preserve"> celovitega sistema zagotavljanja kakovosti prenove stavb</w:t>
      </w:r>
      <w:r w:rsidRPr="002D5D44">
        <w:rPr>
          <w:rFonts w:ascii="Arial" w:hAnsi="Arial" w:cs="Arial"/>
          <w:sz w:val="20"/>
          <w:szCs w:val="20"/>
        </w:rPr>
        <w:t xml:space="preserve"> (</w:t>
      </w:r>
      <w:r w:rsidR="000A0E52">
        <w:rPr>
          <w:rFonts w:ascii="Arial" w:hAnsi="Arial" w:cs="Arial"/>
          <w:sz w:val="20"/>
          <w:szCs w:val="20"/>
        </w:rPr>
        <w:t xml:space="preserve">npr. stabilnost in mehanska odpornost, </w:t>
      </w:r>
      <w:r w:rsidRPr="002D5D44">
        <w:rPr>
          <w:rFonts w:ascii="Arial" w:hAnsi="Arial" w:cs="Arial"/>
          <w:sz w:val="20"/>
          <w:szCs w:val="20"/>
        </w:rPr>
        <w:t xml:space="preserve">potresna varnost). </w:t>
      </w:r>
      <w:r w:rsidR="00881319" w:rsidRPr="002D5D44">
        <w:rPr>
          <w:rFonts w:ascii="Arial" w:hAnsi="Arial" w:cs="Arial"/>
          <w:sz w:val="20"/>
          <w:szCs w:val="20"/>
        </w:rPr>
        <w:t>K večji učinkovitosti na tem področju bi pripomogla zagotovitev vodilne vloge javnega sektorja pri uveljavljanju sistema kakovosti in krepitev aktivnosti na področju izobraževanja in usposabljanja</w:t>
      </w:r>
      <w:r w:rsidR="000A0E52">
        <w:rPr>
          <w:rFonts w:ascii="Arial" w:hAnsi="Arial" w:cs="Arial"/>
          <w:sz w:val="20"/>
          <w:szCs w:val="20"/>
        </w:rPr>
        <w:t xml:space="preserve"> vseh deležnikov pri gradnji</w:t>
      </w:r>
      <w:r w:rsidR="00881319" w:rsidRPr="002D5D44">
        <w:rPr>
          <w:rFonts w:ascii="Arial" w:hAnsi="Arial" w:cs="Arial"/>
          <w:sz w:val="20"/>
          <w:szCs w:val="20"/>
        </w:rPr>
        <w:t>.</w:t>
      </w:r>
      <w:r w:rsidRPr="002D5D44">
        <w:rPr>
          <w:rFonts w:ascii="Arial" w:hAnsi="Arial" w:cs="Arial"/>
          <w:sz w:val="20"/>
          <w:szCs w:val="20"/>
        </w:rPr>
        <w:t xml:space="preserve"> Z izvajanjem aktivnosti za celovito prenovo stavb bi se izboljšalo snovno učinkovitost in s tem zmanjšalo emisije vgrajene v material</w:t>
      </w:r>
      <w:r w:rsidR="00402D04" w:rsidRPr="002D5D44">
        <w:rPr>
          <w:rFonts w:ascii="Arial" w:hAnsi="Arial" w:cs="Arial"/>
          <w:sz w:val="20"/>
          <w:szCs w:val="20"/>
        </w:rPr>
        <w:t>e</w:t>
      </w:r>
      <w:r w:rsidRPr="002D5D44">
        <w:rPr>
          <w:rFonts w:ascii="Arial" w:hAnsi="Arial" w:cs="Arial"/>
          <w:sz w:val="20"/>
          <w:szCs w:val="20"/>
        </w:rPr>
        <w:t>, dosegalo bi se tudi boljše makroekonomske učinke.</w:t>
      </w:r>
    </w:p>
    <w:p w:rsidR="00402D04" w:rsidRPr="002D5D44" w:rsidRDefault="00402D04" w:rsidP="00402D04">
      <w:pPr>
        <w:spacing w:after="0" w:line="240" w:lineRule="auto"/>
        <w:jc w:val="both"/>
        <w:rPr>
          <w:rFonts w:ascii="Arial" w:hAnsi="Arial" w:cs="Arial"/>
          <w:sz w:val="20"/>
          <w:szCs w:val="20"/>
        </w:rPr>
      </w:pPr>
      <w:r w:rsidRPr="002D5D44">
        <w:rPr>
          <w:rFonts w:ascii="Arial" w:hAnsi="Arial" w:cs="Arial"/>
          <w:sz w:val="20"/>
          <w:szCs w:val="20"/>
        </w:rPr>
        <w:t>Zagotoviti bi bilo potrebno ustrezen obseg izvajanja načrtovanih ukrepov URE in OVE v gospodinjstvih</w:t>
      </w:r>
      <w:r w:rsidR="008A2451">
        <w:rPr>
          <w:rFonts w:ascii="Arial" w:hAnsi="Arial" w:cs="Arial"/>
          <w:sz w:val="20"/>
          <w:szCs w:val="20"/>
        </w:rPr>
        <w:t>, ki upošteva tudi možnost, da so gospodinjstva lahko skoraj nič ali celo »plus« energijska.</w:t>
      </w:r>
    </w:p>
    <w:p w:rsidR="0061636F" w:rsidRPr="002D5D44" w:rsidRDefault="0061636F" w:rsidP="005448CB">
      <w:pPr>
        <w:spacing w:after="0" w:line="240" w:lineRule="auto"/>
        <w:jc w:val="both"/>
        <w:rPr>
          <w:rFonts w:ascii="Arial" w:hAnsi="Arial" w:cs="Arial"/>
          <w:sz w:val="20"/>
          <w:szCs w:val="20"/>
        </w:rPr>
      </w:pPr>
    </w:p>
    <w:p w:rsidR="0005190B" w:rsidRPr="002D5D44" w:rsidRDefault="00643A53" w:rsidP="00EB5D37">
      <w:pPr>
        <w:spacing w:after="0" w:line="240" w:lineRule="auto"/>
        <w:jc w:val="both"/>
        <w:rPr>
          <w:rFonts w:ascii="Arial" w:hAnsi="Arial" w:cs="Arial"/>
          <w:sz w:val="20"/>
          <w:szCs w:val="20"/>
        </w:rPr>
      </w:pPr>
      <w:r w:rsidRPr="002D5D44">
        <w:rPr>
          <w:rFonts w:ascii="Arial" w:hAnsi="Arial" w:cs="Arial"/>
          <w:sz w:val="20"/>
          <w:szCs w:val="20"/>
        </w:rPr>
        <w:t xml:space="preserve">Potrebno bi bilo </w:t>
      </w:r>
      <w:r w:rsidR="00402D04" w:rsidRPr="002D5D44">
        <w:rPr>
          <w:rFonts w:ascii="Arial" w:hAnsi="Arial" w:cs="Arial"/>
          <w:sz w:val="20"/>
          <w:szCs w:val="20"/>
        </w:rPr>
        <w:t>pripraviti</w:t>
      </w:r>
      <w:r w:rsidRPr="002D5D44">
        <w:rPr>
          <w:rFonts w:ascii="Arial" w:hAnsi="Arial" w:cs="Arial"/>
          <w:sz w:val="20"/>
          <w:szCs w:val="20"/>
        </w:rPr>
        <w:t xml:space="preserve"> shemo finančnih podpor za projekte energetske prenove stavb kulturne dediščine. Zagotoviti se mora sredstva za vzpostavitev te sheme in spodbujanje energetske prenove </w:t>
      </w:r>
      <w:r w:rsidR="009E58B7" w:rsidRPr="002D5D44">
        <w:rPr>
          <w:rFonts w:ascii="Arial" w:hAnsi="Arial" w:cs="Arial"/>
          <w:sz w:val="20"/>
          <w:szCs w:val="20"/>
        </w:rPr>
        <w:t xml:space="preserve">tovrstnih </w:t>
      </w:r>
      <w:r w:rsidRPr="002D5D44">
        <w:rPr>
          <w:rFonts w:ascii="Arial" w:hAnsi="Arial" w:cs="Arial"/>
          <w:sz w:val="20"/>
          <w:szCs w:val="20"/>
        </w:rPr>
        <w:t>stavb</w:t>
      </w:r>
      <w:r w:rsidR="009E58B7" w:rsidRPr="002D5D44">
        <w:rPr>
          <w:rFonts w:ascii="Arial" w:hAnsi="Arial" w:cs="Arial"/>
          <w:sz w:val="20"/>
          <w:szCs w:val="20"/>
        </w:rPr>
        <w:t>.</w:t>
      </w:r>
    </w:p>
    <w:p w:rsidR="00EB5D37" w:rsidRPr="002D5D44" w:rsidRDefault="00643A53" w:rsidP="00EB5D37">
      <w:pPr>
        <w:spacing w:after="0" w:line="240" w:lineRule="auto"/>
        <w:jc w:val="both"/>
        <w:rPr>
          <w:rFonts w:ascii="Arial" w:hAnsi="Arial" w:cs="Arial"/>
          <w:sz w:val="20"/>
          <w:szCs w:val="20"/>
        </w:rPr>
      </w:pPr>
      <w:r w:rsidRPr="002D5D44">
        <w:rPr>
          <w:rFonts w:ascii="Arial" w:hAnsi="Arial" w:cs="Arial"/>
          <w:sz w:val="20"/>
          <w:szCs w:val="20"/>
        </w:rPr>
        <w:t xml:space="preserve">Za nadaljnje pospeševanje energetskega </w:t>
      </w:r>
      <w:proofErr w:type="spellStart"/>
      <w:r w:rsidRPr="002D5D44">
        <w:rPr>
          <w:rFonts w:ascii="Arial" w:hAnsi="Arial" w:cs="Arial"/>
          <w:sz w:val="20"/>
          <w:szCs w:val="20"/>
        </w:rPr>
        <w:t>pogodbeništva</w:t>
      </w:r>
      <w:proofErr w:type="spellEnd"/>
      <w:r w:rsidRPr="002D5D44">
        <w:rPr>
          <w:rFonts w:ascii="Arial" w:hAnsi="Arial" w:cs="Arial"/>
          <w:sz w:val="20"/>
          <w:szCs w:val="20"/>
        </w:rPr>
        <w:t xml:space="preserve"> je potrebno razviti ustrezne finančne produkte in druge podporne ukrepe, tudi za razvoj ponudb na trgu energetskega </w:t>
      </w:r>
      <w:proofErr w:type="spellStart"/>
      <w:r w:rsidRPr="002D5D44">
        <w:rPr>
          <w:rFonts w:ascii="Arial" w:hAnsi="Arial" w:cs="Arial"/>
          <w:sz w:val="20"/>
          <w:szCs w:val="20"/>
        </w:rPr>
        <w:t>pogodbeništva</w:t>
      </w:r>
      <w:proofErr w:type="spellEnd"/>
      <w:r w:rsidRPr="002D5D44">
        <w:rPr>
          <w:rFonts w:ascii="Arial" w:hAnsi="Arial" w:cs="Arial"/>
          <w:sz w:val="20"/>
          <w:szCs w:val="20"/>
        </w:rPr>
        <w:t>.</w:t>
      </w:r>
    </w:p>
    <w:p w:rsidR="00643A53" w:rsidRPr="002D5D44" w:rsidRDefault="00643A53" w:rsidP="00EB5D37">
      <w:pPr>
        <w:spacing w:after="0" w:line="240" w:lineRule="auto"/>
        <w:jc w:val="both"/>
        <w:rPr>
          <w:rFonts w:ascii="Arial" w:hAnsi="Arial" w:cs="Arial"/>
          <w:sz w:val="20"/>
          <w:szCs w:val="20"/>
        </w:rPr>
      </w:pPr>
      <w:r w:rsidRPr="002D5D44">
        <w:rPr>
          <w:rFonts w:ascii="Arial" w:hAnsi="Arial" w:cs="Arial"/>
          <w:sz w:val="20"/>
          <w:szCs w:val="20"/>
        </w:rPr>
        <w:t xml:space="preserve"> </w:t>
      </w:r>
    </w:p>
    <w:p w:rsidR="00643A53" w:rsidRPr="002D5D44" w:rsidRDefault="00643A53" w:rsidP="00EB5D37">
      <w:pPr>
        <w:spacing w:after="0" w:line="240" w:lineRule="auto"/>
        <w:jc w:val="both"/>
        <w:rPr>
          <w:rFonts w:ascii="Arial" w:hAnsi="Arial" w:cs="Arial"/>
          <w:sz w:val="20"/>
          <w:szCs w:val="20"/>
        </w:rPr>
      </w:pPr>
      <w:r w:rsidRPr="002D5D44">
        <w:rPr>
          <w:rFonts w:ascii="Arial" w:hAnsi="Arial" w:cs="Arial"/>
          <w:sz w:val="20"/>
          <w:szCs w:val="20"/>
        </w:rPr>
        <w:t>Povečanje energetske učinkovitosti je možno okrepiti z optimizacijo delovanja energetskih sistemov</w:t>
      </w:r>
      <w:r w:rsidR="009A707C" w:rsidRPr="002D5D44">
        <w:rPr>
          <w:rFonts w:ascii="Arial" w:hAnsi="Arial" w:cs="Arial"/>
          <w:sz w:val="20"/>
          <w:szCs w:val="20"/>
        </w:rPr>
        <w:t xml:space="preserve"> </w:t>
      </w:r>
      <w:r w:rsidRPr="002D5D44">
        <w:rPr>
          <w:rFonts w:ascii="Arial" w:hAnsi="Arial" w:cs="Arial"/>
          <w:sz w:val="20"/>
          <w:szCs w:val="20"/>
        </w:rPr>
        <w:t>in vedenja uporabnikov</w:t>
      </w:r>
      <w:r w:rsidR="00CC309A" w:rsidRPr="002D5D44">
        <w:rPr>
          <w:rFonts w:ascii="Arial" w:hAnsi="Arial" w:cs="Arial"/>
          <w:sz w:val="20"/>
          <w:szCs w:val="20"/>
        </w:rPr>
        <w:t xml:space="preserve"> (</w:t>
      </w:r>
      <w:proofErr w:type="spellStart"/>
      <w:r w:rsidR="00CC309A" w:rsidRPr="002D5D44">
        <w:rPr>
          <w:rFonts w:ascii="Arial" w:hAnsi="Arial" w:cs="Arial"/>
          <w:sz w:val="20"/>
          <w:szCs w:val="20"/>
        </w:rPr>
        <w:t>Re</w:t>
      </w:r>
      <w:proofErr w:type="spellEnd"/>
      <w:r w:rsidR="00CC309A" w:rsidRPr="002D5D44">
        <w:rPr>
          <w:rFonts w:ascii="Arial" w:hAnsi="Arial" w:cs="Arial"/>
          <w:sz w:val="20"/>
          <w:szCs w:val="20"/>
        </w:rPr>
        <w:t>-</w:t>
      </w:r>
      <w:proofErr w:type="spellStart"/>
      <w:r w:rsidR="00CC309A" w:rsidRPr="002D5D44">
        <w:rPr>
          <w:rFonts w:ascii="Arial" w:hAnsi="Arial" w:cs="Arial"/>
          <w:sz w:val="20"/>
          <w:szCs w:val="20"/>
        </w:rPr>
        <w:t>Commissioning</w:t>
      </w:r>
      <w:proofErr w:type="spellEnd"/>
      <w:r w:rsidR="00CC309A" w:rsidRPr="002D5D44">
        <w:rPr>
          <w:rFonts w:ascii="Arial" w:hAnsi="Arial" w:cs="Arial"/>
          <w:sz w:val="20"/>
          <w:szCs w:val="20"/>
        </w:rPr>
        <w:t xml:space="preserve">: </w:t>
      </w:r>
      <w:proofErr w:type="spellStart"/>
      <w:r w:rsidR="00CC309A" w:rsidRPr="002D5D44">
        <w:rPr>
          <w:rFonts w:ascii="Arial" w:hAnsi="Arial" w:cs="Arial"/>
          <w:sz w:val="20"/>
          <w:szCs w:val="20"/>
        </w:rPr>
        <w:t>Re</w:t>
      </w:r>
      <w:proofErr w:type="spellEnd"/>
      <w:r w:rsidR="00CC309A" w:rsidRPr="002D5D44">
        <w:rPr>
          <w:rFonts w:ascii="Arial" w:hAnsi="Arial" w:cs="Arial"/>
          <w:sz w:val="20"/>
          <w:szCs w:val="20"/>
        </w:rPr>
        <w:t>-CO)</w:t>
      </w:r>
      <w:r w:rsidR="00506A51">
        <w:rPr>
          <w:rFonts w:ascii="Arial" w:hAnsi="Arial" w:cs="Arial"/>
          <w:sz w:val="20"/>
          <w:szCs w:val="20"/>
        </w:rPr>
        <w:t>. V ta namen</w:t>
      </w:r>
      <w:r w:rsidRPr="002D5D44">
        <w:rPr>
          <w:rFonts w:ascii="Arial" w:hAnsi="Arial" w:cs="Arial"/>
          <w:sz w:val="20"/>
          <w:szCs w:val="20"/>
        </w:rPr>
        <w:t xml:space="preserve"> bi bilo potrebno vzpostaviti celovit sistem</w:t>
      </w:r>
      <w:r w:rsidR="009A707C" w:rsidRPr="002D5D44">
        <w:rPr>
          <w:rFonts w:ascii="Arial" w:hAnsi="Arial" w:cs="Arial"/>
          <w:sz w:val="20"/>
          <w:szCs w:val="20"/>
        </w:rPr>
        <w:t>, ki bi zagotovil izvedbo predvidenih ukrepov in s tem povečal učinkovitost rabe energije.</w:t>
      </w:r>
    </w:p>
    <w:p w:rsidR="00EB5D37" w:rsidRPr="002D5D44" w:rsidRDefault="00C030AF" w:rsidP="008602CC">
      <w:pPr>
        <w:spacing w:after="0" w:line="240" w:lineRule="auto"/>
        <w:jc w:val="both"/>
        <w:rPr>
          <w:rFonts w:ascii="Arial" w:hAnsi="Arial" w:cs="Arial"/>
          <w:sz w:val="20"/>
          <w:szCs w:val="20"/>
        </w:rPr>
      </w:pPr>
      <w:r w:rsidRPr="002D5D44">
        <w:rPr>
          <w:rFonts w:ascii="Arial" w:hAnsi="Arial" w:cs="Arial"/>
          <w:sz w:val="20"/>
          <w:szCs w:val="20"/>
        </w:rPr>
        <w:t>Za nadaljnje</w:t>
      </w:r>
      <w:r w:rsidR="009A707C" w:rsidRPr="002D5D44">
        <w:rPr>
          <w:rFonts w:ascii="Arial" w:hAnsi="Arial" w:cs="Arial"/>
          <w:sz w:val="20"/>
          <w:szCs w:val="20"/>
        </w:rPr>
        <w:t xml:space="preserve"> zmanjševanje emisij TGP iz sektorja stavbe bi bilo potrebno dodatno spodbuditi proizvodnjo toplote in hladu iz </w:t>
      </w:r>
      <w:r w:rsidR="00286DF4">
        <w:rPr>
          <w:rFonts w:ascii="Arial" w:hAnsi="Arial" w:cs="Arial"/>
          <w:sz w:val="20"/>
          <w:szCs w:val="20"/>
        </w:rPr>
        <w:t>OVE</w:t>
      </w:r>
      <w:r w:rsidR="009A707C" w:rsidRPr="002D5D44">
        <w:rPr>
          <w:rFonts w:ascii="Arial" w:hAnsi="Arial" w:cs="Arial"/>
          <w:sz w:val="20"/>
          <w:szCs w:val="20"/>
        </w:rPr>
        <w:t>.</w:t>
      </w:r>
      <w:r w:rsidR="008602CC" w:rsidRPr="002D5D44">
        <w:rPr>
          <w:rFonts w:ascii="Arial" w:hAnsi="Arial" w:cs="Arial"/>
          <w:sz w:val="20"/>
          <w:szCs w:val="20"/>
        </w:rPr>
        <w:t xml:space="preserve"> </w:t>
      </w:r>
      <w:r w:rsidR="00EB5D37" w:rsidRPr="002D5D44">
        <w:rPr>
          <w:rFonts w:ascii="Arial" w:hAnsi="Arial" w:cs="Arial"/>
          <w:sz w:val="20"/>
          <w:szCs w:val="20"/>
        </w:rPr>
        <w:t>K izboljšanju ukrepanja in s tem k večjim učinkom, bi pripomogle tudi poenostavitve administrativnih postopkov pri dodeljevanju spodbud.</w:t>
      </w:r>
    </w:p>
    <w:p w:rsidR="0005190B" w:rsidRPr="002D5D44" w:rsidRDefault="0005190B" w:rsidP="0005190B">
      <w:pPr>
        <w:spacing w:after="0" w:line="240" w:lineRule="auto"/>
        <w:rPr>
          <w:rFonts w:ascii="Arial" w:hAnsi="Arial" w:cs="Arial"/>
          <w:sz w:val="20"/>
          <w:szCs w:val="20"/>
        </w:rPr>
      </w:pPr>
    </w:p>
    <w:p w:rsidR="0005190B" w:rsidRPr="002D5D44" w:rsidRDefault="0005190B" w:rsidP="0005190B">
      <w:pPr>
        <w:spacing w:after="0" w:line="240" w:lineRule="auto"/>
        <w:rPr>
          <w:rFonts w:ascii="Arial" w:hAnsi="Arial" w:cs="Arial"/>
          <w:sz w:val="20"/>
          <w:szCs w:val="20"/>
        </w:rPr>
      </w:pPr>
    </w:p>
    <w:p w:rsidR="00AE6AA2" w:rsidRPr="002D5D44" w:rsidRDefault="00423EAD" w:rsidP="00D96E78">
      <w:pPr>
        <w:pStyle w:val="Naslov2"/>
      </w:pPr>
      <w:bookmarkStart w:id="12" w:name="_Toc531933454"/>
      <w:r w:rsidRPr="002D5D44">
        <w:t>P</w:t>
      </w:r>
      <w:r w:rsidR="000B7C5D" w:rsidRPr="002D5D44">
        <w:t>romet</w:t>
      </w:r>
      <w:bookmarkEnd w:id="12"/>
    </w:p>
    <w:p w:rsidR="00501633" w:rsidRPr="002D5D44" w:rsidRDefault="00501633" w:rsidP="002634C4">
      <w:pPr>
        <w:spacing w:after="0" w:line="240" w:lineRule="auto"/>
        <w:jc w:val="both"/>
        <w:rPr>
          <w:rFonts w:ascii="Arial" w:hAnsi="Arial" w:cs="Arial"/>
          <w:sz w:val="20"/>
          <w:szCs w:val="20"/>
        </w:rPr>
      </w:pPr>
    </w:p>
    <w:p w:rsidR="00C84E20" w:rsidRDefault="007B37AF" w:rsidP="007B37AF">
      <w:pPr>
        <w:spacing w:after="0" w:line="240" w:lineRule="auto"/>
        <w:rPr>
          <w:rFonts w:ascii="Arial" w:hAnsi="Arial" w:cs="Arial"/>
          <w:sz w:val="20"/>
          <w:szCs w:val="20"/>
          <w:u w:val="single"/>
        </w:rPr>
      </w:pPr>
      <w:r w:rsidRPr="002D5D44">
        <w:rPr>
          <w:rFonts w:ascii="Arial" w:hAnsi="Arial" w:cs="Arial"/>
          <w:sz w:val="20"/>
          <w:szCs w:val="20"/>
          <w:u w:val="single"/>
        </w:rPr>
        <w:t>Ukrepanje</w:t>
      </w:r>
    </w:p>
    <w:p w:rsidR="009E1F43" w:rsidRPr="002D5D44" w:rsidRDefault="009E1F43" w:rsidP="007B37AF">
      <w:pPr>
        <w:spacing w:after="0" w:line="240" w:lineRule="auto"/>
        <w:rPr>
          <w:rFonts w:ascii="Arial" w:hAnsi="Arial" w:cs="Arial"/>
          <w:sz w:val="20"/>
          <w:szCs w:val="20"/>
          <w:u w:val="single"/>
        </w:rPr>
      </w:pPr>
    </w:p>
    <w:p w:rsidR="008602CC" w:rsidRPr="002D5D44" w:rsidRDefault="007B37AF" w:rsidP="007B37AF">
      <w:pPr>
        <w:pStyle w:val="Brezrazmikov"/>
        <w:jc w:val="both"/>
        <w:rPr>
          <w:rFonts w:ascii="Arial" w:hAnsi="Arial" w:cs="Arial"/>
          <w:sz w:val="20"/>
          <w:szCs w:val="20"/>
        </w:rPr>
      </w:pPr>
      <w:r w:rsidRPr="002D5D44">
        <w:rPr>
          <w:rFonts w:ascii="Arial" w:hAnsi="Arial" w:cs="Arial"/>
          <w:sz w:val="20"/>
          <w:szCs w:val="20"/>
        </w:rPr>
        <w:t xml:space="preserve">Kljub negativnim trendom na področju emisij TGP </w:t>
      </w:r>
      <w:r w:rsidR="002634C4" w:rsidRPr="002D5D44">
        <w:rPr>
          <w:rFonts w:ascii="Arial" w:hAnsi="Arial" w:cs="Arial"/>
          <w:sz w:val="20"/>
          <w:szCs w:val="20"/>
        </w:rPr>
        <w:t>iz sektorja</w:t>
      </w:r>
      <w:r w:rsidRPr="002D5D44">
        <w:rPr>
          <w:rFonts w:ascii="Arial" w:hAnsi="Arial" w:cs="Arial"/>
          <w:sz w:val="20"/>
          <w:szCs w:val="20"/>
        </w:rPr>
        <w:t xml:space="preserve"> promet, je bilo na področju ukrepanja </w:t>
      </w:r>
      <w:r w:rsidR="0019333A" w:rsidRPr="002D5D44">
        <w:rPr>
          <w:rFonts w:ascii="Arial" w:hAnsi="Arial" w:cs="Arial"/>
          <w:sz w:val="20"/>
          <w:szCs w:val="20"/>
        </w:rPr>
        <w:t>zabeleženih kar</w:t>
      </w:r>
      <w:r w:rsidRPr="002D5D44">
        <w:rPr>
          <w:rFonts w:ascii="Arial" w:hAnsi="Arial" w:cs="Arial"/>
          <w:sz w:val="20"/>
          <w:szCs w:val="20"/>
        </w:rPr>
        <w:t xml:space="preserve"> nekaj pozitivnih trendov. Ti žal nimajo takojšnjega učinka, imajo pa potencial za dolgoročno zniževanje emisij TGP, onesnaževal zunanjega zraka, hrupa in višjo kakovost življenja nasploh.</w:t>
      </w:r>
      <w:r w:rsidR="009E08D8" w:rsidRPr="002D5D44">
        <w:rPr>
          <w:rFonts w:ascii="Arial" w:hAnsi="Arial" w:cs="Arial"/>
          <w:sz w:val="20"/>
          <w:szCs w:val="20"/>
        </w:rPr>
        <w:t xml:space="preserve"> </w:t>
      </w:r>
      <w:r w:rsidR="00720475" w:rsidRPr="002D5D44">
        <w:rPr>
          <w:rFonts w:ascii="Arial" w:hAnsi="Arial" w:cs="Arial"/>
          <w:sz w:val="20"/>
          <w:szCs w:val="20"/>
        </w:rPr>
        <w:t xml:space="preserve">Ključni dosežki </w:t>
      </w:r>
      <w:r w:rsidR="009E08D8" w:rsidRPr="002D5D44">
        <w:rPr>
          <w:rFonts w:ascii="Arial" w:hAnsi="Arial" w:cs="Arial"/>
          <w:sz w:val="20"/>
          <w:szCs w:val="20"/>
        </w:rPr>
        <w:t>so</w:t>
      </w:r>
      <w:r w:rsidR="00720475" w:rsidRPr="002D5D44">
        <w:rPr>
          <w:rFonts w:ascii="Arial" w:hAnsi="Arial" w:cs="Arial"/>
          <w:sz w:val="20"/>
          <w:szCs w:val="20"/>
        </w:rPr>
        <w:t xml:space="preserve"> po področjih</w:t>
      </w:r>
      <w:r w:rsidR="009E08D8" w:rsidRPr="002D5D44">
        <w:rPr>
          <w:rFonts w:ascii="Arial" w:hAnsi="Arial" w:cs="Arial"/>
          <w:sz w:val="20"/>
          <w:szCs w:val="20"/>
        </w:rPr>
        <w:t xml:space="preserve"> predstavljeni v spodnjih treh ročkah.</w:t>
      </w:r>
    </w:p>
    <w:p w:rsidR="00720475" w:rsidRPr="002D5D44" w:rsidRDefault="00720475" w:rsidP="007B37AF">
      <w:pPr>
        <w:pStyle w:val="Brezrazmikov"/>
        <w:jc w:val="both"/>
        <w:rPr>
          <w:rFonts w:ascii="Arial" w:eastAsia="SimSun" w:hAnsi="Arial" w:cs="Arial"/>
          <w:sz w:val="20"/>
          <w:szCs w:val="20"/>
        </w:rPr>
      </w:pPr>
    </w:p>
    <w:p w:rsidR="008602CC" w:rsidRPr="002D5D44" w:rsidRDefault="008602CC" w:rsidP="003F1B5D">
      <w:pPr>
        <w:pStyle w:val="Brezrazmikov"/>
        <w:jc w:val="both"/>
        <w:rPr>
          <w:rFonts w:ascii="Arial" w:eastAsia="SimSun" w:hAnsi="Arial" w:cs="Arial"/>
          <w:sz w:val="20"/>
          <w:szCs w:val="20"/>
        </w:rPr>
      </w:pPr>
      <w:r w:rsidRPr="002D5D44">
        <w:rPr>
          <w:rFonts w:ascii="Arial" w:eastAsia="SimSun" w:hAnsi="Arial" w:cs="Arial"/>
          <w:sz w:val="20"/>
          <w:szCs w:val="20"/>
        </w:rPr>
        <w:t>Področje</w:t>
      </w:r>
      <w:r w:rsidR="007B37AF" w:rsidRPr="002D5D44">
        <w:rPr>
          <w:rFonts w:ascii="Arial" w:eastAsia="SimSun" w:hAnsi="Arial" w:cs="Arial"/>
          <w:sz w:val="20"/>
          <w:szCs w:val="20"/>
        </w:rPr>
        <w:t xml:space="preserve"> priprave strokovnih podlag</w:t>
      </w:r>
      <w:r w:rsidR="003F1B5D">
        <w:rPr>
          <w:rFonts w:ascii="Arial" w:eastAsia="SimSun" w:hAnsi="Arial" w:cs="Arial"/>
          <w:sz w:val="20"/>
          <w:szCs w:val="20"/>
        </w:rPr>
        <w:t xml:space="preserve"> oz. načrtovanje ukrepov</w:t>
      </w:r>
      <w:r w:rsidR="007B37AF" w:rsidRPr="002D5D44">
        <w:rPr>
          <w:rFonts w:ascii="Arial" w:eastAsia="SimSun" w:hAnsi="Arial" w:cs="Arial"/>
          <w:sz w:val="20"/>
          <w:szCs w:val="20"/>
        </w:rPr>
        <w:t xml:space="preserve">: </w:t>
      </w:r>
    </w:p>
    <w:p w:rsidR="00720475" w:rsidRPr="002D5D44" w:rsidRDefault="007B37AF" w:rsidP="008602CC">
      <w:pPr>
        <w:pStyle w:val="Brezrazmikov"/>
        <w:numPr>
          <w:ilvl w:val="0"/>
          <w:numId w:val="3"/>
        </w:numPr>
        <w:jc w:val="both"/>
        <w:rPr>
          <w:rFonts w:ascii="Arial" w:eastAsia="SimSun" w:hAnsi="Arial" w:cs="Arial"/>
          <w:sz w:val="20"/>
          <w:szCs w:val="20"/>
        </w:rPr>
      </w:pPr>
      <w:r w:rsidRPr="002D5D44">
        <w:rPr>
          <w:rFonts w:ascii="Arial" w:eastAsia="SimSun" w:hAnsi="Arial" w:cs="Arial"/>
          <w:sz w:val="20"/>
          <w:szCs w:val="20"/>
        </w:rPr>
        <w:lastRenderedPageBreak/>
        <w:t xml:space="preserve">sprejetje </w:t>
      </w:r>
      <w:r w:rsidR="00720475" w:rsidRPr="002D5D44">
        <w:rPr>
          <w:rFonts w:ascii="Arial" w:eastAsia="SimSun" w:hAnsi="Arial" w:cs="Arial"/>
          <w:sz w:val="20"/>
          <w:szCs w:val="20"/>
        </w:rPr>
        <w:t>c</w:t>
      </w:r>
      <w:r w:rsidRPr="002D5D44">
        <w:rPr>
          <w:rFonts w:ascii="Arial" w:eastAsia="SimSun" w:hAnsi="Arial" w:cs="Arial"/>
          <w:sz w:val="20"/>
          <w:szCs w:val="20"/>
        </w:rPr>
        <w:t xml:space="preserve">elostnih prometnih strategij (CPS) v več kot 60 občinah in aktivno sodelovanje občin v platformi za trajnostno mobilnost, kar predstavlja podlago za izvedbo ukrepov za trajnostno mobilnost; </w:t>
      </w:r>
    </w:p>
    <w:p w:rsidR="00720475" w:rsidRPr="002D5D44" w:rsidRDefault="007B37AF" w:rsidP="008602CC">
      <w:pPr>
        <w:pStyle w:val="Brezrazmikov"/>
        <w:numPr>
          <w:ilvl w:val="0"/>
          <w:numId w:val="3"/>
        </w:numPr>
        <w:jc w:val="both"/>
        <w:rPr>
          <w:rFonts w:ascii="Arial" w:eastAsia="SimSun" w:hAnsi="Arial" w:cs="Arial"/>
          <w:sz w:val="20"/>
          <w:szCs w:val="20"/>
        </w:rPr>
      </w:pPr>
      <w:r w:rsidRPr="002D5D44">
        <w:rPr>
          <w:rFonts w:ascii="Arial" w:hAnsi="Arial" w:cs="Arial"/>
          <w:sz w:val="20"/>
          <w:szCs w:val="20"/>
        </w:rPr>
        <w:t xml:space="preserve">sprejetje strategije na področju razvoja trga za vzpostavitev ustrezne infrastrukture v zvezi z alternativnimi </w:t>
      </w:r>
      <w:r w:rsidR="009B6F3A" w:rsidRPr="002D5D44">
        <w:rPr>
          <w:rFonts w:ascii="Arial" w:hAnsi="Arial" w:cs="Arial"/>
          <w:sz w:val="20"/>
          <w:szCs w:val="20"/>
        </w:rPr>
        <w:t>gorivi v prometnem sektorju v Republiki Sloveniji</w:t>
      </w:r>
      <w:r w:rsidRPr="002D5D44">
        <w:rPr>
          <w:rFonts w:ascii="Arial" w:hAnsi="Arial" w:cs="Arial"/>
          <w:sz w:val="20"/>
          <w:szCs w:val="20"/>
        </w:rPr>
        <w:t xml:space="preserve"> z velikim poudarkom na spodbujanju </w:t>
      </w:r>
      <w:proofErr w:type="spellStart"/>
      <w:r w:rsidRPr="002D5D44">
        <w:rPr>
          <w:rFonts w:ascii="Arial" w:hAnsi="Arial" w:cs="Arial"/>
          <w:sz w:val="20"/>
          <w:szCs w:val="20"/>
        </w:rPr>
        <w:t>elektromobilnosti</w:t>
      </w:r>
      <w:proofErr w:type="spellEnd"/>
      <w:r w:rsidRPr="002D5D44">
        <w:rPr>
          <w:rFonts w:ascii="Arial" w:hAnsi="Arial" w:cs="Arial"/>
          <w:sz w:val="20"/>
          <w:szCs w:val="20"/>
        </w:rPr>
        <w:t xml:space="preserve">; </w:t>
      </w:r>
    </w:p>
    <w:p w:rsidR="00720475" w:rsidRPr="002D5D44" w:rsidRDefault="00765B03" w:rsidP="008602CC">
      <w:pPr>
        <w:pStyle w:val="Brezrazmikov"/>
        <w:numPr>
          <w:ilvl w:val="0"/>
          <w:numId w:val="3"/>
        </w:numPr>
        <w:jc w:val="both"/>
        <w:rPr>
          <w:rFonts w:ascii="Arial" w:eastAsia="SimSun" w:hAnsi="Arial" w:cs="Arial"/>
          <w:sz w:val="20"/>
          <w:szCs w:val="20"/>
        </w:rPr>
      </w:pPr>
      <w:r>
        <w:rPr>
          <w:rFonts w:ascii="Arial" w:hAnsi="Arial" w:cs="Arial"/>
          <w:sz w:val="20"/>
          <w:szCs w:val="20"/>
        </w:rPr>
        <w:t>v pripravi je akcijski načrt za izvajanje</w:t>
      </w:r>
      <w:r w:rsidR="003F1B5D">
        <w:rPr>
          <w:rFonts w:ascii="Arial" w:hAnsi="Arial" w:cs="Arial"/>
          <w:sz w:val="20"/>
          <w:szCs w:val="20"/>
        </w:rPr>
        <w:t xml:space="preserve"> strategiji razvoja alternativnih goriv</w:t>
      </w:r>
      <w:r w:rsidR="007B37AF" w:rsidRPr="002D5D44">
        <w:rPr>
          <w:rFonts w:ascii="Arial" w:hAnsi="Arial" w:cs="Arial"/>
          <w:sz w:val="20"/>
          <w:szCs w:val="20"/>
        </w:rPr>
        <w:t xml:space="preserve">; </w:t>
      </w:r>
    </w:p>
    <w:p w:rsidR="00720475" w:rsidRPr="002D5D44" w:rsidRDefault="00AF04BA" w:rsidP="008602CC">
      <w:pPr>
        <w:pStyle w:val="Brezrazmikov"/>
        <w:numPr>
          <w:ilvl w:val="0"/>
          <w:numId w:val="3"/>
        </w:numPr>
        <w:jc w:val="both"/>
        <w:rPr>
          <w:rFonts w:ascii="Arial" w:eastAsia="SimSun" w:hAnsi="Arial" w:cs="Arial"/>
          <w:sz w:val="20"/>
          <w:szCs w:val="20"/>
        </w:rPr>
      </w:pPr>
      <w:r w:rsidRPr="002D5D44">
        <w:rPr>
          <w:rFonts w:ascii="Arial" w:hAnsi="Arial" w:cs="Arial"/>
          <w:sz w:val="20"/>
          <w:szCs w:val="20"/>
        </w:rPr>
        <w:t>v pripravi je ciljni raziskovalni projekt</w:t>
      </w:r>
      <w:r w:rsidR="007B37AF" w:rsidRPr="002D5D44">
        <w:rPr>
          <w:rFonts w:ascii="Arial" w:hAnsi="Arial" w:cs="Arial"/>
          <w:sz w:val="20"/>
          <w:szCs w:val="20"/>
        </w:rPr>
        <w:t>, ki bo opredelil načine povezovanja prometnih ukrep</w:t>
      </w:r>
      <w:r w:rsidR="00720475" w:rsidRPr="002D5D44">
        <w:rPr>
          <w:rFonts w:ascii="Arial" w:hAnsi="Arial" w:cs="Arial"/>
          <w:sz w:val="20"/>
          <w:szCs w:val="20"/>
        </w:rPr>
        <w:t>ov v okviru prostorske politike;</w:t>
      </w:r>
      <w:r w:rsidR="007B37AF" w:rsidRPr="002D5D44">
        <w:rPr>
          <w:rFonts w:ascii="Arial" w:hAnsi="Arial" w:cs="Arial"/>
          <w:sz w:val="20"/>
          <w:szCs w:val="20"/>
        </w:rPr>
        <w:t xml:space="preserve"> </w:t>
      </w:r>
    </w:p>
    <w:p w:rsidR="007B37AF" w:rsidRPr="002D5D44" w:rsidRDefault="00720475" w:rsidP="008602CC">
      <w:pPr>
        <w:pStyle w:val="Brezrazmikov"/>
        <w:numPr>
          <w:ilvl w:val="0"/>
          <w:numId w:val="3"/>
        </w:numPr>
        <w:jc w:val="both"/>
        <w:rPr>
          <w:rFonts w:ascii="Arial" w:eastAsia="SimSun" w:hAnsi="Arial" w:cs="Arial"/>
          <w:sz w:val="20"/>
          <w:szCs w:val="20"/>
        </w:rPr>
      </w:pPr>
      <w:r w:rsidRPr="002D5D44">
        <w:rPr>
          <w:rFonts w:ascii="Arial" w:hAnsi="Arial" w:cs="Arial"/>
          <w:sz w:val="20"/>
          <w:szCs w:val="20"/>
        </w:rPr>
        <w:t>prvič</w:t>
      </w:r>
      <w:r w:rsidR="007B37AF" w:rsidRPr="002D5D44">
        <w:rPr>
          <w:rFonts w:ascii="Arial" w:hAnsi="Arial" w:cs="Arial"/>
          <w:sz w:val="20"/>
          <w:szCs w:val="20"/>
        </w:rPr>
        <w:t xml:space="preserve"> je bila s strani </w:t>
      </w:r>
      <w:r w:rsidR="00CC309A" w:rsidRPr="002D5D44">
        <w:rPr>
          <w:rFonts w:ascii="Arial" w:hAnsi="Arial" w:cs="Arial"/>
          <w:sz w:val="20"/>
          <w:szCs w:val="20"/>
        </w:rPr>
        <w:t>Statističnega urada Republike Slovenije</w:t>
      </w:r>
      <w:r w:rsidR="007B37AF" w:rsidRPr="002D5D44">
        <w:rPr>
          <w:rFonts w:ascii="Arial" w:hAnsi="Arial" w:cs="Arial"/>
          <w:sz w:val="20"/>
          <w:szCs w:val="20"/>
        </w:rPr>
        <w:t xml:space="preserve"> izv</w:t>
      </w:r>
      <w:r w:rsidRPr="002D5D44">
        <w:rPr>
          <w:rFonts w:ascii="Arial" w:hAnsi="Arial" w:cs="Arial"/>
          <w:sz w:val="20"/>
          <w:szCs w:val="20"/>
        </w:rPr>
        <w:t>edena vseslovenska raziskav</w:t>
      </w:r>
      <w:r w:rsidR="003F1B5D">
        <w:rPr>
          <w:rFonts w:ascii="Arial" w:hAnsi="Arial" w:cs="Arial"/>
          <w:sz w:val="20"/>
          <w:szCs w:val="20"/>
        </w:rPr>
        <w:t>a o prometnih navadah Slovencev, prvi rezultati so že bili objavljeni</w:t>
      </w:r>
      <w:r w:rsidR="003F1B5D">
        <w:rPr>
          <w:rStyle w:val="Sprotnaopomba-sklic"/>
          <w:rFonts w:ascii="Arial" w:hAnsi="Arial" w:cs="Arial"/>
          <w:sz w:val="20"/>
          <w:szCs w:val="20"/>
        </w:rPr>
        <w:footnoteReference w:id="18"/>
      </w:r>
      <w:r w:rsidR="003F1B5D">
        <w:rPr>
          <w:rFonts w:ascii="Arial" w:hAnsi="Arial" w:cs="Arial"/>
          <w:sz w:val="20"/>
          <w:szCs w:val="20"/>
        </w:rPr>
        <w:t>.</w:t>
      </w:r>
      <w:r w:rsidR="007B37AF" w:rsidRPr="002D5D44">
        <w:rPr>
          <w:rFonts w:ascii="Arial" w:hAnsi="Arial" w:cs="Arial"/>
          <w:sz w:val="20"/>
          <w:szCs w:val="20"/>
        </w:rPr>
        <w:t xml:space="preserve"> </w:t>
      </w:r>
    </w:p>
    <w:p w:rsidR="00720475" w:rsidRPr="002D5D44" w:rsidRDefault="00720475" w:rsidP="00720475">
      <w:pPr>
        <w:pStyle w:val="Brezrazmikov"/>
        <w:ind w:left="720"/>
        <w:jc w:val="both"/>
        <w:rPr>
          <w:rFonts w:ascii="Arial" w:eastAsia="SimSun" w:hAnsi="Arial" w:cs="Arial"/>
          <w:sz w:val="20"/>
          <w:szCs w:val="20"/>
        </w:rPr>
      </w:pPr>
    </w:p>
    <w:p w:rsidR="009B6F3A" w:rsidRPr="002D5D44" w:rsidRDefault="00720475" w:rsidP="003F1B5D">
      <w:pPr>
        <w:pStyle w:val="Brezrazmikov"/>
        <w:jc w:val="both"/>
        <w:rPr>
          <w:rFonts w:ascii="Arial" w:hAnsi="Arial" w:cs="Arial"/>
          <w:sz w:val="20"/>
          <w:szCs w:val="20"/>
        </w:rPr>
      </w:pPr>
      <w:r w:rsidRPr="002D5D44">
        <w:rPr>
          <w:rFonts w:ascii="Arial" w:eastAsia="SimSun" w:hAnsi="Arial" w:cs="Arial"/>
          <w:sz w:val="20"/>
          <w:szCs w:val="20"/>
        </w:rPr>
        <w:t>Področje</w:t>
      </w:r>
      <w:r w:rsidR="007B37AF" w:rsidRPr="002D5D44">
        <w:rPr>
          <w:rFonts w:ascii="Arial" w:eastAsia="SimSun" w:hAnsi="Arial" w:cs="Arial"/>
          <w:sz w:val="20"/>
          <w:szCs w:val="20"/>
        </w:rPr>
        <w:t xml:space="preserve"> zagotavljanja finančnih sredstev za izvajanje ukrepov: </w:t>
      </w:r>
    </w:p>
    <w:p w:rsidR="009B6F3A" w:rsidRPr="002D5D44" w:rsidRDefault="007B37AF" w:rsidP="009B6F3A">
      <w:pPr>
        <w:pStyle w:val="Brezrazmikov"/>
        <w:numPr>
          <w:ilvl w:val="0"/>
          <w:numId w:val="7"/>
        </w:numPr>
        <w:ind w:left="714" w:hanging="357"/>
        <w:jc w:val="both"/>
        <w:rPr>
          <w:rFonts w:ascii="Arial" w:hAnsi="Arial" w:cs="Arial"/>
          <w:sz w:val="20"/>
          <w:szCs w:val="20"/>
        </w:rPr>
      </w:pPr>
      <w:r w:rsidRPr="002D5D44">
        <w:rPr>
          <w:rFonts w:ascii="Arial" w:eastAsia="SimSun" w:hAnsi="Arial" w:cs="Arial"/>
          <w:sz w:val="20"/>
          <w:szCs w:val="20"/>
        </w:rPr>
        <w:t xml:space="preserve">za spodbujanje trajnostne mobilnosti v občinah </w:t>
      </w:r>
      <w:r w:rsidR="003F1B5D">
        <w:rPr>
          <w:rFonts w:ascii="Arial" w:eastAsia="SimSun" w:hAnsi="Arial" w:cs="Arial"/>
          <w:sz w:val="20"/>
          <w:szCs w:val="20"/>
        </w:rPr>
        <w:t>s sprejetimi</w:t>
      </w:r>
      <w:r w:rsidRPr="002D5D44">
        <w:rPr>
          <w:rFonts w:ascii="Arial" w:eastAsia="SimSun" w:hAnsi="Arial" w:cs="Arial"/>
          <w:sz w:val="20"/>
          <w:szCs w:val="20"/>
        </w:rPr>
        <w:t xml:space="preserve"> CPS </w:t>
      </w:r>
      <w:r w:rsidR="003F1B5D">
        <w:rPr>
          <w:rFonts w:ascii="Arial" w:eastAsia="SimSun" w:hAnsi="Arial" w:cs="Arial"/>
          <w:sz w:val="20"/>
          <w:szCs w:val="20"/>
        </w:rPr>
        <w:t xml:space="preserve">so </w:t>
      </w:r>
      <w:r w:rsidRPr="002D5D44">
        <w:rPr>
          <w:rFonts w:ascii="Arial" w:eastAsia="SimSun" w:hAnsi="Arial" w:cs="Arial"/>
          <w:sz w:val="20"/>
          <w:szCs w:val="20"/>
        </w:rPr>
        <w:t>na voljo znatna finančna sredstva, samo za sofinanciranje infrastrukture za pešce, kolesarje in avtobusna postajališča je bilo v okviru</w:t>
      </w:r>
      <w:r w:rsidRPr="002D5D44">
        <w:rPr>
          <w:rFonts w:ascii="Arial" w:hAnsi="Arial" w:cs="Arial"/>
          <w:b/>
          <w:bCs/>
          <w:sz w:val="20"/>
          <w:szCs w:val="20"/>
        </w:rPr>
        <w:t xml:space="preserve"> </w:t>
      </w:r>
      <w:r w:rsidR="009B6F3A" w:rsidRPr="002D5D44">
        <w:rPr>
          <w:rFonts w:ascii="Arial" w:hAnsi="Arial" w:cs="Arial"/>
          <w:sz w:val="20"/>
          <w:szCs w:val="20"/>
        </w:rPr>
        <w:t>OP EKP</w:t>
      </w:r>
      <w:r w:rsidRPr="002D5D44">
        <w:rPr>
          <w:rFonts w:ascii="Arial" w:hAnsi="Arial" w:cs="Arial"/>
          <w:sz w:val="20"/>
          <w:szCs w:val="20"/>
        </w:rPr>
        <w:t xml:space="preserve"> na razpolago</w:t>
      </w:r>
      <w:r w:rsidR="00765B03">
        <w:rPr>
          <w:rFonts w:ascii="Arial" w:hAnsi="Arial" w:cs="Arial"/>
          <w:sz w:val="20"/>
          <w:szCs w:val="20"/>
        </w:rPr>
        <w:t xml:space="preserve"> več kot</w:t>
      </w:r>
      <w:r w:rsidRPr="002D5D44">
        <w:rPr>
          <w:rFonts w:ascii="Arial" w:hAnsi="Arial" w:cs="Arial"/>
          <w:sz w:val="20"/>
          <w:szCs w:val="20"/>
        </w:rPr>
        <w:t xml:space="preserve"> </w:t>
      </w:r>
      <w:r w:rsidR="00765B03">
        <w:rPr>
          <w:rFonts w:ascii="Arial" w:hAnsi="Arial" w:cs="Arial"/>
          <w:bCs/>
          <w:sz w:val="20"/>
          <w:szCs w:val="20"/>
        </w:rPr>
        <w:t>20.000.000,00</w:t>
      </w:r>
      <w:r w:rsidR="00CC309A" w:rsidRPr="002D5D44">
        <w:rPr>
          <w:rFonts w:ascii="Arial" w:hAnsi="Arial" w:cs="Arial"/>
          <w:bCs/>
          <w:sz w:val="20"/>
          <w:szCs w:val="20"/>
        </w:rPr>
        <w:t xml:space="preserve"> </w:t>
      </w:r>
      <w:proofErr w:type="spellStart"/>
      <w:r w:rsidR="00CC309A" w:rsidRPr="002D5D44">
        <w:rPr>
          <w:rFonts w:ascii="Arial" w:hAnsi="Arial" w:cs="Arial"/>
          <w:bCs/>
          <w:sz w:val="20"/>
          <w:szCs w:val="20"/>
        </w:rPr>
        <w:t>eurov</w:t>
      </w:r>
      <w:proofErr w:type="spellEnd"/>
      <w:r w:rsidRPr="002D5D44">
        <w:rPr>
          <w:rFonts w:ascii="Arial" w:eastAsia="SimSun" w:hAnsi="Arial" w:cs="Arial"/>
          <w:sz w:val="20"/>
          <w:szCs w:val="20"/>
        </w:rPr>
        <w:t xml:space="preserve">; </w:t>
      </w:r>
    </w:p>
    <w:p w:rsidR="009B6F3A" w:rsidRPr="002D5D44" w:rsidRDefault="009B6F3A" w:rsidP="009B6F3A">
      <w:pPr>
        <w:pStyle w:val="Brezrazmikov"/>
        <w:numPr>
          <w:ilvl w:val="0"/>
          <w:numId w:val="7"/>
        </w:numPr>
        <w:ind w:left="714" w:hanging="357"/>
        <w:jc w:val="both"/>
        <w:rPr>
          <w:rFonts w:ascii="Arial" w:hAnsi="Arial" w:cs="Arial"/>
          <w:sz w:val="20"/>
          <w:szCs w:val="20"/>
        </w:rPr>
      </w:pPr>
      <w:r w:rsidRPr="002D5D44">
        <w:rPr>
          <w:rFonts w:ascii="Arial" w:eastAsia="SimSun" w:hAnsi="Arial" w:cs="Arial"/>
          <w:sz w:val="20"/>
          <w:szCs w:val="20"/>
        </w:rPr>
        <w:t>v</w:t>
      </w:r>
      <w:r w:rsidR="007B37AF" w:rsidRPr="002D5D44">
        <w:rPr>
          <w:rFonts w:ascii="Arial" w:eastAsia="SimSun" w:hAnsi="Arial" w:cs="Arial"/>
          <w:sz w:val="20"/>
          <w:szCs w:val="20"/>
        </w:rPr>
        <w:t xml:space="preserve"> OP EKP</w:t>
      </w:r>
      <w:r w:rsidRPr="002D5D44">
        <w:rPr>
          <w:rFonts w:ascii="Arial" w:eastAsia="SimSun" w:hAnsi="Arial" w:cs="Arial"/>
          <w:sz w:val="20"/>
          <w:szCs w:val="20"/>
        </w:rPr>
        <w:t xml:space="preserve"> se je zagotovilo</w:t>
      </w:r>
      <w:r w:rsidR="007B37AF" w:rsidRPr="002D5D44">
        <w:rPr>
          <w:rFonts w:ascii="Arial" w:eastAsia="SimSun" w:hAnsi="Arial" w:cs="Arial"/>
          <w:sz w:val="20"/>
          <w:szCs w:val="20"/>
        </w:rPr>
        <w:t xml:space="preserve"> še dodatna sredstva za </w:t>
      </w:r>
      <w:r w:rsidR="00765B03">
        <w:rPr>
          <w:rFonts w:ascii="Arial" w:eastAsia="SimSun" w:hAnsi="Arial" w:cs="Arial"/>
          <w:sz w:val="20"/>
          <w:szCs w:val="20"/>
        </w:rPr>
        <w:t xml:space="preserve">financiranje dogovorov za razvoj regij z </w:t>
      </w:r>
      <w:r w:rsidR="007B37AF" w:rsidRPr="002D5D44">
        <w:rPr>
          <w:rFonts w:ascii="Arial" w:eastAsia="SimSun" w:hAnsi="Arial" w:cs="Arial"/>
          <w:sz w:val="20"/>
          <w:szCs w:val="20"/>
        </w:rPr>
        <w:t>namen</w:t>
      </w:r>
      <w:r w:rsidR="00765B03">
        <w:rPr>
          <w:rFonts w:ascii="Arial" w:eastAsia="SimSun" w:hAnsi="Arial" w:cs="Arial"/>
          <w:sz w:val="20"/>
          <w:szCs w:val="20"/>
        </w:rPr>
        <w:t>om</w:t>
      </w:r>
      <w:r w:rsidR="007B37AF" w:rsidRPr="002D5D44">
        <w:rPr>
          <w:rFonts w:ascii="Arial" w:eastAsia="SimSun" w:hAnsi="Arial" w:cs="Arial"/>
          <w:sz w:val="20"/>
          <w:szCs w:val="20"/>
        </w:rPr>
        <w:t xml:space="preserve"> izgradnje kolesarske </w:t>
      </w:r>
      <w:r w:rsidRPr="002D5D44">
        <w:rPr>
          <w:rFonts w:ascii="Arial" w:eastAsia="SimSun" w:hAnsi="Arial" w:cs="Arial"/>
          <w:sz w:val="20"/>
          <w:szCs w:val="20"/>
        </w:rPr>
        <w:t>infrastrukture</w:t>
      </w:r>
      <w:r w:rsidR="007B37AF" w:rsidRPr="002D5D44">
        <w:rPr>
          <w:rFonts w:ascii="Arial" w:eastAsia="SimSun" w:hAnsi="Arial" w:cs="Arial"/>
          <w:sz w:val="20"/>
          <w:szCs w:val="20"/>
        </w:rPr>
        <w:t xml:space="preserve"> v okvirni višini </w:t>
      </w:r>
      <w:r w:rsidR="00AF04BA" w:rsidRPr="002D5D44">
        <w:rPr>
          <w:rFonts w:ascii="Arial" w:eastAsia="SimSun" w:hAnsi="Arial" w:cs="Arial"/>
          <w:sz w:val="20"/>
          <w:szCs w:val="20"/>
        </w:rPr>
        <w:t xml:space="preserve">več kot 100 milijonov </w:t>
      </w:r>
      <w:proofErr w:type="spellStart"/>
      <w:r w:rsidR="00AF04BA" w:rsidRPr="002D5D44">
        <w:rPr>
          <w:rFonts w:ascii="Arial" w:eastAsia="SimSun" w:hAnsi="Arial" w:cs="Arial"/>
          <w:sz w:val="20"/>
          <w:szCs w:val="20"/>
        </w:rPr>
        <w:t>eu</w:t>
      </w:r>
      <w:r w:rsidR="007B37AF" w:rsidRPr="002D5D44">
        <w:rPr>
          <w:rFonts w:ascii="Arial" w:eastAsia="SimSun" w:hAnsi="Arial" w:cs="Arial"/>
          <w:sz w:val="20"/>
          <w:szCs w:val="20"/>
        </w:rPr>
        <w:t>rov</w:t>
      </w:r>
      <w:proofErr w:type="spellEnd"/>
      <w:r w:rsidRPr="002D5D44">
        <w:rPr>
          <w:rFonts w:ascii="Arial" w:eastAsia="SimSun" w:hAnsi="Arial" w:cs="Arial"/>
          <w:sz w:val="20"/>
          <w:szCs w:val="20"/>
        </w:rPr>
        <w:t>;</w:t>
      </w:r>
    </w:p>
    <w:p w:rsidR="009B6F3A" w:rsidRPr="002D5D44" w:rsidRDefault="00765B03" w:rsidP="009B6F3A">
      <w:pPr>
        <w:pStyle w:val="Brezrazmikov"/>
        <w:numPr>
          <w:ilvl w:val="0"/>
          <w:numId w:val="7"/>
        </w:numPr>
        <w:ind w:left="714" w:hanging="357"/>
        <w:jc w:val="both"/>
        <w:rPr>
          <w:rFonts w:ascii="Arial" w:hAnsi="Arial" w:cs="Arial"/>
          <w:sz w:val="20"/>
          <w:szCs w:val="20"/>
        </w:rPr>
      </w:pPr>
      <w:r>
        <w:rPr>
          <w:rFonts w:ascii="Arial" w:eastAsia="SimSun" w:hAnsi="Arial" w:cs="Arial"/>
          <w:sz w:val="20"/>
          <w:szCs w:val="20"/>
        </w:rPr>
        <w:t>nova sredstva za trajnostno mobilnost (nakupi avtobusov, električna mobilnost v o</w:t>
      </w:r>
      <w:r w:rsidR="008A2451">
        <w:rPr>
          <w:rFonts w:ascii="Arial" w:eastAsia="SimSun" w:hAnsi="Arial" w:cs="Arial"/>
          <w:sz w:val="20"/>
          <w:szCs w:val="20"/>
        </w:rPr>
        <w:t>b</w:t>
      </w:r>
      <w:r>
        <w:rPr>
          <w:rFonts w:ascii="Arial" w:eastAsia="SimSun" w:hAnsi="Arial" w:cs="Arial"/>
          <w:sz w:val="20"/>
          <w:szCs w:val="20"/>
        </w:rPr>
        <w:t xml:space="preserve">močjih narave, kolesarska infrastruktura) so se zagotovila v letu 2018 iz </w:t>
      </w:r>
      <w:r w:rsidR="00AF04BA" w:rsidRPr="002D5D44">
        <w:rPr>
          <w:rFonts w:ascii="Arial" w:hAnsi="Arial" w:cs="Arial"/>
          <w:sz w:val="20"/>
          <w:szCs w:val="20"/>
        </w:rPr>
        <w:t>sredstev</w:t>
      </w:r>
      <w:r w:rsidR="007B37AF" w:rsidRPr="002D5D44">
        <w:rPr>
          <w:rFonts w:ascii="Arial" w:hAnsi="Arial" w:cs="Arial"/>
          <w:sz w:val="20"/>
          <w:szCs w:val="20"/>
        </w:rPr>
        <w:t xml:space="preserve"> Sklada za podnebne spremembe; </w:t>
      </w:r>
    </w:p>
    <w:p w:rsidR="007B37AF" w:rsidRPr="002D5D44" w:rsidRDefault="007B37AF" w:rsidP="009B6F3A">
      <w:pPr>
        <w:pStyle w:val="Brezrazmikov"/>
        <w:numPr>
          <w:ilvl w:val="0"/>
          <w:numId w:val="7"/>
        </w:numPr>
        <w:ind w:left="714" w:hanging="357"/>
        <w:jc w:val="both"/>
        <w:rPr>
          <w:rFonts w:ascii="Arial" w:hAnsi="Arial" w:cs="Arial"/>
          <w:sz w:val="20"/>
          <w:szCs w:val="20"/>
        </w:rPr>
      </w:pPr>
      <w:r w:rsidRPr="002D5D44">
        <w:rPr>
          <w:rFonts w:ascii="Arial" w:hAnsi="Arial" w:cs="Arial"/>
          <w:sz w:val="20"/>
          <w:szCs w:val="20"/>
        </w:rPr>
        <w:t>za</w:t>
      </w:r>
      <w:r w:rsidR="00765B03">
        <w:rPr>
          <w:rFonts w:ascii="Arial" w:hAnsi="Arial" w:cs="Arial"/>
          <w:sz w:val="20"/>
          <w:szCs w:val="20"/>
        </w:rPr>
        <w:t xml:space="preserve">gotovljena so bila dodatna sredstva za investicije v železniško infrastrukturo in za izvajanje </w:t>
      </w:r>
      <w:r w:rsidR="00741C76">
        <w:rPr>
          <w:rFonts w:ascii="Arial" w:hAnsi="Arial" w:cs="Arial"/>
          <w:sz w:val="20"/>
          <w:szCs w:val="20"/>
        </w:rPr>
        <w:t>obvezne gospodarske javne službe</w:t>
      </w:r>
      <w:r w:rsidR="00765B03">
        <w:rPr>
          <w:rFonts w:ascii="Arial" w:hAnsi="Arial" w:cs="Arial"/>
          <w:sz w:val="20"/>
          <w:szCs w:val="20"/>
        </w:rPr>
        <w:t xml:space="preserve"> prevoza potnikov po železnicah, med drugim se je zagotovilo sredstva za nakup novih železniških garnitur za prevoz potnikov</w:t>
      </w:r>
      <w:r w:rsidR="00741C76">
        <w:rPr>
          <w:rFonts w:ascii="Arial" w:hAnsi="Arial" w:cs="Arial"/>
          <w:sz w:val="20"/>
          <w:szCs w:val="20"/>
        </w:rPr>
        <w:t>.</w:t>
      </w:r>
    </w:p>
    <w:p w:rsidR="00AF04BA" w:rsidRPr="002D5D44" w:rsidRDefault="00AF04BA" w:rsidP="00AF04BA">
      <w:pPr>
        <w:pStyle w:val="Brezrazmikov"/>
        <w:ind w:left="714"/>
        <w:jc w:val="both"/>
        <w:rPr>
          <w:rFonts w:ascii="Arial" w:hAnsi="Arial" w:cs="Arial"/>
          <w:sz w:val="20"/>
          <w:szCs w:val="20"/>
        </w:rPr>
      </w:pPr>
    </w:p>
    <w:p w:rsidR="00AF04BA" w:rsidRPr="00741C76" w:rsidRDefault="00AF04BA" w:rsidP="00741C76">
      <w:pPr>
        <w:spacing w:after="0" w:line="240" w:lineRule="auto"/>
        <w:rPr>
          <w:rFonts w:ascii="Arial" w:hAnsi="Arial" w:cs="Arial"/>
          <w:sz w:val="20"/>
          <w:szCs w:val="20"/>
        </w:rPr>
      </w:pPr>
      <w:r w:rsidRPr="00741C76">
        <w:rPr>
          <w:rFonts w:ascii="Arial" w:hAnsi="Arial" w:cs="Arial"/>
          <w:sz w:val="20"/>
          <w:szCs w:val="20"/>
        </w:rPr>
        <w:t>Področje</w:t>
      </w:r>
      <w:r w:rsidR="007B37AF" w:rsidRPr="00741C76">
        <w:rPr>
          <w:rFonts w:ascii="Arial" w:hAnsi="Arial" w:cs="Arial"/>
          <w:sz w:val="20"/>
          <w:szCs w:val="20"/>
        </w:rPr>
        <w:t xml:space="preserve"> priprave zakonodajnih rešitev:</w:t>
      </w:r>
    </w:p>
    <w:p w:rsidR="00AF04BA" w:rsidRPr="002D5D44" w:rsidRDefault="007B37AF" w:rsidP="00AF04BA">
      <w:pPr>
        <w:pStyle w:val="Odstavekseznama"/>
        <w:numPr>
          <w:ilvl w:val="0"/>
          <w:numId w:val="8"/>
        </w:numPr>
        <w:spacing w:after="0" w:line="240" w:lineRule="auto"/>
        <w:ind w:left="714" w:hanging="357"/>
        <w:rPr>
          <w:rFonts w:ascii="Arial" w:hAnsi="Arial" w:cs="Arial"/>
          <w:sz w:val="20"/>
          <w:szCs w:val="20"/>
        </w:rPr>
      </w:pPr>
      <w:r w:rsidRPr="002D5D44">
        <w:rPr>
          <w:rFonts w:ascii="Arial" w:hAnsi="Arial" w:cs="Arial"/>
          <w:sz w:val="20"/>
          <w:szCs w:val="20"/>
        </w:rPr>
        <w:t xml:space="preserve">v </w:t>
      </w:r>
      <w:r w:rsidR="00741C76">
        <w:rPr>
          <w:rFonts w:ascii="Arial" w:hAnsi="Arial" w:cs="Arial"/>
          <w:sz w:val="20"/>
          <w:szCs w:val="20"/>
        </w:rPr>
        <w:t xml:space="preserve"> letu 2018 sta bila sprejeta</w:t>
      </w:r>
      <w:r w:rsidRPr="002D5D44">
        <w:rPr>
          <w:rFonts w:ascii="Arial" w:hAnsi="Arial" w:cs="Arial"/>
          <w:sz w:val="20"/>
          <w:szCs w:val="20"/>
        </w:rPr>
        <w:t xml:space="preserve"> Pravilnik o ko</w:t>
      </w:r>
      <w:r w:rsidR="00AF04BA" w:rsidRPr="002D5D44">
        <w:rPr>
          <w:rFonts w:ascii="Arial" w:hAnsi="Arial" w:cs="Arial"/>
          <w:sz w:val="20"/>
          <w:szCs w:val="20"/>
        </w:rPr>
        <w:t>lesarskih povezavah</w:t>
      </w:r>
      <w:r w:rsidR="00741C76">
        <w:rPr>
          <w:rFonts w:ascii="Arial" w:hAnsi="Arial" w:cs="Arial"/>
          <w:sz w:val="20"/>
          <w:szCs w:val="20"/>
        </w:rPr>
        <w:t xml:space="preserve"> in Pravilnik o kolesarskih površinah;</w:t>
      </w:r>
    </w:p>
    <w:p w:rsidR="007B37AF" w:rsidRPr="002D5D44" w:rsidRDefault="00AF04BA" w:rsidP="00AF04BA">
      <w:pPr>
        <w:pStyle w:val="Odstavekseznama"/>
        <w:numPr>
          <w:ilvl w:val="0"/>
          <w:numId w:val="8"/>
        </w:numPr>
        <w:spacing w:after="0" w:line="240" w:lineRule="auto"/>
        <w:ind w:left="714" w:hanging="357"/>
        <w:rPr>
          <w:rFonts w:ascii="Arial" w:hAnsi="Arial" w:cs="Arial"/>
          <w:sz w:val="20"/>
          <w:szCs w:val="20"/>
        </w:rPr>
      </w:pPr>
      <w:r w:rsidRPr="002D5D44">
        <w:rPr>
          <w:rFonts w:ascii="Arial" w:hAnsi="Arial" w:cs="Arial"/>
          <w:sz w:val="20"/>
          <w:szCs w:val="20"/>
        </w:rPr>
        <w:t>p</w:t>
      </w:r>
      <w:r w:rsidR="00741C76">
        <w:rPr>
          <w:rFonts w:ascii="Arial" w:hAnsi="Arial" w:cs="Arial"/>
          <w:sz w:val="20"/>
          <w:szCs w:val="20"/>
        </w:rPr>
        <w:t>ripravile so se s</w:t>
      </w:r>
      <w:r w:rsidR="007B37AF" w:rsidRPr="002D5D44">
        <w:rPr>
          <w:rFonts w:ascii="Arial" w:hAnsi="Arial" w:cs="Arial"/>
          <w:sz w:val="20"/>
          <w:szCs w:val="20"/>
        </w:rPr>
        <w:t>premembe Zakona o cestnem prevozu, ki bi omogoči</w:t>
      </w:r>
      <w:r w:rsidRPr="002D5D44">
        <w:rPr>
          <w:rFonts w:ascii="Arial" w:hAnsi="Arial" w:cs="Arial"/>
          <w:sz w:val="20"/>
          <w:szCs w:val="20"/>
        </w:rPr>
        <w:t>l</w:t>
      </w:r>
      <w:r w:rsidR="00741C76">
        <w:rPr>
          <w:rFonts w:ascii="Arial" w:hAnsi="Arial" w:cs="Arial"/>
          <w:sz w:val="20"/>
          <w:szCs w:val="20"/>
        </w:rPr>
        <w:t>e</w:t>
      </w:r>
      <w:r w:rsidRPr="002D5D44">
        <w:rPr>
          <w:rFonts w:ascii="Arial" w:hAnsi="Arial" w:cs="Arial"/>
          <w:sz w:val="20"/>
          <w:szCs w:val="20"/>
        </w:rPr>
        <w:t xml:space="preserve"> ustanovitev upravljavca </w:t>
      </w:r>
      <w:r w:rsidR="00741C76">
        <w:rPr>
          <w:rFonts w:ascii="Arial" w:hAnsi="Arial" w:cs="Arial"/>
          <w:sz w:val="20"/>
          <w:szCs w:val="20"/>
        </w:rPr>
        <w:t>javnega potniškega prometa, ter pripravile spremembe podzakonskih aktov o prevozu potnikov.</w:t>
      </w:r>
    </w:p>
    <w:p w:rsidR="00A80192" w:rsidRPr="004A5D7A" w:rsidRDefault="00A80192" w:rsidP="00A80192">
      <w:pPr>
        <w:pStyle w:val="Odstavekseznama"/>
        <w:spacing w:after="0" w:line="240" w:lineRule="auto"/>
        <w:ind w:left="714"/>
        <w:rPr>
          <w:rFonts w:ascii="Arial" w:hAnsi="Arial" w:cs="Arial"/>
          <w:sz w:val="20"/>
          <w:szCs w:val="20"/>
        </w:rPr>
      </w:pPr>
    </w:p>
    <w:p w:rsidR="00F5531A" w:rsidRPr="00104A21" w:rsidRDefault="00D83DB6" w:rsidP="00D83DB6">
      <w:pPr>
        <w:spacing w:after="0" w:line="240" w:lineRule="auto"/>
        <w:jc w:val="both"/>
        <w:rPr>
          <w:rFonts w:ascii="Arial" w:hAnsi="Arial" w:cs="Arial"/>
          <w:sz w:val="20"/>
          <w:szCs w:val="20"/>
        </w:rPr>
      </w:pPr>
      <w:r w:rsidRPr="004A5D7A">
        <w:rPr>
          <w:rFonts w:ascii="Arial" w:hAnsi="Arial" w:cs="Arial"/>
          <w:sz w:val="20"/>
          <w:szCs w:val="20"/>
        </w:rPr>
        <w:t>Na davčnem področju je m</w:t>
      </w:r>
      <w:r w:rsidR="00A80192" w:rsidRPr="004A5D7A">
        <w:rPr>
          <w:rFonts w:ascii="Arial" w:hAnsi="Arial" w:cs="Arial"/>
          <w:sz w:val="20"/>
          <w:szCs w:val="20"/>
        </w:rPr>
        <w:t>ed ključn</w:t>
      </w:r>
      <w:r w:rsidRPr="004A5D7A">
        <w:rPr>
          <w:rFonts w:ascii="Arial" w:hAnsi="Arial" w:cs="Arial"/>
          <w:sz w:val="20"/>
          <w:szCs w:val="20"/>
        </w:rPr>
        <w:t>imi</w:t>
      </w:r>
      <w:r w:rsidR="00A80192" w:rsidRPr="004A5D7A">
        <w:rPr>
          <w:rFonts w:ascii="Arial" w:hAnsi="Arial" w:cs="Arial"/>
          <w:sz w:val="20"/>
          <w:szCs w:val="20"/>
        </w:rPr>
        <w:t xml:space="preserve"> neizveden</w:t>
      </w:r>
      <w:r w:rsidRPr="004A5D7A">
        <w:rPr>
          <w:rFonts w:ascii="Arial" w:hAnsi="Arial" w:cs="Arial"/>
          <w:sz w:val="20"/>
          <w:szCs w:val="20"/>
        </w:rPr>
        <w:t>imi</w:t>
      </w:r>
      <w:r w:rsidR="00A80192" w:rsidRPr="004A5D7A">
        <w:rPr>
          <w:rFonts w:ascii="Arial" w:hAnsi="Arial" w:cs="Arial"/>
          <w:sz w:val="20"/>
          <w:szCs w:val="20"/>
        </w:rPr>
        <w:t xml:space="preserve"> </w:t>
      </w:r>
      <w:r w:rsidR="00B03072" w:rsidRPr="004A5D7A">
        <w:rPr>
          <w:rFonts w:ascii="Arial" w:hAnsi="Arial" w:cs="Arial"/>
          <w:sz w:val="20"/>
          <w:szCs w:val="20"/>
        </w:rPr>
        <w:t>aktivnostmi predvidenimi v OP TGP</w:t>
      </w:r>
      <w:r w:rsidR="006F25A2" w:rsidRPr="004A5D7A">
        <w:rPr>
          <w:rFonts w:ascii="Arial" w:hAnsi="Arial" w:cs="Arial"/>
          <w:sz w:val="20"/>
          <w:szCs w:val="20"/>
        </w:rPr>
        <w:t xml:space="preserve"> 2020,</w:t>
      </w:r>
      <w:r w:rsidR="00B03072" w:rsidRPr="004A5D7A">
        <w:rPr>
          <w:rFonts w:ascii="Arial" w:hAnsi="Arial" w:cs="Arial"/>
          <w:sz w:val="20"/>
          <w:szCs w:val="20"/>
        </w:rPr>
        <w:t xml:space="preserve"> </w:t>
      </w:r>
      <w:r w:rsidR="00A80192" w:rsidRPr="004A5D7A">
        <w:rPr>
          <w:rFonts w:ascii="Arial" w:hAnsi="Arial" w:cs="Arial"/>
          <w:sz w:val="20"/>
          <w:szCs w:val="20"/>
        </w:rPr>
        <w:t xml:space="preserve"> </w:t>
      </w:r>
      <w:r w:rsidR="00026A94" w:rsidRPr="004A5D7A">
        <w:rPr>
          <w:rFonts w:ascii="Arial" w:hAnsi="Arial" w:cs="Arial"/>
          <w:sz w:val="20"/>
          <w:szCs w:val="20"/>
        </w:rPr>
        <w:t xml:space="preserve"> </w:t>
      </w:r>
      <w:r w:rsidRPr="004A5D7A">
        <w:rPr>
          <w:rFonts w:ascii="Arial" w:hAnsi="Arial" w:cs="Arial"/>
          <w:sz w:val="20"/>
          <w:szCs w:val="20"/>
        </w:rPr>
        <w:t>i</w:t>
      </w:r>
      <w:r w:rsidR="00026A94" w:rsidRPr="004A5D7A">
        <w:rPr>
          <w:rFonts w:ascii="Arial" w:hAnsi="Arial" w:cs="Arial"/>
          <w:sz w:val="20"/>
          <w:szCs w:val="20"/>
        </w:rPr>
        <w:t xml:space="preserve">nstrument </w:t>
      </w:r>
      <w:r w:rsidR="00026A94" w:rsidRPr="004A5D7A">
        <w:rPr>
          <w:rFonts w:ascii="Arial" w:hAnsi="Arial" w:cs="Arial"/>
          <w:i/>
          <w:sz w:val="20"/>
          <w:szCs w:val="20"/>
        </w:rPr>
        <w:t>Postopno zmanjševanje subvencij fosilnim gorivom</w:t>
      </w:r>
      <w:r w:rsidR="00026A94" w:rsidRPr="004A5D7A">
        <w:rPr>
          <w:rFonts w:ascii="Arial" w:hAnsi="Arial" w:cs="Arial"/>
          <w:sz w:val="20"/>
          <w:szCs w:val="20"/>
        </w:rPr>
        <w:t xml:space="preserve"> oz. </w:t>
      </w:r>
      <w:r w:rsidR="00026A94" w:rsidRPr="004A5D7A">
        <w:rPr>
          <w:rFonts w:ascii="Arial" w:hAnsi="Arial" w:cs="Arial"/>
          <w:i/>
          <w:sz w:val="20"/>
          <w:szCs w:val="20"/>
        </w:rPr>
        <w:t>Postopno ukinjanje neučinkovitih subvencij</w:t>
      </w:r>
      <w:r w:rsidR="00026A94" w:rsidRPr="004A5D7A">
        <w:rPr>
          <w:rFonts w:ascii="Arial" w:hAnsi="Arial" w:cs="Arial"/>
          <w:sz w:val="20"/>
          <w:szCs w:val="20"/>
        </w:rPr>
        <w:t xml:space="preserve"> – </w:t>
      </w:r>
      <w:r w:rsidR="00026A94" w:rsidRPr="004A5D7A">
        <w:rPr>
          <w:rFonts w:ascii="Arial" w:hAnsi="Arial" w:cs="Arial"/>
          <w:i/>
          <w:sz w:val="20"/>
          <w:szCs w:val="20"/>
        </w:rPr>
        <w:t>Odpraviti instrumente izkrivljanja tržnih cen z o</w:t>
      </w:r>
      <w:r w:rsidRPr="004A5D7A">
        <w:rPr>
          <w:rFonts w:ascii="Arial" w:hAnsi="Arial" w:cs="Arial"/>
          <w:i/>
          <w:sz w:val="20"/>
          <w:szCs w:val="20"/>
        </w:rPr>
        <w:t>kolju škodljivimi subvencijami</w:t>
      </w:r>
      <w:r w:rsidRPr="004A5D7A">
        <w:rPr>
          <w:rFonts w:ascii="Arial" w:hAnsi="Arial" w:cs="Arial"/>
          <w:sz w:val="20"/>
          <w:szCs w:val="20"/>
        </w:rPr>
        <w:t>. Se ja pa z</w:t>
      </w:r>
      <w:r w:rsidRPr="004A5D7A">
        <w:rPr>
          <w:rFonts w:ascii="Arial" w:eastAsia="Times New Roman" w:hAnsi="Arial" w:cs="Arial"/>
          <w:sz w:val="20"/>
          <w:szCs w:val="20"/>
        </w:rPr>
        <w:t xml:space="preserve"> namenom zagotoviti </w:t>
      </w:r>
      <w:r w:rsidRPr="004A5D7A">
        <w:rPr>
          <w:rFonts w:ascii="Arial" w:hAnsi="Arial" w:cs="Arial"/>
          <w:sz w:val="20"/>
          <w:szCs w:val="20"/>
        </w:rPr>
        <w:t>nadaljnje ukrepanje na področju postopne</w:t>
      </w:r>
      <w:r w:rsidR="00F5531A" w:rsidRPr="004A5D7A">
        <w:rPr>
          <w:rFonts w:ascii="Arial" w:hAnsi="Arial" w:cs="Arial"/>
          <w:sz w:val="20"/>
          <w:szCs w:val="20"/>
        </w:rPr>
        <w:t>ga zmanjševanja oz. odpravljanja</w:t>
      </w:r>
      <w:r w:rsidRPr="004A5D7A">
        <w:rPr>
          <w:rFonts w:ascii="Arial" w:hAnsi="Arial" w:cs="Arial"/>
          <w:sz w:val="20"/>
          <w:szCs w:val="20"/>
        </w:rPr>
        <w:t xml:space="preserve"> t. i. okolju škodljivih </w:t>
      </w:r>
      <w:r w:rsidR="00120501" w:rsidRPr="004A5D7A">
        <w:rPr>
          <w:rFonts w:ascii="Arial" w:hAnsi="Arial" w:cs="Arial"/>
          <w:sz w:val="20"/>
          <w:szCs w:val="20"/>
        </w:rPr>
        <w:t>subvencij</w:t>
      </w:r>
      <w:r w:rsidRPr="004A5D7A">
        <w:rPr>
          <w:rFonts w:ascii="Arial" w:hAnsi="Arial" w:cs="Arial"/>
          <w:sz w:val="20"/>
          <w:szCs w:val="20"/>
        </w:rPr>
        <w:t>,</w:t>
      </w:r>
      <w:r w:rsidR="006F25A2" w:rsidRPr="004A5D7A">
        <w:rPr>
          <w:rFonts w:ascii="Arial" w:hAnsi="Arial" w:cs="Arial"/>
          <w:sz w:val="20"/>
          <w:szCs w:val="20"/>
        </w:rPr>
        <w:t xml:space="preserve"> </w:t>
      </w:r>
      <w:r w:rsidR="00EF75B0" w:rsidRPr="004A5D7A">
        <w:rPr>
          <w:rFonts w:ascii="Arial" w:hAnsi="Arial" w:cs="Arial"/>
          <w:sz w:val="20"/>
          <w:szCs w:val="20"/>
        </w:rPr>
        <w:t xml:space="preserve">izvajal vladni strateški projekt </w:t>
      </w:r>
      <w:r w:rsidRPr="004A5D7A">
        <w:rPr>
          <w:rFonts w:ascii="Arial" w:hAnsi="Arial" w:cs="Arial"/>
          <w:i/>
          <w:sz w:val="20"/>
          <w:szCs w:val="20"/>
        </w:rPr>
        <w:t>P3: Zelena proračunska reforma</w:t>
      </w:r>
      <w:r w:rsidRPr="004A5D7A">
        <w:rPr>
          <w:rFonts w:ascii="Arial" w:hAnsi="Arial" w:cs="Arial"/>
          <w:sz w:val="20"/>
          <w:szCs w:val="20"/>
        </w:rPr>
        <w:t xml:space="preserve">. </w:t>
      </w:r>
      <w:r w:rsidR="00F5531A" w:rsidRPr="004A5D7A">
        <w:rPr>
          <w:rFonts w:ascii="Arial" w:hAnsi="Arial" w:cs="Arial"/>
          <w:sz w:val="20"/>
          <w:szCs w:val="20"/>
        </w:rPr>
        <w:t xml:space="preserve">Omenjeni </w:t>
      </w:r>
      <w:r w:rsidR="0051752D" w:rsidRPr="00104A21">
        <w:rPr>
          <w:rFonts w:ascii="Arial" w:hAnsi="Arial" w:cs="Arial"/>
          <w:sz w:val="20"/>
          <w:szCs w:val="20"/>
        </w:rPr>
        <w:t>projekt p</w:t>
      </w:r>
      <w:r w:rsidR="00F5531A" w:rsidRPr="00104A21">
        <w:rPr>
          <w:rFonts w:ascii="Arial" w:hAnsi="Arial" w:cs="Arial"/>
          <w:sz w:val="20"/>
          <w:szCs w:val="20"/>
        </w:rPr>
        <w:t>redstavlja eno izmed pomembnih orodij za nadaljnje ukrepanje</w:t>
      </w:r>
      <w:r w:rsidR="0051752D" w:rsidRPr="00104A21">
        <w:rPr>
          <w:rFonts w:ascii="Arial" w:hAnsi="Arial" w:cs="Arial"/>
          <w:sz w:val="20"/>
          <w:szCs w:val="20"/>
        </w:rPr>
        <w:t xml:space="preserve"> na tem področju</w:t>
      </w:r>
      <w:r w:rsidR="00F5531A" w:rsidRPr="00104A21">
        <w:rPr>
          <w:rFonts w:ascii="Arial" w:hAnsi="Arial" w:cs="Arial"/>
          <w:sz w:val="20"/>
          <w:szCs w:val="20"/>
        </w:rPr>
        <w:t xml:space="preserve">. </w:t>
      </w:r>
    </w:p>
    <w:p w:rsidR="00BA3D30" w:rsidRPr="00104A21" w:rsidRDefault="00EF75B0" w:rsidP="00D83DB6">
      <w:pPr>
        <w:spacing w:after="0" w:line="240" w:lineRule="auto"/>
        <w:jc w:val="both"/>
        <w:rPr>
          <w:rFonts w:ascii="Arial" w:eastAsia="Times New Roman" w:hAnsi="Arial" w:cs="Arial"/>
          <w:sz w:val="20"/>
          <w:szCs w:val="20"/>
        </w:rPr>
      </w:pPr>
      <w:r w:rsidRPr="00104A21">
        <w:rPr>
          <w:rFonts w:ascii="Arial" w:hAnsi="Arial" w:cs="Arial"/>
          <w:sz w:val="20"/>
          <w:szCs w:val="20"/>
        </w:rPr>
        <w:t xml:space="preserve">Dodatno se je </w:t>
      </w:r>
      <w:r w:rsidR="00026A94" w:rsidRPr="00104A21">
        <w:rPr>
          <w:rFonts w:ascii="Arial" w:eastAsia="Times New Roman" w:hAnsi="Arial" w:cs="Arial"/>
          <w:sz w:val="20"/>
          <w:szCs w:val="20"/>
        </w:rPr>
        <w:t xml:space="preserve">preko višine trošarine spodbujalo </w:t>
      </w:r>
      <w:r w:rsidRPr="00104A21">
        <w:rPr>
          <w:rFonts w:ascii="Arial" w:eastAsia="Times New Roman" w:hAnsi="Arial" w:cs="Arial"/>
          <w:sz w:val="20"/>
          <w:szCs w:val="20"/>
        </w:rPr>
        <w:t xml:space="preserve">tudi </w:t>
      </w:r>
      <w:r w:rsidR="00026A94" w:rsidRPr="00104A21">
        <w:rPr>
          <w:rFonts w:ascii="Arial" w:eastAsia="Times New Roman" w:hAnsi="Arial" w:cs="Arial"/>
          <w:sz w:val="20"/>
          <w:szCs w:val="20"/>
        </w:rPr>
        <w:t>rabo alternativnih goriv in vozil (za več glej poglavje 5.1. Zelena gospodarska rast).</w:t>
      </w:r>
    </w:p>
    <w:p w:rsidR="00D83DB6" w:rsidRPr="004A5D7A" w:rsidRDefault="00BA3D30" w:rsidP="00D83DB6">
      <w:pPr>
        <w:spacing w:after="0" w:line="240" w:lineRule="auto"/>
        <w:jc w:val="both"/>
        <w:rPr>
          <w:rFonts w:ascii="Arial" w:hAnsi="Arial" w:cs="Arial"/>
          <w:sz w:val="20"/>
          <w:szCs w:val="20"/>
        </w:rPr>
      </w:pPr>
      <w:r w:rsidRPr="00104A21">
        <w:rPr>
          <w:rFonts w:ascii="Arial" w:eastAsia="Times New Roman" w:hAnsi="Arial" w:cs="Arial"/>
          <w:sz w:val="20"/>
          <w:szCs w:val="20"/>
        </w:rPr>
        <w:t>Trajnostne izbire</w:t>
      </w:r>
      <w:r w:rsidR="00742290" w:rsidRPr="00104A21">
        <w:rPr>
          <w:rFonts w:ascii="Arial" w:eastAsia="Times New Roman" w:hAnsi="Arial" w:cs="Arial"/>
          <w:sz w:val="20"/>
          <w:szCs w:val="20"/>
        </w:rPr>
        <w:t xml:space="preserve"> transporta s spremembo</w:t>
      </w:r>
      <w:r w:rsidRPr="00104A21">
        <w:rPr>
          <w:rFonts w:ascii="Arial" w:eastAsia="Times New Roman" w:hAnsi="Arial" w:cs="Arial"/>
          <w:sz w:val="20"/>
          <w:szCs w:val="20"/>
        </w:rPr>
        <w:t xml:space="preserve"> obračuna potnih stroškov </w:t>
      </w:r>
      <w:r w:rsidR="00742290" w:rsidRPr="00104A21">
        <w:rPr>
          <w:rFonts w:ascii="Arial" w:eastAsia="Times New Roman" w:hAnsi="Arial" w:cs="Arial"/>
          <w:sz w:val="20"/>
          <w:szCs w:val="20"/>
        </w:rPr>
        <w:t xml:space="preserve">se </w:t>
      </w:r>
      <w:r w:rsidRPr="00104A21">
        <w:rPr>
          <w:rFonts w:ascii="Arial" w:eastAsia="Times New Roman" w:hAnsi="Arial" w:cs="Arial"/>
          <w:sz w:val="20"/>
          <w:szCs w:val="20"/>
        </w:rPr>
        <w:t>ni spodbujalo.</w:t>
      </w:r>
      <w:r w:rsidR="00D83DB6" w:rsidRPr="00104A21">
        <w:rPr>
          <w:rFonts w:ascii="Arial" w:eastAsia="Times New Roman" w:hAnsi="Arial" w:cs="Arial"/>
          <w:sz w:val="20"/>
          <w:szCs w:val="20"/>
        </w:rPr>
        <w:t xml:space="preserve"> </w:t>
      </w:r>
      <w:r w:rsidR="00742290" w:rsidRPr="00104A21">
        <w:rPr>
          <w:rFonts w:ascii="Arial" w:eastAsia="Times New Roman" w:hAnsi="Arial" w:cs="Arial"/>
          <w:sz w:val="20"/>
          <w:szCs w:val="20"/>
        </w:rPr>
        <w:t xml:space="preserve">Tudi na področju obračuna dohodnine oz. bonitet in vstopno/izstopnih davkov za </w:t>
      </w:r>
      <w:r w:rsidR="00742290" w:rsidRPr="00104A21">
        <w:rPr>
          <w:rFonts w:ascii="Arial" w:hAnsi="Arial" w:cs="Arial"/>
          <w:sz w:val="20"/>
          <w:szCs w:val="20"/>
        </w:rPr>
        <w:t>spodbujanje oz. olajšave nakupa električnih vozil za podjetja in posameznike ni bilo sprememb.</w:t>
      </w:r>
    </w:p>
    <w:p w:rsidR="00A80192" w:rsidRPr="002D5D44" w:rsidRDefault="00026A94" w:rsidP="00A80192">
      <w:pPr>
        <w:pStyle w:val="Brezrazmikov"/>
        <w:jc w:val="both"/>
        <w:rPr>
          <w:rFonts w:ascii="Arial" w:hAnsi="Arial" w:cs="Arial"/>
          <w:sz w:val="20"/>
          <w:szCs w:val="20"/>
        </w:rPr>
      </w:pPr>
      <w:r>
        <w:rPr>
          <w:rFonts w:ascii="Arial" w:eastAsia="Times New Roman" w:hAnsi="Arial" w:cs="Arial"/>
          <w:color w:val="FF0000"/>
          <w:sz w:val="20"/>
          <w:szCs w:val="20"/>
        </w:rPr>
        <w:t xml:space="preserve"> </w:t>
      </w:r>
      <w:r w:rsidR="00A80192" w:rsidRPr="009E1F43">
        <w:rPr>
          <w:rFonts w:ascii="Arial" w:hAnsi="Arial" w:cs="Arial"/>
          <w:sz w:val="20"/>
          <w:szCs w:val="20"/>
        </w:rPr>
        <w:t xml:space="preserve"> </w:t>
      </w:r>
    </w:p>
    <w:p w:rsidR="00A80192" w:rsidRPr="002D5D44" w:rsidRDefault="00A80192" w:rsidP="00423EAD">
      <w:pPr>
        <w:spacing w:after="0" w:line="240" w:lineRule="auto"/>
        <w:rPr>
          <w:rFonts w:ascii="Arial" w:hAnsi="Arial" w:cs="Arial"/>
          <w:sz w:val="20"/>
          <w:szCs w:val="20"/>
        </w:rPr>
      </w:pPr>
    </w:p>
    <w:p w:rsidR="00C84E20" w:rsidRDefault="00A80192" w:rsidP="00423EAD">
      <w:pPr>
        <w:spacing w:after="0" w:line="240" w:lineRule="auto"/>
        <w:rPr>
          <w:rFonts w:ascii="Arial" w:hAnsi="Arial" w:cs="Arial"/>
          <w:sz w:val="20"/>
          <w:szCs w:val="20"/>
          <w:u w:val="single"/>
        </w:rPr>
      </w:pPr>
      <w:r w:rsidRPr="002D5D44">
        <w:rPr>
          <w:rFonts w:ascii="Arial" w:hAnsi="Arial" w:cs="Arial"/>
          <w:sz w:val="20"/>
          <w:szCs w:val="20"/>
          <w:u w:val="single"/>
        </w:rPr>
        <w:t>Priporočila</w:t>
      </w:r>
    </w:p>
    <w:p w:rsidR="00E13A09" w:rsidRPr="002D5D44" w:rsidRDefault="00E13A09" w:rsidP="00423EAD">
      <w:pPr>
        <w:spacing w:after="0" w:line="240" w:lineRule="auto"/>
        <w:rPr>
          <w:rFonts w:ascii="Arial" w:hAnsi="Arial" w:cs="Arial"/>
          <w:sz w:val="20"/>
          <w:szCs w:val="20"/>
          <w:u w:val="single"/>
        </w:rPr>
      </w:pPr>
    </w:p>
    <w:p w:rsidR="00741C76" w:rsidRDefault="00741C76" w:rsidP="00741C76">
      <w:pPr>
        <w:pStyle w:val="Brezrazmikov"/>
        <w:jc w:val="both"/>
        <w:rPr>
          <w:rFonts w:ascii="Arial" w:hAnsi="Arial" w:cs="Arial"/>
          <w:sz w:val="20"/>
          <w:szCs w:val="20"/>
        </w:rPr>
      </w:pPr>
      <w:r w:rsidRPr="00741C76">
        <w:rPr>
          <w:rFonts w:ascii="Arial" w:hAnsi="Arial" w:cs="Arial"/>
          <w:sz w:val="20"/>
          <w:szCs w:val="20"/>
        </w:rPr>
        <w:t xml:space="preserve">V prihodnje bo potrebno na področju prometa zastaviti drugačno hierarhijo ukrepanja in pri tem najprej zagotavljati pogoje za zmanjševanje potreb po mobilnosti (priprave </w:t>
      </w:r>
      <w:proofErr w:type="spellStart"/>
      <w:r w:rsidRPr="00741C76">
        <w:rPr>
          <w:rFonts w:ascii="Arial" w:hAnsi="Arial" w:cs="Arial"/>
          <w:sz w:val="20"/>
          <w:szCs w:val="20"/>
        </w:rPr>
        <w:t>mobilnostnega</w:t>
      </w:r>
      <w:proofErr w:type="spellEnd"/>
      <w:r w:rsidRPr="00741C76">
        <w:rPr>
          <w:rFonts w:ascii="Arial" w:hAnsi="Arial" w:cs="Arial"/>
          <w:sz w:val="20"/>
          <w:szCs w:val="20"/>
        </w:rPr>
        <w:t xml:space="preserve"> načrta, širša uvedba možnosti dela od doma, uvajanje novih tehnologij, ipd.), zatem napore usmeriti v preusmerjanje mobilnosti v trajnostne načine – javni potniški promet, peš hoja, kolesarjenje, in šele za preostanek potovanj, ki so nujna, iskati rešitve v okviru uvajanja osebne mobilnosti z alternativnimi gorivi </w:t>
      </w:r>
      <w:r w:rsidR="00A02696">
        <w:rPr>
          <w:rFonts w:ascii="Arial" w:hAnsi="Arial" w:cs="Arial"/>
          <w:sz w:val="20"/>
          <w:szCs w:val="20"/>
        </w:rPr>
        <w:t>kot električna energija</w:t>
      </w:r>
      <w:r w:rsidRPr="00741C76">
        <w:rPr>
          <w:rFonts w:ascii="Arial" w:hAnsi="Arial" w:cs="Arial"/>
          <w:sz w:val="20"/>
          <w:szCs w:val="20"/>
        </w:rPr>
        <w:t xml:space="preserve">, </w:t>
      </w:r>
      <w:proofErr w:type="spellStart"/>
      <w:r w:rsidR="00A02696">
        <w:rPr>
          <w:rFonts w:ascii="Arial" w:hAnsi="Arial" w:cs="Arial"/>
          <w:sz w:val="20"/>
          <w:szCs w:val="20"/>
        </w:rPr>
        <w:t>bio</w:t>
      </w:r>
      <w:proofErr w:type="spellEnd"/>
      <w:r w:rsidR="00A02696">
        <w:rPr>
          <w:rFonts w:ascii="Arial" w:hAnsi="Arial" w:cs="Arial"/>
          <w:sz w:val="20"/>
          <w:szCs w:val="20"/>
        </w:rPr>
        <w:t>-goriva, sintetična goriva pridobljena iz OVE (npr. elektroliza vodika, sintetičen metan</w:t>
      </w:r>
      <w:r w:rsidRPr="00741C76">
        <w:rPr>
          <w:rFonts w:ascii="Arial" w:hAnsi="Arial" w:cs="Arial"/>
          <w:sz w:val="20"/>
          <w:szCs w:val="20"/>
        </w:rPr>
        <w:t xml:space="preserve">…). Te rešitve pa </w:t>
      </w:r>
      <w:r w:rsidRPr="00853453">
        <w:rPr>
          <w:rFonts w:ascii="Arial" w:hAnsi="Arial" w:cs="Arial"/>
          <w:sz w:val="20"/>
          <w:szCs w:val="20"/>
        </w:rPr>
        <w:t xml:space="preserve">naslavljati celostno, na primer spodbuditi uvedbo električnih vozil hkrati s </w:t>
      </w:r>
      <w:proofErr w:type="spellStart"/>
      <w:r w:rsidRPr="00853453">
        <w:rPr>
          <w:rFonts w:ascii="Arial" w:hAnsi="Arial" w:cs="Arial"/>
          <w:sz w:val="20"/>
          <w:szCs w:val="20"/>
        </w:rPr>
        <w:t>fotovoltaiko</w:t>
      </w:r>
      <w:proofErr w:type="spellEnd"/>
      <w:r w:rsidRPr="00853453">
        <w:rPr>
          <w:rFonts w:ascii="Arial" w:hAnsi="Arial" w:cs="Arial"/>
          <w:sz w:val="20"/>
          <w:szCs w:val="20"/>
        </w:rPr>
        <w:t xml:space="preserve"> in skladiščenjem energije, za kar je potrebno spodbujati razvoj rešitev povezave med avtomobilskim baterijami, sončno proizvodnjo elektrike in regulacijo omrežja, </w:t>
      </w:r>
      <w:proofErr w:type="spellStart"/>
      <w:r w:rsidRPr="00853453">
        <w:rPr>
          <w:rFonts w:ascii="Arial" w:hAnsi="Arial" w:cs="Arial"/>
          <w:sz w:val="20"/>
          <w:szCs w:val="20"/>
        </w:rPr>
        <w:t>regulatornih</w:t>
      </w:r>
      <w:proofErr w:type="spellEnd"/>
      <w:r w:rsidRPr="00853453">
        <w:rPr>
          <w:rFonts w:ascii="Arial" w:hAnsi="Arial" w:cs="Arial"/>
          <w:sz w:val="20"/>
          <w:szCs w:val="20"/>
        </w:rPr>
        <w:t xml:space="preserve"> rešitev, poslovnih modelov aktivnega upravljanja pametnih omrežij, vlaganja v pametna omrežja in ustrezne </w:t>
      </w:r>
      <w:proofErr w:type="spellStart"/>
      <w:r w:rsidRPr="00853453">
        <w:rPr>
          <w:rFonts w:ascii="Arial" w:hAnsi="Arial" w:cs="Arial"/>
          <w:sz w:val="20"/>
          <w:szCs w:val="20"/>
        </w:rPr>
        <w:t>subvencijske</w:t>
      </w:r>
      <w:proofErr w:type="spellEnd"/>
      <w:r w:rsidRPr="00853453">
        <w:rPr>
          <w:rFonts w:ascii="Arial" w:hAnsi="Arial" w:cs="Arial"/>
          <w:sz w:val="20"/>
          <w:szCs w:val="20"/>
        </w:rPr>
        <w:t xml:space="preserve"> podpore, med drugim.</w:t>
      </w:r>
      <w:r w:rsidR="00153569" w:rsidRPr="00853453">
        <w:rPr>
          <w:rFonts w:ascii="Arial" w:hAnsi="Arial" w:cs="Arial"/>
          <w:sz w:val="20"/>
          <w:szCs w:val="20"/>
        </w:rPr>
        <w:t xml:space="preserve"> Ta</w:t>
      </w:r>
      <w:r w:rsidR="00A02696" w:rsidRPr="00853453">
        <w:rPr>
          <w:rFonts w:ascii="Arial" w:hAnsi="Arial" w:cs="Arial"/>
          <w:sz w:val="20"/>
          <w:szCs w:val="20"/>
        </w:rPr>
        <w:t xml:space="preserve">kšne rešitve so trenutno še manj raziskane, toda že zaradi </w:t>
      </w:r>
      <w:r w:rsidR="00A02696" w:rsidRPr="00853453">
        <w:rPr>
          <w:rFonts w:ascii="Arial" w:hAnsi="Arial" w:cs="Arial"/>
          <w:sz w:val="20"/>
          <w:szCs w:val="20"/>
        </w:rPr>
        <w:lastRenderedPageBreak/>
        <w:t xml:space="preserve">morebitnih pozitivnih sinergij je smiselno nadaljevati raziskave in razvoj tudi glede tega dela pametnih </w:t>
      </w:r>
      <w:r w:rsidR="00153569" w:rsidRPr="00853453">
        <w:rPr>
          <w:rFonts w:ascii="Arial" w:hAnsi="Arial" w:cs="Arial"/>
          <w:sz w:val="20"/>
          <w:szCs w:val="20"/>
        </w:rPr>
        <w:t>omrežij</w:t>
      </w:r>
      <w:r w:rsidR="00A02696" w:rsidRPr="00853453">
        <w:rPr>
          <w:rFonts w:ascii="Arial" w:hAnsi="Arial" w:cs="Arial"/>
          <w:sz w:val="20"/>
          <w:szCs w:val="20"/>
        </w:rPr>
        <w:t xml:space="preserve"> tako, da se zagotovi ve</w:t>
      </w:r>
      <w:r w:rsidR="00153569" w:rsidRPr="00853453">
        <w:rPr>
          <w:rFonts w:ascii="Arial" w:hAnsi="Arial" w:cs="Arial"/>
          <w:sz w:val="20"/>
          <w:szCs w:val="20"/>
        </w:rPr>
        <w:t>č</w:t>
      </w:r>
      <w:r w:rsidR="00A02696" w:rsidRPr="00853453">
        <w:rPr>
          <w:rFonts w:ascii="Arial" w:hAnsi="Arial" w:cs="Arial"/>
          <w:sz w:val="20"/>
          <w:szCs w:val="20"/>
        </w:rPr>
        <w:t xml:space="preserve">ja </w:t>
      </w:r>
      <w:r w:rsidR="00153569" w:rsidRPr="00853453">
        <w:rPr>
          <w:rFonts w:ascii="Arial" w:hAnsi="Arial" w:cs="Arial"/>
          <w:sz w:val="20"/>
          <w:szCs w:val="20"/>
        </w:rPr>
        <w:t>stabilnost električnega</w:t>
      </w:r>
      <w:r w:rsidR="00853453">
        <w:rPr>
          <w:rFonts w:ascii="Arial" w:hAnsi="Arial" w:cs="Arial"/>
          <w:sz w:val="20"/>
          <w:szCs w:val="20"/>
        </w:rPr>
        <w:t xml:space="preserve"> omrežja in</w:t>
      </w:r>
      <w:r w:rsidR="00A02696" w:rsidRPr="00853453">
        <w:rPr>
          <w:rFonts w:ascii="Arial" w:hAnsi="Arial" w:cs="Arial"/>
          <w:sz w:val="20"/>
          <w:szCs w:val="20"/>
        </w:rPr>
        <w:t xml:space="preserve"> hkrati</w:t>
      </w:r>
      <w:r w:rsidR="00853453">
        <w:rPr>
          <w:rFonts w:ascii="Arial" w:hAnsi="Arial" w:cs="Arial"/>
          <w:sz w:val="20"/>
          <w:szCs w:val="20"/>
        </w:rPr>
        <w:t xml:space="preserve"> tudi</w:t>
      </w:r>
      <w:r w:rsidR="00153569" w:rsidRPr="00853453">
        <w:rPr>
          <w:rFonts w:ascii="Arial" w:hAnsi="Arial" w:cs="Arial"/>
          <w:sz w:val="20"/>
          <w:szCs w:val="20"/>
        </w:rPr>
        <w:t xml:space="preserve"> učinkovito</w:t>
      </w:r>
      <w:r w:rsidR="00853453">
        <w:rPr>
          <w:rFonts w:ascii="Arial" w:hAnsi="Arial" w:cs="Arial"/>
          <w:sz w:val="20"/>
          <w:szCs w:val="20"/>
        </w:rPr>
        <w:t>st porabe</w:t>
      </w:r>
      <w:r w:rsidR="00153569" w:rsidRPr="00853453">
        <w:rPr>
          <w:rFonts w:ascii="Arial" w:hAnsi="Arial" w:cs="Arial"/>
          <w:sz w:val="20"/>
          <w:szCs w:val="20"/>
        </w:rPr>
        <w:t xml:space="preserve"> javnofinančnih sredstev.</w:t>
      </w:r>
      <w:r w:rsidR="00153569">
        <w:rPr>
          <w:rFonts w:ascii="Arial" w:hAnsi="Arial" w:cs="Arial"/>
          <w:sz w:val="20"/>
          <w:szCs w:val="20"/>
        </w:rPr>
        <w:t xml:space="preserve"> </w:t>
      </w:r>
    </w:p>
    <w:p w:rsidR="00423EAD" w:rsidRDefault="00423EAD" w:rsidP="00423EAD">
      <w:pPr>
        <w:spacing w:after="0" w:line="240" w:lineRule="auto"/>
        <w:rPr>
          <w:rFonts w:ascii="Arial" w:hAnsi="Arial" w:cs="Arial"/>
          <w:sz w:val="20"/>
          <w:szCs w:val="20"/>
        </w:rPr>
      </w:pPr>
    </w:p>
    <w:p w:rsidR="006248BE" w:rsidRPr="002D5D44" w:rsidRDefault="006248BE" w:rsidP="006248BE">
      <w:pPr>
        <w:pStyle w:val="Brezrazmikov"/>
        <w:jc w:val="both"/>
        <w:rPr>
          <w:rFonts w:ascii="Arial" w:hAnsi="Arial" w:cs="Arial"/>
          <w:sz w:val="20"/>
          <w:szCs w:val="20"/>
        </w:rPr>
      </w:pPr>
      <w:r>
        <w:rPr>
          <w:rFonts w:ascii="Arial" w:hAnsi="Arial" w:cs="Arial"/>
          <w:sz w:val="20"/>
          <w:szCs w:val="20"/>
        </w:rPr>
        <w:t xml:space="preserve">Pomembno je tudi nadaljevati z načrtovanjem in izvajanjem projektov za posodobitev železniške infrastrukture in financiranjem infrastrukture za trajnostno mobilnost. Pomembno pa je tudi identificirati in razširjati dobre prakse na področju hitrejše uvedbe alternativnih goriv v prometu.  </w:t>
      </w:r>
    </w:p>
    <w:p w:rsidR="006248BE" w:rsidRPr="002D5D44" w:rsidRDefault="006248BE" w:rsidP="00423EAD">
      <w:pPr>
        <w:spacing w:after="0" w:line="240" w:lineRule="auto"/>
        <w:rPr>
          <w:rFonts w:ascii="Arial" w:hAnsi="Arial" w:cs="Arial"/>
          <w:sz w:val="20"/>
          <w:szCs w:val="20"/>
        </w:rPr>
      </w:pPr>
    </w:p>
    <w:p w:rsidR="00917DB5" w:rsidRPr="002D5D44" w:rsidRDefault="00917DB5" w:rsidP="00423EAD">
      <w:pPr>
        <w:spacing w:after="0" w:line="240" w:lineRule="auto"/>
        <w:rPr>
          <w:rFonts w:ascii="Arial" w:hAnsi="Arial" w:cs="Arial"/>
          <w:sz w:val="20"/>
          <w:szCs w:val="20"/>
        </w:rPr>
      </w:pPr>
    </w:p>
    <w:p w:rsidR="00AE6AA2" w:rsidRPr="002D5D44" w:rsidRDefault="00AE6AA2" w:rsidP="00D96E78">
      <w:pPr>
        <w:pStyle w:val="Naslov2"/>
      </w:pPr>
      <w:r w:rsidRPr="002D5D44">
        <w:t xml:space="preserve"> </w:t>
      </w:r>
      <w:bookmarkStart w:id="13" w:name="_Toc531933455"/>
      <w:r w:rsidRPr="002D5D44">
        <w:t>K</w:t>
      </w:r>
      <w:r w:rsidR="000B7C5D" w:rsidRPr="002D5D44">
        <w:t>metijstvo</w:t>
      </w:r>
      <w:bookmarkEnd w:id="13"/>
    </w:p>
    <w:p w:rsidR="00665B79" w:rsidRPr="002D5D44" w:rsidRDefault="00665B79" w:rsidP="00D03875">
      <w:pPr>
        <w:spacing w:after="0" w:line="240" w:lineRule="auto"/>
        <w:rPr>
          <w:rFonts w:ascii="Arial" w:hAnsi="Arial" w:cs="Arial"/>
          <w:sz w:val="20"/>
          <w:szCs w:val="20"/>
        </w:rPr>
      </w:pPr>
    </w:p>
    <w:p w:rsidR="00557F81" w:rsidRDefault="00397342" w:rsidP="00397342">
      <w:pPr>
        <w:spacing w:after="0" w:line="240" w:lineRule="auto"/>
        <w:rPr>
          <w:rFonts w:ascii="Arial" w:hAnsi="Arial" w:cs="Arial"/>
          <w:sz w:val="20"/>
          <w:szCs w:val="20"/>
          <w:u w:val="single"/>
        </w:rPr>
      </w:pPr>
      <w:r w:rsidRPr="002D5D44">
        <w:rPr>
          <w:rFonts w:ascii="Arial" w:hAnsi="Arial" w:cs="Arial"/>
          <w:sz w:val="20"/>
          <w:szCs w:val="20"/>
          <w:u w:val="single"/>
        </w:rPr>
        <w:t>Ukrepanje</w:t>
      </w:r>
    </w:p>
    <w:p w:rsidR="009E1F43" w:rsidRPr="002D5D44" w:rsidRDefault="009E1F43" w:rsidP="00397342">
      <w:pPr>
        <w:spacing w:after="0" w:line="240" w:lineRule="auto"/>
        <w:rPr>
          <w:rFonts w:ascii="Arial" w:hAnsi="Arial" w:cs="Arial"/>
          <w:sz w:val="20"/>
          <w:szCs w:val="20"/>
          <w:u w:val="single"/>
        </w:rPr>
      </w:pPr>
    </w:p>
    <w:p w:rsidR="009E1F43" w:rsidRDefault="00682859" w:rsidP="009E1F43">
      <w:pPr>
        <w:spacing w:after="0" w:line="240" w:lineRule="auto"/>
        <w:jc w:val="both"/>
        <w:rPr>
          <w:rFonts w:ascii="Arial" w:hAnsi="Arial" w:cs="Arial"/>
          <w:sz w:val="20"/>
          <w:szCs w:val="20"/>
        </w:rPr>
      </w:pPr>
      <w:r w:rsidRPr="009E1F43">
        <w:rPr>
          <w:rFonts w:ascii="Arial" w:hAnsi="Arial" w:cs="Arial"/>
          <w:sz w:val="20"/>
          <w:szCs w:val="20"/>
        </w:rPr>
        <w:t>Področje zmanjševanja</w:t>
      </w:r>
      <w:r w:rsidR="008D51EF" w:rsidRPr="009E1F43">
        <w:rPr>
          <w:rFonts w:ascii="Arial" w:hAnsi="Arial" w:cs="Arial"/>
          <w:sz w:val="20"/>
          <w:szCs w:val="20"/>
        </w:rPr>
        <w:t xml:space="preserve"> emisij </w:t>
      </w:r>
      <w:proofErr w:type="spellStart"/>
      <w:r w:rsidR="008D51EF" w:rsidRPr="009E1F43">
        <w:rPr>
          <w:rFonts w:ascii="Arial" w:hAnsi="Arial" w:cs="Arial"/>
          <w:sz w:val="20"/>
          <w:szCs w:val="20"/>
        </w:rPr>
        <w:t>didušikovega</w:t>
      </w:r>
      <w:proofErr w:type="spellEnd"/>
      <w:r w:rsidR="008D51EF" w:rsidRPr="009E1F43">
        <w:rPr>
          <w:rFonts w:ascii="Arial" w:hAnsi="Arial" w:cs="Arial"/>
          <w:sz w:val="20"/>
          <w:szCs w:val="20"/>
        </w:rPr>
        <w:t xml:space="preserve"> oksida</w:t>
      </w:r>
      <w:r w:rsidR="00302614" w:rsidRPr="009E1F43">
        <w:rPr>
          <w:rFonts w:ascii="Arial" w:hAnsi="Arial" w:cs="Arial"/>
          <w:sz w:val="20"/>
          <w:szCs w:val="20"/>
        </w:rPr>
        <w:t xml:space="preserve"> (N</w:t>
      </w:r>
      <w:r w:rsidR="00302614" w:rsidRPr="009E1F43">
        <w:rPr>
          <w:rFonts w:ascii="Arial" w:hAnsi="Arial" w:cs="Arial"/>
          <w:sz w:val="20"/>
          <w:szCs w:val="20"/>
          <w:vertAlign w:val="subscript"/>
        </w:rPr>
        <w:t>2</w:t>
      </w:r>
      <w:r w:rsidR="00302614" w:rsidRPr="009E1F43">
        <w:rPr>
          <w:rFonts w:ascii="Arial" w:hAnsi="Arial" w:cs="Arial"/>
          <w:sz w:val="20"/>
          <w:szCs w:val="20"/>
        </w:rPr>
        <w:t>O)</w:t>
      </w:r>
    </w:p>
    <w:p w:rsidR="009E1F43" w:rsidRPr="009E1F43" w:rsidRDefault="009E1F43" w:rsidP="009E1F43">
      <w:pPr>
        <w:spacing w:after="0" w:line="240" w:lineRule="auto"/>
        <w:jc w:val="both"/>
        <w:rPr>
          <w:rFonts w:ascii="Arial" w:hAnsi="Arial" w:cs="Arial"/>
          <w:sz w:val="20"/>
          <w:szCs w:val="20"/>
        </w:rPr>
      </w:pPr>
    </w:p>
    <w:p w:rsidR="005053B0" w:rsidRPr="002D5D44" w:rsidRDefault="005053B0" w:rsidP="008D51EF">
      <w:pPr>
        <w:spacing w:after="0" w:line="240" w:lineRule="auto"/>
        <w:jc w:val="both"/>
        <w:rPr>
          <w:rFonts w:ascii="Arial" w:hAnsi="Arial" w:cs="Arial"/>
          <w:sz w:val="20"/>
          <w:szCs w:val="20"/>
        </w:rPr>
      </w:pPr>
      <w:r w:rsidRPr="002D5D44">
        <w:rPr>
          <w:rFonts w:ascii="Arial" w:hAnsi="Arial" w:cs="Arial"/>
          <w:sz w:val="20"/>
          <w:szCs w:val="20"/>
        </w:rPr>
        <w:t xml:space="preserve">Ukrepi za zmanjševanje emisij </w:t>
      </w:r>
      <w:proofErr w:type="spellStart"/>
      <w:r w:rsidRPr="002D5D44">
        <w:rPr>
          <w:rFonts w:ascii="Arial" w:hAnsi="Arial" w:cs="Arial"/>
          <w:sz w:val="20"/>
          <w:szCs w:val="20"/>
        </w:rPr>
        <w:t>didušikovega</w:t>
      </w:r>
      <w:proofErr w:type="spellEnd"/>
      <w:r w:rsidRPr="002D5D44">
        <w:rPr>
          <w:rFonts w:ascii="Arial" w:hAnsi="Arial" w:cs="Arial"/>
          <w:sz w:val="20"/>
          <w:szCs w:val="20"/>
        </w:rPr>
        <w:t xml:space="preserve"> oksida temeljijo na ukrepih KOPOP in ekološko kmetovanje, preko katerih se zagotavlja učinkovitejše kroženje dušika. S tem je poraba </w:t>
      </w:r>
      <w:r w:rsidR="00ED6AC4" w:rsidRPr="002D5D44">
        <w:rPr>
          <w:rFonts w:ascii="Arial" w:hAnsi="Arial" w:cs="Arial"/>
          <w:sz w:val="20"/>
          <w:szCs w:val="20"/>
        </w:rPr>
        <w:t xml:space="preserve">dušika v </w:t>
      </w:r>
      <w:r w:rsidR="008C3C44">
        <w:rPr>
          <w:rFonts w:ascii="Arial" w:hAnsi="Arial" w:cs="Arial"/>
          <w:sz w:val="20"/>
          <w:szCs w:val="20"/>
        </w:rPr>
        <w:t xml:space="preserve">obliki mineralnih gnojil manjša, to pa </w:t>
      </w:r>
      <w:r w:rsidR="00ED6AC4" w:rsidRPr="002D5D44">
        <w:rPr>
          <w:rFonts w:ascii="Arial" w:hAnsi="Arial" w:cs="Arial"/>
          <w:sz w:val="20"/>
          <w:szCs w:val="20"/>
        </w:rPr>
        <w:t xml:space="preserve">prispeva k zmanjševanju emisij </w:t>
      </w:r>
      <w:proofErr w:type="spellStart"/>
      <w:r w:rsidR="00ED6AC4" w:rsidRPr="002D5D44">
        <w:rPr>
          <w:rFonts w:ascii="Arial" w:hAnsi="Arial" w:cs="Arial"/>
          <w:sz w:val="20"/>
          <w:szCs w:val="20"/>
        </w:rPr>
        <w:t>didušikovega</w:t>
      </w:r>
      <w:proofErr w:type="spellEnd"/>
      <w:r w:rsidR="00ED6AC4" w:rsidRPr="002D5D44">
        <w:rPr>
          <w:rFonts w:ascii="Arial" w:hAnsi="Arial" w:cs="Arial"/>
          <w:sz w:val="20"/>
          <w:szCs w:val="20"/>
        </w:rPr>
        <w:t xml:space="preserve"> oksida.</w:t>
      </w:r>
      <w:r w:rsidRPr="002D5D44">
        <w:rPr>
          <w:rFonts w:ascii="Arial" w:hAnsi="Arial" w:cs="Arial"/>
          <w:sz w:val="20"/>
          <w:szCs w:val="20"/>
        </w:rPr>
        <w:t xml:space="preserve"> </w:t>
      </w:r>
    </w:p>
    <w:p w:rsidR="00ED6AC4" w:rsidRPr="002D5D44" w:rsidRDefault="00ED6AC4" w:rsidP="00ED6AC4">
      <w:pPr>
        <w:spacing w:after="0" w:line="240" w:lineRule="auto"/>
        <w:jc w:val="both"/>
        <w:rPr>
          <w:rFonts w:ascii="Arial" w:hAnsi="Arial" w:cs="Arial"/>
          <w:sz w:val="20"/>
          <w:szCs w:val="20"/>
        </w:rPr>
      </w:pPr>
      <w:r w:rsidRPr="002D5D44">
        <w:rPr>
          <w:rFonts w:ascii="Arial" w:hAnsi="Arial" w:cs="Arial"/>
          <w:sz w:val="20"/>
          <w:szCs w:val="20"/>
        </w:rPr>
        <w:t xml:space="preserve">Pomanjkljivost izvajanja ukrepa KOPOP z vidika zmanjševanja emisij </w:t>
      </w:r>
      <w:proofErr w:type="spellStart"/>
      <w:r w:rsidRPr="002D5D44">
        <w:rPr>
          <w:rFonts w:ascii="Arial" w:hAnsi="Arial" w:cs="Arial"/>
          <w:sz w:val="20"/>
          <w:szCs w:val="20"/>
        </w:rPr>
        <w:t>didušikovega</w:t>
      </w:r>
      <w:proofErr w:type="spellEnd"/>
      <w:r w:rsidRPr="002D5D44">
        <w:rPr>
          <w:rFonts w:ascii="Arial" w:hAnsi="Arial" w:cs="Arial"/>
          <w:sz w:val="20"/>
          <w:szCs w:val="20"/>
        </w:rPr>
        <w:t xml:space="preserve"> oksida, je premajhen obseg izvajanja zahteve gnojenje z organskimi gnojili z nizkimi emisijami v zrak na trajnem travinju. Izbirno zahtevo gnojenje z organskimi gnojili z nizkimi izpusti v zrak se lahko izvaja le na tistih travnikih, na katerih se odločijo z</w:t>
      </w:r>
      <w:r w:rsidR="00D6648B" w:rsidRPr="002D5D44">
        <w:rPr>
          <w:rFonts w:ascii="Arial" w:hAnsi="Arial" w:cs="Arial"/>
          <w:sz w:val="20"/>
          <w:szCs w:val="20"/>
        </w:rPr>
        <w:t>a puščanje nepokošenega pasu (5–</w:t>
      </w:r>
      <w:r w:rsidRPr="002D5D44">
        <w:rPr>
          <w:rFonts w:ascii="Arial" w:hAnsi="Arial" w:cs="Arial"/>
          <w:sz w:val="20"/>
          <w:szCs w:val="20"/>
        </w:rPr>
        <w:t>10 % površine) ali pa če se na kmetiji odločijo opustiti siliranje krme.</w:t>
      </w:r>
    </w:p>
    <w:p w:rsidR="00642088" w:rsidRPr="002D5D44" w:rsidRDefault="00642088" w:rsidP="00ED6AC4">
      <w:pPr>
        <w:spacing w:after="0" w:line="240" w:lineRule="auto"/>
        <w:jc w:val="both"/>
        <w:rPr>
          <w:rFonts w:ascii="Arial" w:hAnsi="Arial" w:cs="Arial"/>
          <w:sz w:val="20"/>
          <w:szCs w:val="20"/>
        </w:rPr>
      </w:pPr>
    </w:p>
    <w:p w:rsidR="003D5731" w:rsidRPr="002D5D44" w:rsidRDefault="00642088" w:rsidP="00ED6AC4">
      <w:pPr>
        <w:spacing w:after="0" w:line="240" w:lineRule="auto"/>
        <w:jc w:val="both"/>
        <w:rPr>
          <w:rFonts w:ascii="Arial" w:hAnsi="Arial" w:cs="Arial"/>
          <w:sz w:val="20"/>
          <w:szCs w:val="20"/>
        </w:rPr>
      </w:pPr>
      <w:r w:rsidRPr="002D5D44">
        <w:rPr>
          <w:rFonts w:ascii="Arial" w:hAnsi="Arial" w:cs="Arial"/>
          <w:sz w:val="20"/>
          <w:szCs w:val="20"/>
        </w:rPr>
        <w:t xml:space="preserve">Vključevanje v ekološko kmetijstvo poteka v večjem obsegu od predvidenega v OP TGP 2020. </w:t>
      </w:r>
      <w:r w:rsidR="003D5731" w:rsidRPr="002D5D44">
        <w:rPr>
          <w:rFonts w:ascii="Arial" w:hAnsi="Arial" w:cs="Arial"/>
          <w:sz w:val="20"/>
          <w:szCs w:val="20"/>
        </w:rPr>
        <w:t xml:space="preserve">Površine kmetijskih zemljišč </w:t>
      </w:r>
      <w:r w:rsidRPr="002D5D44">
        <w:rPr>
          <w:rFonts w:ascii="Arial" w:hAnsi="Arial" w:cs="Arial"/>
          <w:sz w:val="20"/>
          <w:szCs w:val="20"/>
        </w:rPr>
        <w:t xml:space="preserve">v uporabi </w:t>
      </w:r>
      <w:r w:rsidR="00BC2297">
        <w:rPr>
          <w:rFonts w:ascii="Arial" w:hAnsi="Arial" w:cs="Arial"/>
          <w:sz w:val="20"/>
          <w:szCs w:val="20"/>
        </w:rPr>
        <w:t>vključenih</w:t>
      </w:r>
      <w:r w:rsidR="006B7E4F">
        <w:rPr>
          <w:rFonts w:ascii="Arial" w:hAnsi="Arial" w:cs="Arial"/>
          <w:sz w:val="20"/>
          <w:szCs w:val="20"/>
        </w:rPr>
        <w:t xml:space="preserve"> v ekološko pridelavo,</w:t>
      </w:r>
      <w:r w:rsidR="003D5731" w:rsidRPr="002D5D44">
        <w:rPr>
          <w:rFonts w:ascii="Arial" w:hAnsi="Arial" w:cs="Arial"/>
          <w:sz w:val="20"/>
          <w:szCs w:val="20"/>
        </w:rPr>
        <w:t xml:space="preserve"> </w:t>
      </w:r>
      <w:r w:rsidRPr="002D5D44">
        <w:rPr>
          <w:rFonts w:ascii="Arial" w:hAnsi="Arial" w:cs="Arial"/>
          <w:sz w:val="20"/>
          <w:szCs w:val="20"/>
        </w:rPr>
        <w:t xml:space="preserve">so leta 2016 predstavljale 7,6 % vseh kmetijskih zemljišč v uporabi. V </w:t>
      </w:r>
      <w:r w:rsidR="00BE222A">
        <w:rPr>
          <w:rFonts w:ascii="Arial" w:hAnsi="Arial" w:cs="Arial"/>
          <w:sz w:val="20"/>
          <w:szCs w:val="20"/>
        </w:rPr>
        <w:t>primerjavi z letom 2015 se je</w:t>
      </w:r>
      <w:r w:rsidRPr="002D5D44">
        <w:rPr>
          <w:rFonts w:ascii="Arial" w:hAnsi="Arial" w:cs="Arial"/>
          <w:sz w:val="20"/>
          <w:szCs w:val="20"/>
        </w:rPr>
        <w:t xml:space="preserve"> delež </w:t>
      </w:r>
      <w:r w:rsidR="00BE222A">
        <w:rPr>
          <w:rFonts w:ascii="Arial" w:hAnsi="Arial" w:cs="Arial"/>
          <w:sz w:val="20"/>
          <w:szCs w:val="20"/>
        </w:rPr>
        <w:t>površin vključenih v ekološko</w:t>
      </w:r>
      <w:r w:rsidR="00801D0E">
        <w:rPr>
          <w:rFonts w:ascii="Arial" w:hAnsi="Arial" w:cs="Arial"/>
          <w:sz w:val="20"/>
          <w:szCs w:val="20"/>
        </w:rPr>
        <w:t xml:space="preserve"> pridelavo povečal</w:t>
      </w:r>
      <w:r w:rsidRPr="002D5D44">
        <w:rPr>
          <w:rFonts w:ascii="Arial" w:hAnsi="Arial" w:cs="Arial"/>
          <w:sz w:val="20"/>
          <w:szCs w:val="20"/>
        </w:rPr>
        <w:t xml:space="preserve"> za 12 %. Skupno je</w:t>
      </w:r>
      <w:r w:rsidR="006B7E4F">
        <w:rPr>
          <w:rFonts w:ascii="Arial" w:hAnsi="Arial" w:cs="Arial"/>
          <w:sz w:val="20"/>
          <w:szCs w:val="20"/>
        </w:rPr>
        <w:t xml:space="preserve"> bilo</w:t>
      </w:r>
      <w:r w:rsidRPr="002D5D44">
        <w:rPr>
          <w:rFonts w:ascii="Arial" w:hAnsi="Arial" w:cs="Arial"/>
          <w:sz w:val="20"/>
          <w:szCs w:val="20"/>
        </w:rPr>
        <w:t xml:space="preserve"> v</w:t>
      </w:r>
      <w:r w:rsidR="003D5731" w:rsidRPr="002D5D44">
        <w:rPr>
          <w:rFonts w:ascii="Arial" w:hAnsi="Arial" w:cs="Arial"/>
          <w:sz w:val="20"/>
          <w:szCs w:val="20"/>
        </w:rPr>
        <w:t xml:space="preserve"> ekološko kmetijstvo</w:t>
      </w:r>
      <w:r w:rsidRPr="002D5D44">
        <w:rPr>
          <w:rFonts w:ascii="Arial" w:hAnsi="Arial" w:cs="Arial"/>
          <w:sz w:val="20"/>
          <w:szCs w:val="20"/>
        </w:rPr>
        <w:t xml:space="preserve"> v</w:t>
      </w:r>
      <w:r w:rsidR="003D5731" w:rsidRPr="002D5D44">
        <w:rPr>
          <w:rFonts w:ascii="Arial" w:hAnsi="Arial" w:cs="Arial"/>
          <w:sz w:val="20"/>
          <w:szCs w:val="20"/>
        </w:rPr>
        <w:t>ključenih 4,2 % vseh kmetijskih gospodarstev</w:t>
      </w:r>
      <w:r w:rsidR="005024B1" w:rsidRPr="002D5D44">
        <w:rPr>
          <w:rStyle w:val="Sprotnaopomba-sklic"/>
          <w:rFonts w:ascii="Arial" w:hAnsi="Arial" w:cs="Arial"/>
          <w:sz w:val="20"/>
          <w:szCs w:val="20"/>
        </w:rPr>
        <w:footnoteReference w:id="19"/>
      </w:r>
      <w:r w:rsidR="003D5731" w:rsidRPr="002D5D44">
        <w:rPr>
          <w:rFonts w:ascii="Arial" w:hAnsi="Arial" w:cs="Arial"/>
          <w:sz w:val="20"/>
          <w:szCs w:val="20"/>
        </w:rPr>
        <w:t xml:space="preserve">. </w:t>
      </w:r>
    </w:p>
    <w:p w:rsidR="003D5731" w:rsidRDefault="003D5731" w:rsidP="00ED6AC4">
      <w:pPr>
        <w:spacing w:after="0" w:line="240" w:lineRule="auto"/>
        <w:jc w:val="both"/>
        <w:rPr>
          <w:rFonts w:ascii="Arial" w:hAnsi="Arial" w:cs="Arial"/>
          <w:sz w:val="20"/>
          <w:szCs w:val="20"/>
        </w:rPr>
      </w:pPr>
    </w:p>
    <w:p w:rsidR="009E1F43" w:rsidRPr="002D5D44" w:rsidRDefault="009E1F43" w:rsidP="00ED6AC4">
      <w:pPr>
        <w:spacing w:after="0" w:line="240" w:lineRule="auto"/>
        <w:jc w:val="both"/>
        <w:rPr>
          <w:rFonts w:ascii="Arial" w:hAnsi="Arial" w:cs="Arial"/>
          <w:sz w:val="20"/>
          <w:szCs w:val="20"/>
        </w:rPr>
      </w:pPr>
    </w:p>
    <w:p w:rsidR="009E08D8" w:rsidRDefault="008D51EF" w:rsidP="009E1F43">
      <w:pPr>
        <w:spacing w:after="0" w:line="240" w:lineRule="auto"/>
        <w:jc w:val="both"/>
        <w:rPr>
          <w:rFonts w:ascii="Arial" w:hAnsi="Arial" w:cs="Arial"/>
          <w:sz w:val="20"/>
          <w:szCs w:val="20"/>
        </w:rPr>
      </w:pPr>
      <w:r w:rsidRPr="009E1F43">
        <w:rPr>
          <w:rFonts w:ascii="Arial" w:hAnsi="Arial" w:cs="Arial"/>
          <w:sz w:val="20"/>
          <w:szCs w:val="20"/>
        </w:rPr>
        <w:t>Področje zmanjševanja emisij metana</w:t>
      </w:r>
      <w:r w:rsidR="00BC2297" w:rsidRPr="009E1F43">
        <w:rPr>
          <w:rFonts w:ascii="Arial" w:hAnsi="Arial" w:cs="Arial"/>
          <w:sz w:val="20"/>
          <w:szCs w:val="20"/>
        </w:rPr>
        <w:t xml:space="preserve"> (CH</w:t>
      </w:r>
      <w:r w:rsidR="00BC2297" w:rsidRPr="009E1F43">
        <w:rPr>
          <w:rFonts w:ascii="Arial" w:hAnsi="Arial" w:cs="Arial"/>
          <w:sz w:val="20"/>
          <w:szCs w:val="20"/>
          <w:vertAlign w:val="subscript"/>
        </w:rPr>
        <w:t>4</w:t>
      </w:r>
      <w:r w:rsidR="00BC2297" w:rsidRPr="009E1F43">
        <w:rPr>
          <w:rFonts w:ascii="Arial" w:hAnsi="Arial" w:cs="Arial"/>
          <w:sz w:val="20"/>
          <w:szCs w:val="20"/>
        </w:rPr>
        <w:t>)</w:t>
      </w:r>
    </w:p>
    <w:p w:rsidR="009E1F43" w:rsidRPr="009E1F43" w:rsidRDefault="009E1F43" w:rsidP="009E1F43">
      <w:pPr>
        <w:spacing w:after="0" w:line="240" w:lineRule="auto"/>
        <w:jc w:val="both"/>
        <w:rPr>
          <w:rFonts w:ascii="Arial" w:hAnsi="Arial" w:cs="Arial"/>
          <w:sz w:val="20"/>
          <w:szCs w:val="20"/>
        </w:rPr>
      </w:pPr>
    </w:p>
    <w:p w:rsidR="00E52805" w:rsidRPr="002D5D44" w:rsidRDefault="00AF2572" w:rsidP="008D51EF">
      <w:pPr>
        <w:spacing w:after="0" w:line="240" w:lineRule="auto"/>
        <w:jc w:val="both"/>
        <w:rPr>
          <w:rFonts w:ascii="Arial" w:hAnsi="Arial" w:cs="Arial"/>
          <w:sz w:val="20"/>
          <w:szCs w:val="20"/>
        </w:rPr>
      </w:pPr>
      <w:r w:rsidRPr="002D5D44">
        <w:rPr>
          <w:rFonts w:ascii="Arial" w:hAnsi="Arial" w:cs="Arial"/>
          <w:sz w:val="20"/>
          <w:szCs w:val="20"/>
        </w:rPr>
        <w:t>Zmanjševanju emisij metana se namenja manj pozornosti ko</w:t>
      </w:r>
      <w:r w:rsidR="00CC2A35" w:rsidRPr="002D5D44">
        <w:rPr>
          <w:rFonts w:ascii="Arial" w:hAnsi="Arial" w:cs="Arial"/>
          <w:sz w:val="20"/>
          <w:szCs w:val="20"/>
        </w:rPr>
        <w:t>t</w:t>
      </w:r>
      <w:r w:rsidRPr="002D5D44">
        <w:rPr>
          <w:rFonts w:ascii="Arial" w:hAnsi="Arial" w:cs="Arial"/>
          <w:sz w:val="20"/>
          <w:szCs w:val="20"/>
        </w:rPr>
        <w:t xml:space="preserve"> zmanjševanju emisij </w:t>
      </w:r>
      <w:proofErr w:type="spellStart"/>
      <w:r w:rsidRPr="002D5D44">
        <w:rPr>
          <w:rFonts w:ascii="Arial" w:hAnsi="Arial" w:cs="Arial"/>
          <w:sz w:val="20"/>
          <w:szCs w:val="20"/>
        </w:rPr>
        <w:t>didušikovega</w:t>
      </w:r>
      <w:proofErr w:type="spellEnd"/>
      <w:r w:rsidRPr="002D5D44">
        <w:rPr>
          <w:rFonts w:ascii="Arial" w:hAnsi="Arial" w:cs="Arial"/>
          <w:sz w:val="20"/>
          <w:szCs w:val="20"/>
        </w:rPr>
        <w:t xml:space="preserve"> oksida. Z ustreznejšim krmljenjem </w:t>
      </w:r>
      <w:proofErr w:type="spellStart"/>
      <w:r w:rsidRPr="002D5D44">
        <w:rPr>
          <w:rFonts w:ascii="Arial" w:hAnsi="Arial" w:cs="Arial"/>
          <w:sz w:val="20"/>
          <w:szCs w:val="20"/>
        </w:rPr>
        <w:t>rejnih</w:t>
      </w:r>
      <w:proofErr w:type="spellEnd"/>
      <w:r w:rsidRPr="002D5D44">
        <w:rPr>
          <w:rFonts w:ascii="Arial" w:hAnsi="Arial" w:cs="Arial"/>
          <w:sz w:val="20"/>
          <w:szCs w:val="20"/>
        </w:rPr>
        <w:t xml:space="preserve"> živali bi lahko zagotavljali zmanjševanje emisij metana iz prebavil </w:t>
      </w:r>
      <w:proofErr w:type="spellStart"/>
      <w:r w:rsidRPr="002D5D44">
        <w:rPr>
          <w:rFonts w:ascii="Arial" w:hAnsi="Arial" w:cs="Arial"/>
          <w:sz w:val="20"/>
          <w:szCs w:val="20"/>
        </w:rPr>
        <w:t>rejnih</w:t>
      </w:r>
      <w:proofErr w:type="spellEnd"/>
      <w:r w:rsidRPr="002D5D44">
        <w:rPr>
          <w:rFonts w:ascii="Arial" w:hAnsi="Arial" w:cs="Arial"/>
          <w:sz w:val="20"/>
          <w:szCs w:val="20"/>
        </w:rPr>
        <w:t xml:space="preserve"> živali, ki prispevajo približno 50 %</w:t>
      </w:r>
      <w:r w:rsidR="00CC2A35" w:rsidRPr="002D5D44">
        <w:rPr>
          <w:rFonts w:ascii="Arial" w:hAnsi="Arial" w:cs="Arial"/>
          <w:sz w:val="20"/>
          <w:szCs w:val="20"/>
        </w:rPr>
        <w:t xml:space="preserve"> vseh emisij TGP iz kmetijstva, v</w:t>
      </w:r>
      <w:r w:rsidRPr="002D5D44">
        <w:rPr>
          <w:rFonts w:ascii="Arial" w:hAnsi="Arial" w:cs="Arial"/>
          <w:sz w:val="20"/>
          <w:szCs w:val="20"/>
        </w:rPr>
        <w:t xml:space="preserve">endar se kmetje podpore javne kmetijske svetovalne službe pri računanju krmnih obrokov v pretežni meri ne poslužujejo. </w:t>
      </w:r>
    </w:p>
    <w:p w:rsidR="00E52805" w:rsidRPr="002D5D44" w:rsidRDefault="00E52805" w:rsidP="00ED6AC4">
      <w:pPr>
        <w:spacing w:after="0" w:line="240" w:lineRule="auto"/>
        <w:jc w:val="both"/>
        <w:rPr>
          <w:rFonts w:ascii="Arial" w:hAnsi="Arial" w:cs="Arial"/>
          <w:sz w:val="20"/>
          <w:szCs w:val="20"/>
        </w:rPr>
      </w:pPr>
    </w:p>
    <w:p w:rsidR="00EA5194" w:rsidRDefault="00CC2A35" w:rsidP="00AD0E88">
      <w:pPr>
        <w:spacing w:after="0" w:line="240" w:lineRule="auto"/>
        <w:jc w:val="both"/>
        <w:rPr>
          <w:rFonts w:ascii="Arial" w:hAnsi="Arial" w:cs="Arial"/>
          <w:sz w:val="20"/>
          <w:szCs w:val="20"/>
          <w:u w:val="single"/>
        </w:rPr>
      </w:pPr>
      <w:r w:rsidRPr="002D5D44">
        <w:rPr>
          <w:rFonts w:ascii="Arial" w:hAnsi="Arial" w:cs="Arial"/>
          <w:sz w:val="20"/>
          <w:szCs w:val="20"/>
          <w:u w:val="single"/>
        </w:rPr>
        <w:t>Priporočila</w:t>
      </w:r>
    </w:p>
    <w:p w:rsidR="009E1F43" w:rsidRPr="002D5D44" w:rsidRDefault="009E1F43" w:rsidP="00AD0E88">
      <w:pPr>
        <w:spacing w:after="0" w:line="240" w:lineRule="auto"/>
        <w:jc w:val="both"/>
        <w:rPr>
          <w:rFonts w:ascii="Arial" w:hAnsi="Arial" w:cs="Arial"/>
          <w:sz w:val="20"/>
          <w:szCs w:val="20"/>
          <w:u w:val="single"/>
        </w:rPr>
      </w:pPr>
    </w:p>
    <w:p w:rsidR="00ED6AC4" w:rsidRPr="002D5D44" w:rsidRDefault="002C4CA0" w:rsidP="00AD0E88">
      <w:pPr>
        <w:spacing w:after="0" w:line="240" w:lineRule="auto"/>
        <w:jc w:val="both"/>
        <w:rPr>
          <w:rFonts w:ascii="Arial" w:hAnsi="Arial" w:cs="Arial"/>
          <w:sz w:val="20"/>
          <w:szCs w:val="20"/>
        </w:rPr>
      </w:pPr>
      <w:r w:rsidRPr="002D5D44">
        <w:rPr>
          <w:rFonts w:ascii="Arial" w:hAnsi="Arial" w:cs="Arial"/>
          <w:sz w:val="20"/>
          <w:szCs w:val="20"/>
        </w:rPr>
        <w:t>Ocenjuje se,</w:t>
      </w:r>
      <w:r w:rsidR="00397342" w:rsidRPr="002D5D44">
        <w:rPr>
          <w:rFonts w:ascii="Arial" w:hAnsi="Arial" w:cs="Arial"/>
          <w:sz w:val="20"/>
          <w:szCs w:val="20"/>
        </w:rPr>
        <w:t xml:space="preserve"> da so ukrepi za zmanjševanje izpustov </w:t>
      </w:r>
      <w:proofErr w:type="spellStart"/>
      <w:r w:rsidR="00397342" w:rsidRPr="002D5D44">
        <w:rPr>
          <w:rFonts w:ascii="Arial" w:hAnsi="Arial" w:cs="Arial"/>
          <w:sz w:val="20"/>
          <w:szCs w:val="20"/>
        </w:rPr>
        <w:t>didušikovega</w:t>
      </w:r>
      <w:proofErr w:type="spellEnd"/>
      <w:r w:rsidR="00397342" w:rsidRPr="002D5D44">
        <w:rPr>
          <w:rFonts w:ascii="Arial" w:hAnsi="Arial" w:cs="Arial"/>
          <w:sz w:val="20"/>
          <w:szCs w:val="20"/>
        </w:rPr>
        <w:t xml:space="preserve"> oksida ustrezni in da bi jih bilo smiselno nadaljevati.</w:t>
      </w:r>
    </w:p>
    <w:p w:rsidR="00664AEA" w:rsidRPr="002D5D44" w:rsidRDefault="00664AEA" w:rsidP="00AD0E88">
      <w:pPr>
        <w:spacing w:after="0" w:line="240" w:lineRule="auto"/>
        <w:jc w:val="both"/>
        <w:rPr>
          <w:rFonts w:ascii="Arial" w:hAnsi="Arial" w:cs="Arial"/>
          <w:sz w:val="20"/>
          <w:szCs w:val="20"/>
        </w:rPr>
      </w:pPr>
      <w:r w:rsidRPr="002D5D44">
        <w:rPr>
          <w:rFonts w:ascii="Arial" w:hAnsi="Arial" w:cs="Arial"/>
          <w:sz w:val="20"/>
          <w:szCs w:val="20"/>
        </w:rPr>
        <w:t>Za dodatno izboljšanje učinkov se predlaga, da se pogojevanje zahteve KOPOP gnojenje z organskimi gnojili  z nizkimi izpusti v zrak samo za tiste travnike, kjer se pušča nepokošen pas, odpravi.</w:t>
      </w:r>
    </w:p>
    <w:p w:rsidR="00EA44EB" w:rsidRPr="002D5D44" w:rsidRDefault="00EA44EB" w:rsidP="00EA44EB">
      <w:pPr>
        <w:spacing w:after="0" w:line="240" w:lineRule="auto"/>
        <w:jc w:val="both"/>
        <w:rPr>
          <w:rFonts w:ascii="Arial" w:hAnsi="Arial" w:cs="Arial"/>
          <w:sz w:val="20"/>
          <w:szCs w:val="20"/>
        </w:rPr>
      </w:pPr>
    </w:p>
    <w:p w:rsidR="00664AEA" w:rsidRPr="002D5D44" w:rsidRDefault="00AC7A71" w:rsidP="00EA44EB">
      <w:pPr>
        <w:spacing w:after="0" w:line="240" w:lineRule="auto"/>
        <w:jc w:val="both"/>
        <w:rPr>
          <w:rFonts w:ascii="Arial" w:hAnsi="Arial" w:cs="Arial"/>
          <w:sz w:val="20"/>
          <w:szCs w:val="20"/>
        </w:rPr>
      </w:pPr>
      <w:r w:rsidRPr="002D5D44">
        <w:rPr>
          <w:rFonts w:ascii="Arial" w:hAnsi="Arial" w:cs="Arial"/>
          <w:sz w:val="20"/>
          <w:szCs w:val="20"/>
        </w:rPr>
        <w:t xml:space="preserve">Doseganje cilja na področju emisij metana bo v velikem obsegu odvisno od nadomestne rešitve za nerealizirano zahtevo analiza krme in računanje krmnih obrokov za govedo in/ali drobnico iz prvotnega predloga ukrepa KOPOP. Učinki te zahteve so bili upoštevani pri pripravi OP TGP 2020, vendar </w:t>
      </w:r>
      <w:r w:rsidR="00E81C6A" w:rsidRPr="002D5D44">
        <w:rPr>
          <w:rFonts w:ascii="Arial" w:hAnsi="Arial" w:cs="Arial"/>
          <w:sz w:val="20"/>
          <w:szCs w:val="20"/>
        </w:rPr>
        <w:t>se je potem ta zahteva iz končne vsebine ukrepa KOPOP izvzela. V preteklih letih se je kot nadomestna rešitev pri zagotavljanju potrebnih učinkov predvidevalo ukrep sodelovanje iz Programa razvoja podeželja 2014–2020</w:t>
      </w:r>
      <w:r w:rsidR="00EA5194" w:rsidRPr="002D5D44">
        <w:rPr>
          <w:rStyle w:val="Sprotnaopomba-sklic"/>
          <w:rFonts w:ascii="Arial" w:hAnsi="Arial" w:cs="Arial"/>
          <w:sz w:val="20"/>
          <w:szCs w:val="20"/>
        </w:rPr>
        <w:footnoteReference w:id="20"/>
      </w:r>
      <w:r w:rsidR="00EA5194" w:rsidRPr="002D5D44">
        <w:rPr>
          <w:rFonts w:ascii="Arial" w:hAnsi="Arial" w:cs="Arial"/>
          <w:sz w:val="20"/>
          <w:szCs w:val="20"/>
        </w:rPr>
        <w:t xml:space="preserve"> (</w:t>
      </w:r>
      <w:r w:rsidR="00BC2297">
        <w:rPr>
          <w:rFonts w:ascii="Arial" w:hAnsi="Arial" w:cs="Arial"/>
          <w:sz w:val="20"/>
          <w:szCs w:val="20"/>
        </w:rPr>
        <w:t xml:space="preserve">v nadaljnjem besedilu: </w:t>
      </w:r>
      <w:r w:rsidR="006A0501">
        <w:rPr>
          <w:rFonts w:ascii="Arial" w:hAnsi="Arial" w:cs="Arial"/>
          <w:sz w:val="20"/>
          <w:szCs w:val="20"/>
        </w:rPr>
        <w:t>PRP 2014–</w:t>
      </w:r>
      <w:r w:rsidR="00EA5194" w:rsidRPr="002D5D44">
        <w:rPr>
          <w:rFonts w:ascii="Arial" w:hAnsi="Arial" w:cs="Arial"/>
          <w:sz w:val="20"/>
          <w:szCs w:val="20"/>
        </w:rPr>
        <w:t>2020)</w:t>
      </w:r>
      <w:r w:rsidR="00E81C6A" w:rsidRPr="002D5D44">
        <w:rPr>
          <w:rFonts w:ascii="Arial" w:hAnsi="Arial" w:cs="Arial"/>
          <w:sz w:val="20"/>
          <w:szCs w:val="20"/>
        </w:rPr>
        <w:t>. Po objavi Uredbe o izvajanju ukrepa Sodelovanje</w:t>
      </w:r>
      <w:r w:rsidR="008C0CF6" w:rsidRPr="002D5D44">
        <w:rPr>
          <w:rStyle w:val="Sprotnaopomba-sklic"/>
          <w:rFonts w:ascii="Arial" w:hAnsi="Arial" w:cs="Arial"/>
          <w:sz w:val="20"/>
          <w:szCs w:val="20"/>
        </w:rPr>
        <w:footnoteReference w:id="21"/>
      </w:r>
      <w:r w:rsidR="00E81C6A" w:rsidRPr="002D5D44">
        <w:rPr>
          <w:rFonts w:ascii="Arial" w:hAnsi="Arial" w:cs="Arial"/>
          <w:sz w:val="20"/>
          <w:szCs w:val="20"/>
        </w:rPr>
        <w:t xml:space="preserve"> v letu 2017, se ocenjuje, da ni realnih možnosti, da bi v sklopu tega ukrepa uvedli izračune krmnih obrokov na podlagi analiz krme na večje število kmetij, ki tega ne izvajajo</w:t>
      </w:r>
    </w:p>
    <w:p w:rsidR="00665B79" w:rsidRPr="002D5D44" w:rsidRDefault="00397342" w:rsidP="00E81C6A">
      <w:pPr>
        <w:rPr>
          <w:rFonts w:ascii="Arial" w:hAnsi="Arial" w:cs="Arial"/>
          <w:b/>
          <w:color w:val="00B0F0"/>
          <w:sz w:val="20"/>
          <w:szCs w:val="20"/>
        </w:rPr>
      </w:pPr>
      <w:r w:rsidRPr="002D5D44">
        <w:rPr>
          <w:rFonts w:ascii="Arial" w:hAnsi="Arial" w:cs="Arial"/>
          <w:sz w:val="20"/>
          <w:szCs w:val="20"/>
        </w:rPr>
        <w:lastRenderedPageBreak/>
        <w:t xml:space="preserve"> </w:t>
      </w:r>
    </w:p>
    <w:p w:rsidR="000B7C5D" w:rsidRPr="002D5D44" w:rsidRDefault="00D1198C" w:rsidP="00D96E78">
      <w:pPr>
        <w:pStyle w:val="Naslov2"/>
      </w:pPr>
      <w:bookmarkStart w:id="14" w:name="_Toc531933456"/>
      <w:r w:rsidRPr="002D5D44">
        <w:t>Drugi ESD sektorji</w:t>
      </w:r>
      <w:bookmarkEnd w:id="14"/>
    </w:p>
    <w:p w:rsidR="00856DC7" w:rsidRPr="002D5D44" w:rsidRDefault="00856DC7" w:rsidP="00D1198C">
      <w:pPr>
        <w:spacing w:after="0" w:line="240" w:lineRule="auto"/>
        <w:rPr>
          <w:rFonts w:ascii="Arial" w:hAnsi="Arial" w:cs="Arial"/>
          <w:sz w:val="20"/>
          <w:szCs w:val="20"/>
        </w:rPr>
      </w:pPr>
    </w:p>
    <w:p w:rsidR="00EA5194" w:rsidRPr="002D5D44" w:rsidRDefault="002634C4" w:rsidP="00D42298">
      <w:pPr>
        <w:spacing w:after="0" w:line="240" w:lineRule="auto"/>
        <w:jc w:val="both"/>
        <w:rPr>
          <w:rFonts w:ascii="Arial" w:eastAsia="SimSun" w:hAnsi="Arial" w:cs="Arial"/>
          <w:b/>
          <w:sz w:val="20"/>
          <w:szCs w:val="20"/>
        </w:rPr>
      </w:pPr>
      <w:r w:rsidRPr="002D5D44">
        <w:rPr>
          <w:rFonts w:ascii="Arial" w:eastAsia="SimSun" w:hAnsi="Arial" w:cs="Arial"/>
          <w:b/>
          <w:sz w:val="20"/>
          <w:szCs w:val="20"/>
        </w:rPr>
        <w:t>Ne-ETS industrija</w:t>
      </w:r>
    </w:p>
    <w:p w:rsidR="00557F81" w:rsidRPr="002D5D44" w:rsidRDefault="00557F81" w:rsidP="00D42298">
      <w:pPr>
        <w:spacing w:after="0" w:line="240" w:lineRule="auto"/>
        <w:jc w:val="both"/>
        <w:rPr>
          <w:rFonts w:ascii="Arial" w:eastAsia="SimSun" w:hAnsi="Arial" w:cs="Arial"/>
          <w:b/>
          <w:sz w:val="20"/>
          <w:szCs w:val="20"/>
        </w:rPr>
      </w:pPr>
    </w:p>
    <w:p w:rsidR="00EA5194" w:rsidRDefault="00D42298" w:rsidP="00D42298">
      <w:pPr>
        <w:spacing w:after="0" w:line="240" w:lineRule="auto"/>
        <w:jc w:val="both"/>
        <w:rPr>
          <w:rFonts w:ascii="Arial" w:eastAsia="SimSun" w:hAnsi="Arial" w:cs="Arial"/>
          <w:sz w:val="20"/>
          <w:szCs w:val="20"/>
          <w:u w:val="single"/>
        </w:rPr>
      </w:pPr>
      <w:r w:rsidRPr="002D5D44">
        <w:rPr>
          <w:rFonts w:ascii="Arial" w:eastAsia="SimSun" w:hAnsi="Arial" w:cs="Arial"/>
          <w:sz w:val="20"/>
          <w:szCs w:val="20"/>
          <w:u w:val="single"/>
        </w:rPr>
        <w:t>Ukrepanje</w:t>
      </w:r>
    </w:p>
    <w:p w:rsidR="009E1F43" w:rsidRPr="002D5D44" w:rsidRDefault="009E1F43" w:rsidP="00D42298">
      <w:pPr>
        <w:spacing w:after="0" w:line="240" w:lineRule="auto"/>
        <w:jc w:val="both"/>
        <w:rPr>
          <w:rFonts w:ascii="Arial" w:eastAsia="SimSun" w:hAnsi="Arial" w:cs="Arial"/>
          <w:sz w:val="20"/>
          <w:szCs w:val="20"/>
          <w:u w:val="single"/>
        </w:rPr>
      </w:pPr>
    </w:p>
    <w:p w:rsidR="00D42298" w:rsidRPr="002D5D44" w:rsidRDefault="00D42298" w:rsidP="00D42298">
      <w:pPr>
        <w:spacing w:after="0" w:line="240" w:lineRule="auto"/>
        <w:jc w:val="both"/>
        <w:rPr>
          <w:rFonts w:ascii="Arial" w:hAnsi="Arial" w:cs="Arial"/>
          <w:bCs/>
          <w:sz w:val="20"/>
          <w:szCs w:val="20"/>
        </w:rPr>
      </w:pPr>
      <w:r w:rsidRPr="002D5D44">
        <w:rPr>
          <w:rFonts w:ascii="Arial" w:eastAsia="SimSun" w:hAnsi="Arial" w:cs="Arial"/>
          <w:sz w:val="20"/>
          <w:szCs w:val="20"/>
        </w:rPr>
        <w:t xml:space="preserve">Delež OVE v rabi goriv v industriji ne-ETS se je leta 2016 precej </w:t>
      </w:r>
      <w:r w:rsidR="004E5608" w:rsidRPr="002D5D44">
        <w:rPr>
          <w:rFonts w:ascii="Arial" w:eastAsia="SimSun" w:hAnsi="Arial" w:cs="Arial"/>
          <w:sz w:val="20"/>
          <w:szCs w:val="20"/>
        </w:rPr>
        <w:t>znižal</w:t>
      </w:r>
      <w:r w:rsidRPr="002D5D44">
        <w:rPr>
          <w:rFonts w:ascii="Arial" w:eastAsia="SimSun" w:hAnsi="Arial" w:cs="Arial"/>
          <w:sz w:val="20"/>
          <w:szCs w:val="20"/>
        </w:rPr>
        <w:t>.</w:t>
      </w:r>
      <w:r w:rsidR="004E5608" w:rsidRPr="002D5D44">
        <w:rPr>
          <w:rFonts w:ascii="Arial" w:eastAsia="SimSun" w:hAnsi="Arial" w:cs="Arial"/>
          <w:sz w:val="20"/>
          <w:szCs w:val="20"/>
        </w:rPr>
        <w:t xml:space="preserve"> Vrednost finančnih spodbud za URE in OVE v industriji ne-ETS se je po letu 2012 neprestano zmanjševala, leta 2016 nepovratnih finančnih spodbud ni bilo</w:t>
      </w:r>
      <w:r w:rsidR="004E5608" w:rsidRPr="002D5D44">
        <w:rPr>
          <w:rFonts w:ascii="Arial" w:hAnsi="Arial" w:cs="Arial"/>
          <w:bCs/>
          <w:sz w:val="20"/>
          <w:szCs w:val="20"/>
        </w:rPr>
        <w:t xml:space="preserve">. Načrtovani ukrepi </w:t>
      </w:r>
      <w:r w:rsidR="00EA5194" w:rsidRPr="002D5D44">
        <w:rPr>
          <w:rFonts w:ascii="Arial" w:hAnsi="Arial" w:cs="Arial"/>
          <w:bCs/>
          <w:sz w:val="20"/>
          <w:szCs w:val="20"/>
        </w:rPr>
        <w:t xml:space="preserve">iz Akcijskega načrta za </w:t>
      </w:r>
      <w:r w:rsidR="0075169B" w:rsidRPr="002D5D44">
        <w:rPr>
          <w:rFonts w:ascii="Arial" w:hAnsi="Arial" w:cs="Arial"/>
          <w:bCs/>
          <w:sz w:val="20"/>
          <w:szCs w:val="20"/>
        </w:rPr>
        <w:t xml:space="preserve">energetsko </w:t>
      </w:r>
      <w:r w:rsidR="00EA5194" w:rsidRPr="002D5D44">
        <w:rPr>
          <w:rFonts w:ascii="Arial" w:hAnsi="Arial" w:cs="Arial"/>
          <w:bCs/>
          <w:sz w:val="20"/>
          <w:szCs w:val="20"/>
        </w:rPr>
        <w:t>učinkovito</w:t>
      </w:r>
      <w:r w:rsidR="0075169B" w:rsidRPr="002D5D44">
        <w:rPr>
          <w:rFonts w:ascii="Arial" w:hAnsi="Arial" w:cs="Arial"/>
          <w:bCs/>
          <w:sz w:val="20"/>
          <w:szCs w:val="20"/>
        </w:rPr>
        <w:t>st</w:t>
      </w:r>
      <w:r w:rsidR="00EA5194" w:rsidRPr="002D5D44">
        <w:rPr>
          <w:rFonts w:ascii="Arial" w:hAnsi="Arial" w:cs="Arial"/>
          <w:bCs/>
          <w:sz w:val="20"/>
          <w:szCs w:val="20"/>
        </w:rPr>
        <w:t xml:space="preserve"> </w:t>
      </w:r>
      <w:r w:rsidR="0075169B" w:rsidRPr="002D5D44">
        <w:rPr>
          <w:rFonts w:ascii="Arial" w:hAnsi="Arial" w:cs="Arial"/>
          <w:bCs/>
          <w:sz w:val="20"/>
          <w:szCs w:val="20"/>
        </w:rPr>
        <w:t>za obdobje</w:t>
      </w:r>
      <w:r w:rsidR="00EA5194" w:rsidRPr="002D5D44">
        <w:rPr>
          <w:rFonts w:ascii="Arial" w:hAnsi="Arial" w:cs="Arial"/>
          <w:bCs/>
          <w:sz w:val="20"/>
          <w:szCs w:val="20"/>
        </w:rPr>
        <w:t xml:space="preserve"> 2014– 2020</w:t>
      </w:r>
      <w:r w:rsidR="004E5608" w:rsidRPr="002D5D44">
        <w:rPr>
          <w:rStyle w:val="Sprotnaopomba-sklic"/>
          <w:rFonts w:ascii="Arial" w:hAnsi="Arial" w:cs="Arial"/>
          <w:bCs/>
          <w:sz w:val="20"/>
          <w:szCs w:val="20"/>
        </w:rPr>
        <w:footnoteReference w:id="22"/>
      </w:r>
      <w:r w:rsidR="00EA5194" w:rsidRPr="002D5D44">
        <w:rPr>
          <w:rFonts w:ascii="Arial" w:hAnsi="Arial" w:cs="Arial"/>
          <w:bCs/>
          <w:sz w:val="20"/>
          <w:szCs w:val="20"/>
        </w:rPr>
        <w:t xml:space="preserve"> (AN URE) so se izvajali</w:t>
      </w:r>
      <w:r w:rsidR="004E5608" w:rsidRPr="002D5D44">
        <w:rPr>
          <w:rFonts w:ascii="Arial" w:hAnsi="Arial" w:cs="Arial"/>
          <w:bCs/>
          <w:sz w:val="20"/>
          <w:szCs w:val="20"/>
        </w:rPr>
        <w:t xml:space="preserve"> v zelo omejenem obsegu.</w:t>
      </w:r>
    </w:p>
    <w:p w:rsidR="00D42298" w:rsidRPr="002D5D44" w:rsidRDefault="00D42298" w:rsidP="00856DC7">
      <w:pPr>
        <w:spacing w:after="0" w:line="240" w:lineRule="auto"/>
        <w:jc w:val="both"/>
        <w:rPr>
          <w:rFonts w:ascii="Arial" w:eastAsia="SimSun" w:hAnsi="Arial" w:cs="Arial"/>
          <w:sz w:val="20"/>
          <w:szCs w:val="20"/>
        </w:rPr>
      </w:pPr>
    </w:p>
    <w:p w:rsidR="00EA5194" w:rsidRDefault="0089167B" w:rsidP="00856DC7">
      <w:pPr>
        <w:spacing w:after="0" w:line="240" w:lineRule="auto"/>
        <w:jc w:val="both"/>
        <w:rPr>
          <w:rFonts w:ascii="Arial" w:eastAsia="SimSun" w:hAnsi="Arial" w:cs="Arial"/>
          <w:sz w:val="20"/>
          <w:szCs w:val="20"/>
          <w:u w:val="single"/>
        </w:rPr>
      </w:pPr>
      <w:r w:rsidRPr="002D5D44">
        <w:rPr>
          <w:rFonts w:ascii="Arial" w:eastAsia="SimSun" w:hAnsi="Arial" w:cs="Arial"/>
          <w:sz w:val="20"/>
          <w:szCs w:val="20"/>
          <w:u w:val="single"/>
        </w:rPr>
        <w:t>Priporočila</w:t>
      </w:r>
    </w:p>
    <w:p w:rsidR="009E1F43" w:rsidRPr="002D5D44" w:rsidRDefault="009E1F43" w:rsidP="00856DC7">
      <w:pPr>
        <w:spacing w:after="0" w:line="240" w:lineRule="auto"/>
        <w:jc w:val="both"/>
        <w:rPr>
          <w:rFonts w:ascii="Arial" w:eastAsia="SimSun" w:hAnsi="Arial" w:cs="Arial"/>
          <w:sz w:val="20"/>
          <w:szCs w:val="20"/>
          <w:u w:val="single"/>
        </w:rPr>
      </w:pPr>
    </w:p>
    <w:p w:rsidR="0089167B" w:rsidRPr="002D5D44" w:rsidRDefault="0079509C" w:rsidP="00734153">
      <w:pPr>
        <w:spacing w:after="0" w:line="240" w:lineRule="auto"/>
        <w:jc w:val="both"/>
        <w:rPr>
          <w:rFonts w:ascii="Arial" w:hAnsi="Arial" w:cs="Arial"/>
          <w:bCs/>
          <w:sz w:val="20"/>
          <w:szCs w:val="20"/>
        </w:rPr>
      </w:pPr>
      <w:r w:rsidRPr="002D5D44">
        <w:rPr>
          <w:rFonts w:ascii="Arial" w:hAnsi="Arial" w:cs="Arial"/>
          <w:bCs/>
          <w:sz w:val="20"/>
          <w:szCs w:val="20"/>
        </w:rPr>
        <w:t xml:space="preserve">Z namenom krepitve izvajanja aktivnosti URE in OVE bi bilo potrebno spodbuditi </w:t>
      </w:r>
      <w:r w:rsidR="0089167B" w:rsidRPr="002D5D44">
        <w:rPr>
          <w:rFonts w:ascii="Arial" w:hAnsi="Arial" w:cs="Arial"/>
          <w:bCs/>
          <w:sz w:val="20"/>
          <w:szCs w:val="20"/>
        </w:rPr>
        <w:t>izvajanje energetskih pregledov v malih in srednje velikih podjetjih (</w:t>
      </w:r>
      <w:r w:rsidR="00BC2297">
        <w:rPr>
          <w:rFonts w:ascii="Arial" w:hAnsi="Arial" w:cs="Arial"/>
          <w:bCs/>
          <w:sz w:val="20"/>
          <w:szCs w:val="20"/>
        </w:rPr>
        <w:t xml:space="preserve">v nadaljnjem besedilu: </w:t>
      </w:r>
      <w:r w:rsidR="0089167B" w:rsidRPr="002D5D44">
        <w:rPr>
          <w:rFonts w:ascii="Arial" w:hAnsi="Arial" w:cs="Arial"/>
          <w:bCs/>
          <w:sz w:val="20"/>
          <w:szCs w:val="20"/>
        </w:rPr>
        <w:t>MSP)</w:t>
      </w:r>
      <w:r w:rsidRPr="002D5D44">
        <w:rPr>
          <w:rFonts w:ascii="Arial" w:hAnsi="Arial" w:cs="Arial"/>
          <w:bCs/>
          <w:sz w:val="20"/>
          <w:szCs w:val="20"/>
        </w:rPr>
        <w:t>. Najprej</w:t>
      </w:r>
      <w:r w:rsidR="0089167B" w:rsidRPr="002D5D44">
        <w:rPr>
          <w:rFonts w:ascii="Arial" w:hAnsi="Arial" w:cs="Arial"/>
          <w:bCs/>
          <w:sz w:val="20"/>
          <w:szCs w:val="20"/>
        </w:rPr>
        <w:t xml:space="preserve"> opraviti podrobnejšo analizo izvajanja</w:t>
      </w:r>
      <w:r w:rsidRPr="002D5D44">
        <w:rPr>
          <w:rFonts w:ascii="Arial" w:hAnsi="Arial" w:cs="Arial"/>
          <w:bCs/>
          <w:sz w:val="20"/>
          <w:szCs w:val="20"/>
        </w:rPr>
        <w:t xml:space="preserve"> tega</w:t>
      </w:r>
      <w:r w:rsidR="0089167B" w:rsidRPr="002D5D44">
        <w:rPr>
          <w:rFonts w:ascii="Arial" w:hAnsi="Arial" w:cs="Arial"/>
          <w:bCs/>
          <w:sz w:val="20"/>
          <w:szCs w:val="20"/>
        </w:rPr>
        <w:t xml:space="preserve"> ukrepa ter zagotoviti </w:t>
      </w:r>
      <w:r w:rsidRPr="002D5D44">
        <w:rPr>
          <w:rFonts w:ascii="Arial" w:hAnsi="Arial" w:cs="Arial"/>
          <w:bCs/>
          <w:sz w:val="20"/>
          <w:szCs w:val="20"/>
        </w:rPr>
        <w:t>njegovo nadgradnjo</w:t>
      </w:r>
      <w:r w:rsidR="0089167B" w:rsidRPr="002D5D44">
        <w:rPr>
          <w:rFonts w:ascii="Arial" w:hAnsi="Arial" w:cs="Arial"/>
          <w:bCs/>
          <w:sz w:val="20"/>
          <w:szCs w:val="20"/>
        </w:rPr>
        <w:t xml:space="preserve">. </w:t>
      </w:r>
      <w:r w:rsidRPr="002D5D44">
        <w:rPr>
          <w:rFonts w:ascii="Arial" w:hAnsi="Arial" w:cs="Arial"/>
          <w:bCs/>
          <w:sz w:val="20"/>
          <w:szCs w:val="20"/>
        </w:rPr>
        <w:t>Izvajanje energetskih pregledov je potrebno</w:t>
      </w:r>
      <w:r w:rsidR="0089167B" w:rsidRPr="002D5D44">
        <w:rPr>
          <w:rFonts w:ascii="Arial" w:hAnsi="Arial" w:cs="Arial"/>
          <w:bCs/>
          <w:sz w:val="20"/>
          <w:szCs w:val="20"/>
        </w:rPr>
        <w:t xml:space="preserve"> umestiti v kontekst uvajanja sistemov za upravljanje z energijo.</w:t>
      </w:r>
    </w:p>
    <w:p w:rsidR="00D1198C" w:rsidRPr="002D5D44" w:rsidRDefault="002B40E7" w:rsidP="002B40E7">
      <w:pPr>
        <w:spacing w:after="0" w:line="240" w:lineRule="auto"/>
        <w:jc w:val="both"/>
        <w:rPr>
          <w:rFonts w:ascii="Arial" w:hAnsi="Arial" w:cs="Arial"/>
          <w:bCs/>
          <w:sz w:val="20"/>
          <w:szCs w:val="20"/>
        </w:rPr>
      </w:pPr>
      <w:r w:rsidRPr="002D5D44">
        <w:rPr>
          <w:rFonts w:ascii="Arial" w:hAnsi="Arial" w:cs="Arial"/>
          <w:bCs/>
          <w:sz w:val="20"/>
          <w:szCs w:val="20"/>
        </w:rPr>
        <w:t xml:space="preserve">Ukrepanje bi se izboljšalo tudi z vzpostavitvijo podpornega okolja za razvoj poslovnih modelov energetskega </w:t>
      </w:r>
      <w:proofErr w:type="spellStart"/>
      <w:r w:rsidRPr="002D5D44">
        <w:rPr>
          <w:rFonts w:ascii="Arial" w:hAnsi="Arial" w:cs="Arial"/>
          <w:bCs/>
          <w:sz w:val="20"/>
          <w:szCs w:val="20"/>
        </w:rPr>
        <w:t>pogodbeništva</w:t>
      </w:r>
      <w:proofErr w:type="spellEnd"/>
      <w:r w:rsidRPr="002D5D44">
        <w:rPr>
          <w:rFonts w:ascii="Arial" w:hAnsi="Arial" w:cs="Arial"/>
          <w:bCs/>
          <w:sz w:val="20"/>
          <w:szCs w:val="20"/>
        </w:rPr>
        <w:t xml:space="preserve"> in ključnih finančnih instrumentov za industrijo in MSP (npr. garancijska shema, komplementarnost povratnih in nepovratnih sredstev).</w:t>
      </w:r>
    </w:p>
    <w:p w:rsidR="00D1198C" w:rsidRPr="002D5D44" w:rsidRDefault="00D1198C" w:rsidP="00D1198C">
      <w:pPr>
        <w:spacing w:after="0" w:line="240" w:lineRule="auto"/>
        <w:rPr>
          <w:rFonts w:ascii="Arial" w:hAnsi="Arial" w:cs="Arial"/>
          <w:sz w:val="20"/>
          <w:szCs w:val="20"/>
        </w:rPr>
      </w:pPr>
    </w:p>
    <w:p w:rsidR="009E1F43" w:rsidRPr="002D5D44" w:rsidRDefault="0023011E" w:rsidP="00D1198C">
      <w:pPr>
        <w:spacing w:after="0" w:line="240" w:lineRule="auto"/>
        <w:rPr>
          <w:rFonts w:ascii="Arial" w:hAnsi="Arial" w:cs="Arial"/>
          <w:b/>
          <w:sz w:val="20"/>
          <w:szCs w:val="20"/>
        </w:rPr>
      </w:pPr>
      <w:r w:rsidRPr="002D5D44">
        <w:rPr>
          <w:rFonts w:ascii="Arial" w:hAnsi="Arial" w:cs="Arial"/>
          <w:b/>
          <w:sz w:val="20"/>
          <w:szCs w:val="20"/>
        </w:rPr>
        <w:t>Odpadki</w:t>
      </w:r>
    </w:p>
    <w:p w:rsidR="00354807" w:rsidRPr="002D5D44" w:rsidRDefault="00354807" w:rsidP="00D1198C">
      <w:pPr>
        <w:spacing w:after="0" w:line="240" w:lineRule="auto"/>
        <w:rPr>
          <w:rFonts w:ascii="Arial" w:hAnsi="Arial" w:cs="Arial"/>
          <w:b/>
          <w:sz w:val="20"/>
          <w:szCs w:val="20"/>
        </w:rPr>
      </w:pPr>
    </w:p>
    <w:p w:rsidR="00354807" w:rsidRDefault="000A12AF" w:rsidP="002634C4">
      <w:pPr>
        <w:spacing w:after="0" w:line="240" w:lineRule="auto"/>
        <w:rPr>
          <w:rFonts w:ascii="Arial" w:hAnsi="Arial" w:cs="Arial"/>
          <w:sz w:val="20"/>
          <w:szCs w:val="20"/>
          <w:u w:val="single"/>
        </w:rPr>
      </w:pPr>
      <w:r w:rsidRPr="002D5D44">
        <w:rPr>
          <w:rFonts w:ascii="Arial" w:hAnsi="Arial" w:cs="Arial"/>
          <w:sz w:val="20"/>
          <w:szCs w:val="20"/>
          <w:u w:val="single"/>
        </w:rPr>
        <w:t>Ukrepanje</w:t>
      </w:r>
    </w:p>
    <w:p w:rsidR="009E1F43" w:rsidRPr="002D5D44" w:rsidRDefault="009E1F43" w:rsidP="002634C4">
      <w:pPr>
        <w:spacing w:after="0" w:line="240" w:lineRule="auto"/>
        <w:rPr>
          <w:rFonts w:ascii="Arial" w:hAnsi="Arial" w:cs="Arial"/>
          <w:sz w:val="20"/>
          <w:szCs w:val="20"/>
          <w:u w:val="single"/>
        </w:rPr>
      </w:pPr>
    </w:p>
    <w:p w:rsidR="009F017C" w:rsidRPr="002D5D44" w:rsidRDefault="009F017C" w:rsidP="009F017C">
      <w:pPr>
        <w:spacing w:after="0" w:line="240" w:lineRule="auto"/>
        <w:jc w:val="both"/>
        <w:rPr>
          <w:rFonts w:ascii="Arial" w:hAnsi="Arial" w:cs="Arial"/>
          <w:sz w:val="20"/>
          <w:szCs w:val="20"/>
        </w:rPr>
      </w:pPr>
      <w:r w:rsidRPr="002D5D44">
        <w:rPr>
          <w:rFonts w:ascii="Arial" w:hAnsi="Arial" w:cs="Arial"/>
          <w:sz w:val="20"/>
          <w:szCs w:val="20"/>
        </w:rPr>
        <w:t xml:space="preserve">Na emisije </w:t>
      </w:r>
      <w:r w:rsidR="00354807" w:rsidRPr="002D5D44">
        <w:rPr>
          <w:rFonts w:ascii="Arial" w:hAnsi="Arial" w:cs="Arial"/>
          <w:sz w:val="20"/>
          <w:szCs w:val="20"/>
        </w:rPr>
        <w:t>TGP</w:t>
      </w:r>
      <w:r w:rsidRPr="002D5D44">
        <w:rPr>
          <w:rFonts w:ascii="Arial" w:hAnsi="Arial" w:cs="Arial"/>
          <w:sz w:val="20"/>
          <w:szCs w:val="20"/>
        </w:rPr>
        <w:t xml:space="preserve"> zaradi ravnanja z odpadki v največji meri vpliva odlaganje biorazgradljivih odpadkov. Z letom 2016 so morali vsi upravljavci odlagališč zagotoviti, da so bili mešani komunalni odpadki pred odlaganjem mehansko biološko obdelani, kar je v povezavi z visokim deležem ločeno zbranih komunalnih odpadkov</w:t>
      </w:r>
      <w:r w:rsidR="008C3C44">
        <w:rPr>
          <w:rFonts w:ascii="Arial" w:hAnsi="Arial" w:cs="Arial"/>
          <w:sz w:val="20"/>
          <w:szCs w:val="20"/>
        </w:rPr>
        <w:t>,</w:t>
      </w:r>
      <w:r w:rsidRPr="002D5D44">
        <w:rPr>
          <w:rFonts w:ascii="Arial" w:hAnsi="Arial" w:cs="Arial"/>
          <w:sz w:val="20"/>
          <w:szCs w:val="20"/>
        </w:rPr>
        <w:t xml:space="preserve"> vplivalo na občutno zmanjšanje količine odloženih biološko razgradljivih odpadkov. Z vidika emisij TGP že izvedeni ukrepi zagotavljajo, da se bodo emis</w:t>
      </w:r>
      <w:r w:rsidR="006A0501">
        <w:rPr>
          <w:rFonts w:ascii="Arial" w:hAnsi="Arial" w:cs="Arial"/>
          <w:sz w:val="20"/>
          <w:szCs w:val="20"/>
        </w:rPr>
        <w:t xml:space="preserve">ije do leta 2020 zmanjšale za </w:t>
      </w:r>
      <w:r w:rsidR="0055481A">
        <w:rPr>
          <w:rFonts w:ascii="Arial" w:hAnsi="Arial" w:cs="Arial"/>
          <w:sz w:val="20"/>
          <w:szCs w:val="20"/>
        </w:rPr>
        <w:t>45</w:t>
      </w:r>
      <w:r w:rsidR="006A0501">
        <w:rPr>
          <w:rFonts w:ascii="Arial" w:hAnsi="Arial" w:cs="Arial"/>
          <w:sz w:val="20"/>
          <w:szCs w:val="20"/>
        </w:rPr>
        <w:t xml:space="preserve"> %, do leta 2030 pa za 55</w:t>
      </w:r>
      <w:r w:rsidRPr="002D5D44">
        <w:rPr>
          <w:rFonts w:ascii="Arial" w:hAnsi="Arial" w:cs="Arial"/>
          <w:sz w:val="20"/>
          <w:szCs w:val="20"/>
        </w:rPr>
        <w:t xml:space="preserve"> % glede na leto 2005</w:t>
      </w:r>
      <w:r w:rsidR="0055481A">
        <w:rPr>
          <w:rFonts w:ascii="Arial" w:hAnsi="Arial" w:cs="Arial"/>
          <w:sz w:val="20"/>
          <w:szCs w:val="20"/>
        </w:rPr>
        <w:t>.</w:t>
      </w:r>
    </w:p>
    <w:p w:rsidR="009F017C" w:rsidRPr="002D5D44" w:rsidRDefault="009F017C" w:rsidP="009F017C">
      <w:pPr>
        <w:spacing w:after="0" w:line="240" w:lineRule="auto"/>
        <w:jc w:val="both"/>
        <w:rPr>
          <w:rFonts w:ascii="Arial" w:hAnsi="Arial" w:cs="Arial"/>
          <w:sz w:val="20"/>
          <w:szCs w:val="20"/>
        </w:rPr>
      </w:pPr>
    </w:p>
    <w:p w:rsidR="00354807" w:rsidRDefault="009F017C" w:rsidP="009F017C">
      <w:pPr>
        <w:spacing w:after="0" w:line="240" w:lineRule="auto"/>
        <w:jc w:val="both"/>
        <w:rPr>
          <w:rFonts w:ascii="Arial" w:hAnsi="Arial" w:cs="Arial"/>
          <w:sz w:val="20"/>
          <w:szCs w:val="20"/>
          <w:u w:val="single"/>
        </w:rPr>
      </w:pPr>
      <w:r w:rsidRPr="002D5D44">
        <w:rPr>
          <w:rFonts w:ascii="Arial" w:hAnsi="Arial" w:cs="Arial"/>
          <w:sz w:val="20"/>
          <w:szCs w:val="20"/>
          <w:u w:val="single"/>
        </w:rPr>
        <w:t>Priporočila</w:t>
      </w:r>
    </w:p>
    <w:p w:rsidR="009E1F43" w:rsidRPr="002D5D44" w:rsidRDefault="009E1F43" w:rsidP="009F017C">
      <w:pPr>
        <w:spacing w:after="0" w:line="240" w:lineRule="auto"/>
        <w:jc w:val="both"/>
        <w:rPr>
          <w:rFonts w:ascii="Arial" w:hAnsi="Arial" w:cs="Arial"/>
          <w:sz w:val="20"/>
          <w:szCs w:val="20"/>
          <w:u w:val="single"/>
        </w:rPr>
      </w:pPr>
    </w:p>
    <w:p w:rsidR="009F017C" w:rsidRPr="002D5D44" w:rsidRDefault="009F017C" w:rsidP="00EF7791">
      <w:pPr>
        <w:spacing w:after="0" w:line="240" w:lineRule="auto"/>
        <w:jc w:val="both"/>
        <w:rPr>
          <w:rFonts w:ascii="Arial" w:hAnsi="Arial" w:cs="Arial"/>
          <w:sz w:val="20"/>
          <w:szCs w:val="20"/>
        </w:rPr>
      </w:pPr>
      <w:r w:rsidRPr="002D5D44">
        <w:rPr>
          <w:rFonts w:ascii="Arial" w:hAnsi="Arial" w:cs="Arial"/>
          <w:sz w:val="20"/>
          <w:szCs w:val="20"/>
        </w:rPr>
        <w:t xml:space="preserve">Z izvajanjem ukrepov na tem področju je nujno nadaljevati, saj ti vplivajo na zmanjšanje potreb po materialnih virih in energiji. S tem se bo zagotavljalo doseganje drugih sektorskih ciljev in </w:t>
      </w:r>
      <w:r w:rsidR="00EF7791" w:rsidRPr="002D5D44">
        <w:rPr>
          <w:rFonts w:ascii="Arial" w:hAnsi="Arial" w:cs="Arial"/>
          <w:sz w:val="20"/>
          <w:szCs w:val="20"/>
        </w:rPr>
        <w:t>posredno tudi</w:t>
      </w:r>
      <w:r w:rsidRPr="002D5D44">
        <w:rPr>
          <w:rFonts w:ascii="Arial" w:hAnsi="Arial" w:cs="Arial"/>
          <w:sz w:val="20"/>
          <w:szCs w:val="20"/>
        </w:rPr>
        <w:t xml:space="preserve"> dodatno zmanjšanje emisij TGP.</w:t>
      </w:r>
    </w:p>
    <w:p w:rsidR="009A62E0" w:rsidRPr="002D5D44" w:rsidRDefault="009A62E0" w:rsidP="00D1198C">
      <w:pPr>
        <w:spacing w:after="0" w:line="240" w:lineRule="auto"/>
        <w:rPr>
          <w:rFonts w:ascii="Arial" w:hAnsi="Arial" w:cs="Arial"/>
          <w:sz w:val="20"/>
          <w:szCs w:val="20"/>
        </w:rPr>
      </w:pPr>
    </w:p>
    <w:p w:rsidR="00B841B2" w:rsidRDefault="00B841B2" w:rsidP="00D1198C">
      <w:pPr>
        <w:spacing w:after="0" w:line="240" w:lineRule="auto"/>
        <w:rPr>
          <w:rFonts w:ascii="Arial" w:hAnsi="Arial" w:cs="Arial"/>
          <w:b/>
          <w:sz w:val="20"/>
          <w:szCs w:val="20"/>
        </w:rPr>
      </w:pPr>
    </w:p>
    <w:p w:rsidR="00B841B2" w:rsidRDefault="00B841B2" w:rsidP="00D1198C">
      <w:pPr>
        <w:spacing w:after="0" w:line="240" w:lineRule="auto"/>
        <w:rPr>
          <w:rFonts w:ascii="Arial" w:hAnsi="Arial" w:cs="Arial"/>
          <w:b/>
          <w:sz w:val="20"/>
          <w:szCs w:val="20"/>
        </w:rPr>
      </w:pPr>
    </w:p>
    <w:p w:rsidR="00623925" w:rsidRPr="002D5D44" w:rsidRDefault="002B40E7" w:rsidP="00D1198C">
      <w:pPr>
        <w:spacing w:after="0" w:line="240" w:lineRule="auto"/>
        <w:rPr>
          <w:rFonts w:ascii="Arial" w:eastAsia="SimSun" w:hAnsi="Arial" w:cs="Arial"/>
          <w:sz w:val="20"/>
          <w:szCs w:val="20"/>
        </w:rPr>
      </w:pPr>
      <w:r w:rsidRPr="002D5D44">
        <w:rPr>
          <w:rFonts w:ascii="Arial" w:hAnsi="Arial" w:cs="Arial"/>
          <w:b/>
          <w:sz w:val="20"/>
          <w:szCs w:val="20"/>
        </w:rPr>
        <w:t>Energetika ne-ETS</w:t>
      </w:r>
      <w:r w:rsidR="009F1ECF" w:rsidRPr="002D5D44">
        <w:rPr>
          <w:rFonts w:ascii="Arial" w:eastAsia="SimSun" w:hAnsi="Arial" w:cs="Arial"/>
          <w:sz w:val="20"/>
          <w:szCs w:val="20"/>
        </w:rPr>
        <w:t xml:space="preserve"> </w:t>
      </w:r>
    </w:p>
    <w:p w:rsidR="00354807" w:rsidRPr="002D5D44" w:rsidRDefault="00354807" w:rsidP="00D1198C">
      <w:pPr>
        <w:spacing w:after="0" w:line="240" w:lineRule="auto"/>
        <w:rPr>
          <w:rFonts w:ascii="Arial" w:hAnsi="Arial" w:cs="Arial"/>
          <w:b/>
          <w:sz w:val="20"/>
          <w:szCs w:val="20"/>
        </w:rPr>
      </w:pPr>
    </w:p>
    <w:p w:rsidR="00254F13" w:rsidRDefault="00E9532C" w:rsidP="00E9532C">
      <w:pPr>
        <w:spacing w:after="0" w:line="240" w:lineRule="auto"/>
        <w:jc w:val="both"/>
        <w:rPr>
          <w:rFonts w:ascii="Arial" w:eastAsia="SimSun" w:hAnsi="Arial" w:cs="Arial"/>
          <w:sz w:val="20"/>
          <w:szCs w:val="20"/>
          <w:u w:val="single"/>
        </w:rPr>
      </w:pPr>
      <w:r w:rsidRPr="002D5D44">
        <w:rPr>
          <w:rFonts w:ascii="Arial" w:eastAsia="SimSun" w:hAnsi="Arial" w:cs="Arial"/>
          <w:sz w:val="20"/>
          <w:szCs w:val="20"/>
          <w:u w:val="single"/>
        </w:rPr>
        <w:t>Ukrepanje</w:t>
      </w:r>
    </w:p>
    <w:p w:rsidR="009E1F43" w:rsidRPr="002D5D44" w:rsidRDefault="009E1F43" w:rsidP="00E9532C">
      <w:pPr>
        <w:spacing w:after="0" w:line="240" w:lineRule="auto"/>
        <w:jc w:val="both"/>
        <w:rPr>
          <w:rFonts w:ascii="Arial" w:eastAsia="SimSun" w:hAnsi="Arial" w:cs="Arial"/>
          <w:sz w:val="20"/>
          <w:szCs w:val="20"/>
          <w:u w:val="single"/>
        </w:rPr>
      </w:pPr>
    </w:p>
    <w:p w:rsidR="00EC3374" w:rsidRPr="002D5D44" w:rsidRDefault="00472692" w:rsidP="00077CDB">
      <w:pPr>
        <w:spacing w:after="0" w:line="240" w:lineRule="auto"/>
        <w:jc w:val="both"/>
        <w:rPr>
          <w:rFonts w:ascii="Arial" w:hAnsi="Arial" w:cs="Arial"/>
          <w:sz w:val="20"/>
          <w:szCs w:val="20"/>
        </w:rPr>
      </w:pPr>
      <w:r w:rsidRPr="002D5D44">
        <w:rPr>
          <w:rFonts w:ascii="Arial" w:hAnsi="Arial" w:cs="Arial"/>
          <w:sz w:val="20"/>
          <w:szCs w:val="20"/>
        </w:rPr>
        <w:t xml:space="preserve">Ukrepi zmanjševanja emisij TGP iz sektorja ne-ETS energetika </w:t>
      </w:r>
      <w:r w:rsidR="00BB5615" w:rsidRPr="002D5D44">
        <w:rPr>
          <w:rFonts w:ascii="Arial" w:hAnsi="Arial" w:cs="Arial"/>
          <w:sz w:val="20"/>
          <w:szCs w:val="20"/>
        </w:rPr>
        <w:t>v</w:t>
      </w:r>
      <w:r w:rsidRPr="002D5D44">
        <w:rPr>
          <w:rFonts w:ascii="Arial" w:hAnsi="Arial" w:cs="Arial"/>
          <w:sz w:val="20"/>
          <w:szCs w:val="20"/>
        </w:rPr>
        <w:t xml:space="preserve"> OP TGP 2020</w:t>
      </w:r>
      <w:r w:rsidR="00BB5615" w:rsidRPr="002D5D44">
        <w:rPr>
          <w:rFonts w:ascii="Arial" w:hAnsi="Arial" w:cs="Arial"/>
          <w:sz w:val="20"/>
          <w:szCs w:val="20"/>
        </w:rPr>
        <w:t xml:space="preserve"> niso posebej obravnavani</w:t>
      </w:r>
      <w:r w:rsidRPr="002D5D44">
        <w:rPr>
          <w:rFonts w:ascii="Arial" w:hAnsi="Arial" w:cs="Arial"/>
          <w:sz w:val="20"/>
          <w:szCs w:val="20"/>
        </w:rPr>
        <w:t xml:space="preserve">. </w:t>
      </w:r>
      <w:r w:rsidR="00BB5615" w:rsidRPr="002D5D44">
        <w:rPr>
          <w:rFonts w:ascii="Arial" w:hAnsi="Arial" w:cs="Arial"/>
          <w:sz w:val="20"/>
          <w:szCs w:val="20"/>
        </w:rPr>
        <w:t>Informacije o njihovem izvajanju so vseeno del tega poročila,</w:t>
      </w:r>
      <w:r w:rsidRPr="002D5D44">
        <w:rPr>
          <w:rFonts w:ascii="Arial" w:hAnsi="Arial" w:cs="Arial"/>
          <w:sz w:val="20"/>
          <w:szCs w:val="20"/>
        </w:rPr>
        <w:t xml:space="preserve"> predvsem z namenom</w:t>
      </w:r>
      <w:r w:rsidR="00BB5615" w:rsidRPr="002D5D44">
        <w:rPr>
          <w:rFonts w:ascii="Arial" w:hAnsi="Arial" w:cs="Arial"/>
          <w:sz w:val="20"/>
          <w:szCs w:val="20"/>
        </w:rPr>
        <w:t xml:space="preserve"> </w:t>
      </w:r>
      <w:r w:rsidR="00C844C6" w:rsidRPr="002D5D44">
        <w:rPr>
          <w:rFonts w:ascii="Arial" w:hAnsi="Arial" w:cs="Arial"/>
          <w:sz w:val="20"/>
          <w:szCs w:val="20"/>
        </w:rPr>
        <w:t>spodbuditi</w:t>
      </w:r>
      <w:r w:rsidR="00616BF4" w:rsidRPr="002D5D44">
        <w:rPr>
          <w:rFonts w:ascii="Arial" w:hAnsi="Arial" w:cs="Arial"/>
          <w:sz w:val="20"/>
          <w:szCs w:val="20"/>
        </w:rPr>
        <w:t xml:space="preserve"> izvajanje</w:t>
      </w:r>
      <w:r w:rsidR="00C844C6" w:rsidRPr="002D5D44">
        <w:rPr>
          <w:rFonts w:ascii="Arial" w:hAnsi="Arial" w:cs="Arial"/>
          <w:sz w:val="20"/>
          <w:szCs w:val="20"/>
        </w:rPr>
        <w:t xml:space="preserve"> teh ukrepov</w:t>
      </w:r>
      <w:r w:rsidR="00616BF4" w:rsidRPr="002D5D44">
        <w:rPr>
          <w:rFonts w:ascii="Arial" w:hAnsi="Arial" w:cs="Arial"/>
          <w:sz w:val="20"/>
          <w:szCs w:val="20"/>
        </w:rPr>
        <w:t xml:space="preserve"> in </w:t>
      </w:r>
      <w:r w:rsidR="00BB5615" w:rsidRPr="002D5D44">
        <w:rPr>
          <w:rFonts w:ascii="Arial" w:hAnsi="Arial" w:cs="Arial"/>
          <w:sz w:val="20"/>
          <w:szCs w:val="20"/>
        </w:rPr>
        <w:t>opozoriti nanje,</w:t>
      </w:r>
      <w:r w:rsidR="00C844C6" w:rsidRPr="002D5D44">
        <w:rPr>
          <w:rFonts w:ascii="Arial" w:hAnsi="Arial" w:cs="Arial"/>
          <w:sz w:val="20"/>
          <w:szCs w:val="20"/>
        </w:rPr>
        <w:t xml:space="preserve"> z vidika</w:t>
      </w:r>
      <w:r w:rsidR="00BB5615" w:rsidRPr="002D5D44">
        <w:rPr>
          <w:rFonts w:ascii="Arial" w:hAnsi="Arial" w:cs="Arial"/>
          <w:sz w:val="20"/>
          <w:szCs w:val="20"/>
        </w:rPr>
        <w:t xml:space="preserve"> vključevanja v prihodnje programe in politike za </w:t>
      </w:r>
      <w:r w:rsidR="00616BF4" w:rsidRPr="002D5D44">
        <w:rPr>
          <w:rFonts w:ascii="Arial" w:hAnsi="Arial" w:cs="Arial"/>
          <w:sz w:val="20"/>
          <w:szCs w:val="20"/>
        </w:rPr>
        <w:t>doseganje ciljev v obdobju</w:t>
      </w:r>
      <w:r w:rsidR="00BB5615" w:rsidRPr="002D5D44">
        <w:rPr>
          <w:rFonts w:ascii="Arial" w:hAnsi="Arial" w:cs="Arial"/>
          <w:sz w:val="20"/>
          <w:szCs w:val="20"/>
        </w:rPr>
        <w:t xml:space="preserve"> po letu 2020.</w:t>
      </w:r>
      <w:r w:rsidR="00077CDB" w:rsidRPr="002D5D44">
        <w:rPr>
          <w:rFonts w:ascii="Arial" w:hAnsi="Arial" w:cs="Arial"/>
          <w:sz w:val="20"/>
          <w:szCs w:val="20"/>
        </w:rPr>
        <w:t xml:space="preserve"> </w:t>
      </w:r>
      <w:r w:rsidR="008D51EF" w:rsidRPr="002D5D44">
        <w:rPr>
          <w:rFonts w:ascii="Arial" w:hAnsi="Arial" w:cs="Arial"/>
          <w:sz w:val="20"/>
          <w:szCs w:val="20"/>
        </w:rPr>
        <w:t>Vsi spremljani</w:t>
      </w:r>
      <w:r w:rsidR="009E08D8" w:rsidRPr="002D5D44">
        <w:rPr>
          <w:rFonts w:ascii="Arial" w:hAnsi="Arial" w:cs="Arial"/>
          <w:sz w:val="20"/>
          <w:szCs w:val="20"/>
        </w:rPr>
        <w:t xml:space="preserve"> ukrepi</w:t>
      </w:r>
      <w:r w:rsidR="008D51EF" w:rsidRPr="002D5D44">
        <w:rPr>
          <w:rFonts w:ascii="Arial" w:hAnsi="Arial" w:cs="Arial"/>
          <w:sz w:val="20"/>
          <w:szCs w:val="20"/>
        </w:rPr>
        <w:t xml:space="preserve"> </w:t>
      </w:r>
      <w:r w:rsidR="009E08D8" w:rsidRPr="002D5D44">
        <w:rPr>
          <w:rFonts w:ascii="Arial" w:hAnsi="Arial" w:cs="Arial"/>
          <w:sz w:val="20"/>
          <w:szCs w:val="20"/>
        </w:rPr>
        <w:t>predstavljeni v naslednjih treh točkah,</w:t>
      </w:r>
      <w:r w:rsidR="008D51EF" w:rsidRPr="002D5D44">
        <w:rPr>
          <w:rFonts w:ascii="Arial" w:hAnsi="Arial" w:cs="Arial"/>
          <w:sz w:val="20"/>
          <w:szCs w:val="20"/>
        </w:rPr>
        <w:t xml:space="preserve"> so s </w:t>
      </w:r>
      <w:r w:rsidR="009E08D8" w:rsidRPr="002D5D44">
        <w:rPr>
          <w:rFonts w:ascii="Arial" w:hAnsi="Arial" w:cs="Arial"/>
          <w:sz w:val="20"/>
          <w:szCs w:val="20"/>
        </w:rPr>
        <w:t xml:space="preserve">področja daljinskega ogrevanja. </w:t>
      </w:r>
    </w:p>
    <w:p w:rsidR="008B5144" w:rsidRPr="002D5D44" w:rsidRDefault="008B5144" w:rsidP="008B5144">
      <w:pPr>
        <w:spacing w:after="0" w:line="240" w:lineRule="auto"/>
        <w:rPr>
          <w:rFonts w:ascii="Arial" w:hAnsi="Arial" w:cs="Arial"/>
          <w:sz w:val="20"/>
          <w:szCs w:val="20"/>
        </w:rPr>
      </w:pPr>
    </w:p>
    <w:p w:rsidR="007A54D4" w:rsidRPr="00B841B2" w:rsidRDefault="00EC3374" w:rsidP="00B841B2">
      <w:pPr>
        <w:spacing w:after="0" w:line="240" w:lineRule="auto"/>
        <w:rPr>
          <w:rFonts w:ascii="Arial" w:hAnsi="Arial" w:cs="Arial"/>
          <w:sz w:val="20"/>
          <w:szCs w:val="20"/>
        </w:rPr>
      </w:pPr>
      <w:r w:rsidRPr="00B841B2">
        <w:rPr>
          <w:rFonts w:ascii="Arial" w:hAnsi="Arial" w:cs="Arial"/>
          <w:sz w:val="20"/>
          <w:szCs w:val="20"/>
        </w:rPr>
        <w:t>Učinkoviti sistemi daljinskega ogrevanja</w:t>
      </w:r>
    </w:p>
    <w:p w:rsidR="00EC3374" w:rsidRPr="002D5D44" w:rsidRDefault="00EC3374" w:rsidP="00456A18">
      <w:pPr>
        <w:spacing w:after="0" w:line="240" w:lineRule="auto"/>
        <w:jc w:val="both"/>
        <w:rPr>
          <w:rFonts w:ascii="Arial" w:hAnsi="Arial" w:cs="Arial"/>
          <w:sz w:val="20"/>
          <w:szCs w:val="20"/>
        </w:rPr>
      </w:pPr>
      <w:r w:rsidRPr="002D5D44">
        <w:rPr>
          <w:rFonts w:ascii="Arial" w:hAnsi="Arial" w:cs="Arial"/>
          <w:sz w:val="20"/>
          <w:szCs w:val="20"/>
        </w:rPr>
        <w:t>Obvezni delež toplote iz OVE, ki jih morajo dosegati vsi sistemi daljinskega ogre</w:t>
      </w:r>
      <w:r w:rsidR="0075169B" w:rsidRPr="002D5D44">
        <w:rPr>
          <w:rFonts w:ascii="Arial" w:hAnsi="Arial" w:cs="Arial"/>
          <w:sz w:val="20"/>
          <w:szCs w:val="20"/>
        </w:rPr>
        <w:t xml:space="preserve">vanja, so določeni v 322. členu </w:t>
      </w:r>
      <w:r w:rsidR="00456A18" w:rsidRPr="002D5D44">
        <w:rPr>
          <w:rFonts w:ascii="Arial" w:hAnsi="Arial" w:cs="Arial"/>
          <w:sz w:val="20"/>
          <w:szCs w:val="20"/>
        </w:rPr>
        <w:t>EZ-1. V začetku leta 2017 je bil v javni obravnavi predlog Zakona o spremembah in dopolnitvah EZ-1, ki je zniževal zahteve za učinkovite si</w:t>
      </w:r>
      <w:r w:rsidR="008C3C44">
        <w:rPr>
          <w:rFonts w:ascii="Arial" w:hAnsi="Arial" w:cs="Arial"/>
          <w:sz w:val="20"/>
          <w:szCs w:val="20"/>
        </w:rPr>
        <w:t>steme daljinskega ogrevanja. To</w:t>
      </w:r>
      <w:r w:rsidR="00456A18" w:rsidRPr="002D5D44">
        <w:rPr>
          <w:rFonts w:ascii="Arial" w:hAnsi="Arial" w:cs="Arial"/>
          <w:sz w:val="20"/>
          <w:szCs w:val="20"/>
        </w:rPr>
        <w:t xml:space="preserve"> je v nasprotju s cilji zmanjševanja emisij TGP. </w:t>
      </w:r>
    </w:p>
    <w:p w:rsidR="00077CDB" w:rsidRPr="002D5D44" w:rsidRDefault="00077CDB" w:rsidP="00456A18">
      <w:pPr>
        <w:spacing w:after="0" w:line="240" w:lineRule="auto"/>
        <w:jc w:val="both"/>
        <w:rPr>
          <w:rFonts w:ascii="Arial" w:hAnsi="Arial" w:cs="Arial"/>
          <w:sz w:val="20"/>
          <w:szCs w:val="20"/>
        </w:rPr>
      </w:pPr>
    </w:p>
    <w:p w:rsidR="007A54D4" w:rsidRPr="00B841B2" w:rsidRDefault="00077CDB" w:rsidP="00B841B2">
      <w:pPr>
        <w:spacing w:after="0" w:line="240" w:lineRule="auto"/>
        <w:jc w:val="both"/>
        <w:rPr>
          <w:rFonts w:ascii="Arial" w:hAnsi="Arial" w:cs="Arial"/>
          <w:sz w:val="20"/>
          <w:szCs w:val="20"/>
        </w:rPr>
      </w:pPr>
      <w:r w:rsidRPr="00B841B2">
        <w:rPr>
          <w:rFonts w:ascii="Arial" w:hAnsi="Arial" w:cs="Arial"/>
          <w:sz w:val="20"/>
          <w:szCs w:val="20"/>
        </w:rPr>
        <w:lastRenderedPageBreak/>
        <w:t>Spodbujanje razvoja sistemov daljinskega ogrevanja na OVE v okviru OP EKP</w:t>
      </w:r>
    </w:p>
    <w:p w:rsidR="000B608F" w:rsidRPr="002D5D44" w:rsidRDefault="00077CDB" w:rsidP="00077CDB">
      <w:pPr>
        <w:spacing w:after="0" w:line="240" w:lineRule="auto"/>
        <w:jc w:val="both"/>
        <w:rPr>
          <w:rFonts w:ascii="Arial" w:hAnsi="Arial" w:cs="Arial"/>
          <w:sz w:val="20"/>
          <w:szCs w:val="20"/>
        </w:rPr>
      </w:pPr>
      <w:r w:rsidRPr="002D5D44">
        <w:rPr>
          <w:rFonts w:ascii="Arial" w:hAnsi="Arial" w:cs="Arial"/>
          <w:sz w:val="20"/>
          <w:szCs w:val="20"/>
        </w:rPr>
        <w:t xml:space="preserve">Nepovratne finančne spodbude </w:t>
      </w:r>
      <w:r w:rsidR="009328CF" w:rsidRPr="002D5D44">
        <w:rPr>
          <w:rFonts w:ascii="Arial" w:hAnsi="Arial" w:cs="Arial"/>
          <w:sz w:val="20"/>
          <w:szCs w:val="20"/>
        </w:rPr>
        <w:t xml:space="preserve">za spodbujanje razvoja sistemov so načrtovane v okviru OP EKP, prednostna os </w:t>
      </w:r>
      <w:r w:rsidR="009328CF" w:rsidRPr="002D5D44">
        <w:rPr>
          <w:rFonts w:ascii="Arial" w:hAnsi="Arial" w:cs="Arial"/>
          <w:i/>
          <w:sz w:val="20"/>
          <w:szCs w:val="20"/>
        </w:rPr>
        <w:t>Trajnostna raba in proizvodnja energije in pametna omrežja</w:t>
      </w:r>
      <w:r w:rsidR="009328CF" w:rsidRPr="002D5D44">
        <w:rPr>
          <w:rFonts w:ascii="Arial" w:hAnsi="Arial" w:cs="Arial"/>
          <w:sz w:val="20"/>
          <w:szCs w:val="20"/>
        </w:rPr>
        <w:t xml:space="preserve">. Leta 2017 je bilo v okviru javnega razpisa za naložbe v sisteme daljinskega ogrevanja na </w:t>
      </w:r>
      <w:r w:rsidR="00286DF4">
        <w:rPr>
          <w:rFonts w:ascii="Arial" w:hAnsi="Arial" w:cs="Arial"/>
          <w:sz w:val="20"/>
          <w:szCs w:val="20"/>
        </w:rPr>
        <w:t>OVE</w:t>
      </w:r>
      <w:r w:rsidR="009328CF" w:rsidRPr="002D5D44">
        <w:rPr>
          <w:rFonts w:ascii="Arial" w:hAnsi="Arial" w:cs="Arial"/>
          <w:sz w:val="20"/>
          <w:szCs w:val="20"/>
        </w:rPr>
        <w:t xml:space="preserve"> razpisanih 8 milijonov </w:t>
      </w:r>
      <w:proofErr w:type="spellStart"/>
      <w:r w:rsidR="009328CF" w:rsidRPr="002D5D44">
        <w:rPr>
          <w:rFonts w:ascii="Arial" w:hAnsi="Arial" w:cs="Arial"/>
          <w:sz w:val="20"/>
          <w:szCs w:val="20"/>
        </w:rPr>
        <w:t>eurov</w:t>
      </w:r>
      <w:proofErr w:type="spellEnd"/>
      <w:r w:rsidR="009328CF" w:rsidRPr="002D5D44">
        <w:rPr>
          <w:rFonts w:ascii="Arial" w:hAnsi="Arial" w:cs="Arial"/>
          <w:sz w:val="20"/>
          <w:szCs w:val="20"/>
        </w:rPr>
        <w:t xml:space="preserve"> nepovratnih sredstev.</w:t>
      </w:r>
    </w:p>
    <w:p w:rsidR="00CC6BAA" w:rsidRPr="002D5D44" w:rsidRDefault="00CC6BAA" w:rsidP="00077CDB">
      <w:pPr>
        <w:spacing w:after="0" w:line="240" w:lineRule="auto"/>
        <w:jc w:val="both"/>
        <w:rPr>
          <w:rFonts w:ascii="Arial" w:hAnsi="Arial" w:cs="Arial"/>
          <w:sz w:val="20"/>
          <w:szCs w:val="20"/>
        </w:rPr>
      </w:pPr>
      <w:r w:rsidRPr="002D5D44">
        <w:rPr>
          <w:rFonts w:ascii="Arial" w:hAnsi="Arial" w:cs="Arial"/>
          <w:sz w:val="20"/>
          <w:szCs w:val="20"/>
        </w:rPr>
        <w:t xml:space="preserve">Dodatno se je z nepovratnimi sredstvi spodbujalo tudi priključitve na sisteme daljinskega ogrevanja, vendar ne izključno tistih, katerih vir so OVE. </w:t>
      </w:r>
    </w:p>
    <w:p w:rsidR="00CC6BAA" w:rsidRPr="002D5D44" w:rsidRDefault="00CC6BAA" w:rsidP="00077CDB">
      <w:pPr>
        <w:spacing w:after="0" w:line="240" w:lineRule="auto"/>
        <w:jc w:val="both"/>
        <w:rPr>
          <w:rFonts w:ascii="Arial" w:hAnsi="Arial" w:cs="Arial"/>
          <w:sz w:val="20"/>
          <w:szCs w:val="20"/>
        </w:rPr>
      </w:pPr>
    </w:p>
    <w:p w:rsidR="007A54D4" w:rsidRPr="00B841B2" w:rsidRDefault="000B608F" w:rsidP="00B841B2">
      <w:pPr>
        <w:spacing w:after="0" w:line="240" w:lineRule="auto"/>
        <w:jc w:val="both"/>
        <w:rPr>
          <w:rFonts w:ascii="Arial" w:hAnsi="Arial" w:cs="Arial"/>
          <w:sz w:val="20"/>
          <w:szCs w:val="20"/>
        </w:rPr>
      </w:pPr>
      <w:r w:rsidRPr="00B841B2">
        <w:rPr>
          <w:rFonts w:ascii="Arial" w:hAnsi="Arial" w:cs="Arial"/>
          <w:sz w:val="20"/>
          <w:szCs w:val="20"/>
        </w:rPr>
        <w:t xml:space="preserve">Spodbujanje razvoja sistemov daljinskega ogrevanja na OVE v okviru programa razvoja podeželja </w:t>
      </w:r>
    </w:p>
    <w:p w:rsidR="00077CDB" w:rsidRPr="002D5D44" w:rsidRDefault="000B608F" w:rsidP="000B608F">
      <w:pPr>
        <w:spacing w:after="0" w:line="240" w:lineRule="auto"/>
        <w:jc w:val="both"/>
        <w:rPr>
          <w:rFonts w:ascii="Arial" w:hAnsi="Arial" w:cs="Arial"/>
          <w:sz w:val="20"/>
          <w:szCs w:val="20"/>
        </w:rPr>
      </w:pPr>
      <w:r w:rsidRPr="002D5D44">
        <w:rPr>
          <w:rFonts w:ascii="Arial" w:hAnsi="Arial" w:cs="Arial"/>
          <w:sz w:val="20"/>
          <w:szCs w:val="20"/>
        </w:rPr>
        <w:t xml:space="preserve">Povratna finančna sredstva v okviru </w:t>
      </w:r>
      <w:r w:rsidR="00EA5194" w:rsidRPr="002D5D44">
        <w:rPr>
          <w:rFonts w:ascii="Arial" w:hAnsi="Arial" w:cs="Arial"/>
          <w:sz w:val="20"/>
          <w:szCs w:val="20"/>
        </w:rPr>
        <w:t>PRP 2014–2020</w:t>
      </w:r>
      <w:r w:rsidRPr="002D5D44">
        <w:rPr>
          <w:rFonts w:ascii="Arial" w:hAnsi="Arial" w:cs="Arial"/>
          <w:sz w:val="20"/>
          <w:szCs w:val="20"/>
        </w:rPr>
        <w:t xml:space="preserve"> so načrtovana tudi za podporo naložb in razvoj nekmetijskih dejavnosti. Med drugim tudi za naložbe v pridobivanje električne energije in toplotne energije iz </w:t>
      </w:r>
      <w:r w:rsidR="00BC2297">
        <w:rPr>
          <w:rFonts w:ascii="Arial" w:hAnsi="Arial" w:cs="Arial"/>
          <w:sz w:val="20"/>
          <w:szCs w:val="20"/>
        </w:rPr>
        <w:t>OVE</w:t>
      </w:r>
      <w:r w:rsidRPr="002D5D44">
        <w:rPr>
          <w:rFonts w:ascii="Arial" w:hAnsi="Arial" w:cs="Arial"/>
          <w:sz w:val="20"/>
          <w:szCs w:val="20"/>
        </w:rPr>
        <w:t>. Ukrep, po katerem bi</w:t>
      </w:r>
      <w:r w:rsidR="006A2A36" w:rsidRPr="002D5D44">
        <w:rPr>
          <w:rFonts w:ascii="Arial" w:hAnsi="Arial" w:cs="Arial"/>
          <w:sz w:val="20"/>
          <w:szCs w:val="20"/>
        </w:rPr>
        <w:t xml:space="preserve"> bili do teh sredstev upravičeni</w:t>
      </w:r>
      <w:r w:rsidRPr="002D5D44">
        <w:rPr>
          <w:rFonts w:ascii="Arial" w:hAnsi="Arial" w:cs="Arial"/>
          <w:sz w:val="20"/>
          <w:szCs w:val="20"/>
        </w:rPr>
        <w:t xml:space="preserve"> kmetijska gospodarstva in </w:t>
      </w:r>
      <w:proofErr w:type="spellStart"/>
      <w:r w:rsidRPr="002D5D44">
        <w:rPr>
          <w:rFonts w:ascii="Arial" w:hAnsi="Arial" w:cs="Arial"/>
          <w:sz w:val="20"/>
          <w:szCs w:val="20"/>
        </w:rPr>
        <w:t>mikro</w:t>
      </w:r>
      <w:proofErr w:type="spellEnd"/>
      <w:r w:rsidRPr="002D5D44">
        <w:rPr>
          <w:rFonts w:ascii="Arial" w:hAnsi="Arial" w:cs="Arial"/>
          <w:sz w:val="20"/>
          <w:szCs w:val="20"/>
        </w:rPr>
        <w:t xml:space="preserve"> ter mala podjetja v </w:t>
      </w:r>
      <w:r w:rsidR="006A2A36" w:rsidRPr="002D5D44">
        <w:rPr>
          <w:rFonts w:ascii="Arial" w:hAnsi="Arial" w:cs="Arial"/>
          <w:sz w:val="20"/>
          <w:szCs w:val="20"/>
        </w:rPr>
        <w:t>naseljih</w:t>
      </w:r>
      <w:r w:rsidRPr="002D5D44">
        <w:rPr>
          <w:rFonts w:ascii="Arial" w:hAnsi="Arial" w:cs="Arial"/>
          <w:sz w:val="20"/>
          <w:szCs w:val="20"/>
        </w:rPr>
        <w:t xml:space="preserve"> do 5.000 prebivalcev</w:t>
      </w:r>
      <w:r w:rsidR="006A2A36" w:rsidRPr="002D5D44">
        <w:rPr>
          <w:rFonts w:ascii="Arial" w:hAnsi="Arial" w:cs="Arial"/>
          <w:sz w:val="20"/>
          <w:szCs w:val="20"/>
        </w:rPr>
        <w:t>,</w:t>
      </w:r>
      <w:r w:rsidRPr="002D5D44">
        <w:rPr>
          <w:rFonts w:ascii="Arial" w:hAnsi="Arial" w:cs="Arial"/>
          <w:sz w:val="20"/>
          <w:szCs w:val="20"/>
        </w:rPr>
        <w:t xml:space="preserve"> se v letu 2017 ni izvajal. </w:t>
      </w:r>
    </w:p>
    <w:p w:rsidR="00A2339B" w:rsidRPr="002D5D44" w:rsidRDefault="00A2339B" w:rsidP="000B608F">
      <w:pPr>
        <w:spacing w:after="0" w:line="240" w:lineRule="auto"/>
        <w:jc w:val="both"/>
        <w:rPr>
          <w:rFonts w:ascii="Arial" w:hAnsi="Arial" w:cs="Arial"/>
          <w:sz w:val="20"/>
          <w:szCs w:val="20"/>
        </w:rPr>
      </w:pPr>
    </w:p>
    <w:p w:rsidR="008B5144" w:rsidRPr="00B841B2" w:rsidRDefault="004810E9" w:rsidP="00B841B2">
      <w:pPr>
        <w:spacing w:after="0" w:line="240" w:lineRule="auto"/>
        <w:jc w:val="both"/>
        <w:rPr>
          <w:rFonts w:ascii="Arial" w:hAnsi="Arial" w:cs="Arial"/>
          <w:sz w:val="20"/>
          <w:szCs w:val="20"/>
        </w:rPr>
      </w:pPr>
      <w:r w:rsidRPr="00B841B2">
        <w:rPr>
          <w:rFonts w:ascii="Arial" w:hAnsi="Arial" w:cs="Arial"/>
          <w:sz w:val="20"/>
          <w:szCs w:val="20"/>
        </w:rPr>
        <w:t>Spodbujanje razvoja sistemov daljinskega ogrevanja v okviru Akcijskega načrta za energetsko učinkovitost do leta 2020</w:t>
      </w:r>
    </w:p>
    <w:p w:rsidR="009E1F43" w:rsidRDefault="008B5144" w:rsidP="000B608F">
      <w:pPr>
        <w:spacing w:after="0" w:line="240" w:lineRule="auto"/>
        <w:jc w:val="both"/>
        <w:rPr>
          <w:rFonts w:ascii="Arial" w:hAnsi="Arial" w:cs="Arial"/>
          <w:sz w:val="20"/>
          <w:szCs w:val="20"/>
        </w:rPr>
      </w:pPr>
      <w:r w:rsidRPr="002D5D44">
        <w:rPr>
          <w:rFonts w:ascii="Arial" w:hAnsi="Arial" w:cs="Arial"/>
          <w:sz w:val="20"/>
          <w:szCs w:val="20"/>
        </w:rPr>
        <w:t>Nabor ukrepov za spodbujanje sistem</w:t>
      </w:r>
      <w:r w:rsidR="009E08D8" w:rsidRPr="002D5D44">
        <w:rPr>
          <w:rFonts w:ascii="Arial" w:hAnsi="Arial" w:cs="Arial"/>
          <w:sz w:val="20"/>
          <w:szCs w:val="20"/>
        </w:rPr>
        <w:t>ov daljinskega ogrevanja</w:t>
      </w:r>
      <w:r w:rsidRPr="002D5D44">
        <w:rPr>
          <w:rFonts w:ascii="Arial" w:hAnsi="Arial" w:cs="Arial"/>
          <w:sz w:val="20"/>
          <w:szCs w:val="20"/>
        </w:rPr>
        <w:t xml:space="preserve"> je bil razširjen v okviru prenove</w:t>
      </w:r>
      <w:r w:rsidR="0075169B" w:rsidRPr="002D5D44">
        <w:rPr>
          <w:rFonts w:ascii="Arial" w:hAnsi="Arial" w:cs="Arial"/>
          <w:sz w:val="20"/>
          <w:szCs w:val="20"/>
        </w:rPr>
        <w:t xml:space="preserve"> Akcijskega načrta za energetsko učinkovitost do leta 2020</w:t>
      </w:r>
      <w:r w:rsidR="0075169B" w:rsidRPr="002D5D44">
        <w:rPr>
          <w:rStyle w:val="Sprotnaopomba-sklic"/>
          <w:rFonts w:ascii="Arial" w:hAnsi="Arial" w:cs="Arial"/>
          <w:sz w:val="20"/>
          <w:szCs w:val="20"/>
        </w:rPr>
        <w:footnoteReference w:id="23"/>
      </w:r>
      <w:r w:rsidRPr="002D5D44">
        <w:rPr>
          <w:rFonts w:ascii="Arial" w:hAnsi="Arial" w:cs="Arial"/>
          <w:sz w:val="20"/>
          <w:szCs w:val="20"/>
        </w:rPr>
        <w:t xml:space="preserve"> in vključuje predvsem povečanje obsega spodbud za to področje ter pripravo dolgoročne usmeritve za</w:t>
      </w:r>
      <w:r w:rsidR="00C844C6" w:rsidRPr="002D5D44">
        <w:rPr>
          <w:rFonts w:ascii="Arial" w:hAnsi="Arial" w:cs="Arial"/>
          <w:sz w:val="20"/>
          <w:szCs w:val="20"/>
        </w:rPr>
        <w:t xml:space="preserve"> njegov</w:t>
      </w:r>
      <w:r w:rsidRPr="002D5D44">
        <w:rPr>
          <w:rFonts w:ascii="Arial" w:hAnsi="Arial" w:cs="Arial"/>
          <w:sz w:val="20"/>
          <w:szCs w:val="20"/>
        </w:rPr>
        <w:t xml:space="preserve"> razvoj</w:t>
      </w:r>
      <w:r w:rsidR="00C844C6" w:rsidRPr="002D5D44">
        <w:rPr>
          <w:rFonts w:ascii="Arial" w:hAnsi="Arial" w:cs="Arial"/>
          <w:sz w:val="20"/>
          <w:szCs w:val="20"/>
        </w:rPr>
        <w:t xml:space="preserve"> </w:t>
      </w:r>
      <w:r w:rsidRPr="002D5D44">
        <w:rPr>
          <w:rFonts w:ascii="Arial" w:hAnsi="Arial" w:cs="Arial"/>
          <w:sz w:val="20"/>
          <w:szCs w:val="20"/>
        </w:rPr>
        <w:t>(strategija ogrevanj</w:t>
      </w:r>
      <w:r w:rsidR="00956AB7">
        <w:rPr>
          <w:rFonts w:ascii="Arial" w:hAnsi="Arial" w:cs="Arial"/>
          <w:sz w:val="20"/>
          <w:szCs w:val="20"/>
        </w:rPr>
        <w:t>a in hlajenja, toplotna karta).</w:t>
      </w:r>
    </w:p>
    <w:p w:rsidR="009E1F43" w:rsidRPr="002D5D44" w:rsidRDefault="009E1F43" w:rsidP="000B608F">
      <w:pPr>
        <w:spacing w:after="0" w:line="240" w:lineRule="auto"/>
        <w:jc w:val="both"/>
        <w:rPr>
          <w:rFonts w:ascii="Arial" w:hAnsi="Arial" w:cs="Arial"/>
          <w:sz w:val="20"/>
          <w:szCs w:val="20"/>
        </w:rPr>
      </w:pPr>
    </w:p>
    <w:p w:rsidR="00A2339B" w:rsidRDefault="00A2339B" w:rsidP="000B608F">
      <w:pPr>
        <w:spacing w:after="0" w:line="240" w:lineRule="auto"/>
        <w:jc w:val="both"/>
        <w:rPr>
          <w:rFonts w:ascii="Arial" w:hAnsi="Arial" w:cs="Arial"/>
          <w:sz w:val="20"/>
          <w:szCs w:val="20"/>
          <w:u w:val="single"/>
        </w:rPr>
      </w:pPr>
      <w:r w:rsidRPr="002D5D44">
        <w:rPr>
          <w:rFonts w:ascii="Arial" w:hAnsi="Arial" w:cs="Arial"/>
          <w:sz w:val="20"/>
          <w:szCs w:val="20"/>
          <w:u w:val="single"/>
        </w:rPr>
        <w:t>Priporočila</w:t>
      </w:r>
    </w:p>
    <w:p w:rsidR="009E1F43" w:rsidRPr="002D5D44" w:rsidRDefault="009E1F43" w:rsidP="000B608F">
      <w:pPr>
        <w:spacing w:after="0" w:line="240" w:lineRule="auto"/>
        <w:jc w:val="both"/>
        <w:rPr>
          <w:rFonts w:ascii="Arial" w:hAnsi="Arial" w:cs="Arial"/>
          <w:sz w:val="20"/>
          <w:szCs w:val="20"/>
        </w:rPr>
      </w:pPr>
    </w:p>
    <w:p w:rsidR="007A54D4" w:rsidRPr="00B841B2" w:rsidRDefault="007A54D4" w:rsidP="00B841B2">
      <w:pPr>
        <w:spacing w:after="0" w:line="240" w:lineRule="auto"/>
        <w:jc w:val="both"/>
        <w:rPr>
          <w:rFonts w:ascii="Arial" w:hAnsi="Arial" w:cs="Arial"/>
          <w:sz w:val="20"/>
          <w:szCs w:val="20"/>
        </w:rPr>
      </w:pPr>
      <w:r w:rsidRPr="00B841B2">
        <w:rPr>
          <w:rFonts w:ascii="Arial" w:hAnsi="Arial" w:cs="Arial"/>
          <w:sz w:val="20"/>
          <w:szCs w:val="20"/>
        </w:rPr>
        <w:t>Področje finančnih spodbud</w:t>
      </w:r>
      <w:r w:rsidR="006223BE" w:rsidRPr="00B841B2">
        <w:rPr>
          <w:rFonts w:ascii="Arial" w:hAnsi="Arial" w:cs="Arial"/>
          <w:sz w:val="20"/>
          <w:szCs w:val="20"/>
        </w:rPr>
        <w:t>:</w:t>
      </w:r>
    </w:p>
    <w:p w:rsidR="007A54D4" w:rsidRPr="002D5D44" w:rsidRDefault="007A54D4" w:rsidP="007A54D4">
      <w:pPr>
        <w:pStyle w:val="Odstavekseznama"/>
        <w:numPr>
          <w:ilvl w:val="0"/>
          <w:numId w:val="20"/>
        </w:numPr>
        <w:spacing w:after="0" w:line="240" w:lineRule="auto"/>
        <w:jc w:val="both"/>
        <w:rPr>
          <w:rFonts w:ascii="Arial" w:hAnsi="Arial" w:cs="Arial"/>
          <w:sz w:val="20"/>
          <w:szCs w:val="20"/>
        </w:rPr>
      </w:pPr>
      <w:r w:rsidRPr="002D5D44">
        <w:rPr>
          <w:rFonts w:ascii="Arial" w:hAnsi="Arial" w:cs="Arial"/>
          <w:sz w:val="20"/>
          <w:szCs w:val="20"/>
        </w:rPr>
        <w:t xml:space="preserve">Zagotoviti dolgoročno stabilnost finančnih virov za uspešno nadaljevanje spodbujanja </w:t>
      </w:r>
      <w:r w:rsidR="00E16679">
        <w:rPr>
          <w:rFonts w:ascii="Arial" w:hAnsi="Arial" w:cs="Arial"/>
          <w:sz w:val="20"/>
          <w:szCs w:val="20"/>
        </w:rPr>
        <w:t xml:space="preserve">celovitega </w:t>
      </w:r>
      <w:r w:rsidRPr="002D5D44">
        <w:rPr>
          <w:rFonts w:ascii="Arial" w:hAnsi="Arial" w:cs="Arial"/>
          <w:sz w:val="20"/>
          <w:szCs w:val="20"/>
        </w:rPr>
        <w:t>razvoja sistemov daljinskega ogrevanja na OVE.</w:t>
      </w:r>
    </w:p>
    <w:p w:rsidR="00CC6BAA" w:rsidRPr="002D5D44" w:rsidRDefault="009E08D8" w:rsidP="007A54D4">
      <w:pPr>
        <w:numPr>
          <w:ilvl w:val="0"/>
          <w:numId w:val="20"/>
        </w:numPr>
        <w:spacing w:after="0" w:line="240" w:lineRule="auto"/>
        <w:contextualSpacing/>
        <w:jc w:val="both"/>
        <w:rPr>
          <w:rFonts w:ascii="Arial" w:hAnsi="Arial" w:cs="Arial"/>
          <w:color w:val="000000" w:themeColor="text1"/>
          <w:sz w:val="20"/>
          <w:szCs w:val="20"/>
        </w:rPr>
      </w:pPr>
      <w:r w:rsidRPr="002D5D44">
        <w:rPr>
          <w:rFonts w:ascii="Arial" w:hAnsi="Arial" w:cs="Arial"/>
          <w:sz w:val="20"/>
          <w:szCs w:val="20"/>
        </w:rPr>
        <w:t xml:space="preserve">Spremeniti pravila za vstop v podporno shemo za proizvodnjo električne energije iz OVE in </w:t>
      </w:r>
      <w:proofErr w:type="spellStart"/>
      <w:r w:rsidR="00557F81" w:rsidRPr="002D5D44">
        <w:rPr>
          <w:rFonts w:ascii="Arial" w:hAnsi="Arial" w:cs="Arial"/>
          <w:sz w:val="20"/>
          <w:szCs w:val="20"/>
        </w:rPr>
        <w:t>soproizvodnja</w:t>
      </w:r>
      <w:proofErr w:type="spellEnd"/>
      <w:r w:rsidR="00557F81" w:rsidRPr="002D5D44">
        <w:rPr>
          <w:rFonts w:ascii="Arial" w:hAnsi="Arial" w:cs="Arial"/>
          <w:sz w:val="20"/>
          <w:szCs w:val="20"/>
        </w:rPr>
        <w:t xml:space="preserve"> toplote in elektrike (</w:t>
      </w:r>
      <w:r w:rsidRPr="002D5D44">
        <w:rPr>
          <w:rFonts w:ascii="Arial" w:hAnsi="Arial" w:cs="Arial"/>
          <w:sz w:val="20"/>
          <w:szCs w:val="20"/>
        </w:rPr>
        <w:t>SPTE</w:t>
      </w:r>
      <w:r w:rsidR="00557F81" w:rsidRPr="002D5D44">
        <w:rPr>
          <w:rFonts w:ascii="Arial" w:hAnsi="Arial" w:cs="Arial"/>
          <w:sz w:val="20"/>
          <w:szCs w:val="20"/>
        </w:rPr>
        <w:t>), tako, da bo</w:t>
      </w:r>
      <w:r w:rsidRPr="002D5D44">
        <w:rPr>
          <w:rFonts w:ascii="Arial" w:hAnsi="Arial" w:cs="Arial"/>
          <w:sz w:val="20"/>
          <w:szCs w:val="20"/>
        </w:rPr>
        <w:t xml:space="preserve"> na pozivih zagotovljena </w:t>
      </w:r>
      <w:r w:rsidR="00CC6BAA" w:rsidRPr="002D5D44">
        <w:rPr>
          <w:rFonts w:ascii="Arial" w:hAnsi="Arial" w:cs="Arial"/>
          <w:sz w:val="20"/>
          <w:szCs w:val="20"/>
        </w:rPr>
        <w:t xml:space="preserve">prednost </w:t>
      </w:r>
      <w:r w:rsidRPr="002D5D44">
        <w:rPr>
          <w:rFonts w:ascii="Arial" w:hAnsi="Arial" w:cs="Arial"/>
          <w:sz w:val="20"/>
          <w:szCs w:val="20"/>
        </w:rPr>
        <w:t>enotam SPTE, ki izkoriščajo OVE</w:t>
      </w:r>
      <w:r w:rsidR="00CC6BAA" w:rsidRPr="002D5D44">
        <w:rPr>
          <w:rFonts w:ascii="Arial" w:hAnsi="Arial" w:cs="Arial"/>
          <w:sz w:val="20"/>
          <w:szCs w:val="20"/>
        </w:rPr>
        <w:t>.</w:t>
      </w:r>
    </w:p>
    <w:p w:rsidR="007A54D4" w:rsidRPr="002D5D44" w:rsidRDefault="009E08D8" w:rsidP="007A54D4">
      <w:pPr>
        <w:numPr>
          <w:ilvl w:val="0"/>
          <w:numId w:val="20"/>
        </w:numPr>
        <w:spacing w:after="0" w:line="240" w:lineRule="auto"/>
        <w:contextualSpacing/>
        <w:jc w:val="both"/>
        <w:rPr>
          <w:rFonts w:ascii="Arial" w:hAnsi="Arial" w:cs="Arial"/>
          <w:color w:val="000000" w:themeColor="text1"/>
          <w:sz w:val="20"/>
          <w:szCs w:val="20"/>
        </w:rPr>
      </w:pPr>
      <w:r w:rsidRPr="002D5D44">
        <w:rPr>
          <w:rFonts w:ascii="Arial" w:hAnsi="Arial" w:cs="Arial"/>
          <w:color w:val="000000" w:themeColor="text1"/>
          <w:sz w:val="20"/>
          <w:szCs w:val="20"/>
        </w:rPr>
        <w:t>Nadaljevati s finančnimi spodbudami za priklop na omrežja daljinskega ogrevanja na območjih primernih za njihov razvoj.</w:t>
      </w:r>
    </w:p>
    <w:p w:rsidR="009E08D8" w:rsidRPr="002D5D44" w:rsidRDefault="009E08D8" w:rsidP="009E08D8">
      <w:pPr>
        <w:pStyle w:val="Odstavekseznama"/>
        <w:spacing w:after="0" w:line="240" w:lineRule="auto"/>
        <w:jc w:val="both"/>
        <w:rPr>
          <w:rFonts w:ascii="Arial" w:hAnsi="Arial" w:cs="Arial"/>
          <w:color w:val="000000" w:themeColor="text1"/>
          <w:sz w:val="20"/>
          <w:szCs w:val="20"/>
        </w:rPr>
      </w:pPr>
    </w:p>
    <w:p w:rsidR="007A54D4" w:rsidRPr="00B841B2" w:rsidRDefault="007A54D4" w:rsidP="00B841B2">
      <w:pPr>
        <w:spacing w:after="0" w:line="240" w:lineRule="auto"/>
        <w:jc w:val="both"/>
        <w:rPr>
          <w:rFonts w:ascii="Arial" w:hAnsi="Arial" w:cs="Arial"/>
          <w:sz w:val="20"/>
          <w:szCs w:val="20"/>
        </w:rPr>
      </w:pPr>
      <w:r w:rsidRPr="00B841B2">
        <w:rPr>
          <w:rFonts w:ascii="Arial" w:hAnsi="Arial" w:cs="Arial"/>
          <w:sz w:val="20"/>
          <w:szCs w:val="20"/>
        </w:rPr>
        <w:t>Načrtovanje in podporne aktivnosti</w:t>
      </w:r>
      <w:r w:rsidR="006223BE" w:rsidRPr="00B841B2">
        <w:rPr>
          <w:rFonts w:ascii="Arial" w:hAnsi="Arial" w:cs="Arial"/>
          <w:sz w:val="20"/>
          <w:szCs w:val="20"/>
        </w:rPr>
        <w:t>:</w:t>
      </w:r>
    </w:p>
    <w:p w:rsidR="00D1141F" w:rsidRPr="002D5D44" w:rsidRDefault="00D1141F" w:rsidP="00CC6BAA">
      <w:pPr>
        <w:pStyle w:val="Odstavekseznama"/>
        <w:numPr>
          <w:ilvl w:val="0"/>
          <w:numId w:val="22"/>
        </w:numPr>
        <w:spacing w:after="0" w:line="240" w:lineRule="auto"/>
        <w:jc w:val="both"/>
        <w:rPr>
          <w:rFonts w:ascii="Arial" w:hAnsi="Arial" w:cs="Arial"/>
          <w:sz w:val="20"/>
          <w:szCs w:val="20"/>
        </w:rPr>
      </w:pPr>
      <w:r w:rsidRPr="002D5D44">
        <w:rPr>
          <w:rFonts w:ascii="Arial" w:hAnsi="Arial" w:cs="Arial"/>
          <w:sz w:val="20"/>
          <w:szCs w:val="20"/>
        </w:rPr>
        <w:t>V strateških dokumentih d</w:t>
      </w:r>
      <w:r w:rsidR="00CC6BAA" w:rsidRPr="002D5D44">
        <w:rPr>
          <w:rFonts w:ascii="Arial" w:hAnsi="Arial" w:cs="Arial"/>
          <w:sz w:val="20"/>
          <w:szCs w:val="20"/>
        </w:rPr>
        <w:t xml:space="preserve">oločiti jasne dolgoročne cilje za </w:t>
      </w:r>
      <w:r w:rsidRPr="002D5D44">
        <w:rPr>
          <w:rFonts w:ascii="Arial" w:hAnsi="Arial" w:cs="Arial"/>
          <w:sz w:val="20"/>
          <w:szCs w:val="20"/>
        </w:rPr>
        <w:t>področje daljinsko</w:t>
      </w:r>
      <w:r w:rsidR="00557F81" w:rsidRPr="002D5D44">
        <w:rPr>
          <w:rFonts w:ascii="Arial" w:hAnsi="Arial" w:cs="Arial"/>
          <w:sz w:val="20"/>
          <w:szCs w:val="20"/>
        </w:rPr>
        <w:t xml:space="preserve"> ogrevanje</w:t>
      </w:r>
      <w:r w:rsidR="00CC6BAA" w:rsidRPr="002D5D44">
        <w:rPr>
          <w:rFonts w:ascii="Arial" w:hAnsi="Arial" w:cs="Arial"/>
          <w:sz w:val="20"/>
          <w:szCs w:val="20"/>
        </w:rPr>
        <w:t>, ki bodo</w:t>
      </w:r>
      <w:r w:rsidRPr="002D5D44">
        <w:rPr>
          <w:rFonts w:ascii="Arial" w:hAnsi="Arial" w:cs="Arial"/>
          <w:sz w:val="20"/>
          <w:szCs w:val="20"/>
        </w:rPr>
        <w:t xml:space="preserve"> usklajeni z ostalimi sektorskimi programi in bodo usmerjali k učinkovitosti sistemov, nižji </w:t>
      </w:r>
      <w:proofErr w:type="spellStart"/>
      <w:r w:rsidRPr="002D5D44">
        <w:rPr>
          <w:rFonts w:ascii="Arial" w:hAnsi="Arial" w:cs="Arial"/>
          <w:sz w:val="20"/>
          <w:szCs w:val="20"/>
        </w:rPr>
        <w:t>ogljični</w:t>
      </w:r>
      <w:proofErr w:type="spellEnd"/>
      <w:r w:rsidRPr="002D5D44">
        <w:rPr>
          <w:rFonts w:ascii="Arial" w:hAnsi="Arial" w:cs="Arial"/>
          <w:sz w:val="20"/>
          <w:szCs w:val="20"/>
        </w:rPr>
        <w:t xml:space="preserve"> intenzivnosti, širitvi obstoječih sistemov in izgradnji novih.</w:t>
      </w:r>
    </w:p>
    <w:p w:rsidR="009E08D8" w:rsidRPr="002D5D44" w:rsidRDefault="00184434" w:rsidP="00CC6BAA">
      <w:pPr>
        <w:pStyle w:val="Odstavekseznama"/>
        <w:numPr>
          <w:ilvl w:val="0"/>
          <w:numId w:val="22"/>
        </w:numPr>
        <w:spacing w:after="0" w:line="240" w:lineRule="auto"/>
        <w:jc w:val="both"/>
        <w:rPr>
          <w:rFonts w:ascii="Arial" w:hAnsi="Arial" w:cs="Arial"/>
          <w:sz w:val="20"/>
          <w:szCs w:val="20"/>
        </w:rPr>
      </w:pPr>
      <w:r w:rsidRPr="002D5D44">
        <w:rPr>
          <w:rFonts w:ascii="Arial" w:hAnsi="Arial" w:cs="Arial"/>
          <w:sz w:val="20"/>
          <w:szCs w:val="20"/>
        </w:rPr>
        <w:t>S kakovostnimi lokalnimi energetskimi koncepti, ki bodo upoštevani tudi pri pripravi prostorskih načrtov in drugih izvedbenih aktih lokalnih skupnosti, zagotoviti uspešen dolgoročni razvoj in delovanje sistemov daljinskega ogrevanja.</w:t>
      </w:r>
      <w:r w:rsidR="00CC6BAA" w:rsidRPr="002D5D44">
        <w:rPr>
          <w:rFonts w:ascii="Arial" w:hAnsi="Arial" w:cs="Arial"/>
          <w:sz w:val="20"/>
          <w:szCs w:val="20"/>
        </w:rPr>
        <w:t xml:space="preserve"> </w:t>
      </w:r>
    </w:p>
    <w:p w:rsidR="00B841B2" w:rsidRDefault="00B841B2" w:rsidP="00557F81">
      <w:pPr>
        <w:spacing w:after="0" w:line="240" w:lineRule="auto"/>
        <w:jc w:val="both"/>
        <w:rPr>
          <w:rFonts w:ascii="Arial" w:hAnsi="Arial" w:cs="Arial"/>
          <w:sz w:val="20"/>
          <w:szCs w:val="20"/>
        </w:rPr>
      </w:pPr>
    </w:p>
    <w:p w:rsidR="00B841B2" w:rsidRDefault="00B841B2" w:rsidP="00557F81">
      <w:pPr>
        <w:spacing w:after="0" w:line="240" w:lineRule="auto"/>
        <w:jc w:val="both"/>
        <w:rPr>
          <w:rFonts w:ascii="Arial" w:hAnsi="Arial" w:cs="Arial"/>
          <w:sz w:val="20"/>
          <w:szCs w:val="20"/>
        </w:rPr>
      </w:pPr>
    </w:p>
    <w:p w:rsidR="007E0661" w:rsidRPr="002D5D44" w:rsidRDefault="007E0661" w:rsidP="00557F81">
      <w:pPr>
        <w:spacing w:after="0" w:line="240" w:lineRule="auto"/>
        <w:jc w:val="both"/>
        <w:rPr>
          <w:rFonts w:ascii="Arial" w:hAnsi="Arial" w:cs="Arial"/>
          <w:sz w:val="20"/>
          <w:szCs w:val="20"/>
        </w:rPr>
      </w:pPr>
    </w:p>
    <w:p w:rsidR="00D1198C" w:rsidRPr="002D5D44" w:rsidRDefault="00D1198C" w:rsidP="00D96E78">
      <w:pPr>
        <w:pStyle w:val="Naslov2"/>
      </w:pPr>
      <w:bookmarkStart w:id="15" w:name="_Toc531933457"/>
      <w:r w:rsidRPr="002D5D44">
        <w:t>Izobraževanje, informiranje</w:t>
      </w:r>
      <w:r w:rsidR="00A52FA2" w:rsidRPr="002D5D44">
        <w:t>, usposabljanje</w:t>
      </w:r>
      <w:r w:rsidRPr="002D5D44">
        <w:t xml:space="preserve"> in ozaveščanje</w:t>
      </w:r>
      <w:bookmarkEnd w:id="15"/>
    </w:p>
    <w:p w:rsidR="00557F81" w:rsidRPr="002D5D44" w:rsidRDefault="00557F81" w:rsidP="00557F81">
      <w:pPr>
        <w:spacing w:after="0" w:line="240" w:lineRule="auto"/>
        <w:rPr>
          <w:rFonts w:ascii="Arial" w:hAnsi="Arial" w:cs="Arial"/>
          <w:sz w:val="20"/>
          <w:szCs w:val="20"/>
        </w:rPr>
      </w:pPr>
    </w:p>
    <w:p w:rsidR="00A36939" w:rsidRDefault="00F87775" w:rsidP="00A36939">
      <w:pPr>
        <w:spacing w:after="0" w:line="240" w:lineRule="auto"/>
        <w:rPr>
          <w:rFonts w:ascii="Arial" w:hAnsi="Arial" w:cs="Arial"/>
          <w:sz w:val="20"/>
          <w:szCs w:val="20"/>
          <w:u w:val="single"/>
        </w:rPr>
      </w:pPr>
      <w:r w:rsidRPr="002D5D44">
        <w:rPr>
          <w:rFonts w:ascii="Arial" w:hAnsi="Arial" w:cs="Arial"/>
          <w:sz w:val="20"/>
          <w:szCs w:val="20"/>
          <w:u w:val="single"/>
        </w:rPr>
        <w:t>Ukrepanje</w:t>
      </w:r>
    </w:p>
    <w:p w:rsidR="009E1F43" w:rsidRDefault="009E1F43" w:rsidP="00A36939">
      <w:pPr>
        <w:spacing w:after="0" w:line="240" w:lineRule="auto"/>
        <w:rPr>
          <w:rFonts w:ascii="Arial" w:hAnsi="Arial" w:cs="Arial"/>
          <w:sz w:val="20"/>
          <w:szCs w:val="20"/>
          <w:u w:val="single"/>
        </w:rPr>
      </w:pPr>
    </w:p>
    <w:p w:rsidR="00E11AE6" w:rsidRPr="00A36939" w:rsidRDefault="00F51279" w:rsidP="00A36939">
      <w:pPr>
        <w:spacing w:after="0" w:line="240" w:lineRule="auto"/>
        <w:rPr>
          <w:rFonts w:ascii="Arial" w:hAnsi="Arial" w:cs="Arial"/>
          <w:sz w:val="20"/>
          <w:szCs w:val="20"/>
          <w:u w:val="single"/>
        </w:rPr>
      </w:pPr>
      <w:r w:rsidRPr="002D5D44">
        <w:rPr>
          <w:rFonts w:ascii="Arial" w:hAnsi="Arial" w:cs="Arial"/>
          <w:sz w:val="20"/>
          <w:szCs w:val="20"/>
        </w:rPr>
        <w:t>Učinkovitost sektorskih ukrepov blaženja podnebnih sprememb ni samoumevna. Od</w:t>
      </w:r>
      <w:r w:rsidR="00E11AE6" w:rsidRPr="002D5D44">
        <w:rPr>
          <w:rFonts w:ascii="Arial" w:hAnsi="Arial" w:cs="Arial"/>
          <w:sz w:val="20"/>
          <w:szCs w:val="20"/>
        </w:rPr>
        <w:t>visna je tudi od izobraženosti in usposobljenosti posameznikov vključenih v njihov</w:t>
      </w:r>
      <w:r w:rsidR="007D20C6" w:rsidRPr="002D5D44">
        <w:rPr>
          <w:rFonts w:ascii="Arial" w:hAnsi="Arial" w:cs="Arial"/>
          <w:sz w:val="20"/>
          <w:szCs w:val="20"/>
        </w:rPr>
        <w:t>o</w:t>
      </w:r>
      <w:r w:rsidR="00E11AE6" w:rsidRPr="002D5D44">
        <w:rPr>
          <w:rFonts w:ascii="Arial" w:hAnsi="Arial" w:cs="Arial"/>
          <w:sz w:val="20"/>
          <w:szCs w:val="20"/>
        </w:rPr>
        <w:t xml:space="preserve"> izvajanje ter od </w:t>
      </w:r>
      <w:r w:rsidRPr="002D5D44">
        <w:rPr>
          <w:rFonts w:ascii="Arial" w:hAnsi="Arial" w:cs="Arial"/>
          <w:sz w:val="20"/>
          <w:szCs w:val="20"/>
        </w:rPr>
        <w:t>informiranosti in ozaveščenosti</w:t>
      </w:r>
      <w:r w:rsidR="00E11AE6" w:rsidRPr="002D5D44">
        <w:rPr>
          <w:rFonts w:ascii="Arial" w:hAnsi="Arial" w:cs="Arial"/>
          <w:sz w:val="20"/>
          <w:szCs w:val="20"/>
        </w:rPr>
        <w:t xml:space="preserve"> različnih ciljnih skupin.</w:t>
      </w:r>
    </w:p>
    <w:p w:rsidR="008948F2" w:rsidRDefault="00D34A88" w:rsidP="007D20C6">
      <w:pPr>
        <w:spacing w:after="0" w:line="240" w:lineRule="auto"/>
        <w:jc w:val="both"/>
        <w:rPr>
          <w:rFonts w:ascii="Arial" w:hAnsi="Arial" w:cs="Arial"/>
          <w:sz w:val="20"/>
          <w:szCs w:val="20"/>
        </w:rPr>
      </w:pPr>
      <w:r w:rsidRPr="002D5D44">
        <w:rPr>
          <w:rFonts w:ascii="Arial" w:hAnsi="Arial" w:cs="Arial"/>
          <w:sz w:val="20"/>
          <w:szCs w:val="20"/>
        </w:rPr>
        <w:t>Številne a</w:t>
      </w:r>
      <w:r w:rsidR="007D20C6" w:rsidRPr="002D5D44">
        <w:rPr>
          <w:rFonts w:ascii="Arial" w:hAnsi="Arial" w:cs="Arial"/>
          <w:sz w:val="20"/>
          <w:szCs w:val="20"/>
        </w:rPr>
        <w:t>ktivnosti</w:t>
      </w:r>
      <w:r w:rsidR="00A52FA2" w:rsidRPr="002D5D44">
        <w:rPr>
          <w:rFonts w:ascii="Arial" w:hAnsi="Arial" w:cs="Arial"/>
          <w:sz w:val="20"/>
          <w:szCs w:val="20"/>
        </w:rPr>
        <w:t xml:space="preserve"> za krepitev usposobljenosti z</w:t>
      </w:r>
      <w:r w:rsidR="00A52FA2" w:rsidRPr="00A36939">
        <w:rPr>
          <w:rFonts w:ascii="Arial" w:hAnsi="Arial" w:cs="Arial"/>
          <w:sz w:val="20"/>
          <w:szCs w:val="20"/>
        </w:rPr>
        <w:t xml:space="preserve">a prehod </w:t>
      </w:r>
      <w:r w:rsidRPr="00A36939">
        <w:rPr>
          <w:rFonts w:ascii="Arial" w:hAnsi="Arial" w:cs="Arial"/>
          <w:sz w:val="20"/>
          <w:szCs w:val="20"/>
        </w:rPr>
        <w:t xml:space="preserve">družbe </w:t>
      </w:r>
      <w:r w:rsidR="00A52FA2" w:rsidRPr="00A36939">
        <w:rPr>
          <w:rFonts w:ascii="Arial" w:hAnsi="Arial" w:cs="Arial"/>
          <w:sz w:val="20"/>
          <w:szCs w:val="20"/>
        </w:rPr>
        <w:t xml:space="preserve">v </w:t>
      </w:r>
      <w:proofErr w:type="spellStart"/>
      <w:r w:rsidR="00A52FA2" w:rsidRPr="00A36939">
        <w:rPr>
          <w:rFonts w:ascii="Arial" w:hAnsi="Arial" w:cs="Arial"/>
          <w:sz w:val="20"/>
          <w:szCs w:val="20"/>
        </w:rPr>
        <w:t>nizkoogljično</w:t>
      </w:r>
      <w:r w:rsidRPr="00A36939">
        <w:rPr>
          <w:rFonts w:ascii="Arial" w:hAnsi="Arial" w:cs="Arial"/>
          <w:sz w:val="20"/>
          <w:szCs w:val="20"/>
        </w:rPr>
        <w:t>st</w:t>
      </w:r>
      <w:proofErr w:type="spellEnd"/>
      <w:r w:rsidRPr="00A36939">
        <w:rPr>
          <w:rFonts w:ascii="Arial" w:hAnsi="Arial" w:cs="Arial"/>
          <w:sz w:val="20"/>
          <w:szCs w:val="20"/>
        </w:rPr>
        <w:t xml:space="preserve"> pote</w:t>
      </w:r>
      <w:r w:rsidR="008948F2" w:rsidRPr="00A36939">
        <w:rPr>
          <w:rFonts w:ascii="Arial" w:hAnsi="Arial" w:cs="Arial"/>
          <w:sz w:val="20"/>
          <w:szCs w:val="20"/>
        </w:rPr>
        <w:t>kajo po različnih področjih, še vedno preveč</w:t>
      </w:r>
      <w:r w:rsidR="00A52FA2" w:rsidRPr="00A36939">
        <w:rPr>
          <w:rFonts w:ascii="Arial" w:hAnsi="Arial" w:cs="Arial"/>
          <w:sz w:val="20"/>
          <w:szCs w:val="20"/>
        </w:rPr>
        <w:t xml:space="preserve"> ločeno med sabo, torej nesistematično.</w:t>
      </w:r>
      <w:r w:rsidR="00422B17" w:rsidRPr="00A36939">
        <w:rPr>
          <w:rFonts w:ascii="Arial" w:hAnsi="Arial" w:cs="Arial"/>
          <w:sz w:val="20"/>
          <w:szCs w:val="20"/>
        </w:rPr>
        <w:t xml:space="preserve"> </w:t>
      </w:r>
      <w:r w:rsidR="008948F2" w:rsidRPr="00A36939">
        <w:rPr>
          <w:rFonts w:ascii="Arial" w:hAnsi="Arial" w:cs="Arial"/>
          <w:sz w:val="20"/>
          <w:szCs w:val="20"/>
        </w:rPr>
        <w:t>Za</w:t>
      </w:r>
      <w:r w:rsidR="00A36939" w:rsidRPr="00A36939">
        <w:rPr>
          <w:rFonts w:ascii="Arial" w:hAnsi="Arial" w:cs="Arial"/>
          <w:sz w:val="20"/>
          <w:szCs w:val="20"/>
        </w:rPr>
        <w:t xml:space="preserve"> preseganje te pomanjkljivosti </w:t>
      </w:r>
      <w:r w:rsidR="008948F2" w:rsidRPr="00A36939">
        <w:rPr>
          <w:rFonts w:ascii="Arial" w:hAnsi="Arial" w:cs="Arial"/>
          <w:sz w:val="20"/>
          <w:szCs w:val="20"/>
        </w:rPr>
        <w:t xml:space="preserve">je bila iz Sklada za podnebne spremembe financirana izdelava začetnih analiz in priporočil za sistemski pristop na področju splošnega </w:t>
      </w:r>
      <w:proofErr w:type="spellStart"/>
      <w:r w:rsidR="008948F2" w:rsidRPr="00A36939">
        <w:rPr>
          <w:rFonts w:ascii="Arial" w:hAnsi="Arial" w:cs="Arial"/>
          <w:sz w:val="20"/>
          <w:szCs w:val="20"/>
        </w:rPr>
        <w:t>douniverzitetnega</w:t>
      </w:r>
      <w:proofErr w:type="spellEnd"/>
      <w:r w:rsidR="008948F2" w:rsidRPr="00A36939">
        <w:rPr>
          <w:rFonts w:ascii="Arial" w:hAnsi="Arial" w:cs="Arial"/>
          <w:sz w:val="20"/>
          <w:szCs w:val="20"/>
        </w:rPr>
        <w:t xml:space="preserve"> izobraževanja (analiza učnih načrtov in </w:t>
      </w:r>
      <w:proofErr w:type="spellStart"/>
      <w:r w:rsidR="008948F2" w:rsidRPr="00A36939">
        <w:rPr>
          <w:rFonts w:ascii="Arial" w:hAnsi="Arial" w:cs="Arial"/>
          <w:sz w:val="20"/>
          <w:szCs w:val="20"/>
        </w:rPr>
        <w:t>kurikularnih</w:t>
      </w:r>
      <w:proofErr w:type="spellEnd"/>
      <w:r w:rsidR="008948F2" w:rsidRPr="00A36939">
        <w:rPr>
          <w:rFonts w:ascii="Arial" w:hAnsi="Arial" w:cs="Arial"/>
          <w:sz w:val="20"/>
          <w:szCs w:val="20"/>
        </w:rPr>
        <w:t xml:space="preserve"> dokume</w:t>
      </w:r>
      <w:r w:rsidR="00A36939" w:rsidRPr="00A36939">
        <w:rPr>
          <w:rFonts w:ascii="Arial" w:hAnsi="Arial" w:cs="Arial"/>
          <w:sz w:val="20"/>
          <w:szCs w:val="20"/>
        </w:rPr>
        <w:t xml:space="preserve">ntov) in izobraževanja odraslih, </w:t>
      </w:r>
      <w:r w:rsidR="008948F2" w:rsidRPr="00A36939">
        <w:rPr>
          <w:rFonts w:ascii="Arial" w:hAnsi="Arial" w:cs="Arial"/>
          <w:sz w:val="20"/>
          <w:szCs w:val="20"/>
        </w:rPr>
        <w:t xml:space="preserve">v okviru priprave osnutka Nacionalnega programa varstva okolja </w:t>
      </w:r>
      <w:r w:rsidR="00A36939" w:rsidRPr="00A36939">
        <w:rPr>
          <w:rFonts w:ascii="Arial" w:hAnsi="Arial" w:cs="Arial"/>
          <w:sz w:val="20"/>
          <w:szCs w:val="20"/>
        </w:rPr>
        <w:t xml:space="preserve">pa je bil </w:t>
      </w:r>
      <w:r w:rsidR="008948F2" w:rsidRPr="00A36939">
        <w:rPr>
          <w:rFonts w:ascii="Arial" w:hAnsi="Arial" w:cs="Arial"/>
          <w:sz w:val="20"/>
          <w:szCs w:val="20"/>
        </w:rPr>
        <w:t xml:space="preserve">izdelan okvirni pregled stanja </w:t>
      </w:r>
      <w:r w:rsidR="00A36939" w:rsidRPr="00A36939">
        <w:rPr>
          <w:rFonts w:ascii="Arial" w:hAnsi="Arial" w:cs="Arial"/>
          <w:sz w:val="20"/>
          <w:szCs w:val="20"/>
        </w:rPr>
        <w:t>s predlogi ciljev in usmeritvami</w:t>
      </w:r>
      <w:r w:rsidR="008948F2" w:rsidRPr="00A36939">
        <w:rPr>
          <w:rFonts w:ascii="Arial" w:hAnsi="Arial" w:cs="Arial"/>
          <w:sz w:val="20"/>
          <w:szCs w:val="20"/>
        </w:rPr>
        <w:t xml:space="preserve"> za področje vzgoje in izobraževanja ter usposabljanja na področju okolja (vključno s podneb</w:t>
      </w:r>
      <w:r w:rsidR="00A36939">
        <w:rPr>
          <w:rFonts w:ascii="Arial" w:hAnsi="Arial" w:cs="Arial"/>
          <w:sz w:val="20"/>
          <w:szCs w:val="20"/>
        </w:rPr>
        <w:t>nimi spremembami) do leta 2030.</w:t>
      </w:r>
    </w:p>
    <w:p w:rsidR="008948F2" w:rsidRDefault="008948F2" w:rsidP="007D20C6">
      <w:pPr>
        <w:spacing w:after="0" w:line="240" w:lineRule="auto"/>
        <w:jc w:val="both"/>
        <w:rPr>
          <w:rFonts w:ascii="Arial" w:hAnsi="Arial" w:cs="Arial"/>
          <w:sz w:val="20"/>
          <w:szCs w:val="20"/>
        </w:rPr>
      </w:pPr>
    </w:p>
    <w:p w:rsidR="00904936" w:rsidRPr="002D5D44" w:rsidRDefault="008948F2" w:rsidP="007D20C6">
      <w:pPr>
        <w:spacing w:after="0" w:line="240" w:lineRule="auto"/>
        <w:jc w:val="both"/>
        <w:rPr>
          <w:rFonts w:ascii="Arial" w:hAnsi="Arial" w:cs="Arial"/>
          <w:sz w:val="20"/>
          <w:szCs w:val="20"/>
        </w:rPr>
      </w:pPr>
      <w:r>
        <w:rPr>
          <w:rFonts w:ascii="Arial" w:hAnsi="Arial" w:cs="Arial"/>
          <w:sz w:val="20"/>
          <w:szCs w:val="20"/>
        </w:rPr>
        <w:lastRenderedPageBreak/>
        <w:t xml:space="preserve">V preteklem letu se je izvajalo več projektov </w:t>
      </w:r>
      <w:r w:rsidR="00A36939">
        <w:rPr>
          <w:rFonts w:ascii="Arial" w:hAnsi="Arial" w:cs="Arial"/>
          <w:sz w:val="20"/>
          <w:szCs w:val="20"/>
        </w:rPr>
        <w:t>nevladnih organizacij</w:t>
      </w:r>
      <w:r>
        <w:rPr>
          <w:rFonts w:ascii="Arial" w:hAnsi="Arial" w:cs="Arial"/>
          <w:sz w:val="20"/>
          <w:szCs w:val="20"/>
        </w:rPr>
        <w:t xml:space="preserve"> za ozaveščanje ter vzgojo in izobraževanje na področju podnebnih sprememb, financiranih iz Sklada za podnebne spremembe. Med drugim so</w:t>
      </w:r>
      <w:r w:rsidR="00422B17" w:rsidRPr="002D5D44">
        <w:rPr>
          <w:rFonts w:ascii="Arial" w:hAnsi="Arial" w:cs="Arial"/>
          <w:sz w:val="20"/>
          <w:szCs w:val="20"/>
        </w:rPr>
        <w:t xml:space="preserve"> se </w:t>
      </w:r>
      <w:r w:rsidR="00904936" w:rsidRPr="002D5D44">
        <w:rPr>
          <w:rFonts w:ascii="Arial" w:hAnsi="Arial" w:cs="Arial"/>
          <w:sz w:val="20"/>
          <w:szCs w:val="20"/>
        </w:rPr>
        <w:t>izvajale</w:t>
      </w:r>
      <w:r>
        <w:rPr>
          <w:rFonts w:ascii="Arial" w:hAnsi="Arial" w:cs="Arial"/>
          <w:sz w:val="20"/>
          <w:szCs w:val="20"/>
        </w:rPr>
        <w:t xml:space="preserve"> tudi</w:t>
      </w:r>
      <w:r w:rsidR="00E14DBB" w:rsidRPr="002D5D44">
        <w:rPr>
          <w:rFonts w:ascii="Arial" w:hAnsi="Arial" w:cs="Arial"/>
          <w:sz w:val="20"/>
          <w:szCs w:val="20"/>
        </w:rPr>
        <w:t xml:space="preserve"> </w:t>
      </w:r>
      <w:r w:rsidR="00904936" w:rsidRPr="002D5D44">
        <w:rPr>
          <w:rFonts w:ascii="Arial" w:hAnsi="Arial" w:cs="Arial"/>
          <w:sz w:val="20"/>
          <w:szCs w:val="20"/>
        </w:rPr>
        <w:t>naslednje aktivnosti:</w:t>
      </w:r>
    </w:p>
    <w:p w:rsidR="00904936" w:rsidRPr="002D5D44" w:rsidRDefault="00422B17" w:rsidP="00904936">
      <w:pPr>
        <w:pStyle w:val="Odstavekseznama"/>
        <w:numPr>
          <w:ilvl w:val="0"/>
          <w:numId w:val="25"/>
        </w:numPr>
        <w:spacing w:after="0" w:line="240" w:lineRule="auto"/>
        <w:jc w:val="both"/>
        <w:rPr>
          <w:rFonts w:ascii="Arial" w:hAnsi="Arial" w:cs="Arial"/>
          <w:sz w:val="20"/>
          <w:szCs w:val="20"/>
        </w:rPr>
      </w:pPr>
      <w:r w:rsidRPr="002D5D44">
        <w:rPr>
          <w:rFonts w:ascii="Arial" w:hAnsi="Arial" w:cs="Arial"/>
          <w:sz w:val="20"/>
          <w:szCs w:val="20"/>
        </w:rPr>
        <w:t xml:space="preserve">usposabljanja dimnikarjev in </w:t>
      </w:r>
      <w:r w:rsidR="00890903" w:rsidRPr="002D5D44">
        <w:rPr>
          <w:rFonts w:ascii="Arial" w:hAnsi="Arial" w:cs="Arial"/>
          <w:sz w:val="20"/>
          <w:szCs w:val="20"/>
        </w:rPr>
        <w:t>svetovalcev Energetsko svetovalne</w:t>
      </w:r>
      <w:r w:rsidRPr="002D5D44">
        <w:rPr>
          <w:rFonts w:ascii="Arial" w:hAnsi="Arial" w:cs="Arial"/>
          <w:sz w:val="20"/>
          <w:szCs w:val="20"/>
        </w:rPr>
        <w:t xml:space="preserve"> </w:t>
      </w:r>
      <w:r w:rsidR="00890903" w:rsidRPr="002D5D44">
        <w:rPr>
          <w:rFonts w:ascii="Arial" w:hAnsi="Arial" w:cs="Arial"/>
          <w:sz w:val="20"/>
          <w:szCs w:val="20"/>
        </w:rPr>
        <w:t>mreže za občane (</w:t>
      </w:r>
      <w:r w:rsidRPr="002D5D44">
        <w:rPr>
          <w:rFonts w:ascii="Arial" w:hAnsi="Arial" w:cs="Arial"/>
          <w:sz w:val="20"/>
          <w:szCs w:val="20"/>
        </w:rPr>
        <w:t>ENSVET</w:t>
      </w:r>
      <w:r w:rsidR="00890903" w:rsidRPr="002D5D44">
        <w:rPr>
          <w:rFonts w:ascii="Arial" w:hAnsi="Arial" w:cs="Arial"/>
          <w:sz w:val="20"/>
          <w:szCs w:val="20"/>
        </w:rPr>
        <w:t>)</w:t>
      </w:r>
      <w:r w:rsidRPr="002D5D44">
        <w:rPr>
          <w:rFonts w:ascii="Arial" w:hAnsi="Arial" w:cs="Arial"/>
          <w:sz w:val="20"/>
          <w:szCs w:val="20"/>
        </w:rPr>
        <w:t xml:space="preserve">, inženirjev in arhitektov za področje trajnostne gradnje, </w:t>
      </w:r>
      <w:r w:rsidR="00904936" w:rsidRPr="002D5D44">
        <w:rPr>
          <w:rFonts w:ascii="Arial" w:hAnsi="Arial" w:cs="Arial"/>
          <w:sz w:val="20"/>
          <w:szCs w:val="20"/>
        </w:rPr>
        <w:t xml:space="preserve">kmetov </w:t>
      </w:r>
      <w:r w:rsidR="009806B0" w:rsidRPr="002D5D44">
        <w:rPr>
          <w:rFonts w:ascii="Arial" w:hAnsi="Arial" w:cs="Arial"/>
          <w:sz w:val="20"/>
          <w:szCs w:val="20"/>
        </w:rPr>
        <w:t>za izvajanje ukrepov KOPOP in ekološko kmetijstvo</w:t>
      </w:r>
      <w:r w:rsidR="00904936" w:rsidRPr="002D5D44">
        <w:rPr>
          <w:rFonts w:ascii="Arial" w:hAnsi="Arial" w:cs="Arial"/>
          <w:sz w:val="20"/>
          <w:szCs w:val="20"/>
        </w:rPr>
        <w:t>;</w:t>
      </w:r>
    </w:p>
    <w:p w:rsidR="00904936" w:rsidRPr="002D5D44" w:rsidRDefault="00904936" w:rsidP="00904936">
      <w:pPr>
        <w:pStyle w:val="Odstavekseznama"/>
        <w:numPr>
          <w:ilvl w:val="0"/>
          <w:numId w:val="25"/>
        </w:numPr>
        <w:spacing w:after="0" w:line="240" w:lineRule="auto"/>
        <w:jc w:val="both"/>
        <w:rPr>
          <w:rFonts w:ascii="Arial" w:hAnsi="Arial" w:cs="Arial"/>
          <w:sz w:val="20"/>
          <w:szCs w:val="20"/>
        </w:rPr>
      </w:pPr>
      <w:r w:rsidRPr="002D5D44">
        <w:rPr>
          <w:rFonts w:ascii="Arial" w:hAnsi="Arial" w:cs="Arial"/>
          <w:sz w:val="20"/>
          <w:szCs w:val="20"/>
        </w:rPr>
        <w:t>i</w:t>
      </w:r>
      <w:r w:rsidR="009806B0" w:rsidRPr="002D5D44">
        <w:rPr>
          <w:rFonts w:ascii="Arial" w:hAnsi="Arial" w:cs="Arial"/>
          <w:sz w:val="20"/>
          <w:szCs w:val="20"/>
        </w:rPr>
        <w:t>zdana je bila informativno-oz</w:t>
      </w:r>
      <w:r w:rsidR="00557F81" w:rsidRPr="002D5D44">
        <w:rPr>
          <w:rFonts w:ascii="Arial" w:hAnsi="Arial" w:cs="Arial"/>
          <w:sz w:val="20"/>
          <w:szCs w:val="20"/>
        </w:rPr>
        <w:t>aveščevalna publikacija na temo podnebne</w:t>
      </w:r>
      <w:r w:rsidR="009806B0" w:rsidRPr="002D5D44">
        <w:rPr>
          <w:rFonts w:ascii="Arial" w:hAnsi="Arial" w:cs="Arial"/>
          <w:sz w:val="20"/>
          <w:szCs w:val="20"/>
        </w:rPr>
        <w:t xml:space="preserve"> sprememb</w:t>
      </w:r>
      <w:r w:rsidR="00557F81" w:rsidRPr="002D5D44">
        <w:rPr>
          <w:rFonts w:ascii="Arial" w:hAnsi="Arial" w:cs="Arial"/>
          <w:sz w:val="20"/>
          <w:szCs w:val="20"/>
        </w:rPr>
        <w:t>e</w:t>
      </w:r>
      <w:r w:rsidR="009806B0" w:rsidRPr="002D5D44">
        <w:rPr>
          <w:rFonts w:ascii="Arial" w:hAnsi="Arial" w:cs="Arial"/>
          <w:sz w:val="20"/>
          <w:szCs w:val="20"/>
        </w:rPr>
        <w:t xml:space="preserve"> v 21. stoletju</w:t>
      </w:r>
      <w:r w:rsidRPr="002D5D44">
        <w:rPr>
          <w:rFonts w:ascii="Arial" w:hAnsi="Arial" w:cs="Arial"/>
          <w:sz w:val="20"/>
          <w:szCs w:val="20"/>
        </w:rPr>
        <w:t>;</w:t>
      </w:r>
    </w:p>
    <w:p w:rsidR="00904936" w:rsidRPr="002D5D44" w:rsidRDefault="004E4B17" w:rsidP="00904936">
      <w:pPr>
        <w:pStyle w:val="Odstavekseznama"/>
        <w:numPr>
          <w:ilvl w:val="0"/>
          <w:numId w:val="25"/>
        </w:numPr>
        <w:spacing w:after="0" w:line="240" w:lineRule="auto"/>
        <w:jc w:val="both"/>
        <w:rPr>
          <w:rFonts w:ascii="Arial" w:hAnsi="Arial" w:cs="Arial"/>
          <w:sz w:val="20"/>
          <w:szCs w:val="20"/>
        </w:rPr>
      </w:pPr>
      <w:r>
        <w:rPr>
          <w:rFonts w:ascii="Arial" w:hAnsi="Arial" w:cs="Arial"/>
          <w:sz w:val="20"/>
          <w:szCs w:val="20"/>
        </w:rPr>
        <w:t>izdaja risanke</w:t>
      </w:r>
      <w:r w:rsidR="00557F81" w:rsidRPr="002D5D44">
        <w:rPr>
          <w:rFonts w:ascii="Arial" w:hAnsi="Arial" w:cs="Arial"/>
          <w:sz w:val="20"/>
          <w:szCs w:val="20"/>
        </w:rPr>
        <w:t xml:space="preserve"> </w:t>
      </w:r>
      <w:r w:rsidR="00904936" w:rsidRPr="002D5D44">
        <w:rPr>
          <w:rFonts w:ascii="Arial" w:hAnsi="Arial" w:cs="Arial"/>
          <w:sz w:val="20"/>
          <w:szCs w:val="20"/>
        </w:rPr>
        <w:t>za spodbujanje URE</w:t>
      </w:r>
      <w:r>
        <w:rPr>
          <w:rFonts w:ascii="Arial" w:hAnsi="Arial" w:cs="Arial"/>
          <w:sz w:val="20"/>
          <w:szCs w:val="20"/>
        </w:rPr>
        <w:t xml:space="preserve"> pri najmlajših</w:t>
      </w:r>
      <w:r w:rsidR="00904936" w:rsidRPr="002D5D44">
        <w:rPr>
          <w:rFonts w:ascii="Arial" w:hAnsi="Arial" w:cs="Arial"/>
          <w:sz w:val="20"/>
          <w:szCs w:val="20"/>
        </w:rPr>
        <w:t>;</w:t>
      </w:r>
    </w:p>
    <w:p w:rsidR="00904936" w:rsidRPr="002D5D44" w:rsidRDefault="00904936" w:rsidP="00904936">
      <w:pPr>
        <w:pStyle w:val="Odstavekseznama"/>
        <w:numPr>
          <w:ilvl w:val="0"/>
          <w:numId w:val="25"/>
        </w:numPr>
        <w:spacing w:after="0" w:line="240" w:lineRule="auto"/>
        <w:jc w:val="both"/>
        <w:rPr>
          <w:rFonts w:ascii="Arial" w:hAnsi="Arial" w:cs="Arial"/>
          <w:sz w:val="20"/>
          <w:szCs w:val="20"/>
        </w:rPr>
      </w:pPr>
      <w:r w:rsidRPr="002D5D44">
        <w:rPr>
          <w:rFonts w:ascii="Arial" w:hAnsi="Arial" w:cs="Arial"/>
          <w:sz w:val="20"/>
          <w:szCs w:val="20"/>
        </w:rPr>
        <w:t>i</w:t>
      </w:r>
      <w:r w:rsidR="009806B0" w:rsidRPr="002D5D44">
        <w:rPr>
          <w:rFonts w:ascii="Arial" w:hAnsi="Arial" w:cs="Arial"/>
          <w:sz w:val="20"/>
          <w:szCs w:val="20"/>
        </w:rPr>
        <w:t>zveden je bil vsakoletni projekt Teden mobilnosti v</w:t>
      </w:r>
      <w:r w:rsidRPr="002D5D44">
        <w:rPr>
          <w:rFonts w:ascii="Arial" w:hAnsi="Arial" w:cs="Arial"/>
          <w:sz w:val="20"/>
          <w:szCs w:val="20"/>
        </w:rPr>
        <w:t xml:space="preserve"> katerem je sodelovalo 71 občin;</w:t>
      </w:r>
    </w:p>
    <w:p w:rsidR="005F24E1" w:rsidRPr="002D5D44" w:rsidRDefault="005F24E1" w:rsidP="00904936">
      <w:pPr>
        <w:pStyle w:val="Odstavekseznama"/>
        <w:numPr>
          <w:ilvl w:val="0"/>
          <w:numId w:val="25"/>
        </w:numPr>
        <w:spacing w:after="0" w:line="240" w:lineRule="auto"/>
        <w:jc w:val="both"/>
        <w:rPr>
          <w:rFonts w:ascii="Arial" w:hAnsi="Arial" w:cs="Arial"/>
          <w:sz w:val="20"/>
          <w:szCs w:val="20"/>
        </w:rPr>
      </w:pPr>
      <w:r w:rsidRPr="002D5D44">
        <w:rPr>
          <w:rFonts w:ascii="Arial" w:hAnsi="Arial" w:cs="Arial"/>
          <w:sz w:val="20"/>
          <w:szCs w:val="20"/>
        </w:rPr>
        <w:t>začetek izvajanja</w:t>
      </w:r>
      <w:r w:rsidR="009806B0" w:rsidRPr="002D5D44">
        <w:rPr>
          <w:rFonts w:ascii="Arial" w:hAnsi="Arial" w:cs="Arial"/>
          <w:sz w:val="20"/>
          <w:szCs w:val="20"/>
        </w:rPr>
        <w:t xml:space="preserve"> projekta</w:t>
      </w:r>
      <w:r w:rsidRPr="002D5D44">
        <w:rPr>
          <w:rFonts w:ascii="Arial" w:hAnsi="Arial" w:cs="Arial"/>
          <w:sz w:val="20"/>
          <w:szCs w:val="20"/>
        </w:rPr>
        <w:t xml:space="preserve"> </w:t>
      </w:r>
      <w:r w:rsidR="009806B0" w:rsidRPr="002D5D44">
        <w:rPr>
          <w:rFonts w:ascii="Arial" w:hAnsi="Arial" w:cs="Arial"/>
          <w:sz w:val="20"/>
          <w:szCs w:val="20"/>
        </w:rPr>
        <w:t>LIFE Podnebna pot 2050</w:t>
      </w:r>
      <w:r w:rsidRPr="002D5D44">
        <w:rPr>
          <w:rFonts w:ascii="Arial" w:hAnsi="Arial" w:cs="Arial"/>
          <w:sz w:val="20"/>
          <w:szCs w:val="20"/>
        </w:rPr>
        <w:t>, ki bo pripomogel k informiranju in ozaveščenosti;</w:t>
      </w:r>
    </w:p>
    <w:p w:rsidR="005F24E1" w:rsidRPr="002D5D44" w:rsidRDefault="005F24E1" w:rsidP="00904936">
      <w:pPr>
        <w:pStyle w:val="Odstavekseznama"/>
        <w:numPr>
          <w:ilvl w:val="0"/>
          <w:numId w:val="25"/>
        </w:numPr>
        <w:spacing w:after="0" w:line="240" w:lineRule="auto"/>
        <w:jc w:val="both"/>
        <w:rPr>
          <w:rFonts w:ascii="Arial" w:hAnsi="Arial" w:cs="Arial"/>
          <w:sz w:val="20"/>
          <w:szCs w:val="20"/>
        </w:rPr>
      </w:pPr>
      <w:r w:rsidRPr="002D5D44">
        <w:rPr>
          <w:rFonts w:ascii="Arial" w:hAnsi="Arial" w:cs="Arial"/>
          <w:sz w:val="20"/>
          <w:szCs w:val="20"/>
        </w:rPr>
        <w:t>izvajanje projekta LIFE</w:t>
      </w:r>
      <w:r w:rsidR="008C03C5" w:rsidRPr="002D5D44">
        <w:rPr>
          <w:rFonts w:ascii="Arial" w:hAnsi="Arial" w:cs="Arial"/>
          <w:sz w:val="20"/>
          <w:szCs w:val="20"/>
        </w:rPr>
        <w:t xml:space="preserve"> Krepitev</w:t>
      </w:r>
      <w:r w:rsidRPr="002D5D44">
        <w:rPr>
          <w:rFonts w:ascii="Arial" w:hAnsi="Arial" w:cs="Arial"/>
          <w:sz w:val="20"/>
          <w:szCs w:val="20"/>
        </w:rPr>
        <w:t xml:space="preserve"> zmogljivosti</w:t>
      </w:r>
      <w:r w:rsidR="00557F81" w:rsidRPr="002D5D44">
        <w:rPr>
          <w:rFonts w:ascii="Arial" w:hAnsi="Arial" w:cs="Arial"/>
          <w:sz w:val="20"/>
          <w:szCs w:val="20"/>
        </w:rPr>
        <w:t>, ki je</w:t>
      </w:r>
      <w:r w:rsidR="008C03C5" w:rsidRPr="002D5D44">
        <w:rPr>
          <w:rFonts w:ascii="Arial" w:hAnsi="Arial" w:cs="Arial"/>
          <w:sz w:val="20"/>
          <w:szCs w:val="20"/>
        </w:rPr>
        <w:t xml:space="preserve"> namenjen krepitvi znanja o pripravi in vodenju pro</w:t>
      </w:r>
      <w:r w:rsidRPr="002D5D44">
        <w:rPr>
          <w:rFonts w:ascii="Arial" w:hAnsi="Arial" w:cs="Arial"/>
          <w:sz w:val="20"/>
          <w:szCs w:val="20"/>
        </w:rPr>
        <w:t>jektov iz programa LIFE, tudi s</w:t>
      </w:r>
      <w:r w:rsidR="008C03C5" w:rsidRPr="002D5D44">
        <w:rPr>
          <w:rFonts w:ascii="Arial" w:hAnsi="Arial" w:cs="Arial"/>
          <w:sz w:val="20"/>
          <w:szCs w:val="20"/>
        </w:rPr>
        <w:t xml:space="preserve"> </w:t>
      </w:r>
      <w:r w:rsidRPr="002D5D44">
        <w:rPr>
          <w:rFonts w:ascii="Arial" w:hAnsi="Arial" w:cs="Arial"/>
          <w:sz w:val="20"/>
          <w:szCs w:val="20"/>
        </w:rPr>
        <w:t>področja</w:t>
      </w:r>
      <w:r w:rsidR="008C03C5" w:rsidRPr="002D5D44">
        <w:rPr>
          <w:rFonts w:ascii="Arial" w:hAnsi="Arial" w:cs="Arial"/>
          <w:sz w:val="20"/>
          <w:szCs w:val="20"/>
        </w:rPr>
        <w:t xml:space="preserve"> podnebnih sprememb</w:t>
      </w:r>
      <w:r w:rsidRPr="002D5D44">
        <w:rPr>
          <w:rFonts w:ascii="Arial" w:hAnsi="Arial" w:cs="Arial"/>
          <w:sz w:val="20"/>
          <w:szCs w:val="20"/>
        </w:rPr>
        <w:t>;</w:t>
      </w:r>
    </w:p>
    <w:p w:rsidR="00F87775" w:rsidRDefault="005F24E1" w:rsidP="008948F2">
      <w:pPr>
        <w:pStyle w:val="Odstavekseznama"/>
        <w:numPr>
          <w:ilvl w:val="0"/>
          <w:numId w:val="25"/>
        </w:numPr>
        <w:spacing w:after="0" w:line="240" w:lineRule="auto"/>
        <w:jc w:val="both"/>
        <w:rPr>
          <w:rFonts w:ascii="Arial" w:hAnsi="Arial" w:cs="Arial"/>
          <w:sz w:val="20"/>
          <w:szCs w:val="20"/>
        </w:rPr>
      </w:pPr>
      <w:r w:rsidRPr="002D5D44">
        <w:rPr>
          <w:rFonts w:ascii="Arial" w:hAnsi="Arial" w:cs="Arial"/>
          <w:sz w:val="20"/>
          <w:szCs w:val="20"/>
        </w:rPr>
        <w:t>izvajanje</w:t>
      </w:r>
      <w:r w:rsidR="008C03C5" w:rsidRPr="002D5D44">
        <w:rPr>
          <w:rFonts w:ascii="Arial" w:hAnsi="Arial" w:cs="Arial"/>
          <w:sz w:val="20"/>
          <w:szCs w:val="20"/>
        </w:rPr>
        <w:t xml:space="preserve"> projekt</w:t>
      </w:r>
      <w:r w:rsidRPr="002D5D44">
        <w:rPr>
          <w:rFonts w:ascii="Arial" w:hAnsi="Arial" w:cs="Arial"/>
          <w:sz w:val="20"/>
          <w:szCs w:val="20"/>
        </w:rPr>
        <w:t>a</w:t>
      </w:r>
      <w:r w:rsidR="008C03C5" w:rsidRPr="002D5D44">
        <w:rPr>
          <w:rFonts w:ascii="Arial" w:hAnsi="Arial" w:cs="Arial"/>
          <w:sz w:val="20"/>
          <w:szCs w:val="20"/>
        </w:rPr>
        <w:t xml:space="preserve"> </w:t>
      </w:r>
      <w:proofErr w:type="spellStart"/>
      <w:r w:rsidR="008C03C5" w:rsidRPr="002D5D44">
        <w:rPr>
          <w:rFonts w:ascii="Arial" w:hAnsi="Arial" w:cs="Arial"/>
          <w:sz w:val="20"/>
          <w:szCs w:val="20"/>
        </w:rPr>
        <w:t>Clear</w:t>
      </w:r>
      <w:proofErr w:type="spellEnd"/>
      <w:r w:rsidR="008C03C5" w:rsidRPr="002D5D44">
        <w:rPr>
          <w:rFonts w:ascii="Arial" w:hAnsi="Arial" w:cs="Arial"/>
          <w:sz w:val="20"/>
          <w:szCs w:val="20"/>
        </w:rPr>
        <w:t xml:space="preserve"> 2.0 za spodbujanje</w:t>
      </w:r>
      <w:r w:rsidR="008948F2">
        <w:rPr>
          <w:rFonts w:ascii="Arial" w:hAnsi="Arial" w:cs="Arial"/>
          <w:sz w:val="20"/>
          <w:szCs w:val="20"/>
        </w:rPr>
        <w:t xml:space="preserve"> prehoda v </w:t>
      </w:r>
      <w:proofErr w:type="spellStart"/>
      <w:r w:rsidR="008948F2">
        <w:rPr>
          <w:rFonts w:ascii="Arial" w:hAnsi="Arial" w:cs="Arial"/>
          <w:sz w:val="20"/>
          <w:szCs w:val="20"/>
        </w:rPr>
        <w:t>nizkoogljično</w:t>
      </w:r>
      <w:proofErr w:type="spellEnd"/>
      <w:r w:rsidR="008948F2">
        <w:rPr>
          <w:rFonts w:ascii="Arial" w:hAnsi="Arial" w:cs="Arial"/>
          <w:sz w:val="20"/>
          <w:szCs w:val="20"/>
        </w:rPr>
        <w:t xml:space="preserve"> družbo.</w:t>
      </w:r>
      <w:r w:rsidR="008948F2" w:rsidRPr="002D5D44">
        <w:rPr>
          <w:rFonts w:ascii="Arial" w:hAnsi="Arial" w:cs="Arial"/>
          <w:sz w:val="20"/>
          <w:szCs w:val="20"/>
        </w:rPr>
        <w:t xml:space="preserve"> </w:t>
      </w:r>
    </w:p>
    <w:p w:rsidR="00A36939" w:rsidRDefault="00A36939" w:rsidP="003F2EBE">
      <w:pPr>
        <w:pStyle w:val="Odstavekseznama"/>
        <w:spacing w:after="0" w:line="240" w:lineRule="auto"/>
        <w:ind w:left="780"/>
        <w:jc w:val="both"/>
        <w:rPr>
          <w:rFonts w:ascii="Arial" w:hAnsi="Arial" w:cs="Arial"/>
          <w:sz w:val="20"/>
          <w:szCs w:val="20"/>
        </w:rPr>
      </w:pPr>
    </w:p>
    <w:p w:rsidR="003F2EBE" w:rsidRDefault="003F2EBE" w:rsidP="003F2EBE">
      <w:pPr>
        <w:spacing w:after="0" w:line="240" w:lineRule="auto"/>
        <w:jc w:val="both"/>
        <w:rPr>
          <w:rFonts w:ascii="Arial" w:hAnsi="Arial" w:cs="Arial"/>
          <w:sz w:val="20"/>
          <w:szCs w:val="20"/>
        </w:rPr>
      </w:pPr>
      <w:r>
        <w:rPr>
          <w:rFonts w:ascii="Arial" w:hAnsi="Arial" w:cs="Arial"/>
          <w:sz w:val="20"/>
          <w:szCs w:val="20"/>
        </w:rPr>
        <w:t xml:space="preserve">V okviru javnih razpisov za nevladne organizacije so se že začeli izvajati </w:t>
      </w:r>
      <w:r w:rsidR="002F22D0">
        <w:rPr>
          <w:rFonts w:ascii="Arial" w:hAnsi="Arial" w:cs="Arial"/>
          <w:sz w:val="20"/>
          <w:szCs w:val="20"/>
        </w:rPr>
        <w:t>tudi koraki za vzpostavitev celostnega pristopa</w:t>
      </w:r>
      <w:r>
        <w:rPr>
          <w:rFonts w:ascii="Arial" w:hAnsi="Arial" w:cs="Arial"/>
          <w:sz w:val="20"/>
          <w:szCs w:val="20"/>
        </w:rPr>
        <w:t xml:space="preserve"> na področju ozaveščanja.</w:t>
      </w:r>
    </w:p>
    <w:p w:rsidR="003F2EBE" w:rsidRDefault="003F2EBE" w:rsidP="003F2EBE">
      <w:pPr>
        <w:spacing w:after="0" w:line="240" w:lineRule="auto"/>
        <w:jc w:val="both"/>
        <w:rPr>
          <w:rFonts w:ascii="Arial" w:hAnsi="Arial" w:cs="Arial"/>
          <w:sz w:val="20"/>
          <w:szCs w:val="20"/>
        </w:rPr>
      </w:pPr>
    </w:p>
    <w:p w:rsidR="000643ED" w:rsidRDefault="000643ED" w:rsidP="000643ED">
      <w:pPr>
        <w:spacing w:after="0" w:line="240" w:lineRule="auto"/>
        <w:jc w:val="both"/>
        <w:rPr>
          <w:rFonts w:ascii="Arial" w:hAnsi="Arial" w:cs="Arial"/>
          <w:sz w:val="20"/>
          <w:szCs w:val="20"/>
        </w:rPr>
      </w:pPr>
      <w:r>
        <w:rPr>
          <w:rFonts w:ascii="Arial" w:hAnsi="Arial" w:cs="Arial"/>
          <w:sz w:val="20"/>
          <w:szCs w:val="20"/>
        </w:rPr>
        <w:t xml:space="preserve">Na področju izobraževanja se je v letu 2017 izvajalo več projektov, ki se financirajo iz Evropskega socialnega sklada  med katerimi sta podnebne spremembe naslavljala predvsem programa </w:t>
      </w:r>
      <w:r w:rsidRPr="00AA1452">
        <w:rPr>
          <w:rFonts w:ascii="Arial" w:hAnsi="Arial" w:cs="Arial"/>
          <w:sz w:val="20"/>
          <w:szCs w:val="20"/>
        </w:rPr>
        <w:t xml:space="preserve">Projektno delo z gospodarstvom in negospodarstvom v lokalnem in regionalnem okolju - Po kreativni poti do znanja </w:t>
      </w:r>
      <w:r>
        <w:rPr>
          <w:rFonts w:ascii="Arial" w:hAnsi="Arial" w:cs="Arial"/>
          <w:sz w:val="20"/>
          <w:szCs w:val="20"/>
        </w:rPr>
        <w:t>(</w:t>
      </w:r>
      <w:r w:rsidR="00F45F8B">
        <w:rPr>
          <w:rFonts w:ascii="Arial" w:hAnsi="Arial" w:cs="Arial"/>
          <w:sz w:val="20"/>
          <w:szCs w:val="20"/>
        </w:rPr>
        <w:t>v nadaljnjem besedilu</w:t>
      </w:r>
      <w:r w:rsidR="00F963ED">
        <w:rPr>
          <w:rFonts w:ascii="Arial" w:hAnsi="Arial" w:cs="Arial"/>
          <w:sz w:val="20"/>
          <w:szCs w:val="20"/>
        </w:rPr>
        <w:t xml:space="preserve">: </w:t>
      </w:r>
      <w:r>
        <w:rPr>
          <w:rFonts w:ascii="Arial" w:hAnsi="Arial" w:cs="Arial"/>
          <w:sz w:val="20"/>
          <w:szCs w:val="20"/>
        </w:rPr>
        <w:t xml:space="preserve">PKP) in </w:t>
      </w:r>
      <w:r w:rsidRPr="003D6825">
        <w:rPr>
          <w:rFonts w:ascii="Arial" w:hAnsi="Arial" w:cs="Arial"/>
          <w:sz w:val="20"/>
          <w:szCs w:val="20"/>
        </w:rPr>
        <w:t>Projektno delo z negospodarskim in neprofitnim sektorjem v lokalnem in regionalnem okolju, »Študentski inovativni projekti za družbeno korist«</w:t>
      </w:r>
      <w:r>
        <w:rPr>
          <w:rFonts w:ascii="Arial" w:hAnsi="Arial" w:cs="Arial"/>
          <w:sz w:val="20"/>
          <w:szCs w:val="20"/>
        </w:rPr>
        <w:t xml:space="preserve"> (</w:t>
      </w:r>
      <w:r w:rsidR="00F963ED">
        <w:rPr>
          <w:rFonts w:ascii="Arial" w:hAnsi="Arial" w:cs="Arial"/>
          <w:sz w:val="20"/>
          <w:szCs w:val="20"/>
        </w:rPr>
        <w:t xml:space="preserve">v nadaljnjem besedilu: </w:t>
      </w:r>
      <w:r>
        <w:rPr>
          <w:rFonts w:ascii="Arial" w:hAnsi="Arial" w:cs="Arial"/>
          <w:sz w:val="20"/>
          <w:szCs w:val="20"/>
        </w:rPr>
        <w:t xml:space="preserve">ŠIPK), ki ju izvaja Javni štipendijski, razvojni, invalidski in preživninski sklad Republike Slovenije. </w:t>
      </w:r>
      <w:r w:rsidRPr="003D6825">
        <w:rPr>
          <w:rFonts w:ascii="Arial" w:hAnsi="Arial" w:cs="Arial"/>
          <w:sz w:val="20"/>
          <w:szCs w:val="20"/>
        </w:rPr>
        <w:t xml:space="preserve">Namen </w:t>
      </w:r>
      <w:r>
        <w:rPr>
          <w:rFonts w:ascii="Arial" w:hAnsi="Arial" w:cs="Arial"/>
          <w:sz w:val="20"/>
          <w:szCs w:val="20"/>
        </w:rPr>
        <w:t xml:space="preserve">programov je </w:t>
      </w:r>
      <w:r w:rsidRPr="003D6825">
        <w:rPr>
          <w:rFonts w:ascii="Arial" w:hAnsi="Arial" w:cs="Arial"/>
          <w:sz w:val="20"/>
          <w:szCs w:val="20"/>
        </w:rPr>
        <w:t>izvajanje modelov odprtega in prožnega prehajanja med izobraževanjem in (ne)gospodarstvom oziroma lokalnim in družbenim okoljem.</w:t>
      </w:r>
      <w:r>
        <w:rPr>
          <w:rFonts w:ascii="Arial" w:hAnsi="Arial" w:cs="Arial"/>
          <w:sz w:val="20"/>
          <w:szCs w:val="20"/>
        </w:rPr>
        <w:t xml:space="preserve"> Projekte izvajajo dodiplomski in podiplomski študentje ob sodelovanju pedagoških mentorjev in delovnih mentorjev (PKP) oziroma  in strokovnih sodelavcev iz lokal</w:t>
      </w:r>
      <w:r w:rsidR="00F963ED">
        <w:rPr>
          <w:rFonts w:ascii="Arial" w:hAnsi="Arial" w:cs="Arial"/>
          <w:sz w:val="20"/>
          <w:szCs w:val="20"/>
        </w:rPr>
        <w:t>nega/regionalnega okolja (ŠIPK).</w:t>
      </w:r>
      <w:r>
        <w:rPr>
          <w:rFonts w:ascii="Arial" w:hAnsi="Arial" w:cs="Arial"/>
          <w:sz w:val="20"/>
          <w:szCs w:val="20"/>
        </w:rPr>
        <w:t xml:space="preserve"> Podnebne spremembe naslavljajo naslednji projekti:</w:t>
      </w:r>
    </w:p>
    <w:p w:rsidR="00F963ED" w:rsidRDefault="00F963ED" w:rsidP="000643ED">
      <w:pPr>
        <w:spacing w:after="0" w:line="240" w:lineRule="auto"/>
        <w:jc w:val="both"/>
        <w:rPr>
          <w:rFonts w:ascii="Arial" w:hAnsi="Arial" w:cs="Arial"/>
          <w:sz w:val="20"/>
          <w:szCs w:val="20"/>
        </w:rPr>
      </w:pPr>
    </w:p>
    <w:p w:rsidR="000643ED" w:rsidRDefault="000643ED" w:rsidP="000643ED">
      <w:pPr>
        <w:spacing w:after="0" w:line="240" w:lineRule="auto"/>
        <w:jc w:val="both"/>
        <w:rPr>
          <w:rFonts w:ascii="Arial" w:hAnsi="Arial" w:cs="Arial"/>
          <w:sz w:val="20"/>
          <w:szCs w:val="20"/>
        </w:rPr>
      </w:pPr>
      <w:r>
        <w:rPr>
          <w:rFonts w:ascii="Arial" w:hAnsi="Arial" w:cs="Arial"/>
          <w:sz w:val="20"/>
          <w:szCs w:val="20"/>
        </w:rPr>
        <w:t>V okviru programa PKP:</w:t>
      </w:r>
    </w:p>
    <w:p w:rsidR="000643ED" w:rsidRDefault="000643ED" w:rsidP="000643ED">
      <w:pPr>
        <w:pStyle w:val="Odstavekseznama"/>
        <w:numPr>
          <w:ilvl w:val="0"/>
          <w:numId w:val="30"/>
        </w:numPr>
        <w:spacing w:after="0" w:line="240" w:lineRule="auto"/>
        <w:jc w:val="both"/>
        <w:rPr>
          <w:rFonts w:ascii="Arial" w:hAnsi="Arial" w:cs="Arial"/>
          <w:sz w:val="20"/>
          <w:szCs w:val="20"/>
        </w:rPr>
      </w:pPr>
      <w:r w:rsidRPr="00AA1452">
        <w:rPr>
          <w:rFonts w:ascii="Arial" w:hAnsi="Arial" w:cs="Arial"/>
          <w:sz w:val="20"/>
          <w:szCs w:val="20"/>
        </w:rPr>
        <w:t xml:space="preserve">Ozelenjevanje kot odgovor na klimatske spremembe (ang. </w:t>
      </w:r>
      <w:proofErr w:type="spellStart"/>
      <w:r w:rsidRPr="00AA1452">
        <w:rPr>
          <w:rFonts w:ascii="Arial" w:hAnsi="Arial" w:cs="Arial"/>
          <w:sz w:val="20"/>
          <w:szCs w:val="20"/>
        </w:rPr>
        <w:t>GReen</w:t>
      </w:r>
      <w:proofErr w:type="spellEnd"/>
      <w:r w:rsidRPr="00AA1452">
        <w:rPr>
          <w:rFonts w:ascii="Arial" w:hAnsi="Arial" w:cs="Arial"/>
          <w:sz w:val="20"/>
          <w:szCs w:val="20"/>
        </w:rPr>
        <w:t xml:space="preserve"> </w:t>
      </w:r>
      <w:proofErr w:type="spellStart"/>
      <w:r w:rsidRPr="00AA1452">
        <w:rPr>
          <w:rFonts w:ascii="Arial" w:hAnsi="Arial" w:cs="Arial"/>
          <w:sz w:val="20"/>
          <w:szCs w:val="20"/>
        </w:rPr>
        <w:t>Answers</w:t>
      </w:r>
      <w:proofErr w:type="spellEnd"/>
      <w:r w:rsidRPr="00AA1452">
        <w:rPr>
          <w:rFonts w:ascii="Arial" w:hAnsi="Arial" w:cs="Arial"/>
          <w:sz w:val="20"/>
          <w:szCs w:val="20"/>
        </w:rPr>
        <w:t xml:space="preserve"> </w:t>
      </w:r>
      <w:proofErr w:type="spellStart"/>
      <w:r w:rsidRPr="00AA1452">
        <w:rPr>
          <w:rFonts w:ascii="Arial" w:hAnsi="Arial" w:cs="Arial"/>
          <w:sz w:val="20"/>
          <w:szCs w:val="20"/>
        </w:rPr>
        <w:t>CLImate</w:t>
      </w:r>
      <w:proofErr w:type="spellEnd"/>
      <w:r w:rsidRPr="00AA1452">
        <w:rPr>
          <w:rFonts w:ascii="Arial" w:hAnsi="Arial" w:cs="Arial"/>
          <w:sz w:val="20"/>
          <w:szCs w:val="20"/>
        </w:rPr>
        <w:t xml:space="preserve"> </w:t>
      </w:r>
      <w:proofErr w:type="spellStart"/>
      <w:r w:rsidRPr="00AA1452">
        <w:rPr>
          <w:rFonts w:ascii="Arial" w:hAnsi="Arial" w:cs="Arial"/>
          <w:sz w:val="20"/>
          <w:szCs w:val="20"/>
        </w:rPr>
        <w:t>change</w:t>
      </w:r>
      <w:proofErr w:type="spellEnd"/>
      <w:r w:rsidR="00562A0E">
        <w:rPr>
          <w:rFonts w:ascii="Arial" w:hAnsi="Arial" w:cs="Arial"/>
          <w:sz w:val="20"/>
          <w:szCs w:val="20"/>
        </w:rPr>
        <w:t>)</w:t>
      </w:r>
      <w:r w:rsidR="00E03A4F">
        <w:rPr>
          <w:rFonts w:ascii="Arial" w:hAnsi="Arial" w:cs="Arial"/>
          <w:sz w:val="20"/>
          <w:szCs w:val="20"/>
        </w:rPr>
        <w:t>.</w:t>
      </w:r>
    </w:p>
    <w:p w:rsidR="000643ED" w:rsidRDefault="00DA30DB" w:rsidP="000643ED">
      <w:pPr>
        <w:pStyle w:val="Odstavekseznama"/>
        <w:numPr>
          <w:ilvl w:val="0"/>
          <w:numId w:val="30"/>
        </w:numPr>
        <w:spacing w:after="0" w:line="240" w:lineRule="auto"/>
        <w:jc w:val="both"/>
        <w:rPr>
          <w:rFonts w:ascii="Arial" w:hAnsi="Arial" w:cs="Arial"/>
          <w:sz w:val="20"/>
          <w:szCs w:val="20"/>
        </w:rPr>
      </w:pPr>
      <w:r>
        <w:rPr>
          <w:rFonts w:ascii="Arial" w:hAnsi="Arial" w:cs="Arial"/>
          <w:sz w:val="20"/>
          <w:szCs w:val="20"/>
        </w:rPr>
        <w:t>N</w:t>
      </w:r>
      <w:r w:rsidR="000643ED" w:rsidRPr="00AA1452">
        <w:rPr>
          <w:rFonts w:ascii="Arial" w:hAnsi="Arial" w:cs="Arial"/>
          <w:sz w:val="20"/>
          <w:szCs w:val="20"/>
        </w:rPr>
        <w:t>apovedovanje proizvodnje sončnih elektrarn</w:t>
      </w:r>
      <w:r w:rsidR="00E03A4F">
        <w:rPr>
          <w:rFonts w:ascii="Arial" w:hAnsi="Arial" w:cs="Arial"/>
          <w:sz w:val="20"/>
          <w:szCs w:val="20"/>
        </w:rPr>
        <w:t>.</w:t>
      </w:r>
    </w:p>
    <w:p w:rsidR="000643ED" w:rsidRDefault="000643ED" w:rsidP="000643ED">
      <w:pPr>
        <w:spacing w:after="0" w:line="240" w:lineRule="auto"/>
        <w:ind w:left="720"/>
        <w:jc w:val="both"/>
        <w:rPr>
          <w:rFonts w:ascii="Arial" w:hAnsi="Arial" w:cs="Arial"/>
          <w:sz w:val="20"/>
          <w:szCs w:val="20"/>
        </w:rPr>
      </w:pPr>
    </w:p>
    <w:p w:rsidR="000643ED" w:rsidRDefault="000643ED" w:rsidP="000643ED">
      <w:pPr>
        <w:spacing w:after="0" w:line="240" w:lineRule="auto"/>
        <w:jc w:val="both"/>
        <w:rPr>
          <w:rFonts w:ascii="Arial" w:hAnsi="Arial" w:cs="Arial"/>
          <w:sz w:val="20"/>
          <w:szCs w:val="20"/>
        </w:rPr>
      </w:pPr>
      <w:r>
        <w:rPr>
          <w:rFonts w:ascii="Arial" w:hAnsi="Arial" w:cs="Arial"/>
          <w:sz w:val="20"/>
          <w:szCs w:val="20"/>
        </w:rPr>
        <w:t>V okviru programa ŠIPK:</w:t>
      </w:r>
    </w:p>
    <w:p w:rsidR="000643ED" w:rsidRDefault="000643ED" w:rsidP="000643ED">
      <w:pPr>
        <w:pStyle w:val="Odstavekseznama"/>
        <w:numPr>
          <w:ilvl w:val="0"/>
          <w:numId w:val="31"/>
        </w:numPr>
        <w:spacing w:after="0" w:line="240" w:lineRule="auto"/>
        <w:jc w:val="both"/>
        <w:rPr>
          <w:rFonts w:ascii="Arial" w:hAnsi="Arial" w:cs="Arial"/>
          <w:sz w:val="20"/>
          <w:szCs w:val="20"/>
        </w:rPr>
      </w:pPr>
      <w:r w:rsidRPr="00AA1452">
        <w:rPr>
          <w:rFonts w:ascii="Arial" w:hAnsi="Arial" w:cs="Arial"/>
          <w:sz w:val="20"/>
          <w:szCs w:val="20"/>
        </w:rPr>
        <w:t>Meritve in analiza vetrnega potenciala na območju Slovenskih goric</w:t>
      </w:r>
      <w:r w:rsidR="00F963ED">
        <w:rPr>
          <w:rFonts w:ascii="Arial" w:hAnsi="Arial" w:cs="Arial"/>
          <w:sz w:val="20"/>
          <w:szCs w:val="20"/>
        </w:rPr>
        <w:t>.</w:t>
      </w:r>
    </w:p>
    <w:p w:rsidR="000643ED" w:rsidRPr="00A30A05" w:rsidRDefault="000643ED" w:rsidP="000643ED">
      <w:pPr>
        <w:pStyle w:val="Odstavekseznama"/>
        <w:numPr>
          <w:ilvl w:val="0"/>
          <w:numId w:val="31"/>
        </w:numPr>
        <w:spacing w:after="0" w:line="240" w:lineRule="auto"/>
        <w:jc w:val="both"/>
        <w:rPr>
          <w:rFonts w:ascii="Arial" w:hAnsi="Arial" w:cs="Arial"/>
          <w:sz w:val="20"/>
          <w:szCs w:val="20"/>
        </w:rPr>
      </w:pPr>
      <w:r w:rsidRPr="00A30A05">
        <w:rPr>
          <w:rFonts w:ascii="Arial" w:hAnsi="Arial" w:cs="Arial"/>
          <w:sz w:val="20"/>
          <w:szCs w:val="20"/>
        </w:rPr>
        <w:t>Svetlobna onesnaženost na območju Pohorja z didaktičnimi aplikacijami</w:t>
      </w:r>
      <w:r w:rsidR="00F963ED">
        <w:rPr>
          <w:rFonts w:ascii="Arial" w:hAnsi="Arial" w:cs="Arial"/>
          <w:sz w:val="20"/>
          <w:szCs w:val="20"/>
        </w:rPr>
        <w:t>.</w:t>
      </w:r>
    </w:p>
    <w:p w:rsidR="009E1F43" w:rsidRDefault="009E1F43" w:rsidP="003F2EBE">
      <w:pPr>
        <w:spacing w:after="0" w:line="240" w:lineRule="auto"/>
        <w:jc w:val="both"/>
        <w:rPr>
          <w:rFonts w:ascii="Arial" w:hAnsi="Arial" w:cs="Arial"/>
          <w:sz w:val="20"/>
          <w:szCs w:val="20"/>
        </w:rPr>
      </w:pPr>
    </w:p>
    <w:p w:rsidR="009E1F43" w:rsidRPr="003F2EBE" w:rsidRDefault="009E1F43" w:rsidP="003F2EBE">
      <w:pPr>
        <w:spacing w:after="0" w:line="240" w:lineRule="auto"/>
        <w:jc w:val="both"/>
        <w:rPr>
          <w:rFonts w:ascii="Arial" w:hAnsi="Arial" w:cs="Arial"/>
          <w:sz w:val="20"/>
          <w:szCs w:val="20"/>
        </w:rPr>
      </w:pPr>
    </w:p>
    <w:p w:rsidR="00802305" w:rsidRDefault="00F87775" w:rsidP="007D20C6">
      <w:pPr>
        <w:spacing w:after="0" w:line="240" w:lineRule="auto"/>
        <w:jc w:val="both"/>
        <w:rPr>
          <w:rFonts w:ascii="Arial" w:hAnsi="Arial" w:cs="Arial"/>
          <w:sz w:val="20"/>
          <w:szCs w:val="20"/>
          <w:u w:val="single"/>
        </w:rPr>
      </w:pPr>
      <w:r w:rsidRPr="002D5D44">
        <w:rPr>
          <w:rFonts w:ascii="Arial" w:hAnsi="Arial" w:cs="Arial"/>
          <w:sz w:val="20"/>
          <w:szCs w:val="20"/>
          <w:u w:val="single"/>
        </w:rPr>
        <w:t>Priporočila</w:t>
      </w:r>
    </w:p>
    <w:p w:rsidR="009E1F43" w:rsidRPr="002D5D44" w:rsidRDefault="009E1F43" w:rsidP="007D20C6">
      <w:pPr>
        <w:spacing w:after="0" w:line="240" w:lineRule="auto"/>
        <w:jc w:val="both"/>
        <w:rPr>
          <w:rFonts w:ascii="Arial" w:hAnsi="Arial" w:cs="Arial"/>
          <w:sz w:val="20"/>
          <w:szCs w:val="20"/>
          <w:u w:val="single"/>
        </w:rPr>
      </w:pPr>
    </w:p>
    <w:p w:rsidR="00BC0EBB" w:rsidRPr="002D5D44" w:rsidRDefault="00802305" w:rsidP="007D20C6">
      <w:pPr>
        <w:spacing w:after="0" w:line="240" w:lineRule="auto"/>
        <w:jc w:val="both"/>
        <w:rPr>
          <w:rFonts w:ascii="Arial" w:hAnsi="Arial" w:cs="Arial"/>
          <w:sz w:val="20"/>
          <w:szCs w:val="20"/>
        </w:rPr>
      </w:pPr>
      <w:r w:rsidRPr="002D5D44">
        <w:rPr>
          <w:rFonts w:ascii="Arial" w:hAnsi="Arial" w:cs="Arial"/>
          <w:sz w:val="20"/>
          <w:szCs w:val="20"/>
        </w:rPr>
        <w:t>V</w:t>
      </w:r>
      <w:r w:rsidR="00D34A88" w:rsidRPr="002D5D44">
        <w:rPr>
          <w:rFonts w:ascii="Arial" w:hAnsi="Arial" w:cs="Arial"/>
          <w:sz w:val="20"/>
          <w:szCs w:val="20"/>
        </w:rPr>
        <w:t xml:space="preserve"> prihodnje </w:t>
      </w:r>
      <w:r w:rsidRPr="002D5D44">
        <w:rPr>
          <w:rFonts w:ascii="Arial" w:hAnsi="Arial" w:cs="Arial"/>
          <w:sz w:val="20"/>
          <w:szCs w:val="20"/>
        </w:rPr>
        <w:t xml:space="preserve">bo </w:t>
      </w:r>
      <w:r w:rsidR="00D34A88" w:rsidRPr="002D5D44">
        <w:rPr>
          <w:rFonts w:ascii="Arial" w:hAnsi="Arial" w:cs="Arial"/>
          <w:sz w:val="20"/>
          <w:szCs w:val="20"/>
        </w:rPr>
        <w:t xml:space="preserve">potrebno </w:t>
      </w:r>
      <w:r w:rsidR="00A36939">
        <w:rPr>
          <w:rFonts w:ascii="Arial" w:hAnsi="Arial" w:cs="Arial"/>
          <w:sz w:val="20"/>
          <w:szCs w:val="20"/>
        </w:rPr>
        <w:t>vzpostaviti</w:t>
      </w:r>
      <w:r w:rsidR="002F22D0">
        <w:rPr>
          <w:rFonts w:ascii="Arial" w:hAnsi="Arial" w:cs="Arial"/>
          <w:sz w:val="20"/>
          <w:szCs w:val="20"/>
        </w:rPr>
        <w:t>/okrepiti</w:t>
      </w:r>
      <w:r w:rsidR="00A36939">
        <w:rPr>
          <w:rFonts w:ascii="Arial" w:hAnsi="Arial" w:cs="Arial"/>
          <w:sz w:val="20"/>
          <w:szCs w:val="20"/>
        </w:rPr>
        <w:t xml:space="preserve"> celovito upravljanje</w:t>
      </w:r>
      <w:r w:rsidR="0097143B" w:rsidRPr="002D5D44">
        <w:rPr>
          <w:rFonts w:ascii="Arial" w:hAnsi="Arial" w:cs="Arial"/>
          <w:sz w:val="20"/>
          <w:szCs w:val="20"/>
        </w:rPr>
        <w:t xml:space="preserve"> </w:t>
      </w:r>
      <w:r w:rsidRPr="002D5D44">
        <w:rPr>
          <w:rFonts w:ascii="Arial" w:hAnsi="Arial" w:cs="Arial"/>
          <w:sz w:val="20"/>
          <w:szCs w:val="20"/>
        </w:rPr>
        <w:t xml:space="preserve"> tega področja, ki bo</w:t>
      </w:r>
      <w:r w:rsidR="00A52FA2" w:rsidRPr="002D5D44">
        <w:rPr>
          <w:rFonts w:ascii="Arial" w:hAnsi="Arial" w:cs="Arial"/>
          <w:sz w:val="20"/>
          <w:szCs w:val="20"/>
        </w:rPr>
        <w:t xml:space="preserve"> </w:t>
      </w:r>
      <w:r w:rsidR="0097143B" w:rsidRPr="002D5D44">
        <w:rPr>
          <w:rFonts w:ascii="Arial" w:hAnsi="Arial" w:cs="Arial"/>
          <w:sz w:val="20"/>
          <w:szCs w:val="20"/>
        </w:rPr>
        <w:t>temeljil</w:t>
      </w:r>
      <w:r w:rsidR="00A36939">
        <w:rPr>
          <w:rFonts w:ascii="Arial" w:hAnsi="Arial" w:cs="Arial"/>
          <w:sz w:val="20"/>
          <w:szCs w:val="20"/>
        </w:rPr>
        <w:t>o</w:t>
      </w:r>
      <w:r w:rsidR="00A52FA2" w:rsidRPr="002D5D44">
        <w:rPr>
          <w:rFonts w:ascii="Arial" w:hAnsi="Arial" w:cs="Arial"/>
          <w:sz w:val="20"/>
          <w:szCs w:val="20"/>
        </w:rPr>
        <w:t xml:space="preserve"> na</w:t>
      </w:r>
      <w:r w:rsidR="00A36939">
        <w:rPr>
          <w:rFonts w:ascii="Arial" w:hAnsi="Arial" w:cs="Arial"/>
          <w:sz w:val="20"/>
          <w:szCs w:val="20"/>
        </w:rPr>
        <w:t xml:space="preserve"> podrobni</w:t>
      </w:r>
      <w:r w:rsidR="00A52FA2" w:rsidRPr="002D5D44">
        <w:rPr>
          <w:rFonts w:ascii="Arial" w:hAnsi="Arial" w:cs="Arial"/>
          <w:sz w:val="20"/>
          <w:szCs w:val="20"/>
        </w:rPr>
        <w:t xml:space="preserve"> oceni potre</w:t>
      </w:r>
      <w:r w:rsidR="0097143B" w:rsidRPr="002D5D44">
        <w:rPr>
          <w:rFonts w:ascii="Arial" w:hAnsi="Arial" w:cs="Arial"/>
          <w:sz w:val="20"/>
          <w:szCs w:val="20"/>
        </w:rPr>
        <w:t xml:space="preserve">b in </w:t>
      </w:r>
      <w:r w:rsidR="00D34A88" w:rsidRPr="002D5D44">
        <w:rPr>
          <w:rFonts w:ascii="Arial" w:hAnsi="Arial" w:cs="Arial"/>
          <w:sz w:val="20"/>
          <w:szCs w:val="20"/>
        </w:rPr>
        <w:t>sistematičnem</w:t>
      </w:r>
      <w:r w:rsidR="0097143B" w:rsidRPr="002D5D44">
        <w:rPr>
          <w:rFonts w:ascii="Arial" w:hAnsi="Arial" w:cs="Arial"/>
          <w:sz w:val="20"/>
          <w:szCs w:val="20"/>
        </w:rPr>
        <w:t xml:space="preserve"> programiranju ukrepov ter spremljanju njihovih učinkov.</w:t>
      </w:r>
      <w:r w:rsidR="00A36939">
        <w:rPr>
          <w:rFonts w:ascii="Arial" w:hAnsi="Arial" w:cs="Arial"/>
          <w:sz w:val="20"/>
          <w:szCs w:val="20"/>
        </w:rPr>
        <w:t xml:space="preserve"> Zagotoviti bo potrebno izvajanje vzgoje in izobraževanja ter usposabljanja o podnebnih spremembah v okviru rednih aktivnosti teh področij. Prvi koraki k celostnemu pristopu na področju ozaveščanja</w:t>
      </w:r>
      <w:r w:rsidR="003F2EBE">
        <w:rPr>
          <w:rFonts w:ascii="Arial" w:hAnsi="Arial" w:cs="Arial"/>
          <w:sz w:val="20"/>
          <w:szCs w:val="20"/>
        </w:rPr>
        <w:t xml:space="preserve"> so se že začeli izvajati v okviru javnih razpisov za nevladne organizacije.</w:t>
      </w:r>
      <w:r w:rsidR="00A52FA2" w:rsidRPr="002D5D44">
        <w:rPr>
          <w:rFonts w:ascii="Arial" w:hAnsi="Arial" w:cs="Arial"/>
          <w:sz w:val="20"/>
          <w:szCs w:val="20"/>
        </w:rPr>
        <w:t xml:space="preserve"> </w:t>
      </w:r>
    </w:p>
    <w:p w:rsidR="00FB73E6" w:rsidRPr="002D5D44" w:rsidRDefault="00FB73E6" w:rsidP="007D20C6">
      <w:pPr>
        <w:jc w:val="both"/>
        <w:rPr>
          <w:rFonts w:ascii="Arial" w:hAnsi="Arial" w:cs="Arial"/>
          <w:b/>
          <w:sz w:val="24"/>
          <w:szCs w:val="24"/>
        </w:rPr>
      </w:pPr>
      <w:r w:rsidRPr="002D5D44">
        <w:br w:type="page"/>
      </w:r>
    </w:p>
    <w:p w:rsidR="000B7C5D" w:rsidRPr="002D5D44" w:rsidRDefault="000B7C5D" w:rsidP="006B0F9C">
      <w:pPr>
        <w:pStyle w:val="Naslov1"/>
        <w:spacing w:after="0" w:line="240" w:lineRule="auto"/>
      </w:pPr>
      <w:bookmarkStart w:id="16" w:name="_Toc531933458"/>
      <w:r w:rsidRPr="002D5D44">
        <w:lastRenderedPageBreak/>
        <w:t>Financiranje izvajanja ukrepov</w:t>
      </w:r>
      <w:bookmarkEnd w:id="16"/>
    </w:p>
    <w:p w:rsidR="006B0F9C" w:rsidRPr="002D5D44" w:rsidRDefault="006B0F9C" w:rsidP="006B0F9C">
      <w:pPr>
        <w:spacing w:after="0" w:line="240" w:lineRule="auto"/>
        <w:rPr>
          <w:rFonts w:ascii="Arial" w:hAnsi="Arial" w:cs="Arial"/>
          <w:sz w:val="20"/>
          <w:szCs w:val="20"/>
        </w:rPr>
      </w:pPr>
    </w:p>
    <w:p w:rsidR="00B55709" w:rsidRPr="002D5D44" w:rsidRDefault="004B2AED" w:rsidP="00B55709">
      <w:pPr>
        <w:spacing w:after="0" w:line="240" w:lineRule="auto"/>
        <w:jc w:val="both"/>
        <w:rPr>
          <w:rFonts w:ascii="Arial" w:hAnsi="Arial" w:cs="Arial"/>
          <w:sz w:val="20"/>
          <w:szCs w:val="20"/>
        </w:rPr>
      </w:pPr>
      <w:r>
        <w:rPr>
          <w:rFonts w:ascii="Arial" w:hAnsi="Arial" w:cs="Arial"/>
          <w:sz w:val="20"/>
          <w:szCs w:val="20"/>
        </w:rPr>
        <w:t>V</w:t>
      </w:r>
      <w:r w:rsidR="00B55709" w:rsidRPr="002D5D44">
        <w:rPr>
          <w:rFonts w:ascii="Arial" w:hAnsi="Arial" w:cs="Arial"/>
          <w:sz w:val="20"/>
          <w:szCs w:val="20"/>
        </w:rPr>
        <w:t xml:space="preserve">išina nepovratnih </w:t>
      </w:r>
      <w:r w:rsidR="00CB48C1">
        <w:rPr>
          <w:rFonts w:ascii="Arial" w:hAnsi="Arial" w:cs="Arial"/>
          <w:sz w:val="20"/>
          <w:szCs w:val="20"/>
        </w:rPr>
        <w:t xml:space="preserve">javnih </w:t>
      </w:r>
      <w:r w:rsidR="00B55709" w:rsidRPr="002D5D44">
        <w:rPr>
          <w:rFonts w:ascii="Arial" w:hAnsi="Arial" w:cs="Arial"/>
          <w:sz w:val="20"/>
          <w:szCs w:val="20"/>
        </w:rPr>
        <w:t xml:space="preserve">sredstev za spodbujanje ukrepov zmanjševanja emisij TGP v javnem sektorju, gospodinjstvih in prometu </w:t>
      </w:r>
      <w:r>
        <w:rPr>
          <w:rFonts w:ascii="Arial" w:hAnsi="Arial" w:cs="Arial"/>
          <w:sz w:val="20"/>
          <w:szCs w:val="20"/>
        </w:rPr>
        <w:t>se je v letu 2016</w:t>
      </w:r>
      <w:r w:rsidR="00B55709" w:rsidRPr="002D5D44">
        <w:rPr>
          <w:rFonts w:ascii="Arial" w:hAnsi="Arial" w:cs="Arial"/>
          <w:sz w:val="20"/>
          <w:szCs w:val="20"/>
        </w:rPr>
        <w:t xml:space="preserve"> znižala na 24,6 milijona </w:t>
      </w:r>
      <w:proofErr w:type="spellStart"/>
      <w:r w:rsidR="00B55709" w:rsidRPr="002D5D44">
        <w:rPr>
          <w:rFonts w:ascii="Arial" w:hAnsi="Arial" w:cs="Arial"/>
          <w:sz w:val="20"/>
          <w:szCs w:val="20"/>
        </w:rPr>
        <w:t>e</w:t>
      </w:r>
      <w:r w:rsidR="008C3C44">
        <w:rPr>
          <w:rFonts w:ascii="Arial" w:hAnsi="Arial" w:cs="Arial"/>
          <w:sz w:val="20"/>
          <w:szCs w:val="20"/>
        </w:rPr>
        <w:t>urov</w:t>
      </w:r>
      <w:proofErr w:type="spellEnd"/>
      <w:r>
        <w:rPr>
          <w:rFonts w:ascii="Arial" w:hAnsi="Arial" w:cs="Arial"/>
          <w:sz w:val="20"/>
          <w:szCs w:val="20"/>
        </w:rPr>
        <w:t xml:space="preserve">, kar </w:t>
      </w:r>
      <w:r w:rsidR="00B55709" w:rsidRPr="002D5D44">
        <w:rPr>
          <w:rFonts w:ascii="Arial" w:hAnsi="Arial" w:cs="Arial"/>
          <w:sz w:val="20"/>
          <w:szCs w:val="20"/>
        </w:rPr>
        <w:t xml:space="preserve"> je 52 % </w:t>
      </w:r>
      <w:r w:rsidR="008C3C44">
        <w:rPr>
          <w:rFonts w:ascii="Arial" w:hAnsi="Arial" w:cs="Arial"/>
          <w:sz w:val="20"/>
          <w:szCs w:val="20"/>
        </w:rPr>
        <w:t xml:space="preserve">sredstev </w:t>
      </w:r>
      <w:r w:rsidR="00B55709" w:rsidRPr="002D5D44">
        <w:rPr>
          <w:rFonts w:ascii="Arial" w:hAnsi="Arial" w:cs="Arial"/>
          <w:sz w:val="20"/>
          <w:szCs w:val="20"/>
        </w:rPr>
        <w:t>manj kot leta 2015</w:t>
      </w:r>
      <w:r w:rsidR="00B55709">
        <w:rPr>
          <w:rFonts w:ascii="Arial" w:hAnsi="Arial" w:cs="Arial"/>
          <w:sz w:val="20"/>
          <w:szCs w:val="20"/>
        </w:rPr>
        <w:t>.</w:t>
      </w:r>
      <w:r w:rsidR="00B55709" w:rsidRPr="002D5D44">
        <w:rPr>
          <w:rFonts w:ascii="Arial" w:hAnsi="Arial" w:cs="Arial"/>
          <w:sz w:val="20"/>
          <w:szCs w:val="20"/>
        </w:rPr>
        <w:t xml:space="preserve"> </w:t>
      </w:r>
    </w:p>
    <w:p w:rsidR="00816066" w:rsidRPr="002D5D44" w:rsidRDefault="00CB48C1" w:rsidP="006B0F9C">
      <w:pPr>
        <w:spacing w:after="0" w:line="240" w:lineRule="auto"/>
        <w:jc w:val="both"/>
        <w:rPr>
          <w:rFonts w:ascii="Arial" w:hAnsi="Arial" w:cs="Arial"/>
          <w:sz w:val="20"/>
          <w:szCs w:val="20"/>
        </w:rPr>
      </w:pPr>
      <w:r>
        <w:rPr>
          <w:rFonts w:ascii="Arial" w:hAnsi="Arial" w:cs="Arial"/>
          <w:sz w:val="20"/>
          <w:szCs w:val="20"/>
        </w:rPr>
        <w:t>S</w:t>
      </w:r>
      <w:r w:rsidR="00BF6222" w:rsidRPr="002D5D44">
        <w:rPr>
          <w:rFonts w:ascii="Arial" w:hAnsi="Arial" w:cs="Arial"/>
          <w:sz w:val="20"/>
          <w:szCs w:val="20"/>
        </w:rPr>
        <w:t>truktura virov sredstev</w:t>
      </w:r>
      <w:r>
        <w:rPr>
          <w:rFonts w:ascii="Arial" w:hAnsi="Arial" w:cs="Arial"/>
          <w:sz w:val="20"/>
          <w:szCs w:val="20"/>
        </w:rPr>
        <w:t xml:space="preserve"> za spodbujanje ukrepov zmanjševanja emisij TGP se z leti spreminja. V letu 2016</w:t>
      </w:r>
      <w:r w:rsidR="00BF6222" w:rsidRPr="002D5D44">
        <w:rPr>
          <w:rFonts w:ascii="Arial" w:hAnsi="Arial" w:cs="Arial"/>
          <w:sz w:val="20"/>
          <w:szCs w:val="20"/>
        </w:rPr>
        <w:t xml:space="preserve"> je bilo 61 % </w:t>
      </w:r>
      <w:r>
        <w:rPr>
          <w:rFonts w:ascii="Arial" w:hAnsi="Arial" w:cs="Arial"/>
          <w:sz w:val="20"/>
          <w:szCs w:val="20"/>
        </w:rPr>
        <w:t xml:space="preserve">sredstev </w:t>
      </w:r>
      <w:r w:rsidR="00BF6222" w:rsidRPr="002D5D44">
        <w:rPr>
          <w:rFonts w:ascii="Arial" w:hAnsi="Arial" w:cs="Arial"/>
          <w:sz w:val="20"/>
          <w:szCs w:val="20"/>
        </w:rPr>
        <w:t>iz prispevka za URE,</w:t>
      </w:r>
      <w:r w:rsidR="00F4699D" w:rsidRPr="002D5D44">
        <w:rPr>
          <w:rFonts w:ascii="Arial" w:hAnsi="Arial" w:cs="Arial"/>
          <w:sz w:val="20"/>
          <w:szCs w:val="20"/>
        </w:rPr>
        <w:t xml:space="preserve"> </w:t>
      </w:r>
      <w:r w:rsidR="00F4699D" w:rsidRPr="002D5D44">
        <w:rPr>
          <w:rFonts w:ascii="Arial" w:eastAsia="SimSun" w:hAnsi="Arial" w:cs="Arial"/>
          <w:sz w:val="20"/>
        </w:rPr>
        <w:t>ki se zbirajo na podlagi Uredbe o zagotavljanju prihrankov energije</w:t>
      </w:r>
      <w:r w:rsidR="00F4699D" w:rsidRPr="002D5D44">
        <w:rPr>
          <w:rFonts w:ascii="Arial" w:eastAsia="SimSun" w:hAnsi="Arial" w:cs="Arial"/>
          <w:sz w:val="20"/>
          <w:vertAlign w:val="superscript"/>
        </w:rPr>
        <w:footnoteReference w:id="24"/>
      </w:r>
      <w:r w:rsidR="00F4699D" w:rsidRPr="002D5D44">
        <w:rPr>
          <w:rFonts w:ascii="Arial" w:eastAsia="SimSun" w:hAnsi="Arial" w:cs="Arial"/>
          <w:sz w:val="20"/>
        </w:rPr>
        <w:t>,</w:t>
      </w:r>
      <w:r w:rsidR="00BF6222" w:rsidRPr="002D5D44">
        <w:rPr>
          <w:rFonts w:ascii="Arial" w:hAnsi="Arial" w:cs="Arial"/>
          <w:sz w:val="20"/>
          <w:szCs w:val="20"/>
        </w:rPr>
        <w:t xml:space="preserve"> 39 % pa iz Sklada za podnebne spremembe. V primerjavi s prejšnjimi leti</w:t>
      </w:r>
      <w:r w:rsidR="00DD60A7">
        <w:rPr>
          <w:rFonts w:ascii="Arial" w:hAnsi="Arial" w:cs="Arial"/>
          <w:sz w:val="20"/>
          <w:szCs w:val="20"/>
        </w:rPr>
        <w:t>,</w:t>
      </w:r>
      <w:r w:rsidR="00BF6222" w:rsidRPr="002D5D44">
        <w:rPr>
          <w:rFonts w:ascii="Arial" w:hAnsi="Arial" w:cs="Arial"/>
          <w:sz w:val="20"/>
          <w:szCs w:val="20"/>
        </w:rPr>
        <w:t xml:space="preserve"> </w:t>
      </w:r>
      <w:r w:rsidR="005C20D5">
        <w:rPr>
          <w:rFonts w:ascii="Arial" w:hAnsi="Arial" w:cs="Arial"/>
          <w:sz w:val="20"/>
          <w:szCs w:val="20"/>
        </w:rPr>
        <w:t xml:space="preserve">leta 2016 </w:t>
      </w:r>
      <w:r w:rsidR="00BF6222" w:rsidRPr="002D5D44">
        <w:rPr>
          <w:rFonts w:ascii="Arial" w:hAnsi="Arial" w:cs="Arial"/>
          <w:sz w:val="20"/>
          <w:szCs w:val="20"/>
        </w:rPr>
        <w:t xml:space="preserve">ni bilo spodbud </w:t>
      </w:r>
      <w:r w:rsidR="00816066" w:rsidRPr="002D5D44">
        <w:rPr>
          <w:rFonts w:ascii="Arial" w:hAnsi="Arial" w:cs="Arial"/>
          <w:sz w:val="20"/>
          <w:szCs w:val="20"/>
        </w:rPr>
        <w:t>iz sredstev evropskih in infrastrukturnih skladov, saj so bile zadnje spodbude iz prejšnje finančne perspektive izplačane leta 2015.</w:t>
      </w:r>
      <w:r w:rsidR="00BF6222" w:rsidRPr="002D5D44">
        <w:rPr>
          <w:rFonts w:ascii="Arial" w:hAnsi="Arial" w:cs="Arial"/>
          <w:sz w:val="20"/>
          <w:szCs w:val="20"/>
        </w:rPr>
        <w:t xml:space="preserve"> Prvi razpisi za sredstva iz nove finančne perspektive so bili v letu 2016 šele objavljeni.</w:t>
      </w:r>
      <w:r w:rsidR="00816066" w:rsidRPr="002D5D44">
        <w:rPr>
          <w:rFonts w:ascii="Arial" w:hAnsi="Arial" w:cs="Arial"/>
          <w:sz w:val="20"/>
          <w:szCs w:val="20"/>
        </w:rPr>
        <w:t xml:space="preserve"> </w:t>
      </w:r>
    </w:p>
    <w:p w:rsidR="00816066" w:rsidRPr="002D5D44" w:rsidRDefault="00816066" w:rsidP="006B0F9C">
      <w:pPr>
        <w:spacing w:after="0" w:line="240" w:lineRule="auto"/>
        <w:jc w:val="both"/>
        <w:rPr>
          <w:rFonts w:ascii="Arial" w:hAnsi="Arial" w:cs="Arial"/>
          <w:sz w:val="20"/>
          <w:szCs w:val="20"/>
        </w:rPr>
      </w:pPr>
    </w:p>
    <w:p w:rsidR="00816066" w:rsidRDefault="00816066" w:rsidP="006B0F9C">
      <w:pPr>
        <w:spacing w:after="0" w:line="240" w:lineRule="auto"/>
        <w:jc w:val="both"/>
        <w:rPr>
          <w:rFonts w:ascii="Arial" w:hAnsi="Arial" w:cs="Arial"/>
          <w:sz w:val="20"/>
          <w:szCs w:val="20"/>
        </w:rPr>
      </w:pPr>
    </w:p>
    <w:p w:rsidR="00084A10" w:rsidRPr="002D5D44" w:rsidRDefault="00084A10" w:rsidP="006B0F9C">
      <w:pPr>
        <w:spacing w:after="0" w:line="240" w:lineRule="auto"/>
        <w:jc w:val="both"/>
        <w:rPr>
          <w:rFonts w:ascii="Arial" w:hAnsi="Arial" w:cs="Arial"/>
          <w:sz w:val="20"/>
          <w:szCs w:val="20"/>
        </w:rPr>
      </w:pPr>
    </w:p>
    <w:p w:rsidR="004E743F" w:rsidRPr="002D5D44" w:rsidRDefault="004E743F" w:rsidP="00FB73E6">
      <w:pPr>
        <w:jc w:val="both"/>
        <w:rPr>
          <w:rFonts w:ascii="Arial" w:hAnsi="Arial" w:cs="Arial"/>
          <w:b/>
          <w:sz w:val="18"/>
          <w:szCs w:val="18"/>
        </w:rPr>
      </w:pPr>
      <w:bookmarkStart w:id="17" w:name="_Toc531933517"/>
      <w:r w:rsidRPr="002D5D44">
        <w:rPr>
          <w:rFonts w:ascii="Arial" w:hAnsi="Arial" w:cs="Arial"/>
          <w:b/>
          <w:sz w:val="18"/>
          <w:szCs w:val="18"/>
        </w:rPr>
        <w:t xml:space="preserve">Slika </w:t>
      </w:r>
      <w:r w:rsidRPr="002D5D44">
        <w:rPr>
          <w:rFonts w:ascii="Arial" w:hAnsi="Arial" w:cs="Arial"/>
          <w:b/>
          <w:i/>
          <w:sz w:val="18"/>
          <w:szCs w:val="18"/>
        </w:rPr>
        <w:fldChar w:fldCharType="begin"/>
      </w:r>
      <w:r w:rsidRPr="002D5D44">
        <w:rPr>
          <w:rFonts w:ascii="Arial" w:hAnsi="Arial" w:cs="Arial"/>
          <w:b/>
          <w:sz w:val="18"/>
          <w:szCs w:val="18"/>
        </w:rPr>
        <w:instrText xml:space="preserve"> SEQ Slika \* ARABIC </w:instrText>
      </w:r>
      <w:r w:rsidRPr="002D5D44">
        <w:rPr>
          <w:rFonts w:ascii="Arial" w:hAnsi="Arial" w:cs="Arial"/>
          <w:b/>
          <w:i/>
          <w:sz w:val="18"/>
          <w:szCs w:val="18"/>
        </w:rPr>
        <w:fldChar w:fldCharType="separate"/>
      </w:r>
      <w:r w:rsidR="00E24745">
        <w:rPr>
          <w:rFonts w:ascii="Arial" w:hAnsi="Arial" w:cs="Arial"/>
          <w:b/>
          <w:noProof/>
          <w:sz w:val="18"/>
          <w:szCs w:val="18"/>
        </w:rPr>
        <w:t>3</w:t>
      </w:r>
      <w:r w:rsidRPr="002D5D44">
        <w:rPr>
          <w:rFonts w:ascii="Arial" w:hAnsi="Arial" w:cs="Arial"/>
          <w:b/>
          <w:i/>
          <w:sz w:val="18"/>
          <w:szCs w:val="18"/>
        </w:rPr>
        <w:fldChar w:fldCharType="end"/>
      </w:r>
      <w:r w:rsidRPr="002D5D44">
        <w:rPr>
          <w:rFonts w:ascii="Arial" w:hAnsi="Arial" w:cs="Arial"/>
          <w:b/>
          <w:sz w:val="18"/>
          <w:szCs w:val="18"/>
        </w:rPr>
        <w:t>: Viri finančnih sredstev za ukrepe zmanjševanja emisij TGP v obdobju 2014</w:t>
      </w:r>
      <w:r w:rsidRPr="002D5D44">
        <w:rPr>
          <w:rFonts w:ascii="Arial" w:hAnsi="Arial" w:cs="Arial"/>
          <w:b/>
          <w:sz w:val="18"/>
          <w:szCs w:val="18"/>
        </w:rPr>
        <w:sym w:font="Symbol" w:char="F02D"/>
      </w:r>
      <w:r w:rsidRPr="002D5D44">
        <w:rPr>
          <w:rFonts w:ascii="Arial" w:hAnsi="Arial" w:cs="Arial"/>
          <w:b/>
          <w:sz w:val="18"/>
          <w:szCs w:val="18"/>
        </w:rPr>
        <w:t>2016</w:t>
      </w:r>
      <w:bookmarkEnd w:id="17"/>
    </w:p>
    <w:p w:rsidR="00FB73E6" w:rsidRPr="002D5D44" w:rsidRDefault="004E743F" w:rsidP="00FB73E6">
      <w:pPr>
        <w:jc w:val="both"/>
        <w:rPr>
          <w:rFonts w:ascii="Arial" w:hAnsi="Arial" w:cs="Arial"/>
          <w:sz w:val="20"/>
          <w:szCs w:val="20"/>
        </w:rPr>
      </w:pPr>
      <w:r w:rsidRPr="002D5D44">
        <w:rPr>
          <w:rFonts w:ascii="Arial" w:hAnsi="Arial" w:cs="Arial"/>
          <w:b/>
          <w:sz w:val="20"/>
          <w:szCs w:val="20"/>
        </w:rPr>
        <w:t xml:space="preserve"> </w:t>
      </w:r>
      <w:r w:rsidR="00FB73E6" w:rsidRPr="002D5D44">
        <w:rPr>
          <w:rFonts w:ascii="Arial" w:hAnsi="Arial" w:cs="Arial"/>
          <w:noProof/>
          <w:sz w:val="20"/>
          <w:szCs w:val="20"/>
          <w:lang w:eastAsia="sl-SI"/>
        </w:rPr>
        <w:drawing>
          <wp:inline distT="0" distB="0" distL="0" distR="0" wp14:anchorId="382394D5" wp14:editId="48117DD4">
            <wp:extent cx="4521226" cy="300037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1226" cy="3000375"/>
                    </a:xfrm>
                    <a:prstGeom prst="rect">
                      <a:avLst/>
                    </a:prstGeom>
                    <a:noFill/>
                    <a:ln>
                      <a:noFill/>
                    </a:ln>
                  </pic:spPr>
                </pic:pic>
              </a:graphicData>
            </a:graphic>
          </wp:inline>
        </w:drawing>
      </w:r>
    </w:p>
    <w:p w:rsidR="00FB73E6" w:rsidRPr="006B7E4F" w:rsidRDefault="00FB73E6" w:rsidP="00C5677D">
      <w:pPr>
        <w:pStyle w:val="Napis"/>
        <w:rPr>
          <w:rFonts w:ascii="Arial" w:hAnsi="Arial" w:cs="Arial"/>
          <w:i w:val="0"/>
          <w:sz w:val="18"/>
          <w:lang w:val="sl-SI"/>
        </w:rPr>
      </w:pPr>
      <w:r w:rsidRPr="006B7E4F">
        <w:rPr>
          <w:rFonts w:ascii="Arial" w:hAnsi="Arial" w:cs="Arial"/>
          <w:i w:val="0"/>
          <w:sz w:val="18"/>
          <w:lang w:val="sl-SI"/>
        </w:rPr>
        <w:t xml:space="preserve"> </w:t>
      </w:r>
      <w:r w:rsidR="004E743F" w:rsidRPr="006B7E4F">
        <w:rPr>
          <w:rFonts w:ascii="Arial" w:hAnsi="Arial" w:cs="Arial"/>
          <w:i w:val="0"/>
          <w:sz w:val="18"/>
          <w:lang w:val="sl-SI"/>
        </w:rPr>
        <w:t>V</w:t>
      </w:r>
      <w:r w:rsidRPr="006B7E4F">
        <w:rPr>
          <w:rFonts w:ascii="Arial" w:hAnsi="Arial" w:cs="Arial"/>
          <w:i w:val="0"/>
          <w:sz w:val="18"/>
          <w:lang w:val="sl-SI"/>
        </w:rPr>
        <w:t>ir: IJS-CEU</w:t>
      </w:r>
    </w:p>
    <w:p w:rsidR="004745C4" w:rsidRDefault="00BF6222" w:rsidP="00473733">
      <w:pPr>
        <w:jc w:val="both"/>
        <w:rPr>
          <w:rFonts w:ascii="Arial" w:hAnsi="Arial" w:cs="Arial"/>
          <w:sz w:val="20"/>
          <w:szCs w:val="20"/>
        </w:rPr>
      </w:pPr>
      <w:r w:rsidRPr="002D5D44">
        <w:rPr>
          <w:rFonts w:ascii="Arial" w:hAnsi="Arial" w:cs="Arial"/>
          <w:sz w:val="20"/>
          <w:szCs w:val="20"/>
        </w:rPr>
        <w:t>Za spodbujanje</w:t>
      </w:r>
      <w:r w:rsidR="00FB73E6" w:rsidRPr="002D5D44">
        <w:rPr>
          <w:rFonts w:ascii="Arial" w:hAnsi="Arial" w:cs="Arial"/>
          <w:sz w:val="20"/>
          <w:szCs w:val="20"/>
        </w:rPr>
        <w:t xml:space="preserve"> ukrepov v stavbah</w:t>
      </w:r>
      <w:r w:rsidRPr="002D5D44">
        <w:rPr>
          <w:rFonts w:ascii="Arial" w:hAnsi="Arial" w:cs="Arial"/>
          <w:sz w:val="20"/>
          <w:szCs w:val="20"/>
        </w:rPr>
        <w:t xml:space="preserve"> se je namenilo 89 % vseh sredstev</w:t>
      </w:r>
      <w:r w:rsidR="00FB73E6" w:rsidRPr="002D5D44">
        <w:rPr>
          <w:rFonts w:ascii="Arial" w:hAnsi="Arial" w:cs="Arial"/>
          <w:sz w:val="20"/>
          <w:szCs w:val="20"/>
        </w:rPr>
        <w:t xml:space="preserve">, </w:t>
      </w:r>
      <w:r w:rsidRPr="002D5D44">
        <w:rPr>
          <w:rFonts w:ascii="Arial" w:hAnsi="Arial" w:cs="Arial"/>
          <w:sz w:val="20"/>
          <w:szCs w:val="20"/>
        </w:rPr>
        <w:t>za spodbude v</w:t>
      </w:r>
      <w:r w:rsidR="00FB73E6" w:rsidRPr="002D5D44">
        <w:rPr>
          <w:rFonts w:ascii="Arial" w:hAnsi="Arial" w:cs="Arial"/>
          <w:sz w:val="20"/>
          <w:szCs w:val="20"/>
        </w:rPr>
        <w:t xml:space="preserve"> sektor</w:t>
      </w:r>
      <w:r w:rsidRPr="002D5D44">
        <w:rPr>
          <w:rFonts w:ascii="Arial" w:hAnsi="Arial" w:cs="Arial"/>
          <w:sz w:val="20"/>
          <w:szCs w:val="20"/>
        </w:rPr>
        <w:t xml:space="preserve">ju promet </w:t>
      </w:r>
      <w:r w:rsidR="00FB73E6" w:rsidRPr="002D5D44">
        <w:rPr>
          <w:rFonts w:ascii="Arial" w:hAnsi="Arial" w:cs="Arial"/>
          <w:sz w:val="20"/>
          <w:szCs w:val="20"/>
        </w:rPr>
        <w:t xml:space="preserve"> </w:t>
      </w:r>
      <w:r w:rsidR="00FB73E6" w:rsidRPr="004745C4">
        <w:rPr>
          <w:rFonts w:ascii="Arial" w:hAnsi="Arial" w:cs="Arial"/>
          <w:sz w:val="20"/>
          <w:szCs w:val="20"/>
        </w:rPr>
        <w:t xml:space="preserve">11%, za druge sektorje pa jih v letu 2016 ni bilo. </w:t>
      </w:r>
    </w:p>
    <w:p w:rsidR="004745C4" w:rsidRDefault="004745C4" w:rsidP="004745C4">
      <w:pPr>
        <w:spacing w:after="0" w:line="240" w:lineRule="auto"/>
        <w:rPr>
          <w:rFonts w:ascii="Arial" w:hAnsi="Arial" w:cs="Arial"/>
          <w:sz w:val="20"/>
          <w:szCs w:val="20"/>
        </w:rPr>
      </w:pPr>
    </w:p>
    <w:p w:rsidR="004745C4" w:rsidRPr="004745C4" w:rsidRDefault="004745C4" w:rsidP="004745C4">
      <w:pPr>
        <w:spacing w:after="0" w:line="240" w:lineRule="auto"/>
        <w:rPr>
          <w:rFonts w:ascii="Arial" w:hAnsi="Arial" w:cs="Arial"/>
          <w:b/>
          <w:sz w:val="20"/>
          <w:szCs w:val="20"/>
        </w:rPr>
      </w:pPr>
      <w:r w:rsidRPr="004745C4">
        <w:rPr>
          <w:rFonts w:ascii="Arial" w:hAnsi="Arial" w:cs="Arial"/>
          <w:sz w:val="20"/>
          <w:szCs w:val="20"/>
        </w:rPr>
        <w:t xml:space="preserve">V letu 2016 se je v primerjavi z letom 2015 nekoliko izboljšala učinkovitost spodbud – razmerje med prihrankom emisij TGP in sredstvi za spodbude. </w:t>
      </w:r>
    </w:p>
    <w:p w:rsidR="004745C4" w:rsidRDefault="004745C4" w:rsidP="004745C4">
      <w:pPr>
        <w:pStyle w:val="Napis"/>
        <w:rPr>
          <w:rFonts w:ascii="Arial" w:hAnsi="Arial" w:cs="Arial"/>
          <w:b/>
          <w:i w:val="0"/>
          <w:sz w:val="18"/>
          <w:lang w:val="sl-SI"/>
        </w:rPr>
      </w:pPr>
    </w:p>
    <w:p w:rsidR="005C20D5" w:rsidRDefault="005C20D5" w:rsidP="005C20D5"/>
    <w:p w:rsidR="005C20D5" w:rsidRDefault="005C20D5" w:rsidP="005C20D5"/>
    <w:p w:rsidR="005C20D5" w:rsidRDefault="005C20D5" w:rsidP="005C20D5"/>
    <w:p w:rsidR="005C20D5" w:rsidRDefault="005C20D5" w:rsidP="005C20D5"/>
    <w:p w:rsidR="005C20D5" w:rsidRPr="005C20D5" w:rsidRDefault="005C20D5" w:rsidP="005C20D5"/>
    <w:p w:rsidR="004745C4" w:rsidRPr="004745C4" w:rsidRDefault="004745C4" w:rsidP="004745C4">
      <w:pPr>
        <w:pStyle w:val="Napis"/>
        <w:rPr>
          <w:rFonts w:ascii="Arial" w:hAnsi="Arial" w:cs="Arial"/>
          <w:b/>
          <w:i w:val="0"/>
          <w:sz w:val="18"/>
          <w:lang w:val="sl-SI"/>
        </w:rPr>
      </w:pPr>
      <w:bookmarkStart w:id="18" w:name="_Toc531933518"/>
      <w:r w:rsidRPr="004745C4">
        <w:rPr>
          <w:rFonts w:ascii="Arial" w:hAnsi="Arial" w:cs="Arial"/>
          <w:b/>
          <w:i w:val="0"/>
          <w:sz w:val="18"/>
          <w:lang w:val="sl-SI"/>
        </w:rPr>
        <w:lastRenderedPageBreak/>
        <w:t xml:space="preserve">Slika </w:t>
      </w:r>
      <w:r w:rsidRPr="004745C4">
        <w:rPr>
          <w:rFonts w:ascii="Arial" w:hAnsi="Arial" w:cs="Arial"/>
          <w:b/>
          <w:i w:val="0"/>
          <w:sz w:val="18"/>
          <w:lang w:val="sl-SI"/>
        </w:rPr>
        <w:fldChar w:fldCharType="begin"/>
      </w:r>
      <w:r w:rsidRPr="004745C4">
        <w:rPr>
          <w:rFonts w:ascii="Arial" w:hAnsi="Arial" w:cs="Arial"/>
          <w:b/>
          <w:i w:val="0"/>
          <w:sz w:val="18"/>
          <w:lang w:val="sl-SI"/>
        </w:rPr>
        <w:instrText xml:space="preserve"> SEQ Slika \* ARABIC </w:instrText>
      </w:r>
      <w:r w:rsidRPr="004745C4">
        <w:rPr>
          <w:rFonts w:ascii="Arial" w:hAnsi="Arial" w:cs="Arial"/>
          <w:b/>
          <w:i w:val="0"/>
          <w:sz w:val="18"/>
          <w:lang w:val="sl-SI"/>
        </w:rPr>
        <w:fldChar w:fldCharType="separate"/>
      </w:r>
      <w:r w:rsidR="00E24745">
        <w:rPr>
          <w:rFonts w:ascii="Arial" w:hAnsi="Arial" w:cs="Arial"/>
          <w:b/>
          <w:i w:val="0"/>
          <w:noProof/>
          <w:sz w:val="18"/>
          <w:lang w:val="sl-SI"/>
        </w:rPr>
        <w:t>4</w:t>
      </w:r>
      <w:r w:rsidRPr="004745C4">
        <w:rPr>
          <w:rFonts w:ascii="Arial" w:hAnsi="Arial" w:cs="Arial"/>
          <w:b/>
          <w:i w:val="0"/>
          <w:sz w:val="18"/>
          <w:lang w:val="sl-SI"/>
        </w:rPr>
        <w:fldChar w:fldCharType="end"/>
      </w:r>
      <w:r w:rsidRPr="004745C4">
        <w:rPr>
          <w:rFonts w:ascii="Arial" w:hAnsi="Arial" w:cs="Arial"/>
          <w:b/>
          <w:i w:val="0"/>
          <w:sz w:val="18"/>
          <w:lang w:val="sl-SI"/>
        </w:rPr>
        <w:t>: Investicije in nepovratne finančne spodbude za ukrepe na področju stavb, prometa in drugih sektorjev</w:t>
      </w:r>
      <w:bookmarkEnd w:id="18"/>
    </w:p>
    <w:p w:rsidR="004745C4" w:rsidRDefault="004745C4" w:rsidP="00186075">
      <w:pPr>
        <w:jc w:val="both"/>
        <w:rPr>
          <w:rFonts w:ascii="Arial" w:hAnsi="Arial" w:cs="Arial"/>
          <w:sz w:val="20"/>
          <w:szCs w:val="20"/>
        </w:rPr>
      </w:pPr>
      <w:r>
        <w:rPr>
          <w:noProof/>
          <w:lang w:eastAsia="sl-SI"/>
        </w:rPr>
        <w:drawing>
          <wp:inline distT="0" distB="0" distL="0" distR="0" wp14:anchorId="148E256F" wp14:editId="2C3ED14B">
            <wp:extent cx="4724400" cy="3162177"/>
            <wp:effectExtent l="0" t="0" r="0" b="635"/>
            <wp:docPr id="10" name="Slika 10" descr="C:\Users\MATEJ~1.KAC\AppData\Local\Temp\notesA66910\~b47197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MATEJ~1.KAC\AppData\Local\Temp\notesA66910\~b471971.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294" cy="3162106"/>
                    </a:xfrm>
                    <a:prstGeom prst="rect">
                      <a:avLst/>
                    </a:prstGeom>
                    <a:noFill/>
                    <a:ln>
                      <a:noFill/>
                    </a:ln>
                  </pic:spPr>
                </pic:pic>
              </a:graphicData>
            </a:graphic>
          </wp:inline>
        </w:drawing>
      </w:r>
    </w:p>
    <w:p w:rsidR="004745C4" w:rsidRDefault="004745C4" w:rsidP="00186075">
      <w:pPr>
        <w:jc w:val="both"/>
        <w:rPr>
          <w:rFonts w:ascii="Arial" w:hAnsi="Arial" w:cs="Arial"/>
          <w:sz w:val="20"/>
          <w:szCs w:val="20"/>
        </w:rPr>
      </w:pPr>
      <w:r>
        <w:rPr>
          <w:rFonts w:ascii="Arial" w:hAnsi="Arial" w:cs="Arial"/>
          <w:sz w:val="20"/>
          <w:szCs w:val="20"/>
        </w:rPr>
        <w:t>Vir: IJS-CEU</w:t>
      </w:r>
    </w:p>
    <w:p w:rsidR="004745C4" w:rsidRPr="004745C4" w:rsidRDefault="004745C4" w:rsidP="004745C4">
      <w:pPr>
        <w:spacing w:after="0" w:line="240" w:lineRule="auto"/>
        <w:jc w:val="both"/>
        <w:rPr>
          <w:rFonts w:ascii="Arial" w:hAnsi="Arial" w:cs="Arial"/>
          <w:b/>
          <w:sz w:val="20"/>
          <w:szCs w:val="20"/>
        </w:rPr>
      </w:pPr>
      <w:r w:rsidRPr="004745C4">
        <w:rPr>
          <w:rFonts w:ascii="Arial" w:hAnsi="Arial" w:cs="Arial"/>
          <w:sz w:val="20"/>
          <w:szCs w:val="20"/>
        </w:rPr>
        <w:t>Razlog</w:t>
      </w:r>
      <w:r>
        <w:rPr>
          <w:rFonts w:ascii="Arial" w:hAnsi="Arial" w:cs="Arial"/>
          <w:sz w:val="20"/>
          <w:szCs w:val="20"/>
        </w:rPr>
        <w:t xml:space="preserve"> za izboljšanje učinkovitosti spodbud</w:t>
      </w:r>
      <w:r w:rsidRPr="004745C4">
        <w:rPr>
          <w:rFonts w:ascii="Arial" w:hAnsi="Arial" w:cs="Arial"/>
          <w:sz w:val="20"/>
          <w:szCs w:val="20"/>
        </w:rPr>
        <w:t xml:space="preserve"> je predvsem v tem, da leta 2016 ni bilo spodbud za ukrepe energetske prenove stavb v javnem sektorju, pri katerih so bili v preteklosti specifični stroški za spodbude najvišji, saj je bila naložba skoraj v celoti subvencionirana. Nekoliko se je zmanjšal tudi specifičen strošek za spodbujanje električnih vozil, kjer so učinki na zmanjšanje emisij TGP še vedno relativno majhni, pomen spodbujanja tega ukrepa pa je zlasti v podpori uveljavljanju nove tehnologije.</w:t>
      </w:r>
    </w:p>
    <w:p w:rsidR="00DF7598" w:rsidRPr="00186075" w:rsidRDefault="00DF7598" w:rsidP="00186075">
      <w:pPr>
        <w:jc w:val="both"/>
        <w:rPr>
          <w:rFonts w:ascii="Arial" w:hAnsi="Arial" w:cs="Arial"/>
          <w:sz w:val="20"/>
          <w:szCs w:val="20"/>
        </w:rPr>
      </w:pPr>
      <w:r w:rsidRPr="002D5D44">
        <w:br w:type="page"/>
      </w:r>
    </w:p>
    <w:p w:rsidR="00FF352B" w:rsidRPr="002D5D44" w:rsidRDefault="00C35FA4" w:rsidP="006A0598">
      <w:pPr>
        <w:pStyle w:val="Naslov1"/>
        <w:spacing w:after="0" w:line="240" w:lineRule="auto"/>
      </w:pPr>
      <w:bookmarkStart w:id="19" w:name="_Toc531933459"/>
      <w:r w:rsidRPr="002D5D44">
        <w:lastRenderedPageBreak/>
        <w:t>Zaključek</w:t>
      </w:r>
      <w:bookmarkEnd w:id="19"/>
    </w:p>
    <w:p w:rsidR="007D3AF4" w:rsidRDefault="007D3AF4" w:rsidP="006A0598">
      <w:pPr>
        <w:spacing w:after="0" w:line="240" w:lineRule="auto"/>
        <w:jc w:val="both"/>
        <w:rPr>
          <w:rFonts w:ascii="Arial" w:hAnsi="Arial" w:cs="Arial"/>
          <w:sz w:val="20"/>
          <w:szCs w:val="20"/>
        </w:rPr>
      </w:pPr>
    </w:p>
    <w:p w:rsidR="000B1A5E" w:rsidRPr="002D5D44" w:rsidRDefault="000B1A5E" w:rsidP="006A0598">
      <w:pPr>
        <w:spacing w:after="0" w:line="240" w:lineRule="auto"/>
        <w:jc w:val="both"/>
        <w:rPr>
          <w:rFonts w:ascii="Arial" w:hAnsi="Arial" w:cs="Arial"/>
          <w:sz w:val="20"/>
          <w:szCs w:val="20"/>
        </w:rPr>
      </w:pPr>
      <w:r w:rsidRPr="002D5D44">
        <w:rPr>
          <w:rFonts w:ascii="Arial" w:hAnsi="Arial" w:cs="Arial"/>
          <w:sz w:val="20"/>
          <w:szCs w:val="20"/>
        </w:rPr>
        <w:t>Trenutno ukrepanje</w:t>
      </w:r>
      <w:r w:rsidR="001835BB" w:rsidRPr="002D5D44">
        <w:rPr>
          <w:rFonts w:ascii="Arial" w:hAnsi="Arial" w:cs="Arial"/>
          <w:sz w:val="20"/>
          <w:szCs w:val="20"/>
        </w:rPr>
        <w:t xml:space="preserve"> na področju blaženja podnebnih sprememb</w:t>
      </w:r>
      <w:r w:rsidRPr="002D5D44">
        <w:rPr>
          <w:rFonts w:ascii="Arial" w:hAnsi="Arial" w:cs="Arial"/>
          <w:sz w:val="20"/>
          <w:szCs w:val="20"/>
        </w:rPr>
        <w:t xml:space="preserve"> je pomembno tudi </w:t>
      </w:r>
      <w:r w:rsidR="000240F7" w:rsidRPr="002D5D44">
        <w:rPr>
          <w:rFonts w:ascii="Arial" w:hAnsi="Arial" w:cs="Arial"/>
          <w:sz w:val="20"/>
          <w:szCs w:val="20"/>
        </w:rPr>
        <w:t>za doseganje</w:t>
      </w:r>
      <w:r w:rsidRPr="002D5D44">
        <w:rPr>
          <w:rFonts w:ascii="Arial" w:hAnsi="Arial" w:cs="Arial"/>
          <w:sz w:val="20"/>
          <w:szCs w:val="20"/>
        </w:rPr>
        <w:t xml:space="preserve"> dolgoročnejših podnebnih ciljev iz Pariškega sporazuma. V njem so cilji zmanjšanja potrebni za ohranitev naraščanja temperature precej pod 2 °C okvirno določeni. </w:t>
      </w:r>
      <w:r w:rsidR="001D4A21" w:rsidRPr="002D5D44">
        <w:rPr>
          <w:rFonts w:ascii="Arial" w:hAnsi="Arial" w:cs="Arial"/>
          <w:sz w:val="20"/>
          <w:szCs w:val="20"/>
        </w:rPr>
        <w:t>Razvitejše države bodo morale do leta 2050 svoje</w:t>
      </w:r>
      <w:r w:rsidR="00F52D1E" w:rsidRPr="002D5D44">
        <w:rPr>
          <w:rFonts w:ascii="Arial" w:hAnsi="Arial" w:cs="Arial"/>
          <w:sz w:val="20"/>
          <w:szCs w:val="20"/>
        </w:rPr>
        <w:t xml:space="preserve"> skupne</w:t>
      </w:r>
      <w:r w:rsidR="001D4A21" w:rsidRPr="002D5D44">
        <w:rPr>
          <w:rFonts w:ascii="Arial" w:hAnsi="Arial" w:cs="Arial"/>
          <w:sz w:val="20"/>
          <w:szCs w:val="20"/>
        </w:rPr>
        <w:t xml:space="preserve"> emisije TGP zmanjšati za najmanj 80–95 %. Vprašanje pa je, če bo to zadostovalo za želeno omilitev naraščanja temperature, kar pomeni, da bodo morda cilji </w:t>
      </w:r>
      <w:r w:rsidR="00CA63DC">
        <w:rPr>
          <w:rFonts w:ascii="Arial" w:hAnsi="Arial" w:cs="Arial"/>
          <w:sz w:val="20"/>
          <w:szCs w:val="20"/>
        </w:rPr>
        <w:t xml:space="preserve">zmanjšanja emisij TGP </w:t>
      </w:r>
      <w:r w:rsidR="001D4A21" w:rsidRPr="002D5D44">
        <w:rPr>
          <w:rFonts w:ascii="Arial" w:hAnsi="Arial" w:cs="Arial"/>
          <w:sz w:val="20"/>
          <w:szCs w:val="20"/>
        </w:rPr>
        <w:t xml:space="preserve">v prihodnje morali biti še bolj ambiciozni. </w:t>
      </w:r>
    </w:p>
    <w:p w:rsidR="00CF6977" w:rsidRPr="002D5D44" w:rsidRDefault="001D4A21" w:rsidP="006A0598">
      <w:pPr>
        <w:spacing w:after="0" w:line="240" w:lineRule="auto"/>
        <w:jc w:val="both"/>
        <w:rPr>
          <w:rFonts w:ascii="Arial" w:hAnsi="Arial" w:cs="Arial"/>
          <w:sz w:val="20"/>
          <w:szCs w:val="20"/>
        </w:rPr>
      </w:pPr>
      <w:r w:rsidRPr="002D5D44">
        <w:rPr>
          <w:rFonts w:ascii="Arial" w:hAnsi="Arial" w:cs="Arial"/>
          <w:sz w:val="20"/>
          <w:szCs w:val="20"/>
        </w:rPr>
        <w:t>I</w:t>
      </w:r>
      <w:r w:rsidR="00CF6977" w:rsidRPr="002D5D44">
        <w:rPr>
          <w:rFonts w:ascii="Arial" w:hAnsi="Arial" w:cs="Arial"/>
          <w:sz w:val="20"/>
          <w:szCs w:val="20"/>
        </w:rPr>
        <w:t xml:space="preserve">zpolnjevanje </w:t>
      </w:r>
      <w:r w:rsidRPr="002D5D44">
        <w:rPr>
          <w:rFonts w:ascii="Arial" w:hAnsi="Arial" w:cs="Arial"/>
          <w:sz w:val="20"/>
          <w:szCs w:val="20"/>
        </w:rPr>
        <w:t xml:space="preserve">vsaj </w:t>
      </w:r>
      <w:r w:rsidR="001835BB" w:rsidRPr="002D5D44">
        <w:rPr>
          <w:rFonts w:ascii="Arial" w:hAnsi="Arial" w:cs="Arial"/>
          <w:sz w:val="20"/>
          <w:szCs w:val="20"/>
        </w:rPr>
        <w:t xml:space="preserve">od </w:t>
      </w:r>
      <w:r w:rsidRPr="002D5D44">
        <w:rPr>
          <w:rFonts w:ascii="Arial" w:hAnsi="Arial" w:cs="Arial"/>
          <w:sz w:val="20"/>
          <w:szCs w:val="20"/>
        </w:rPr>
        <w:t>80</w:t>
      </w:r>
      <w:r w:rsidR="001835BB" w:rsidRPr="002D5D44">
        <w:rPr>
          <w:rFonts w:ascii="Arial" w:hAnsi="Arial" w:cs="Arial"/>
          <w:sz w:val="20"/>
          <w:szCs w:val="20"/>
        </w:rPr>
        <w:t xml:space="preserve"> do </w:t>
      </w:r>
      <w:r w:rsidRPr="002D5D44">
        <w:rPr>
          <w:rFonts w:ascii="Arial" w:hAnsi="Arial" w:cs="Arial"/>
          <w:sz w:val="20"/>
          <w:szCs w:val="20"/>
        </w:rPr>
        <w:t xml:space="preserve">95-odstotnega zmanjšanja emisij TGP do </w:t>
      </w:r>
      <w:r w:rsidR="004000A4" w:rsidRPr="002D5D44">
        <w:rPr>
          <w:rFonts w:ascii="Arial" w:hAnsi="Arial" w:cs="Arial"/>
          <w:sz w:val="20"/>
          <w:szCs w:val="20"/>
        </w:rPr>
        <w:t xml:space="preserve">leta </w:t>
      </w:r>
      <w:r w:rsidRPr="002D5D44">
        <w:rPr>
          <w:rFonts w:ascii="Arial" w:hAnsi="Arial" w:cs="Arial"/>
          <w:sz w:val="20"/>
          <w:szCs w:val="20"/>
        </w:rPr>
        <w:t xml:space="preserve">2050 se </w:t>
      </w:r>
      <w:r w:rsidR="00541C12" w:rsidRPr="002D5D44">
        <w:rPr>
          <w:rFonts w:ascii="Arial" w:hAnsi="Arial" w:cs="Arial"/>
          <w:sz w:val="20"/>
          <w:szCs w:val="20"/>
        </w:rPr>
        <w:t xml:space="preserve">tako </w:t>
      </w:r>
      <w:r w:rsidR="000B1A5E" w:rsidRPr="002D5D44">
        <w:rPr>
          <w:rFonts w:ascii="Arial" w:hAnsi="Arial" w:cs="Arial"/>
          <w:sz w:val="20"/>
          <w:szCs w:val="20"/>
        </w:rPr>
        <w:t>za R</w:t>
      </w:r>
      <w:r w:rsidRPr="002D5D44">
        <w:rPr>
          <w:rFonts w:ascii="Arial" w:hAnsi="Arial" w:cs="Arial"/>
          <w:sz w:val="20"/>
          <w:szCs w:val="20"/>
        </w:rPr>
        <w:t xml:space="preserve">epubliko Slovenijo </w:t>
      </w:r>
      <w:r w:rsidR="000B1A5E" w:rsidRPr="002D5D44">
        <w:rPr>
          <w:rFonts w:ascii="Arial" w:hAnsi="Arial" w:cs="Arial"/>
          <w:sz w:val="20"/>
          <w:szCs w:val="20"/>
        </w:rPr>
        <w:t xml:space="preserve">zdi </w:t>
      </w:r>
      <w:r w:rsidRPr="002D5D44">
        <w:rPr>
          <w:rFonts w:ascii="Arial" w:hAnsi="Arial" w:cs="Arial"/>
          <w:sz w:val="20"/>
          <w:szCs w:val="20"/>
        </w:rPr>
        <w:t>neizbežno,</w:t>
      </w:r>
      <w:r w:rsidR="00CF6977" w:rsidRPr="002D5D44">
        <w:rPr>
          <w:rFonts w:ascii="Arial" w:hAnsi="Arial" w:cs="Arial"/>
          <w:sz w:val="20"/>
          <w:szCs w:val="20"/>
        </w:rPr>
        <w:t xml:space="preserve"> pot za doseganje tega cilja pa še ni določena. Da bi bila ta čim bolj uspešna, bo v prihodnje med drugim potrebno še okrepiti sodelovanje, tako na horizontalni ravni med sektorji, kot tudi na vertikalni ravni od političnih </w:t>
      </w:r>
      <w:proofErr w:type="spellStart"/>
      <w:r w:rsidR="00CF6977" w:rsidRPr="002D5D44">
        <w:rPr>
          <w:rFonts w:ascii="Arial" w:hAnsi="Arial" w:cs="Arial"/>
          <w:sz w:val="20"/>
          <w:szCs w:val="20"/>
        </w:rPr>
        <w:t>odločevalcev</w:t>
      </w:r>
      <w:proofErr w:type="spellEnd"/>
      <w:r w:rsidR="00CF6977" w:rsidRPr="002D5D44">
        <w:rPr>
          <w:rFonts w:ascii="Arial" w:hAnsi="Arial" w:cs="Arial"/>
          <w:sz w:val="20"/>
          <w:szCs w:val="20"/>
        </w:rPr>
        <w:t xml:space="preserve"> do posameznikov. </w:t>
      </w:r>
      <w:r w:rsidR="004000A4" w:rsidRPr="002D5D44">
        <w:rPr>
          <w:rFonts w:ascii="Arial" w:hAnsi="Arial" w:cs="Arial"/>
          <w:sz w:val="20"/>
          <w:szCs w:val="20"/>
        </w:rPr>
        <w:t xml:space="preserve">Zgledno sodelovanje med vsemi </w:t>
      </w:r>
      <w:r w:rsidR="00CF6977" w:rsidRPr="002D5D44">
        <w:rPr>
          <w:rFonts w:ascii="Arial" w:hAnsi="Arial" w:cs="Arial"/>
          <w:sz w:val="20"/>
          <w:szCs w:val="20"/>
        </w:rPr>
        <w:t xml:space="preserve">se </w:t>
      </w:r>
      <w:r w:rsidR="001D5AB0" w:rsidRPr="002D5D44">
        <w:rPr>
          <w:rFonts w:ascii="Arial" w:hAnsi="Arial" w:cs="Arial"/>
          <w:sz w:val="20"/>
          <w:szCs w:val="20"/>
        </w:rPr>
        <w:t xml:space="preserve">torej </w:t>
      </w:r>
      <w:r w:rsidR="00CF6977" w:rsidRPr="002D5D44">
        <w:rPr>
          <w:rFonts w:ascii="Arial" w:hAnsi="Arial" w:cs="Arial"/>
          <w:sz w:val="20"/>
          <w:szCs w:val="20"/>
        </w:rPr>
        <w:t xml:space="preserve">zdi nujna osnova, da bi pot prehoda v </w:t>
      </w:r>
      <w:proofErr w:type="spellStart"/>
      <w:r w:rsidR="00CF6977" w:rsidRPr="002D5D44">
        <w:rPr>
          <w:rFonts w:ascii="Arial" w:hAnsi="Arial" w:cs="Arial"/>
          <w:sz w:val="20"/>
          <w:szCs w:val="20"/>
        </w:rPr>
        <w:t>nizkoogljično</w:t>
      </w:r>
      <w:proofErr w:type="spellEnd"/>
      <w:r w:rsidR="00CF6977" w:rsidRPr="002D5D44">
        <w:rPr>
          <w:rFonts w:ascii="Arial" w:hAnsi="Arial" w:cs="Arial"/>
          <w:sz w:val="20"/>
          <w:szCs w:val="20"/>
        </w:rPr>
        <w:t xml:space="preserve">, krožno gospodarstvo, lahko </w:t>
      </w:r>
      <w:r w:rsidR="004000A4" w:rsidRPr="002D5D44">
        <w:rPr>
          <w:rFonts w:ascii="Arial" w:hAnsi="Arial" w:cs="Arial"/>
          <w:sz w:val="20"/>
          <w:szCs w:val="20"/>
        </w:rPr>
        <w:t>postala gospodarska priložnost in hkrati tudi</w:t>
      </w:r>
      <w:r w:rsidR="00CF6977" w:rsidRPr="002D5D44">
        <w:rPr>
          <w:rFonts w:ascii="Arial" w:hAnsi="Arial" w:cs="Arial"/>
          <w:sz w:val="20"/>
          <w:szCs w:val="20"/>
        </w:rPr>
        <w:t xml:space="preserve"> priložnost za trajnostni razvoj Slovenije. </w:t>
      </w:r>
      <w:r w:rsidR="000D3E0A">
        <w:rPr>
          <w:rFonts w:ascii="Arial" w:hAnsi="Arial" w:cs="Arial"/>
          <w:sz w:val="20"/>
          <w:szCs w:val="20"/>
        </w:rPr>
        <w:t xml:space="preserve">To bo potrebno </w:t>
      </w:r>
      <w:r w:rsidR="00D834C4">
        <w:rPr>
          <w:rFonts w:ascii="Arial" w:hAnsi="Arial" w:cs="Arial"/>
          <w:sz w:val="20"/>
          <w:szCs w:val="20"/>
        </w:rPr>
        <w:t>upoštevati</w:t>
      </w:r>
      <w:r w:rsidR="000D3E0A">
        <w:rPr>
          <w:rFonts w:ascii="Arial" w:hAnsi="Arial" w:cs="Arial"/>
          <w:sz w:val="20"/>
          <w:szCs w:val="20"/>
        </w:rPr>
        <w:t xml:space="preserve"> že v okviru pripravljanja </w:t>
      </w:r>
      <w:r w:rsidR="00FF37EA">
        <w:rPr>
          <w:rFonts w:ascii="Arial" w:hAnsi="Arial" w:cs="Arial"/>
          <w:sz w:val="20"/>
          <w:szCs w:val="20"/>
        </w:rPr>
        <w:t>celovitega n</w:t>
      </w:r>
      <w:r w:rsidR="00546CB9">
        <w:rPr>
          <w:rFonts w:ascii="Arial" w:hAnsi="Arial" w:cs="Arial"/>
          <w:sz w:val="20"/>
          <w:szCs w:val="20"/>
        </w:rPr>
        <w:t>acionalnega energetsko podnebnega načrta in dolgoročne strategije,</w:t>
      </w:r>
      <w:r w:rsidR="00472827">
        <w:rPr>
          <w:rFonts w:ascii="Arial" w:hAnsi="Arial" w:cs="Arial"/>
          <w:sz w:val="20"/>
          <w:szCs w:val="20"/>
        </w:rPr>
        <w:t xml:space="preserve"> </w:t>
      </w:r>
      <w:r w:rsidR="00014166">
        <w:rPr>
          <w:rFonts w:ascii="Arial" w:hAnsi="Arial" w:cs="Arial"/>
          <w:sz w:val="20"/>
          <w:szCs w:val="20"/>
        </w:rPr>
        <w:t xml:space="preserve">ki ju bo potrebno </w:t>
      </w:r>
      <w:r w:rsidR="00546CB9">
        <w:rPr>
          <w:rFonts w:ascii="Arial" w:hAnsi="Arial" w:cs="Arial"/>
          <w:sz w:val="20"/>
          <w:szCs w:val="20"/>
        </w:rPr>
        <w:t>pr</w:t>
      </w:r>
      <w:r w:rsidR="00FF37EA">
        <w:rPr>
          <w:rFonts w:ascii="Arial" w:hAnsi="Arial" w:cs="Arial"/>
          <w:sz w:val="20"/>
          <w:szCs w:val="20"/>
        </w:rPr>
        <w:t xml:space="preserve">ipraviti do konca leta 2019. </w:t>
      </w:r>
    </w:p>
    <w:p w:rsidR="0022604A" w:rsidRPr="002D5D44" w:rsidRDefault="0022604A">
      <w:r w:rsidRPr="002D5D44">
        <w:br w:type="page"/>
      </w:r>
    </w:p>
    <w:p w:rsidR="00CF6977" w:rsidRPr="002D5D44" w:rsidRDefault="0022604A" w:rsidP="0022604A">
      <w:pPr>
        <w:pStyle w:val="Naslov1"/>
        <w:spacing w:after="0" w:line="240" w:lineRule="auto"/>
      </w:pPr>
      <w:bookmarkStart w:id="20" w:name="_Toc531933460"/>
      <w:r w:rsidRPr="002D5D44">
        <w:lastRenderedPageBreak/>
        <w:t>Seznam slik</w:t>
      </w:r>
      <w:bookmarkEnd w:id="20"/>
    </w:p>
    <w:p w:rsidR="00685B75" w:rsidRPr="002D5D44" w:rsidRDefault="00685B75" w:rsidP="00685B75">
      <w:pPr>
        <w:spacing w:after="0" w:line="240" w:lineRule="auto"/>
        <w:rPr>
          <w:rFonts w:ascii="Arial" w:hAnsi="Arial" w:cs="Arial"/>
          <w:sz w:val="20"/>
          <w:szCs w:val="20"/>
        </w:rPr>
      </w:pPr>
    </w:p>
    <w:p w:rsidR="001B5AE6" w:rsidRPr="001B5AE6" w:rsidRDefault="00685B75">
      <w:pPr>
        <w:pStyle w:val="Kazaloslik"/>
        <w:tabs>
          <w:tab w:val="left" w:pos="1100"/>
          <w:tab w:val="right" w:leader="dot" w:pos="9062"/>
        </w:tabs>
        <w:rPr>
          <w:rFonts w:asciiTheme="minorHAnsi" w:eastAsiaTheme="minorEastAsia" w:hAnsiTheme="minorHAnsi"/>
          <w:noProof/>
          <w:sz w:val="22"/>
          <w:lang w:eastAsia="sl-SI"/>
        </w:rPr>
      </w:pPr>
      <w:r w:rsidRPr="001B5AE6">
        <w:rPr>
          <w:rFonts w:cs="Arial"/>
          <w:szCs w:val="20"/>
        </w:rPr>
        <w:fldChar w:fldCharType="begin"/>
      </w:r>
      <w:r w:rsidRPr="001B5AE6">
        <w:rPr>
          <w:rFonts w:cs="Arial"/>
          <w:szCs w:val="20"/>
        </w:rPr>
        <w:instrText xml:space="preserve"> TOC \h \z \c "Slika" </w:instrText>
      </w:r>
      <w:r w:rsidRPr="001B5AE6">
        <w:rPr>
          <w:rFonts w:cs="Arial"/>
          <w:szCs w:val="20"/>
        </w:rPr>
        <w:fldChar w:fldCharType="separate"/>
      </w:r>
      <w:hyperlink w:anchor="_Toc531933515" w:history="1">
        <w:r w:rsidR="001B5AE6" w:rsidRPr="001B5AE6">
          <w:rPr>
            <w:rStyle w:val="Hiperpovezava"/>
            <w:rFonts w:cs="Arial"/>
            <w:noProof/>
          </w:rPr>
          <w:t>Slika 1:</w:t>
        </w:r>
        <w:r w:rsidR="001B5AE6" w:rsidRPr="001B5AE6">
          <w:rPr>
            <w:rFonts w:asciiTheme="minorHAnsi" w:eastAsiaTheme="minorEastAsia" w:hAnsiTheme="minorHAnsi"/>
            <w:noProof/>
            <w:sz w:val="22"/>
            <w:lang w:eastAsia="sl-SI"/>
          </w:rPr>
          <w:tab/>
        </w:r>
        <w:r w:rsidR="001B5AE6" w:rsidRPr="001B5AE6">
          <w:rPr>
            <w:rStyle w:val="Hiperpovezava"/>
            <w:rFonts w:cs="Arial"/>
            <w:noProof/>
          </w:rPr>
          <w:t>Gibanje emisij iz ESD sektorjev v obdobju 2005−2016 v primerjavi z gibanjem emisij po ciljni trajektoriji v obdobju 2013−2020 preračunano na emisije iz leta 2005</w:t>
        </w:r>
        <w:r w:rsidR="001B5AE6" w:rsidRPr="001B5AE6">
          <w:rPr>
            <w:noProof/>
            <w:webHidden/>
          </w:rPr>
          <w:tab/>
        </w:r>
        <w:r w:rsidR="001B5AE6" w:rsidRPr="001B5AE6">
          <w:rPr>
            <w:noProof/>
            <w:webHidden/>
          </w:rPr>
          <w:fldChar w:fldCharType="begin"/>
        </w:r>
        <w:r w:rsidR="001B5AE6" w:rsidRPr="001B5AE6">
          <w:rPr>
            <w:noProof/>
            <w:webHidden/>
          </w:rPr>
          <w:instrText xml:space="preserve"> PAGEREF _Toc531933515 \h </w:instrText>
        </w:r>
        <w:r w:rsidR="001B5AE6" w:rsidRPr="001B5AE6">
          <w:rPr>
            <w:noProof/>
            <w:webHidden/>
          </w:rPr>
        </w:r>
        <w:r w:rsidR="001B5AE6" w:rsidRPr="001B5AE6">
          <w:rPr>
            <w:noProof/>
            <w:webHidden/>
          </w:rPr>
          <w:fldChar w:fldCharType="separate"/>
        </w:r>
        <w:r w:rsidR="001B5AE6" w:rsidRPr="001B5AE6">
          <w:rPr>
            <w:noProof/>
            <w:webHidden/>
          </w:rPr>
          <w:t>3</w:t>
        </w:r>
        <w:r w:rsidR="001B5AE6" w:rsidRPr="001B5AE6">
          <w:rPr>
            <w:noProof/>
            <w:webHidden/>
          </w:rPr>
          <w:fldChar w:fldCharType="end"/>
        </w:r>
      </w:hyperlink>
    </w:p>
    <w:p w:rsidR="001B5AE6" w:rsidRPr="001B5AE6" w:rsidRDefault="000730B6">
      <w:pPr>
        <w:pStyle w:val="Kazaloslik"/>
        <w:tabs>
          <w:tab w:val="left" w:pos="1100"/>
          <w:tab w:val="right" w:leader="dot" w:pos="9062"/>
        </w:tabs>
        <w:rPr>
          <w:rFonts w:asciiTheme="minorHAnsi" w:eastAsiaTheme="minorEastAsia" w:hAnsiTheme="minorHAnsi"/>
          <w:noProof/>
          <w:sz w:val="22"/>
          <w:lang w:eastAsia="sl-SI"/>
        </w:rPr>
      </w:pPr>
      <w:hyperlink w:anchor="_Toc531933516" w:history="1">
        <w:r w:rsidR="001B5AE6" w:rsidRPr="001B5AE6">
          <w:rPr>
            <w:rStyle w:val="Hiperpovezava"/>
            <w:rFonts w:cs="Arial"/>
            <w:noProof/>
          </w:rPr>
          <w:t>Slika 2:</w:t>
        </w:r>
        <w:r w:rsidR="001B5AE6" w:rsidRPr="001B5AE6">
          <w:rPr>
            <w:rFonts w:asciiTheme="minorHAnsi" w:eastAsiaTheme="minorEastAsia" w:hAnsiTheme="minorHAnsi"/>
            <w:noProof/>
            <w:sz w:val="22"/>
            <w:lang w:eastAsia="sl-SI"/>
          </w:rPr>
          <w:tab/>
        </w:r>
        <w:r w:rsidR="001B5AE6" w:rsidRPr="001B5AE6">
          <w:rPr>
            <w:rStyle w:val="Hiperpovezava"/>
            <w:rFonts w:cs="Arial"/>
            <w:noProof/>
          </w:rPr>
          <w:t>Struktura emisij TGP po sektorjih ESD v letu 2016</w:t>
        </w:r>
        <w:r w:rsidR="001B5AE6" w:rsidRPr="001B5AE6">
          <w:rPr>
            <w:noProof/>
            <w:webHidden/>
          </w:rPr>
          <w:tab/>
        </w:r>
        <w:r w:rsidR="001B5AE6" w:rsidRPr="001B5AE6">
          <w:rPr>
            <w:noProof/>
            <w:webHidden/>
          </w:rPr>
          <w:fldChar w:fldCharType="begin"/>
        </w:r>
        <w:r w:rsidR="001B5AE6" w:rsidRPr="001B5AE6">
          <w:rPr>
            <w:noProof/>
            <w:webHidden/>
          </w:rPr>
          <w:instrText xml:space="preserve"> PAGEREF _Toc531933516 \h </w:instrText>
        </w:r>
        <w:r w:rsidR="001B5AE6" w:rsidRPr="001B5AE6">
          <w:rPr>
            <w:noProof/>
            <w:webHidden/>
          </w:rPr>
        </w:r>
        <w:r w:rsidR="001B5AE6" w:rsidRPr="001B5AE6">
          <w:rPr>
            <w:noProof/>
            <w:webHidden/>
          </w:rPr>
          <w:fldChar w:fldCharType="separate"/>
        </w:r>
        <w:r w:rsidR="001B5AE6" w:rsidRPr="001B5AE6">
          <w:rPr>
            <w:noProof/>
            <w:webHidden/>
          </w:rPr>
          <w:t>4</w:t>
        </w:r>
        <w:r w:rsidR="001B5AE6" w:rsidRPr="001B5AE6">
          <w:rPr>
            <w:noProof/>
            <w:webHidden/>
          </w:rPr>
          <w:fldChar w:fldCharType="end"/>
        </w:r>
      </w:hyperlink>
    </w:p>
    <w:p w:rsidR="001B5AE6" w:rsidRPr="001B5AE6" w:rsidRDefault="000730B6">
      <w:pPr>
        <w:pStyle w:val="Kazaloslik"/>
        <w:tabs>
          <w:tab w:val="right" w:leader="dot" w:pos="9062"/>
        </w:tabs>
        <w:rPr>
          <w:rFonts w:asciiTheme="minorHAnsi" w:eastAsiaTheme="minorEastAsia" w:hAnsiTheme="minorHAnsi"/>
          <w:noProof/>
          <w:sz w:val="22"/>
          <w:lang w:eastAsia="sl-SI"/>
        </w:rPr>
      </w:pPr>
      <w:hyperlink w:anchor="_Toc531933517" w:history="1">
        <w:r w:rsidR="001B5AE6" w:rsidRPr="001B5AE6">
          <w:rPr>
            <w:rStyle w:val="Hiperpovezava"/>
            <w:rFonts w:cs="Arial"/>
            <w:noProof/>
          </w:rPr>
          <w:t>Slika 3: Viri finančnih sredstev za ukrepe zmanjševanja emisij TGP v obdobju 2014</w:t>
        </w:r>
        <w:r w:rsidR="001B5AE6" w:rsidRPr="001B5AE6">
          <w:rPr>
            <w:rStyle w:val="Hiperpovezava"/>
            <w:rFonts w:cs="Arial"/>
            <w:noProof/>
            <w:sz w:val="18"/>
            <w:szCs w:val="18"/>
          </w:rPr>
          <w:sym w:font="Symbol" w:char="F02D"/>
        </w:r>
        <w:r w:rsidR="001B5AE6" w:rsidRPr="001B5AE6">
          <w:rPr>
            <w:rStyle w:val="Hiperpovezava"/>
            <w:rFonts w:cs="Arial"/>
            <w:noProof/>
          </w:rPr>
          <w:t>2016</w:t>
        </w:r>
        <w:r w:rsidR="001B5AE6" w:rsidRPr="001B5AE6">
          <w:rPr>
            <w:noProof/>
            <w:webHidden/>
          </w:rPr>
          <w:tab/>
        </w:r>
        <w:r w:rsidR="001B5AE6" w:rsidRPr="001B5AE6">
          <w:rPr>
            <w:noProof/>
            <w:webHidden/>
          </w:rPr>
          <w:fldChar w:fldCharType="begin"/>
        </w:r>
        <w:r w:rsidR="001B5AE6" w:rsidRPr="001B5AE6">
          <w:rPr>
            <w:noProof/>
            <w:webHidden/>
          </w:rPr>
          <w:instrText xml:space="preserve"> PAGEREF _Toc531933517 \h </w:instrText>
        </w:r>
        <w:r w:rsidR="001B5AE6" w:rsidRPr="001B5AE6">
          <w:rPr>
            <w:noProof/>
            <w:webHidden/>
          </w:rPr>
        </w:r>
        <w:r w:rsidR="001B5AE6" w:rsidRPr="001B5AE6">
          <w:rPr>
            <w:noProof/>
            <w:webHidden/>
          </w:rPr>
          <w:fldChar w:fldCharType="separate"/>
        </w:r>
        <w:r w:rsidR="001B5AE6" w:rsidRPr="001B5AE6">
          <w:rPr>
            <w:noProof/>
            <w:webHidden/>
          </w:rPr>
          <w:t>16</w:t>
        </w:r>
        <w:r w:rsidR="001B5AE6" w:rsidRPr="001B5AE6">
          <w:rPr>
            <w:noProof/>
            <w:webHidden/>
          </w:rPr>
          <w:fldChar w:fldCharType="end"/>
        </w:r>
      </w:hyperlink>
    </w:p>
    <w:p w:rsidR="001B5AE6" w:rsidRPr="001B5AE6" w:rsidRDefault="000730B6">
      <w:pPr>
        <w:pStyle w:val="Kazaloslik"/>
        <w:tabs>
          <w:tab w:val="right" w:leader="dot" w:pos="9062"/>
        </w:tabs>
        <w:rPr>
          <w:rFonts w:asciiTheme="minorHAnsi" w:eastAsiaTheme="minorEastAsia" w:hAnsiTheme="minorHAnsi"/>
          <w:noProof/>
          <w:sz w:val="22"/>
          <w:lang w:eastAsia="sl-SI"/>
        </w:rPr>
      </w:pPr>
      <w:hyperlink w:anchor="_Toc531933518" w:history="1">
        <w:r w:rsidR="001B5AE6" w:rsidRPr="001B5AE6">
          <w:rPr>
            <w:rStyle w:val="Hiperpovezava"/>
            <w:rFonts w:cs="Arial"/>
            <w:noProof/>
          </w:rPr>
          <w:t>Slika 4: Investicije in nepovratne finančne spodbude za ukrepe na področju stavb, prometa in drugih sektorjev</w:t>
        </w:r>
        <w:r w:rsidR="001B5AE6" w:rsidRPr="001B5AE6">
          <w:rPr>
            <w:noProof/>
            <w:webHidden/>
          </w:rPr>
          <w:tab/>
        </w:r>
        <w:r w:rsidR="001B5AE6" w:rsidRPr="001B5AE6">
          <w:rPr>
            <w:noProof/>
            <w:webHidden/>
          </w:rPr>
          <w:fldChar w:fldCharType="begin"/>
        </w:r>
        <w:r w:rsidR="001B5AE6" w:rsidRPr="001B5AE6">
          <w:rPr>
            <w:noProof/>
            <w:webHidden/>
          </w:rPr>
          <w:instrText xml:space="preserve"> PAGEREF _Toc531933518 \h </w:instrText>
        </w:r>
        <w:r w:rsidR="001B5AE6" w:rsidRPr="001B5AE6">
          <w:rPr>
            <w:noProof/>
            <w:webHidden/>
          </w:rPr>
        </w:r>
        <w:r w:rsidR="001B5AE6" w:rsidRPr="001B5AE6">
          <w:rPr>
            <w:noProof/>
            <w:webHidden/>
          </w:rPr>
          <w:fldChar w:fldCharType="separate"/>
        </w:r>
        <w:r w:rsidR="001B5AE6" w:rsidRPr="001B5AE6">
          <w:rPr>
            <w:noProof/>
            <w:webHidden/>
          </w:rPr>
          <w:t>17</w:t>
        </w:r>
        <w:r w:rsidR="001B5AE6" w:rsidRPr="001B5AE6">
          <w:rPr>
            <w:noProof/>
            <w:webHidden/>
          </w:rPr>
          <w:fldChar w:fldCharType="end"/>
        </w:r>
      </w:hyperlink>
    </w:p>
    <w:p w:rsidR="0022604A" w:rsidRPr="002D5D44" w:rsidRDefault="00685B75" w:rsidP="00685B75">
      <w:pPr>
        <w:spacing w:after="0" w:line="240" w:lineRule="auto"/>
        <w:rPr>
          <w:rFonts w:ascii="Arial" w:hAnsi="Arial" w:cs="Arial"/>
          <w:sz w:val="20"/>
          <w:szCs w:val="20"/>
        </w:rPr>
      </w:pPr>
      <w:r w:rsidRPr="001B5AE6">
        <w:rPr>
          <w:rFonts w:ascii="Arial" w:hAnsi="Arial" w:cs="Arial"/>
          <w:sz w:val="20"/>
          <w:szCs w:val="20"/>
        </w:rPr>
        <w:fldChar w:fldCharType="end"/>
      </w:r>
    </w:p>
    <w:sectPr w:rsidR="0022604A" w:rsidRPr="002D5D44" w:rsidSect="00EE19B9">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0B6" w:rsidRDefault="000730B6" w:rsidP="00E044B8">
      <w:pPr>
        <w:spacing w:after="0" w:line="240" w:lineRule="auto"/>
      </w:pPr>
      <w:r>
        <w:separator/>
      </w:r>
    </w:p>
  </w:endnote>
  <w:endnote w:type="continuationSeparator" w:id="0">
    <w:p w:rsidR="000730B6" w:rsidRDefault="000730B6" w:rsidP="00E04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96200"/>
      <w:docPartObj>
        <w:docPartGallery w:val="Page Numbers (Bottom of Page)"/>
        <w:docPartUnique/>
      </w:docPartObj>
    </w:sdtPr>
    <w:sdtEndPr/>
    <w:sdtContent>
      <w:p w:rsidR="00120501" w:rsidRDefault="00120501">
        <w:pPr>
          <w:pStyle w:val="Noga"/>
          <w:jc w:val="right"/>
        </w:pPr>
        <w:r>
          <w:fldChar w:fldCharType="begin"/>
        </w:r>
        <w:r>
          <w:instrText>PAGE   \* MERGEFORMAT</w:instrText>
        </w:r>
        <w:r>
          <w:fldChar w:fldCharType="separate"/>
        </w:r>
        <w:r w:rsidR="00E30D16">
          <w:rPr>
            <w:noProof/>
          </w:rPr>
          <w:t>19</w:t>
        </w:r>
        <w:r>
          <w:fldChar w:fldCharType="end"/>
        </w:r>
      </w:p>
    </w:sdtContent>
  </w:sdt>
  <w:p w:rsidR="00120501" w:rsidRDefault="0012050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0B6" w:rsidRDefault="000730B6" w:rsidP="00E044B8">
      <w:pPr>
        <w:spacing w:after="0" w:line="240" w:lineRule="auto"/>
      </w:pPr>
      <w:r>
        <w:separator/>
      </w:r>
    </w:p>
  </w:footnote>
  <w:footnote w:type="continuationSeparator" w:id="0">
    <w:p w:rsidR="000730B6" w:rsidRDefault="000730B6" w:rsidP="00E044B8">
      <w:pPr>
        <w:spacing w:after="0" w:line="240" w:lineRule="auto"/>
      </w:pPr>
      <w:r>
        <w:continuationSeparator/>
      </w:r>
    </w:p>
  </w:footnote>
  <w:footnote w:id="1">
    <w:p w:rsidR="00120501" w:rsidRPr="00652B1C" w:rsidRDefault="00120501" w:rsidP="003C5641">
      <w:pPr>
        <w:pStyle w:val="Sprotnaopomba-besedilo"/>
        <w:spacing w:line="276" w:lineRule="auto"/>
        <w:rPr>
          <w:sz w:val="16"/>
          <w:szCs w:val="16"/>
          <w:lang w:val="sl-SI"/>
        </w:rPr>
      </w:pPr>
      <w:r w:rsidRPr="00F87576">
        <w:rPr>
          <w:rStyle w:val="Sprotnaopomba-sklic"/>
          <w:sz w:val="18"/>
          <w:szCs w:val="18"/>
        </w:rPr>
        <w:footnoteRef/>
      </w:r>
      <w:r>
        <w:t xml:space="preserve"> </w:t>
      </w:r>
      <w:r>
        <w:rPr>
          <w:sz w:val="16"/>
          <w:szCs w:val="16"/>
          <w:lang w:val="sl-SI"/>
        </w:rPr>
        <w:t>Operativni program ukrepov zmanjšanja</w:t>
      </w:r>
      <w:r w:rsidRPr="007F208D">
        <w:rPr>
          <w:sz w:val="16"/>
          <w:szCs w:val="16"/>
          <w:lang w:val="sl-SI"/>
        </w:rPr>
        <w:t xml:space="preserve"> emisij toplogrednih plinov do leta 2</w:t>
      </w:r>
      <w:r>
        <w:rPr>
          <w:sz w:val="16"/>
          <w:szCs w:val="16"/>
          <w:lang w:val="sl-SI"/>
        </w:rPr>
        <w:t>020, Vlada Republike Slovenije,</w:t>
      </w:r>
      <w:r w:rsidRPr="00A61A33">
        <w:rPr>
          <w:sz w:val="16"/>
          <w:szCs w:val="16"/>
          <w:lang w:val="sl-SI"/>
        </w:rPr>
        <w:t xml:space="preserve"> 17. 12. 2014</w:t>
      </w:r>
      <w:r w:rsidRPr="007F208D">
        <w:rPr>
          <w:sz w:val="16"/>
          <w:szCs w:val="16"/>
          <w:lang w:val="sl-SI"/>
        </w:rPr>
        <w:t>.</w:t>
      </w:r>
    </w:p>
  </w:footnote>
  <w:footnote w:id="2">
    <w:p w:rsidR="00120501" w:rsidRPr="00272A9D" w:rsidRDefault="00120501" w:rsidP="008812FB">
      <w:pPr>
        <w:pStyle w:val="Sprotnaopomba-besedilo"/>
        <w:spacing w:line="276" w:lineRule="auto"/>
        <w:rPr>
          <w:lang w:val="sl-SI"/>
        </w:rPr>
      </w:pPr>
      <w:r w:rsidRPr="00594548">
        <w:rPr>
          <w:rStyle w:val="Sprotnaopomba-sklic"/>
          <w:sz w:val="18"/>
          <w:szCs w:val="18"/>
        </w:rPr>
        <w:footnoteRef/>
      </w:r>
      <w:r>
        <w:t xml:space="preserve"> </w:t>
      </w:r>
      <w:r w:rsidRPr="00F726AF">
        <w:rPr>
          <w:rFonts w:cs="Arial"/>
          <w:sz w:val="16"/>
          <w:szCs w:val="16"/>
          <w:lang w:val="sl-SI"/>
        </w:rPr>
        <w:t xml:space="preserve">Odločba št. 406/2009/ES Evropskega parlamenta in Sveta z dne 23. aprila 2009 o </w:t>
      </w:r>
      <w:r w:rsidRPr="00F726AF">
        <w:rPr>
          <w:rFonts w:cs="Arial"/>
          <w:bCs/>
          <w:sz w:val="16"/>
          <w:szCs w:val="16"/>
          <w:lang w:val="sl-SI"/>
        </w:rPr>
        <w:t xml:space="preserve">prizadevanju držav članic za zmanjšanje emisij toplogrednih plinov, da do leta 2020 izpolnijo zavezo Skupnosti za zmanjšanje emisij toplogrednih plinov </w:t>
      </w:r>
      <w:r w:rsidRPr="00F726AF">
        <w:rPr>
          <w:rFonts w:cs="Arial"/>
          <w:sz w:val="16"/>
          <w:szCs w:val="16"/>
          <w:lang w:val="sl-SI"/>
        </w:rPr>
        <w:t>(UL L št. 140 z dne 5.6.2</w:t>
      </w:r>
      <w:r>
        <w:rPr>
          <w:rFonts w:cs="Arial"/>
          <w:sz w:val="16"/>
          <w:szCs w:val="16"/>
          <w:lang w:val="sl-SI"/>
        </w:rPr>
        <w:t>009, str.</w:t>
      </w:r>
      <w:r w:rsidRPr="00F726AF">
        <w:rPr>
          <w:rFonts w:cs="Arial"/>
          <w:sz w:val="16"/>
          <w:szCs w:val="16"/>
          <w:lang w:val="sl-SI"/>
        </w:rPr>
        <w:t xml:space="preserve"> 136)</w:t>
      </w:r>
      <w:r>
        <w:rPr>
          <w:rFonts w:cs="Arial"/>
          <w:sz w:val="16"/>
          <w:szCs w:val="16"/>
          <w:lang w:val="sl-SI"/>
        </w:rPr>
        <w:t>.</w:t>
      </w:r>
    </w:p>
  </w:footnote>
  <w:footnote w:id="3">
    <w:p w:rsidR="00120501" w:rsidRPr="00652B1C" w:rsidRDefault="00120501" w:rsidP="003C5641">
      <w:pPr>
        <w:spacing w:after="0"/>
        <w:rPr>
          <w:sz w:val="16"/>
          <w:szCs w:val="16"/>
        </w:rPr>
      </w:pPr>
      <w:r>
        <w:rPr>
          <w:rStyle w:val="Sprotnaopomba-sklic"/>
        </w:rPr>
        <w:footnoteRef/>
      </w:r>
      <w:r>
        <w:t xml:space="preserve"> </w:t>
      </w:r>
      <w:hyperlink r:id="rId1" w:history="1">
        <w:r w:rsidRPr="00F87576">
          <w:rPr>
            <w:rStyle w:val="Hiperpovezava"/>
            <w:rFonts w:ascii="Arial" w:hAnsi="Arial" w:cs="Arial"/>
            <w:sz w:val="16"/>
            <w:szCs w:val="16"/>
          </w:rPr>
          <w:t>Podnebno ogledalo 2018</w:t>
        </w:r>
      </w:hyperlink>
      <w:r w:rsidRPr="00F87576">
        <w:rPr>
          <w:rFonts w:ascii="Arial" w:hAnsi="Arial" w:cs="Arial"/>
          <w:sz w:val="16"/>
          <w:szCs w:val="16"/>
        </w:rPr>
        <w:t>, Institut »Jožef Stefan« s partnerji, april 2018.</w:t>
      </w:r>
      <w:r>
        <w:rPr>
          <w:sz w:val="16"/>
          <w:szCs w:val="16"/>
        </w:rPr>
        <w:t xml:space="preserve"> </w:t>
      </w:r>
    </w:p>
  </w:footnote>
  <w:footnote w:id="4">
    <w:p w:rsidR="00120501" w:rsidRPr="006549AD" w:rsidRDefault="00120501" w:rsidP="003C5641">
      <w:pPr>
        <w:spacing w:after="0"/>
        <w:jc w:val="both"/>
        <w:rPr>
          <w:rFonts w:ascii="Arial" w:eastAsia="Times New Roman" w:hAnsi="Arial" w:cs="Arial"/>
          <w:sz w:val="16"/>
          <w:szCs w:val="16"/>
          <w:lang w:eastAsia="sl-SI"/>
        </w:rPr>
      </w:pPr>
      <w:r w:rsidRPr="00F87576">
        <w:rPr>
          <w:rStyle w:val="Sprotnaopomba-sklic"/>
          <w:rFonts w:ascii="Arial" w:hAnsi="Arial" w:cs="Arial"/>
          <w:sz w:val="18"/>
          <w:szCs w:val="18"/>
        </w:rPr>
        <w:footnoteRef/>
      </w:r>
      <w:r w:rsidRPr="00F87576">
        <w:rPr>
          <w:rFonts w:ascii="Arial" w:hAnsi="Arial" w:cs="Arial"/>
          <w:sz w:val="16"/>
          <w:szCs w:val="16"/>
        </w:rPr>
        <w:t xml:space="preserve"> LIFE Podnebna pot 2050, Slovenska podnebna pot do sredine stoletja (LIFE </w:t>
      </w:r>
      <w:proofErr w:type="spellStart"/>
      <w:r w:rsidRPr="00F87576">
        <w:rPr>
          <w:rFonts w:ascii="Arial" w:hAnsi="Arial" w:cs="Arial"/>
          <w:sz w:val="16"/>
          <w:szCs w:val="16"/>
        </w:rPr>
        <w:t>ClimatePath</w:t>
      </w:r>
      <w:proofErr w:type="spellEnd"/>
      <w:r w:rsidRPr="00F87576">
        <w:rPr>
          <w:rFonts w:ascii="Arial" w:hAnsi="Arial" w:cs="Arial"/>
          <w:sz w:val="16"/>
          <w:szCs w:val="16"/>
        </w:rPr>
        <w:t xml:space="preserve"> 2050 »</w:t>
      </w:r>
      <w:proofErr w:type="spellStart"/>
      <w:r w:rsidRPr="00F87576">
        <w:rPr>
          <w:rFonts w:ascii="Arial" w:hAnsi="Arial" w:cs="Arial"/>
          <w:sz w:val="16"/>
          <w:szCs w:val="16"/>
        </w:rPr>
        <w:t>Slovenian</w:t>
      </w:r>
      <w:proofErr w:type="spellEnd"/>
      <w:r w:rsidRPr="00F87576">
        <w:rPr>
          <w:rFonts w:ascii="Arial" w:hAnsi="Arial" w:cs="Arial"/>
          <w:sz w:val="16"/>
          <w:szCs w:val="16"/>
        </w:rPr>
        <w:t xml:space="preserve"> </w:t>
      </w:r>
      <w:proofErr w:type="spellStart"/>
      <w:r w:rsidRPr="00F87576">
        <w:rPr>
          <w:rFonts w:ascii="Arial" w:hAnsi="Arial" w:cs="Arial"/>
          <w:sz w:val="16"/>
          <w:szCs w:val="16"/>
        </w:rPr>
        <w:t>Path</w:t>
      </w:r>
      <w:proofErr w:type="spellEnd"/>
      <w:r w:rsidRPr="00F87576">
        <w:rPr>
          <w:rFonts w:ascii="Arial" w:hAnsi="Arial" w:cs="Arial"/>
          <w:sz w:val="16"/>
          <w:szCs w:val="16"/>
        </w:rPr>
        <w:t xml:space="preserve"> </w:t>
      </w:r>
      <w:proofErr w:type="spellStart"/>
      <w:r w:rsidRPr="00F87576">
        <w:rPr>
          <w:rFonts w:ascii="Arial" w:hAnsi="Arial" w:cs="Arial"/>
          <w:sz w:val="16"/>
          <w:szCs w:val="16"/>
        </w:rPr>
        <w:t>Towards</w:t>
      </w:r>
      <w:proofErr w:type="spellEnd"/>
      <w:r w:rsidRPr="00F87576">
        <w:rPr>
          <w:rFonts w:ascii="Arial" w:hAnsi="Arial" w:cs="Arial"/>
          <w:sz w:val="16"/>
          <w:szCs w:val="16"/>
        </w:rPr>
        <w:t xml:space="preserve"> </w:t>
      </w:r>
      <w:proofErr w:type="spellStart"/>
      <w:r w:rsidRPr="00F87576">
        <w:rPr>
          <w:rFonts w:ascii="Arial" w:hAnsi="Arial" w:cs="Arial"/>
          <w:sz w:val="16"/>
          <w:szCs w:val="16"/>
        </w:rPr>
        <w:t>the</w:t>
      </w:r>
      <w:proofErr w:type="spellEnd"/>
      <w:r w:rsidRPr="00F87576">
        <w:rPr>
          <w:rFonts w:ascii="Arial" w:hAnsi="Arial" w:cs="Arial"/>
          <w:sz w:val="16"/>
          <w:szCs w:val="16"/>
        </w:rPr>
        <w:t xml:space="preserve"> </w:t>
      </w:r>
      <w:proofErr w:type="spellStart"/>
      <w:r w:rsidRPr="00F87576">
        <w:rPr>
          <w:rFonts w:ascii="Arial" w:hAnsi="Arial" w:cs="Arial"/>
          <w:sz w:val="16"/>
          <w:szCs w:val="16"/>
        </w:rPr>
        <w:t>Mid</w:t>
      </w:r>
      <w:proofErr w:type="spellEnd"/>
      <w:r w:rsidRPr="00F87576">
        <w:rPr>
          <w:rFonts w:ascii="Arial" w:hAnsi="Arial" w:cs="Arial"/>
          <w:sz w:val="16"/>
          <w:szCs w:val="16"/>
        </w:rPr>
        <w:t>–</w:t>
      </w:r>
      <w:proofErr w:type="spellStart"/>
      <w:r w:rsidRPr="00F87576">
        <w:rPr>
          <w:rFonts w:ascii="Arial" w:hAnsi="Arial" w:cs="Arial"/>
          <w:sz w:val="16"/>
          <w:szCs w:val="16"/>
        </w:rPr>
        <w:t>Century</w:t>
      </w:r>
      <w:proofErr w:type="spellEnd"/>
      <w:r w:rsidRPr="00F87576">
        <w:rPr>
          <w:rFonts w:ascii="Arial" w:hAnsi="Arial" w:cs="Arial"/>
          <w:sz w:val="16"/>
          <w:szCs w:val="16"/>
        </w:rPr>
        <w:t xml:space="preserve"> </w:t>
      </w:r>
      <w:proofErr w:type="spellStart"/>
      <w:r w:rsidRPr="00F87576">
        <w:rPr>
          <w:rFonts w:ascii="Arial" w:hAnsi="Arial" w:cs="Arial"/>
          <w:sz w:val="16"/>
          <w:szCs w:val="16"/>
        </w:rPr>
        <w:t>Climate</w:t>
      </w:r>
      <w:proofErr w:type="spellEnd"/>
      <w:r w:rsidRPr="00F87576">
        <w:rPr>
          <w:rFonts w:ascii="Arial" w:hAnsi="Arial" w:cs="Arial"/>
          <w:sz w:val="16"/>
          <w:szCs w:val="16"/>
        </w:rPr>
        <w:t xml:space="preserve"> </w:t>
      </w:r>
      <w:proofErr w:type="spellStart"/>
      <w:r w:rsidRPr="00F87576">
        <w:rPr>
          <w:rFonts w:ascii="Arial" w:hAnsi="Arial" w:cs="Arial"/>
          <w:sz w:val="16"/>
          <w:szCs w:val="16"/>
        </w:rPr>
        <w:t>Target</w:t>
      </w:r>
      <w:proofErr w:type="spellEnd"/>
      <w:r w:rsidRPr="00F87576">
        <w:rPr>
          <w:rFonts w:ascii="Arial" w:hAnsi="Arial" w:cs="Arial"/>
          <w:sz w:val="16"/>
          <w:szCs w:val="16"/>
        </w:rPr>
        <w:t>«, LIFE 16 GIC/SI/000043).</w:t>
      </w:r>
    </w:p>
  </w:footnote>
  <w:footnote w:id="5">
    <w:p w:rsidR="00120501" w:rsidRPr="00D65929" w:rsidRDefault="00120501">
      <w:pPr>
        <w:pStyle w:val="Sprotnaopomba-besedilo"/>
        <w:rPr>
          <w:lang w:val="sl-SI"/>
        </w:rPr>
      </w:pPr>
      <w:r w:rsidRPr="00594548">
        <w:rPr>
          <w:rStyle w:val="Sprotnaopomba-sklic"/>
          <w:sz w:val="18"/>
          <w:szCs w:val="18"/>
        </w:rPr>
        <w:footnoteRef/>
      </w:r>
      <w:r>
        <w:t xml:space="preserve"> </w:t>
      </w:r>
      <w:proofErr w:type="spellStart"/>
      <w:proofErr w:type="gramStart"/>
      <w:r>
        <w:rPr>
          <w:rFonts w:cs="Arial"/>
          <w:bCs/>
          <w:sz w:val="16"/>
          <w:szCs w:val="16"/>
        </w:rPr>
        <w:t>Uredba</w:t>
      </w:r>
      <w:proofErr w:type="spellEnd"/>
      <w:r w:rsidRPr="00E1224B">
        <w:rPr>
          <w:rFonts w:cs="Arial"/>
          <w:bCs/>
          <w:sz w:val="16"/>
          <w:szCs w:val="16"/>
        </w:rPr>
        <w:t xml:space="preserve"> (EU) </w:t>
      </w:r>
      <w:proofErr w:type="spellStart"/>
      <w:r w:rsidRPr="00E1224B">
        <w:rPr>
          <w:rFonts w:cs="Arial"/>
          <w:bCs/>
          <w:sz w:val="16"/>
          <w:szCs w:val="16"/>
        </w:rPr>
        <w:t>št</w:t>
      </w:r>
      <w:proofErr w:type="spellEnd"/>
      <w:r w:rsidRPr="00E1224B">
        <w:rPr>
          <w:rFonts w:cs="Arial"/>
          <w:bCs/>
          <w:sz w:val="16"/>
          <w:szCs w:val="16"/>
        </w:rPr>
        <w:t>.</w:t>
      </w:r>
      <w:proofErr w:type="gramEnd"/>
      <w:r w:rsidRPr="00E1224B">
        <w:rPr>
          <w:rFonts w:cs="Arial"/>
          <w:bCs/>
          <w:sz w:val="16"/>
          <w:szCs w:val="16"/>
        </w:rPr>
        <w:t xml:space="preserve"> </w:t>
      </w:r>
      <w:proofErr w:type="gramStart"/>
      <w:r w:rsidRPr="00E1224B">
        <w:rPr>
          <w:rFonts w:cs="Arial"/>
          <w:bCs/>
          <w:sz w:val="16"/>
          <w:szCs w:val="16"/>
        </w:rPr>
        <w:t xml:space="preserve">525/2013 </w:t>
      </w:r>
      <w:proofErr w:type="spellStart"/>
      <w:r w:rsidRPr="00E1224B">
        <w:rPr>
          <w:rFonts w:cs="Arial"/>
          <w:bCs/>
          <w:sz w:val="16"/>
          <w:szCs w:val="16"/>
        </w:rPr>
        <w:t>E</w:t>
      </w:r>
      <w:r>
        <w:rPr>
          <w:rFonts w:cs="Arial"/>
          <w:bCs/>
          <w:sz w:val="16"/>
          <w:szCs w:val="16"/>
        </w:rPr>
        <w:t>vropskega</w:t>
      </w:r>
      <w:proofErr w:type="spellEnd"/>
      <w:r>
        <w:rPr>
          <w:rFonts w:cs="Arial"/>
          <w:bCs/>
          <w:sz w:val="16"/>
          <w:szCs w:val="16"/>
        </w:rPr>
        <w:t xml:space="preserve"> </w:t>
      </w:r>
      <w:proofErr w:type="spellStart"/>
      <w:r>
        <w:rPr>
          <w:rFonts w:cs="Arial"/>
          <w:bCs/>
          <w:sz w:val="16"/>
          <w:szCs w:val="16"/>
        </w:rPr>
        <w:t>parlamenta</w:t>
      </w:r>
      <w:proofErr w:type="spellEnd"/>
      <w:r w:rsidRPr="00E1224B">
        <w:rPr>
          <w:rFonts w:cs="Arial"/>
          <w:bCs/>
          <w:sz w:val="16"/>
          <w:szCs w:val="16"/>
        </w:rPr>
        <w:t xml:space="preserve"> </w:t>
      </w:r>
      <w:r>
        <w:rPr>
          <w:rFonts w:cs="Arial"/>
          <w:bCs/>
          <w:sz w:val="16"/>
          <w:szCs w:val="16"/>
        </w:rPr>
        <w:t xml:space="preserve">in Sveta </w:t>
      </w:r>
      <w:r w:rsidRPr="00E1224B">
        <w:rPr>
          <w:rFonts w:cs="Arial"/>
          <w:bCs/>
          <w:sz w:val="16"/>
          <w:szCs w:val="16"/>
        </w:rPr>
        <w:t xml:space="preserve">z </w:t>
      </w:r>
      <w:proofErr w:type="spellStart"/>
      <w:r w:rsidRPr="00E1224B">
        <w:rPr>
          <w:rFonts w:cs="Arial"/>
          <w:bCs/>
          <w:sz w:val="16"/>
          <w:szCs w:val="16"/>
        </w:rPr>
        <w:t>dne</w:t>
      </w:r>
      <w:proofErr w:type="spellEnd"/>
      <w:r w:rsidRPr="00E1224B">
        <w:rPr>
          <w:rFonts w:cs="Arial"/>
          <w:bCs/>
          <w:sz w:val="16"/>
          <w:szCs w:val="16"/>
        </w:rPr>
        <w:t xml:space="preserve"> 21.</w:t>
      </w:r>
      <w:proofErr w:type="gramEnd"/>
      <w:r w:rsidRPr="00E1224B">
        <w:rPr>
          <w:rFonts w:cs="Arial"/>
          <w:bCs/>
          <w:sz w:val="16"/>
          <w:szCs w:val="16"/>
        </w:rPr>
        <w:t xml:space="preserve"> </w:t>
      </w:r>
      <w:proofErr w:type="spellStart"/>
      <w:proofErr w:type="gramStart"/>
      <w:r w:rsidRPr="00E1224B">
        <w:rPr>
          <w:rFonts w:cs="Arial"/>
          <w:bCs/>
          <w:sz w:val="16"/>
          <w:szCs w:val="16"/>
        </w:rPr>
        <w:t>maja</w:t>
      </w:r>
      <w:proofErr w:type="spellEnd"/>
      <w:proofErr w:type="gramEnd"/>
      <w:r w:rsidRPr="00E1224B">
        <w:rPr>
          <w:rFonts w:cs="Arial"/>
          <w:bCs/>
          <w:sz w:val="16"/>
          <w:szCs w:val="16"/>
        </w:rPr>
        <w:t xml:space="preserve"> 2013 </w:t>
      </w:r>
      <w:r w:rsidRPr="00E1224B">
        <w:rPr>
          <w:rFonts w:eastAsiaTheme="minorHAnsi" w:cs="Arial"/>
          <w:bCs/>
          <w:sz w:val="16"/>
          <w:szCs w:val="16"/>
        </w:rPr>
        <w:t xml:space="preserve">o </w:t>
      </w:r>
      <w:proofErr w:type="spellStart"/>
      <w:r w:rsidRPr="00E1224B">
        <w:rPr>
          <w:rFonts w:eastAsiaTheme="minorHAnsi" w:cs="Arial"/>
          <w:bCs/>
          <w:sz w:val="16"/>
          <w:szCs w:val="16"/>
        </w:rPr>
        <w:t>mehanizmu</w:t>
      </w:r>
      <w:proofErr w:type="spellEnd"/>
      <w:r w:rsidRPr="00E1224B">
        <w:rPr>
          <w:rFonts w:eastAsiaTheme="minorHAnsi" w:cs="Arial"/>
          <w:bCs/>
          <w:sz w:val="16"/>
          <w:szCs w:val="16"/>
        </w:rPr>
        <w:t xml:space="preserve"> </w:t>
      </w:r>
      <w:proofErr w:type="spellStart"/>
      <w:r w:rsidRPr="00E1224B">
        <w:rPr>
          <w:rFonts w:eastAsiaTheme="minorHAnsi" w:cs="Arial"/>
          <w:bCs/>
          <w:sz w:val="16"/>
          <w:szCs w:val="16"/>
        </w:rPr>
        <w:t>za</w:t>
      </w:r>
      <w:proofErr w:type="spellEnd"/>
      <w:r w:rsidRPr="00E1224B">
        <w:rPr>
          <w:rFonts w:eastAsiaTheme="minorHAnsi" w:cs="Arial"/>
          <w:bCs/>
          <w:sz w:val="16"/>
          <w:szCs w:val="16"/>
        </w:rPr>
        <w:t xml:space="preserve"> </w:t>
      </w:r>
      <w:proofErr w:type="spellStart"/>
      <w:r w:rsidRPr="00E1224B">
        <w:rPr>
          <w:rFonts w:eastAsiaTheme="minorHAnsi" w:cs="Arial"/>
          <w:bCs/>
          <w:sz w:val="16"/>
          <w:szCs w:val="16"/>
        </w:rPr>
        <w:t>spremljanje</w:t>
      </w:r>
      <w:proofErr w:type="spellEnd"/>
      <w:r w:rsidRPr="00E1224B">
        <w:rPr>
          <w:rFonts w:eastAsiaTheme="minorHAnsi" w:cs="Arial"/>
          <w:bCs/>
          <w:sz w:val="16"/>
          <w:szCs w:val="16"/>
        </w:rPr>
        <w:t xml:space="preserve"> </w:t>
      </w:r>
      <w:proofErr w:type="spellStart"/>
      <w:r w:rsidRPr="00E1224B">
        <w:rPr>
          <w:rFonts w:eastAsiaTheme="minorHAnsi" w:cs="Arial"/>
          <w:bCs/>
          <w:sz w:val="16"/>
          <w:szCs w:val="16"/>
        </w:rPr>
        <w:t>emisij</w:t>
      </w:r>
      <w:proofErr w:type="spellEnd"/>
      <w:r w:rsidRPr="00E1224B">
        <w:rPr>
          <w:rFonts w:eastAsiaTheme="minorHAnsi" w:cs="Arial"/>
          <w:bCs/>
          <w:sz w:val="16"/>
          <w:szCs w:val="16"/>
        </w:rPr>
        <w:t xml:space="preserve"> </w:t>
      </w:r>
      <w:proofErr w:type="spellStart"/>
      <w:r w:rsidRPr="00E1224B">
        <w:rPr>
          <w:rFonts w:eastAsiaTheme="minorHAnsi" w:cs="Arial"/>
          <w:bCs/>
          <w:sz w:val="16"/>
          <w:szCs w:val="16"/>
        </w:rPr>
        <w:t>toplogrednih</w:t>
      </w:r>
      <w:proofErr w:type="spellEnd"/>
      <w:r w:rsidRPr="00E1224B">
        <w:rPr>
          <w:rFonts w:eastAsiaTheme="minorHAnsi" w:cs="Arial"/>
          <w:bCs/>
          <w:sz w:val="16"/>
          <w:szCs w:val="16"/>
        </w:rPr>
        <w:t xml:space="preserve"> </w:t>
      </w:r>
      <w:proofErr w:type="spellStart"/>
      <w:r w:rsidRPr="00E1224B">
        <w:rPr>
          <w:rFonts w:eastAsiaTheme="minorHAnsi" w:cs="Arial"/>
          <w:bCs/>
          <w:sz w:val="16"/>
          <w:szCs w:val="16"/>
        </w:rPr>
        <w:t>plinov</w:t>
      </w:r>
      <w:proofErr w:type="spellEnd"/>
      <w:r w:rsidRPr="00E1224B">
        <w:rPr>
          <w:rFonts w:eastAsiaTheme="minorHAnsi" w:cs="Arial"/>
          <w:bCs/>
          <w:sz w:val="16"/>
          <w:szCs w:val="16"/>
        </w:rPr>
        <w:t xml:space="preserve"> in </w:t>
      </w:r>
      <w:proofErr w:type="spellStart"/>
      <w:r w:rsidRPr="00E1224B">
        <w:rPr>
          <w:rFonts w:eastAsiaTheme="minorHAnsi" w:cs="Arial"/>
          <w:bCs/>
          <w:sz w:val="16"/>
          <w:szCs w:val="16"/>
        </w:rPr>
        <w:t>poročanje</w:t>
      </w:r>
      <w:proofErr w:type="spellEnd"/>
      <w:r w:rsidRPr="00E1224B">
        <w:rPr>
          <w:rFonts w:eastAsiaTheme="minorHAnsi" w:cs="Arial"/>
          <w:bCs/>
          <w:sz w:val="16"/>
          <w:szCs w:val="16"/>
        </w:rPr>
        <w:t xml:space="preserve"> o </w:t>
      </w:r>
      <w:proofErr w:type="spellStart"/>
      <w:r w:rsidRPr="00E1224B">
        <w:rPr>
          <w:rFonts w:eastAsiaTheme="minorHAnsi" w:cs="Arial"/>
          <w:bCs/>
          <w:sz w:val="16"/>
          <w:szCs w:val="16"/>
        </w:rPr>
        <w:t>njih</w:t>
      </w:r>
      <w:proofErr w:type="spellEnd"/>
      <w:r w:rsidRPr="00E1224B">
        <w:rPr>
          <w:rFonts w:eastAsiaTheme="minorHAnsi" w:cs="Arial"/>
          <w:bCs/>
          <w:sz w:val="16"/>
          <w:szCs w:val="16"/>
        </w:rPr>
        <w:t xml:space="preserve"> </w:t>
      </w:r>
      <w:proofErr w:type="spellStart"/>
      <w:r w:rsidRPr="00E1224B">
        <w:rPr>
          <w:rFonts w:eastAsiaTheme="minorHAnsi" w:cs="Arial"/>
          <w:bCs/>
          <w:sz w:val="16"/>
          <w:szCs w:val="16"/>
        </w:rPr>
        <w:t>ter</w:t>
      </w:r>
      <w:proofErr w:type="spellEnd"/>
      <w:r w:rsidRPr="00E1224B">
        <w:rPr>
          <w:rFonts w:eastAsiaTheme="minorHAnsi" w:cs="Arial"/>
          <w:bCs/>
          <w:sz w:val="16"/>
          <w:szCs w:val="16"/>
        </w:rPr>
        <w:t xml:space="preserve"> </w:t>
      </w:r>
      <w:proofErr w:type="spellStart"/>
      <w:r w:rsidRPr="00E1224B">
        <w:rPr>
          <w:rFonts w:eastAsiaTheme="minorHAnsi" w:cs="Arial"/>
          <w:bCs/>
          <w:sz w:val="16"/>
          <w:szCs w:val="16"/>
        </w:rPr>
        <w:t>za</w:t>
      </w:r>
      <w:proofErr w:type="spellEnd"/>
      <w:r w:rsidRPr="00E1224B">
        <w:rPr>
          <w:rFonts w:eastAsiaTheme="minorHAnsi" w:cs="Arial"/>
          <w:bCs/>
          <w:sz w:val="16"/>
          <w:szCs w:val="16"/>
        </w:rPr>
        <w:t xml:space="preserve"> </w:t>
      </w:r>
      <w:proofErr w:type="spellStart"/>
      <w:r w:rsidRPr="00E1224B">
        <w:rPr>
          <w:rFonts w:eastAsiaTheme="minorHAnsi" w:cs="Arial"/>
          <w:bCs/>
          <w:sz w:val="16"/>
          <w:szCs w:val="16"/>
        </w:rPr>
        <w:t>sporočanje</w:t>
      </w:r>
      <w:proofErr w:type="spellEnd"/>
      <w:r w:rsidRPr="00E1224B">
        <w:rPr>
          <w:rFonts w:eastAsiaTheme="minorHAnsi" w:cs="Arial"/>
          <w:bCs/>
          <w:sz w:val="16"/>
          <w:szCs w:val="16"/>
        </w:rPr>
        <w:t xml:space="preserve"> </w:t>
      </w:r>
      <w:proofErr w:type="spellStart"/>
      <w:r w:rsidRPr="00E1224B">
        <w:rPr>
          <w:rFonts w:eastAsiaTheme="minorHAnsi" w:cs="Arial"/>
          <w:bCs/>
          <w:sz w:val="16"/>
          <w:szCs w:val="16"/>
        </w:rPr>
        <w:t>drugih</w:t>
      </w:r>
      <w:proofErr w:type="spellEnd"/>
      <w:r w:rsidRPr="00E1224B">
        <w:rPr>
          <w:rFonts w:eastAsiaTheme="minorHAnsi" w:cs="Arial"/>
          <w:bCs/>
          <w:sz w:val="16"/>
          <w:szCs w:val="16"/>
        </w:rPr>
        <w:t xml:space="preserve"> </w:t>
      </w:r>
      <w:proofErr w:type="spellStart"/>
      <w:r w:rsidRPr="00E1224B">
        <w:rPr>
          <w:rFonts w:eastAsiaTheme="minorHAnsi" w:cs="Arial"/>
          <w:bCs/>
          <w:sz w:val="16"/>
          <w:szCs w:val="16"/>
        </w:rPr>
        <w:t>informacij</w:t>
      </w:r>
      <w:proofErr w:type="spellEnd"/>
      <w:r w:rsidRPr="00E1224B">
        <w:rPr>
          <w:rFonts w:eastAsiaTheme="minorHAnsi" w:cs="Arial"/>
          <w:bCs/>
          <w:sz w:val="16"/>
          <w:szCs w:val="16"/>
        </w:rPr>
        <w:t xml:space="preserve"> v </w:t>
      </w:r>
      <w:proofErr w:type="spellStart"/>
      <w:r w:rsidRPr="00E1224B">
        <w:rPr>
          <w:rFonts w:eastAsiaTheme="minorHAnsi" w:cs="Arial"/>
          <w:bCs/>
          <w:sz w:val="16"/>
          <w:szCs w:val="16"/>
        </w:rPr>
        <w:t>zvezi</w:t>
      </w:r>
      <w:proofErr w:type="spellEnd"/>
      <w:r w:rsidRPr="00E1224B">
        <w:rPr>
          <w:rFonts w:eastAsiaTheme="minorHAnsi" w:cs="Arial"/>
          <w:bCs/>
          <w:sz w:val="16"/>
          <w:szCs w:val="16"/>
        </w:rPr>
        <w:t xml:space="preserve"> s </w:t>
      </w:r>
      <w:proofErr w:type="spellStart"/>
      <w:r w:rsidRPr="00E1224B">
        <w:rPr>
          <w:rFonts w:eastAsiaTheme="minorHAnsi" w:cs="Arial"/>
          <w:bCs/>
          <w:sz w:val="16"/>
          <w:szCs w:val="16"/>
        </w:rPr>
        <w:t>podnebnimi</w:t>
      </w:r>
      <w:proofErr w:type="spellEnd"/>
      <w:r w:rsidRPr="00E1224B">
        <w:rPr>
          <w:rFonts w:eastAsiaTheme="minorHAnsi" w:cs="Arial"/>
          <w:bCs/>
          <w:sz w:val="16"/>
          <w:szCs w:val="16"/>
        </w:rPr>
        <w:t xml:space="preserve"> </w:t>
      </w:r>
      <w:proofErr w:type="spellStart"/>
      <w:r w:rsidRPr="00E1224B">
        <w:rPr>
          <w:rFonts w:eastAsiaTheme="minorHAnsi" w:cs="Arial"/>
          <w:bCs/>
          <w:sz w:val="16"/>
          <w:szCs w:val="16"/>
        </w:rPr>
        <w:t>spremembami</w:t>
      </w:r>
      <w:proofErr w:type="spellEnd"/>
      <w:r w:rsidRPr="00E1224B">
        <w:rPr>
          <w:rFonts w:eastAsiaTheme="minorHAnsi" w:cs="Arial"/>
          <w:bCs/>
          <w:sz w:val="16"/>
          <w:szCs w:val="16"/>
        </w:rPr>
        <w:t xml:space="preserve"> </w:t>
      </w:r>
      <w:proofErr w:type="spellStart"/>
      <w:r w:rsidRPr="00E1224B">
        <w:rPr>
          <w:rFonts w:eastAsiaTheme="minorHAnsi" w:cs="Arial"/>
          <w:bCs/>
          <w:sz w:val="16"/>
          <w:szCs w:val="16"/>
        </w:rPr>
        <w:t>na</w:t>
      </w:r>
      <w:proofErr w:type="spellEnd"/>
      <w:r w:rsidRPr="00E1224B">
        <w:rPr>
          <w:rFonts w:eastAsiaTheme="minorHAnsi" w:cs="Arial"/>
          <w:bCs/>
          <w:sz w:val="16"/>
          <w:szCs w:val="16"/>
        </w:rPr>
        <w:t xml:space="preserve"> </w:t>
      </w:r>
      <w:proofErr w:type="spellStart"/>
      <w:r w:rsidRPr="00E1224B">
        <w:rPr>
          <w:rFonts w:eastAsiaTheme="minorHAnsi" w:cs="Arial"/>
          <w:bCs/>
          <w:sz w:val="16"/>
          <w:szCs w:val="16"/>
        </w:rPr>
        <w:t>nacionalni</w:t>
      </w:r>
      <w:proofErr w:type="spellEnd"/>
      <w:r w:rsidRPr="00E1224B">
        <w:rPr>
          <w:rFonts w:eastAsiaTheme="minorHAnsi" w:cs="Arial"/>
          <w:bCs/>
          <w:sz w:val="16"/>
          <w:szCs w:val="16"/>
        </w:rPr>
        <w:t xml:space="preserve"> </w:t>
      </w:r>
      <w:proofErr w:type="spellStart"/>
      <w:r w:rsidRPr="00E1224B">
        <w:rPr>
          <w:rFonts w:eastAsiaTheme="minorHAnsi" w:cs="Arial"/>
          <w:bCs/>
          <w:sz w:val="16"/>
          <w:szCs w:val="16"/>
        </w:rPr>
        <w:t>ravni</w:t>
      </w:r>
      <w:proofErr w:type="spellEnd"/>
      <w:r w:rsidRPr="00E1224B">
        <w:rPr>
          <w:rFonts w:eastAsiaTheme="minorHAnsi" w:cs="Arial"/>
          <w:bCs/>
          <w:sz w:val="16"/>
          <w:szCs w:val="16"/>
        </w:rPr>
        <w:t xml:space="preserve"> in </w:t>
      </w:r>
      <w:proofErr w:type="spellStart"/>
      <w:r w:rsidRPr="00E1224B">
        <w:rPr>
          <w:rFonts w:eastAsiaTheme="minorHAnsi" w:cs="Arial"/>
          <w:bCs/>
          <w:sz w:val="16"/>
          <w:szCs w:val="16"/>
        </w:rPr>
        <w:t>ravni</w:t>
      </w:r>
      <w:proofErr w:type="spellEnd"/>
      <w:r w:rsidRPr="00E1224B">
        <w:rPr>
          <w:rFonts w:eastAsiaTheme="minorHAnsi" w:cs="Arial"/>
          <w:bCs/>
          <w:sz w:val="16"/>
          <w:szCs w:val="16"/>
        </w:rPr>
        <w:t xml:space="preserve"> </w:t>
      </w:r>
      <w:proofErr w:type="spellStart"/>
      <w:r w:rsidRPr="00E1224B">
        <w:rPr>
          <w:rFonts w:eastAsiaTheme="minorHAnsi" w:cs="Arial"/>
          <w:bCs/>
          <w:sz w:val="16"/>
          <w:szCs w:val="16"/>
        </w:rPr>
        <w:t>Unije</w:t>
      </w:r>
      <w:proofErr w:type="spellEnd"/>
      <w:r w:rsidRPr="00E1224B">
        <w:rPr>
          <w:rFonts w:eastAsiaTheme="minorHAnsi" w:cs="Arial"/>
          <w:bCs/>
          <w:sz w:val="16"/>
          <w:szCs w:val="16"/>
        </w:rPr>
        <w:t xml:space="preserve"> </w:t>
      </w:r>
      <w:proofErr w:type="spellStart"/>
      <w:r w:rsidRPr="00E1224B">
        <w:rPr>
          <w:rFonts w:eastAsiaTheme="minorHAnsi" w:cs="Arial"/>
          <w:bCs/>
          <w:sz w:val="16"/>
          <w:szCs w:val="16"/>
        </w:rPr>
        <w:t>ter</w:t>
      </w:r>
      <w:proofErr w:type="spellEnd"/>
      <w:r w:rsidRPr="00E1224B">
        <w:rPr>
          <w:rFonts w:eastAsiaTheme="minorHAnsi" w:cs="Arial"/>
          <w:bCs/>
          <w:sz w:val="16"/>
          <w:szCs w:val="16"/>
        </w:rPr>
        <w:t xml:space="preserve"> o </w:t>
      </w:r>
      <w:proofErr w:type="spellStart"/>
      <w:r w:rsidRPr="00E1224B">
        <w:rPr>
          <w:rFonts w:eastAsiaTheme="minorHAnsi" w:cs="Arial"/>
          <w:bCs/>
          <w:sz w:val="16"/>
          <w:szCs w:val="16"/>
        </w:rPr>
        <w:t>razveljavitvi</w:t>
      </w:r>
      <w:proofErr w:type="spellEnd"/>
      <w:r w:rsidRPr="00E1224B">
        <w:rPr>
          <w:rFonts w:eastAsiaTheme="minorHAnsi" w:cs="Arial"/>
          <w:bCs/>
          <w:sz w:val="16"/>
          <w:szCs w:val="16"/>
        </w:rPr>
        <w:t xml:space="preserve"> </w:t>
      </w:r>
      <w:proofErr w:type="spellStart"/>
      <w:r w:rsidRPr="00E1224B">
        <w:rPr>
          <w:rFonts w:eastAsiaTheme="minorHAnsi" w:cs="Arial"/>
          <w:bCs/>
          <w:sz w:val="16"/>
          <w:szCs w:val="16"/>
        </w:rPr>
        <w:t>Sklepa</w:t>
      </w:r>
      <w:proofErr w:type="spellEnd"/>
      <w:r w:rsidRPr="00E1224B">
        <w:rPr>
          <w:rFonts w:eastAsiaTheme="minorHAnsi" w:cs="Arial"/>
          <w:bCs/>
          <w:sz w:val="16"/>
          <w:szCs w:val="16"/>
        </w:rPr>
        <w:t xml:space="preserve"> </w:t>
      </w:r>
      <w:proofErr w:type="spellStart"/>
      <w:r w:rsidRPr="00E1224B">
        <w:rPr>
          <w:rFonts w:eastAsiaTheme="minorHAnsi" w:cs="Arial"/>
          <w:bCs/>
          <w:sz w:val="16"/>
          <w:szCs w:val="16"/>
        </w:rPr>
        <w:t>št</w:t>
      </w:r>
      <w:proofErr w:type="spellEnd"/>
      <w:r w:rsidRPr="00E1224B">
        <w:rPr>
          <w:rFonts w:eastAsiaTheme="minorHAnsi" w:cs="Arial"/>
          <w:bCs/>
          <w:sz w:val="16"/>
          <w:szCs w:val="16"/>
        </w:rPr>
        <w:t xml:space="preserve">. </w:t>
      </w:r>
      <w:proofErr w:type="gramStart"/>
      <w:r w:rsidRPr="00E1224B">
        <w:rPr>
          <w:rFonts w:eastAsiaTheme="minorHAnsi" w:cs="Arial"/>
          <w:bCs/>
          <w:sz w:val="16"/>
          <w:szCs w:val="16"/>
        </w:rPr>
        <w:t>280/2004/ES</w:t>
      </w:r>
      <w:r w:rsidRPr="00E1224B">
        <w:rPr>
          <w:rFonts w:cs="Arial"/>
          <w:bCs/>
          <w:sz w:val="16"/>
          <w:szCs w:val="16"/>
        </w:rPr>
        <w:t xml:space="preserve"> (UL L </w:t>
      </w:r>
      <w:proofErr w:type="spellStart"/>
      <w:r w:rsidRPr="00E1224B">
        <w:rPr>
          <w:rFonts w:cs="Arial"/>
          <w:bCs/>
          <w:sz w:val="16"/>
          <w:szCs w:val="16"/>
        </w:rPr>
        <w:t>št</w:t>
      </w:r>
      <w:proofErr w:type="spellEnd"/>
      <w:r w:rsidRPr="00E1224B">
        <w:rPr>
          <w:rFonts w:cs="Arial"/>
          <w:bCs/>
          <w:sz w:val="16"/>
          <w:szCs w:val="16"/>
        </w:rPr>
        <w:t>.</w:t>
      </w:r>
      <w:r>
        <w:rPr>
          <w:rFonts w:cs="Arial"/>
          <w:bCs/>
          <w:sz w:val="16"/>
          <w:szCs w:val="16"/>
        </w:rPr>
        <w:t xml:space="preserve"> 165 z </w:t>
      </w:r>
      <w:proofErr w:type="spellStart"/>
      <w:r>
        <w:rPr>
          <w:rFonts w:cs="Arial"/>
          <w:bCs/>
          <w:sz w:val="16"/>
          <w:szCs w:val="16"/>
        </w:rPr>
        <w:t>dne</w:t>
      </w:r>
      <w:proofErr w:type="spellEnd"/>
      <w:r>
        <w:rPr>
          <w:rFonts w:cs="Arial"/>
          <w:bCs/>
          <w:sz w:val="16"/>
          <w:szCs w:val="16"/>
        </w:rPr>
        <w:t xml:space="preserve"> 18.</w:t>
      </w:r>
      <w:proofErr w:type="gramEnd"/>
      <w:r>
        <w:rPr>
          <w:rFonts w:cs="Arial"/>
          <w:bCs/>
          <w:sz w:val="16"/>
          <w:szCs w:val="16"/>
        </w:rPr>
        <w:t xml:space="preserve"> </w:t>
      </w:r>
      <w:proofErr w:type="gramStart"/>
      <w:r>
        <w:rPr>
          <w:rFonts w:cs="Arial"/>
          <w:bCs/>
          <w:sz w:val="16"/>
          <w:szCs w:val="16"/>
        </w:rPr>
        <w:t>6. 2013, str. 13</w:t>
      </w:r>
      <w:r w:rsidRPr="00E1224B">
        <w:rPr>
          <w:rFonts w:cs="Arial"/>
          <w:bCs/>
          <w:sz w:val="16"/>
          <w:szCs w:val="16"/>
        </w:rPr>
        <w:t>).</w:t>
      </w:r>
      <w:proofErr w:type="gramEnd"/>
    </w:p>
  </w:footnote>
  <w:footnote w:id="6">
    <w:p w:rsidR="00120501" w:rsidRPr="00127B21" w:rsidRDefault="00120501" w:rsidP="00127B21">
      <w:pPr>
        <w:pStyle w:val="Default"/>
        <w:rPr>
          <w:rFonts w:ascii="Arial" w:hAnsi="Arial" w:cs="Arial"/>
          <w:sz w:val="16"/>
          <w:szCs w:val="16"/>
        </w:rPr>
      </w:pPr>
      <w:r w:rsidRPr="00127B21">
        <w:rPr>
          <w:rStyle w:val="Sprotnaopomba-sklic"/>
          <w:rFonts w:ascii="Arial" w:hAnsi="Arial" w:cs="Arial"/>
          <w:sz w:val="18"/>
          <w:szCs w:val="18"/>
        </w:rPr>
        <w:footnoteRef/>
      </w:r>
      <w:r w:rsidRPr="00127B21">
        <w:rPr>
          <w:rFonts w:ascii="Arial" w:hAnsi="Arial" w:cs="Arial"/>
          <w:sz w:val="16"/>
          <w:szCs w:val="16"/>
        </w:rPr>
        <w:t xml:space="preserve"> </w:t>
      </w:r>
      <w:r>
        <w:rPr>
          <w:rFonts w:ascii="Arial" w:hAnsi="Arial" w:cs="Arial"/>
          <w:bCs/>
          <w:sz w:val="16"/>
          <w:szCs w:val="16"/>
        </w:rPr>
        <w:t>Uredba</w:t>
      </w:r>
      <w:r w:rsidRPr="00127B21">
        <w:rPr>
          <w:rFonts w:ascii="Arial" w:hAnsi="Arial" w:cs="Arial"/>
          <w:bCs/>
          <w:sz w:val="16"/>
          <w:szCs w:val="16"/>
        </w:rPr>
        <w:t xml:space="preserve"> (EU) 2018/842 Evropskega parlamenta in Sveta z dne 30. maja 2018 o</w:t>
      </w:r>
      <w:r w:rsidRPr="00127B21">
        <w:rPr>
          <w:rFonts w:ascii="Arial" w:eastAsiaTheme="minorHAnsi" w:hAnsi="Arial" w:cs="Arial"/>
          <w:bCs/>
          <w:sz w:val="16"/>
          <w:szCs w:val="16"/>
        </w:rPr>
        <w:t xml:space="preserve"> zavezujočem letnem zmanjšanju emisij toplogrednih plinov za države članice v obdobju od 2021 do 2030 kot prispevku k podnebnim ukrepom za izpolnitev zavez iz Pariškega sporazuma ter o spremembi Uredbe (EU) št. 525/2013 (UL L št. 156 z dne 19. 6. 2018</w:t>
      </w:r>
      <w:r>
        <w:rPr>
          <w:rFonts w:ascii="Arial" w:eastAsiaTheme="minorHAnsi" w:hAnsi="Arial" w:cs="Arial"/>
          <w:bCs/>
          <w:sz w:val="16"/>
          <w:szCs w:val="16"/>
        </w:rPr>
        <w:t>, str.</w:t>
      </w:r>
      <w:r w:rsidRPr="00127B21">
        <w:rPr>
          <w:rFonts w:ascii="Arial" w:eastAsiaTheme="minorHAnsi" w:hAnsi="Arial" w:cs="Arial"/>
          <w:bCs/>
          <w:sz w:val="16"/>
          <w:szCs w:val="16"/>
        </w:rPr>
        <w:t xml:space="preserve"> 26)</w:t>
      </w:r>
      <w:r>
        <w:rPr>
          <w:rFonts w:ascii="Arial" w:eastAsiaTheme="minorHAnsi" w:hAnsi="Arial" w:cs="Arial"/>
          <w:bCs/>
          <w:sz w:val="16"/>
          <w:szCs w:val="16"/>
        </w:rPr>
        <w:t>.</w:t>
      </w:r>
    </w:p>
  </w:footnote>
  <w:footnote w:id="7">
    <w:p w:rsidR="00120501" w:rsidRPr="00713F12" w:rsidRDefault="00120501" w:rsidP="003C5641">
      <w:pPr>
        <w:pStyle w:val="Footnotebesedilo"/>
        <w:spacing w:line="276" w:lineRule="auto"/>
        <w:rPr>
          <w:rFonts w:asciiTheme="minorHAnsi" w:hAnsiTheme="minorHAnsi"/>
        </w:rPr>
      </w:pPr>
      <w:r w:rsidRPr="00884959">
        <w:rPr>
          <w:rStyle w:val="Sprotnaopomba-sklic"/>
        </w:rPr>
        <w:footnoteRef/>
      </w:r>
      <w:r>
        <w:t xml:space="preserve"> </w:t>
      </w:r>
      <w:r w:rsidRPr="006E0F04">
        <w:t>Akcijski načrt za obnovljive vire energije za obdobje 2010−2020, Vlada Republike Slovenije, julij 2010</w:t>
      </w:r>
      <w:r>
        <w:t>.</w:t>
      </w:r>
    </w:p>
  </w:footnote>
  <w:footnote w:id="8">
    <w:p w:rsidR="00120501" w:rsidRPr="006101FB" w:rsidRDefault="00120501" w:rsidP="003C5641">
      <w:pPr>
        <w:spacing w:after="0"/>
        <w:rPr>
          <w:rFonts w:ascii="Arial" w:hAnsi="Arial" w:cs="Arial"/>
          <w:sz w:val="16"/>
          <w:szCs w:val="16"/>
        </w:rPr>
      </w:pPr>
      <w:r w:rsidRPr="00604F1E">
        <w:rPr>
          <w:rStyle w:val="Sprotnaopomba-sklic"/>
          <w:rFonts w:ascii="Arial" w:hAnsi="Arial" w:cs="Arial"/>
          <w:sz w:val="18"/>
          <w:szCs w:val="18"/>
        </w:rPr>
        <w:footnoteRef/>
      </w:r>
      <w:r w:rsidRPr="00604F1E">
        <w:rPr>
          <w:rFonts w:ascii="Arial" w:hAnsi="Arial" w:cs="Arial"/>
          <w:sz w:val="16"/>
          <w:szCs w:val="16"/>
        </w:rPr>
        <w:t xml:space="preserve"> </w:t>
      </w:r>
      <w:r>
        <w:rPr>
          <w:rFonts w:ascii="Arial" w:hAnsi="Arial" w:cs="Arial"/>
          <w:sz w:val="16"/>
          <w:szCs w:val="16"/>
        </w:rPr>
        <w:t xml:space="preserve">Statistični urad Republike Slovenije. Prehranske bilance – </w:t>
      </w:r>
      <w:r w:rsidRPr="0083459A">
        <w:rPr>
          <w:rFonts w:ascii="Arial" w:hAnsi="Arial" w:cs="Arial"/>
          <w:sz w:val="16"/>
          <w:szCs w:val="16"/>
        </w:rPr>
        <w:t xml:space="preserve"> Bilance</w:t>
      </w:r>
      <w:r w:rsidRPr="00604F1E">
        <w:rPr>
          <w:rFonts w:ascii="Arial" w:hAnsi="Arial" w:cs="Arial"/>
          <w:sz w:val="16"/>
          <w:szCs w:val="16"/>
        </w:rPr>
        <w:t xml:space="preserve"> proizvodnje in potrošnje kmetijskih proizvodov</w:t>
      </w:r>
      <w:r>
        <w:rPr>
          <w:rFonts w:ascii="Arial" w:hAnsi="Arial" w:cs="Arial"/>
          <w:sz w:val="16"/>
          <w:szCs w:val="16"/>
        </w:rPr>
        <w:t xml:space="preserve">. </w:t>
      </w:r>
      <w:r w:rsidRPr="00604F1E">
        <w:rPr>
          <w:rFonts w:ascii="Arial" w:hAnsi="Arial" w:cs="Arial"/>
          <w:sz w:val="16"/>
          <w:szCs w:val="16"/>
        </w:rPr>
        <w:t xml:space="preserve">URL: </w:t>
      </w:r>
      <w:hyperlink r:id="rId2" w:history="1">
        <w:r w:rsidRPr="006101FB">
          <w:rPr>
            <w:rStyle w:val="Hiperpovezava"/>
            <w:rFonts w:ascii="Arial" w:hAnsi="Arial" w:cs="Arial"/>
            <w:sz w:val="16"/>
            <w:szCs w:val="16"/>
          </w:rPr>
          <w:t>http://pxweb.stat.si/pxweb/Database/Okolje/Okolje.asp</w:t>
        </w:r>
      </w:hyperlink>
      <w:r w:rsidRPr="006101FB">
        <w:rPr>
          <w:rFonts w:ascii="Arial" w:hAnsi="Arial" w:cs="Arial"/>
          <w:sz w:val="16"/>
          <w:szCs w:val="16"/>
        </w:rPr>
        <w:t xml:space="preserve">.  </w:t>
      </w:r>
    </w:p>
  </w:footnote>
  <w:footnote w:id="9">
    <w:p w:rsidR="00120501" w:rsidRPr="004A45D6" w:rsidRDefault="00120501" w:rsidP="003C5641">
      <w:pPr>
        <w:pStyle w:val="Sprotnaopomba-besedilo"/>
        <w:spacing w:line="276" w:lineRule="auto"/>
        <w:rPr>
          <w:lang w:val="sl-SI"/>
        </w:rPr>
      </w:pPr>
      <w:r w:rsidRPr="00FA5ACF">
        <w:rPr>
          <w:rStyle w:val="Sprotnaopomba-sklic"/>
          <w:sz w:val="18"/>
          <w:szCs w:val="18"/>
          <w:lang w:val="sl-SI"/>
        </w:rPr>
        <w:footnoteRef/>
      </w:r>
      <w:r w:rsidRPr="00FA5ACF">
        <w:rPr>
          <w:sz w:val="16"/>
          <w:szCs w:val="16"/>
          <w:lang w:val="sl-SI"/>
        </w:rPr>
        <w:t xml:space="preserve"> Za podrobnosti glej opis kaz</w:t>
      </w:r>
      <w:r>
        <w:rPr>
          <w:sz w:val="16"/>
          <w:szCs w:val="16"/>
          <w:lang w:val="sl-SI"/>
        </w:rPr>
        <w:t>alnika</w:t>
      </w:r>
      <w:r w:rsidRPr="00FA5ACF">
        <w:rPr>
          <w:sz w:val="16"/>
          <w:szCs w:val="16"/>
          <w:lang w:val="sl-SI"/>
        </w:rPr>
        <w:t xml:space="preserve"> Emisijska produktivnost</w:t>
      </w:r>
      <w:r>
        <w:rPr>
          <w:sz w:val="16"/>
          <w:szCs w:val="16"/>
          <w:lang w:val="sl-SI"/>
        </w:rPr>
        <w:t xml:space="preserve"> v Podnebnem ogledalu 2018, zvezek</w:t>
      </w:r>
      <w:r w:rsidRPr="00FA5ACF">
        <w:rPr>
          <w:sz w:val="16"/>
          <w:szCs w:val="16"/>
          <w:lang w:val="sl-SI"/>
        </w:rPr>
        <w:t xml:space="preserve"> 2</w:t>
      </w:r>
      <w:r>
        <w:rPr>
          <w:sz w:val="16"/>
          <w:szCs w:val="16"/>
          <w:lang w:val="sl-SI"/>
        </w:rPr>
        <w:t>: Kazalniki za spremljanje izvajanja OP TGP 2020.</w:t>
      </w:r>
    </w:p>
  </w:footnote>
  <w:footnote w:id="10">
    <w:p w:rsidR="00120501" w:rsidRPr="00D31415" w:rsidRDefault="00120501">
      <w:pPr>
        <w:pStyle w:val="Sprotnaopomba-besedilo"/>
        <w:rPr>
          <w:lang w:val="sl-SI"/>
        </w:rPr>
      </w:pPr>
      <w:r w:rsidRPr="00D31415">
        <w:rPr>
          <w:rStyle w:val="Sprotnaopomba-sklic"/>
          <w:sz w:val="18"/>
          <w:szCs w:val="18"/>
          <w:lang w:val="sl-SI"/>
        </w:rPr>
        <w:footnoteRef/>
      </w:r>
      <w:r w:rsidRPr="00D31415">
        <w:rPr>
          <w:lang w:val="sl-SI"/>
        </w:rPr>
        <w:t xml:space="preserve"> </w:t>
      </w:r>
      <w:r w:rsidRPr="00D31415">
        <w:rPr>
          <w:sz w:val="16"/>
          <w:szCs w:val="16"/>
          <w:lang w:val="sl-SI"/>
        </w:rPr>
        <w:t>Slovenska strategija pametne specializacije, Vlada Republike Slovenije, julij 2015.</w:t>
      </w:r>
      <w:r w:rsidRPr="00D31415">
        <w:rPr>
          <w:lang w:val="sl-SI"/>
        </w:rPr>
        <w:t xml:space="preserve"> </w:t>
      </w:r>
    </w:p>
  </w:footnote>
  <w:footnote w:id="11">
    <w:p w:rsidR="00120501" w:rsidRPr="00CA67FE" w:rsidRDefault="00120501" w:rsidP="00CF0D96">
      <w:pPr>
        <w:pStyle w:val="Sprotnaopomba-besedilo"/>
        <w:rPr>
          <w:lang w:val="sl-SI"/>
        </w:rPr>
      </w:pPr>
      <w:r w:rsidRPr="002A1584">
        <w:rPr>
          <w:rStyle w:val="Sprotnaopomba-sklic"/>
          <w:sz w:val="18"/>
          <w:szCs w:val="18"/>
        </w:rPr>
        <w:footnoteRef/>
      </w:r>
      <w:r>
        <w:t xml:space="preserve"> </w:t>
      </w:r>
      <w:hyperlink r:id="rId3" w:tooltip="Prenos datoteke" w:history="1">
        <w:r w:rsidRPr="002A1584">
          <w:rPr>
            <w:rStyle w:val="Hiperpovezava"/>
            <w:bCs/>
            <w:color w:val="auto"/>
            <w:sz w:val="16"/>
            <w:szCs w:val="16"/>
            <w:u w:val="none"/>
            <w:lang w:val="sl-SI"/>
          </w:rPr>
          <w:t>Zaključno poročilo projekta P3: Zelena proračunska reforma</w:t>
        </w:r>
      </w:hyperlink>
      <w:r w:rsidRPr="002A1584">
        <w:rPr>
          <w:bCs/>
          <w:sz w:val="16"/>
          <w:szCs w:val="16"/>
          <w:lang w:val="sl-SI"/>
        </w:rPr>
        <w:t>, Vlada Republike Slovenije, maj 2018.</w:t>
      </w:r>
    </w:p>
  </w:footnote>
  <w:footnote w:id="12">
    <w:p w:rsidR="00120501" w:rsidRPr="00594548" w:rsidRDefault="00120501">
      <w:pPr>
        <w:pStyle w:val="Sprotnaopomba-besedilo"/>
        <w:rPr>
          <w:lang w:val="sl-SI"/>
        </w:rPr>
      </w:pPr>
      <w:r w:rsidRPr="00594548">
        <w:rPr>
          <w:rStyle w:val="Sprotnaopomba-sklic"/>
          <w:sz w:val="18"/>
          <w:szCs w:val="18"/>
        </w:rPr>
        <w:footnoteRef/>
      </w:r>
      <w:r w:rsidRPr="00594548">
        <w:rPr>
          <w:sz w:val="18"/>
          <w:szCs w:val="18"/>
        </w:rPr>
        <w:t xml:space="preserve"> </w:t>
      </w:r>
      <w:r w:rsidRPr="00F15072">
        <w:rPr>
          <w:rFonts w:cs="Arial"/>
          <w:sz w:val="16"/>
          <w:szCs w:val="16"/>
          <w:lang w:val="sl-SI"/>
        </w:rPr>
        <w:t xml:space="preserve">Uradni list RS, št. </w:t>
      </w:r>
      <w:hyperlink r:id="rId4" w:history="1">
        <w:r w:rsidRPr="00F15072">
          <w:rPr>
            <w:rStyle w:val="Hiperpovezava"/>
            <w:rFonts w:cs="Arial"/>
            <w:sz w:val="16"/>
            <w:szCs w:val="16"/>
            <w:lang w:val="sl-SI"/>
          </w:rPr>
          <w:t>51/17</w:t>
        </w:r>
      </w:hyperlink>
    </w:p>
  </w:footnote>
  <w:footnote w:id="13">
    <w:p w:rsidR="00120501" w:rsidRPr="00F15072" w:rsidRDefault="00120501" w:rsidP="007A5982">
      <w:pPr>
        <w:pStyle w:val="Sprotnaopomba-besedilo"/>
        <w:rPr>
          <w:lang w:val="sl-SI"/>
        </w:rPr>
      </w:pPr>
      <w:r w:rsidRPr="00F15072">
        <w:rPr>
          <w:rStyle w:val="Sprotnaopomba-sklic"/>
          <w:sz w:val="18"/>
          <w:szCs w:val="18"/>
          <w:lang w:val="sl-SI"/>
        </w:rPr>
        <w:footnoteRef/>
      </w:r>
      <w:r w:rsidRPr="00F15072">
        <w:rPr>
          <w:sz w:val="18"/>
          <w:szCs w:val="18"/>
          <w:lang w:val="sl-SI"/>
        </w:rPr>
        <w:t xml:space="preserve"> </w:t>
      </w:r>
      <w:r w:rsidRPr="00F15072">
        <w:rPr>
          <w:rFonts w:cs="Arial"/>
          <w:sz w:val="16"/>
          <w:szCs w:val="16"/>
          <w:lang w:val="sl-SI"/>
        </w:rPr>
        <w:t xml:space="preserve">Uradni list RS, št. </w:t>
      </w:r>
      <w:hyperlink r:id="rId5" w:history="1">
        <w:r w:rsidRPr="00F15072">
          <w:rPr>
            <w:rStyle w:val="Hiperpovezava"/>
            <w:rFonts w:cs="Arial"/>
            <w:sz w:val="16"/>
            <w:szCs w:val="16"/>
            <w:lang w:val="sl-SI"/>
          </w:rPr>
          <w:t>52/10</w:t>
        </w:r>
      </w:hyperlink>
    </w:p>
  </w:footnote>
  <w:footnote w:id="14">
    <w:p w:rsidR="00120501" w:rsidRPr="00640BA6" w:rsidRDefault="00120501" w:rsidP="007A5982">
      <w:pPr>
        <w:pStyle w:val="Sprotnaopomba-besedilo"/>
        <w:rPr>
          <w:lang w:val="sl-SI"/>
        </w:rPr>
      </w:pPr>
      <w:r w:rsidRPr="00F15072">
        <w:rPr>
          <w:rStyle w:val="Sprotnaopomba-sklic"/>
          <w:sz w:val="18"/>
          <w:szCs w:val="18"/>
          <w:lang w:val="sl-SI"/>
        </w:rPr>
        <w:footnoteRef/>
      </w:r>
      <w:r w:rsidRPr="00F15072">
        <w:rPr>
          <w:lang w:val="sl-SI"/>
        </w:rPr>
        <w:t xml:space="preserve"> </w:t>
      </w:r>
      <w:r w:rsidRPr="00F15072">
        <w:rPr>
          <w:rFonts w:cs="Arial"/>
          <w:sz w:val="16"/>
          <w:szCs w:val="16"/>
          <w:lang w:val="sl-SI"/>
        </w:rPr>
        <w:t>Operativni program za izvajanje Evropske kohezijske politike v obdobju 2014−2020, Vlada Republike Slovenije, november 2014.</w:t>
      </w:r>
    </w:p>
  </w:footnote>
  <w:footnote w:id="15">
    <w:p w:rsidR="00120501" w:rsidRPr="00C531AC" w:rsidRDefault="00120501" w:rsidP="007A5982">
      <w:pPr>
        <w:pStyle w:val="Sprotnaopomba-besedilo"/>
        <w:rPr>
          <w:lang w:val="sl-SI"/>
        </w:rPr>
      </w:pPr>
      <w:r w:rsidRPr="00FC4D5E">
        <w:rPr>
          <w:rStyle w:val="Sprotnaopomba-sklic"/>
          <w:sz w:val="18"/>
          <w:szCs w:val="18"/>
        </w:rPr>
        <w:footnoteRef/>
      </w:r>
      <w:r w:rsidRPr="00FC4D5E">
        <w:rPr>
          <w:sz w:val="18"/>
          <w:szCs w:val="18"/>
        </w:rPr>
        <w:t xml:space="preserve"> </w:t>
      </w:r>
      <w:r w:rsidRPr="00C531AC">
        <w:rPr>
          <w:rFonts w:cs="Arial"/>
          <w:sz w:val="16"/>
          <w:szCs w:val="16"/>
          <w:lang w:val="sl-SI"/>
        </w:rPr>
        <w:t>Dolgoročna strategija za spodbujanje naložb energetske prenove stavb, Vlada Republike Slovenije, oktober 2015</w:t>
      </w:r>
      <w:r>
        <w:rPr>
          <w:rFonts w:cs="Arial"/>
          <w:sz w:val="16"/>
          <w:szCs w:val="16"/>
          <w:lang w:val="sl-SI"/>
        </w:rPr>
        <w:t>.</w:t>
      </w:r>
    </w:p>
  </w:footnote>
  <w:footnote w:id="16">
    <w:p w:rsidR="00120501" w:rsidRPr="00594548" w:rsidRDefault="00120501">
      <w:pPr>
        <w:pStyle w:val="Sprotnaopomba-besedilo"/>
        <w:rPr>
          <w:lang w:val="sl-SI"/>
        </w:rPr>
      </w:pPr>
      <w:r w:rsidRPr="00594548">
        <w:rPr>
          <w:rStyle w:val="Sprotnaopomba-sklic"/>
          <w:sz w:val="18"/>
          <w:szCs w:val="18"/>
        </w:rPr>
        <w:footnoteRef/>
      </w:r>
      <w:r>
        <w:t xml:space="preserve"> </w:t>
      </w:r>
      <w:r w:rsidRPr="00594548">
        <w:rPr>
          <w:sz w:val="16"/>
          <w:szCs w:val="16"/>
          <w:lang w:val="sl-SI"/>
        </w:rPr>
        <w:t>Dopolnitev Dolgoročne strategije za spodbujanje naložb energetske prenove stavb, Vlada Republike Slovenije, februar 2018.</w:t>
      </w:r>
    </w:p>
  </w:footnote>
  <w:footnote w:id="17">
    <w:p w:rsidR="00120501" w:rsidRPr="003F1C44" w:rsidRDefault="00120501" w:rsidP="007A5982">
      <w:pPr>
        <w:pStyle w:val="Footnotebesedilo"/>
        <w:rPr>
          <w:rFonts w:cs="Arial"/>
        </w:rPr>
      </w:pPr>
      <w:r w:rsidRPr="002548EE">
        <w:rPr>
          <w:rStyle w:val="Sprotnaopomba-sklic"/>
          <w:rFonts w:cs="Arial"/>
          <w:sz w:val="18"/>
          <w:szCs w:val="18"/>
        </w:rPr>
        <w:footnoteRef/>
      </w:r>
      <w:r w:rsidRPr="003F1C44">
        <w:rPr>
          <w:rFonts w:cs="Arial"/>
        </w:rPr>
        <w:tab/>
        <w:t xml:space="preserve">Uradni list RS, št. </w:t>
      </w:r>
      <w:hyperlink r:id="rId6" w:tgtFrame="_blank" w:tooltip="Energetski zakon (EZ-1)" w:history="1">
        <w:r w:rsidRPr="003F1C44">
          <w:rPr>
            <w:rStyle w:val="Hiperpovezava"/>
            <w:rFonts w:cs="Arial"/>
          </w:rPr>
          <w:t>17/14</w:t>
        </w:r>
      </w:hyperlink>
      <w:r w:rsidRPr="003F1C44">
        <w:rPr>
          <w:rFonts w:cs="Arial"/>
        </w:rPr>
        <w:t xml:space="preserve"> in </w:t>
      </w:r>
      <w:hyperlink r:id="rId7" w:tgtFrame="_blank" w:tooltip="Zakon o spremembah Energetskega zakona" w:history="1">
        <w:r w:rsidRPr="003F1C44">
          <w:rPr>
            <w:rStyle w:val="Hiperpovezava"/>
            <w:rFonts w:cs="Arial"/>
          </w:rPr>
          <w:t>81/15</w:t>
        </w:r>
      </w:hyperlink>
      <w:r>
        <w:rPr>
          <w:rStyle w:val="Hiperpovezava"/>
          <w:rFonts w:cs="Arial"/>
        </w:rPr>
        <w:t>.</w:t>
      </w:r>
    </w:p>
  </w:footnote>
  <w:footnote w:id="18">
    <w:p w:rsidR="00120501" w:rsidRPr="003F1B5D" w:rsidRDefault="00120501">
      <w:pPr>
        <w:pStyle w:val="Sprotnaopomba-besedilo"/>
        <w:rPr>
          <w:sz w:val="16"/>
          <w:szCs w:val="16"/>
        </w:rPr>
      </w:pPr>
      <w:r w:rsidRPr="003F1B5D">
        <w:rPr>
          <w:rStyle w:val="Sprotnaopomba-sklic"/>
          <w:sz w:val="18"/>
          <w:szCs w:val="18"/>
        </w:rPr>
        <w:footnoteRef/>
      </w:r>
      <w:r w:rsidRPr="003F1B5D">
        <w:rPr>
          <w:sz w:val="16"/>
          <w:szCs w:val="16"/>
        </w:rPr>
        <w:t xml:space="preserve"> </w:t>
      </w:r>
      <w:hyperlink r:id="rId8" w:history="1">
        <w:r w:rsidRPr="00675623">
          <w:rPr>
            <w:rStyle w:val="Hiperpovezava"/>
            <w:sz w:val="16"/>
            <w:szCs w:val="16"/>
          </w:rPr>
          <w:t>https://www.stat.si/StatWeb/News/Index/7596</w:t>
        </w:r>
      </w:hyperlink>
    </w:p>
  </w:footnote>
  <w:footnote w:id="19">
    <w:p w:rsidR="00120501" w:rsidRPr="003A77F0" w:rsidRDefault="00120501" w:rsidP="008E0184">
      <w:pPr>
        <w:pStyle w:val="Sprotnaopomba-besedilo"/>
        <w:spacing w:line="276" w:lineRule="auto"/>
        <w:rPr>
          <w:sz w:val="16"/>
          <w:szCs w:val="16"/>
          <w:lang w:val="sl-SI"/>
        </w:rPr>
      </w:pPr>
      <w:r w:rsidRPr="003A77F0">
        <w:rPr>
          <w:rStyle w:val="Sprotnaopomba-sklic"/>
          <w:sz w:val="18"/>
          <w:szCs w:val="18"/>
          <w:lang w:val="sl-SI"/>
        </w:rPr>
        <w:footnoteRef/>
      </w:r>
      <w:r w:rsidRPr="003A77F0">
        <w:rPr>
          <w:sz w:val="16"/>
          <w:szCs w:val="16"/>
          <w:lang w:val="sl-SI"/>
        </w:rPr>
        <w:t xml:space="preserve"> </w:t>
      </w:r>
      <w:r w:rsidRPr="00801D0E">
        <w:rPr>
          <w:sz w:val="16"/>
          <w:szCs w:val="16"/>
          <w:lang w:val="sl-SI"/>
        </w:rPr>
        <w:t xml:space="preserve">Kmetijska zemljišča v uporabi z ekološko pridelavo, Slovenija, 2016. </w:t>
      </w:r>
      <w:r w:rsidRPr="00801D0E">
        <w:rPr>
          <w:rFonts w:cs="Arial"/>
          <w:sz w:val="16"/>
          <w:szCs w:val="16"/>
          <w:lang w:val="sl-SI"/>
        </w:rPr>
        <w:t xml:space="preserve">Statistični urad Republike Slovenije. URL: </w:t>
      </w:r>
      <w:hyperlink r:id="rId9" w:history="1">
        <w:r w:rsidRPr="00801D0E">
          <w:rPr>
            <w:rStyle w:val="Hiperpovezava"/>
            <w:sz w:val="16"/>
            <w:szCs w:val="16"/>
          </w:rPr>
          <w:t>http://pxweb.stat.si/pxweb/Database/Okolje/15_kmetijstvo_ribistvo/11_15619_ekolosko_kmet/11_15619_ekolosko_kmet.asp</w:t>
        </w:r>
      </w:hyperlink>
      <w:r w:rsidRPr="00801D0E">
        <w:rPr>
          <w:rFonts w:cs="Arial"/>
          <w:sz w:val="16"/>
          <w:szCs w:val="16"/>
          <w:lang w:val="sl-SI"/>
        </w:rPr>
        <w:t>.</w:t>
      </w:r>
      <w:r w:rsidRPr="003A77F0">
        <w:rPr>
          <w:rFonts w:cs="Arial"/>
          <w:sz w:val="16"/>
          <w:szCs w:val="16"/>
          <w:lang w:val="sl-SI"/>
        </w:rPr>
        <w:t xml:space="preserve"> </w:t>
      </w:r>
    </w:p>
  </w:footnote>
  <w:footnote w:id="20">
    <w:p w:rsidR="00120501" w:rsidRPr="00EA5194" w:rsidRDefault="00120501" w:rsidP="008E0184">
      <w:pPr>
        <w:pStyle w:val="Sprotnaopomba-besedilo"/>
        <w:spacing w:line="276" w:lineRule="auto"/>
        <w:rPr>
          <w:lang w:val="sl-SI"/>
        </w:rPr>
      </w:pPr>
      <w:r>
        <w:rPr>
          <w:rStyle w:val="Sprotnaopomba-sklic"/>
        </w:rPr>
        <w:footnoteRef/>
      </w:r>
      <w:r>
        <w:t xml:space="preserve"> </w:t>
      </w:r>
      <w:r w:rsidRPr="0021577D">
        <w:rPr>
          <w:sz w:val="16"/>
          <w:szCs w:val="16"/>
          <w:lang w:val="sl-SI"/>
        </w:rPr>
        <w:t>Program razvoja podeželja 2014–2020, Vlada Republike Slovenije, februar 2015</w:t>
      </w:r>
      <w:r>
        <w:rPr>
          <w:sz w:val="16"/>
          <w:szCs w:val="16"/>
          <w:lang w:val="sl-SI"/>
        </w:rPr>
        <w:t>.</w:t>
      </w:r>
    </w:p>
  </w:footnote>
  <w:footnote w:id="21">
    <w:p w:rsidR="00120501" w:rsidRPr="008C0CF6" w:rsidRDefault="00120501" w:rsidP="008E0184">
      <w:pPr>
        <w:pStyle w:val="Sprotnaopomba-besedilo"/>
        <w:spacing w:line="276" w:lineRule="auto"/>
        <w:rPr>
          <w:sz w:val="16"/>
          <w:szCs w:val="16"/>
          <w:lang w:val="sl-SI"/>
        </w:rPr>
      </w:pPr>
      <w:r w:rsidRPr="008C0CF6">
        <w:rPr>
          <w:rStyle w:val="Sprotnaopomba-sklic"/>
          <w:sz w:val="18"/>
          <w:szCs w:val="18"/>
        </w:rPr>
        <w:footnoteRef/>
      </w:r>
      <w:r w:rsidRPr="008C0CF6">
        <w:rPr>
          <w:sz w:val="16"/>
          <w:szCs w:val="16"/>
        </w:rPr>
        <w:t xml:space="preserve"> </w:t>
      </w:r>
      <w:proofErr w:type="spellStart"/>
      <w:r w:rsidRPr="008C0CF6">
        <w:rPr>
          <w:sz w:val="16"/>
          <w:szCs w:val="16"/>
        </w:rPr>
        <w:t>Uradni</w:t>
      </w:r>
      <w:proofErr w:type="spellEnd"/>
      <w:r w:rsidRPr="008C0CF6">
        <w:rPr>
          <w:sz w:val="16"/>
          <w:szCs w:val="16"/>
        </w:rPr>
        <w:t xml:space="preserve"> list RS, </w:t>
      </w:r>
      <w:proofErr w:type="spellStart"/>
      <w:r w:rsidRPr="008C0CF6">
        <w:rPr>
          <w:sz w:val="16"/>
          <w:szCs w:val="16"/>
        </w:rPr>
        <w:t>št</w:t>
      </w:r>
      <w:proofErr w:type="spellEnd"/>
      <w:r w:rsidRPr="008C0CF6">
        <w:rPr>
          <w:sz w:val="16"/>
          <w:szCs w:val="16"/>
        </w:rPr>
        <w:t xml:space="preserve">. </w:t>
      </w:r>
      <w:hyperlink r:id="rId10" w:tgtFrame="_blank" w:tooltip="Uredba o izvajanju ukrepa Sodelovanje iz Programa razvoja podeželja Republike Slovenije za obdobje 2014–2020" w:history="1">
        <w:proofErr w:type="gramStart"/>
        <w:r w:rsidRPr="008C0CF6">
          <w:rPr>
            <w:rStyle w:val="Hiperpovezava"/>
            <w:sz w:val="16"/>
            <w:szCs w:val="16"/>
          </w:rPr>
          <w:t>68/17</w:t>
        </w:r>
      </w:hyperlink>
      <w:r>
        <w:rPr>
          <w:sz w:val="16"/>
          <w:szCs w:val="16"/>
        </w:rPr>
        <w:t>.</w:t>
      </w:r>
      <w:proofErr w:type="gramEnd"/>
    </w:p>
  </w:footnote>
  <w:footnote w:id="22">
    <w:p w:rsidR="00120501" w:rsidRPr="004E5608" w:rsidRDefault="00120501" w:rsidP="008E0184">
      <w:pPr>
        <w:pStyle w:val="Sprotnaopomba-besedilo"/>
        <w:spacing w:line="276" w:lineRule="auto"/>
        <w:rPr>
          <w:sz w:val="16"/>
          <w:szCs w:val="16"/>
          <w:lang w:val="sl-SI"/>
        </w:rPr>
      </w:pPr>
      <w:r w:rsidRPr="004E5608">
        <w:rPr>
          <w:rStyle w:val="Sprotnaopomba-sklic"/>
          <w:sz w:val="18"/>
          <w:szCs w:val="18"/>
        </w:rPr>
        <w:footnoteRef/>
      </w:r>
      <w:r w:rsidRPr="004E5608">
        <w:rPr>
          <w:sz w:val="18"/>
          <w:szCs w:val="18"/>
        </w:rPr>
        <w:t xml:space="preserve"> </w:t>
      </w:r>
      <w:r w:rsidRPr="004E5608">
        <w:rPr>
          <w:sz w:val="16"/>
          <w:szCs w:val="16"/>
          <w:lang w:val="sl-SI"/>
        </w:rPr>
        <w:t xml:space="preserve">Akcijski načrt za </w:t>
      </w:r>
      <w:r>
        <w:rPr>
          <w:sz w:val="16"/>
          <w:szCs w:val="16"/>
          <w:lang w:val="sl-SI"/>
        </w:rPr>
        <w:t xml:space="preserve">energetsko učinkovitost za obdobje 2014–2020 </w:t>
      </w:r>
      <w:r w:rsidRPr="004E5608">
        <w:rPr>
          <w:sz w:val="16"/>
          <w:szCs w:val="16"/>
          <w:lang w:val="sl-SI"/>
        </w:rPr>
        <w:t>, Vlada R</w:t>
      </w:r>
      <w:r>
        <w:rPr>
          <w:sz w:val="16"/>
          <w:szCs w:val="16"/>
          <w:lang w:val="sl-SI"/>
        </w:rPr>
        <w:t>epublike Slovenije</w:t>
      </w:r>
      <w:r w:rsidRPr="004E5608">
        <w:rPr>
          <w:sz w:val="16"/>
          <w:szCs w:val="16"/>
          <w:lang w:val="sl-SI"/>
        </w:rPr>
        <w:t>,</w:t>
      </w:r>
      <w:r>
        <w:rPr>
          <w:sz w:val="16"/>
          <w:szCs w:val="16"/>
          <w:lang w:val="sl-SI"/>
        </w:rPr>
        <w:t xml:space="preserve"> maj</w:t>
      </w:r>
      <w:r w:rsidRPr="004E5608">
        <w:rPr>
          <w:sz w:val="16"/>
          <w:szCs w:val="16"/>
          <w:lang w:val="sl-SI"/>
        </w:rPr>
        <w:t xml:space="preserve"> 2015</w:t>
      </w:r>
      <w:r>
        <w:rPr>
          <w:sz w:val="16"/>
          <w:szCs w:val="16"/>
          <w:lang w:val="sl-SI"/>
        </w:rPr>
        <w:t>.</w:t>
      </w:r>
      <w:r w:rsidRPr="004E5608">
        <w:rPr>
          <w:sz w:val="16"/>
          <w:szCs w:val="16"/>
          <w:lang w:val="sl-SI"/>
        </w:rPr>
        <w:t xml:space="preserve"> </w:t>
      </w:r>
    </w:p>
  </w:footnote>
  <w:footnote w:id="23">
    <w:p w:rsidR="00120501" w:rsidRPr="0075169B" w:rsidRDefault="00120501" w:rsidP="008E0184">
      <w:pPr>
        <w:pStyle w:val="Sprotnaopomba-besedilo"/>
        <w:spacing w:line="276" w:lineRule="auto"/>
        <w:rPr>
          <w:lang w:val="sl-SI"/>
        </w:rPr>
      </w:pPr>
      <w:r w:rsidRPr="0075169B">
        <w:rPr>
          <w:rStyle w:val="Sprotnaopomba-sklic"/>
          <w:sz w:val="18"/>
          <w:szCs w:val="18"/>
        </w:rPr>
        <w:footnoteRef/>
      </w:r>
      <w:r>
        <w:t xml:space="preserve"> </w:t>
      </w:r>
      <w:r w:rsidRPr="004E5608">
        <w:rPr>
          <w:sz w:val="16"/>
          <w:szCs w:val="16"/>
          <w:lang w:val="sl-SI"/>
        </w:rPr>
        <w:t xml:space="preserve">Akcijski načrt za </w:t>
      </w:r>
      <w:r>
        <w:rPr>
          <w:sz w:val="16"/>
          <w:szCs w:val="16"/>
          <w:lang w:val="sl-SI"/>
        </w:rPr>
        <w:t>energetsko učinkovitost do leta 2020</w:t>
      </w:r>
      <w:r w:rsidRPr="004E5608">
        <w:rPr>
          <w:sz w:val="16"/>
          <w:szCs w:val="16"/>
          <w:lang w:val="sl-SI"/>
        </w:rPr>
        <w:t>, Vlada R</w:t>
      </w:r>
      <w:r>
        <w:rPr>
          <w:sz w:val="16"/>
          <w:szCs w:val="16"/>
          <w:lang w:val="sl-SI"/>
        </w:rPr>
        <w:t>epublike Slovenije</w:t>
      </w:r>
      <w:r w:rsidRPr="004E5608">
        <w:rPr>
          <w:sz w:val="16"/>
          <w:szCs w:val="16"/>
          <w:lang w:val="sl-SI"/>
        </w:rPr>
        <w:t>,</w:t>
      </w:r>
      <w:r>
        <w:rPr>
          <w:sz w:val="16"/>
          <w:szCs w:val="16"/>
          <w:lang w:val="sl-SI"/>
        </w:rPr>
        <w:t xml:space="preserve"> december 2017.</w:t>
      </w:r>
    </w:p>
  </w:footnote>
  <w:footnote w:id="24">
    <w:p w:rsidR="00120501" w:rsidRDefault="00120501" w:rsidP="00F4699D">
      <w:pPr>
        <w:pStyle w:val="Sprotnaopomba-besedilo"/>
      </w:pPr>
      <w:r w:rsidRPr="00F4699D">
        <w:rPr>
          <w:rStyle w:val="Sprotnaopomba-sklic"/>
          <w:sz w:val="18"/>
          <w:szCs w:val="18"/>
        </w:rPr>
        <w:footnoteRef/>
      </w:r>
      <w:r>
        <w:t xml:space="preserve"> </w:t>
      </w:r>
      <w:r w:rsidRPr="002D5D44">
        <w:rPr>
          <w:sz w:val="16"/>
          <w:szCs w:val="16"/>
          <w:lang w:val="sl-SI"/>
        </w:rPr>
        <w:t xml:space="preserve">Uradni list RS, št. </w:t>
      </w:r>
      <w:hyperlink r:id="rId11" w:tgtFrame="_blank" w:tooltip="Uredba o zagotavljanju prihrankov energije" w:history="1">
        <w:r w:rsidRPr="002D5D44">
          <w:rPr>
            <w:rStyle w:val="Hiperpovezava"/>
            <w:sz w:val="16"/>
            <w:szCs w:val="16"/>
            <w:lang w:val="sl-SI"/>
          </w:rPr>
          <w:t>96/14</w:t>
        </w:r>
      </w:hyperlink>
      <w:r w:rsidRPr="002D5D44">
        <w:rPr>
          <w:sz w:val="16"/>
          <w:szCs w:val="16"/>
          <w:lang w:val="sl-S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F73"/>
    <w:multiLevelType w:val="hybridMultilevel"/>
    <w:tmpl w:val="71568A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6895DBF"/>
    <w:multiLevelType w:val="hybridMultilevel"/>
    <w:tmpl w:val="88F0C23A"/>
    <w:lvl w:ilvl="0" w:tplc="D69A6F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0B253A5E"/>
    <w:multiLevelType w:val="hybridMultilevel"/>
    <w:tmpl w:val="C24457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DD853E8"/>
    <w:multiLevelType w:val="hybridMultilevel"/>
    <w:tmpl w:val="603079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0177A33"/>
    <w:multiLevelType w:val="hybridMultilevel"/>
    <w:tmpl w:val="760C3B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15A6B07"/>
    <w:multiLevelType w:val="hybridMultilevel"/>
    <w:tmpl w:val="913C56CC"/>
    <w:lvl w:ilvl="0" w:tplc="D28E2F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2905796"/>
    <w:multiLevelType w:val="hybridMultilevel"/>
    <w:tmpl w:val="08D675DA"/>
    <w:lvl w:ilvl="0" w:tplc="452884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2C67918"/>
    <w:multiLevelType w:val="hybridMultilevel"/>
    <w:tmpl w:val="B7AE1FEE"/>
    <w:lvl w:ilvl="0" w:tplc="04240001">
      <w:start w:val="1"/>
      <w:numFmt w:val="bullet"/>
      <w:lvlText w:val=""/>
      <w:lvlJc w:val="left"/>
      <w:pPr>
        <w:ind w:left="1140" w:hanging="360"/>
      </w:pPr>
      <w:rPr>
        <w:rFonts w:ascii="Symbol" w:hAnsi="Symbol" w:hint="default"/>
      </w:rPr>
    </w:lvl>
    <w:lvl w:ilvl="1" w:tplc="04240003" w:tentative="1">
      <w:start w:val="1"/>
      <w:numFmt w:val="bullet"/>
      <w:lvlText w:val="o"/>
      <w:lvlJc w:val="left"/>
      <w:pPr>
        <w:ind w:left="1860" w:hanging="360"/>
      </w:pPr>
      <w:rPr>
        <w:rFonts w:ascii="Courier New" w:hAnsi="Courier New" w:cs="Courier New" w:hint="default"/>
      </w:rPr>
    </w:lvl>
    <w:lvl w:ilvl="2" w:tplc="04240005" w:tentative="1">
      <w:start w:val="1"/>
      <w:numFmt w:val="bullet"/>
      <w:lvlText w:val=""/>
      <w:lvlJc w:val="left"/>
      <w:pPr>
        <w:ind w:left="2580" w:hanging="360"/>
      </w:pPr>
      <w:rPr>
        <w:rFonts w:ascii="Wingdings" w:hAnsi="Wingdings" w:hint="default"/>
      </w:rPr>
    </w:lvl>
    <w:lvl w:ilvl="3" w:tplc="04240001" w:tentative="1">
      <w:start w:val="1"/>
      <w:numFmt w:val="bullet"/>
      <w:lvlText w:val=""/>
      <w:lvlJc w:val="left"/>
      <w:pPr>
        <w:ind w:left="3300" w:hanging="360"/>
      </w:pPr>
      <w:rPr>
        <w:rFonts w:ascii="Symbol" w:hAnsi="Symbol" w:hint="default"/>
      </w:rPr>
    </w:lvl>
    <w:lvl w:ilvl="4" w:tplc="04240003" w:tentative="1">
      <w:start w:val="1"/>
      <w:numFmt w:val="bullet"/>
      <w:lvlText w:val="o"/>
      <w:lvlJc w:val="left"/>
      <w:pPr>
        <w:ind w:left="4020" w:hanging="360"/>
      </w:pPr>
      <w:rPr>
        <w:rFonts w:ascii="Courier New" w:hAnsi="Courier New" w:cs="Courier New" w:hint="default"/>
      </w:rPr>
    </w:lvl>
    <w:lvl w:ilvl="5" w:tplc="04240005" w:tentative="1">
      <w:start w:val="1"/>
      <w:numFmt w:val="bullet"/>
      <w:lvlText w:val=""/>
      <w:lvlJc w:val="left"/>
      <w:pPr>
        <w:ind w:left="4740" w:hanging="360"/>
      </w:pPr>
      <w:rPr>
        <w:rFonts w:ascii="Wingdings" w:hAnsi="Wingdings" w:hint="default"/>
      </w:rPr>
    </w:lvl>
    <w:lvl w:ilvl="6" w:tplc="04240001" w:tentative="1">
      <w:start w:val="1"/>
      <w:numFmt w:val="bullet"/>
      <w:lvlText w:val=""/>
      <w:lvlJc w:val="left"/>
      <w:pPr>
        <w:ind w:left="5460" w:hanging="360"/>
      </w:pPr>
      <w:rPr>
        <w:rFonts w:ascii="Symbol" w:hAnsi="Symbol" w:hint="default"/>
      </w:rPr>
    </w:lvl>
    <w:lvl w:ilvl="7" w:tplc="04240003" w:tentative="1">
      <w:start w:val="1"/>
      <w:numFmt w:val="bullet"/>
      <w:lvlText w:val="o"/>
      <w:lvlJc w:val="left"/>
      <w:pPr>
        <w:ind w:left="6180" w:hanging="360"/>
      </w:pPr>
      <w:rPr>
        <w:rFonts w:ascii="Courier New" w:hAnsi="Courier New" w:cs="Courier New" w:hint="default"/>
      </w:rPr>
    </w:lvl>
    <w:lvl w:ilvl="8" w:tplc="04240005" w:tentative="1">
      <w:start w:val="1"/>
      <w:numFmt w:val="bullet"/>
      <w:lvlText w:val=""/>
      <w:lvlJc w:val="left"/>
      <w:pPr>
        <w:ind w:left="6900" w:hanging="360"/>
      </w:pPr>
      <w:rPr>
        <w:rFonts w:ascii="Wingdings" w:hAnsi="Wingdings" w:hint="default"/>
      </w:rPr>
    </w:lvl>
  </w:abstractNum>
  <w:abstractNum w:abstractNumId="8">
    <w:nsid w:val="15383335"/>
    <w:multiLevelType w:val="multilevel"/>
    <w:tmpl w:val="D0CA67D0"/>
    <w:lvl w:ilvl="0">
      <w:start w:val="1"/>
      <w:numFmt w:val="decimal"/>
      <w:pStyle w:val="Naslov1"/>
      <w:lvlText w:val="%1."/>
      <w:lvlJc w:val="left"/>
      <w:pPr>
        <w:ind w:left="1353" w:hanging="360"/>
      </w:pPr>
      <w:rPr>
        <w:rFonts w:hint="default"/>
      </w:rPr>
    </w:lvl>
    <w:lvl w:ilvl="1">
      <w:start w:val="1"/>
      <w:numFmt w:val="decimal"/>
      <w:pStyle w:val="Naslov2"/>
      <w:isLgl/>
      <w:lvlText w:val="%1.%2."/>
      <w:lvlJc w:val="left"/>
      <w:pPr>
        <w:ind w:left="1353"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9">
    <w:nsid w:val="166A25AE"/>
    <w:multiLevelType w:val="hybridMultilevel"/>
    <w:tmpl w:val="7C1E131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A1C6C97"/>
    <w:multiLevelType w:val="hybridMultilevel"/>
    <w:tmpl w:val="59BE35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1C0645EB"/>
    <w:multiLevelType w:val="hybridMultilevel"/>
    <w:tmpl w:val="F91AFF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62064D7"/>
    <w:multiLevelType w:val="hybridMultilevel"/>
    <w:tmpl w:val="374234EC"/>
    <w:lvl w:ilvl="0" w:tplc="6808956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A0671FF"/>
    <w:multiLevelType w:val="hybridMultilevel"/>
    <w:tmpl w:val="FA9E25B0"/>
    <w:lvl w:ilvl="0" w:tplc="B39E611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2B0E67F6"/>
    <w:multiLevelType w:val="hybridMultilevel"/>
    <w:tmpl w:val="08E8FC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0317DC8"/>
    <w:multiLevelType w:val="hybridMultilevel"/>
    <w:tmpl w:val="D62864BC"/>
    <w:lvl w:ilvl="0" w:tplc="EF48572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59C4233"/>
    <w:multiLevelType w:val="hybridMultilevel"/>
    <w:tmpl w:val="C4A45FC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5E345F1"/>
    <w:multiLevelType w:val="hybridMultilevel"/>
    <w:tmpl w:val="70C25378"/>
    <w:lvl w:ilvl="0" w:tplc="4032083E">
      <w:start w:val="1"/>
      <w:numFmt w:val="decimal"/>
      <w:lvlText w:val="(%1)"/>
      <w:lvlJc w:val="left"/>
      <w:pPr>
        <w:ind w:left="717" w:hanging="360"/>
      </w:pPr>
      <w:rPr>
        <w:rFonts w:hint="default"/>
      </w:rPr>
    </w:lvl>
    <w:lvl w:ilvl="1" w:tplc="04240019" w:tentative="1">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18">
    <w:nsid w:val="473A511F"/>
    <w:multiLevelType w:val="hybridMultilevel"/>
    <w:tmpl w:val="9D60F1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A8C1BD0"/>
    <w:multiLevelType w:val="hybridMultilevel"/>
    <w:tmpl w:val="B73E7E90"/>
    <w:lvl w:ilvl="0" w:tplc="CBC862C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nsid w:val="4FE95444"/>
    <w:multiLevelType w:val="hybridMultilevel"/>
    <w:tmpl w:val="44606386"/>
    <w:lvl w:ilvl="0" w:tplc="7FA07984">
      <w:start w:val="1"/>
      <w:numFmt w:val="decimal"/>
      <w:lvlText w:val="%1."/>
      <w:lvlJc w:val="left"/>
      <w:pPr>
        <w:ind w:left="1080" w:hanging="360"/>
      </w:pPr>
      <w:rPr>
        <w:rFonts w:hint="default"/>
        <w:u w:val="single"/>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nsid w:val="61EE2087"/>
    <w:multiLevelType w:val="hybridMultilevel"/>
    <w:tmpl w:val="269C77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635052D7"/>
    <w:multiLevelType w:val="hybridMultilevel"/>
    <w:tmpl w:val="A0C64C2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8235CEE"/>
    <w:multiLevelType w:val="hybridMultilevel"/>
    <w:tmpl w:val="C6D46160"/>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4">
    <w:nsid w:val="719A6508"/>
    <w:multiLevelType w:val="hybridMultilevel"/>
    <w:tmpl w:val="3A147D1C"/>
    <w:lvl w:ilvl="0" w:tplc="22185D9C">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5">
    <w:nsid w:val="77DD384A"/>
    <w:multiLevelType w:val="hybridMultilevel"/>
    <w:tmpl w:val="5C826E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78B453D6"/>
    <w:multiLevelType w:val="hybridMultilevel"/>
    <w:tmpl w:val="2486AB5A"/>
    <w:lvl w:ilvl="0" w:tplc="3402B10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95207C7"/>
    <w:multiLevelType w:val="hybridMultilevel"/>
    <w:tmpl w:val="0CF09F66"/>
    <w:lvl w:ilvl="0" w:tplc="ABAC605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7CAB70C8"/>
    <w:multiLevelType w:val="hybridMultilevel"/>
    <w:tmpl w:val="05249AD2"/>
    <w:lvl w:ilvl="0" w:tplc="04240001">
      <w:start w:val="1"/>
      <w:numFmt w:val="bullet"/>
      <w:lvlText w:val=""/>
      <w:lvlJc w:val="left"/>
      <w:pPr>
        <w:ind w:left="1305" w:hanging="360"/>
      </w:pPr>
      <w:rPr>
        <w:rFonts w:ascii="Symbol" w:hAnsi="Symbol" w:hint="default"/>
      </w:rPr>
    </w:lvl>
    <w:lvl w:ilvl="1" w:tplc="04240003" w:tentative="1">
      <w:start w:val="1"/>
      <w:numFmt w:val="bullet"/>
      <w:lvlText w:val="o"/>
      <w:lvlJc w:val="left"/>
      <w:pPr>
        <w:ind w:left="2025" w:hanging="360"/>
      </w:pPr>
      <w:rPr>
        <w:rFonts w:ascii="Courier New" w:hAnsi="Courier New" w:cs="Courier New" w:hint="default"/>
      </w:rPr>
    </w:lvl>
    <w:lvl w:ilvl="2" w:tplc="04240005" w:tentative="1">
      <w:start w:val="1"/>
      <w:numFmt w:val="bullet"/>
      <w:lvlText w:val=""/>
      <w:lvlJc w:val="left"/>
      <w:pPr>
        <w:ind w:left="2745" w:hanging="360"/>
      </w:pPr>
      <w:rPr>
        <w:rFonts w:ascii="Wingdings" w:hAnsi="Wingdings" w:hint="default"/>
      </w:rPr>
    </w:lvl>
    <w:lvl w:ilvl="3" w:tplc="04240001" w:tentative="1">
      <w:start w:val="1"/>
      <w:numFmt w:val="bullet"/>
      <w:lvlText w:val=""/>
      <w:lvlJc w:val="left"/>
      <w:pPr>
        <w:ind w:left="3465" w:hanging="360"/>
      </w:pPr>
      <w:rPr>
        <w:rFonts w:ascii="Symbol" w:hAnsi="Symbol" w:hint="default"/>
      </w:rPr>
    </w:lvl>
    <w:lvl w:ilvl="4" w:tplc="04240003" w:tentative="1">
      <w:start w:val="1"/>
      <w:numFmt w:val="bullet"/>
      <w:lvlText w:val="o"/>
      <w:lvlJc w:val="left"/>
      <w:pPr>
        <w:ind w:left="4185" w:hanging="360"/>
      </w:pPr>
      <w:rPr>
        <w:rFonts w:ascii="Courier New" w:hAnsi="Courier New" w:cs="Courier New" w:hint="default"/>
      </w:rPr>
    </w:lvl>
    <w:lvl w:ilvl="5" w:tplc="04240005" w:tentative="1">
      <w:start w:val="1"/>
      <w:numFmt w:val="bullet"/>
      <w:lvlText w:val=""/>
      <w:lvlJc w:val="left"/>
      <w:pPr>
        <w:ind w:left="4905" w:hanging="360"/>
      </w:pPr>
      <w:rPr>
        <w:rFonts w:ascii="Wingdings" w:hAnsi="Wingdings" w:hint="default"/>
      </w:rPr>
    </w:lvl>
    <w:lvl w:ilvl="6" w:tplc="04240001" w:tentative="1">
      <w:start w:val="1"/>
      <w:numFmt w:val="bullet"/>
      <w:lvlText w:val=""/>
      <w:lvlJc w:val="left"/>
      <w:pPr>
        <w:ind w:left="5625" w:hanging="360"/>
      </w:pPr>
      <w:rPr>
        <w:rFonts w:ascii="Symbol" w:hAnsi="Symbol" w:hint="default"/>
      </w:rPr>
    </w:lvl>
    <w:lvl w:ilvl="7" w:tplc="04240003" w:tentative="1">
      <w:start w:val="1"/>
      <w:numFmt w:val="bullet"/>
      <w:lvlText w:val="o"/>
      <w:lvlJc w:val="left"/>
      <w:pPr>
        <w:ind w:left="6345" w:hanging="360"/>
      </w:pPr>
      <w:rPr>
        <w:rFonts w:ascii="Courier New" w:hAnsi="Courier New" w:cs="Courier New" w:hint="default"/>
      </w:rPr>
    </w:lvl>
    <w:lvl w:ilvl="8" w:tplc="04240005" w:tentative="1">
      <w:start w:val="1"/>
      <w:numFmt w:val="bullet"/>
      <w:lvlText w:val=""/>
      <w:lvlJc w:val="left"/>
      <w:pPr>
        <w:ind w:left="7065" w:hanging="360"/>
      </w:pPr>
      <w:rPr>
        <w:rFonts w:ascii="Wingdings" w:hAnsi="Wingdings" w:hint="default"/>
      </w:rPr>
    </w:lvl>
  </w:abstractNum>
  <w:abstractNum w:abstractNumId="29">
    <w:nsid w:val="7E8B6F1B"/>
    <w:multiLevelType w:val="hybridMultilevel"/>
    <w:tmpl w:val="7F1249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21"/>
  </w:num>
  <w:num w:numId="3">
    <w:abstractNumId w:val="22"/>
  </w:num>
  <w:num w:numId="4">
    <w:abstractNumId w:val="19"/>
  </w:num>
  <w:num w:numId="5">
    <w:abstractNumId w:val="20"/>
  </w:num>
  <w:num w:numId="6">
    <w:abstractNumId w:val="24"/>
  </w:num>
  <w:num w:numId="7">
    <w:abstractNumId w:val="7"/>
  </w:num>
  <w:num w:numId="8">
    <w:abstractNumId w:val="28"/>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25"/>
  </w:num>
  <w:num w:numId="12">
    <w:abstractNumId w:val="13"/>
  </w:num>
  <w:num w:numId="13">
    <w:abstractNumId w:val="6"/>
  </w:num>
  <w:num w:numId="14">
    <w:abstractNumId w:val="9"/>
  </w:num>
  <w:num w:numId="15">
    <w:abstractNumId w:val="4"/>
  </w:num>
  <w:num w:numId="16">
    <w:abstractNumId w:val="18"/>
  </w:num>
  <w:num w:numId="17">
    <w:abstractNumId w:val="15"/>
  </w:num>
  <w:num w:numId="18">
    <w:abstractNumId w:val="27"/>
  </w:num>
  <w:num w:numId="19">
    <w:abstractNumId w:val="26"/>
  </w:num>
  <w:num w:numId="20">
    <w:abstractNumId w:val="3"/>
  </w:num>
  <w:num w:numId="21">
    <w:abstractNumId w:val="16"/>
  </w:num>
  <w:num w:numId="22">
    <w:abstractNumId w:val="14"/>
  </w:num>
  <w:num w:numId="23">
    <w:abstractNumId w:val="17"/>
  </w:num>
  <w:num w:numId="24">
    <w:abstractNumId w:val="0"/>
  </w:num>
  <w:num w:numId="25">
    <w:abstractNumId w:val="23"/>
  </w:num>
  <w:num w:numId="26">
    <w:abstractNumId w:val="29"/>
  </w:num>
  <w:num w:numId="27">
    <w:abstractNumId w:val="10"/>
  </w:num>
  <w:num w:numId="28">
    <w:abstractNumId w:val="12"/>
  </w:num>
  <w:num w:numId="29">
    <w:abstractNumId w:val="1"/>
  </w:num>
  <w:num w:numId="30">
    <w:abstractNumId w:val="11"/>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A4"/>
    <w:rsid w:val="00004C2C"/>
    <w:rsid w:val="0000684E"/>
    <w:rsid w:val="000069A6"/>
    <w:rsid w:val="00013A3A"/>
    <w:rsid w:val="00014166"/>
    <w:rsid w:val="000240F7"/>
    <w:rsid w:val="00026A94"/>
    <w:rsid w:val="000325FD"/>
    <w:rsid w:val="00035DA8"/>
    <w:rsid w:val="000372F7"/>
    <w:rsid w:val="00041BED"/>
    <w:rsid w:val="00043F20"/>
    <w:rsid w:val="00044D31"/>
    <w:rsid w:val="0005190B"/>
    <w:rsid w:val="00062E90"/>
    <w:rsid w:val="000643ED"/>
    <w:rsid w:val="00071807"/>
    <w:rsid w:val="000722E4"/>
    <w:rsid w:val="000730B6"/>
    <w:rsid w:val="000757AA"/>
    <w:rsid w:val="00077CDB"/>
    <w:rsid w:val="00084A10"/>
    <w:rsid w:val="00085CD9"/>
    <w:rsid w:val="00090C64"/>
    <w:rsid w:val="00092DAB"/>
    <w:rsid w:val="000972B0"/>
    <w:rsid w:val="000A085A"/>
    <w:rsid w:val="000A0E52"/>
    <w:rsid w:val="000A12AF"/>
    <w:rsid w:val="000B1A5E"/>
    <w:rsid w:val="000B2CEC"/>
    <w:rsid w:val="000B5888"/>
    <w:rsid w:val="000B608F"/>
    <w:rsid w:val="000B7C5D"/>
    <w:rsid w:val="000C00FB"/>
    <w:rsid w:val="000C2DF7"/>
    <w:rsid w:val="000C65AD"/>
    <w:rsid w:val="000D3B14"/>
    <w:rsid w:val="000D3E0A"/>
    <w:rsid w:val="000D43E4"/>
    <w:rsid w:val="000D6A8A"/>
    <w:rsid w:val="000F0B61"/>
    <w:rsid w:val="000F3848"/>
    <w:rsid w:val="000F5534"/>
    <w:rsid w:val="001031B0"/>
    <w:rsid w:val="001039AF"/>
    <w:rsid w:val="00104A21"/>
    <w:rsid w:val="00104DE9"/>
    <w:rsid w:val="00104DEE"/>
    <w:rsid w:val="001108A0"/>
    <w:rsid w:val="00120501"/>
    <w:rsid w:val="001207CA"/>
    <w:rsid w:val="0012721D"/>
    <w:rsid w:val="00127B21"/>
    <w:rsid w:val="00130034"/>
    <w:rsid w:val="00141AFB"/>
    <w:rsid w:val="0014511D"/>
    <w:rsid w:val="00146F40"/>
    <w:rsid w:val="00151F34"/>
    <w:rsid w:val="00153569"/>
    <w:rsid w:val="00156A31"/>
    <w:rsid w:val="00156BC1"/>
    <w:rsid w:val="001755BC"/>
    <w:rsid w:val="00177B4F"/>
    <w:rsid w:val="00183306"/>
    <w:rsid w:val="001835BB"/>
    <w:rsid w:val="00184434"/>
    <w:rsid w:val="00186075"/>
    <w:rsid w:val="00192873"/>
    <w:rsid w:val="0019333A"/>
    <w:rsid w:val="001941D9"/>
    <w:rsid w:val="00194878"/>
    <w:rsid w:val="001970C7"/>
    <w:rsid w:val="00197A80"/>
    <w:rsid w:val="001A4817"/>
    <w:rsid w:val="001A49C9"/>
    <w:rsid w:val="001A7BF6"/>
    <w:rsid w:val="001B5AE6"/>
    <w:rsid w:val="001C44F3"/>
    <w:rsid w:val="001C5049"/>
    <w:rsid w:val="001C5E7F"/>
    <w:rsid w:val="001D0F80"/>
    <w:rsid w:val="001D4A21"/>
    <w:rsid w:val="001D594D"/>
    <w:rsid w:val="001D5AB0"/>
    <w:rsid w:val="001D652D"/>
    <w:rsid w:val="001E5F14"/>
    <w:rsid w:val="001E730C"/>
    <w:rsid w:val="0020050E"/>
    <w:rsid w:val="00200D7A"/>
    <w:rsid w:val="002143A9"/>
    <w:rsid w:val="0021577D"/>
    <w:rsid w:val="00220171"/>
    <w:rsid w:val="00225C70"/>
    <w:rsid w:val="0022604A"/>
    <w:rsid w:val="0022663F"/>
    <w:rsid w:val="00230101"/>
    <w:rsid w:val="0023011E"/>
    <w:rsid w:val="00240748"/>
    <w:rsid w:val="0024139A"/>
    <w:rsid w:val="00254276"/>
    <w:rsid w:val="002548EE"/>
    <w:rsid w:val="002549C5"/>
    <w:rsid w:val="00254F13"/>
    <w:rsid w:val="002634C4"/>
    <w:rsid w:val="00272A9D"/>
    <w:rsid w:val="0027461D"/>
    <w:rsid w:val="00285ED5"/>
    <w:rsid w:val="00286DF4"/>
    <w:rsid w:val="00287B71"/>
    <w:rsid w:val="00295AF0"/>
    <w:rsid w:val="002A1584"/>
    <w:rsid w:val="002A638D"/>
    <w:rsid w:val="002B0C3A"/>
    <w:rsid w:val="002B40E7"/>
    <w:rsid w:val="002C4CA0"/>
    <w:rsid w:val="002C4EDF"/>
    <w:rsid w:val="002D19BC"/>
    <w:rsid w:val="002D1E47"/>
    <w:rsid w:val="002D3388"/>
    <w:rsid w:val="002D5D44"/>
    <w:rsid w:val="002E1518"/>
    <w:rsid w:val="002E531D"/>
    <w:rsid w:val="002F22D0"/>
    <w:rsid w:val="002F40E0"/>
    <w:rsid w:val="003001CC"/>
    <w:rsid w:val="00302614"/>
    <w:rsid w:val="00303ECF"/>
    <w:rsid w:val="003103C6"/>
    <w:rsid w:val="00311C7C"/>
    <w:rsid w:val="00312A8D"/>
    <w:rsid w:val="0031389F"/>
    <w:rsid w:val="0032017D"/>
    <w:rsid w:val="00335EF1"/>
    <w:rsid w:val="003361CE"/>
    <w:rsid w:val="00354807"/>
    <w:rsid w:val="00362A1A"/>
    <w:rsid w:val="00365854"/>
    <w:rsid w:val="003724C6"/>
    <w:rsid w:val="00377107"/>
    <w:rsid w:val="00383BA4"/>
    <w:rsid w:val="0038793D"/>
    <w:rsid w:val="00397342"/>
    <w:rsid w:val="003A34EC"/>
    <w:rsid w:val="003A3FCC"/>
    <w:rsid w:val="003A77F0"/>
    <w:rsid w:val="003B21AC"/>
    <w:rsid w:val="003B6D3B"/>
    <w:rsid w:val="003C04CD"/>
    <w:rsid w:val="003C3CC0"/>
    <w:rsid w:val="003C5641"/>
    <w:rsid w:val="003D3666"/>
    <w:rsid w:val="003D5731"/>
    <w:rsid w:val="003D75B6"/>
    <w:rsid w:val="003D7819"/>
    <w:rsid w:val="003E026A"/>
    <w:rsid w:val="003E101D"/>
    <w:rsid w:val="003E3914"/>
    <w:rsid w:val="003E701E"/>
    <w:rsid w:val="003F08B6"/>
    <w:rsid w:val="003F184C"/>
    <w:rsid w:val="003F1B5D"/>
    <w:rsid w:val="003F2EBE"/>
    <w:rsid w:val="003F4DBE"/>
    <w:rsid w:val="003F7E7B"/>
    <w:rsid w:val="004000A4"/>
    <w:rsid w:val="0040088A"/>
    <w:rsid w:val="00402D04"/>
    <w:rsid w:val="00406E35"/>
    <w:rsid w:val="004073CB"/>
    <w:rsid w:val="004121BE"/>
    <w:rsid w:val="00420D5B"/>
    <w:rsid w:val="00422B17"/>
    <w:rsid w:val="00423EAD"/>
    <w:rsid w:val="00431970"/>
    <w:rsid w:val="00446D0E"/>
    <w:rsid w:val="00456A18"/>
    <w:rsid w:val="00460EE6"/>
    <w:rsid w:val="00472692"/>
    <w:rsid w:val="00472827"/>
    <w:rsid w:val="00473733"/>
    <w:rsid w:val="004745C4"/>
    <w:rsid w:val="0047652A"/>
    <w:rsid w:val="004774F7"/>
    <w:rsid w:val="004810E9"/>
    <w:rsid w:val="00494D4C"/>
    <w:rsid w:val="004A1806"/>
    <w:rsid w:val="004A5D7A"/>
    <w:rsid w:val="004B2AED"/>
    <w:rsid w:val="004B7AAC"/>
    <w:rsid w:val="004C171A"/>
    <w:rsid w:val="004C285A"/>
    <w:rsid w:val="004C42AA"/>
    <w:rsid w:val="004E15B9"/>
    <w:rsid w:val="004E3DED"/>
    <w:rsid w:val="004E4B17"/>
    <w:rsid w:val="004E5608"/>
    <w:rsid w:val="004E743F"/>
    <w:rsid w:val="004F37A3"/>
    <w:rsid w:val="004F37C4"/>
    <w:rsid w:val="00501633"/>
    <w:rsid w:val="005024B1"/>
    <w:rsid w:val="0050341C"/>
    <w:rsid w:val="0050381E"/>
    <w:rsid w:val="0050408E"/>
    <w:rsid w:val="005051AE"/>
    <w:rsid w:val="005053B0"/>
    <w:rsid w:val="00506A51"/>
    <w:rsid w:val="00514659"/>
    <w:rsid w:val="0051636F"/>
    <w:rsid w:val="0051752D"/>
    <w:rsid w:val="00523969"/>
    <w:rsid w:val="00532DA4"/>
    <w:rsid w:val="00533A9C"/>
    <w:rsid w:val="00540A6C"/>
    <w:rsid w:val="00541C12"/>
    <w:rsid w:val="00543E87"/>
    <w:rsid w:val="005448CB"/>
    <w:rsid w:val="00544F83"/>
    <w:rsid w:val="0054537F"/>
    <w:rsid w:val="00546CB9"/>
    <w:rsid w:val="00554745"/>
    <w:rsid w:val="005547BD"/>
    <w:rsid w:val="0055481A"/>
    <w:rsid w:val="005567D0"/>
    <w:rsid w:val="00556FED"/>
    <w:rsid w:val="00557F81"/>
    <w:rsid w:val="0056075A"/>
    <w:rsid w:val="00562337"/>
    <w:rsid w:val="00562A0E"/>
    <w:rsid w:val="00566B5F"/>
    <w:rsid w:val="005736A8"/>
    <w:rsid w:val="005803A2"/>
    <w:rsid w:val="00582573"/>
    <w:rsid w:val="00584298"/>
    <w:rsid w:val="0058551C"/>
    <w:rsid w:val="00590927"/>
    <w:rsid w:val="005932DD"/>
    <w:rsid w:val="0059438F"/>
    <w:rsid w:val="00594548"/>
    <w:rsid w:val="00596C8B"/>
    <w:rsid w:val="00597F26"/>
    <w:rsid w:val="005A57E6"/>
    <w:rsid w:val="005A7606"/>
    <w:rsid w:val="005B051D"/>
    <w:rsid w:val="005C1C35"/>
    <w:rsid w:val="005C20D5"/>
    <w:rsid w:val="005C35F2"/>
    <w:rsid w:val="005C3B17"/>
    <w:rsid w:val="005D157B"/>
    <w:rsid w:val="005D4B87"/>
    <w:rsid w:val="005D6876"/>
    <w:rsid w:val="005E154E"/>
    <w:rsid w:val="005E65D4"/>
    <w:rsid w:val="005F24E1"/>
    <w:rsid w:val="005F459E"/>
    <w:rsid w:val="005F7CC7"/>
    <w:rsid w:val="00604F1E"/>
    <w:rsid w:val="00606949"/>
    <w:rsid w:val="00610162"/>
    <w:rsid w:val="006101FB"/>
    <w:rsid w:val="00611E52"/>
    <w:rsid w:val="0061636F"/>
    <w:rsid w:val="006166F3"/>
    <w:rsid w:val="00616BF4"/>
    <w:rsid w:val="0062137D"/>
    <w:rsid w:val="006223BE"/>
    <w:rsid w:val="00623925"/>
    <w:rsid w:val="00623C10"/>
    <w:rsid w:val="006248BE"/>
    <w:rsid w:val="0062662D"/>
    <w:rsid w:val="006266BC"/>
    <w:rsid w:val="00626B5A"/>
    <w:rsid w:val="00630CCC"/>
    <w:rsid w:val="00631F79"/>
    <w:rsid w:val="006363D8"/>
    <w:rsid w:val="00636F2E"/>
    <w:rsid w:val="0063796F"/>
    <w:rsid w:val="00640A61"/>
    <w:rsid w:val="00640BA6"/>
    <w:rsid w:val="00642088"/>
    <w:rsid w:val="00643A53"/>
    <w:rsid w:val="0064411A"/>
    <w:rsid w:val="00650502"/>
    <w:rsid w:val="00652B1C"/>
    <w:rsid w:val="00652C07"/>
    <w:rsid w:val="006549AD"/>
    <w:rsid w:val="0066320C"/>
    <w:rsid w:val="00664AEA"/>
    <w:rsid w:val="00665B79"/>
    <w:rsid w:val="0066792C"/>
    <w:rsid w:val="0067394D"/>
    <w:rsid w:val="00681656"/>
    <w:rsid w:val="0068280D"/>
    <w:rsid w:val="00682859"/>
    <w:rsid w:val="00685B75"/>
    <w:rsid w:val="00690292"/>
    <w:rsid w:val="00691980"/>
    <w:rsid w:val="00691B15"/>
    <w:rsid w:val="00695729"/>
    <w:rsid w:val="006A0501"/>
    <w:rsid w:val="006A0598"/>
    <w:rsid w:val="006A0CA4"/>
    <w:rsid w:val="006A0E7A"/>
    <w:rsid w:val="006A2A36"/>
    <w:rsid w:val="006A4D43"/>
    <w:rsid w:val="006A5C9E"/>
    <w:rsid w:val="006B0F9C"/>
    <w:rsid w:val="006B1779"/>
    <w:rsid w:val="006B44A9"/>
    <w:rsid w:val="006B72F3"/>
    <w:rsid w:val="006B7BBE"/>
    <w:rsid w:val="006B7E4F"/>
    <w:rsid w:val="006C3A74"/>
    <w:rsid w:val="006D1CA2"/>
    <w:rsid w:val="006D3817"/>
    <w:rsid w:val="006E1091"/>
    <w:rsid w:val="006E269A"/>
    <w:rsid w:val="006F25A2"/>
    <w:rsid w:val="006F3456"/>
    <w:rsid w:val="006F4BC7"/>
    <w:rsid w:val="006F624A"/>
    <w:rsid w:val="00704383"/>
    <w:rsid w:val="00716937"/>
    <w:rsid w:val="00717416"/>
    <w:rsid w:val="00720475"/>
    <w:rsid w:val="00732494"/>
    <w:rsid w:val="007329CC"/>
    <w:rsid w:val="00734153"/>
    <w:rsid w:val="00740BBC"/>
    <w:rsid w:val="00741C76"/>
    <w:rsid w:val="00742290"/>
    <w:rsid w:val="0075169B"/>
    <w:rsid w:val="007523B2"/>
    <w:rsid w:val="00753F5D"/>
    <w:rsid w:val="00754663"/>
    <w:rsid w:val="00755A6E"/>
    <w:rsid w:val="00755E64"/>
    <w:rsid w:val="00762077"/>
    <w:rsid w:val="00764083"/>
    <w:rsid w:val="007652AD"/>
    <w:rsid w:val="00765B03"/>
    <w:rsid w:val="0076779D"/>
    <w:rsid w:val="007736CD"/>
    <w:rsid w:val="007751E5"/>
    <w:rsid w:val="00775488"/>
    <w:rsid w:val="00775726"/>
    <w:rsid w:val="00775BEA"/>
    <w:rsid w:val="0079509C"/>
    <w:rsid w:val="00796B7A"/>
    <w:rsid w:val="00797871"/>
    <w:rsid w:val="007A149B"/>
    <w:rsid w:val="007A2D21"/>
    <w:rsid w:val="007A54D4"/>
    <w:rsid w:val="007A5982"/>
    <w:rsid w:val="007B37AF"/>
    <w:rsid w:val="007C0EF7"/>
    <w:rsid w:val="007C3317"/>
    <w:rsid w:val="007C3706"/>
    <w:rsid w:val="007D20C6"/>
    <w:rsid w:val="007D3AF4"/>
    <w:rsid w:val="007D5902"/>
    <w:rsid w:val="007D65D8"/>
    <w:rsid w:val="007E0661"/>
    <w:rsid w:val="007E7C25"/>
    <w:rsid w:val="007F02A9"/>
    <w:rsid w:val="007F17B9"/>
    <w:rsid w:val="007F2205"/>
    <w:rsid w:val="007F56FE"/>
    <w:rsid w:val="007F7771"/>
    <w:rsid w:val="00801D0E"/>
    <w:rsid w:val="00802305"/>
    <w:rsid w:val="0080438E"/>
    <w:rsid w:val="00815043"/>
    <w:rsid w:val="00816066"/>
    <w:rsid w:val="008162AD"/>
    <w:rsid w:val="00817809"/>
    <w:rsid w:val="00823B11"/>
    <w:rsid w:val="00823FA8"/>
    <w:rsid w:val="0083459A"/>
    <w:rsid w:val="008346D4"/>
    <w:rsid w:val="00842CC0"/>
    <w:rsid w:val="00843872"/>
    <w:rsid w:val="00847831"/>
    <w:rsid w:val="00847EC5"/>
    <w:rsid w:val="008527B9"/>
    <w:rsid w:val="00853453"/>
    <w:rsid w:val="00856DC7"/>
    <w:rsid w:val="008602CC"/>
    <w:rsid w:val="00864BA5"/>
    <w:rsid w:val="00871A3E"/>
    <w:rsid w:val="00871D7C"/>
    <w:rsid w:val="008731B5"/>
    <w:rsid w:val="0087583A"/>
    <w:rsid w:val="00876596"/>
    <w:rsid w:val="00876E0F"/>
    <w:rsid w:val="008812FB"/>
    <w:rsid w:val="00881319"/>
    <w:rsid w:val="00881578"/>
    <w:rsid w:val="008840CF"/>
    <w:rsid w:val="008849DE"/>
    <w:rsid w:val="0088528E"/>
    <w:rsid w:val="00890903"/>
    <w:rsid w:val="0089167B"/>
    <w:rsid w:val="008948F2"/>
    <w:rsid w:val="008A2451"/>
    <w:rsid w:val="008A3C55"/>
    <w:rsid w:val="008A5E5D"/>
    <w:rsid w:val="008A7335"/>
    <w:rsid w:val="008B1520"/>
    <w:rsid w:val="008B2B73"/>
    <w:rsid w:val="008B5144"/>
    <w:rsid w:val="008B66D9"/>
    <w:rsid w:val="008C03C5"/>
    <w:rsid w:val="008C0CF6"/>
    <w:rsid w:val="008C0F36"/>
    <w:rsid w:val="008C3C44"/>
    <w:rsid w:val="008C7BF8"/>
    <w:rsid w:val="008C7CF1"/>
    <w:rsid w:val="008D2A05"/>
    <w:rsid w:val="008D51EF"/>
    <w:rsid w:val="008D5DF6"/>
    <w:rsid w:val="008E0184"/>
    <w:rsid w:val="008E203C"/>
    <w:rsid w:val="008E52FE"/>
    <w:rsid w:val="008F18FE"/>
    <w:rsid w:val="008F1F5B"/>
    <w:rsid w:val="008F4BE6"/>
    <w:rsid w:val="008F5978"/>
    <w:rsid w:val="0090157C"/>
    <w:rsid w:val="009016D9"/>
    <w:rsid w:val="00904936"/>
    <w:rsid w:val="00904AAD"/>
    <w:rsid w:val="00912B0E"/>
    <w:rsid w:val="00914275"/>
    <w:rsid w:val="00917DB5"/>
    <w:rsid w:val="009246E8"/>
    <w:rsid w:val="00926C19"/>
    <w:rsid w:val="00926E0E"/>
    <w:rsid w:val="009328CF"/>
    <w:rsid w:val="00942C41"/>
    <w:rsid w:val="00953A67"/>
    <w:rsid w:val="00954BE0"/>
    <w:rsid w:val="009556BC"/>
    <w:rsid w:val="00956AB7"/>
    <w:rsid w:val="00960BFE"/>
    <w:rsid w:val="00964685"/>
    <w:rsid w:val="009655FF"/>
    <w:rsid w:val="00967F04"/>
    <w:rsid w:val="0097143B"/>
    <w:rsid w:val="00974563"/>
    <w:rsid w:val="009806B0"/>
    <w:rsid w:val="0098120C"/>
    <w:rsid w:val="00982534"/>
    <w:rsid w:val="0098517E"/>
    <w:rsid w:val="00986A18"/>
    <w:rsid w:val="00987C41"/>
    <w:rsid w:val="009916D2"/>
    <w:rsid w:val="009A1133"/>
    <w:rsid w:val="009A381C"/>
    <w:rsid w:val="009A402D"/>
    <w:rsid w:val="009A62E0"/>
    <w:rsid w:val="009A707C"/>
    <w:rsid w:val="009B6F3A"/>
    <w:rsid w:val="009C0445"/>
    <w:rsid w:val="009C1820"/>
    <w:rsid w:val="009C59C9"/>
    <w:rsid w:val="009C760D"/>
    <w:rsid w:val="009D41A5"/>
    <w:rsid w:val="009D47CD"/>
    <w:rsid w:val="009D56CB"/>
    <w:rsid w:val="009E08D8"/>
    <w:rsid w:val="009E1F43"/>
    <w:rsid w:val="009E4861"/>
    <w:rsid w:val="009E58B7"/>
    <w:rsid w:val="009E617D"/>
    <w:rsid w:val="009E7CF1"/>
    <w:rsid w:val="009F017C"/>
    <w:rsid w:val="009F1ECF"/>
    <w:rsid w:val="00A02696"/>
    <w:rsid w:val="00A07422"/>
    <w:rsid w:val="00A15BC7"/>
    <w:rsid w:val="00A2339B"/>
    <w:rsid w:val="00A27D7F"/>
    <w:rsid w:val="00A31CAB"/>
    <w:rsid w:val="00A36939"/>
    <w:rsid w:val="00A427E8"/>
    <w:rsid w:val="00A44743"/>
    <w:rsid w:val="00A47960"/>
    <w:rsid w:val="00A50F58"/>
    <w:rsid w:val="00A512F5"/>
    <w:rsid w:val="00A516B5"/>
    <w:rsid w:val="00A52FA2"/>
    <w:rsid w:val="00A703E5"/>
    <w:rsid w:val="00A70D99"/>
    <w:rsid w:val="00A7192F"/>
    <w:rsid w:val="00A73600"/>
    <w:rsid w:val="00A80192"/>
    <w:rsid w:val="00A86037"/>
    <w:rsid w:val="00A87323"/>
    <w:rsid w:val="00AA2CFF"/>
    <w:rsid w:val="00AA3903"/>
    <w:rsid w:val="00AA43A2"/>
    <w:rsid w:val="00AA54EA"/>
    <w:rsid w:val="00AA7557"/>
    <w:rsid w:val="00AB026C"/>
    <w:rsid w:val="00AB55FE"/>
    <w:rsid w:val="00AB603C"/>
    <w:rsid w:val="00AB685C"/>
    <w:rsid w:val="00AC2445"/>
    <w:rsid w:val="00AC2F00"/>
    <w:rsid w:val="00AC5B0C"/>
    <w:rsid w:val="00AC7A29"/>
    <w:rsid w:val="00AC7A71"/>
    <w:rsid w:val="00AD0E88"/>
    <w:rsid w:val="00AD3FB0"/>
    <w:rsid w:val="00AD79E8"/>
    <w:rsid w:val="00AE171D"/>
    <w:rsid w:val="00AE3310"/>
    <w:rsid w:val="00AE6AA2"/>
    <w:rsid w:val="00AF04BA"/>
    <w:rsid w:val="00AF064F"/>
    <w:rsid w:val="00AF2572"/>
    <w:rsid w:val="00AF5EF7"/>
    <w:rsid w:val="00AF60B5"/>
    <w:rsid w:val="00B03072"/>
    <w:rsid w:val="00B03F01"/>
    <w:rsid w:val="00B04BBF"/>
    <w:rsid w:val="00B1318F"/>
    <w:rsid w:val="00B13759"/>
    <w:rsid w:val="00B1513C"/>
    <w:rsid w:val="00B15CFA"/>
    <w:rsid w:val="00B255E0"/>
    <w:rsid w:val="00B3466F"/>
    <w:rsid w:val="00B368F6"/>
    <w:rsid w:val="00B41ABA"/>
    <w:rsid w:val="00B41FF7"/>
    <w:rsid w:val="00B42AE4"/>
    <w:rsid w:val="00B43393"/>
    <w:rsid w:val="00B45672"/>
    <w:rsid w:val="00B45DCA"/>
    <w:rsid w:val="00B55709"/>
    <w:rsid w:val="00B73EE0"/>
    <w:rsid w:val="00B77930"/>
    <w:rsid w:val="00B841B2"/>
    <w:rsid w:val="00B87B2C"/>
    <w:rsid w:val="00B90F84"/>
    <w:rsid w:val="00B935F9"/>
    <w:rsid w:val="00B97105"/>
    <w:rsid w:val="00BA3329"/>
    <w:rsid w:val="00BA3D30"/>
    <w:rsid w:val="00BA5EC4"/>
    <w:rsid w:val="00BB278D"/>
    <w:rsid w:val="00BB411C"/>
    <w:rsid w:val="00BB5196"/>
    <w:rsid w:val="00BB5615"/>
    <w:rsid w:val="00BB6F25"/>
    <w:rsid w:val="00BC0EBB"/>
    <w:rsid w:val="00BC1FC3"/>
    <w:rsid w:val="00BC2297"/>
    <w:rsid w:val="00BC7B30"/>
    <w:rsid w:val="00BD1773"/>
    <w:rsid w:val="00BD53CF"/>
    <w:rsid w:val="00BD5D99"/>
    <w:rsid w:val="00BE222A"/>
    <w:rsid w:val="00BE48A1"/>
    <w:rsid w:val="00BE57D7"/>
    <w:rsid w:val="00BE768D"/>
    <w:rsid w:val="00BF3ED3"/>
    <w:rsid w:val="00BF5E13"/>
    <w:rsid w:val="00BF6222"/>
    <w:rsid w:val="00C030AF"/>
    <w:rsid w:val="00C073A5"/>
    <w:rsid w:val="00C107B1"/>
    <w:rsid w:val="00C12970"/>
    <w:rsid w:val="00C17860"/>
    <w:rsid w:val="00C204C2"/>
    <w:rsid w:val="00C24483"/>
    <w:rsid w:val="00C27397"/>
    <w:rsid w:val="00C279AD"/>
    <w:rsid w:val="00C33778"/>
    <w:rsid w:val="00C35FA4"/>
    <w:rsid w:val="00C531AC"/>
    <w:rsid w:val="00C5377C"/>
    <w:rsid w:val="00C5677D"/>
    <w:rsid w:val="00C573E4"/>
    <w:rsid w:val="00C6024D"/>
    <w:rsid w:val="00C64140"/>
    <w:rsid w:val="00C644EB"/>
    <w:rsid w:val="00C656C6"/>
    <w:rsid w:val="00C66D1B"/>
    <w:rsid w:val="00C66DBF"/>
    <w:rsid w:val="00C672F0"/>
    <w:rsid w:val="00C733F7"/>
    <w:rsid w:val="00C8153A"/>
    <w:rsid w:val="00C8266D"/>
    <w:rsid w:val="00C84280"/>
    <w:rsid w:val="00C844C6"/>
    <w:rsid w:val="00C84E20"/>
    <w:rsid w:val="00C85095"/>
    <w:rsid w:val="00C86CEC"/>
    <w:rsid w:val="00C921CA"/>
    <w:rsid w:val="00CA0CAD"/>
    <w:rsid w:val="00CA202D"/>
    <w:rsid w:val="00CA37FB"/>
    <w:rsid w:val="00CA5125"/>
    <w:rsid w:val="00CA63DC"/>
    <w:rsid w:val="00CA67FE"/>
    <w:rsid w:val="00CA682D"/>
    <w:rsid w:val="00CA764C"/>
    <w:rsid w:val="00CB48C1"/>
    <w:rsid w:val="00CC0ECA"/>
    <w:rsid w:val="00CC202D"/>
    <w:rsid w:val="00CC2A35"/>
    <w:rsid w:val="00CC309A"/>
    <w:rsid w:val="00CC6BAA"/>
    <w:rsid w:val="00CC6C79"/>
    <w:rsid w:val="00CD3C52"/>
    <w:rsid w:val="00CE6486"/>
    <w:rsid w:val="00CF04F2"/>
    <w:rsid w:val="00CF0D96"/>
    <w:rsid w:val="00CF210E"/>
    <w:rsid w:val="00CF2563"/>
    <w:rsid w:val="00CF41F3"/>
    <w:rsid w:val="00CF6977"/>
    <w:rsid w:val="00D03875"/>
    <w:rsid w:val="00D1141F"/>
    <w:rsid w:val="00D1198C"/>
    <w:rsid w:val="00D1273D"/>
    <w:rsid w:val="00D129DC"/>
    <w:rsid w:val="00D22A1A"/>
    <w:rsid w:val="00D31415"/>
    <w:rsid w:val="00D34A88"/>
    <w:rsid w:val="00D42298"/>
    <w:rsid w:val="00D42D71"/>
    <w:rsid w:val="00D43A96"/>
    <w:rsid w:val="00D44B57"/>
    <w:rsid w:val="00D450BD"/>
    <w:rsid w:val="00D5157B"/>
    <w:rsid w:val="00D51846"/>
    <w:rsid w:val="00D5525B"/>
    <w:rsid w:val="00D624B8"/>
    <w:rsid w:val="00D62929"/>
    <w:rsid w:val="00D65929"/>
    <w:rsid w:val="00D659EA"/>
    <w:rsid w:val="00D6648B"/>
    <w:rsid w:val="00D74942"/>
    <w:rsid w:val="00D75E23"/>
    <w:rsid w:val="00D834C4"/>
    <w:rsid w:val="00D8364A"/>
    <w:rsid w:val="00D83DB6"/>
    <w:rsid w:val="00D85806"/>
    <w:rsid w:val="00D91587"/>
    <w:rsid w:val="00D93118"/>
    <w:rsid w:val="00D96E78"/>
    <w:rsid w:val="00DA1BD7"/>
    <w:rsid w:val="00DA1E1B"/>
    <w:rsid w:val="00DA30DB"/>
    <w:rsid w:val="00DA4F0B"/>
    <w:rsid w:val="00DA4FCD"/>
    <w:rsid w:val="00DA5B53"/>
    <w:rsid w:val="00DA61A2"/>
    <w:rsid w:val="00DA654F"/>
    <w:rsid w:val="00DC1F19"/>
    <w:rsid w:val="00DC3576"/>
    <w:rsid w:val="00DC6805"/>
    <w:rsid w:val="00DD1FE0"/>
    <w:rsid w:val="00DD34AF"/>
    <w:rsid w:val="00DD571D"/>
    <w:rsid w:val="00DD60A7"/>
    <w:rsid w:val="00DE01EF"/>
    <w:rsid w:val="00DE7E05"/>
    <w:rsid w:val="00DF71F1"/>
    <w:rsid w:val="00DF7598"/>
    <w:rsid w:val="00E02296"/>
    <w:rsid w:val="00E03A4F"/>
    <w:rsid w:val="00E044B8"/>
    <w:rsid w:val="00E11A89"/>
    <w:rsid w:val="00E11AE6"/>
    <w:rsid w:val="00E1224B"/>
    <w:rsid w:val="00E13A09"/>
    <w:rsid w:val="00E14DBB"/>
    <w:rsid w:val="00E16679"/>
    <w:rsid w:val="00E17B8C"/>
    <w:rsid w:val="00E21FE4"/>
    <w:rsid w:val="00E2223C"/>
    <w:rsid w:val="00E2391D"/>
    <w:rsid w:val="00E24745"/>
    <w:rsid w:val="00E30089"/>
    <w:rsid w:val="00E30D16"/>
    <w:rsid w:val="00E36CDF"/>
    <w:rsid w:val="00E41397"/>
    <w:rsid w:val="00E4424A"/>
    <w:rsid w:val="00E45225"/>
    <w:rsid w:val="00E45C07"/>
    <w:rsid w:val="00E52805"/>
    <w:rsid w:val="00E52DB8"/>
    <w:rsid w:val="00E54A20"/>
    <w:rsid w:val="00E55D91"/>
    <w:rsid w:val="00E73036"/>
    <w:rsid w:val="00E73E76"/>
    <w:rsid w:val="00E74E1B"/>
    <w:rsid w:val="00E7738C"/>
    <w:rsid w:val="00E80CBE"/>
    <w:rsid w:val="00E81C6A"/>
    <w:rsid w:val="00E90838"/>
    <w:rsid w:val="00E91768"/>
    <w:rsid w:val="00E9532C"/>
    <w:rsid w:val="00EA44EB"/>
    <w:rsid w:val="00EA5194"/>
    <w:rsid w:val="00EA55A4"/>
    <w:rsid w:val="00EB43AE"/>
    <w:rsid w:val="00EB5D37"/>
    <w:rsid w:val="00EC19A2"/>
    <w:rsid w:val="00EC3374"/>
    <w:rsid w:val="00EC34D5"/>
    <w:rsid w:val="00EC404B"/>
    <w:rsid w:val="00EC53D1"/>
    <w:rsid w:val="00ED3EF6"/>
    <w:rsid w:val="00ED5346"/>
    <w:rsid w:val="00ED6AC4"/>
    <w:rsid w:val="00EE19B9"/>
    <w:rsid w:val="00EF75B0"/>
    <w:rsid w:val="00EF7791"/>
    <w:rsid w:val="00F02343"/>
    <w:rsid w:val="00F06BD9"/>
    <w:rsid w:val="00F07009"/>
    <w:rsid w:val="00F076F7"/>
    <w:rsid w:val="00F12210"/>
    <w:rsid w:val="00F129BF"/>
    <w:rsid w:val="00F12A18"/>
    <w:rsid w:val="00F15072"/>
    <w:rsid w:val="00F161EA"/>
    <w:rsid w:val="00F16EF7"/>
    <w:rsid w:val="00F227F0"/>
    <w:rsid w:val="00F277C3"/>
    <w:rsid w:val="00F35170"/>
    <w:rsid w:val="00F45F8B"/>
    <w:rsid w:val="00F4699D"/>
    <w:rsid w:val="00F47CDB"/>
    <w:rsid w:val="00F51279"/>
    <w:rsid w:val="00F52D1E"/>
    <w:rsid w:val="00F5531A"/>
    <w:rsid w:val="00F64EBA"/>
    <w:rsid w:val="00F67D7E"/>
    <w:rsid w:val="00F7211D"/>
    <w:rsid w:val="00F75F8A"/>
    <w:rsid w:val="00F77209"/>
    <w:rsid w:val="00F80710"/>
    <w:rsid w:val="00F8171E"/>
    <w:rsid w:val="00F85976"/>
    <w:rsid w:val="00F87576"/>
    <w:rsid w:val="00F87775"/>
    <w:rsid w:val="00F879B4"/>
    <w:rsid w:val="00F92CF2"/>
    <w:rsid w:val="00F93288"/>
    <w:rsid w:val="00F94192"/>
    <w:rsid w:val="00F963ED"/>
    <w:rsid w:val="00F963F3"/>
    <w:rsid w:val="00FA1EC2"/>
    <w:rsid w:val="00FA5ACF"/>
    <w:rsid w:val="00FB73E6"/>
    <w:rsid w:val="00FC1399"/>
    <w:rsid w:val="00FC48BC"/>
    <w:rsid w:val="00FC4D5E"/>
    <w:rsid w:val="00FE1A06"/>
    <w:rsid w:val="00FE4E75"/>
    <w:rsid w:val="00FE61EC"/>
    <w:rsid w:val="00FF0504"/>
    <w:rsid w:val="00FF352B"/>
    <w:rsid w:val="00FF37E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Odstavekseznama"/>
    <w:next w:val="Navaden"/>
    <w:link w:val="Naslov1Znak"/>
    <w:uiPriority w:val="9"/>
    <w:qFormat/>
    <w:rsid w:val="00C35FA4"/>
    <w:pPr>
      <w:numPr>
        <w:numId w:val="1"/>
      </w:numPr>
      <w:ind w:left="720"/>
      <w:jc w:val="both"/>
      <w:outlineLvl w:val="0"/>
    </w:pPr>
    <w:rPr>
      <w:rFonts w:ascii="Arial" w:hAnsi="Arial" w:cs="Arial"/>
      <w:b/>
      <w:sz w:val="24"/>
      <w:szCs w:val="24"/>
    </w:rPr>
  </w:style>
  <w:style w:type="paragraph" w:styleId="Naslov2">
    <w:name w:val="heading 2"/>
    <w:basedOn w:val="Odstavekseznama"/>
    <w:next w:val="Navaden"/>
    <w:link w:val="Naslov2Znak"/>
    <w:uiPriority w:val="9"/>
    <w:unhideWhenUsed/>
    <w:qFormat/>
    <w:rsid w:val="00D96E78"/>
    <w:pPr>
      <w:numPr>
        <w:ilvl w:val="1"/>
        <w:numId w:val="1"/>
      </w:numPr>
      <w:spacing w:after="0" w:line="240" w:lineRule="auto"/>
      <w:outlineLvl w:val="1"/>
    </w:pPr>
    <w:rPr>
      <w:rFonts w:ascii="Arial" w:hAnsi="Arial" w:cs="Arial"/>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35FA4"/>
    <w:pPr>
      <w:ind w:left="720"/>
      <w:contextualSpacing/>
    </w:pPr>
  </w:style>
  <w:style w:type="character" w:customStyle="1" w:styleId="Naslov1Znak">
    <w:name w:val="Naslov 1 Znak"/>
    <w:basedOn w:val="Privzetapisavaodstavka"/>
    <w:link w:val="Naslov1"/>
    <w:uiPriority w:val="9"/>
    <w:rsid w:val="00C35FA4"/>
    <w:rPr>
      <w:rFonts w:ascii="Arial" w:hAnsi="Arial" w:cs="Arial"/>
      <w:b/>
      <w:sz w:val="24"/>
      <w:szCs w:val="24"/>
    </w:rPr>
  </w:style>
  <w:style w:type="character" w:styleId="Hiperpovezava">
    <w:name w:val="Hyperlink"/>
    <w:uiPriority w:val="99"/>
    <w:rsid w:val="00E044B8"/>
    <w:rPr>
      <w:color w:val="0000FF"/>
      <w:u w:val="single"/>
    </w:rPr>
  </w:style>
  <w:style w:type="paragraph" w:styleId="Sprotnaopomba-besedilo">
    <w:name w:val="footnote text"/>
    <w:aliases w:val="Footnote,Fußnote,Sprotna opomba-besedilo,Char Char,Char Char Char Char,Char Char Char,Sprotna opomba - besedilo Znak1,Sprotna opomba - besedilo Znak Znak2,Sprotna opomba - besedilo Znak1 Znak Znak1,Caption Char,CAP TABELA Char"/>
    <w:basedOn w:val="Navaden"/>
    <w:link w:val="Sprotnaopomba-besediloZnak"/>
    <w:uiPriority w:val="99"/>
    <w:qFormat/>
    <w:rsid w:val="00E044B8"/>
    <w:pPr>
      <w:spacing w:after="0" w:line="240" w:lineRule="auto"/>
      <w:jc w:val="both"/>
    </w:pPr>
    <w:rPr>
      <w:rFonts w:ascii="Arial" w:eastAsia="Times New Roman" w:hAnsi="Arial" w:cs="Times New Roman"/>
      <w:sz w:val="20"/>
      <w:szCs w:val="20"/>
      <w:lang w:val="en-GB"/>
    </w:rPr>
  </w:style>
  <w:style w:type="character" w:customStyle="1" w:styleId="Sprotnaopomba-besediloZnak">
    <w:name w:val="Sprotna opomba - besedilo Znak"/>
    <w:aliases w:val="Footnote Znak,Fußnote Znak,Sprotna opomba-besedilo Znak,Char Char Znak,Char Char Char Char Znak,Char Char Char Znak,Sprotna opomba - besedilo Znak1 Znak,Sprotna opomba - besedilo Znak Znak2 Znak,Caption Char Znak"/>
    <w:basedOn w:val="Privzetapisavaodstavka"/>
    <w:link w:val="Sprotnaopomba-besedilo"/>
    <w:uiPriority w:val="99"/>
    <w:rsid w:val="00E044B8"/>
    <w:rPr>
      <w:rFonts w:ascii="Arial" w:eastAsia="Times New Roman" w:hAnsi="Arial" w:cs="Times New Roman"/>
      <w:sz w:val="20"/>
      <w:szCs w:val="20"/>
      <w:lang w:val="en-GB"/>
    </w:rPr>
  </w:style>
  <w:style w:type="character" w:styleId="Sprotnaopomba-sklic">
    <w:name w:val="footnote reference"/>
    <w:aliases w:val="Footnote symbol,Fussnota,Footnote reference number,note TESI,SUPERS,EN Footnote Reference,-E Fußnotenzeichen,ESPON Footnote No,number,Times 10 Point,Exposant 3 Point,Footnote Reference_LVL6,Footnote Reference_LVL61,Footnote1,E..."/>
    <w:uiPriority w:val="99"/>
    <w:qFormat/>
    <w:rsid w:val="00E044B8"/>
    <w:rPr>
      <w:vertAlign w:val="superscript"/>
    </w:rPr>
  </w:style>
  <w:style w:type="paragraph" w:customStyle="1" w:styleId="Default">
    <w:name w:val="Default"/>
    <w:rsid w:val="00E044B8"/>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paragraph" w:styleId="Napis">
    <w:name w:val="caption"/>
    <w:aliases w:val="CAP TABELA,CapSlika,Napis Znak,Znak Znak Znak,Label/Legend,Char,Znak Znak,Caption Char1,Caption Char Char1,Napis Znak2 Znak,Napis Znak Znak2 Znak,Napis Znak Znak2 Znak Znak Znak,Napis Znak Znak Znak Znak Znak Znak Znak,slika1,Napis Znak1,S"/>
    <w:basedOn w:val="Navaden"/>
    <w:next w:val="Navaden"/>
    <w:link w:val="NapisZnak2"/>
    <w:uiPriority w:val="99"/>
    <w:qFormat/>
    <w:rsid w:val="00E044B8"/>
    <w:pPr>
      <w:spacing w:after="220" w:line="240" w:lineRule="auto"/>
      <w:jc w:val="both"/>
    </w:pPr>
    <w:rPr>
      <w:rFonts w:ascii="Helvetica" w:eastAsia="SimSun" w:hAnsi="Helvetica" w:cs="Times New Roman"/>
      <w:bCs/>
      <w:i/>
      <w:szCs w:val="18"/>
      <w:lang w:val="en-US"/>
    </w:rPr>
  </w:style>
  <w:style w:type="character" w:customStyle="1" w:styleId="NapisZnak2">
    <w:name w:val="Napis Znak2"/>
    <w:aliases w:val="CAP TABELA Znak,CapSlika Znak,Napis Znak Znak,Znak Znak Znak Znak,Label/Legend Znak,Char Znak,Znak Znak Znak1,Caption Char1 Znak,Caption Char Char1 Znak,Napis Znak2 Znak Znak,Napis Znak Znak2 Znak Znak,Napis Znak Znak2 Znak Znak Znak Znak"/>
    <w:link w:val="Napis"/>
    <w:uiPriority w:val="99"/>
    <w:locked/>
    <w:rsid w:val="00E044B8"/>
    <w:rPr>
      <w:rFonts w:ascii="Helvetica" w:eastAsia="SimSun" w:hAnsi="Helvetica" w:cs="Times New Roman"/>
      <w:bCs/>
      <w:i/>
      <w:szCs w:val="18"/>
      <w:lang w:val="en-US"/>
    </w:rPr>
  </w:style>
  <w:style w:type="paragraph" w:styleId="Besedilooblaka">
    <w:name w:val="Balloon Text"/>
    <w:basedOn w:val="Navaden"/>
    <w:link w:val="BesedilooblakaZnak"/>
    <w:uiPriority w:val="99"/>
    <w:semiHidden/>
    <w:unhideWhenUsed/>
    <w:rsid w:val="00E044B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044B8"/>
    <w:rPr>
      <w:rFonts w:ascii="Tahoma" w:hAnsi="Tahoma" w:cs="Tahoma"/>
      <w:sz w:val="16"/>
      <w:szCs w:val="16"/>
    </w:rPr>
  </w:style>
  <w:style w:type="paragraph" w:customStyle="1" w:styleId="CM1">
    <w:name w:val="CM1"/>
    <w:basedOn w:val="Default"/>
    <w:next w:val="Default"/>
    <w:uiPriority w:val="99"/>
    <w:rsid w:val="003A34EC"/>
    <w:rPr>
      <w:rFonts w:eastAsiaTheme="minorHAnsi" w:cstheme="minorBidi"/>
      <w:color w:val="auto"/>
      <w:lang w:eastAsia="en-US"/>
    </w:rPr>
  </w:style>
  <w:style w:type="paragraph" w:customStyle="1" w:styleId="CM3">
    <w:name w:val="CM3"/>
    <w:basedOn w:val="Default"/>
    <w:next w:val="Default"/>
    <w:uiPriority w:val="99"/>
    <w:rsid w:val="003A34EC"/>
    <w:rPr>
      <w:rFonts w:eastAsiaTheme="minorHAnsi" w:cstheme="minorBidi"/>
      <w:color w:val="auto"/>
      <w:lang w:eastAsia="en-US"/>
    </w:rPr>
  </w:style>
  <w:style w:type="character" w:styleId="Pripombasklic">
    <w:name w:val="annotation reference"/>
    <w:basedOn w:val="Privzetapisavaodstavka"/>
    <w:uiPriority w:val="99"/>
    <w:semiHidden/>
    <w:unhideWhenUsed/>
    <w:rsid w:val="003D7819"/>
    <w:rPr>
      <w:sz w:val="16"/>
      <w:szCs w:val="16"/>
    </w:rPr>
  </w:style>
  <w:style w:type="paragraph" w:styleId="Pripombabesedilo">
    <w:name w:val="annotation text"/>
    <w:basedOn w:val="Navaden"/>
    <w:link w:val="PripombabesediloZnak"/>
    <w:uiPriority w:val="99"/>
    <w:semiHidden/>
    <w:unhideWhenUsed/>
    <w:rsid w:val="003D781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D7819"/>
    <w:rPr>
      <w:sz w:val="20"/>
      <w:szCs w:val="20"/>
    </w:rPr>
  </w:style>
  <w:style w:type="paragraph" w:styleId="Zadevapripombe">
    <w:name w:val="annotation subject"/>
    <w:basedOn w:val="Pripombabesedilo"/>
    <w:next w:val="Pripombabesedilo"/>
    <w:link w:val="ZadevapripombeZnak"/>
    <w:uiPriority w:val="99"/>
    <w:semiHidden/>
    <w:unhideWhenUsed/>
    <w:rsid w:val="003D7819"/>
    <w:rPr>
      <w:b/>
      <w:bCs/>
    </w:rPr>
  </w:style>
  <w:style w:type="character" w:customStyle="1" w:styleId="ZadevapripombeZnak">
    <w:name w:val="Zadeva pripombe Znak"/>
    <w:basedOn w:val="PripombabesediloZnak"/>
    <w:link w:val="Zadevapripombe"/>
    <w:uiPriority w:val="99"/>
    <w:semiHidden/>
    <w:rsid w:val="003D7819"/>
    <w:rPr>
      <w:b/>
      <w:bCs/>
      <w:sz w:val="20"/>
      <w:szCs w:val="20"/>
    </w:rPr>
  </w:style>
  <w:style w:type="character" w:customStyle="1" w:styleId="Naslov2Znak">
    <w:name w:val="Naslov 2 Znak"/>
    <w:basedOn w:val="Privzetapisavaodstavka"/>
    <w:link w:val="Naslov2"/>
    <w:uiPriority w:val="9"/>
    <w:rsid w:val="00D96E78"/>
    <w:rPr>
      <w:rFonts w:ascii="Arial" w:hAnsi="Arial" w:cs="Arial"/>
      <w:b/>
      <w:sz w:val="20"/>
      <w:szCs w:val="20"/>
    </w:rPr>
  </w:style>
  <w:style w:type="paragraph" w:customStyle="1" w:styleId="Footnotebesedilo">
    <w:name w:val="Footnote besedilo"/>
    <w:qFormat/>
    <w:rsid w:val="002548EE"/>
    <w:pPr>
      <w:spacing w:before="60" w:after="0" w:line="240" w:lineRule="auto"/>
      <w:ind w:left="284" w:hanging="284"/>
    </w:pPr>
    <w:rPr>
      <w:rFonts w:ascii="Arial" w:hAnsi="Arial"/>
      <w:sz w:val="16"/>
      <w:szCs w:val="14"/>
    </w:rPr>
  </w:style>
  <w:style w:type="character" w:styleId="SledenaHiperpovezava">
    <w:name w:val="FollowedHyperlink"/>
    <w:basedOn w:val="Privzetapisavaodstavka"/>
    <w:uiPriority w:val="99"/>
    <w:semiHidden/>
    <w:unhideWhenUsed/>
    <w:rsid w:val="002548EE"/>
    <w:rPr>
      <w:color w:val="800080" w:themeColor="followedHyperlink"/>
      <w:u w:val="single"/>
    </w:rPr>
  </w:style>
  <w:style w:type="paragraph" w:styleId="Brezrazmikov">
    <w:name w:val="No Spacing"/>
    <w:uiPriority w:val="1"/>
    <w:qFormat/>
    <w:rsid w:val="007B37AF"/>
    <w:pPr>
      <w:spacing w:after="0" w:line="240" w:lineRule="auto"/>
    </w:pPr>
  </w:style>
  <w:style w:type="paragraph" w:styleId="NaslovTOC">
    <w:name w:val="TOC Heading"/>
    <w:basedOn w:val="Naslov1"/>
    <w:next w:val="Navaden"/>
    <w:uiPriority w:val="39"/>
    <w:semiHidden/>
    <w:unhideWhenUsed/>
    <w:qFormat/>
    <w:rsid w:val="00D96E78"/>
    <w:pPr>
      <w:keepNext/>
      <w:keepLines/>
      <w:numPr>
        <w:numId w:val="0"/>
      </w:numPr>
      <w:spacing w:before="480" w:after="0"/>
      <w:contextualSpacing w:val="0"/>
      <w:jc w:val="left"/>
      <w:outlineLvl w:val="9"/>
    </w:pPr>
    <w:rPr>
      <w:rFonts w:asciiTheme="majorHAnsi" w:eastAsiaTheme="majorEastAsia" w:hAnsiTheme="majorHAnsi" w:cstheme="majorBidi"/>
      <w:bCs/>
      <w:color w:val="365F91" w:themeColor="accent1" w:themeShade="BF"/>
      <w:sz w:val="28"/>
      <w:szCs w:val="28"/>
      <w:lang w:eastAsia="sl-SI"/>
    </w:rPr>
  </w:style>
  <w:style w:type="paragraph" w:styleId="Kazalovsebine2">
    <w:name w:val="toc 2"/>
    <w:basedOn w:val="Navaden"/>
    <w:next w:val="Navaden"/>
    <w:autoRedefine/>
    <w:uiPriority w:val="39"/>
    <w:unhideWhenUsed/>
    <w:qFormat/>
    <w:rsid w:val="00D96E78"/>
    <w:pPr>
      <w:tabs>
        <w:tab w:val="left" w:pos="880"/>
        <w:tab w:val="right" w:leader="dot" w:pos="9062"/>
      </w:tabs>
      <w:spacing w:after="100"/>
      <w:ind w:left="220"/>
    </w:pPr>
    <w:rPr>
      <w:rFonts w:ascii="Arial" w:eastAsiaTheme="minorEastAsia" w:hAnsi="Arial" w:cs="Arial"/>
      <w:noProof/>
      <w:sz w:val="20"/>
      <w:szCs w:val="20"/>
      <w:lang w:eastAsia="sl-SI"/>
    </w:rPr>
  </w:style>
  <w:style w:type="paragraph" w:styleId="Kazalovsebine1">
    <w:name w:val="toc 1"/>
    <w:basedOn w:val="Navaden"/>
    <w:next w:val="Navaden"/>
    <w:autoRedefine/>
    <w:uiPriority w:val="39"/>
    <w:unhideWhenUsed/>
    <w:qFormat/>
    <w:rsid w:val="00D96E78"/>
    <w:pPr>
      <w:spacing w:after="100"/>
    </w:pPr>
    <w:rPr>
      <w:rFonts w:eastAsiaTheme="minorEastAsia"/>
      <w:lang w:eastAsia="sl-SI"/>
    </w:rPr>
  </w:style>
  <w:style w:type="paragraph" w:styleId="Kazalovsebine3">
    <w:name w:val="toc 3"/>
    <w:basedOn w:val="Navaden"/>
    <w:next w:val="Navaden"/>
    <w:autoRedefine/>
    <w:uiPriority w:val="39"/>
    <w:semiHidden/>
    <w:unhideWhenUsed/>
    <w:qFormat/>
    <w:rsid w:val="00D96E78"/>
    <w:pPr>
      <w:spacing w:after="100"/>
      <w:ind w:left="440"/>
    </w:pPr>
    <w:rPr>
      <w:rFonts w:eastAsiaTheme="minorEastAsia"/>
      <w:lang w:eastAsia="sl-SI"/>
    </w:rPr>
  </w:style>
  <w:style w:type="paragraph" w:styleId="Glava">
    <w:name w:val="header"/>
    <w:basedOn w:val="Navaden"/>
    <w:link w:val="GlavaZnak"/>
    <w:uiPriority w:val="99"/>
    <w:unhideWhenUsed/>
    <w:rsid w:val="00EE19B9"/>
    <w:pPr>
      <w:tabs>
        <w:tab w:val="center" w:pos="4536"/>
        <w:tab w:val="right" w:pos="9072"/>
      </w:tabs>
      <w:spacing w:after="0" w:line="240" w:lineRule="auto"/>
    </w:pPr>
  </w:style>
  <w:style w:type="character" w:customStyle="1" w:styleId="GlavaZnak">
    <w:name w:val="Glava Znak"/>
    <w:basedOn w:val="Privzetapisavaodstavka"/>
    <w:link w:val="Glava"/>
    <w:uiPriority w:val="99"/>
    <w:rsid w:val="00EE19B9"/>
  </w:style>
  <w:style w:type="paragraph" w:styleId="Noga">
    <w:name w:val="footer"/>
    <w:basedOn w:val="Navaden"/>
    <w:link w:val="NogaZnak"/>
    <w:uiPriority w:val="99"/>
    <w:unhideWhenUsed/>
    <w:rsid w:val="00EE19B9"/>
    <w:pPr>
      <w:tabs>
        <w:tab w:val="center" w:pos="4536"/>
        <w:tab w:val="right" w:pos="9072"/>
      </w:tabs>
      <w:spacing w:after="0" w:line="240" w:lineRule="auto"/>
    </w:pPr>
  </w:style>
  <w:style w:type="character" w:customStyle="1" w:styleId="NogaZnak">
    <w:name w:val="Noga Znak"/>
    <w:basedOn w:val="Privzetapisavaodstavka"/>
    <w:link w:val="Noga"/>
    <w:uiPriority w:val="99"/>
    <w:rsid w:val="00EE19B9"/>
  </w:style>
  <w:style w:type="paragraph" w:styleId="Kazaloslik">
    <w:name w:val="table of figures"/>
    <w:basedOn w:val="Navaden"/>
    <w:next w:val="Navaden"/>
    <w:uiPriority w:val="99"/>
    <w:unhideWhenUsed/>
    <w:rsid w:val="00685B75"/>
    <w:pPr>
      <w:spacing w:after="0"/>
    </w:pPr>
    <w:rPr>
      <w:rFonts w:ascii="Arial" w:hAnsi="Arial"/>
      <w:sz w:val="20"/>
    </w:rPr>
  </w:style>
  <w:style w:type="character" w:styleId="Krepko">
    <w:name w:val="Strong"/>
    <w:basedOn w:val="Privzetapisavaodstavka"/>
    <w:uiPriority w:val="22"/>
    <w:qFormat/>
    <w:rsid w:val="00F15072"/>
    <w:rPr>
      <w:b/>
      <w:bCs/>
    </w:rPr>
  </w:style>
  <w:style w:type="paragraph" w:customStyle="1" w:styleId="CM4">
    <w:name w:val="CM4"/>
    <w:basedOn w:val="Default"/>
    <w:next w:val="Default"/>
    <w:uiPriority w:val="99"/>
    <w:rsid w:val="00E1224B"/>
    <w:rPr>
      <w:rFonts w:eastAsiaTheme="minorHAnsi" w:cstheme="minorBidi"/>
      <w:color w:val="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Odstavekseznama"/>
    <w:next w:val="Navaden"/>
    <w:link w:val="Naslov1Znak"/>
    <w:uiPriority w:val="9"/>
    <w:qFormat/>
    <w:rsid w:val="00C35FA4"/>
    <w:pPr>
      <w:numPr>
        <w:numId w:val="1"/>
      </w:numPr>
      <w:ind w:left="720"/>
      <w:jc w:val="both"/>
      <w:outlineLvl w:val="0"/>
    </w:pPr>
    <w:rPr>
      <w:rFonts w:ascii="Arial" w:hAnsi="Arial" w:cs="Arial"/>
      <w:b/>
      <w:sz w:val="24"/>
      <w:szCs w:val="24"/>
    </w:rPr>
  </w:style>
  <w:style w:type="paragraph" w:styleId="Naslov2">
    <w:name w:val="heading 2"/>
    <w:basedOn w:val="Odstavekseznama"/>
    <w:next w:val="Navaden"/>
    <w:link w:val="Naslov2Znak"/>
    <w:uiPriority w:val="9"/>
    <w:unhideWhenUsed/>
    <w:qFormat/>
    <w:rsid w:val="00D96E78"/>
    <w:pPr>
      <w:numPr>
        <w:ilvl w:val="1"/>
        <w:numId w:val="1"/>
      </w:numPr>
      <w:spacing w:after="0" w:line="240" w:lineRule="auto"/>
      <w:outlineLvl w:val="1"/>
    </w:pPr>
    <w:rPr>
      <w:rFonts w:ascii="Arial" w:hAnsi="Arial" w:cs="Arial"/>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35FA4"/>
    <w:pPr>
      <w:ind w:left="720"/>
      <w:contextualSpacing/>
    </w:pPr>
  </w:style>
  <w:style w:type="character" w:customStyle="1" w:styleId="Naslov1Znak">
    <w:name w:val="Naslov 1 Znak"/>
    <w:basedOn w:val="Privzetapisavaodstavka"/>
    <w:link w:val="Naslov1"/>
    <w:uiPriority w:val="9"/>
    <w:rsid w:val="00C35FA4"/>
    <w:rPr>
      <w:rFonts w:ascii="Arial" w:hAnsi="Arial" w:cs="Arial"/>
      <w:b/>
      <w:sz w:val="24"/>
      <w:szCs w:val="24"/>
    </w:rPr>
  </w:style>
  <w:style w:type="character" w:styleId="Hiperpovezava">
    <w:name w:val="Hyperlink"/>
    <w:uiPriority w:val="99"/>
    <w:rsid w:val="00E044B8"/>
    <w:rPr>
      <w:color w:val="0000FF"/>
      <w:u w:val="single"/>
    </w:rPr>
  </w:style>
  <w:style w:type="paragraph" w:styleId="Sprotnaopomba-besedilo">
    <w:name w:val="footnote text"/>
    <w:aliases w:val="Footnote,Fußnote,Sprotna opomba-besedilo,Char Char,Char Char Char Char,Char Char Char,Sprotna opomba - besedilo Znak1,Sprotna opomba - besedilo Znak Znak2,Sprotna opomba - besedilo Znak1 Znak Znak1,Caption Char,CAP TABELA Char"/>
    <w:basedOn w:val="Navaden"/>
    <w:link w:val="Sprotnaopomba-besediloZnak"/>
    <w:uiPriority w:val="99"/>
    <w:qFormat/>
    <w:rsid w:val="00E044B8"/>
    <w:pPr>
      <w:spacing w:after="0" w:line="240" w:lineRule="auto"/>
      <w:jc w:val="both"/>
    </w:pPr>
    <w:rPr>
      <w:rFonts w:ascii="Arial" w:eastAsia="Times New Roman" w:hAnsi="Arial" w:cs="Times New Roman"/>
      <w:sz w:val="20"/>
      <w:szCs w:val="20"/>
      <w:lang w:val="en-GB"/>
    </w:rPr>
  </w:style>
  <w:style w:type="character" w:customStyle="1" w:styleId="Sprotnaopomba-besediloZnak">
    <w:name w:val="Sprotna opomba - besedilo Znak"/>
    <w:aliases w:val="Footnote Znak,Fußnote Znak,Sprotna opomba-besedilo Znak,Char Char Znak,Char Char Char Char Znak,Char Char Char Znak,Sprotna opomba - besedilo Znak1 Znak,Sprotna opomba - besedilo Znak Znak2 Znak,Caption Char Znak"/>
    <w:basedOn w:val="Privzetapisavaodstavka"/>
    <w:link w:val="Sprotnaopomba-besedilo"/>
    <w:uiPriority w:val="99"/>
    <w:rsid w:val="00E044B8"/>
    <w:rPr>
      <w:rFonts w:ascii="Arial" w:eastAsia="Times New Roman" w:hAnsi="Arial" w:cs="Times New Roman"/>
      <w:sz w:val="20"/>
      <w:szCs w:val="20"/>
      <w:lang w:val="en-GB"/>
    </w:rPr>
  </w:style>
  <w:style w:type="character" w:styleId="Sprotnaopomba-sklic">
    <w:name w:val="footnote reference"/>
    <w:aliases w:val="Footnote symbol,Fussnota,Footnote reference number,note TESI,SUPERS,EN Footnote Reference,-E Fußnotenzeichen,ESPON Footnote No,number,Times 10 Point,Exposant 3 Point,Footnote Reference_LVL6,Footnote Reference_LVL61,Footnote1,E..."/>
    <w:uiPriority w:val="99"/>
    <w:qFormat/>
    <w:rsid w:val="00E044B8"/>
    <w:rPr>
      <w:vertAlign w:val="superscript"/>
    </w:rPr>
  </w:style>
  <w:style w:type="paragraph" w:customStyle="1" w:styleId="Default">
    <w:name w:val="Default"/>
    <w:rsid w:val="00E044B8"/>
    <w:pPr>
      <w:autoSpaceDE w:val="0"/>
      <w:autoSpaceDN w:val="0"/>
      <w:adjustRightInd w:val="0"/>
      <w:spacing w:after="0" w:line="240" w:lineRule="auto"/>
    </w:pPr>
    <w:rPr>
      <w:rFonts w:ascii="EUAlbertina" w:eastAsia="Times New Roman" w:hAnsi="EUAlbertina" w:cs="EUAlbertina"/>
      <w:color w:val="000000"/>
      <w:sz w:val="24"/>
      <w:szCs w:val="24"/>
      <w:lang w:eastAsia="sl-SI"/>
    </w:rPr>
  </w:style>
  <w:style w:type="paragraph" w:styleId="Napis">
    <w:name w:val="caption"/>
    <w:aliases w:val="CAP TABELA,CapSlika,Napis Znak,Znak Znak Znak,Label/Legend,Char,Znak Znak,Caption Char1,Caption Char Char1,Napis Znak2 Znak,Napis Znak Znak2 Znak,Napis Znak Znak2 Znak Znak Znak,Napis Znak Znak Znak Znak Znak Znak Znak,slika1,Napis Znak1,S"/>
    <w:basedOn w:val="Navaden"/>
    <w:next w:val="Navaden"/>
    <w:link w:val="NapisZnak2"/>
    <w:uiPriority w:val="99"/>
    <w:qFormat/>
    <w:rsid w:val="00E044B8"/>
    <w:pPr>
      <w:spacing w:after="220" w:line="240" w:lineRule="auto"/>
      <w:jc w:val="both"/>
    </w:pPr>
    <w:rPr>
      <w:rFonts w:ascii="Helvetica" w:eastAsia="SimSun" w:hAnsi="Helvetica" w:cs="Times New Roman"/>
      <w:bCs/>
      <w:i/>
      <w:szCs w:val="18"/>
      <w:lang w:val="en-US"/>
    </w:rPr>
  </w:style>
  <w:style w:type="character" w:customStyle="1" w:styleId="NapisZnak2">
    <w:name w:val="Napis Znak2"/>
    <w:aliases w:val="CAP TABELA Znak,CapSlika Znak,Napis Znak Znak,Znak Znak Znak Znak,Label/Legend Znak,Char Znak,Znak Znak Znak1,Caption Char1 Znak,Caption Char Char1 Znak,Napis Znak2 Znak Znak,Napis Znak Znak2 Znak Znak,Napis Znak Znak2 Znak Znak Znak Znak"/>
    <w:link w:val="Napis"/>
    <w:uiPriority w:val="99"/>
    <w:locked/>
    <w:rsid w:val="00E044B8"/>
    <w:rPr>
      <w:rFonts w:ascii="Helvetica" w:eastAsia="SimSun" w:hAnsi="Helvetica" w:cs="Times New Roman"/>
      <w:bCs/>
      <w:i/>
      <w:szCs w:val="18"/>
      <w:lang w:val="en-US"/>
    </w:rPr>
  </w:style>
  <w:style w:type="paragraph" w:styleId="Besedilooblaka">
    <w:name w:val="Balloon Text"/>
    <w:basedOn w:val="Navaden"/>
    <w:link w:val="BesedilooblakaZnak"/>
    <w:uiPriority w:val="99"/>
    <w:semiHidden/>
    <w:unhideWhenUsed/>
    <w:rsid w:val="00E044B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044B8"/>
    <w:rPr>
      <w:rFonts w:ascii="Tahoma" w:hAnsi="Tahoma" w:cs="Tahoma"/>
      <w:sz w:val="16"/>
      <w:szCs w:val="16"/>
    </w:rPr>
  </w:style>
  <w:style w:type="paragraph" w:customStyle="1" w:styleId="CM1">
    <w:name w:val="CM1"/>
    <w:basedOn w:val="Default"/>
    <w:next w:val="Default"/>
    <w:uiPriority w:val="99"/>
    <w:rsid w:val="003A34EC"/>
    <w:rPr>
      <w:rFonts w:eastAsiaTheme="minorHAnsi" w:cstheme="minorBidi"/>
      <w:color w:val="auto"/>
      <w:lang w:eastAsia="en-US"/>
    </w:rPr>
  </w:style>
  <w:style w:type="paragraph" w:customStyle="1" w:styleId="CM3">
    <w:name w:val="CM3"/>
    <w:basedOn w:val="Default"/>
    <w:next w:val="Default"/>
    <w:uiPriority w:val="99"/>
    <w:rsid w:val="003A34EC"/>
    <w:rPr>
      <w:rFonts w:eastAsiaTheme="minorHAnsi" w:cstheme="minorBidi"/>
      <w:color w:val="auto"/>
      <w:lang w:eastAsia="en-US"/>
    </w:rPr>
  </w:style>
  <w:style w:type="character" w:styleId="Pripombasklic">
    <w:name w:val="annotation reference"/>
    <w:basedOn w:val="Privzetapisavaodstavka"/>
    <w:uiPriority w:val="99"/>
    <w:semiHidden/>
    <w:unhideWhenUsed/>
    <w:rsid w:val="003D7819"/>
    <w:rPr>
      <w:sz w:val="16"/>
      <w:szCs w:val="16"/>
    </w:rPr>
  </w:style>
  <w:style w:type="paragraph" w:styleId="Pripombabesedilo">
    <w:name w:val="annotation text"/>
    <w:basedOn w:val="Navaden"/>
    <w:link w:val="PripombabesediloZnak"/>
    <w:uiPriority w:val="99"/>
    <w:semiHidden/>
    <w:unhideWhenUsed/>
    <w:rsid w:val="003D7819"/>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3D7819"/>
    <w:rPr>
      <w:sz w:val="20"/>
      <w:szCs w:val="20"/>
    </w:rPr>
  </w:style>
  <w:style w:type="paragraph" w:styleId="Zadevapripombe">
    <w:name w:val="annotation subject"/>
    <w:basedOn w:val="Pripombabesedilo"/>
    <w:next w:val="Pripombabesedilo"/>
    <w:link w:val="ZadevapripombeZnak"/>
    <w:uiPriority w:val="99"/>
    <w:semiHidden/>
    <w:unhideWhenUsed/>
    <w:rsid w:val="003D7819"/>
    <w:rPr>
      <w:b/>
      <w:bCs/>
    </w:rPr>
  </w:style>
  <w:style w:type="character" w:customStyle="1" w:styleId="ZadevapripombeZnak">
    <w:name w:val="Zadeva pripombe Znak"/>
    <w:basedOn w:val="PripombabesediloZnak"/>
    <w:link w:val="Zadevapripombe"/>
    <w:uiPriority w:val="99"/>
    <w:semiHidden/>
    <w:rsid w:val="003D7819"/>
    <w:rPr>
      <w:b/>
      <w:bCs/>
      <w:sz w:val="20"/>
      <w:szCs w:val="20"/>
    </w:rPr>
  </w:style>
  <w:style w:type="character" w:customStyle="1" w:styleId="Naslov2Znak">
    <w:name w:val="Naslov 2 Znak"/>
    <w:basedOn w:val="Privzetapisavaodstavka"/>
    <w:link w:val="Naslov2"/>
    <w:uiPriority w:val="9"/>
    <w:rsid w:val="00D96E78"/>
    <w:rPr>
      <w:rFonts w:ascii="Arial" w:hAnsi="Arial" w:cs="Arial"/>
      <w:b/>
      <w:sz w:val="20"/>
      <w:szCs w:val="20"/>
    </w:rPr>
  </w:style>
  <w:style w:type="paragraph" w:customStyle="1" w:styleId="Footnotebesedilo">
    <w:name w:val="Footnote besedilo"/>
    <w:qFormat/>
    <w:rsid w:val="002548EE"/>
    <w:pPr>
      <w:spacing w:before="60" w:after="0" w:line="240" w:lineRule="auto"/>
      <w:ind w:left="284" w:hanging="284"/>
    </w:pPr>
    <w:rPr>
      <w:rFonts w:ascii="Arial" w:hAnsi="Arial"/>
      <w:sz w:val="16"/>
      <w:szCs w:val="14"/>
    </w:rPr>
  </w:style>
  <w:style w:type="character" w:styleId="SledenaHiperpovezava">
    <w:name w:val="FollowedHyperlink"/>
    <w:basedOn w:val="Privzetapisavaodstavka"/>
    <w:uiPriority w:val="99"/>
    <w:semiHidden/>
    <w:unhideWhenUsed/>
    <w:rsid w:val="002548EE"/>
    <w:rPr>
      <w:color w:val="800080" w:themeColor="followedHyperlink"/>
      <w:u w:val="single"/>
    </w:rPr>
  </w:style>
  <w:style w:type="paragraph" w:styleId="Brezrazmikov">
    <w:name w:val="No Spacing"/>
    <w:uiPriority w:val="1"/>
    <w:qFormat/>
    <w:rsid w:val="007B37AF"/>
    <w:pPr>
      <w:spacing w:after="0" w:line="240" w:lineRule="auto"/>
    </w:pPr>
  </w:style>
  <w:style w:type="paragraph" w:styleId="NaslovTOC">
    <w:name w:val="TOC Heading"/>
    <w:basedOn w:val="Naslov1"/>
    <w:next w:val="Navaden"/>
    <w:uiPriority w:val="39"/>
    <w:semiHidden/>
    <w:unhideWhenUsed/>
    <w:qFormat/>
    <w:rsid w:val="00D96E78"/>
    <w:pPr>
      <w:keepNext/>
      <w:keepLines/>
      <w:numPr>
        <w:numId w:val="0"/>
      </w:numPr>
      <w:spacing w:before="480" w:after="0"/>
      <w:contextualSpacing w:val="0"/>
      <w:jc w:val="left"/>
      <w:outlineLvl w:val="9"/>
    </w:pPr>
    <w:rPr>
      <w:rFonts w:asciiTheme="majorHAnsi" w:eastAsiaTheme="majorEastAsia" w:hAnsiTheme="majorHAnsi" w:cstheme="majorBidi"/>
      <w:bCs/>
      <w:color w:val="365F91" w:themeColor="accent1" w:themeShade="BF"/>
      <w:sz w:val="28"/>
      <w:szCs w:val="28"/>
      <w:lang w:eastAsia="sl-SI"/>
    </w:rPr>
  </w:style>
  <w:style w:type="paragraph" w:styleId="Kazalovsebine2">
    <w:name w:val="toc 2"/>
    <w:basedOn w:val="Navaden"/>
    <w:next w:val="Navaden"/>
    <w:autoRedefine/>
    <w:uiPriority w:val="39"/>
    <w:unhideWhenUsed/>
    <w:qFormat/>
    <w:rsid w:val="00D96E78"/>
    <w:pPr>
      <w:tabs>
        <w:tab w:val="left" w:pos="880"/>
        <w:tab w:val="right" w:leader="dot" w:pos="9062"/>
      </w:tabs>
      <w:spacing w:after="100"/>
      <w:ind w:left="220"/>
    </w:pPr>
    <w:rPr>
      <w:rFonts w:ascii="Arial" w:eastAsiaTheme="minorEastAsia" w:hAnsi="Arial" w:cs="Arial"/>
      <w:noProof/>
      <w:sz w:val="20"/>
      <w:szCs w:val="20"/>
      <w:lang w:eastAsia="sl-SI"/>
    </w:rPr>
  </w:style>
  <w:style w:type="paragraph" w:styleId="Kazalovsebine1">
    <w:name w:val="toc 1"/>
    <w:basedOn w:val="Navaden"/>
    <w:next w:val="Navaden"/>
    <w:autoRedefine/>
    <w:uiPriority w:val="39"/>
    <w:unhideWhenUsed/>
    <w:qFormat/>
    <w:rsid w:val="00D96E78"/>
    <w:pPr>
      <w:spacing w:after="100"/>
    </w:pPr>
    <w:rPr>
      <w:rFonts w:eastAsiaTheme="minorEastAsia"/>
      <w:lang w:eastAsia="sl-SI"/>
    </w:rPr>
  </w:style>
  <w:style w:type="paragraph" w:styleId="Kazalovsebine3">
    <w:name w:val="toc 3"/>
    <w:basedOn w:val="Navaden"/>
    <w:next w:val="Navaden"/>
    <w:autoRedefine/>
    <w:uiPriority w:val="39"/>
    <w:semiHidden/>
    <w:unhideWhenUsed/>
    <w:qFormat/>
    <w:rsid w:val="00D96E78"/>
    <w:pPr>
      <w:spacing w:after="100"/>
      <w:ind w:left="440"/>
    </w:pPr>
    <w:rPr>
      <w:rFonts w:eastAsiaTheme="minorEastAsia"/>
      <w:lang w:eastAsia="sl-SI"/>
    </w:rPr>
  </w:style>
  <w:style w:type="paragraph" w:styleId="Glava">
    <w:name w:val="header"/>
    <w:basedOn w:val="Navaden"/>
    <w:link w:val="GlavaZnak"/>
    <w:uiPriority w:val="99"/>
    <w:unhideWhenUsed/>
    <w:rsid w:val="00EE19B9"/>
    <w:pPr>
      <w:tabs>
        <w:tab w:val="center" w:pos="4536"/>
        <w:tab w:val="right" w:pos="9072"/>
      </w:tabs>
      <w:spacing w:after="0" w:line="240" w:lineRule="auto"/>
    </w:pPr>
  </w:style>
  <w:style w:type="character" w:customStyle="1" w:styleId="GlavaZnak">
    <w:name w:val="Glava Znak"/>
    <w:basedOn w:val="Privzetapisavaodstavka"/>
    <w:link w:val="Glava"/>
    <w:uiPriority w:val="99"/>
    <w:rsid w:val="00EE19B9"/>
  </w:style>
  <w:style w:type="paragraph" w:styleId="Noga">
    <w:name w:val="footer"/>
    <w:basedOn w:val="Navaden"/>
    <w:link w:val="NogaZnak"/>
    <w:uiPriority w:val="99"/>
    <w:unhideWhenUsed/>
    <w:rsid w:val="00EE19B9"/>
    <w:pPr>
      <w:tabs>
        <w:tab w:val="center" w:pos="4536"/>
        <w:tab w:val="right" w:pos="9072"/>
      </w:tabs>
      <w:spacing w:after="0" w:line="240" w:lineRule="auto"/>
    </w:pPr>
  </w:style>
  <w:style w:type="character" w:customStyle="1" w:styleId="NogaZnak">
    <w:name w:val="Noga Znak"/>
    <w:basedOn w:val="Privzetapisavaodstavka"/>
    <w:link w:val="Noga"/>
    <w:uiPriority w:val="99"/>
    <w:rsid w:val="00EE19B9"/>
  </w:style>
  <w:style w:type="paragraph" w:styleId="Kazaloslik">
    <w:name w:val="table of figures"/>
    <w:basedOn w:val="Navaden"/>
    <w:next w:val="Navaden"/>
    <w:uiPriority w:val="99"/>
    <w:unhideWhenUsed/>
    <w:rsid w:val="00685B75"/>
    <w:pPr>
      <w:spacing w:after="0"/>
    </w:pPr>
    <w:rPr>
      <w:rFonts w:ascii="Arial" w:hAnsi="Arial"/>
      <w:sz w:val="20"/>
    </w:rPr>
  </w:style>
  <w:style w:type="character" w:styleId="Krepko">
    <w:name w:val="Strong"/>
    <w:basedOn w:val="Privzetapisavaodstavka"/>
    <w:uiPriority w:val="22"/>
    <w:qFormat/>
    <w:rsid w:val="00F15072"/>
    <w:rPr>
      <w:b/>
      <w:bCs/>
    </w:rPr>
  </w:style>
  <w:style w:type="paragraph" w:customStyle="1" w:styleId="CM4">
    <w:name w:val="CM4"/>
    <w:basedOn w:val="Default"/>
    <w:next w:val="Default"/>
    <w:uiPriority w:val="99"/>
    <w:rsid w:val="00E1224B"/>
    <w:rPr>
      <w:rFonts w:eastAsia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60021">
      <w:bodyDiv w:val="1"/>
      <w:marLeft w:val="0"/>
      <w:marRight w:val="0"/>
      <w:marTop w:val="0"/>
      <w:marBottom w:val="0"/>
      <w:divBdr>
        <w:top w:val="none" w:sz="0" w:space="0" w:color="auto"/>
        <w:left w:val="none" w:sz="0" w:space="0" w:color="auto"/>
        <w:bottom w:val="none" w:sz="0" w:space="0" w:color="auto"/>
        <w:right w:val="none" w:sz="0" w:space="0" w:color="auto"/>
      </w:divBdr>
    </w:div>
    <w:div w:id="439447263">
      <w:bodyDiv w:val="1"/>
      <w:marLeft w:val="0"/>
      <w:marRight w:val="0"/>
      <w:marTop w:val="0"/>
      <w:marBottom w:val="0"/>
      <w:divBdr>
        <w:top w:val="none" w:sz="0" w:space="0" w:color="auto"/>
        <w:left w:val="none" w:sz="0" w:space="0" w:color="auto"/>
        <w:bottom w:val="none" w:sz="0" w:space="0" w:color="auto"/>
        <w:right w:val="none" w:sz="0" w:space="0" w:color="auto"/>
      </w:divBdr>
      <w:divsChild>
        <w:div w:id="596672258">
          <w:marLeft w:val="0"/>
          <w:marRight w:val="0"/>
          <w:marTop w:val="0"/>
          <w:marBottom w:val="0"/>
          <w:divBdr>
            <w:top w:val="none" w:sz="0" w:space="0" w:color="auto"/>
            <w:left w:val="none" w:sz="0" w:space="0" w:color="auto"/>
            <w:bottom w:val="none" w:sz="0" w:space="0" w:color="auto"/>
            <w:right w:val="none" w:sz="0" w:space="0" w:color="auto"/>
          </w:divBdr>
        </w:div>
        <w:div w:id="805244975">
          <w:marLeft w:val="0"/>
          <w:marRight w:val="0"/>
          <w:marTop w:val="0"/>
          <w:marBottom w:val="0"/>
          <w:divBdr>
            <w:top w:val="none" w:sz="0" w:space="0" w:color="auto"/>
            <w:left w:val="none" w:sz="0" w:space="0" w:color="auto"/>
            <w:bottom w:val="none" w:sz="0" w:space="0" w:color="auto"/>
            <w:right w:val="none" w:sz="0" w:space="0" w:color="auto"/>
          </w:divBdr>
        </w:div>
        <w:div w:id="1658804842">
          <w:marLeft w:val="0"/>
          <w:marRight w:val="0"/>
          <w:marTop w:val="0"/>
          <w:marBottom w:val="0"/>
          <w:divBdr>
            <w:top w:val="none" w:sz="0" w:space="0" w:color="auto"/>
            <w:left w:val="none" w:sz="0" w:space="0" w:color="auto"/>
            <w:bottom w:val="none" w:sz="0" w:space="0" w:color="auto"/>
            <w:right w:val="none" w:sz="0" w:space="0" w:color="auto"/>
          </w:divBdr>
        </w:div>
        <w:div w:id="825829199">
          <w:marLeft w:val="0"/>
          <w:marRight w:val="0"/>
          <w:marTop w:val="0"/>
          <w:marBottom w:val="0"/>
          <w:divBdr>
            <w:top w:val="none" w:sz="0" w:space="0" w:color="auto"/>
            <w:left w:val="none" w:sz="0" w:space="0" w:color="auto"/>
            <w:bottom w:val="none" w:sz="0" w:space="0" w:color="auto"/>
            <w:right w:val="none" w:sz="0" w:space="0" w:color="auto"/>
          </w:divBdr>
        </w:div>
        <w:div w:id="63797925">
          <w:marLeft w:val="0"/>
          <w:marRight w:val="0"/>
          <w:marTop w:val="0"/>
          <w:marBottom w:val="0"/>
          <w:divBdr>
            <w:top w:val="none" w:sz="0" w:space="0" w:color="auto"/>
            <w:left w:val="none" w:sz="0" w:space="0" w:color="auto"/>
            <w:bottom w:val="none" w:sz="0" w:space="0" w:color="auto"/>
            <w:right w:val="none" w:sz="0" w:space="0" w:color="auto"/>
          </w:divBdr>
        </w:div>
        <w:div w:id="1262030090">
          <w:marLeft w:val="0"/>
          <w:marRight w:val="0"/>
          <w:marTop w:val="0"/>
          <w:marBottom w:val="0"/>
          <w:divBdr>
            <w:top w:val="none" w:sz="0" w:space="0" w:color="auto"/>
            <w:left w:val="none" w:sz="0" w:space="0" w:color="auto"/>
            <w:bottom w:val="none" w:sz="0" w:space="0" w:color="auto"/>
            <w:right w:val="none" w:sz="0" w:space="0" w:color="auto"/>
          </w:divBdr>
        </w:div>
        <w:div w:id="1448351509">
          <w:marLeft w:val="0"/>
          <w:marRight w:val="0"/>
          <w:marTop w:val="0"/>
          <w:marBottom w:val="0"/>
          <w:divBdr>
            <w:top w:val="none" w:sz="0" w:space="0" w:color="auto"/>
            <w:left w:val="none" w:sz="0" w:space="0" w:color="auto"/>
            <w:bottom w:val="none" w:sz="0" w:space="0" w:color="auto"/>
            <w:right w:val="none" w:sz="0" w:space="0" w:color="auto"/>
          </w:divBdr>
        </w:div>
      </w:divsChild>
    </w:div>
    <w:div w:id="466705781">
      <w:bodyDiv w:val="1"/>
      <w:marLeft w:val="0"/>
      <w:marRight w:val="0"/>
      <w:marTop w:val="0"/>
      <w:marBottom w:val="0"/>
      <w:divBdr>
        <w:top w:val="none" w:sz="0" w:space="0" w:color="auto"/>
        <w:left w:val="none" w:sz="0" w:space="0" w:color="auto"/>
        <w:bottom w:val="none" w:sz="0" w:space="0" w:color="auto"/>
        <w:right w:val="none" w:sz="0" w:space="0" w:color="auto"/>
      </w:divBdr>
    </w:div>
    <w:div w:id="501968849">
      <w:bodyDiv w:val="1"/>
      <w:marLeft w:val="0"/>
      <w:marRight w:val="0"/>
      <w:marTop w:val="0"/>
      <w:marBottom w:val="0"/>
      <w:divBdr>
        <w:top w:val="none" w:sz="0" w:space="0" w:color="auto"/>
        <w:left w:val="none" w:sz="0" w:space="0" w:color="auto"/>
        <w:bottom w:val="none" w:sz="0" w:space="0" w:color="auto"/>
        <w:right w:val="none" w:sz="0" w:space="0" w:color="auto"/>
      </w:divBdr>
      <w:divsChild>
        <w:div w:id="849372261">
          <w:marLeft w:val="0"/>
          <w:marRight w:val="0"/>
          <w:marTop w:val="0"/>
          <w:marBottom w:val="0"/>
          <w:divBdr>
            <w:top w:val="none" w:sz="0" w:space="0" w:color="auto"/>
            <w:left w:val="none" w:sz="0" w:space="0" w:color="auto"/>
            <w:bottom w:val="none" w:sz="0" w:space="0" w:color="auto"/>
            <w:right w:val="none" w:sz="0" w:space="0" w:color="auto"/>
          </w:divBdr>
          <w:divsChild>
            <w:div w:id="186797167">
              <w:marLeft w:val="0"/>
              <w:marRight w:val="0"/>
              <w:marTop w:val="0"/>
              <w:marBottom w:val="0"/>
              <w:divBdr>
                <w:top w:val="none" w:sz="0" w:space="0" w:color="auto"/>
                <w:left w:val="none" w:sz="0" w:space="0" w:color="auto"/>
                <w:bottom w:val="none" w:sz="0" w:space="0" w:color="auto"/>
                <w:right w:val="none" w:sz="0" w:space="0" w:color="auto"/>
              </w:divBdr>
            </w:div>
            <w:div w:id="1412385110">
              <w:marLeft w:val="0"/>
              <w:marRight w:val="0"/>
              <w:marTop w:val="0"/>
              <w:marBottom w:val="0"/>
              <w:divBdr>
                <w:top w:val="none" w:sz="0" w:space="0" w:color="auto"/>
                <w:left w:val="none" w:sz="0" w:space="0" w:color="auto"/>
                <w:bottom w:val="none" w:sz="0" w:space="0" w:color="auto"/>
                <w:right w:val="none" w:sz="0" w:space="0" w:color="auto"/>
              </w:divBdr>
            </w:div>
            <w:div w:id="488331225">
              <w:marLeft w:val="0"/>
              <w:marRight w:val="0"/>
              <w:marTop w:val="0"/>
              <w:marBottom w:val="0"/>
              <w:divBdr>
                <w:top w:val="none" w:sz="0" w:space="0" w:color="auto"/>
                <w:left w:val="none" w:sz="0" w:space="0" w:color="auto"/>
                <w:bottom w:val="none" w:sz="0" w:space="0" w:color="auto"/>
                <w:right w:val="none" w:sz="0" w:space="0" w:color="auto"/>
              </w:divBdr>
              <w:divsChild>
                <w:div w:id="2003923560">
                  <w:marLeft w:val="0"/>
                  <w:marRight w:val="0"/>
                  <w:marTop w:val="0"/>
                  <w:marBottom w:val="0"/>
                  <w:divBdr>
                    <w:top w:val="none" w:sz="0" w:space="0" w:color="auto"/>
                    <w:left w:val="none" w:sz="0" w:space="0" w:color="auto"/>
                    <w:bottom w:val="none" w:sz="0" w:space="0" w:color="auto"/>
                    <w:right w:val="none" w:sz="0" w:space="0" w:color="auto"/>
                  </w:divBdr>
                  <w:divsChild>
                    <w:div w:id="199768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689081">
      <w:bodyDiv w:val="1"/>
      <w:marLeft w:val="0"/>
      <w:marRight w:val="0"/>
      <w:marTop w:val="0"/>
      <w:marBottom w:val="0"/>
      <w:divBdr>
        <w:top w:val="none" w:sz="0" w:space="0" w:color="auto"/>
        <w:left w:val="none" w:sz="0" w:space="0" w:color="auto"/>
        <w:bottom w:val="none" w:sz="0" w:space="0" w:color="auto"/>
        <w:right w:val="none" w:sz="0" w:space="0" w:color="auto"/>
      </w:divBdr>
      <w:divsChild>
        <w:div w:id="801577478">
          <w:marLeft w:val="0"/>
          <w:marRight w:val="0"/>
          <w:marTop w:val="0"/>
          <w:marBottom w:val="0"/>
          <w:divBdr>
            <w:top w:val="none" w:sz="0" w:space="0" w:color="auto"/>
            <w:left w:val="none" w:sz="0" w:space="0" w:color="auto"/>
            <w:bottom w:val="none" w:sz="0" w:space="0" w:color="auto"/>
            <w:right w:val="none" w:sz="0" w:space="0" w:color="auto"/>
          </w:divBdr>
        </w:div>
        <w:div w:id="2043744733">
          <w:marLeft w:val="0"/>
          <w:marRight w:val="0"/>
          <w:marTop w:val="0"/>
          <w:marBottom w:val="0"/>
          <w:divBdr>
            <w:top w:val="none" w:sz="0" w:space="0" w:color="auto"/>
            <w:left w:val="none" w:sz="0" w:space="0" w:color="auto"/>
            <w:bottom w:val="none" w:sz="0" w:space="0" w:color="auto"/>
            <w:right w:val="none" w:sz="0" w:space="0" w:color="auto"/>
          </w:divBdr>
        </w:div>
        <w:div w:id="1189374612">
          <w:marLeft w:val="0"/>
          <w:marRight w:val="0"/>
          <w:marTop w:val="0"/>
          <w:marBottom w:val="0"/>
          <w:divBdr>
            <w:top w:val="none" w:sz="0" w:space="0" w:color="auto"/>
            <w:left w:val="none" w:sz="0" w:space="0" w:color="auto"/>
            <w:bottom w:val="none" w:sz="0" w:space="0" w:color="auto"/>
            <w:right w:val="none" w:sz="0" w:space="0" w:color="auto"/>
          </w:divBdr>
        </w:div>
        <w:div w:id="1199970408">
          <w:marLeft w:val="0"/>
          <w:marRight w:val="0"/>
          <w:marTop w:val="0"/>
          <w:marBottom w:val="0"/>
          <w:divBdr>
            <w:top w:val="none" w:sz="0" w:space="0" w:color="auto"/>
            <w:left w:val="none" w:sz="0" w:space="0" w:color="auto"/>
            <w:bottom w:val="none" w:sz="0" w:space="0" w:color="auto"/>
            <w:right w:val="none" w:sz="0" w:space="0" w:color="auto"/>
          </w:divBdr>
        </w:div>
        <w:div w:id="1463883236">
          <w:marLeft w:val="0"/>
          <w:marRight w:val="0"/>
          <w:marTop w:val="0"/>
          <w:marBottom w:val="0"/>
          <w:divBdr>
            <w:top w:val="none" w:sz="0" w:space="0" w:color="auto"/>
            <w:left w:val="none" w:sz="0" w:space="0" w:color="auto"/>
            <w:bottom w:val="none" w:sz="0" w:space="0" w:color="auto"/>
            <w:right w:val="none" w:sz="0" w:space="0" w:color="auto"/>
          </w:divBdr>
        </w:div>
        <w:div w:id="1759399217">
          <w:marLeft w:val="0"/>
          <w:marRight w:val="0"/>
          <w:marTop w:val="0"/>
          <w:marBottom w:val="0"/>
          <w:divBdr>
            <w:top w:val="none" w:sz="0" w:space="0" w:color="auto"/>
            <w:left w:val="none" w:sz="0" w:space="0" w:color="auto"/>
            <w:bottom w:val="none" w:sz="0" w:space="0" w:color="auto"/>
            <w:right w:val="none" w:sz="0" w:space="0" w:color="auto"/>
          </w:divBdr>
        </w:div>
        <w:div w:id="1902329027">
          <w:marLeft w:val="0"/>
          <w:marRight w:val="0"/>
          <w:marTop w:val="0"/>
          <w:marBottom w:val="0"/>
          <w:divBdr>
            <w:top w:val="none" w:sz="0" w:space="0" w:color="auto"/>
            <w:left w:val="none" w:sz="0" w:space="0" w:color="auto"/>
            <w:bottom w:val="none" w:sz="0" w:space="0" w:color="auto"/>
            <w:right w:val="none" w:sz="0" w:space="0" w:color="auto"/>
          </w:divBdr>
        </w:div>
        <w:div w:id="248318444">
          <w:marLeft w:val="0"/>
          <w:marRight w:val="0"/>
          <w:marTop w:val="0"/>
          <w:marBottom w:val="0"/>
          <w:divBdr>
            <w:top w:val="none" w:sz="0" w:space="0" w:color="auto"/>
            <w:left w:val="none" w:sz="0" w:space="0" w:color="auto"/>
            <w:bottom w:val="none" w:sz="0" w:space="0" w:color="auto"/>
            <w:right w:val="none" w:sz="0" w:space="0" w:color="auto"/>
          </w:divBdr>
        </w:div>
        <w:div w:id="640620145">
          <w:marLeft w:val="0"/>
          <w:marRight w:val="0"/>
          <w:marTop w:val="0"/>
          <w:marBottom w:val="0"/>
          <w:divBdr>
            <w:top w:val="none" w:sz="0" w:space="0" w:color="auto"/>
            <w:left w:val="none" w:sz="0" w:space="0" w:color="auto"/>
            <w:bottom w:val="none" w:sz="0" w:space="0" w:color="auto"/>
            <w:right w:val="none" w:sz="0" w:space="0" w:color="auto"/>
          </w:divBdr>
        </w:div>
        <w:div w:id="1821728572">
          <w:marLeft w:val="0"/>
          <w:marRight w:val="0"/>
          <w:marTop w:val="0"/>
          <w:marBottom w:val="0"/>
          <w:divBdr>
            <w:top w:val="none" w:sz="0" w:space="0" w:color="auto"/>
            <w:left w:val="none" w:sz="0" w:space="0" w:color="auto"/>
            <w:bottom w:val="none" w:sz="0" w:space="0" w:color="auto"/>
            <w:right w:val="none" w:sz="0" w:space="0" w:color="auto"/>
          </w:divBdr>
        </w:div>
      </w:divsChild>
    </w:div>
    <w:div w:id="1518041551">
      <w:bodyDiv w:val="1"/>
      <w:marLeft w:val="0"/>
      <w:marRight w:val="0"/>
      <w:marTop w:val="0"/>
      <w:marBottom w:val="0"/>
      <w:divBdr>
        <w:top w:val="none" w:sz="0" w:space="0" w:color="auto"/>
        <w:left w:val="none" w:sz="0" w:space="0" w:color="auto"/>
        <w:bottom w:val="none" w:sz="0" w:space="0" w:color="auto"/>
        <w:right w:val="none" w:sz="0" w:space="0" w:color="auto"/>
      </w:divBdr>
      <w:divsChild>
        <w:div w:id="400951754">
          <w:marLeft w:val="0"/>
          <w:marRight w:val="0"/>
          <w:marTop w:val="0"/>
          <w:marBottom w:val="0"/>
          <w:divBdr>
            <w:top w:val="none" w:sz="0" w:space="0" w:color="auto"/>
            <w:left w:val="none" w:sz="0" w:space="0" w:color="auto"/>
            <w:bottom w:val="none" w:sz="0" w:space="0" w:color="auto"/>
            <w:right w:val="none" w:sz="0" w:space="0" w:color="auto"/>
          </w:divBdr>
        </w:div>
        <w:div w:id="136185541">
          <w:marLeft w:val="0"/>
          <w:marRight w:val="0"/>
          <w:marTop w:val="0"/>
          <w:marBottom w:val="0"/>
          <w:divBdr>
            <w:top w:val="none" w:sz="0" w:space="0" w:color="auto"/>
            <w:left w:val="none" w:sz="0" w:space="0" w:color="auto"/>
            <w:bottom w:val="none" w:sz="0" w:space="0" w:color="auto"/>
            <w:right w:val="none" w:sz="0" w:space="0" w:color="auto"/>
          </w:divBdr>
        </w:div>
        <w:div w:id="1232617653">
          <w:marLeft w:val="0"/>
          <w:marRight w:val="0"/>
          <w:marTop w:val="0"/>
          <w:marBottom w:val="0"/>
          <w:divBdr>
            <w:top w:val="none" w:sz="0" w:space="0" w:color="auto"/>
            <w:left w:val="none" w:sz="0" w:space="0" w:color="auto"/>
            <w:bottom w:val="none" w:sz="0" w:space="0" w:color="auto"/>
            <w:right w:val="none" w:sz="0" w:space="0" w:color="auto"/>
          </w:divBdr>
        </w:div>
        <w:div w:id="190994426">
          <w:marLeft w:val="0"/>
          <w:marRight w:val="0"/>
          <w:marTop w:val="0"/>
          <w:marBottom w:val="0"/>
          <w:divBdr>
            <w:top w:val="none" w:sz="0" w:space="0" w:color="auto"/>
            <w:left w:val="none" w:sz="0" w:space="0" w:color="auto"/>
            <w:bottom w:val="none" w:sz="0" w:space="0" w:color="auto"/>
            <w:right w:val="none" w:sz="0" w:space="0" w:color="auto"/>
          </w:divBdr>
        </w:div>
        <w:div w:id="893925826">
          <w:marLeft w:val="0"/>
          <w:marRight w:val="0"/>
          <w:marTop w:val="0"/>
          <w:marBottom w:val="0"/>
          <w:divBdr>
            <w:top w:val="none" w:sz="0" w:space="0" w:color="auto"/>
            <w:left w:val="none" w:sz="0" w:space="0" w:color="auto"/>
            <w:bottom w:val="none" w:sz="0" w:space="0" w:color="auto"/>
            <w:right w:val="none" w:sz="0" w:space="0" w:color="auto"/>
          </w:divBdr>
        </w:div>
      </w:divsChild>
    </w:div>
    <w:div w:id="1844319199">
      <w:bodyDiv w:val="1"/>
      <w:marLeft w:val="0"/>
      <w:marRight w:val="0"/>
      <w:marTop w:val="0"/>
      <w:marBottom w:val="0"/>
      <w:divBdr>
        <w:top w:val="none" w:sz="0" w:space="0" w:color="auto"/>
        <w:left w:val="none" w:sz="0" w:space="0" w:color="auto"/>
        <w:bottom w:val="none" w:sz="0" w:space="0" w:color="auto"/>
        <w:right w:val="none" w:sz="0" w:space="0" w:color="auto"/>
      </w:divBdr>
      <w:divsChild>
        <w:div w:id="592511496">
          <w:marLeft w:val="0"/>
          <w:marRight w:val="0"/>
          <w:marTop w:val="0"/>
          <w:marBottom w:val="0"/>
          <w:divBdr>
            <w:top w:val="none" w:sz="0" w:space="0" w:color="auto"/>
            <w:left w:val="none" w:sz="0" w:space="0" w:color="auto"/>
            <w:bottom w:val="none" w:sz="0" w:space="0" w:color="auto"/>
            <w:right w:val="none" w:sz="0" w:space="0" w:color="auto"/>
          </w:divBdr>
        </w:div>
        <w:div w:id="1916940434">
          <w:marLeft w:val="0"/>
          <w:marRight w:val="0"/>
          <w:marTop w:val="0"/>
          <w:marBottom w:val="0"/>
          <w:divBdr>
            <w:top w:val="none" w:sz="0" w:space="0" w:color="auto"/>
            <w:left w:val="none" w:sz="0" w:space="0" w:color="auto"/>
            <w:bottom w:val="none" w:sz="0" w:space="0" w:color="auto"/>
            <w:right w:val="none" w:sz="0" w:space="0" w:color="auto"/>
          </w:divBdr>
        </w:div>
      </w:divsChild>
    </w:div>
    <w:div w:id="1884949073">
      <w:bodyDiv w:val="1"/>
      <w:marLeft w:val="0"/>
      <w:marRight w:val="0"/>
      <w:marTop w:val="0"/>
      <w:marBottom w:val="0"/>
      <w:divBdr>
        <w:top w:val="none" w:sz="0" w:space="0" w:color="auto"/>
        <w:left w:val="none" w:sz="0" w:space="0" w:color="auto"/>
        <w:bottom w:val="none" w:sz="0" w:space="0" w:color="auto"/>
        <w:right w:val="none" w:sz="0" w:space="0" w:color="auto"/>
      </w:divBdr>
      <w:divsChild>
        <w:div w:id="1478644771">
          <w:marLeft w:val="0"/>
          <w:marRight w:val="0"/>
          <w:marTop w:val="0"/>
          <w:marBottom w:val="0"/>
          <w:divBdr>
            <w:top w:val="none" w:sz="0" w:space="0" w:color="auto"/>
            <w:left w:val="none" w:sz="0" w:space="0" w:color="auto"/>
            <w:bottom w:val="none" w:sz="0" w:space="0" w:color="auto"/>
            <w:right w:val="none" w:sz="0" w:space="0" w:color="auto"/>
          </w:divBdr>
        </w:div>
        <w:div w:id="1629048108">
          <w:marLeft w:val="0"/>
          <w:marRight w:val="0"/>
          <w:marTop w:val="0"/>
          <w:marBottom w:val="0"/>
          <w:divBdr>
            <w:top w:val="none" w:sz="0" w:space="0" w:color="auto"/>
            <w:left w:val="none" w:sz="0" w:space="0" w:color="auto"/>
            <w:bottom w:val="none" w:sz="0" w:space="0" w:color="auto"/>
            <w:right w:val="none" w:sz="0" w:space="0" w:color="auto"/>
          </w:divBdr>
        </w:div>
        <w:div w:id="518399255">
          <w:marLeft w:val="0"/>
          <w:marRight w:val="0"/>
          <w:marTop w:val="0"/>
          <w:marBottom w:val="0"/>
          <w:divBdr>
            <w:top w:val="none" w:sz="0" w:space="0" w:color="auto"/>
            <w:left w:val="none" w:sz="0" w:space="0" w:color="auto"/>
            <w:bottom w:val="none" w:sz="0" w:space="0" w:color="auto"/>
            <w:right w:val="none" w:sz="0" w:space="0" w:color="auto"/>
          </w:divBdr>
        </w:div>
      </w:divsChild>
    </w:div>
    <w:div w:id="1981836816">
      <w:bodyDiv w:val="1"/>
      <w:marLeft w:val="0"/>
      <w:marRight w:val="0"/>
      <w:marTop w:val="0"/>
      <w:marBottom w:val="0"/>
      <w:divBdr>
        <w:top w:val="none" w:sz="0" w:space="0" w:color="auto"/>
        <w:left w:val="none" w:sz="0" w:space="0" w:color="auto"/>
        <w:bottom w:val="none" w:sz="0" w:space="0" w:color="auto"/>
        <w:right w:val="none" w:sz="0" w:space="0" w:color="auto"/>
      </w:divBdr>
      <w:divsChild>
        <w:div w:id="2111314357">
          <w:marLeft w:val="0"/>
          <w:marRight w:val="0"/>
          <w:marTop w:val="0"/>
          <w:marBottom w:val="0"/>
          <w:divBdr>
            <w:top w:val="none" w:sz="0" w:space="0" w:color="auto"/>
            <w:left w:val="none" w:sz="0" w:space="0" w:color="auto"/>
            <w:bottom w:val="none" w:sz="0" w:space="0" w:color="auto"/>
            <w:right w:val="none" w:sz="0" w:space="0" w:color="auto"/>
          </w:divBdr>
        </w:div>
        <w:div w:id="1052852890">
          <w:marLeft w:val="0"/>
          <w:marRight w:val="0"/>
          <w:marTop w:val="0"/>
          <w:marBottom w:val="0"/>
          <w:divBdr>
            <w:top w:val="none" w:sz="0" w:space="0" w:color="auto"/>
            <w:left w:val="none" w:sz="0" w:space="0" w:color="auto"/>
            <w:bottom w:val="none" w:sz="0" w:space="0" w:color="auto"/>
            <w:right w:val="none" w:sz="0" w:space="0" w:color="auto"/>
          </w:divBdr>
        </w:div>
        <w:div w:id="802432382">
          <w:marLeft w:val="0"/>
          <w:marRight w:val="0"/>
          <w:marTop w:val="0"/>
          <w:marBottom w:val="0"/>
          <w:divBdr>
            <w:top w:val="none" w:sz="0" w:space="0" w:color="auto"/>
            <w:left w:val="none" w:sz="0" w:space="0" w:color="auto"/>
            <w:bottom w:val="none" w:sz="0" w:space="0" w:color="auto"/>
            <w:right w:val="none" w:sz="0" w:space="0" w:color="auto"/>
          </w:divBdr>
        </w:div>
        <w:div w:id="1410273114">
          <w:marLeft w:val="0"/>
          <w:marRight w:val="0"/>
          <w:marTop w:val="0"/>
          <w:marBottom w:val="0"/>
          <w:divBdr>
            <w:top w:val="none" w:sz="0" w:space="0" w:color="auto"/>
            <w:left w:val="none" w:sz="0" w:space="0" w:color="auto"/>
            <w:bottom w:val="none" w:sz="0" w:space="0" w:color="auto"/>
            <w:right w:val="none" w:sz="0" w:space="0" w:color="auto"/>
          </w:divBdr>
        </w:div>
        <w:div w:id="2057504502">
          <w:marLeft w:val="0"/>
          <w:marRight w:val="0"/>
          <w:marTop w:val="0"/>
          <w:marBottom w:val="0"/>
          <w:divBdr>
            <w:top w:val="none" w:sz="0" w:space="0" w:color="auto"/>
            <w:left w:val="none" w:sz="0" w:space="0" w:color="auto"/>
            <w:bottom w:val="none" w:sz="0" w:space="0" w:color="auto"/>
            <w:right w:val="none" w:sz="0" w:space="0" w:color="auto"/>
          </w:divBdr>
        </w:div>
        <w:div w:id="552277204">
          <w:marLeft w:val="0"/>
          <w:marRight w:val="0"/>
          <w:marTop w:val="0"/>
          <w:marBottom w:val="0"/>
          <w:divBdr>
            <w:top w:val="none" w:sz="0" w:space="0" w:color="auto"/>
            <w:left w:val="none" w:sz="0" w:space="0" w:color="auto"/>
            <w:bottom w:val="none" w:sz="0" w:space="0" w:color="auto"/>
            <w:right w:val="none" w:sz="0" w:space="0" w:color="auto"/>
          </w:divBdr>
        </w:div>
        <w:div w:id="132917182">
          <w:marLeft w:val="0"/>
          <w:marRight w:val="0"/>
          <w:marTop w:val="0"/>
          <w:marBottom w:val="0"/>
          <w:divBdr>
            <w:top w:val="none" w:sz="0" w:space="0" w:color="auto"/>
            <w:left w:val="none" w:sz="0" w:space="0" w:color="auto"/>
            <w:bottom w:val="none" w:sz="0" w:space="0" w:color="auto"/>
            <w:right w:val="none" w:sz="0" w:space="0" w:color="auto"/>
          </w:divBdr>
        </w:div>
        <w:div w:id="763037903">
          <w:marLeft w:val="0"/>
          <w:marRight w:val="0"/>
          <w:marTop w:val="0"/>
          <w:marBottom w:val="0"/>
          <w:divBdr>
            <w:top w:val="none" w:sz="0" w:space="0" w:color="auto"/>
            <w:left w:val="none" w:sz="0" w:space="0" w:color="auto"/>
            <w:bottom w:val="none" w:sz="0" w:space="0" w:color="auto"/>
            <w:right w:val="none" w:sz="0" w:space="0" w:color="auto"/>
          </w:divBdr>
        </w:div>
        <w:div w:id="1824277641">
          <w:marLeft w:val="0"/>
          <w:marRight w:val="0"/>
          <w:marTop w:val="0"/>
          <w:marBottom w:val="0"/>
          <w:divBdr>
            <w:top w:val="none" w:sz="0" w:space="0" w:color="auto"/>
            <w:left w:val="none" w:sz="0" w:space="0" w:color="auto"/>
            <w:bottom w:val="none" w:sz="0" w:space="0" w:color="auto"/>
            <w:right w:val="none" w:sz="0" w:space="0" w:color="auto"/>
          </w:divBdr>
        </w:div>
        <w:div w:id="1354265030">
          <w:marLeft w:val="0"/>
          <w:marRight w:val="0"/>
          <w:marTop w:val="0"/>
          <w:marBottom w:val="0"/>
          <w:divBdr>
            <w:top w:val="none" w:sz="0" w:space="0" w:color="auto"/>
            <w:left w:val="none" w:sz="0" w:space="0" w:color="auto"/>
            <w:bottom w:val="none" w:sz="0" w:space="0" w:color="auto"/>
            <w:right w:val="none" w:sz="0" w:space="0" w:color="auto"/>
          </w:divBdr>
        </w:div>
        <w:div w:id="1591348000">
          <w:marLeft w:val="0"/>
          <w:marRight w:val="0"/>
          <w:marTop w:val="0"/>
          <w:marBottom w:val="0"/>
          <w:divBdr>
            <w:top w:val="none" w:sz="0" w:space="0" w:color="auto"/>
            <w:left w:val="none" w:sz="0" w:space="0" w:color="auto"/>
            <w:bottom w:val="none" w:sz="0" w:space="0" w:color="auto"/>
            <w:right w:val="none" w:sz="0" w:space="0" w:color="auto"/>
          </w:divBdr>
        </w:div>
        <w:div w:id="1402672782">
          <w:marLeft w:val="0"/>
          <w:marRight w:val="0"/>
          <w:marTop w:val="0"/>
          <w:marBottom w:val="0"/>
          <w:divBdr>
            <w:top w:val="none" w:sz="0" w:space="0" w:color="auto"/>
            <w:left w:val="none" w:sz="0" w:space="0" w:color="auto"/>
            <w:bottom w:val="none" w:sz="0" w:space="0" w:color="auto"/>
            <w:right w:val="none" w:sz="0" w:space="0" w:color="auto"/>
          </w:divBdr>
        </w:div>
        <w:div w:id="1469131296">
          <w:marLeft w:val="0"/>
          <w:marRight w:val="0"/>
          <w:marTop w:val="0"/>
          <w:marBottom w:val="0"/>
          <w:divBdr>
            <w:top w:val="none" w:sz="0" w:space="0" w:color="auto"/>
            <w:left w:val="none" w:sz="0" w:space="0" w:color="auto"/>
            <w:bottom w:val="none" w:sz="0" w:space="0" w:color="auto"/>
            <w:right w:val="none" w:sz="0" w:space="0" w:color="auto"/>
          </w:divBdr>
        </w:div>
        <w:div w:id="306978679">
          <w:marLeft w:val="0"/>
          <w:marRight w:val="0"/>
          <w:marTop w:val="0"/>
          <w:marBottom w:val="0"/>
          <w:divBdr>
            <w:top w:val="none" w:sz="0" w:space="0" w:color="auto"/>
            <w:left w:val="none" w:sz="0" w:space="0" w:color="auto"/>
            <w:bottom w:val="none" w:sz="0" w:space="0" w:color="auto"/>
            <w:right w:val="none" w:sz="0" w:space="0" w:color="auto"/>
          </w:divBdr>
        </w:div>
        <w:div w:id="981933773">
          <w:marLeft w:val="0"/>
          <w:marRight w:val="0"/>
          <w:marTop w:val="0"/>
          <w:marBottom w:val="0"/>
          <w:divBdr>
            <w:top w:val="none" w:sz="0" w:space="0" w:color="auto"/>
            <w:left w:val="none" w:sz="0" w:space="0" w:color="auto"/>
            <w:bottom w:val="none" w:sz="0" w:space="0" w:color="auto"/>
            <w:right w:val="none" w:sz="0" w:space="0" w:color="auto"/>
          </w:divBdr>
        </w:div>
        <w:div w:id="678853327">
          <w:marLeft w:val="0"/>
          <w:marRight w:val="0"/>
          <w:marTop w:val="0"/>
          <w:marBottom w:val="0"/>
          <w:divBdr>
            <w:top w:val="none" w:sz="0" w:space="0" w:color="auto"/>
            <w:left w:val="none" w:sz="0" w:space="0" w:color="auto"/>
            <w:bottom w:val="none" w:sz="0" w:space="0" w:color="auto"/>
            <w:right w:val="none" w:sz="0" w:space="0" w:color="auto"/>
          </w:divBdr>
        </w:div>
        <w:div w:id="281347225">
          <w:marLeft w:val="0"/>
          <w:marRight w:val="0"/>
          <w:marTop w:val="0"/>
          <w:marBottom w:val="0"/>
          <w:divBdr>
            <w:top w:val="none" w:sz="0" w:space="0" w:color="auto"/>
            <w:left w:val="none" w:sz="0" w:space="0" w:color="auto"/>
            <w:bottom w:val="none" w:sz="0" w:space="0" w:color="auto"/>
            <w:right w:val="none" w:sz="0" w:space="0" w:color="auto"/>
          </w:divBdr>
        </w:div>
        <w:div w:id="1536308890">
          <w:marLeft w:val="0"/>
          <w:marRight w:val="0"/>
          <w:marTop w:val="0"/>
          <w:marBottom w:val="0"/>
          <w:divBdr>
            <w:top w:val="none" w:sz="0" w:space="0" w:color="auto"/>
            <w:left w:val="none" w:sz="0" w:space="0" w:color="auto"/>
            <w:bottom w:val="none" w:sz="0" w:space="0" w:color="auto"/>
            <w:right w:val="none" w:sz="0" w:space="0" w:color="auto"/>
          </w:divBdr>
        </w:div>
        <w:div w:id="1037312841">
          <w:marLeft w:val="0"/>
          <w:marRight w:val="0"/>
          <w:marTop w:val="0"/>
          <w:marBottom w:val="0"/>
          <w:divBdr>
            <w:top w:val="none" w:sz="0" w:space="0" w:color="auto"/>
            <w:left w:val="none" w:sz="0" w:space="0" w:color="auto"/>
            <w:bottom w:val="none" w:sz="0" w:space="0" w:color="auto"/>
            <w:right w:val="none" w:sz="0" w:space="0" w:color="auto"/>
          </w:divBdr>
        </w:div>
        <w:div w:id="697316673">
          <w:marLeft w:val="0"/>
          <w:marRight w:val="0"/>
          <w:marTop w:val="0"/>
          <w:marBottom w:val="0"/>
          <w:divBdr>
            <w:top w:val="none" w:sz="0" w:space="0" w:color="auto"/>
            <w:left w:val="none" w:sz="0" w:space="0" w:color="auto"/>
            <w:bottom w:val="none" w:sz="0" w:space="0" w:color="auto"/>
            <w:right w:val="none" w:sz="0" w:space="0" w:color="auto"/>
          </w:divBdr>
        </w:div>
        <w:div w:id="160388592">
          <w:marLeft w:val="0"/>
          <w:marRight w:val="0"/>
          <w:marTop w:val="0"/>
          <w:marBottom w:val="0"/>
          <w:divBdr>
            <w:top w:val="none" w:sz="0" w:space="0" w:color="auto"/>
            <w:left w:val="none" w:sz="0" w:space="0" w:color="auto"/>
            <w:bottom w:val="none" w:sz="0" w:space="0" w:color="auto"/>
            <w:right w:val="none" w:sz="0" w:space="0" w:color="auto"/>
          </w:divBdr>
        </w:div>
        <w:div w:id="1875070731">
          <w:marLeft w:val="0"/>
          <w:marRight w:val="0"/>
          <w:marTop w:val="0"/>
          <w:marBottom w:val="0"/>
          <w:divBdr>
            <w:top w:val="none" w:sz="0" w:space="0" w:color="auto"/>
            <w:left w:val="none" w:sz="0" w:space="0" w:color="auto"/>
            <w:bottom w:val="none" w:sz="0" w:space="0" w:color="auto"/>
            <w:right w:val="none" w:sz="0" w:space="0" w:color="auto"/>
          </w:divBdr>
        </w:div>
        <w:div w:id="1990163566">
          <w:marLeft w:val="0"/>
          <w:marRight w:val="0"/>
          <w:marTop w:val="0"/>
          <w:marBottom w:val="0"/>
          <w:divBdr>
            <w:top w:val="none" w:sz="0" w:space="0" w:color="auto"/>
            <w:left w:val="none" w:sz="0" w:space="0" w:color="auto"/>
            <w:bottom w:val="none" w:sz="0" w:space="0" w:color="auto"/>
            <w:right w:val="none" w:sz="0" w:space="0" w:color="auto"/>
          </w:divBdr>
        </w:div>
        <w:div w:id="1095514147">
          <w:marLeft w:val="0"/>
          <w:marRight w:val="0"/>
          <w:marTop w:val="0"/>
          <w:marBottom w:val="0"/>
          <w:divBdr>
            <w:top w:val="none" w:sz="0" w:space="0" w:color="auto"/>
            <w:left w:val="none" w:sz="0" w:space="0" w:color="auto"/>
            <w:bottom w:val="none" w:sz="0" w:space="0" w:color="auto"/>
            <w:right w:val="none" w:sz="0" w:space="0" w:color="auto"/>
          </w:divBdr>
        </w:div>
        <w:div w:id="957371324">
          <w:marLeft w:val="0"/>
          <w:marRight w:val="0"/>
          <w:marTop w:val="0"/>
          <w:marBottom w:val="0"/>
          <w:divBdr>
            <w:top w:val="none" w:sz="0" w:space="0" w:color="auto"/>
            <w:left w:val="none" w:sz="0" w:space="0" w:color="auto"/>
            <w:bottom w:val="none" w:sz="0" w:space="0" w:color="auto"/>
            <w:right w:val="none" w:sz="0" w:space="0" w:color="auto"/>
          </w:divBdr>
        </w:div>
        <w:div w:id="1680542770">
          <w:marLeft w:val="0"/>
          <w:marRight w:val="0"/>
          <w:marTop w:val="0"/>
          <w:marBottom w:val="0"/>
          <w:divBdr>
            <w:top w:val="none" w:sz="0" w:space="0" w:color="auto"/>
            <w:left w:val="none" w:sz="0" w:space="0" w:color="auto"/>
            <w:bottom w:val="none" w:sz="0" w:space="0" w:color="auto"/>
            <w:right w:val="none" w:sz="0" w:space="0" w:color="auto"/>
          </w:divBdr>
        </w:div>
        <w:div w:id="1949460514">
          <w:marLeft w:val="0"/>
          <w:marRight w:val="0"/>
          <w:marTop w:val="0"/>
          <w:marBottom w:val="0"/>
          <w:divBdr>
            <w:top w:val="none" w:sz="0" w:space="0" w:color="auto"/>
            <w:left w:val="none" w:sz="0" w:space="0" w:color="auto"/>
            <w:bottom w:val="none" w:sz="0" w:space="0" w:color="auto"/>
            <w:right w:val="none" w:sz="0" w:space="0" w:color="auto"/>
          </w:divBdr>
        </w:div>
        <w:div w:id="110561916">
          <w:marLeft w:val="0"/>
          <w:marRight w:val="0"/>
          <w:marTop w:val="0"/>
          <w:marBottom w:val="0"/>
          <w:divBdr>
            <w:top w:val="none" w:sz="0" w:space="0" w:color="auto"/>
            <w:left w:val="none" w:sz="0" w:space="0" w:color="auto"/>
            <w:bottom w:val="none" w:sz="0" w:space="0" w:color="auto"/>
            <w:right w:val="none" w:sz="0" w:space="0" w:color="auto"/>
          </w:divBdr>
        </w:div>
        <w:div w:id="1149901761">
          <w:marLeft w:val="0"/>
          <w:marRight w:val="0"/>
          <w:marTop w:val="0"/>
          <w:marBottom w:val="0"/>
          <w:divBdr>
            <w:top w:val="none" w:sz="0" w:space="0" w:color="auto"/>
            <w:left w:val="none" w:sz="0" w:space="0" w:color="auto"/>
            <w:bottom w:val="none" w:sz="0" w:space="0" w:color="auto"/>
            <w:right w:val="none" w:sz="0" w:space="0" w:color="auto"/>
          </w:divBdr>
        </w:div>
        <w:div w:id="1231422187">
          <w:marLeft w:val="0"/>
          <w:marRight w:val="0"/>
          <w:marTop w:val="0"/>
          <w:marBottom w:val="0"/>
          <w:divBdr>
            <w:top w:val="none" w:sz="0" w:space="0" w:color="auto"/>
            <w:left w:val="none" w:sz="0" w:space="0" w:color="auto"/>
            <w:bottom w:val="none" w:sz="0" w:space="0" w:color="auto"/>
            <w:right w:val="none" w:sz="0" w:space="0" w:color="auto"/>
          </w:divBdr>
        </w:div>
        <w:div w:id="1875922748">
          <w:marLeft w:val="0"/>
          <w:marRight w:val="0"/>
          <w:marTop w:val="0"/>
          <w:marBottom w:val="0"/>
          <w:divBdr>
            <w:top w:val="none" w:sz="0" w:space="0" w:color="auto"/>
            <w:left w:val="none" w:sz="0" w:space="0" w:color="auto"/>
            <w:bottom w:val="none" w:sz="0" w:space="0" w:color="auto"/>
            <w:right w:val="none" w:sz="0" w:space="0" w:color="auto"/>
          </w:divBdr>
        </w:div>
        <w:div w:id="1523545454">
          <w:marLeft w:val="0"/>
          <w:marRight w:val="0"/>
          <w:marTop w:val="0"/>
          <w:marBottom w:val="0"/>
          <w:divBdr>
            <w:top w:val="none" w:sz="0" w:space="0" w:color="auto"/>
            <w:left w:val="none" w:sz="0" w:space="0" w:color="auto"/>
            <w:bottom w:val="none" w:sz="0" w:space="0" w:color="auto"/>
            <w:right w:val="none" w:sz="0" w:space="0" w:color="auto"/>
          </w:divBdr>
        </w:div>
        <w:div w:id="864904995">
          <w:marLeft w:val="0"/>
          <w:marRight w:val="0"/>
          <w:marTop w:val="0"/>
          <w:marBottom w:val="0"/>
          <w:divBdr>
            <w:top w:val="none" w:sz="0" w:space="0" w:color="auto"/>
            <w:left w:val="none" w:sz="0" w:space="0" w:color="auto"/>
            <w:bottom w:val="none" w:sz="0" w:space="0" w:color="auto"/>
            <w:right w:val="none" w:sz="0" w:space="0" w:color="auto"/>
          </w:divBdr>
        </w:div>
        <w:div w:id="1625117267">
          <w:marLeft w:val="0"/>
          <w:marRight w:val="0"/>
          <w:marTop w:val="0"/>
          <w:marBottom w:val="0"/>
          <w:divBdr>
            <w:top w:val="none" w:sz="0" w:space="0" w:color="auto"/>
            <w:left w:val="none" w:sz="0" w:space="0" w:color="auto"/>
            <w:bottom w:val="none" w:sz="0" w:space="0" w:color="auto"/>
            <w:right w:val="none" w:sz="0" w:space="0" w:color="auto"/>
          </w:divBdr>
        </w:div>
        <w:div w:id="1487088861">
          <w:marLeft w:val="0"/>
          <w:marRight w:val="0"/>
          <w:marTop w:val="0"/>
          <w:marBottom w:val="0"/>
          <w:divBdr>
            <w:top w:val="none" w:sz="0" w:space="0" w:color="auto"/>
            <w:left w:val="none" w:sz="0" w:space="0" w:color="auto"/>
            <w:bottom w:val="none" w:sz="0" w:space="0" w:color="auto"/>
            <w:right w:val="none" w:sz="0" w:space="0" w:color="auto"/>
          </w:divBdr>
        </w:div>
        <w:div w:id="1108088138">
          <w:marLeft w:val="0"/>
          <w:marRight w:val="0"/>
          <w:marTop w:val="0"/>
          <w:marBottom w:val="0"/>
          <w:divBdr>
            <w:top w:val="none" w:sz="0" w:space="0" w:color="auto"/>
            <w:left w:val="none" w:sz="0" w:space="0" w:color="auto"/>
            <w:bottom w:val="none" w:sz="0" w:space="0" w:color="auto"/>
            <w:right w:val="none" w:sz="0" w:space="0" w:color="auto"/>
          </w:divBdr>
        </w:div>
        <w:div w:id="1079255488">
          <w:marLeft w:val="0"/>
          <w:marRight w:val="0"/>
          <w:marTop w:val="0"/>
          <w:marBottom w:val="0"/>
          <w:divBdr>
            <w:top w:val="none" w:sz="0" w:space="0" w:color="auto"/>
            <w:left w:val="none" w:sz="0" w:space="0" w:color="auto"/>
            <w:bottom w:val="none" w:sz="0" w:space="0" w:color="auto"/>
            <w:right w:val="none" w:sz="0" w:space="0" w:color="auto"/>
          </w:divBdr>
        </w:div>
        <w:div w:id="1403603915">
          <w:marLeft w:val="0"/>
          <w:marRight w:val="0"/>
          <w:marTop w:val="0"/>
          <w:marBottom w:val="0"/>
          <w:divBdr>
            <w:top w:val="none" w:sz="0" w:space="0" w:color="auto"/>
            <w:left w:val="none" w:sz="0" w:space="0" w:color="auto"/>
            <w:bottom w:val="none" w:sz="0" w:space="0" w:color="auto"/>
            <w:right w:val="none" w:sz="0" w:space="0" w:color="auto"/>
          </w:divBdr>
        </w:div>
        <w:div w:id="1155877788">
          <w:marLeft w:val="0"/>
          <w:marRight w:val="0"/>
          <w:marTop w:val="0"/>
          <w:marBottom w:val="0"/>
          <w:divBdr>
            <w:top w:val="none" w:sz="0" w:space="0" w:color="auto"/>
            <w:left w:val="none" w:sz="0" w:space="0" w:color="auto"/>
            <w:bottom w:val="none" w:sz="0" w:space="0" w:color="auto"/>
            <w:right w:val="none" w:sz="0" w:space="0" w:color="auto"/>
          </w:divBdr>
        </w:div>
        <w:div w:id="11406565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stat.si/StatWeb/News/Index/7596" TargetMode="External"/><Relationship Id="rId3" Type="http://schemas.openxmlformats.org/officeDocument/2006/relationships/hyperlink" Target="http://www.vlada.si/fileadmin/dokumenti/si/projekti/2015/PP/180522_Zakljucno_porocilo_P3.pdf" TargetMode="External"/><Relationship Id="rId7" Type="http://schemas.openxmlformats.org/officeDocument/2006/relationships/hyperlink" Target="http://www.uradni-list.si/1/objava.jsp?sop=2015-01-3191" TargetMode="External"/><Relationship Id="rId2" Type="http://schemas.openxmlformats.org/officeDocument/2006/relationships/hyperlink" Target="http://pxweb.stat.si/pxweb/Database/Okolje/Okolje.asp" TargetMode="External"/><Relationship Id="rId1" Type="http://schemas.openxmlformats.org/officeDocument/2006/relationships/hyperlink" Target="https://www.podnebnapot2050.si/podnebno-ogledalo-2018-3/" TargetMode="External"/><Relationship Id="rId6" Type="http://schemas.openxmlformats.org/officeDocument/2006/relationships/hyperlink" Target="http://www.uradni-list.si/1/objava.jsp?sop=2014-01-0538" TargetMode="External"/><Relationship Id="rId11" Type="http://schemas.openxmlformats.org/officeDocument/2006/relationships/hyperlink" Target="http://www.uradni-list.si/1/objava.jsp?sop=2014-01-4042" TargetMode="External"/><Relationship Id="rId5" Type="http://schemas.openxmlformats.org/officeDocument/2006/relationships/hyperlink" Target="https://www.uradni-list.si/glasilo-uradni-list-rs/vsebina/2010-01-2856?sop=2010-01-2856" TargetMode="External"/><Relationship Id="rId10" Type="http://schemas.openxmlformats.org/officeDocument/2006/relationships/hyperlink" Target="http://www.uradni-list.si/1/objava.jsp?sop=2017-01-3255" TargetMode="External"/><Relationship Id="rId4" Type="http://schemas.openxmlformats.org/officeDocument/2006/relationships/hyperlink" Target="https://www.uradni-list.si/glasilo-uradni-list-rs/vsebina/2017-01-2381/uredba-o-zelenem-javnem-narocanju" TargetMode="External"/><Relationship Id="rId9" Type="http://schemas.openxmlformats.org/officeDocument/2006/relationships/hyperlink" Target="http://pxweb.stat.si/pxweb/Database/Okolje/15_kmetijstvo_ribistvo/11_15619_ekolosko_kmet/11_15619_ekolosko_kmet.asp"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500BA-576D-43A3-8326-491684DF8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8050</Words>
  <Characters>45886</Characters>
  <Application>Microsoft Office Word</Application>
  <DocSecurity>0</DocSecurity>
  <Lines>382</Lines>
  <Paragraphs>107</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53829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Matej.Kacin</dc:creator>
  <cp:lastModifiedBy>Matej.Kacin</cp:lastModifiedBy>
  <cp:revision>2</cp:revision>
  <cp:lastPrinted>2018-11-14T08:46:00Z</cp:lastPrinted>
  <dcterms:created xsi:type="dcterms:W3CDTF">2018-12-10T12:02:00Z</dcterms:created>
  <dcterms:modified xsi:type="dcterms:W3CDTF">2018-12-10T12:02:00Z</dcterms:modified>
</cp:coreProperties>
</file>