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D29" w:rsidRPr="000D0E35" w:rsidRDefault="00BE7D29" w:rsidP="00BE7D2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D0E35">
        <w:rPr>
          <w:rFonts w:ascii="Arial" w:eastAsia="Times New Roman" w:hAnsi="Arial" w:cs="Arial"/>
          <w:b/>
          <w:sz w:val="20"/>
          <w:szCs w:val="20"/>
          <w:lang w:eastAsia="sl-SI"/>
        </w:rPr>
        <w:t xml:space="preserve">PRILOGA 3 </w:t>
      </w:r>
      <w:r>
        <w:rPr>
          <w:rFonts w:ascii="Arial" w:eastAsia="Times New Roman" w:hAnsi="Arial" w:cs="Arial"/>
          <w:b/>
          <w:sz w:val="20"/>
          <w:szCs w:val="20"/>
          <w:lang w:eastAsia="sl-SI"/>
        </w:rPr>
        <w:t>- jedro gradiva:</w:t>
      </w:r>
    </w:p>
    <w:p w:rsidR="00BE7D29" w:rsidRPr="000D0E35" w:rsidRDefault="00BE7D29" w:rsidP="00BE7D2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BE7D29" w:rsidRPr="000D0E35" w:rsidRDefault="00BE7D29" w:rsidP="00BE7D29">
      <w:pPr>
        <w:spacing w:after="0" w:line="240" w:lineRule="auto"/>
        <w:jc w:val="both"/>
        <w:rPr>
          <w:sz w:val="28"/>
        </w:rPr>
      </w:pPr>
    </w:p>
    <w:p w:rsidR="00BE7D29" w:rsidRDefault="00BE7D29" w:rsidP="00BE7D29">
      <w:pPr>
        <w:jc w:val="both"/>
        <w:rPr>
          <w:rFonts w:ascii="Arial" w:hAnsi="Arial" w:cs="Arial"/>
          <w:sz w:val="24"/>
        </w:rPr>
      </w:pPr>
      <w:r w:rsidRPr="00417105">
        <w:rPr>
          <w:rFonts w:ascii="Arial" w:hAnsi="Arial" w:cs="Arial"/>
          <w:sz w:val="24"/>
        </w:rPr>
        <w:t>Informacija o Evropskih partnerstvih v 9. okvirnem programu za raziskave in inovacije 2021 - 2027 (Obzorje Evropa)</w:t>
      </w:r>
    </w:p>
    <w:p w:rsidR="00417105" w:rsidRPr="00417105" w:rsidRDefault="00417105" w:rsidP="00BE7D29">
      <w:pPr>
        <w:jc w:val="both"/>
        <w:rPr>
          <w:rFonts w:ascii="Arial" w:hAnsi="Arial" w:cs="Arial"/>
          <w:sz w:val="24"/>
        </w:rPr>
      </w:pPr>
    </w:p>
    <w:p w:rsidR="00BE7D29" w:rsidRPr="000D0E35" w:rsidRDefault="00BE7D29" w:rsidP="00BE7D29">
      <w:pPr>
        <w:shd w:val="clear" w:color="auto" w:fill="FFD966" w:themeFill="accent4" w:themeFillTint="99"/>
        <w:jc w:val="both"/>
      </w:pPr>
      <w:r>
        <w:t xml:space="preserve">EVROPSKA PARTNERSTVA </w:t>
      </w:r>
    </w:p>
    <w:p w:rsidR="00BE7D29" w:rsidRDefault="00BE7D29" w:rsidP="00BE7D29">
      <w:pPr>
        <w:jc w:val="both"/>
      </w:pPr>
      <w:r>
        <w:t>Obzorje Evropa bo podpiral Evropska partnerstva z državami EU, zasebnim sektorjem, fundacijami in drugimi zainteresiranimi stranmi. Cilj je doseči globalne izzive, opredeljene s 17 cilji trajnostnega razvoja (</w:t>
      </w:r>
      <w:proofErr w:type="spellStart"/>
      <w:r>
        <w:t>SDGs</w:t>
      </w:r>
      <w:proofErr w:type="spellEnd"/>
      <w:r>
        <w:t xml:space="preserve">)  in posodobitev industrije s pomočjo usklajenih raziskovalnih in inovacijskih prizadevanj. </w:t>
      </w:r>
    </w:p>
    <w:p w:rsidR="00BE7D29" w:rsidRDefault="00BE7D29" w:rsidP="00BE7D29">
      <w:pPr>
        <w:jc w:val="both"/>
      </w:pPr>
      <w:r w:rsidRPr="002D10DC">
        <w:t xml:space="preserve">Partnerstva kot politični pristop zagotavljajo mehanizme za tesno povezavo raziskav in razvoja s političnimi potrebami, razvijanje sinergij z nacionalnimi in regionalnimi programi, združevanje širokega spektra inovacijskih akterjev, ki si prizadevajo za doseganje skupnega cilja, in raziskovanje v socialno-ekonomske rezultate. </w:t>
      </w:r>
    </w:p>
    <w:p w:rsidR="00BE7D29" w:rsidRDefault="00BE7D29" w:rsidP="00BE7D29">
      <w:pPr>
        <w:jc w:val="both"/>
      </w:pPr>
      <w:r>
        <w:t xml:space="preserve">Kot takšna predstavljajo Evropska partnerstva </w:t>
      </w:r>
      <w:r w:rsidRPr="0031762C">
        <w:t>konkret</w:t>
      </w:r>
      <w:r>
        <w:t>e</w:t>
      </w:r>
      <w:r w:rsidRPr="0031762C">
        <w:t>n poskus reševanja globalnih izzivov s pre</w:t>
      </w:r>
      <w:r>
        <w:t>nosom</w:t>
      </w:r>
      <w:r w:rsidRPr="0031762C">
        <w:t xml:space="preserve"> širših prednostnih nalog v konkretne časovne načrte in dejavnosti</w:t>
      </w:r>
      <w:r>
        <w:t>.</w:t>
      </w:r>
    </w:p>
    <w:p w:rsidR="00BE7D29" w:rsidRDefault="00BE7D29" w:rsidP="00BE7D29">
      <w:pPr>
        <w:jc w:val="both"/>
      </w:pPr>
      <w:r>
        <w:t>Predlog regulative Obzorje Evropa določa pogoje in načela za vzpostavitev evropskih partnerstev. Predlagani so trije tipi partnerstev, ki se bodo izvajala le, če drugi deli programa Obzorje Evropa ne bodo dosegli želenih ali pričakovanih učinkov:</w:t>
      </w:r>
    </w:p>
    <w:p w:rsidR="00BE7D29" w:rsidRDefault="00BE7D29" w:rsidP="00BE7D29">
      <w:pPr>
        <w:pStyle w:val="Odstavekseznama"/>
        <w:numPr>
          <w:ilvl w:val="0"/>
          <w:numId w:val="1"/>
        </w:numPr>
        <w:jc w:val="both"/>
      </w:pPr>
      <w:r>
        <w:t>So-</w:t>
      </w:r>
      <w:proofErr w:type="spellStart"/>
      <w:r>
        <w:t>programirana</w:t>
      </w:r>
      <w:proofErr w:type="spellEnd"/>
      <w:r>
        <w:t xml:space="preserve"> </w:t>
      </w:r>
      <w:proofErr w:type="spellStart"/>
      <w:r>
        <w:t>evropska</w:t>
      </w:r>
      <w:proofErr w:type="spellEnd"/>
      <w:r>
        <w:t xml:space="preserve"> partnerstva</w:t>
      </w:r>
    </w:p>
    <w:p w:rsidR="00BE7D29" w:rsidRDefault="00BE7D29" w:rsidP="00BE7D29">
      <w:pPr>
        <w:ind w:left="708"/>
        <w:jc w:val="both"/>
      </w:pPr>
      <w:r>
        <w:t>Med Komisijo in zasebnimi in / ali javnimi partnerji. Temeljijo na memorandumih o soglasju in / ali pogodbenih dogovorih.</w:t>
      </w:r>
    </w:p>
    <w:p w:rsidR="00BE7D29" w:rsidRDefault="00BE7D29" w:rsidP="00BE7D29">
      <w:pPr>
        <w:pStyle w:val="Odstavekseznama"/>
        <w:numPr>
          <w:ilvl w:val="0"/>
          <w:numId w:val="1"/>
        </w:numPr>
        <w:jc w:val="both"/>
      </w:pPr>
      <w:r>
        <w:t>So-</w:t>
      </w:r>
      <w:proofErr w:type="spellStart"/>
      <w:r>
        <w:t>financirana</w:t>
      </w:r>
      <w:proofErr w:type="spellEnd"/>
      <w:r>
        <w:t xml:space="preserve"> </w:t>
      </w:r>
      <w:proofErr w:type="spellStart"/>
      <w:r>
        <w:t>evropska</w:t>
      </w:r>
      <w:proofErr w:type="spellEnd"/>
      <w:r>
        <w:t xml:space="preserve"> partnerstva z </w:t>
      </w:r>
      <w:proofErr w:type="spellStart"/>
      <w:r>
        <w:t>uporabo</w:t>
      </w:r>
      <w:proofErr w:type="spellEnd"/>
      <w:r>
        <w:t xml:space="preserve"> so-</w:t>
      </w:r>
      <w:proofErr w:type="spellStart"/>
      <w:r>
        <w:t>financiranih</w:t>
      </w:r>
      <w:proofErr w:type="spellEnd"/>
      <w:r>
        <w:t xml:space="preserve"> (</w:t>
      </w:r>
      <w:proofErr w:type="spellStart"/>
      <w:r>
        <w:t>cofund</w:t>
      </w:r>
      <w:proofErr w:type="spellEnd"/>
      <w:r>
        <w:t xml:space="preserve">) </w:t>
      </w:r>
      <w:proofErr w:type="spellStart"/>
      <w:r>
        <w:t>ukrepov</w:t>
      </w:r>
      <w:proofErr w:type="spellEnd"/>
      <w:r>
        <w:t xml:space="preserve"> </w:t>
      </w:r>
      <w:proofErr w:type="spellStart"/>
      <w:r>
        <w:t>znotraj</w:t>
      </w:r>
      <w:proofErr w:type="spellEnd"/>
      <w:r>
        <w:t xml:space="preserve"> </w:t>
      </w:r>
      <w:proofErr w:type="spellStart"/>
      <w:r>
        <w:t>Obzorja</w:t>
      </w:r>
      <w:proofErr w:type="spellEnd"/>
      <w:r>
        <w:t xml:space="preserve"> </w:t>
      </w:r>
      <w:proofErr w:type="spellStart"/>
      <w:r>
        <w:t>Evropa</w:t>
      </w:r>
      <w:proofErr w:type="spellEnd"/>
    </w:p>
    <w:p w:rsidR="00BE7D29" w:rsidRDefault="00BE7D29" w:rsidP="00BE7D29">
      <w:pPr>
        <w:ind w:left="708"/>
        <w:jc w:val="both"/>
      </w:pPr>
      <w:r>
        <w:t>Partnerstva, ki vključujejo države EU, z raziskovalnimi inštitucijami in drugimi javnimi organi v jedru konzorcija.</w:t>
      </w:r>
    </w:p>
    <w:p w:rsidR="00BE7D29" w:rsidRDefault="00BE7D29" w:rsidP="00BE7D29">
      <w:pPr>
        <w:pStyle w:val="Odstavekseznama"/>
        <w:numPr>
          <w:ilvl w:val="0"/>
          <w:numId w:val="1"/>
        </w:numPr>
        <w:jc w:val="both"/>
      </w:pPr>
      <w:proofErr w:type="spellStart"/>
      <w:r>
        <w:t>Institucionalizirana</w:t>
      </w:r>
      <w:proofErr w:type="spellEnd"/>
      <w:r>
        <w:t xml:space="preserve"> </w:t>
      </w:r>
      <w:proofErr w:type="spellStart"/>
      <w:r>
        <w:t>evropska</w:t>
      </w:r>
      <w:proofErr w:type="spellEnd"/>
      <w:r>
        <w:t xml:space="preserve"> partnerstva</w:t>
      </w:r>
    </w:p>
    <w:p w:rsidR="00BE7D29" w:rsidRDefault="00BE7D29" w:rsidP="00BE7D29">
      <w:pPr>
        <w:ind w:left="708"/>
        <w:jc w:val="both"/>
      </w:pPr>
      <w:r>
        <w:t>To so partnerstva, pri katerih EU sodeluje pri programih financiranja raziskav in inovacij, ki jih izvajajo številne države EU. Temeljijo na 185. členu Pogodbe o delovanju Evropske unije (PDEU), ki EU omogoča sodelovanje v takih programih. To so lahko tudi javno-zasebna partnerstva, ustanovljena v skladu s 187. členom PDEU, na primer skupna podjetja (JU) ali skupnosti znanja in inovacij (EIT).</w:t>
      </w:r>
    </w:p>
    <w:p w:rsidR="00BE7D29" w:rsidRDefault="00BE7D29" w:rsidP="00BE7D29">
      <w:pPr>
        <w:ind w:left="708"/>
        <w:jc w:val="both"/>
      </w:pPr>
    </w:p>
    <w:p w:rsidR="00BE7D29" w:rsidRPr="000D0E35" w:rsidRDefault="00BE7D29" w:rsidP="00BE7D29">
      <w:pPr>
        <w:shd w:val="clear" w:color="auto" w:fill="FFD966" w:themeFill="accent4" w:themeFillTint="99"/>
        <w:jc w:val="both"/>
      </w:pPr>
      <w:r>
        <w:t xml:space="preserve">PROCES STRATEŠKEGA NAČRTOVANJA </w:t>
      </w:r>
    </w:p>
    <w:p w:rsidR="00BE7D29" w:rsidRDefault="00BE7D29" w:rsidP="00BE7D29">
      <w:pPr>
        <w:jc w:val="both"/>
      </w:pPr>
      <w:r w:rsidRPr="0031762C">
        <w:t xml:space="preserve">Maja 2019 </w:t>
      </w:r>
      <w:r>
        <w:t>je Evropska k</w:t>
      </w:r>
      <w:r w:rsidRPr="0031762C">
        <w:t xml:space="preserve">omisija začela posvetovanje z državami članicami o 44 možnih kandidatih za </w:t>
      </w:r>
      <w:r>
        <w:t>E</w:t>
      </w:r>
      <w:r w:rsidRPr="0031762C">
        <w:t xml:space="preserve">vropska partnerstva v okviru strateškega usklajevalnega postopka, da bi zagotovila njihovo zgodnjo udeležbo pri določanju prednostnih nalog in določitvi ciljev in področja uporabe. Službe Komisije so te kandidate za </w:t>
      </w:r>
      <w:r>
        <w:t>E</w:t>
      </w:r>
      <w:r w:rsidRPr="0031762C">
        <w:t>vropska partnerstva opredelile kot del prvega strateškega načrtovanja Obzorja Evropa (2021–2024), pri čemer so upoštevale področja možnih institucionaliziranih partnerstev, opredeljenih v Uredbi. Pomembno je upoštevati, da se je ta postopek izvajal v zgodnjih f</w:t>
      </w:r>
      <w:r>
        <w:t>azah priprave partnerstev (tj. p</w:t>
      </w:r>
      <w:r w:rsidRPr="0031762C">
        <w:t xml:space="preserve">red delom ocene učinka in razpravami s partnerji). Službe Komisije so analizirale povratne informacije 30 držav (vse države članice, Islandija in </w:t>
      </w:r>
      <w:r>
        <w:t xml:space="preserve">Norveška). </w:t>
      </w:r>
    </w:p>
    <w:p w:rsidR="00BE7D29" w:rsidRDefault="00BE7D29" w:rsidP="00BE7D29">
      <w:pPr>
        <w:jc w:val="both"/>
      </w:pPr>
      <w:r>
        <w:lastRenderedPageBreak/>
        <w:t>Države so v svojih pisnih povratnih informacijah navedle veliko dodatnih prioritet, ki bi jih bilo potrebno obravnavati kot Evropska partnerstva, skupaj 25. Podrobnejša preučitev kaže, da so ti dodatni predlogi motivirani iz zelo različnih razlogov, od odpravljanja vrzeli v portfelju do želje po vzdrževanju obstoječih omrežij ali skrbi, da nekatere teme ne bodo dovolj zajete v programu Obzorje Evropa.</w:t>
      </w:r>
    </w:p>
    <w:p w:rsidR="00BE7D29" w:rsidRDefault="00BE7D29" w:rsidP="00BE7D29">
      <w:pPr>
        <w:jc w:val="both"/>
      </w:pPr>
      <w:r>
        <w:t>Junija 2019, na seji strateškega programskega odbora v senci za Obzorje Evropa je Komisija spomnila na mejne pogoje, ki izhajajo iz političnega sporazuma Obzorje Evropa (npr. merila, omejitve, negotovosti glede proračuna,…) in predlagala strogo omejitev števila dodatnih kandidatov za partnerstvo, ki bi bili vključeni v portfelj in v nadaljevanje razprav. Delegacije in službe Komisije so čez poletje nadalje razvile predloge za 8 novo predlaganih Evropskih partnerstev in pripravile ustrezne dokumente.</w:t>
      </w:r>
    </w:p>
    <w:p w:rsidR="00BE7D29" w:rsidRDefault="00BE7D29" w:rsidP="00BE7D29">
      <w:pPr>
        <w:jc w:val="both"/>
      </w:pPr>
      <w:r>
        <w:t>Službe Komisije bodo začele razprave s potencialnimi partnerstvi z namenom uskladitve ciljev, pričakovanih vplivov in razpravljale o morebitnih prispevkih partnerjev. Za institucionalizirana partnerstva na podlagi 185. in 187. člena PDEU bo Komisija začela ocenjevanje učinka, v katerem bo osrednji del ocenjeval, ali obstaja utemeljitev za institucionalizirano obliko ali ali bi bilo mogoče cilje doseči enako učinkoviteje ali bolj učinkovito z drugo obliko partnerstva ali razpisi znotraj Obzorja Evropa. V tem okviru bo preučila tudi nadaljnje možnosti za racionalizacijo. Zato ni samoumevno, da bodo na koncu vsi trenutni kandidati uresničeni ali da bi se vsi kandidati za institucionalizirana partnerstva znašli v zakonodajnem predlogu, lahko pa.</w:t>
      </w:r>
    </w:p>
    <w:p w:rsidR="00BE7D29" w:rsidRPr="000D0E35" w:rsidRDefault="00BE7D29" w:rsidP="00BE7D29">
      <w:pPr>
        <w:jc w:val="both"/>
      </w:pPr>
    </w:p>
    <w:p w:rsidR="00BE7D29" w:rsidRPr="000D0E35" w:rsidRDefault="00BE7D29" w:rsidP="00BE7D29">
      <w:pPr>
        <w:shd w:val="clear" w:color="auto" w:fill="FFD966" w:themeFill="accent4" w:themeFillTint="99"/>
        <w:jc w:val="both"/>
      </w:pPr>
      <w:r>
        <w:t>PREGLEDNICA PREDLAGANIH EVROPSKIH PARTNERSTEV S PREDLOGOM VKLJUČITVE POSAMEZNIH RESORJEV</w:t>
      </w:r>
    </w:p>
    <w:p w:rsidR="00BE7D29" w:rsidRDefault="00A847C9" w:rsidP="00BE7D29">
      <w:pPr>
        <w:suppressAutoHyphens/>
        <w:overflowPunct w:val="0"/>
        <w:autoSpaceDE w:val="0"/>
        <w:autoSpaceDN w:val="0"/>
        <w:adjustRightInd w:val="0"/>
        <w:spacing w:line="260" w:lineRule="exact"/>
        <w:jc w:val="both"/>
        <w:textAlignment w:val="baseline"/>
      </w:pPr>
      <w:r>
        <w:t>Mini</w:t>
      </w:r>
      <w:r w:rsidR="00ED0CBC">
        <w:t>strstvo za izobraževanje, znanost in šport je na podlagi ocene raziskovalne kapacitete, obstoječih nacionalnih strategij in akcijskih načrtov, ter lastnih finančnih in človeških zmogljivosti določilo partnerstva, kjer bi lahko prevzelo vodilno vlogo na nacionalni ravni.</w:t>
      </w:r>
      <w:r w:rsidR="004E2EB7">
        <w:t xml:space="preserve"> Ostaja pa še precej partnerstev, za katera se bo potrebno </w:t>
      </w:r>
      <w:r w:rsidR="00417105">
        <w:t xml:space="preserve">sprejeti </w:t>
      </w:r>
      <w:r w:rsidR="004E2EB7">
        <w:t>odločit</w:t>
      </w:r>
      <w:r w:rsidR="00417105">
        <w:t>ev</w:t>
      </w:r>
      <w:r w:rsidR="004E2EB7">
        <w:t xml:space="preserve"> o vključenosti Slovenije, preko relevantnega resorja.</w:t>
      </w:r>
    </w:p>
    <w:p w:rsidR="00D17880" w:rsidRDefault="00D17880" w:rsidP="00BE7D29">
      <w:pPr>
        <w:suppressAutoHyphens/>
        <w:overflowPunct w:val="0"/>
        <w:autoSpaceDE w:val="0"/>
        <w:autoSpaceDN w:val="0"/>
        <w:adjustRightInd w:val="0"/>
        <w:spacing w:line="260" w:lineRule="exact"/>
        <w:jc w:val="both"/>
        <w:textAlignment w:val="baseline"/>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560"/>
        <w:gridCol w:w="2268"/>
        <w:gridCol w:w="1275"/>
      </w:tblGrid>
      <w:tr w:rsidR="00714751" w:rsidRPr="00F64910" w:rsidTr="00D17880">
        <w:tc>
          <w:tcPr>
            <w:tcW w:w="10490" w:type="dxa"/>
            <w:gridSpan w:val="4"/>
            <w:shd w:val="clear" w:color="auto" w:fill="FFC000"/>
            <w:vAlign w:val="center"/>
          </w:tcPr>
          <w:p w:rsidR="00714751" w:rsidRPr="00F64910" w:rsidRDefault="00714751" w:rsidP="00A96EEA">
            <w:pPr>
              <w:jc w:val="center"/>
              <w:rPr>
                <w:b/>
                <w:color w:val="FFFFFF"/>
                <w:sz w:val="32"/>
              </w:rPr>
            </w:pPr>
            <w:r w:rsidRPr="00F64910">
              <w:rPr>
                <w:b/>
                <w:color w:val="FFFFFF"/>
                <w:sz w:val="32"/>
              </w:rPr>
              <w:t>PRELIMINAREN SEZNAM KANDIDATOV ZA PARTNERSTVA</w:t>
            </w:r>
          </w:p>
        </w:tc>
      </w:tr>
      <w:tr w:rsidR="00D17880" w:rsidRPr="00F64910" w:rsidTr="00D17880">
        <w:tc>
          <w:tcPr>
            <w:tcW w:w="5387" w:type="dxa"/>
            <w:shd w:val="clear" w:color="auto" w:fill="FFC000"/>
            <w:vAlign w:val="center"/>
          </w:tcPr>
          <w:p w:rsidR="00714751" w:rsidRPr="00F64910" w:rsidRDefault="00714751" w:rsidP="00A96EEA">
            <w:pPr>
              <w:jc w:val="center"/>
            </w:pPr>
            <w:r w:rsidRPr="00F64910">
              <w:t>KRATEK OPIS PARTNERSTVA</w:t>
            </w:r>
          </w:p>
        </w:tc>
        <w:tc>
          <w:tcPr>
            <w:tcW w:w="1560" w:type="dxa"/>
            <w:shd w:val="clear" w:color="auto" w:fill="FFC000"/>
            <w:vAlign w:val="center"/>
          </w:tcPr>
          <w:p w:rsidR="00714751" w:rsidRPr="00F64910" w:rsidRDefault="00714751" w:rsidP="00A96EEA">
            <w:pPr>
              <w:jc w:val="center"/>
            </w:pPr>
            <w:r w:rsidRPr="00F64910">
              <w:t>PREDHODNA OBLIKA</w:t>
            </w:r>
          </w:p>
        </w:tc>
        <w:tc>
          <w:tcPr>
            <w:tcW w:w="2268" w:type="dxa"/>
            <w:shd w:val="clear" w:color="auto" w:fill="FFC000"/>
            <w:vAlign w:val="center"/>
          </w:tcPr>
          <w:p w:rsidR="00714751" w:rsidRPr="00F64910" w:rsidRDefault="00714751" w:rsidP="00A96EEA">
            <w:pPr>
              <w:jc w:val="center"/>
            </w:pPr>
            <w:r w:rsidRPr="00F64910">
              <w:t>PREDVIDENI PARTNERJI</w:t>
            </w:r>
          </w:p>
        </w:tc>
        <w:tc>
          <w:tcPr>
            <w:tcW w:w="1275" w:type="dxa"/>
            <w:shd w:val="clear" w:color="auto" w:fill="FFC000"/>
            <w:vAlign w:val="center"/>
          </w:tcPr>
          <w:p w:rsidR="00714751" w:rsidRPr="00F64910" w:rsidRDefault="00714751" w:rsidP="00A96EEA">
            <w:pPr>
              <w:jc w:val="center"/>
            </w:pPr>
            <w:r w:rsidRPr="00F64910">
              <w:t>PREDLOG VKLJUČITVE RESORJA</w:t>
            </w:r>
          </w:p>
        </w:tc>
      </w:tr>
      <w:tr w:rsidR="00714751" w:rsidRPr="00F64910" w:rsidTr="00D17880">
        <w:tc>
          <w:tcPr>
            <w:tcW w:w="10490" w:type="dxa"/>
            <w:gridSpan w:val="4"/>
            <w:shd w:val="clear" w:color="auto" w:fill="FFC000" w:themeFill="accent4"/>
            <w:vAlign w:val="center"/>
          </w:tcPr>
          <w:p w:rsidR="00714751" w:rsidRPr="00F64910" w:rsidRDefault="00714751" w:rsidP="00A96EEA">
            <w:pPr>
              <w:rPr>
                <w:b/>
                <w:color w:val="FFFFFF" w:themeColor="background1"/>
              </w:rPr>
            </w:pPr>
            <w:r w:rsidRPr="00F64910">
              <w:rPr>
                <w:b/>
                <w:color w:val="FFFFFF" w:themeColor="background1"/>
              </w:rPr>
              <w:t>ZDRAVJE / CLUSTER HEALTH</w:t>
            </w:r>
          </w:p>
        </w:tc>
      </w:tr>
      <w:tr w:rsidR="00D17880" w:rsidRPr="00F64910" w:rsidTr="00D17880">
        <w:tc>
          <w:tcPr>
            <w:tcW w:w="5387" w:type="dxa"/>
            <w:shd w:val="clear" w:color="auto" w:fill="FFF2CC"/>
            <w:vAlign w:val="center"/>
          </w:tcPr>
          <w:p w:rsidR="00714751" w:rsidRPr="00F64910" w:rsidRDefault="00714751" w:rsidP="00A96EEA">
            <w:pPr>
              <w:rPr>
                <w:b/>
              </w:rPr>
            </w:pPr>
            <w:r w:rsidRPr="00F64910">
              <w:rPr>
                <w:b/>
              </w:rPr>
              <w:t>1. Partnerstvo za globalno zdravje EU-Afrika</w:t>
            </w:r>
          </w:p>
          <w:p w:rsidR="00714751" w:rsidRPr="00F64910" w:rsidRDefault="00714751" w:rsidP="00A96EEA">
            <w:r w:rsidRPr="00F64910">
              <w:t>(EU-</w:t>
            </w:r>
            <w:proofErr w:type="spellStart"/>
            <w:r w:rsidRPr="00F64910">
              <w:t>Africa</w:t>
            </w:r>
            <w:proofErr w:type="spellEnd"/>
            <w:r w:rsidRPr="00F64910">
              <w:t xml:space="preserve"> Global </w:t>
            </w:r>
            <w:proofErr w:type="spellStart"/>
            <w:r w:rsidRPr="00F64910">
              <w:t>Health</w:t>
            </w:r>
            <w:proofErr w:type="spellEnd"/>
            <w:r w:rsidRPr="00F64910">
              <w:t xml:space="preserve"> </w:t>
            </w:r>
            <w:proofErr w:type="spellStart"/>
            <w:r w:rsidRPr="00F64910">
              <w:t>Partnership</w:t>
            </w:r>
            <w:proofErr w:type="spellEnd"/>
            <w:r w:rsidRPr="00F64910">
              <w:t>)</w:t>
            </w:r>
          </w:p>
          <w:p w:rsidR="00714751" w:rsidRPr="00F64910" w:rsidRDefault="00714751" w:rsidP="00A96EEA"/>
          <w:p w:rsidR="00714751" w:rsidRPr="00F64910" w:rsidRDefault="00714751" w:rsidP="00A96EEA">
            <w:r w:rsidRPr="00F64910">
              <w:t>Povečati zdravstveno varnost v podsaharski Afriki in Evropi, s pospeševanjem kliničnega</w:t>
            </w:r>
          </w:p>
          <w:p w:rsidR="00714751" w:rsidRPr="00F64910" w:rsidRDefault="00714751" w:rsidP="00A96EEA">
            <w:r w:rsidRPr="00F64910">
              <w:t>razvoja učinkovite, varne, dostopne, primerne in cenovno ugodne zdravstvene tehnologije, kakor tudi razvoj sistemskih posegov za nalezljive</w:t>
            </w:r>
          </w:p>
          <w:p w:rsidR="00714751" w:rsidRPr="00F64910" w:rsidRDefault="00714751" w:rsidP="00A96EEA">
            <w:r w:rsidRPr="00F64910">
              <w:lastRenderedPageBreak/>
              <w:t>bolezni v partnerstvu z Afriko</w:t>
            </w:r>
          </w:p>
          <w:p w:rsidR="00714751" w:rsidRPr="00F64910" w:rsidRDefault="00714751" w:rsidP="00A96EEA">
            <w:r w:rsidRPr="00F64910">
              <w:t>in mednarodnimi financerji.</w:t>
            </w:r>
          </w:p>
        </w:tc>
        <w:tc>
          <w:tcPr>
            <w:tcW w:w="1560" w:type="dxa"/>
            <w:shd w:val="clear" w:color="auto" w:fill="FFF2CC"/>
            <w:vAlign w:val="center"/>
          </w:tcPr>
          <w:p w:rsidR="00714751" w:rsidRPr="00F64910" w:rsidRDefault="00714751" w:rsidP="00A96EEA">
            <w:pPr>
              <w:jc w:val="center"/>
            </w:pPr>
            <w:r w:rsidRPr="00F64910">
              <w:lastRenderedPageBreak/>
              <w:t>EDCTP2</w:t>
            </w:r>
          </w:p>
        </w:tc>
        <w:tc>
          <w:tcPr>
            <w:tcW w:w="2268" w:type="dxa"/>
            <w:shd w:val="clear" w:color="auto" w:fill="FFF2CC"/>
            <w:vAlign w:val="center"/>
          </w:tcPr>
          <w:p w:rsidR="00714751" w:rsidRPr="00F64910" w:rsidRDefault="00714751" w:rsidP="00A96EEA">
            <w:r w:rsidRPr="00F64910">
              <w:t>države članice (DČ), pridružene države (PČ) in tretje države (podsaharske Afrike)</w:t>
            </w:r>
          </w:p>
          <w:p w:rsidR="00714751" w:rsidRPr="00F64910" w:rsidRDefault="00714751" w:rsidP="00A96EEA"/>
          <w:p w:rsidR="00714751" w:rsidRPr="00F64910" w:rsidRDefault="00714751" w:rsidP="00A96EEA">
            <w:r>
              <w:t>fundacije / industrija na ad</w:t>
            </w:r>
            <w:r w:rsidRPr="00F64910">
              <w:t>-hoc osnovi</w:t>
            </w:r>
          </w:p>
        </w:tc>
        <w:tc>
          <w:tcPr>
            <w:tcW w:w="1275" w:type="dxa"/>
            <w:shd w:val="clear" w:color="auto" w:fill="FFF2CC"/>
            <w:vAlign w:val="center"/>
          </w:tcPr>
          <w:p w:rsidR="00714751" w:rsidRPr="00F64910" w:rsidRDefault="00714751" w:rsidP="00A96EEA">
            <w:pPr>
              <w:jc w:val="center"/>
            </w:pPr>
            <w:r w:rsidRPr="00F64910">
              <w:t>MZ (NIJZ)</w:t>
            </w:r>
          </w:p>
        </w:tc>
      </w:tr>
      <w:tr w:rsidR="00D17880" w:rsidRPr="00F64910" w:rsidTr="00D17880">
        <w:tc>
          <w:tcPr>
            <w:tcW w:w="5387" w:type="dxa"/>
            <w:shd w:val="clear" w:color="auto" w:fill="auto"/>
            <w:vAlign w:val="center"/>
          </w:tcPr>
          <w:p w:rsidR="00714751" w:rsidRPr="00F64910" w:rsidRDefault="00714751" w:rsidP="00A96EEA">
            <w:pPr>
              <w:rPr>
                <w:b/>
              </w:rPr>
            </w:pPr>
            <w:r w:rsidRPr="00F64910">
              <w:rPr>
                <w:b/>
              </w:rPr>
              <w:t>2. Inovativna zdravstvena pobud</w:t>
            </w:r>
            <w:r>
              <w:rPr>
                <w:b/>
              </w:rPr>
              <w:t>a</w:t>
            </w:r>
          </w:p>
          <w:p w:rsidR="00714751" w:rsidRPr="00F64910" w:rsidRDefault="00714751" w:rsidP="00A96EEA">
            <w:r w:rsidRPr="00F64910">
              <w:t>(</w:t>
            </w:r>
            <w:proofErr w:type="spellStart"/>
            <w:r w:rsidRPr="00F64910">
              <w:t>Innovative</w:t>
            </w:r>
            <w:proofErr w:type="spellEnd"/>
            <w:r w:rsidRPr="00F64910">
              <w:t xml:space="preserve"> </w:t>
            </w:r>
            <w:proofErr w:type="spellStart"/>
            <w:r w:rsidRPr="00F64910">
              <w:t>Health</w:t>
            </w:r>
            <w:proofErr w:type="spellEnd"/>
            <w:r w:rsidRPr="00F64910">
              <w:t xml:space="preserve"> Initiative)</w:t>
            </w:r>
          </w:p>
          <w:p w:rsidR="00714751" w:rsidRPr="00F64910" w:rsidRDefault="00714751" w:rsidP="00A96EEA"/>
          <w:p w:rsidR="00714751" w:rsidRPr="00F64910" w:rsidRDefault="00714751" w:rsidP="00A96EEA">
            <w:r w:rsidRPr="00F64910">
              <w:t xml:space="preserve">Platforma za sodelovanje, ki združuje farmacevtske izdelke, diagnostiko, medicinske naprave, slikovne in digitalne sektorje za </w:t>
            </w:r>
            <w:proofErr w:type="spellStart"/>
            <w:r w:rsidRPr="00F64910">
              <w:t>predkonkurenčne</w:t>
            </w:r>
            <w:proofErr w:type="spellEnd"/>
            <w:r w:rsidRPr="00F64910">
              <w:t xml:space="preserve"> raziskave in inovacije na področjih nezadovoljenih potreb javnega zdravja, z namenom pospešitve razvoja in sprejemanja na ljudi orientirane inovacije v zdravstvu</w:t>
            </w:r>
          </w:p>
        </w:tc>
        <w:tc>
          <w:tcPr>
            <w:tcW w:w="1560" w:type="dxa"/>
            <w:shd w:val="clear" w:color="auto" w:fill="auto"/>
            <w:vAlign w:val="center"/>
          </w:tcPr>
          <w:p w:rsidR="00714751" w:rsidRPr="00F64910" w:rsidRDefault="00714751" w:rsidP="00A96EEA">
            <w:pPr>
              <w:jc w:val="center"/>
            </w:pPr>
            <w:r w:rsidRPr="00F64910">
              <w:t>IMI2</w:t>
            </w:r>
          </w:p>
        </w:tc>
        <w:tc>
          <w:tcPr>
            <w:tcW w:w="2268" w:type="dxa"/>
            <w:shd w:val="clear" w:color="auto" w:fill="auto"/>
            <w:vAlign w:val="center"/>
          </w:tcPr>
          <w:p w:rsidR="00714751" w:rsidRPr="00F64910" w:rsidRDefault="00714751" w:rsidP="00A96EEA">
            <w:pPr>
              <w:spacing w:line="0" w:lineRule="atLeast"/>
            </w:pPr>
            <w:r w:rsidRPr="00F64910">
              <w:t>Industrija in druge organizacije na ad-hoc osnovi</w:t>
            </w:r>
          </w:p>
        </w:tc>
        <w:tc>
          <w:tcPr>
            <w:tcW w:w="1275" w:type="dxa"/>
            <w:shd w:val="clear" w:color="auto" w:fill="auto"/>
            <w:vAlign w:val="center"/>
          </w:tcPr>
          <w:p w:rsidR="00714751" w:rsidRPr="00F64910" w:rsidRDefault="00714751" w:rsidP="00A96EEA">
            <w:pPr>
              <w:jc w:val="center"/>
            </w:pPr>
            <w:r w:rsidRPr="00F64910">
              <w:t>MZ (NIJZ), MGRT</w:t>
            </w:r>
          </w:p>
        </w:tc>
      </w:tr>
      <w:tr w:rsidR="00D17880" w:rsidRPr="00F64910" w:rsidTr="00D17880">
        <w:tc>
          <w:tcPr>
            <w:tcW w:w="5387" w:type="dxa"/>
            <w:shd w:val="clear" w:color="auto" w:fill="FFF2CC"/>
            <w:vAlign w:val="center"/>
          </w:tcPr>
          <w:p w:rsidR="00714751" w:rsidRPr="00F64910" w:rsidRDefault="00714751" w:rsidP="00A96EEA">
            <w:pPr>
              <w:rPr>
                <w:b/>
              </w:rPr>
            </w:pPr>
            <w:r w:rsidRPr="00F64910">
              <w:rPr>
                <w:b/>
              </w:rPr>
              <w:t>3. Evropsko partnerstvo za oceno tveganja za kemikalije</w:t>
            </w:r>
          </w:p>
          <w:p w:rsidR="00714751" w:rsidRPr="00F64910" w:rsidRDefault="00714751" w:rsidP="00A96EEA">
            <w:r w:rsidRPr="00F64910">
              <w:t xml:space="preserve">(European </w:t>
            </w:r>
            <w:proofErr w:type="spellStart"/>
            <w:r w:rsidRPr="00F64910">
              <w:t>partnership</w:t>
            </w:r>
            <w:proofErr w:type="spellEnd"/>
            <w:r w:rsidRPr="00F64910">
              <w:t xml:space="preserve"> for </w:t>
            </w:r>
            <w:proofErr w:type="spellStart"/>
            <w:r w:rsidRPr="00F64910">
              <w:t>chemicals</w:t>
            </w:r>
            <w:proofErr w:type="spellEnd"/>
            <w:r w:rsidRPr="00F64910">
              <w:t xml:space="preserve"> </w:t>
            </w:r>
            <w:proofErr w:type="spellStart"/>
            <w:r w:rsidRPr="00F64910">
              <w:t>risk</w:t>
            </w:r>
            <w:proofErr w:type="spellEnd"/>
            <w:r w:rsidRPr="00F64910">
              <w:t xml:space="preserve"> </w:t>
            </w:r>
            <w:proofErr w:type="spellStart"/>
            <w:r w:rsidRPr="00F64910">
              <w:t>assessment</w:t>
            </w:r>
            <w:proofErr w:type="spellEnd"/>
            <w:r w:rsidRPr="00F64910">
              <w:t>)</w:t>
            </w:r>
          </w:p>
          <w:p w:rsidR="00714751" w:rsidRPr="00F64910" w:rsidRDefault="00714751" w:rsidP="00A96EEA"/>
          <w:p w:rsidR="00714751" w:rsidRPr="00F64910" w:rsidRDefault="00714751" w:rsidP="00A96EEA">
            <w:r w:rsidRPr="00F64910">
              <w:t xml:space="preserve">Združitev evropskih agencij in inštitutov za oceno tveganja in regulativnih agencij, za izvedbo skupne strateško raziskovalne agende, da se zagotovi njihova sposobnost za spoprijemanje z vztrajajočimi ali nastajajočimi izzivi. Partnerstvo bo spodbujalo uporabo novih metod, orodij, tehnologij in informacij pri identifikaciji kemične nevarnosti in ocene tveganj in kot del tega, vzdrževalo razvoj in uporabo zmogljivosti človeškega  </w:t>
            </w:r>
            <w:proofErr w:type="spellStart"/>
            <w:r w:rsidRPr="00F64910">
              <w:t>biomonitoringa</w:t>
            </w:r>
            <w:proofErr w:type="spellEnd"/>
            <w:r w:rsidRPr="00F64910">
              <w:t xml:space="preserve"> v Evropi.</w:t>
            </w:r>
          </w:p>
        </w:tc>
        <w:tc>
          <w:tcPr>
            <w:tcW w:w="1560" w:type="dxa"/>
            <w:shd w:val="clear" w:color="auto" w:fill="FFF2CC"/>
            <w:vAlign w:val="center"/>
          </w:tcPr>
          <w:p w:rsidR="00714751" w:rsidRPr="00F64910" w:rsidRDefault="00714751" w:rsidP="00A96EEA">
            <w:pPr>
              <w:jc w:val="center"/>
            </w:pPr>
            <w:r w:rsidRPr="00F64910">
              <w:t xml:space="preserve">Human </w:t>
            </w:r>
            <w:proofErr w:type="spellStart"/>
            <w:r w:rsidRPr="00F64910">
              <w:t>Biomonitoring</w:t>
            </w:r>
            <w:proofErr w:type="spellEnd"/>
            <w:r w:rsidRPr="00F64910">
              <w:t xml:space="preserve"> in številni drugi ukrepi</w:t>
            </w:r>
          </w:p>
        </w:tc>
        <w:tc>
          <w:tcPr>
            <w:tcW w:w="2268" w:type="dxa"/>
            <w:shd w:val="clear" w:color="auto" w:fill="FFF2CC"/>
            <w:vAlign w:val="center"/>
          </w:tcPr>
          <w:p w:rsidR="00714751" w:rsidRPr="00F64910" w:rsidRDefault="00714751" w:rsidP="00A96EEA">
            <w:pPr>
              <w:spacing w:line="0" w:lineRule="atLeast"/>
              <w:rPr>
                <w:rFonts w:ascii="Times New Roman" w:eastAsia="Times New Roman" w:hAnsi="Times New Roman"/>
                <w:sz w:val="9"/>
              </w:rPr>
            </w:pPr>
            <w:r w:rsidRPr="00F64910">
              <w:t>DČ/ PČ, nacionalne agencije in ustrezne EU agencije</w:t>
            </w:r>
          </w:p>
        </w:tc>
        <w:tc>
          <w:tcPr>
            <w:tcW w:w="1275" w:type="dxa"/>
            <w:shd w:val="clear" w:color="auto" w:fill="FFF2CC"/>
            <w:vAlign w:val="center"/>
          </w:tcPr>
          <w:p w:rsidR="00714751" w:rsidRPr="00F64910" w:rsidRDefault="00714751" w:rsidP="00A96EEA">
            <w:pPr>
              <w:jc w:val="center"/>
            </w:pPr>
            <w:r w:rsidRPr="00F64910">
              <w:t>MZ (NIJZ, Urad za kemikalije)</w:t>
            </w:r>
          </w:p>
        </w:tc>
      </w:tr>
      <w:tr w:rsidR="00D17880" w:rsidRPr="00F64910" w:rsidTr="00D17880">
        <w:tc>
          <w:tcPr>
            <w:tcW w:w="5387" w:type="dxa"/>
            <w:shd w:val="clear" w:color="auto" w:fill="auto"/>
            <w:vAlign w:val="center"/>
          </w:tcPr>
          <w:p w:rsidR="00714751" w:rsidRPr="00F64910" w:rsidRDefault="00714751" w:rsidP="00A96EEA">
            <w:pPr>
              <w:rPr>
                <w:b/>
              </w:rPr>
            </w:pPr>
            <w:r w:rsidRPr="00F64910">
              <w:rPr>
                <w:b/>
              </w:rPr>
              <w:t xml:space="preserve">4. </w:t>
            </w:r>
            <w:proofErr w:type="spellStart"/>
            <w:r w:rsidRPr="00F64910">
              <w:rPr>
                <w:b/>
              </w:rPr>
              <w:t>Predklinične</w:t>
            </w:r>
            <w:proofErr w:type="spellEnd"/>
            <w:r w:rsidRPr="00F64910">
              <w:rPr>
                <w:b/>
              </w:rPr>
              <w:t xml:space="preserve"> in klinične raziskave</w:t>
            </w:r>
          </w:p>
          <w:p w:rsidR="00714751" w:rsidRPr="00F64910" w:rsidRDefault="00714751" w:rsidP="00A96EEA">
            <w:r w:rsidRPr="00F64910">
              <w:t>(</w:t>
            </w:r>
            <w:proofErr w:type="spellStart"/>
            <w:r w:rsidRPr="00F64910">
              <w:t>Pre-clinical</w:t>
            </w:r>
            <w:proofErr w:type="spellEnd"/>
            <w:r w:rsidRPr="00F64910">
              <w:t>/</w:t>
            </w:r>
            <w:proofErr w:type="spellStart"/>
            <w:r w:rsidRPr="00F64910">
              <w:t>clinical</w:t>
            </w:r>
            <w:proofErr w:type="spellEnd"/>
            <w:r w:rsidRPr="00F64910">
              <w:t xml:space="preserve"> </w:t>
            </w:r>
            <w:proofErr w:type="spellStart"/>
            <w:r w:rsidRPr="00F64910">
              <w:t>health</w:t>
            </w:r>
            <w:proofErr w:type="spellEnd"/>
            <w:r w:rsidRPr="00F64910">
              <w:t xml:space="preserve"> research)</w:t>
            </w:r>
          </w:p>
          <w:p w:rsidR="00714751" w:rsidRPr="00F64910" w:rsidRDefault="00714751" w:rsidP="00A96EEA"/>
          <w:p w:rsidR="00714751" w:rsidRPr="00F64910" w:rsidRDefault="00714751" w:rsidP="00A96EEA">
            <w:r w:rsidRPr="00F64910">
              <w:t xml:space="preserve">Partnerstvo si prizadeva za vzpostavitev in izvajanje </w:t>
            </w:r>
          </w:p>
          <w:p w:rsidR="00714751" w:rsidRPr="00F64910" w:rsidRDefault="00714751" w:rsidP="00A96EEA">
            <w:r w:rsidRPr="00F64910">
              <w:t xml:space="preserve">strateških raziskovalnih programov in skupno strategijo financiranja med glavnimi evropskimi javnimi financerji na področju zdravstvenih </w:t>
            </w:r>
            <w:proofErr w:type="spellStart"/>
            <w:r w:rsidRPr="00F64910">
              <w:t>razsikav</w:t>
            </w:r>
            <w:proofErr w:type="spellEnd"/>
            <w:r w:rsidRPr="00F64910">
              <w:t>.</w:t>
            </w:r>
          </w:p>
        </w:tc>
        <w:tc>
          <w:tcPr>
            <w:tcW w:w="1560" w:type="dxa"/>
            <w:shd w:val="clear" w:color="auto" w:fill="auto"/>
            <w:vAlign w:val="center"/>
          </w:tcPr>
          <w:p w:rsidR="00714751" w:rsidRPr="00F64910" w:rsidRDefault="00714751" w:rsidP="00A96EEA">
            <w:pPr>
              <w:jc w:val="center"/>
            </w:pPr>
            <w:r w:rsidRPr="00F64910">
              <w:t>približno 10 zaključenih in tekočih ERA-NET ukrepov</w:t>
            </w:r>
          </w:p>
        </w:tc>
        <w:tc>
          <w:tcPr>
            <w:tcW w:w="2268" w:type="dxa"/>
            <w:shd w:val="clear" w:color="auto" w:fill="auto"/>
            <w:vAlign w:val="center"/>
          </w:tcPr>
          <w:p w:rsidR="00714751" w:rsidRPr="00F64910" w:rsidRDefault="00714751" w:rsidP="00A96EEA">
            <w:pPr>
              <w:spacing w:line="206" w:lineRule="exact"/>
            </w:pPr>
            <w:r w:rsidRPr="00F64910">
              <w:t>DČ/ PČ in tretje države</w:t>
            </w:r>
          </w:p>
        </w:tc>
        <w:tc>
          <w:tcPr>
            <w:tcW w:w="1275" w:type="dxa"/>
            <w:shd w:val="clear" w:color="auto" w:fill="auto"/>
            <w:vAlign w:val="center"/>
          </w:tcPr>
          <w:p w:rsidR="00714751" w:rsidRPr="00F64910" w:rsidRDefault="00714751" w:rsidP="00A96EEA">
            <w:pPr>
              <w:jc w:val="center"/>
              <w:rPr>
                <w:b/>
              </w:rPr>
            </w:pPr>
            <w:r w:rsidRPr="00F64910">
              <w:rPr>
                <w:b/>
              </w:rPr>
              <w:t>MIZŠ,</w:t>
            </w:r>
          </w:p>
          <w:p w:rsidR="00714751" w:rsidRPr="00F64910" w:rsidRDefault="00714751" w:rsidP="00A96EEA">
            <w:pPr>
              <w:jc w:val="center"/>
            </w:pPr>
            <w:r w:rsidRPr="00F64910">
              <w:t>MZ</w:t>
            </w:r>
          </w:p>
        </w:tc>
      </w:tr>
      <w:tr w:rsidR="00D17880" w:rsidRPr="00F64910" w:rsidTr="00D17880">
        <w:tc>
          <w:tcPr>
            <w:tcW w:w="5387" w:type="dxa"/>
            <w:shd w:val="clear" w:color="auto" w:fill="FFF2CC"/>
            <w:vAlign w:val="center"/>
          </w:tcPr>
          <w:p w:rsidR="00714751" w:rsidRPr="00F64910" w:rsidRDefault="00714751" w:rsidP="00A96EEA">
            <w:pPr>
              <w:rPr>
                <w:b/>
              </w:rPr>
            </w:pPr>
            <w:r w:rsidRPr="00F64910">
              <w:rPr>
                <w:b/>
              </w:rPr>
              <w:t>5. Obsežne inovacije in preoblikovanje zdravstvenih sistemov v digitalni in starajoči se družbi</w:t>
            </w:r>
          </w:p>
          <w:p w:rsidR="00714751" w:rsidRPr="00F64910" w:rsidRDefault="00714751" w:rsidP="00A96EEA">
            <w:r w:rsidRPr="00F64910">
              <w:t xml:space="preserve">(Large-scale innovation and </w:t>
            </w:r>
            <w:proofErr w:type="spellStart"/>
            <w:r w:rsidRPr="00F64910">
              <w:t>transformation</w:t>
            </w:r>
            <w:proofErr w:type="spellEnd"/>
            <w:r w:rsidRPr="00F64910">
              <w:t xml:space="preserve"> of </w:t>
            </w:r>
            <w:proofErr w:type="spellStart"/>
            <w:r w:rsidRPr="00F64910">
              <w:t>health</w:t>
            </w:r>
            <w:proofErr w:type="spellEnd"/>
            <w:r w:rsidRPr="00F64910">
              <w:t xml:space="preserve"> </w:t>
            </w:r>
            <w:proofErr w:type="spellStart"/>
            <w:r w:rsidRPr="00F64910">
              <w:t>systems</w:t>
            </w:r>
            <w:proofErr w:type="spellEnd"/>
            <w:r w:rsidRPr="00F64910">
              <w:t xml:space="preserve"> in a </w:t>
            </w:r>
            <w:proofErr w:type="spellStart"/>
            <w:r w:rsidRPr="00F64910">
              <w:t>digital</w:t>
            </w:r>
            <w:proofErr w:type="spellEnd"/>
            <w:r w:rsidRPr="00F64910">
              <w:t xml:space="preserve"> and </w:t>
            </w:r>
            <w:proofErr w:type="spellStart"/>
            <w:r w:rsidRPr="00F64910">
              <w:t>ageing</w:t>
            </w:r>
            <w:proofErr w:type="spellEnd"/>
            <w:r w:rsidRPr="00F64910">
              <w:t xml:space="preserve"> </w:t>
            </w:r>
            <w:proofErr w:type="spellStart"/>
            <w:r w:rsidRPr="00F64910">
              <w:t>society</w:t>
            </w:r>
            <w:proofErr w:type="spellEnd"/>
            <w:r w:rsidRPr="00F64910">
              <w:t>)</w:t>
            </w:r>
          </w:p>
          <w:p w:rsidR="00714751" w:rsidRPr="00F64910" w:rsidRDefault="00714751" w:rsidP="00A96EEA"/>
          <w:p w:rsidR="00714751" w:rsidRPr="00F64910" w:rsidRDefault="00714751" w:rsidP="00A96EEA">
            <w:pPr>
              <w:rPr>
                <w:b/>
              </w:rPr>
            </w:pPr>
            <w:r w:rsidRPr="00F64910">
              <w:t xml:space="preserve">Izboljšanje zdravja in zdravstvene nege v starajoči se družbi, družbi ki temelji na podatkih in digitalni družbi, ki prehaja na celostno obravnavo zdravja in je osredotočena </w:t>
            </w:r>
            <w:r w:rsidRPr="00F64910">
              <w:lastRenderedPageBreak/>
              <w:t>na osebni pristop preko primerne zdravstvene politike in raziskav zdravstvenih sistemov.</w:t>
            </w:r>
          </w:p>
        </w:tc>
        <w:tc>
          <w:tcPr>
            <w:tcW w:w="1560" w:type="dxa"/>
            <w:shd w:val="clear" w:color="auto" w:fill="FFF2CC"/>
            <w:vAlign w:val="center"/>
          </w:tcPr>
          <w:p w:rsidR="00714751" w:rsidRPr="00F64910" w:rsidRDefault="00714751" w:rsidP="00A96EEA">
            <w:pPr>
              <w:jc w:val="center"/>
            </w:pPr>
            <w:r w:rsidRPr="00F64910">
              <w:lastRenderedPageBreak/>
              <w:t xml:space="preserve">AAL2, </w:t>
            </w:r>
          </w:p>
          <w:p w:rsidR="00714751" w:rsidRPr="00F64910" w:rsidRDefault="00714751" w:rsidP="00A96EEA">
            <w:pPr>
              <w:jc w:val="center"/>
            </w:pPr>
            <w:r w:rsidRPr="00F64910">
              <w:t>JPI MYBL</w:t>
            </w:r>
          </w:p>
        </w:tc>
        <w:tc>
          <w:tcPr>
            <w:tcW w:w="2268" w:type="dxa"/>
            <w:shd w:val="clear" w:color="auto" w:fill="FFF2CC"/>
            <w:vAlign w:val="center"/>
          </w:tcPr>
          <w:p w:rsidR="00714751" w:rsidRPr="00F64910" w:rsidRDefault="00714751" w:rsidP="00A96EEA">
            <w:pPr>
              <w:spacing w:line="0" w:lineRule="atLeast"/>
            </w:pPr>
            <w:r w:rsidRPr="00F64910">
              <w:t>DČ / PČ in organizacije civilne družbe</w:t>
            </w:r>
          </w:p>
        </w:tc>
        <w:tc>
          <w:tcPr>
            <w:tcW w:w="1275" w:type="dxa"/>
            <w:shd w:val="clear" w:color="auto" w:fill="FFF2CC"/>
            <w:vAlign w:val="center"/>
          </w:tcPr>
          <w:p w:rsidR="00714751" w:rsidRPr="00F64910" w:rsidRDefault="00714751" w:rsidP="00A96EEA">
            <w:pPr>
              <w:jc w:val="center"/>
            </w:pPr>
            <w:r w:rsidRPr="00F64910">
              <w:t xml:space="preserve">MDDSZ, </w:t>
            </w:r>
          </w:p>
          <w:p w:rsidR="00714751" w:rsidRPr="00F64910" w:rsidRDefault="00714751" w:rsidP="00A96EEA">
            <w:pPr>
              <w:jc w:val="center"/>
            </w:pPr>
            <w:r w:rsidRPr="00F64910">
              <w:t>MZ (NIJZ), MJU (DID)</w:t>
            </w:r>
          </w:p>
        </w:tc>
      </w:tr>
      <w:tr w:rsidR="00D17880" w:rsidRPr="00F64910" w:rsidTr="00D17880">
        <w:tc>
          <w:tcPr>
            <w:tcW w:w="5387" w:type="dxa"/>
            <w:shd w:val="clear" w:color="auto" w:fill="auto"/>
            <w:vAlign w:val="center"/>
          </w:tcPr>
          <w:p w:rsidR="00714751" w:rsidRPr="00F64910" w:rsidRDefault="00714751" w:rsidP="00A96EEA">
            <w:pPr>
              <w:rPr>
                <w:b/>
              </w:rPr>
            </w:pPr>
            <w:r w:rsidRPr="00F64910">
              <w:rPr>
                <w:b/>
              </w:rPr>
              <w:t xml:space="preserve">6. </w:t>
            </w:r>
            <w:proofErr w:type="spellStart"/>
            <w:r w:rsidRPr="00F64910">
              <w:rPr>
                <w:b/>
              </w:rPr>
              <w:t>P</w:t>
            </w:r>
            <w:r>
              <w:rPr>
                <w:b/>
              </w:rPr>
              <w:t>ersonalizirana</w:t>
            </w:r>
            <w:proofErr w:type="spellEnd"/>
            <w:r w:rsidRPr="00F64910">
              <w:rPr>
                <w:b/>
              </w:rPr>
              <w:t xml:space="preserve"> medicina</w:t>
            </w:r>
          </w:p>
          <w:p w:rsidR="00714751" w:rsidRPr="00F64910" w:rsidRDefault="00714751" w:rsidP="00A96EEA">
            <w:r w:rsidRPr="00F64910">
              <w:t>(</w:t>
            </w:r>
            <w:proofErr w:type="spellStart"/>
            <w:r w:rsidRPr="00F64910">
              <w:t>Personalized</w:t>
            </w:r>
            <w:proofErr w:type="spellEnd"/>
            <w:r w:rsidRPr="00F64910">
              <w:t xml:space="preserve"> Medicine)</w:t>
            </w:r>
          </w:p>
          <w:p w:rsidR="00714751" w:rsidRPr="00F64910" w:rsidRDefault="00714751" w:rsidP="00A96EEA"/>
          <w:p w:rsidR="00714751" w:rsidRPr="00F64910" w:rsidRDefault="00714751" w:rsidP="00A96EEA">
            <w:r w:rsidRPr="00F64910">
              <w:t xml:space="preserve">Za uskladitev nacionalnih strategij na področju raziskav, spodbujanje odličnosti, okrepiti konkurenčnost evropskih igralci na področju </w:t>
            </w:r>
            <w:proofErr w:type="spellStart"/>
            <w:r w:rsidRPr="00F64910">
              <w:t>p</w:t>
            </w:r>
            <w:r>
              <w:t>ersonalizirane</w:t>
            </w:r>
            <w:proofErr w:type="spellEnd"/>
            <w:r w:rsidRPr="00F64910">
              <w:t xml:space="preserve"> medicine in izboljšanje evropskega sodelovanje z državami, ki niso članice EU.</w:t>
            </w:r>
          </w:p>
        </w:tc>
        <w:tc>
          <w:tcPr>
            <w:tcW w:w="1560" w:type="dxa"/>
            <w:shd w:val="clear" w:color="auto" w:fill="auto"/>
            <w:vAlign w:val="center"/>
          </w:tcPr>
          <w:p w:rsidR="00714751" w:rsidRPr="00F64910" w:rsidRDefault="00714751" w:rsidP="00A96EEA">
            <w:pPr>
              <w:jc w:val="center"/>
            </w:pPr>
            <w:r w:rsidRPr="00F64910">
              <w:t>ERA-</w:t>
            </w:r>
            <w:proofErr w:type="spellStart"/>
            <w:r w:rsidRPr="00F64910">
              <w:t>PerMed</w:t>
            </w:r>
            <w:proofErr w:type="spellEnd"/>
            <w:r w:rsidRPr="00F64910">
              <w:t xml:space="preserve"> in ukrepi za podporo </w:t>
            </w:r>
            <w:proofErr w:type="spellStart"/>
            <w:r w:rsidRPr="00F64910">
              <w:t>ICPerMed</w:t>
            </w:r>
            <w:proofErr w:type="spellEnd"/>
          </w:p>
        </w:tc>
        <w:tc>
          <w:tcPr>
            <w:tcW w:w="2268" w:type="dxa"/>
            <w:shd w:val="clear" w:color="auto" w:fill="auto"/>
            <w:vAlign w:val="center"/>
          </w:tcPr>
          <w:p w:rsidR="00714751" w:rsidRPr="00F64910" w:rsidRDefault="00714751" w:rsidP="00A96EEA">
            <w:pPr>
              <w:spacing w:line="0" w:lineRule="atLeast"/>
              <w:rPr>
                <w:rFonts w:ascii="Times New Roman" w:eastAsia="Times New Roman" w:hAnsi="Times New Roman"/>
                <w:sz w:val="11"/>
              </w:rPr>
            </w:pPr>
            <w:r w:rsidRPr="00F64910">
              <w:t xml:space="preserve">DČ / PČ </w:t>
            </w:r>
          </w:p>
        </w:tc>
        <w:tc>
          <w:tcPr>
            <w:tcW w:w="1275" w:type="dxa"/>
            <w:shd w:val="clear" w:color="auto" w:fill="auto"/>
            <w:vAlign w:val="center"/>
          </w:tcPr>
          <w:p w:rsidR="00714751" w:rsidRPr="00F64910" w:rsidRDefault="00714751" w:rsidP="00A96EEA">
            <w:pPr>
              <w:jc w:val="center"/>
              <w:rPr>
                <w:b/>
              </w:rPr>
            </w:pPr>
            <w:r w:rsidRPr="00F64910">
              <w:rPr>
                <w:b/>
              </w:rPr>
              <w:t xml:space="preserve">MIZŠ, </w:t>
            </w:r>
          </w:p>
          <w:p w:rsidR="00714751" w:rsidRPr="00F64910" w:rsidRDefault="00714751" w:rsidP="00A96EEA">
            <w:pPr>
              <w:jc w:val="center"/>
            </w:pPr>
            <w:r w:rsidRPr="00F64910">
              <w:t>(?MZ)</w:t>
            </w:r>
          </w:p>
        </w:tc>
      </w:tr>
      <w:tr w:rsidR="00D17880" w:rsidRPr="00F64910" w:rsidTr="00D17880">
        <w:tc>
          <w:tcPr>
            <w:tcW w:w="5387" w:type="dxa"/>
            <w:shd w:val="clear" w:color="auto" w:fill="FFF2CC"/>
            <w:vAlign w:val="center"/>
          </w:tcPr>
          <w:p w:rsidR="00714751" w:rsidRPr="00F64910" w:rsidRDefault="00714751" w:rsidP="00A96EEA">
            <w:pPr>
              <w:rPr>
                <w:b/>
              </w:rPr>
            </w:pPr>
            <w:r w:rsidRPr="00F64910">
              <w:rPr>
                <w:b/>
              </w:rPr>
              <w:t>7. Redke bolezni</w:t>
            </w:r>
          </w:p>
          <w:p w:rsidR="00714751" w:rsidRPr="00F64910" w:rsidRDefault="00714751" w:rsidP="00A96EEA">
            <w:r w:rsidRPr="00F64910">
              <w:t>(</w:t>
            </w:r>
            <w:proofErr w:type="spellStart"/>
            <w:r w:rsidRPr="00F64910">
              <w:t>Rare</w:t>
            </w:r>
            <w:proofErr w:type="spellEnd"/>
            <w:r w:rsidRPr="00F64910">
              <w:t xml:space="preserve"> </w:t>
            </w:r>
            <w:proofErr w:type="spellStart"/>
            <w:r w:rsidRPr="00F64910">
              <w:t>diseases</w:t>
            </w:r>
            <w:proofErr w:type="spellEnd"/>
            <w:r w:rsidRPr="00F64910">
              <w:t>)</w:t>
            </w:r>
          </w:p>
          <w:p w:rsidR="00714751" w:rsidRPr="00F64910" w:rsidRDefault="00714751" w:rsidP="00A96EEA"/>
          <w:p w:rsidR="00714751" w:rsidRPr="00F64910" w:rsidRDefault="00714751" w:rsidP="00A96EEA">
            <w:r w:rsidRPr="00F64910">
              <w:t>Partnerstvo za izboljšanje integracije, učinkovitosti, proizvodnje in družbenega vpliva raziskav na redke bolezni skozi razvoj, demonstracije in promocije evropske in svetovne proizvodnje, in izmenjava in izkoriščanje raziskav in kliničnih podatkov, materiala, procesov, znanja in znanja kako (know-how).</w:t>
            </w:r>
          </w:p>
        </w:tc>
        <w:tc>
          <w:tcPr>
            <w:tcW w:w="1560" w:type="dxa"/>
            <w:shd w:val="clear" w:color="auto" w:fill="FFF2CC"/>
            <w:vAlign w:val="center"/>
          </w:tcPr>
          <w:p w:rsidR="00714751" w:rsidRPr="00F64910" w:rsidRDefault="00714751" w:rsidP="00A96EEA">
            <w:pPr>
              <w:jc w:val="center"/>
            </w:pPr>
            <w:r w:rsidRPr="00F64910">
              <w:t xml:space="preserve">EJP </w:t>
            </w:r>
            <w:proofErr w:type="spellStart"/>
            <w:r w:rsidRPr="00F64910">
              <w:t>Rare</w:t>
            </w:r>
            <w:proofErr w:type="spellEnd"/>
            <w:r w:rsidRPr="00F64910">
              <w:t xml:space="preserve"> </w:t>
            </w:r>
            <w:proofErr w:type="spellStart"/>
            <w:r w:rsidRPr="00F64910">
              <w:t>Diseases</w:t>
            </w:r>
            <w:proofErr w:type="spellEnd"/>
          </w:p>
        </w:tc>
        <w:tc>
          <w:tcPr>
            <w:tcW w:w="2268" w:type="dxa"/>
            <w:shd w:val="clear" w:color="auto" w:fill="FFF2CC"/>
            <w:vAlign w:val="center"/>
          </w:tcPr>
          <w:p w:rsidR="00714751" w:rsidRPr="00F64910" w:rsidRDefault="00714751" w:rsidP="00A96EEA">
            <w:r w:rsidRPr="00F64910">
              <w:t>DČ/ PČ, tretje države, organizacije civilne družbe, EU raziskovalne infrastrukture</w:t>
            </w:r>
          </w:p>
        </w:tc>
        <w:tc>
          <w:tcPr>
            <w:tcW w:w="1275" w:type="dxa"/>
            <w:shd w:val="clear" w:color="auto" w:fill="FFF2CC"/>
            <w:vAlign w:val="center"/>
          </w:tcPr>
          <w:p w:rsidR="00714751" w:rsidRPr="00F64910" w:rsidRDefault="00714751" w:rsidP="00A96EEA">
            <w:pPr>
              <w:jc w:val="center"/>
            </w:pPr>
            <w:r w:rsidRPr="00F64910">
              <w:t>MZ (NIJZ)</w:t>
            </w:r>
          </w:p>
        </w:tc>
      </w:tr>
      <w:tr w:rsidR="00714751" w:rsidRPr="00F64910" w:rsidTr="00D17880">
        <w:tc>
          <w:tcPr>
            <w:tcW w:w="10490" w:type="dxa"/>
            <w:gridSpan w:val="4"/>
            <w:shd w:val="clear" w:color="auto" w:fill="FFC000"/>
            <w:vAlign w:val="center"/>
          </w:tcPr>
          <w:p w:rsidR="00714751" w:rsidRPr="00F64910" w:rsidRDefault="00714751" w:rsidP="00A96EEA">
            <w:pPr>
              <w:rPr>
                <w:b/>
                <w:color w:val="FFFFFF"/>
              </w:rPr>
            </w:pPr>
            <w:r w:rsidRPr="00F64910">
              <w:rPr>
                <w:b/>
                <w:color w:val="FFFFFF"/>
              </w:rPr>
              <w:t>DIGITALNO, INDUSTRIJA IN VESOLJE / CLUSTER DIGITAL, INDUSTRY AND SPACE</w:t>
            </w:r>
          </w:p>
        </w:tc>
      </w:tr>
      <w:tr w:rsidR="00D17880" w:rsidRPr="00F64910" w:rsidTr="00D17880">
        <w:tc>
          <w:tcPr>
            <w:tcW w:w="5387" w:type="dxa"/>
            <w:shd w:val="clear" w:color="auto" w:fill="auto"/>
            <w:vAlign w:val="center"/>
          </w:tcPr>
          <w:p w:rsidR="00714751" w:rsidRPr="00F64910" w:rsidRDefault="00714751" w:rsidP="00A96EEA">
            <w:r w:rsidRPr="00F64910">
              <w:rPr>
                <w:b/>
              </w:rPr>
              <w:t>8. Visokozmogljivo računalništvo</w:t>
            </w:r>
          </w:p>
          <w:p w:rsidR="00714751" w:rsidRPr="00F64910" w:rsidRDefault="00714751" w:rsidP="00A96EEA">
            <w:r w:rsidRPr="00F64910">
              <w:t xml:space="preserve">(High </w:t>
            </w:r>
            <w:proofErr w:type="spellStart"/>
            <w:r w:rsidRPr="00F64910">
              <w:t>performance</w:t>
            </w:r>
            <w:proofErr w:type="spellEnd"/>
            <w:r w:rsidRPr="00F64910">
              <w:t xml:space="preserve"> </w:t>
            </w:r>
            <w:proofErr w:type="spellStart"/>
            <w:r w:rsidRPr="00F64910">
              <w:t>computing</w:t>
            </w:r>
            <w:proofErr w:type="spellEnd"/>
            <w:r w:rsidRPr="00F64910">
              <w:t>)</w:t>
            </w:r>
          </w:p>
          <w:p w:rsidR="00714751" w:rsidRPr="00F64910" w:rsidRDefault="00714751" w:rsidP="00A96EEA"/>
          <w:p w:rsidR="00714751" w:rsidRPr="00F64910" w:rsidRDefault="00714751" w:rsidP="00A96EEA">
            <w:r w:rsidRPr="00F64910">
              <w:t xml:space="preserve">Skupno podjetje </w:t>
            </w:r>
            <w:proofErr w:type="spellStart"/>
            <w:r w:rsidRPr="00F64910">
              <w:t>EuroHPC</w:t>
            </w:r>
            <w:proofErr w:type="spellEnd"/>
            <w:r w:rsidRPr="00F64910">
              <w:t xml:space="preserve"> ima misijo vzpostavitve vrhunskega integriranega superračunalnika in podatkovne infrastrukture ter</w:t>
            </w:r>
          </w:p>
          <w:p w:rsidR="00714751" w:rsidRPr="00F64910" w:rsidRDefault="00714751" w:rsidP="00A96EEA">
            <w:r w:rsidRPr="00F64910">
              <w:t>podpirati visoko konkurenčen ekosistem HPC in masovnih podatkov (Big Data).</w:t>
            </w:r>
          </w:p>
        </w:tc>
        <w:tc>
          <w:tcPr>
            <w:tcW w:w="1560" w:type="dxa"/>
            <w:shd w:val="clear" w:color="auto" w:fill="auto"/>
            <w:vAlign w:val="center"/>
          </w:tcPr>
          <w:p w:rsidR="00714751" w:rsidRPr="00F64910" w:rsidRDefault="00714751" w:rsidP="00A96EEA">
            <w:pPr>
              <w:jc w:val="center"/>
            </w:pPr>
            <w:proofErr w:type="spellStart"/>
            <w:r w:rsidRPr="00F64910">
              <w:t>EuroHPC</w:t>
            </w:r>
            <w:proofErr w:type="spellEnd"/>
          </w:p>
        </w:tc>
        <w:tc>
          <w:tcPr>
            <w:tcW w:w="2268" w:type="dxa"/>
            <w:shd w:val="clear" w:color="auto" w:fill="auto"/>
            <w:vAlign w:val="center"/>
          </w:tcPr>
          <w:p w:rsidR="00714751" w:rsidRPr="00F64910" w:rsidRDefault="00714751" w:rsidP="00A96EEA">
            <w:r w:rsidRPr="00F64910">
              <w:t>Industrija in DČ/PČ</w:t>
            </w:r>
          </w:p>
        </w:tc>
        <w:tc>
          <w:tcPr>
            <w:tcW w:w="1275" w:type="dxa"/>
            <w:shd w:val="clear" w:color="auto" w:fill="auto"/>
            <w:vAlign w:val="center"/>
          </w:tcPr>
          <w:p w:rsidR="00714751" w:rsidRPr="00F64910" w:rsidRDefault="00714751" w:rsidP="00A96EEA">
            <w:pPr>
              <w:jc w:val="center"/>
            </w:pPr>
            <w:r w:rsidRPr="00F64910">
              <w:rPr>
                <w:b/>
              </w:rPr>
              <w:t>MIZŠ</w:t>
            </w:r>
            <w:r w:rsidRPr="00F64910">
              <w:t xml:space="preserve"> in MJU</w:t>
            </w:r>
          </w:p>
        </w:tc>
      </w:tr>
      <w:tr w:rsidR="00D17880" w:rsidRPr="00F64910" w:rsidTr="00D17880">
        <w:tc>
          <w:tcPr>
            <w:tcW w:w="5387" w:type="dxa"/>
            <w:shd w:val="clear" w:color="auto" w:fill="FFF2CC"/>
            <w:vAlign w:val="center"/>
          </w:tcPr>
          <w:p w:rsidR="00714751" w:rsidRPr="00F64910" w:rsidRDefault="00714751" w:rsidP="00A96EEA">
            <w:pPr>
              <w:rPr>
                <w:b/>
              </w:rPr>
            </w:pPr>
            <w:r w:rsidRPr="00F64910">
              <w:rPr>
                <w:b/>
              </w:rPr>
              <w:t>9. Ključne digitalne tehnologije</w:t>
            </w:r>
          </w:p>
          <w:p w:rsidR="00714751" w:rsidRPr="00F64910" w:rsidRDefault="00714751" w:rsidP="00A96EEA">
            <w:r w:rsidRPr="00F64910">
              <w:t>(</w:t>
            </w:r>
            <w:proofErr w:type="spellStart"/>
            <w:r w:rsidRPr="00F64910">
              <w:t>Key</w:t>
            </w:r>
            <w:proofErr w:type="spellEnd"/>
            <w:r w:rsidRPr="00F64910">
              <w:t xml:space="preserve"> Digital Technologies)</w:t>
            </w:r>
          </w:p>
          <w:p w:rsidR="00714751" w:rsidRPr="00F64910" w:rsidRDefault="00714751" w:rsidP="00A96EEA"/>
          <w:p w:rsidR="00714751" w:rsidRPr="00F64910" w:rsidRDefault="00714751" w:rsidP="00A96EEA">
            <w:r w:rsidRPr="00F64910">
              <w:t xml:space="preserve">Partnerstvo bo vzdrževalo in </w:t>
            </w:r>
            <w:proofErr w:type="spellStart"/>
            <w:r w:rsidRPr="00F64910">
              <w:t>skreblo</w:t>
            </w:r>
            <w:proofErr w:type="spellEnd"/>
            <w:r w:rsidRPr="00F64910">
              <w:t xml:space="preserve"> za tehnološko ospredje evropske industrije elektronskih komponent in sistemov in prispevalo k povečanje konkurenčnosti EU, vključno z zagotavljanjem nujnih komponent in  programske opreme, pa tudi povezovanja proizvodne infrastruktura v Evropi in povezovanje nacionalnih strategij.</w:t>
            </w:r>
          </w:p>
        </w:tc>
        <w:tc>
          <w:tcPr>
            <w:tcW w:w="1560" w:type="dxa"/>
            <w:shd w:val="clear" w:color="auto" w:fill="FFF2CC"/>
            <w:vAlign w:val="center"/>
          </w:tcPr>
          <w:p w:rsidR="00714751" w:rsidRPr="00F64910" w:rsidRDefault="00714751" w:rsidP="00A96EEA">
            <w:pPr>
              <w:jc w:val="center"/>
            </w:pPr>
            <w:r w:rsidRPr="00F64910">
              <w:t xml:space="preserve">ECSEL, delno </w:t>
            </w:r>
            <w:proofErr w:type="spellStart"/>
            <w:r w:rsidRPr="00F64910">
              <w:t>Photonics</w:t>
            </w:r>
            <w:proofErr w:type="spellEnd"/>
            <w:r w:rsidRPr="00F64910">
              <w:t xml:space="preserve"> cPPP</w:t>
            </w:r>
          </w:p>
        </w:tc>
        <w:tc>
          <w:tcPr>
            <w:tcW w:w="2268" w:type="dxa"/>
            <w:shd w:val="clear" w:color="auto" w:fill="FFF2CC"/>
            <w:vAlign w:val="center"/>
          </w:tcPr>
          <w:p w:rsidR="00714751" w:rsidRPr="00F64910" w:rsidRDefault="00714751" w:rsidP="00A96EEA">
            <w:r w:rsidRPr="00F64910">
              <w:t>Industrija in DČ/PČ (raziskovalne financerske organizacije)</w:t>
            </w:r>
          </w:p>
        </w:tc>
        <w:tc>
          <w:tcPr>
            <w:tcW w:w="1275" w:type="dxa"/>
            <w:shd w:val="clear" w:color="auto" w:fill="FFF2CC"/>
            <w:vAlign w:val="center"/>
          </w:tcPr>
          <w:p w:rsidR="00714751" w:rsidRPr="00F64910" w:rsidRDefault="00714751" w:rsidP="00A96EEA">
            <w:pPr>
              <w:jc w:val="center"/>
            </w:pPr>
            <w:r w:rsidRPr="00F64910">
              <w:t>MGRT</w:t>
            </w:r>
          </w:p>
        </w:tc>
      </w:tr>
      <w:tr w:rsidR="00D17880" w:rsidRPr="00F64910" w:rsidTr="00D17880">
        <w:tc>
          <w:tcPr>
            <w:tcW w:w="5387" w:type="dxa"/>
            <w:shd w:val="clear" w:color="auto" w:fill="auto"/>
            <w:vAlign w:val="center"/>
          </w:tcPr>
          <w:p w:rsidR="00714751" w:rsidRPr="00F64910" w:rsidRDefault="00714751" w:rsidP="00A96EEA">
            <w:pPr>
              <w:rPr>
                <w:b/>
              </w:rPr>
            </w:pPr>
            <w:r w:rsidRPr="00F64910">
              <w:rPr>
                <w:b/>
              </w:rPr>
              <w:lastRenderedPageBreak/>
              <w:t>10. Pametna omrežja in storitve</w:t>
            </w:r>
          </w:p>
          <w:p w:rsidR="00714751" w:rsidRPr="00F64910" w:rsidRDefault="00714751" w:rsidP="00A96EEA">
            <w:r w:rsidRPr="00F64910">
              <w:t xml:space="preserve">(Smart </w:t>
            </w:r>
            <w:proofErr w:type="spellStart"/>
            <w:r w:rsidRPr="00F64910">
              <w:t>Networks</w:t>
            </w:r>
            <w:proofErr w:type="spellEnd"/>
            <w:r w:rsidRPr="00F64910">
              <w:t xml:space="preserve"> and </w:t>
            </w:r>
            <w:proofErr w:type="spellStart"/>
            <w:r w:rsidRPr="00F64910">
              <w:t>Services</w:t>
            </w:r>
            <w:proofErr w:type="spellEnd"/>
            <w:r w:rsidRPr="00F64910">
              <w:t>)</w:t>
            </w:r>
          </w:p>
          <w:p w:rsidR="00714751" w:rsidRPr="00F64910" w:rsidRDefault="00714751" w:rsidP="00A96EEA"/>
          <w:p w:rsidR="00714751" w:rsidRPr="00F64910" w:rsidRDefault="00714751" w:rsidP="00A96EEA">
            <w:r w:rsidRPr="00F64910">
              <w:t>Omogočanje osnove za infrastrukturo v smislu ključnih tehnologij in uvajanje za novo generacijo internetnih storitev, ki jih uporabljajo državljani in za pametne storitve, ki jih zahteva vertikalni sektorji, kot so promet, energetika, proizvodnja, zdravje in mediji.</w:t>
            </w:r>
          </w:p>
        </w:tc>
        <w:tc>
          <w:tcPr>
            <w:tcW w:w="1560" w:type="dxa"/>
            <w:shd w:val="clear" w:color="auto" w:fill="auto"/>
            <w:vAlign w:val="center"/>
          </w:tcPr>
          <w:p w:rsidR="00714751" w:rsidRPr="00F64910" w:rsidRDefault="00714751" w:rsidP="00A96EEA">
            <w:pPr>
              <w:jc w:val="center"/>
            </w:pPr>
            <w:r w:rsidRPr="00F64910">
              <w:t>cPPP 5G</w:t>
            </w:r>
          </w:p>
        </w:tc>
        <w:tc>
          <w:tcPr>
            <w:tcW w:w="2268" w:type="dxa"/>
            <w:shd w:val="clear" w:color="auto" w:fill="auto"/>
            <w:vAlign w:val="center"/>
          </w:tcPr>
          <w:p w:rsidR="00714751" w:rsidRPr="00F64910" w:rsidRDefault="00714751" w:rsidP="00A96EEA">
            <w:r w:rsidRPr="00F64910">
              <w:t>Industrija in akademski sektor na področju povezljivosti</w:t>
            </w:r>
          </w:p>
        </w:tc>
        <w:tc>
          <w:tcPr>
            <w:tcW w:w="1275" w:type="dxa"/>
            <w:shd w:val="clear" w:color="auto" w:fill="auto"/>
            <w:vAlign w:val="center"/>
          </w:tcPr>
          <w:p w:rsidR="00714751" w:rsidRPr="00F64910" w:rsidRDefault="00714751" w:rsidP="00A96EEA">
            <w:pPr>
              <w:jc w:val="center"/>
            </w:pPr>
            <w:r w:rsidRPr="00F64910">
              <w:t xml:space="preserve">MGRT, </w:t>
            </w:r>
          </w:p>
          <w:p w:rsidR="00714751" w:rsidRPr="00F64910" w:rsidRDefault="00714751" w:rsidP="00A96EEA">
            <w:pPr>
              <w:jc w:val="center"/>
            </w:pPr>
            <w:r w:rsidRPr="00F64910">
              <w:t>MJU</w:t>
            </w:r>
            <w:r w:rsidR="00CE6780">
              <w:t>, MZI</w:t>
            </w:r>
          </w:p>
        </w:tc>
      </w:tr>
      <w:tr w:rsidR="00D17880" w:rsidRPr="00F64910" w:rsidTr="00D17880">
        <w:tc>
          <w:tcPr>
            <w:tcW w:w="5387" w:type="dxa"/>
            <w:shd w:val="clear" w:color="auto" w:fill="FFF2CC"/>
            <w:vAlign w:val="center"/>
          </w:tcPr>
          <w:p w:rsidR="00714751" w:rsidRPr="00F64910" w:rsidRDefault="00714751" w:rsidP="00A96EEA">
            <w:pPr>
              <w:rPr>
                <w:b/>
              </w:rPr>
            </w:pPr>
            <w:r w:rsidRPr="00F64910">
              <w:rPr>
                <w:b/>
              </w:rPr>
              <w:t>11. Umetna inteligenca (AI), podatki in robotika</w:t>
            </w:r>
          </w:p>
          <w:p w:rsidR="00714751" w:rsidRPr="00F64910" w:rsidRDefault="00714751" w:rsidP="00A96EEA">
            <w:r w:rsidRPr="00F64910">
              <w:t xml:space="preserve">(AI, data and </w:t>
            </w:r>
            <w:proofErr w:type="spellStart"/>
            <w:r w:rsidRPr="00F64910">
              <w:t>robotics</w:t>
            </w:r>
            <w:proofErr w:type="spellEnd"/>
            <w:r w:rsidRPr="00F64910">
              <w:t>)</w:t>
            </w:r>
          </w:p>
          <w:p w:rsidR="00714751" w:rsidRPr="00F64910" w:rsidRDefault="00714751" w:rsidP="00A96EEA"/>
          <w:p w:rsidR="00714751" w:rsidRPr="00F64910" w:rsidRDefault="00714751" w:rsidP="00A96EEA">
            <w:r w:rsidRPr="00F64910">
              <w:t>Partnerstvo na AI bo pomagalo pri strukturiranju Evropske skupnost AI, razvilo strateško raziskovalno agendo in združilo prizadevanja okoli teme, ki ima velik potencial za korist naše družbe in gospodarstva.</w:t>
            </w:r>
          </w:p>
        </w:tc>
        <w:tc>
          <w:tcPr>
            <w:tcW w:w="1560" w:type="dxa"/>
            <w:shd w:val="clear" w:color="auto" w:fill="FFF2CC"/>
            <w:vAlign w:val="center"/>
          </w:tcPr>
          <w:p w:rsidR="00714751" w:rsidRPr="00F64910" w:rsidRDefault="00714751" w:rsidP="00A96EEA">
            <w:pPr>
              <w:jc w:val="center"/>
            </w:pPr>
            <w:r w:rsidRPr="00F64910">
              <w:t xml:space="preserve">cPPP </w:t>
            </w:r>
            <w:proofErr w:type="spellStart"/>
            <w:r w:rsidRPr="00F64910">
              <w:t>BigaData</w:t>
            </w:r>
            <w:proofErr w:type="spellEnd"/>
            <w:r w:rsidRPr="00F64910">
              <w:t xml:space="preserve"> and </w:t>
            </w:r>
            <w:proofErr w:type="spellStart"/>
            <w:r w:rsidRPr="00F64910">
              <w:t>Robotics</w:t>
            </w:r>
            <w:proofErr w:type="spellEnd"/>
          </w:p>
        </w:tc>
        <w:tc>
          <w:tcPr>
            <w:tcW w:w="2268" w:type="dxa"/>
            <w:shd w:val="clear" w:color="auto" w:fill="FFF2CC"/>
            <w:vAlign w:val="center"/>
          </w:tcPr>
          <w:p w:rsidR="00714751" w:rsidRPr="00F64910" w:rsidRDefault="00714751" w:rsidP="00A96EEA">
            <w:r w:rsidRPr="00F64910">
              <w:t>Industrija, akademski sektor, končni uporabniki in civilna družba</w:t>
            </w:r>
          </w:p>
        </w:tc>
        <w:tc>
          <w:tcPr>
            <w:tcW w:w="1275" w:type="dxa"/>
            <w:shd w:val="clear" w:color="auto" w:fill="FFF2CC"/>
            <w:vAlign w:val="center"/>
          </w:tcPr>
          <w:p w:rsidR="00714751" w:rsidRPr="00F64910" w:rsidRDefault="00714751" w:rsidP="00A96EEA">
            <w:pPr>
              <w:jc w:val="center"/>
              <w:rPr>
                <w:b/>
              </w:rPr>
            </w:pPr>
            <w:r w:rsidRPr="00F64910">
              <w:rPr>
                <w:b/>
              </w:rPr>
              <w:t>MIZŠ</w:t>
            </w:r>
          </w:p>
        </w:tc>
      </w:tr>
      <w:tr w:rsidR="00D17880" w:rsidRPr="00F64910" w:rsidTr="00D17880">
        <w:tc>
          <w:tcPr>
            <w:tcW w:w="5387" w:type="dxa"/>
            <w:shd w:val="clear" w:color="auto" w:fill="auto"/>
            <w:vAlign w:val="center"/>
          </w:tcPr>
          <w:p w:rsidR="00714751" w:rsidRPr="00F64910" w:rsidRDefault="00714751" w:rsidP="00A96EEA">
            <w:pPr>
              <w:rPr>
                <w:b/>
              </w:rPr>
            </w:pPr>
            <w:r w:rsidRPr="00F64910">
              <w:rPr>
                <w:b/>
              </w:rPr>
              <w:t xml:space="preserve">12. </w:t>
            </w:r>
            <w:proofErr w:type="spellStart"/>
            <w:r w:rsidRPr="00F64910">
              <w:rPr>
                <w:b/>
              </w:rPr>
              <w:t>Fotonika</w:t>
            </w:r>
            <w:proofErr w:type="spellEnd"/>
          </w:p>
          <w:p w:rsidR="00714751" w:rsidRPr="00F64910" w:rsidRDefault="00714751" w:rsidP="00A96EEA">
            <w:r w:rsidRPr="00F64910">
              <w:t>(</w:t>
            </w:r>
            <w:proofErr w:type="spellStart"/>
            <w:r w:rsidRPr="00F64910">
              <w:t>Photonics</w:t>
            </w:r>
            <w:proofErr w:type="spellEnd"/>
            <w:r w:rsidRPr="00F64910">
              <w:t xml:space="preserve"> Europe)</w:t>
            </w:r>
          </w:p>
          <w:p w:rsidR="00714751" w:rsidRPr="00F64910" w:rsidRDefault="00714751" w:rsidP="00A96EEA"/>
          <w:p w:rsidR="00714751" w:rsidRPr="00F64910" w:rsidRDefault="00714751" w:rsidP="00A96EEA">
            <w:proofErr w:type="spellStart"/>
            <w:r w:rsidRPr="00F64910">
              <w:t>Fotonika</w:t>
            </w:r>
            <w:proofErr w:type="spellEnd"/>
            <w:r w:rsidRPr="00F64910">
              <w:t xml:space="preserve"> je eden ključnih gonilnih mehanizmov za </w:t>
            </w:r>
            <w:proofErr w:type="spellStart"/>
            <w:r w:rsidRPr="00F64910">
              <w:t>jutrijšnji</w:t>
            </w:r>
            <w:proofErr w:type="spellEnd"/>
            <w:r w:rsidRPr="00F64910">
              <w:t xml:space="preserve"> digitalni trg in razvoj digitalne evropske družbe</w:t>
            </w:r>
          </w:p>
          <w:p w:rsidR="00714751" w:rsidRPr="00F64910" w:rsidRDefault="00714751" w:rsidP="00A96EEA">
            <w:r w:rsidRPr="00F64910">
              <w:t>kot celote. Fotoni bodo nadomestili elektrone v</w:t>
            </w:r>
          </w:p>
          <w:p w:rsidR="00714751" w:rsidRPr="00F64910" w:rsidRDefault="00714751" w:rsidP="00A96EEA">
            <w:r w:rsidRPr="00F64910">
              <w:t>številnih naših najpomembnejših tehnologijah in digitalnih izdelkih.</w:t>
            </w:r>
          </w:p>
        </w:tc>
        <w:tc>
          <w:tcPr>
            <w:tcW w:w="1560" w:type="dxa"/>
            <w:shd w:val="clear" w:color="auto" w:fill="auto"/>
            <w:vAlign w:val="center"/>
          </w:tcPr>
          <w:p w:rsidR="00714751" w:rsidRPr="00F64910" w:rsidRDefault="00714751" w:rsidP="00A96EEA">
            <w:pPr>
              <w:jc w:val="center"/>
            </w:pPr>
            <w:r w:rsidRPr="00F64910">
              <w:t>cPPP Photonics21</w:t>
            </w:r>
          </w:p>
        </w:tc>
        <w:tc>
          <w:tcPr>
            <w:tcW w:w="2268" w:type="dxa"/>
            <w:shd w:val="clear" w:color="auto" w:fill="auto"/>
            <w:vAlign w:val="center"/>
          </w:tcPr>
          <w:p w:rsidR="00714751" w:rsidRPr="00F64910" w:rsidRDefault="00714751" w:rsidP="00A96EEA">
            <w:r w:rsidRPr="00F64910">
              <w:t>industrija</w:t>
            </w:r>
          </w:p>
        </w:tc>
        <w:tc>
          <w:tcPr>
            <w:tcW w:w="1275" w:type="dxa"/>
            <w:shd w:val="clear" w:color="auto" w:fill="auto"/>
            <w:vAlign w:val="center"/>
          </w:tcPr>
          <w:p w:rsidR="00714751" w:rsidRPr="00F64910" w:rsidRDefault="00714751" w:rsidP="00A96EEA">
            <w:pPr>
              <w:jc w:val="center"/>
            </w:pPr>
            <w:r w:rsidRPr="00F64910">
              <w:t xml:space="preserve">MGRT </w:t>
            </w:r>
          </w:p>
          <w:p w:rsidR="00714751" w:rsidRPr="00F64910" w:rsidRDefault="00714751" w:rsidP="00A96EEA">
            <w:pPr>
              <w:jc w:val="center"/>
            </w:pPr>
            <w:r w:rsidRPr="00F64910">
              <w:t xml:space="preserve">ali </w:t>
            </w:r>
          </w:p>
          <w:p w:rsidR="00714751" w:rsidRPr="00F64910" w:rsidRDefault="00714751" w:rsidP="00A96EEA">
            <w:pPr>
              <w:jc w:val="center"/>
            </w:pPr>
            <w:r w:rsidRPr="00F64910">
              <w:t>MIZŠ</w:t>
            </w:r>
          </w:p>
        </w:tc>
      </w:tr>
      <w:tr w:rsidR="00D17880" w:rsidRPr="00F64910" w:rsidTr="00D17880">
        <w:tc>
          <w:tcPr>
            <w:tcW w:w="5387" w:type="dxa"/>
            <w:shd w:val="clear" w:color="auto" w:fill="FFF2CC"/>
            <w:vAlign w:val="center"/>
          </w:tcPr>
          <w:p w:rsidR="00714751" w:rsidRPr="00F64910" w:rsidRDefault="00714751" w:rsidP="00A96EEA">
            <w:pPr>
              <w:rPr>
                <w:b/>
              </w:rPr>
            </w:pPr>
            <w:r w:rsidRPr="00F64910">
              <w:rPr>
                <w:b/>
              </w:rPr>
              <w:t>13. Čisto jeklo – nizkoogljično jeklo</w:t>
            </w:r>
          </w:p>
          <w:p w:rsidR="00714751" w:rsidRPr="00F64910" w:rsidRDefault="00714751" w:rsidP="00A96EEA">
            <w:r w:rsidRPr="00F64910">
              <w:t>(</w:t>
            </w:r>
            <w:proofErr w:type="spellStart"/>
            <w:r w:rsidRPr="00F64910">
              <w:t>Clean</w:t>
            </w:r>
            <w:proofErr w:type="spellEnd"/>
            <w:r w:rsidRPr="00F64910">
              <w:t xml:space="preserve"> </w:t>
            </w:r>
            <w:proofErr w:type="spellStart"/>
            <w:r w:rsidRPr="00F64910">
              <w:t>Steel</w:t>
            </w:r>
            <w:proofErr w:type="spellEnd"/>
            <w:r w:rsidRPr="00F64910">
              <w:t xml:space="preserve"> - </w:t>
            </w:r>
            <w:proofErr w:type="spellStart"/>
            <w:r w:rsidRPr="00F64910">
              <w:t>Low</w:t>
            </w:r>
            <w:proofErr w:type="spellEnd"/>
            <w:r w:rsidRPr="00F64910">
              <w:t xml:space="preserve"> </w:t>
            </w:r>
            <w:proofErr w:type="spellStart"/>
            <w:r w:rsidRPr="00F64910">
              <w:t>Carbon</w:t>
            </w:r>
            <w:proofErr w:type="spellEnd"/>
            <w:r w:rsidRPr="00F64910">
              <w:t xml:space="preserve"> </w:t>
            </w:r>
            <w:proofErr w:type="spellStart"/>
            <w:r w:rsidRPr="00F64910">
              <w:t>Steelmaking</w:t>
            </w:r>
            <w:proofErr w:type="spellEnd"/>
            <w:r w:rsidRPr="00F64910">
              <w:t>)</w:t>
            </w:r>
          </w:p>
          <w:p w:rsidR="00714751" w:rsidRPr="00F64910" w:rsidRDefault="00714751" w:rsidP="00A96EEA"/>
          <w:p w:rsidR="00714751" w:rsidRPr="00F64910" w:rsidRDefault="00714751" w:rsidP="00A96EEA">
            <w:r w:rsidRPr="00F64910">
              <w:t>Partnerstvo na področju čistega jekla bo zagotovilo:</w:t>
            </w:r>
          </w:p>
          <w:p w:rsidR="00714751" w:rsidRPr="00F64910" w:rsidRDefault="00714751" w:rsidP="00A96EEA">
            <w:r w:rsidRPr="00F64910">
              <w:t>kritično maso v EU za zagotavljanje in zlasti za izpopolnitev prebojnih tehnologij, omogočilo razvoj skupne vizije in iskalo sinergije različnih skladov EU. Prispevalo bo tudi k razvoju programskega pristopa na področju raziskav in razvoja na področju energetsko intenzivne industrije.</w:t>
            </w:r>
          </w:p>
        </w:tc>
        <w:tc>
          <w:tcPr>
            <w:tcW w:w="1560" w:type="dxa"/>
            <w:shd w:val="clear" w:color="auto" w:fill="FFF2CC"/>
            <w:vAlign w:val="center"/>
          </w:tcPr>
          <w:p w:rsidR="00714751" w:rsidRPr="00F64910" w:rsidRDefault="00714751" w:rsidP="00A96EEA">
            <w:pPr>
              <w:jc w:val="center"/>
            </w:pPr>
            <w:proofErr w:type="spellStart"/>
            <w:r w:rsidRPr="00F64910">
              <w:t>FuelCell</w:t>
            </w:r>
            <w:proofErr w:type="spellEnd"/>
            <w:r w:rsidRPr="00F64910">
              <w:t xml:space="preserve"> and </w:t>
            </w:r>
            <w:proofErr w:type="spellStart"/>
            <w:r w:rsidRPr="00F64910">
              <w:t>Hydrogen</w:t>
            </w:r>
            <w:proofErr w:type="spellEnd"/>
            <w:r w:rsidRPr="00F64910">
              <w:t xml:space="preserve">, cPPP </w:t>
            </w:r>
            <w:proofErr w:type="spellStart"/>
            <w:r w:rsidRPr="00F64910">
              <w:t>Spire</w:t>
            </w:r>
            <w:proofErr w:type="spellEnd"/>
          </w:p>
        </w:tc>
        <w:tc>
          <w:tcPr>
            <w:tcW w:w="2268" w:type="dxa"/>
            <w:shd w:val="clear" w:color="auto" w:fill="FFF2CC"/>
            <w:vAlign w:val="center"/>
          </w:tcPr>
          <w:p w:rsidR="00714751" w:rsidRPr="00F64910" w:rsidRDefault="00714751" w:rsidP="00A96EEA">
            <w:r w:rsidRPr="00F64910">
              <w:t>industrija</w:t>
            </w:r>
          </w:p>
        </w:tc>
        <w:tc>
          <w:tcPr>
            <w:tcW w:w="1275" w:type="dxa"/>
            <w:shd w:val="clear" w:color="auto" w:fill="FFF2CC"/>
            <w:vAlign w:val="center"/>
          </w:tcPr>
          <w:p w:rsidR="00714751" w:rsidRPr="00F64910" w:rsidRDefault="00714751" w:rsidP="00A96EEA">
            <w:pPr>
              <w:jc w:val="center"/>
            </w:pPr>
            <w:r w:rsidRPr="00F64910">
              <w:t>MGRT</w:t>
            </w:r>
          </w:p>
        </w:tc>
      </w:tr>
      <w:tr w:rsidR="00D17880" w:rsidRPr="00F64910" w:rsidTr="00D17880">
        <w:tc>
          <w:tcPr>
            <w:tcW w:w="5387" w:type="dxa"/>
            <w:shd w:val="clear" w:color="auto" w:fill="auto"/>
            <w:vAlign w:val="center"/>
          </w:tcPr>
          <w:p w:rsidR="00714751" w:rsidRPr="00F64910" w:rsidRDefault="00714751" w:rsidP="00A96EEA">
            <w:pPr>
              <w:rPr>
                <w:b/>
              </w:rPr>
            </w:pPr>
            <w:r w:rsidRPr="00F64910">
              <w:rPr>
                <w:b/>
              </w:rPr>
              <w:t>14. Evropsko meroslovje</w:t>
            </w:r>
          </w:p>
          <w:p w:rsidR="00714751" w:rsidRPr="00F64910" w:rsidRDefault="00714751" w:rsidP="00A96EEA">
            <w:r w:rsidRPr="00F64910">
              <w:t xml:space="preserve">(European </w:t>
            </w:r>
            <w:proofErr w:type="spellStart"/>
            <w:r w:rsidRPr="00F64910">
              <w:t>Metrology</w:t>
            </w:r>
            <w:proofErr w:type="spellEnd"/>
            <w:r w:rsidRPr="00F64910">
              <w:t>)</w:t>
            </w:r>
          </w:p>
          <w:p w:rsidR="00714751" w:rsidRPr="00F64910" w:rsidRDefault="00714751" w:rsidP="00A96EEA"/>
          <w:p w:rsidR="00714751" w:rsidRPr="00F64910" w:rsidRDefault="00714751" w:rsidP="00A96EEA">
            <w:r w:rsidRPr="00F64910">
              <w:t>Pospeševanje in krepitev svetovne vloge na področju  raziskav v meroslovju, ki ga trenutno ima Evropa in</w:t>
            </w:r>
          </w:p>
          <w:p w:rsidR="00714751" w:rsidRPr="00F64910" w:rsidRDefault="00714751" w:rsidP="00A96EEA">
            <w:r w:rsidRPr="00F64910">
              <w:t>ustvarjanje trajnostnih meroslovnih mrež za zelo konkurenčna in nastajajoča meroslovna področja, hkrati pa vključevanje široke palete deležnikov.</w:t>
            </w:r>
          </w:p>
        </w:tc>
        <w:tc>
          <w:tcPr>
            <w:tcW w:w="1560" w:type="dxa"/>
            <w:shd w:val="clear" w:color="auto" w:fill="auto"/>
            <w:vAlign w:val="center"/>
          </w:tcPr>
          <w:p w:rsidR="00714751" w:rsidRPr="00F64910" w:rsidRDefault="00714751" w:rsidP="00A96EEA">
            <w:pPr>
              <w:jc w:val="center"/>
            </w:pPr>
            <w:r w:rsidRPr="00F64910">
              <w:lastRenderedPageBreak/>
              <w:t>EMPIR</w:t>
            </w:r>
          </w:p>
        </w:tc>
        <w:tc>
          <w:tcPr>
            <w:tcW w:w="2268" w:type="dxa"/>
            <w:shd w:val="clear" w:color="auto" w:fill="auto"/>
            <w:vAlign w:val="center"/>
          </w:tcPr>
          <w:p w:rsidR="00714751" w:rsidRPr="00F64910" w:rsidRDefault="00714751" w:rsidP="00A96EEA">
            <w:r w:rsidRPr="00F64910">
              <w:t>DČ/PČ (nacionalni uradi za meroslovje)</w:t>
            </w:r>
            <w:r w:rsidR="00DF638E">
              <w:t xml:space="preserve">, akademski sektor, raziskovalne </w:t>
            </w:r>
            <w:r w:rsidR="00DF638E">
              <w:lastRenderedPageBreak/>
              <w:t>organizacije in industrija</w:t>
            </w:r>
          </w:p>
        </w:tc>
        <w:tc>
          <w:tcPr>
            <w:tcW w:w="1275" w:type="dxa"/>
            <w:shd w:val="clear" w:color="auto" w:fill="auto"/>
            <w:vAlign w:val="center"/>
          </w:tcPr>
          <w:p w:rsidR="00714751" w:rsidRPr="00F64910" w:rsidRDefault="00DF638E" w:rsidP="00A96EEA">
            <w:pPr>
              <w:jc w:val="center"/>
            </w:pPr>
            <w:r>
              <w:lastRenderedPageBreak/>
              <w:t>MGRT (Urad za meroslovje, MIZŠ</w:t>
            </w:r>
          </w:p>
        </w:tc>
      </w:tr>
      <w:tr w:rsidR="00D17880" w:rsidRPr="00F64910" w:rsidTr="00D17880">
        <w:tc>
          <w:tcPr>
            <w:tcW w:w="5387" w:type="dxa"/>
            <w:shd w:val="clear" w:color="auto" w:fill="FFF2CC"/>
            <w:vAlign w:val="center"/>
          </w:tcPr>
          <w:p w:rsidR="00714751" w:rsidRPr="00F64910" w:rsidRDefault="00714751" w:rsidP="00A96EEA">
            <w:pPr>
              <w:rPr>
                <w:b/>
              </w:rPr>
            </w:pPr>
            <w:r w:rsidRPr="00F64910">
              <w:rPr>
                <w:b/>
              </w:rPr>
              <w:t>15. Narejeno v Evropi</w:t>
            </w:r>
          </w:p>
          <w:p w:rsidR="00714751" w:rsidRPr="00F64910" w:rsidRDefault="00714751" w:rsidP="00A96EEA">
            <w:r w:rsidRPr="00F64910">
              <w:t>(</w:t>
            </w:r>
            <w:proofErr w:type="spellStart"/>
            <w:r w:rsidRPr="00F64910">
              <w:t>Made</w:t>
            </w:r>
            <w:proofErr w:type="spellEnd"/>
            <w:r w:rsidRPr="00F64910">
              <w:t xml:space="preserve"> in Europe)</w:t>
            </w:r>
          </w:p>
          <w:p w:rsidR="00714751" w:rsidRPr="00F64910" w:rsidRDefault="00714751" w:rsidP="00A96EEA"/>
          <w:p w:rsidR="00714751" w:rsidRPr="00F64910" w:rsidRDefault="00714751" w:rsidP="00A96EEA">
            <w:r w:rsidRPr="00F64910">
              <w:t xml:space="preserve">Partnerstvo usmerjeno k konkurenčni diskretni proizvodni industriji z v svetu vodilnim načinom zmanjševanja </w:t>
            </w:r>
            <w:proofErr w:type="spellStart"/>
            <w:r w:rsidRPr="00F64910">
              <w:t>okoljskega</w:t>
            </w:r>
            <w:proofErr w:type="spellEnd"/>
            <w:r w:rsidRPr="00F64910">
              <w:t xml:space="preserve"> odtisa in hkrati zagotavljanje najvišje ravni za dobro počutje delavcev, potrošnikov in družbe.</w:t>
            </w:r>
          </w:p>
        </w:tc>
        <w:tc>
          <w:tcPr>
            <w:tcW w:w="1560" w:type="dxa"/>
            <w:shd w:val="clear" w:color="auto" w:fill="FFF2CC"/>
            <w:vAlign w:val="center"/>
          </w:tcPr>
          <w:p w:rsidR="00714751" w:rsidRPr="00F64910" w:rsidRDefault="00714751" w:rsidP="00A96EEA">
            <w:pPr>
              <w:jc w:val="center"/>
            </w:pPr>
            <w:r w:rsidRPr="00F64910">
              <w:t xml:space="preserve">cPPP FoF, delno cPPP </w:t>
            </w:r>
            <w:proofErr w:type="spellStart"/>
            <w:r w:rsidRPr="00F64910">
              <w:t>Robotics</w:t>
            </w:r>
            <w:proofErr w:type="spellEnd"/>
            <w:r w:rsidRPr="00F64910">
              <w:t xml:space="preserve"> in delno cPPP </w:t>
            </w:r>
            <w:proofErr w:type="spellStart"/>
            <w:r w:rsidRPr="00F64910">
              <w:t>Photonics</w:t>
            </w:r>
            <w:proofErr w:type="spellEnd"/>
          </w:p>
        </w:tc>
        <w:tc>
          <w:tcPr>
            <w:tcW w:w="2268" w:type="dxa"/>
            <w:shd w:val="clear" w:color="auto" w:fill="FFF2CC"/>
            <w:vAlign w:val="center"/>
          </w:tcPr>
          <w:p w:rsidR="00714751" w:rsidRPr="00F64910" w:rsidRDefault="00714751" w:rsidP="00A96EEA">
            <w:r w:rsidRPr="00F64910">
              <w:t>industrija</w:t>
            </w:r>
          </w:p>
        </w:tc>
        <w:tc>
          <w:tcPr>
            <w:tcW w:w="1275" w:type="dxa"/>
            <w:shd w:val="clear" w:color="auto" w:fill="FFF2CC"/>
            <w:vAlign w:val="center"/>
          </w:tcPr>
          <w:p w:rsidR="00714751" w:rsidRPr="00F64910" w:rsidRDefault="00714751" w:rsidP="00A96EEA">
            <w:pPr>
              <w:jc w:val="center"/>
            </w:pPr>
            <w:r w:rsidRPr="00F64910">
              <w:t xml:space="preserve">MGRT </w:t>
            </w:r>
          </w:p>
          <w:p w:rsidR="00714751" w:rsidRPr="00F64910" w:rsidRDefault="00714751" w:rsidP="00A96EEA">
            <w:pPr>
              <w:jc w:val="center"/>
            </w:pPr>
            <w:r w:rsidRPr="00F64910">
              <w:t>ali</w:t>
            </w:r>
          </w:p>
          <w:p w:rsidR="00714751" w:rsidRPr="00F64910" w:rsidRDefault="00714751" w:rsidP="00A96EEA">
            <w:pPr>
              <w:jc w:val="center"/>
            </w:pPr>
            <w:r w:rsidRPr="00F64910">
              <w:t>MIZŠ</w:t>
            </w:r>
          </w:p>
          <w:p w:rsidR="00714751" w:rsidRPr="00F64910" w:rsidRDefault="00714751" w:rsidP="00A96EEA"/>
        </w:tc>
      </w:tr>
      <w:tr w:rsidR="00D17880" w:rsidRPr="00F64910" w:rsidTr="00D17880">
        <w:tc>
          <w:tcPr>
            <w:tcW w:w="5387" w:type="dxa"/>
            <w:shd w:val="clear" w:color="auto" w:fill="auto"/>
            <w:vAlign w:val="center"/>
          </w:tcPr>
          <w:p w:rsidR="00714751" w:rsidRPr="00F64910" w:rsidRDefault="00714751" w:rsidP="00A96EEA">
            <w:pPr>
              <w:rPr>
                <w:b/>
              </w:rPr>
            </w:pPr>
            <w:r w:rsidRPr="00F64910">
              <w:rPr>
                <w:b/>
              </w:rPr>
              <w:t>16. Ogljično nevtralna in krožna industrija</w:t>
            </w:r>
          </w:p>
          <w:p w:rsidR="00714751" w:rsidRPr="00F64910" w:rsidRDefault="00714751" w:rsidP="00A96EEA">
            <w:r w:rsidRPr="00F64910">
              <w:t>(</w:t>
            </w:r>
            <w:proofErr w:type="spellStart"/>
            <w:r w:rsidRPr="00F64910">
              <w:t>Carbon</w:t>
            </w:r>
            <w:proofErr w:type="spellEnd"/>
            <w:r w:rsidRPr="00F64910">
              <w:t xml:space="preserve"> </w:t>
            </w:r>
            <w:proofErr w:type="spellStart"/>
            <w:r w:rsidRPr="00F64910">
              <w:t>Neutral</w:t>
            </w:r>
            <w:proofErr w:type="spellEnd"/>
            <w:r w:rsidRPr="00F64910">
              <w:t xml:space="preserve"> and </w:t>
            </w:r>
            <w:proofErr w:type="spellStart"/>
            <w:r w:rsidRPr="00F64910">
              <w:t>Circular</w:t>
            </w:r>
            <w:proofErr w:type="spellEnd"/>
            <w:r w:rsidRPr="00F64910">
              <w:t xml:space="preserve"> </w:t>
            </w:r>
            <w:proofErr w:type="spellStart"/>
            <w:r w:rsidRPr="00F64910">
              <w:t>Industry</w:t>
            </w:r>
            <w:proofErr w:type="spellEnd"/>
            <w:r w:rsidRPr="00F64910">
              <w:t>)</w:t>
            </w:r>
          </w:p>
          <w:p w:rsidR="00714751" w:rsidRPr="00F64910" w:rsidRDefault="00714751" w:rsidP="00A96EEA"/>
          <w:p w:rsidR="00714751" w:rsidRPr="00F64910" w:rsidRDefault="00714751" w:rsidP="00A96EEA">
            <w:r w:rsidRPr="00F64910">
              <w:t>Preoblikovanje evropskih procesnih industrij, ki morajo postati ogljično nevtralne do leta 2050, da bi jih  spremenili v krožne industrije skupaj z industrijo materialov in reciklažnih industrij in izboljšanje tehnološke vodstvene pozicije na svetovni ravni in izboljšanje mednarodna konkurenčnosti.</w:t>
            </w:r>
          </w:p>
        </w:tc>
        <w:tc>
          <w:tcPr>
            <w:tcW w:w="1560" w:type="dxa"/>
            <w:shd w:val="clear" w:color="auto" w:fill="auto"/>
            <w:vAlign w:val="center"/>
          </w:tcPr>
          <w:p w:rsidR="00714751" w:rsidRPr="00F64910" w:rsidRDefault="00714751" w:rsidP="00A96EEA">
            <w:pPr>
              <w:jc w:val="center"/>
            </w:pPr>
            <w:r w:rsidRPr="00F64910">
              <w:t xml:space="preserve">cPPP </w:t>
            </w:r>
            <w:proofErr w:type="spellStart"/>
            <w:r w:rsidRPr="00F64910">
              <w:t>Spire</w:t>
            </w:r>
            <w:proofErr w:type="spellEnd"/>
          </w:p>
        </w:tc>
        <w:tc>
          <w:tcPr>
            <w:tcW w:w="2268" w:type="dxa"/>
            <w:shd w:val="clear" w:color="auto" w:fill="auto"/>
            <w:vAlign w:val="center"/>
          </w:tcPr>
          <w:p w:rsidR="00714751" w:rsidRPr="00F64910" w:rsidRDefault="00714751" w:rsidP="00A96EEA">
            <w:r w:rsidRPr="00F64910">
              <w:t xml:space="preserve">Industrija, </w:t>
            </w:r>
          </w:p>
          <w:p w:rsidR="00714751" w:rsidRPr="00F64910" w:rsidRDefault="00714751" w:rsidP="00A96EEA">
            <w:r w:rsidRPr="00F64910">
              <w:t>nevladne organizacije</w:t>
            </w:r>
          </w:p>
        </w:tc>
        <w:tc>
          <w:tcPr>
            <w:tcW w:w="1275" w:type="dxa"/>
            <w:shd w:val="clear" w:color="auto" w:fill="auto"/>
            <w:vAlign w:val="center"/>
          </w:tcPr>
          <w:p w:rsidR="00714751" w:rsidRPr="00F64910" w:rsidRDefault="00714751" w:rsidP="00A96EEA">
            <w:pPr>
              <w:jc w:val="center"/>
            </w:pPr>
            <w:r w:rsidRPr="00F64910">
              <w:t xml:space="preserve">MGRT </w:t>
            </w:r>
          </w:p>
          <w:p w:rsidR="00714751" w:rsidRPr="00F64910" w:rsidRDefault="00714751" w:rsidP="00A96EEA">
            <w:pPr>
              <w:jc w:val="center"/>
            </w:pPr>
            <w:r w:rsidRPr="00F64910">
              <w:t xml:space="preserve">ali </w:t>
            </w:r>
          </w:p>
          <w:p w:rsidR="00714751" w:rsidRPr="00F64910" w:rsidRDefault="00714751" w:rsidP="00A96EEA">
            <w:pPr>
              <w:jc w:val="center"/>
            </w:pPr>
            <w:r w:rsidRPr="00F64910">
              <w:t>MIZŠ</w:t>
            </w:r>
          </w:p>
        </w:tc>
      </w:tr>
      <w:tr w:rsidR="00D17880" w:rsidRPr="00F64910" w:rsidTr="00D17880">
        <w:tc>
          <w:tcPr>
            <w:tcW w:w="5387" w:type="dxa"/>
            <w:shd w:val="clear" w:color="auto" w:fill="FFF2CC"/>
            <w:vAlign w:val="center"/>
          </w:tcPr>
          <w:p w:rsidR="00714751" w:rsidRPr="00F64910" w:rsidRDefault="00714751" w:rsidP="00A96EEA">
            <w:pPr>
              <w:rPr>
                <w:b/>
              </w:rPr>
            </w:pPr>
            <w:r w:rsidRPr="00F64910">
              <w:rPr>
                <w:b/>
              </w:rPr>
              <w:t>17. Globalno konkurenčen vesoljski sistem</w:t>
            </w:r>
          </w:p>
          <w:p w:rsidR="00714751" w:rsidRPr="00F64910" w:rsidRDefault="00714751" w:rsidP="00A96EEA">
            <w:r w:rsidRPr="00F64910">
              <w:t xml:space="preserve">(Global </w:t>
            </w:r>
            <w:proofErr w:type="spellStart"/>
            <w:r w:rsidRPr="00F64910">
              <w:t>competitive</w:t>
            </w:r>
            <w:proofErr w:type="spellEnd"/>
            <w:r w:rsidRPr="00F64910">
              <w:t xml:space="preserve"> space </w:t>
            </w:r>
            <w:proofErr w:type="spellStart"/>
            <w:r w:rsidRPr="00F64910">
              <w:t>systems</w:t>
            </w:r>
            <w:proofErr w:type="spellEnd"/>
            <w:r w:rsidRPr="00F64910">
              <w:t>)</w:t>
            </w:r>
          </w:p>
          <w:p w:rsidR="00714751" w:rsidRPr="00F64910" w:rsidRDefault="00714751" w:rsidP="00A96EEA"/>
          <w:p w:rsidR="00714751" w:rsidRPr="00F64910" w:rsidRDefault="00714751" w:rsidP="00A96EEA">
            <w:r w:rsidRPr="00F64910">
              <w:t xml:space="preserve">Izvajanje hitrih in strukturiranih napredkov na področju izbranih inovativnih načrtov za R&amp;I, kot so na primer  ponovna uporaba, demonstracije v orbiti, montaža in izdelava, da bi postali globalni industrijski voditelji. </w:t>
            </w:r>
          </w:p>
        </w:tc>
        <w:tc>
          <w:tcPr>
            <w:tcW w:w="1560" w:type="dxa"/>
            <w:shd w:val="clear" w:color="auto" w:fill="FFF2CC"/>
            <w:vAlign w:val="center"/>
          </w:tcPr>
          <w:p w:rsidR="00714751" w:rsidRPr="00F64910" w:rsidRDefault="00714751" w:rsidP="00A96EEA">
            <w:pPr>
              <w:jc w:val="center"/>
            </w:pPr>
            <w:r w:rsidRPr="00F64910">
              <w:t>/</w:t>
            </w:r>
          </w:p>
        </w:tc>
        <w:tc>
          <w:tcPr>
            <w:tcW w:w="2268" w:type="dxa"/>
            <w:shd w:val="clear" w:color="auto" w:fill="FFF2CC"/>
            <w:vAlign w:val="center"/>
          </w:tcPr>
          <w:p w:rsidR="00714751" w:rsidRPr="00F64910" w:rsidRDefault="00CE6780" w:rsidP="00A96EEA">
            <w:r w:rsidRPr="00F64910">
              <w:t>I</w:t>
            </w:r>
            <w:r w:rsidR="00714751" w:rsidRPr="00F64910">
              <w:t>ndustrija</w:t>
            </w:r>
            <w:r>
              <w:t>, raziskovalne institucije</w:t>
            </w:r>
          </w:p>
        </w:tc>
        <w:tc>
          <w:tcPr>
            <w:tcW w:w="1275" w:type="dxa"/>
            <w:shd w:val="clear" w:color="auto" w:fill="FFF2CC"/>
            <w:vAlign w:val="center"/>
          </w:tcPr>
          <w:p w:rsidR="00714751" w:rsidRPr="00F64910" w:rsidRDefault="00714751" w:rsidP="00A96EEA">
            <w:pPr>
              <w:jc w:val="center"/>
            </w:pPr>
            <w:r w:rsidRPr="00F64910">
              <w:t>MGRT</w:t>
            </w:r>
            <w:r w:rsidR="00CE6780">
              <w:t>, MIZŠ</w:t>
            </w:r>
          </w:p>
        </w:tc>
      </w:tr>
      <w:tr w:rsidR="00714751" w:rsidRPr="00F64910" w:rsidTr="00D17880">
        <w:tc>
          <w:tcPr>
            <w:tcW w:w="10490" w:type="dxa"/>
            <w:gridSpan w:val="4"/>
            <w:shd w:val="clear" w:color="auto" w:fill="FFC000"/>
            <w:vAlign w:val="center"/>
          </w:tcPr>
          <w:p w:rsidR="00714751" w:rsidRPr="00F64910" w:rsidRDefault="00714751" w:rsidP="00A96EEA">
            <w:pPr>
              <w:rPr>
                <w:b/>
                <w:color w:val="FFFFFF"/>
              </w:rPr>
            </w:pPr>
            <w:r w:rsidRPr="00F64910">
              <w:rPr>
                <w:b/>
                <w:color w:val="FFFFFF"/>
              </w:rPr>
              <w:t>PODNEBJE, ENERGIJA IN MOBILNOST/ C</w:t>
            </w:r>
            <w:r>
              <w:rPr>
                <w:b/>
                <w:color w:val="FFFFFF"/>
              </w:rPr>
              <w:t>LUSTER CLIMATE, ENERGY, MOBILITY</w:t>
            </w:r>
          </w:p>
        </w:tc>
      </w:tr>
      <w:tr w:rsidR="00D17880" w:rsidRPr="00F64910" w:rsidTr="00D17880">
        <w:tc>
          <w:tcPr>
            <w:tcW w:w="5387" w:type="dxa"/>
            <w:shd w:val="clear" w:color="auto" w:fill="auto"/>
            <w:vAlign w:val="center"/>
          </w:tcPr>
          <w:p w:rsidR="00714751" w:rsidRDefault="00714751" w:rsidP="00A96EEA">
            <w:pPr>
              <w:rPr>
                <w:b/>
              </w:rPr>
            </w:pPr>
            <w:r>
              <w:rPr>
                <w:b/>
              </w:rPr>
              <w:t xml:space="preserve">18. </w:t>
            </w:r>
            <w:r w:rsidRPr="00F64910">
              <w:rPr>
                <w:b/>
              </w:rPr>
              <w:t>Preoblikovanje evropskega železniškega sistema</w:t>
            </w:r>
          </w:p>
          <w:p w:rsidR="00714751" w:rsidRPr="00F64910" w:rsidRDefault="00714751" w:rsidP="00A96EEA">
            <w:r>
              <w:t>(</w:t>
            </w:r>
            <w:proofErr w:type="spellStart"/>
            <w:r>
              <w:t>Transforming</w:t>
            </w:r>
            <w:proofErr w:type="spellEnd"/>
            <w:r>
              <w:t xml:space="preserve"> </w:t>
            </w:r>
            <w:proofErr w:type="spellStart"/>
            <w:r>
              <w:t>Europe's</w:t>
            </w:r>
            <w:proofErr w:type="spellEnd"/>
            <w:r>
              <w:t xml:space="preserve"> </w:t>
            </w:r>
            <w:proofErr w:type="spellStart"/>
            <w:r>
              <w:t>rail</w:t>
            </w:r>
            <w:proofErr w:type="spellEnd"/>
            <w:r>
              <w:t xml:space="preserve"> </w:t>
            </w:r>
            <w:proofErr w:type="spellStart"/>
            <w:r>
              <w:t>system</w:t>
            </w:r>
            <w:proofErr w:type="spellEnd"/>
            <w:r>
              <w:t>)</w:t>
            </w:r>
          </w:p>
          <w:p w:rsidR="00714751" w:rsidRPr="00F64910" w:rsidRDefault="00714751" w:rsidP="00A96EEA">
            <w:pPr>
              <w:rPr>
                <w:b/>
              </w:rPr>
            </w:pPr>
          </w:p>
          <w:p w:rsidR="00714751" w:rsidRPr="00F64910" w:rsidRDefault="00714751" w:rsidP="00A96EEA">
            <w:pPr>
              <w:rPr>
                <w:b/>
              </w:rPr>
            </w:pPr>
            <w:r w:rsidRPr="00F64910">
              <w:t>Določit</w:t>
            </w:r>
            <w:r>
              <w:t xml:space="preserve">i, oblikovati </w:t>
            </w:r>
            <w:r w:rsidRPr="00F64910">
              <w:t>in izvajajte celoten spekter</w:t>
            </w:r>
            <w:r>
              <w:t xml:space="preserve"> raziskav in inovacij na področju </w:t>
            </w:r>
            <w:r w:rsidRPr="00F64910">
              <w:t>železni</w:t>
            </w:r>
            <w:r>
              <w:t>c –</w:t>
            </w:r>
            <w:r w:rsidRPr="00F64910">
              <w:t xml:space="preserve"> od</w:t>
            </w:r>
            <w:r>
              <w:t xml:space="preserve"> </w:t>
            </w:r>
            <w:r w:rsidRPr="00F64910">
              <w:t>temeljn</w:t>
            </w:r>
            <w:r>
              <w:t xml:space="preserve">ih </w:t>
            </w:r>
            <w:r w:rsidRPr="00F64910">
              <w:t>raziskav</w:t>
            </w:r>
            <w:r>
              <w:t xml:space="preserve"> do </w:t>
            </w:r>
            <w:r w:rsidRPr="00F64910">
              <w:t>velikih demonstracij</w:t>
            </w:r>
            <w:r>
              <w:t>skih projektov</w:t>
            </w:r>
            <w:r w:rsidRPr="00F64910">
              <w:t xml:space="preserve"> </w:t>
            </w:r>
            <w:r>
              <w:t>–</w:t>
            </w:r>
            <w:r w:rsidRPr="00F64910">
              <w:t xml:space="preserve"> d</w:t>
            </w:r>
            <w:r>
              <w:t xml:space="preserve">a bi </w:t>
            </w:r>
            <w:r w:rsidRPr="00F64910">
              <w:t>sproži</w:t>
            </w:r>
            <w:r>
              <w:t>li</w:t>
            </w:r>
            <w:r w:rsidRPr="00F64910">
              <w:t xml:space="preserve"> veliko </w:t>
            </w:r>
            <w:r w:rsidRPr="00F64910">
              <w:lastRenderedPageBreak/>
              <w:t>preobrazbo železniškega sistema</w:t>
            </w:r>
            <w:r>
              <w:t>, k</w:t>
            </w:r>
            <w:r w:rsidRPr="00F64910">
              <w:t>ot hrbtenic</w:t>
            </w:r>
            <w:r>
              <w:t xml:space="preserve">e </w:t>
            </w:r>
            <w:r w:rsidRPr="00F64910">
              <w:t>celostne in trajnostne</w:t>
            </w:r>
            <w:r>
              <w:t xml:space="preserve"> </w:t>
            </w:r>
            <w:r w:rsidRPr="00F64910">
              <w:t>mobilnost</w:t>
            </w:r>
            <w:r>
              <w:t>i</w:t>
            </w:r>
            <w:r w:rsidRPr="00F64910">
              <w:t xml:space="preserve"> v Evropi</w:t>
            </w:r>
            <w:r>
              <w:t xml:space="preserve"> in tudi </w:t>
            </w:r>
            <w:r w:rsidRPr="00F64910">
              <w:t>maksimira</w:t>
            </w:r>
            <w:r>
              <w:t xml:space="preserve">ti </w:t>
            </w:r>
            <w:r w:rsidRPr="00F64910">
              <w:t>socialno-ekonomsk</w:t>
            </w:r>
            <w:r>
              <w:t xml:space="preserve">e </w:t>
            </w:r>
            <w:r w:rsidRPr="00F64910">
              <w:t>koristi</w:t>
            </w:r>
            <w:r>
              <w:t>.</w:t>
            </w:r>
          </w:p>
        </w:tc>
        <w:tc>
          <w:tcPr>
            <w:tcW w:w="1560" w:type="dxa"/>
            <w:shd w:val="clear" w:color="auto" w:fill="auto"/>
            <w:vAlign w:val="center"/>
          </w:tcPr>
          <w:p w:rsidR="00714751" w:rsidRPr="00F64910" w:rsidRDefault="00714751" w:rsidP="00A96EEA">
            <w:pPr>
              <w:jc w:val="center"/>
            </w:pPr>
            <w:r>
              <w:lastRenderedPageBreak/>
              <w:t>Shift2Rail</w:t>
            </w:r>
          </w:p>
        </w:tc>
        <w:tc>
          <w:tcPr>
            <w:tcW w:w="2268" w:type="dxa"/>
            <w:shd w:val="clear" w:color="auto" w:fill="auto"/>
            <w:vAlign w:val="center"/>
          </w:tcPr>
          <w:p w:rsidR="00714751" w:rsidRPr="00F64910" w:rsidRDefault="00714751" w:rsidP="00A96EEA">
            <w:r>
              <w:t>Industrija, železniški operaterji in infrastrukturni managerji</w:t>
            </w:r>
          </w:p>
        </w:tc>
        <w:tc>
          <w:tcPr>
            <w:tcW w:w="1275" w:type="dxa"/>
            <w:shd w:val="clear" w:color="auto" w:fill="auto"/>
            <w:vAlign w:val="center"/>
          </w:tcPr>
          <w:p w:rsidR="00714751" w:rsidRDefault="00714751" w:rsidP="00A96EEA">
            <w:pPr>
              <w:jc w:val="center"/>
            </w:pPr>
            <w:r>
              <w:t xml:space="preserve">MZI, </w:t>
            </w:r>
          </w:p>
          <w:p w:rsidR="00714751" w:rsidRPr="00F64910" w:rsidRDefault="00714751" w:rsidP="00A96EEA">
            <w:pPr>
              <w:jc w:val="center"/>
            </w:pPr>
            <w:r>
              <w:t>MGRT</w:t>
            </w:r>
          </w:p>
        </w:tc>
      </w:tr>
      <w:tr w:rsidR="00D17880" w:rsidRPr="00F64910" w:rsidTr="00D17880">
        <w:tc>
          <w:tcPr>
            <w:tcW w:w="5387" w:type="dxa"/>
            <w:shd w:val="clear" w:color="auto" w:fill="FFF2CC"/>
            <w:vAlign w:val="center"/>
          </w:tcPr>
          <w:p w:rsidR="00714751" w:rsidRPr="00616559" w:rsidRDefault="00714751" w:rsidP="00A96EEA">
            <w:r>
              <w:rPr>
                <w:b/>
              </w:rPr>
              <w:t xml:space="preserve">19. </w:t>
            </w:r>
            <w:r w:rsidRPr="00616559">
              <w:rPr>
                <w:b/>
              </w:rPr>
              <w:t>Celostno upravljanje zračnega prometa</w:t>
            </w:r>
          </w:p>
          <w:p w:rsidR="00714751" w:rsidRDefault="00714751" w:rsidP="00A96EEA">
            <w:r>
              <w:t>(</w:t>
            </w:r>
            <w:proofErr w:type="spellStart"/>
            <w:r>
              <w:t>Integrated</w:t>
            </w:r>
            <w:proofErr w:type="spellEnd"/>
            <w:r>
              <w:t xml:space="preserve"> </w:t>
            </w:r>
            <w:proofErr w:type="spellStart"/>
            <w:r>
              <w:t>Air</w:t>
            </w:r>
            <w:proofErr w:type="spellEnd"/>
            <w:r>
              <w:t xml:space="preserve"> </w:t>
            </w:r>
            <w:proofErr w:type="spellStart"/>
            <w:r>
              <w:t>Traffic</w:t>
            </w:r>
            <w:proofErr w:type="spellEnd"/>
            <w:r>
              <w:t xml:space="preserve"> Management)</w:t>
            </w:r>
          </w:p>
          <w:p w:rsidR="00714751" w:rsidRPr="00616559" w:rsidRDefault="00714751" w:rsidP="00A96EEA"/>
          <w:p w:rsidR="00714751" w:rsidRPr="00616559" w:rsidRDefault="00714751" w:rsidP="00A96EEA">
            <w:r w:rsidRPr="00616559">
              <w:t>Izboljša</w:t>
            </w:r>
            <w:r>
              <w:t>nje</w:t>
            </w:r>
            <w:r w:rsidRPr="00616559">
              <w:t xml:space="preserve"> delovanj</w:t>
            </w:r>
            <w:r>
              <w:t>a sistema upravljanja</w:t>
            </w:r>
            <w:r w:rsidRPr="00616559">
              <w:t xml:space="preserve"> zračnega prometa Unije</w:t>
            </w:r>
            <w:r>
              <w:t xml:space="preserve">, kot tehnološkega stebra </w:t>
            </w:r>
            <w:proofErr w:type="spellStart"/>
            <w:r>
              <w:t>Single</w:t>
            </w:r>
            <w:proofErr w:type="spellEnd"/>
            <w:r>
              <w:t xml:space="preserve"> European </w:t>
            </w:r>
            <w:proofErr w:type="spellStart"/>
            <w:r>
              <w:t>Sky</w:t>
            </w:r>
            <w:proofErr w:type="spellEnd"/>
            <w:r>
              <w:t xml:space="preserve"> </w:t>
            </w:r>
            <w:r w:rsidRPr="00616559">
              <w:t xml:space="preserve">(SES) in širše </w:t>
            </w:r>
            <w:r>
              <w:t xml:space="preserve">tudi celotnega </w:t>
            </w:r>
            <w:r w:rsidRPr="00616559">
              <w:t>sektor</w:t>
            </w:r>
            <w:r>
              <w:t>ja</w:t>
            </w:r>
            <w:r w:rsidRPr="00616559">
              <w:t xml:space="preserve"> zračnega prometa kot celote.</w:t>
            </w:r>
          </w:p>
        </w:tc>
        <w:tc>
          <w:tcPr>
            <w:tcW w:w="1560" w:type="dxa"/>
            <w:shd w:val="clear" w:color="auto" w:fill="FFF2CC"/>
            <w:vAlign w:val="center"/>
          </w:tcPr>
          <w:p w:rsidR="00714751" w:rsidRPr="00F64910" w:rsidRDefault="00714751" w:rsidP="00A96EEA">
            <w:pPr>
              <w:jc w:val="center"/>
            </w:pPr>
            <w:r>
              <w:t>SESAR</w:t>
            </w:r>
          </w:p>
        </w:tc>
        <w:tc>
          <w:tcPr>
            <w:tcW w:w="2268" w:type="dxa"/>
            <w:shd w:val="clear" w:color="auto" w:fill="FFF2CC"/>
            <w:vAlign w:val="center"/>
          </w:tcPr>
          <w:p w:rsidR="00714751" w:rsidRDefault="00714751" w:rsidP="00A96EEA">
            <w:r>
              <w:t xml:space="preserve">Industrija, </w:t>
            </w:r>
          </w:p>
          <w:p w:rsidR="00714751" w:rsidRPr="00F64910" w:rsidRDefault="00714751" w:rsidP="00A96EEA">
            <w:proofErr w:type="spellStart"/>
            <w:r>
              <w:t>Eurcontrol</w:t>
            </w:r>
            <w:proofErr w:type="spellEnd"/>
          </w:p>
        </w:tc>
        <w:tc>
          <w:tcPr>
            <w:tcW w:w="1275" w:type="dxa"/>
            <w:shd w:val="clear" w:color="auto" w:fill="FFF2CC"/>
            <w:vAlign w:val="center"/>
          </w:tcPr>
          <w:p w:rsidR="00714751" w:rsidRDefault="00714751" w:rsidP="00A96EEA">
            <w:pPr>
              <w:jc w:val="center"/>
            </w:pPr>
            <w:r>
              <w:t xml:space="preserve">MZI, </w:t>
            </w:r>
          </w:p>
          <w:p w:rsidR="00714751" w:rsidRPr="00F64910" w:rsidRDefault="00714751" w:rsidP="00A96EEA">
            <w:pPr>
              <w:jc w:val="center"/>
            </w:pPr>
            <w:r>
              <w:t>MGRT</w:t>
            </w:r>
          </w:p>
        </w:tc>
      </w:tr>
      <w:tr w:rsidR="00D17880" w:rsidRPr="00F64910" w:rsidTr="00D17880">
        <w:tc>
          <w:tcPr>
            <w:tcW w:w="5387" w:type="dxa"/>
            <w:shd w:val="clear" w:color="auto" w:fill="auto"/>
            <w:vAlign w:val="center"/>
          </w:tcPr>
          <w:p w:rsidR="00714751" w:rsidRDefault="00714751" w:rsidP="00A96EEA">
            <w:pPr>
              <w:rPr>
                <w:b/>
              </w:rPr>
            </w:pPr>
            <w:r>
              <w:rPr>
                <w:b/>
              </w:rPr>
              <w:t xml:space="preserve">20. </w:t>
            </w:r>
            <w:r w:rsidRPr="00616559">
              <w:rPr>
                <w:b/>
              </w:rPr>
              <w:t>Čisto letalstvo</w:t>
            </w:r>
          </w:p>
          <w:p w:rsidR="00714751" w:rsidRDefault="00714751" w:rsidP="00A96EEA">
            <w:r>
              <w:t>(</w:t>
            </w:r>
            <w:proofErr w:type="spellStart"/>
            <w:r>
              <w:t>Clean</w:t>
            </w:r>
            <w:proofErr w:type="spellEnd"/>
            <w:r>
              <w:t xml:space="preserve"> </w:t>
            </w:r>
            <w:proofErr w:type="spellStart"/>
            <w:r>
              <w:t>Aviation</w:t>
            </w:r>
            <w:proofErr w:type="spellEnd"/>
            <w:r>
              <w:t>)</w:t>
            </w:r>
          </w:p>
          <w:p w:rsidR="00714751" w:rsidRDefault="00714751" w:rsidP="00A96EEA"/>
          <w:p w:rsidR="00714751" w:rsidRPr="00616559" w:rsidRDefault="00714751" w:rsidP="00A96EEA">
            <w:pPr>
              <w:rPr>
                <w:b/>
              </w:rPr>
            </w:pPr>
            <w:r w:rsidRPr="00616559">
              <w:t>Za pospešitev in povečanje vpliva</w:t>
            </w:r>
            <w:r>
              <w:t xml:space="preserve"> e</w:t>
            </w:r>
            <w:r w:rsidRPr="00616559">
              <w:t>vropsk</w:t>
            </w:r>
            <w:r>
              <w:t xml:space="preserve">ih  raziskav in inovacij s področja </w:t>
            </w:r>
            <w:r w:rsidRPr="00616559">
              <w:t>letals</w:t>
            </w:r>
            <w:r>
              <w:t xml:space="preserve">tva na </w:t>
            </w:r>
            <w:r w:rsidRPr="00616559">
              <w:t>Energetsk</w:t>
            </w:r>
            <w:r>
              <w:t>o</w:t>
            </w:r>
            <w:r w:rsidRPr="00616559">
              <w:t xml:space="preserve"> unij</w:t>
            </w:r>
            <w:r>
              <w:t>o</w:t>
            </w:r>
            <w:r w:rsidRPr="00616559">
              <w:t>,</w:t>
            </w:r>
            <w:r>
              <w:t xml:space="preserve"> P</w:t>
            </w:r>
            <w:r w:rsidRPr="00616559">
              <w:t>aket mobilnosti, prenovljen</w:t>
            </w:r>
            <w:r>
              <w:t xml:space="preserve">o strategijo </w:t>
            </w:r>
            <w:r w:rsidRPr="00616559">
              <w:t>industrijsk</w:t>
            </w:r>
            <w:r>
              <w:t xml:space="preserve">e </w:t>
            </w:r>
            <w:r w:rsidRPr="00616559">
              <w:t>politi</w:t>
            </w:r>
            <w:r>
              <w:t xml:space="preserve">ke, </w:t>
            </w:r>
            <w:r w:rsidRPr="00616559">
              <w:t xml:space="preserve"> EU TGP in </w:t>
            </w:r>
            <w:r>
              <w:t xml:space="preserve">emisij </w:t>
            </w:r>
            <w:r w:rsidRPr="00616559">
              <w:t>onesnaževanj</w:t>
            </w:r>
            <w:r>
              <w:t>a</w:t>
            </w:r>
            <w:r w:rsidRPr="00616559">
              <w:t xml:space="preserve"> zraka</w:t>
            </w:r>
            <w:r>
              <w:t xml:space="preserve">, predpisi o hrupu, ukvarjanje z izzivi </w:t>
            </w:r>
            <w:r w:rsidRPr="00616559">
              <w:t>energij</w:t>
            </w:r>
            <w:r>
              <w:t>e</w:t>
            </w:r>
            <w:r w:rsidRPr="00616559">
              <w:t xml:space="preserve"> in podnebni</w:t>
            </w:r>
            <w:r>
              <w:t>h</w:t>
            </w:r>
            <w:r w:rsidRPr="00616559">
              <w:t xml:space="preserve"> sprememb, konkurenčnost evropske industrije, "</w:t>
            </w:r>
            <w:proofErr w:type="spellStart"/>
            <w:r>
              <w:t>first</w:t>
            </w:r>
            <w:proofErr w:type="spellEnd"/>
            <w:r>
              <w:t xml:space="preserve"> </w:t>
            </w:r>
            <w:proofErr w:type="spellStart"/>
            <w:r>
              <w:t>mover</w:t>
            </w:r>
            <w:proofErr w:type="spellEnd"/>
            <w:r>
              <w:t xml:space="preserve"> </w:t>
            </w:r>
            <w:proofErr w:type="spellStart"/>
            <w:r>
              <w:t>advantage</w:t>
            </w:r>
            <w:proofErr w:type="spellEnd"/>
            <w:r>
              <w:t xml:space="preserve">« na </w:t>
            </w:r>
            <w:r w:rsidRPr="00616559">
              <w:t>mednarodnih trgih</w:t>
            </w:r>
            <w:r>
              <w:t>, kakor tudi z trajnostno</w:t>
            </w:r>
            <w:r w:rsidRPr="00616559">
              <w:t xml:space="preserve"> mobilnost</w:t>
            </w:r>
            <w:r>
              <w:t>jo</w:t>
            </w:r>
            <w:r w:rsidRPr="00616559">
              <w:t xml:space="preserve"> družbe.</w:t>
            </w:r>
          </w:p>
        </w:tc>
        <w:tc>
          <w:tcPr>
            <w:tcW w:w="1560" w:type="dxa"/>
            <w:shd w:val="clear" w:color="auto" w:fill="auto"/>
            <w:vAlign w:val="center"/>
          </w:tcPr>
          <w:p w:rsidR="00714751" w:rsidRPr="00F64910" w:rsidRDefault="00714751" w:rsidP="00A96EEA">
            <w:pPr>
              <w:jc w:val="center"/>
            </w:pPr>
            <w:r>
              <w:t>CleanSky2</w:t>
            </w:r>
          </w:p>
        </w:tc>
        <w:tc>
          <w:tcPr>
            <w:tcW w:w="2268" w:type="dxa"/>
            <w:shd w:val="clear" w:color="auto" w:fill="auto"/>
            <w:vAlign w:val="center"/>
          </w:tcPr>
          <w:p w:rsidR="00714751" w:rsidRPr="00F64910" w:rsidRDefault="00714751" w:rsidP="00A96EEA">
            <w:r>
              <w:t>industrija</w:t>
            </w:r>
          </w:p>
        </w:tc>
        <w:tc>
          <w:tcPr>
            <w:tcW w:w="1275" w:type="dxa"/>
            <w:shd w:val="clear" w:color="auto" w:fill="auto"/>
            <w:vAlign w:val="center"/>
          </w:tcPr>
          <w:p w:rsidR="00714751" w:rsidRDefault="00714751" w:rsidP="00A96EEA">
            <w:pPr>
              <w:jc w:val="center"/>
            </w:pPr>
            <w:r>
              <w:t xml:space="preserve">MZI, </w:t>
            </w:r>
          </w:p>
          <w:p w:rsidR="00714751" w:rsidRPr="00F64910" w:rsidRDefault="00714751" w:rsidP="00A96EEA">
            <w:pPr>
              <w:jc w:val="center"/>
            </w:pPr>
            <w:r>
              <w:t>MGRT</w:t>
            </w:r>
          </w:p>
        </w:tc>
      </w:tr>
      <w:tr w:rsidR="00D17880" w:rsidRPr="00F64910" w:rsidTr="00D17880">
        <w:tc>
          <w:tcPr>
            <w:tcW w:w="5387" w:type="dxa"/>
            <w:shd w:val="clear" w:color="auto" w:fill="FFF2CC"/>
            <w:vAlign w:val="center"/>
          </w:tcPr>
          <w:p w:rsidR="00714751" w:rsidRPr="0083126E" w:rsidRDefault="00714751" w:rsidP="00A96EEA">
            <w:pPr>
              <w:rPr>
                <w:b/>
              </w:rPr>
            </w:pPr>
            <w:r w:rsidRPr="0083126E">
              <w:rPr>
                <w:b/>
              </w:rPr>
              <w:t>21. Čisti vodik</w:t>
            </w:r>
          </w:p>
          <w:p w:rsidR="00714751" w:rsidRPr="0083126E" w:rsidRDefault="00714751" w:rsidP="00A96EEA">
            <w:r>
              <w:t>(</w:t>
            </w:r>
            <w:proofErr w:type="spellStart"/>
            <w:r>
              <w:t>Clean</w:t>
            </w:r>
            <w:proofErr w:type="spellEnd"/>
            <w:r>
              <w:t xml:space="preserve"> </w:t>
            </w:r>
            <w:proofErr w:type="spellStart"/>
            <w:r>
              <w:t>Hydrogen</w:t>
            </w:r>
            <w:proofErr w:type="spellEnd"/>
            <w:r>
              <w:t>)</w:t>
            </w:r>
          </w:p>
          <w:p w:rsidR="00714751" w:rsidRPr="0083126E" w:rsidRDefault="00714751" w:rsidP="00A96EEA"/>
          <w:p w:rsidR="00714751" w:rsidRPr="0083126E" w:rsidRDefault="00714751" w:rsidP="00A96EEA">
            <w:r w:rsidRPr="0083126E">
              <w:t xml:space="preserve">Pospešitev vstopa na </w:t>
            </w:r>
            <w:r>
              <w:t xml:space="preserve">trg  tehnologij s skoraj nič GHG </w:t>
            </w:r>
            <w:r w:rsidRPr="0083126E">
              <w:t>emisij</w:t>
            </w:r>
            <w:r>
              <w:t>ami na po</w:t>
            </w:r>
            <w:r w:rsidRPr="0083126E">
              <w:t>dročju e</w:t>
            </w:r>
            <w:r>
              <w:t xml:space="preserve">nergije, prometa in industrije. Partnerstvo </w:t>
            </w:r>
            <w:r w:rsidRPr="0083126E">
              <w:t>zajema</w:t>
            </w:r>
            <w:r>
              <w:t xml:space="preserve"> </w:t>
            </w:r>
            <w:r w:rsidRPr="0083126E">
              <w:t>celotn</w:t>
            </w:r>
            <w:r>
              <w:t>o</w:t>
            </w:r>
            <w:r w:rsidRPr="0083126E">
              <w:t xml:space="preserve"> verig</w:t>
            </w:r>
            <w:r>
              <w:t>o</w:t>
            </w:r>
            <w:r w:rsidRPr="0083126E">
              <w:t xml:space="preserve"> vrednosti </w:t>
            </w:r>
            <w:r>
              <w:t xml:space="preserve">tehnologij </w:t>
            </w:r>
            <w:r w:rsidRPr="0083126E">
              <w:t xml:space="preserve">konkurenčnega vodika gorivnih celic, kar zagotavlja </w:t>
            </w:r>
            <w:r>
              <w:t>vodilni p</w:t>
            </w:r>
            <w:r w:rsidRPr="0083126E">
              <w:t>oložaj za</w:t>
            </w:r>
            <w:r>
              <w:t xml:space="preserve"> </w:t>
            </w:r>
            <w:r w:rsidRPr="0083126E">
              <w:t>Evropa, da spozna potencial vodik</w:t>
            </w:r>
            <w:r>
              <w:t>ovih</w:t>
            </w:r>
          </w:p>
          <w:p w:rsidR="00714751" w:rsidRPr="00F64910" w:rsidRDefault="00714751" w:rsidP="00A96EEA">
            <w:r w:rsidRPr="0083126E">
              <w:t xml:space="preserve">tehnologije v </w:t>
            </w:r>
            <w:r>
              <w:t xml:space="preserve">polnem </w:t>
            </w:r>
            <w:r w:rsidRPr="0083126E">
              <w:t>obsegu</w:t>
            </w:r>
            <w:r>
              <w:t>.</w:t>
            </w:r>
          </w:p>
        </w:tc>
        <w:tc>
          <w:tcPr>
            <w:tcW w:w="1560" w:type="dxa"/>
            <w:shd w:val="clear" w:color="auto" w:fill="FFF2CC"/>
            <w:vAlign w:val="center"/>
          </w:tcPr>
          <w:p w:rsidR="00714751" w:rsidRPr="00F64910" w:rsidRDefault="00714751" w:rsidP="00A96EEA">
            <w:pPr>
              <w:jc w:val="center"/>
            </w:pPr>
            <w:proofErr w:type="spellStart"/>
            <w:r>
              <w:t>FuellCell</w:t>
            </w:r>
            <w:proofErr w:type="spellEnd"/>
            <w:r>
              <w:t xml:space="preserve"> and </w:t>
            </w:r>
            <w:proofErr w:type="spellStart"/>
            <w:r>
              <w:t>Hydrogen</w:t>
            </w:r>
            <w:proofErr w:type="spellEnd"/>
          </w:p>
        </w:tc>
        <w:tc>
          <w:tcPr>
            <w:tcW w:w="2268" w:type="dxa"/>
            <w:shd w:val="clear" w:color="auto" w:fill="FFF2CC"/>
            <w:vAlign w:val="center"/>
          </w:tcPr>
          <w:p w:rsidR="00714751" w:rsidRPr="00F64910" w:rsidRDefault="00714751" w:rsidP="00A96EEA">
            <w:r>
              <w:t>industrija</w:t>
            </w:r>
          </w:p>
        </w:tc>
        <w:tc>
          <w:tcPr>
            <w:tcW w:w="1275" w:type="dxa"/>
            <w:shd w:val="clear" w:color="auto" w:fill="FFF2CC"/>
            <w:vAlign w:val="center"/>
          </w:tcPr>
          <w:p w:rsidR="00714751" w:rsidRDefault="00714751" w:rsidP="00A96EEA">
            <w:pPr>
              <w:jc w:val="center"/>
            </w:pPr>
            <w:r>
              <w:t xml:space="preserve">MZI, </w:t>
            </w:r>
          </w:p>
          <w:p w:rsidR="00CE6780" w:rsidRDefault="00714751" w:rsidP="00A96EEA">
            <w:pPr>
              <w:jc w:val="center"/>
            </w:pPr>
            <w:r>
              <w:t>MGRT</w:t>
            </w:r>
            <w:r w:rsidR="00CE6780">
              <w:t xml:space="preserve">, </w:t>
            </w:r>
          </w:p>
          <w:p w:rsidR="00714751" w:rsidRPr="00F64910" w:rsidRDefault="00CE6780" w:rsidP="00A96EEA">
            <w:pPr>
              <w:jc w:val="center"/>
            </w:pPr>
            <w:r>
              <w:t>MORS</w:t>
            </w:r>
          </w:p>
        </w:tc>
      </w:tr>
      <w:tr w:rsidR="00D17880" w:rsidRPr="00F64910" w:rsidTr="00D17880">
        <w:tc>
          <w:tcPr>
            <w:tcW w:w="5387" w:type="dxa"/>
            <w:shd w:val="clear" w:color="auto" w:fill="auto"/>
            <w:vAlign w:val="center"/>
          </w:tcPr>
          <w:p w:rsidR="00714751" w:rsidRPr="00326326" w:rsidRDefault="00714751" w:rsidP="00A96EEA">
            <w:pPr>
              <w:rPr>
                <w:b/>
              </w:rPr>
            </w:pPr>
            <w:r w:rsidRPr="00326326">
              <w:rPr>
                <w:b/>
              </w:rPr>
              <w:t>22. Grajeno okolje in gradnja</w:t>
            </w:r>
          </w:p>
          <w:p w:rsidR="00714751" w:rsidRPr="00326326" w:rsidRDefault="00714751" w:rsidP="00A96EEA">
            <w:r>
              <w:t>(</w:t>
            </w:r>
            <w:proofErr w:type="spellStart"/>
            <w:r>
              <w:t>Build</w:t>
            </w:r>
            <w:proofErr w:type="spellEnd"/>
            <w:r>
              <w:t xml:space="preserve"> </w:t>
            </w:r>
            <w:proofErr w:type="spellStart"/>
            <w:r>
              <w:t>environment</w:t>
            </w:r>
            <w:proofErr w:type="spellEnd"/>
            <w:r>
              <w:t xml:space="preserve"> and </w:t>
            </w:r>
            <w:proofErr w:type="spellStart"/>
            <w:r>
              <w:t>construction</w:t>
            </w:r>
            <w:proofErr w:type="spellEnd"/>
            <w:r>
              <w:t>)</w:t>
            </w:r>
          </w:p>
          <w:p w:rsidR="00714751" w:rsidRPr="00326326" w:rsidRDefault="00714751" w:rsidP="00A96EEA"/>
          <w:p w:rsidR="00714751" w:rsidRPr="00F64910" w:rsidRDefault="00714751" w:rsidP="00A96EEA">
            <w:r w:rsidRPr="00326326">
              <w:t>Ustvari</w:t>
            </w:r>
            <w:r>
              <w:t>ti</w:t>
            </w:r>
            <w:r w:rsidRPr="00326326">
              <w:t xml:space="preserve"> potrebno tehnologijo in socialno</w:t>
            </w:r>
            <w:r>
              <w:t>-</w:t>
            </w:r>
            <w:r w:rsidRPr="00326326">
              <w:t>gospodarski preboj za izboljšano gra</w:t>
            </w:r>
            <w:r>
              <w:t xml:space="preserve">jeno </w:t>
            </w:r>
            <w:r w:rsidRPr="00326326">
              <w:t>okolje za podporo</w:t>
            </w:r>
            <w:r>
              <w:t xml:space="preserve"> u</w:t>
            </w:r>
            <w:r w:rsidRPr="00326326">
              <w:t>resničevanj</w:t>
            </w:r>
            <w:r>
              <w:t xml:space="preserve">a ciljev </w:t>
            </w:r>
            <w:r w:rsidRPr="00326326">
              <w:t>EU 2050</w:t>
            </w:r>
            <w:r>
              <w:t xml:space="preserve"> za </w:t>
            </w:r>
            <w:proofErr w:type="spellStart"/>
            <w:r w:rsidRPr="00326326">
              <w:t>dekarbonizacij</w:t>
            </w:r>
            <w:r>
              <w:t>o</w:t>
            </w:r>
            <w:proofErr w:type="spellEnd"/>
            <w:r>
              <w:t xml:space="preserve"> </w:t>
            </w:r>
            <w:r w:rsidRPr="00326326">
              <w:t xml:space="preserve">in </w:t>
            </w:r>
            <w:r>
              <w:t>p</w:t>
            </w:r>
            <w:r w:rsidRPr="00326326">
              <w:t>rehod na čisto</w:t>
            </w:r>
            <w:r>
              <w:t xml:space="preserve"> </w:t>
            </w:r>
            <w:r w:rsidRPr="00326326">
              <w:t>energij</w:t>
            </w:r>
            <w:r>
              <w:t>o</w:t>
            </w:r>
            <w:r w:rsidRPr="00326326">
              <w:t xml:space="preserve"> in krožn</w:t>
            </w:r>
            <w:r>
              <w:t>o gospodarstvo</w:t>
            </w:r>
            <w:r w:rsidRPr="00326326">
              <w:t>, hkrati pa izboljš</w:t>
            </w:r>
            <w:r>
              <w:t xml:space="preserve">evanje </w:t>
            </w:r>
            <w:r w:rsidRPr="00326326">
              <w:t>kakovost</w:t>
            </w:r>
            <w:r>
              <w:t>i</w:t>
            </w:r>
            <w:r w:rsidRPr="00326326">
              <w:t xml:space="preserve"> bivanja, zdravj</w:t>
            </w:r>
            <w:r>
              <w:t>a</w:t>
            </w:r>
            <w:r w:rsidRPr="00326326">
              <w:t xml:space="preserve"> in dobr</w:t>
            </w:r>
            <w:r>
              <w:t>ega</w:t>
            </w:r>
            <w:r w:rsidRPr="00326326">
              <w:t xml:space="preserve"> </w:t>
            </w:r>
            <w:r w:rsidRPr="00326326">
              <w:lastRenderedPageBreak/>
              <w:t>počutj</w:t>
            </w:r>
            <w:r>
              <w:t>a</w:t>
            </w:r>
            <w:r w:rsidRPr="00326326">
              <w:t xml:space="preserve"> ljudi,</w:t>
            </w:r>
            <w:r>
              <w:t xml:space="preserve"> </w:t>
            </w:r>
            <w:r w:rsidRPr="00326326">
              <w:t>zagotavljanje visoke stopnje mobilnosti in ustvarjanj</w:t>
            </w:r>
            <w:r>
              <w:t xml:space="preserve">e </w:t>
            </w:r>
            <w:r w:rsidRPr="00326326">
              <w:t>konkurenčn</w:t>
            </w:r>
            <w:r>
              <w:t>ega</w:t>
            </w:r>
            <w:r w:rsidRPr="00326326">
              <w:t xml:space="preserve"> ekosistem</w:t>
            </w:r>
            <w:r>
              <w:t>a</w:t>
            </w:r>
            <w:r w:rsidRPr="00326326">
              <w:t xml:space="preserve"> za podjetja.</w:t>
            </w:r>
          </w:p>
        </w:tc>
        <w:tc>
          <w:tcPr>
            <w:tcW w:w="1560" w:type="dxa"/>
            <w:shd w:val="clear" w:color="auto" w:fill="auto"/>
            <w:vAlign w:val="center"/>
          </w:tcPr>
          <w:p w:rsidR="00714751" w:rsidRPr="00F64910" w:rsidRDefault="00714751" w:rsidP="00A96EEA">
            <w:pPr>
              <w:jc w:val="center"/>
            </w:pPr>
            <w:r>
              <w:lastRenderedPageBreak/>
              <w:t xml:space="preserve">cPPP </w:t>
            </w:r>
            <w:proofErr w:type="spellStart"/>
            <w:r>
              <w:t>Energy-efficient</w:t>
            </w:r>
            <w:proofErr w:type="spellEnd"/>
            <w:r>
              <w:t xml:space="preserve"> </w:t>
            </w:r>
            <w:proofErr w:type="spellStart"/>
            <w:r>
              <w:t>Buildings</w:t>
            </w:r>
            <w:proofErr w:type="spellEnd"/>
          </w:p>
        </w:tc>
        <w:tc>
          <w:tcPr>
            <w:tcW w:w="2268" w:type="dxa"/>
            <w:shd w:val="clear" w:color="auto" w:fill="auto"/>
            <w:vAlign w:val="center"/>
          </w:tcPr>
          <w:p w:rsidR="00714751" w:rsidRPr="00F64910" w:rsidRDefault="00714751" w:rsidP="00A96EEA">
            <w:r>
              <w:t>industrija</w:t>
            </w:r>
          </w:p>
        </w:tc>
        <w:tc>
          <w:tcPr>
            <w:tcW w:w="1275" w:type="dxa"/>
            <w:shd w:val="clear" w:color="auto" w:fill="auto"/>
            <w:vAlign w:val="center"/>
          </w:tcPr>
          <w:p w:rsidR="00714751" w:rsidRDefault="00714751" w:rsidP="00A96EEA">
            <w:pPr>
              <w:jc w:val="center"/>
            </w:pPr>
            <w:r>
              <w:t xml:space="preserve">MZI, </w:t>
            </w:r>
          </w:p>
          <w:p w:rsidR="00CE6780" w:rsidRDefault="00714751" w:rsidP="00A96EEA">
            <w:pPr>
              <w:jc w:val="center"/>
            </w:pPr>
            <w:r>
              <w:t>MGRT</w:t>
            </w:r>
            <w:r w:rsidR="00CE6780">
              <w:t xml:space="preserve">, </w:t>
            </w:r>
          </w:p>
          <w:p w:rsidR="00714751" w:rsidRPr="00F64910" w:rsidRDefault="00CE6780" w:rsidP="00A96EEA">
            <w:pPr>
              <w:jc w:val="center"/>
            </w:pPr>
            <w:r>
              <w:t>MORS</w:t>
            </w:r>
          </w:p>
        </w:tc>
      </w:tr>
      <w:tr w:rsidR="00D17880" w:rsidRPr="00F64910" w:rsidTr="00D17880">
        <w:tc>
          <w:tcPr>
            <w:tcW w:w="5387" w:type="dxa"/>
            <w:shd w:val="clear" w:color="auto" w:fill="FFF2CC"/>
            <w:vAlign w:val="center"/>
          </w:tcPr>
          <w:p w:rsidR="00714751" w:rsidRDefault="00714751" w:rsidP="00A96EEA">
            <w:pPr>
              <w:rPr>
                <w:b/>
              </w:rPr>
            </w:pPr>
            <w:r w:rsidRPr="00326326">
              <w:rPr>
                <w:b/>
              </w:rPr>
              <w:t xml:space="preserve">23. Proti cestnemu prometu brez emisij </w:t>
            </w:r>
          </w:p>
          <w:p w:rsidR="00714751" w:rsidRPr="00326326" w:rsidRDefault="00714751" w:rsidP="00A96EEA">
            <w:r w:rsidRPr="00326326">
              <w:t>(</w:t>
            </w:r>
            <w:proofErr w:type="spellStart"/>
            <w:r w:rsidRPr="00326326">
              <w:t>Towards</w:t>
            </w:r>
            <w:proofErr w:type="spellEnd"/>
            <w:r w:rsidRPr="00326326">
              <w:t xml:space="preserve"> </w:t>
            </w:r>
            <w:proofErr w:type="spellStart"/>
            <w:r w:rsidRPr="00326326">
              <w:t>zero-emission</w:t>
            </w:r>
            <w:proofErr w:type="spellEnd"/>
            <w:r w:rsidRPr="00326326">
              <w:t xml:space="preserve"> </w:t>
            </w:r>
            <w:proofErr w:type="spellStart"/>
            <w:r w:rsidRPr="00326326">
              <w:t>road</w:t>
            </w:r>
            <w:proofErr w:type="spellEnd"/>
            <w:r w:rsidRPr="00326326">
              <w:t xml:space="preserve"> transport (2ZERO))</w:t>
            </w:r>
          </w:p>
          <w:p w:rsidR="00714751" w:rsidRPr="00326326" w:rsidRDefault="00714751" w:rsidP="00A96EEA"/>
          <w:p w:rsidR="00714751" w:rsidRPr="00F64910" w:rsidRDefault="00714751" w:rsidP="00A96EEA">
            <w:r w:rsidRPr="00326326">
              <w:t>Pospeševanje preobrazbe cest</w:t>
            </w:r>
            <w:r>
              <w:t xml:space="preserve">nega </w:t>
            </w:r>
            <w:r w:rsidRPr="00326326">
              <w:t>prometn</w:t>
            </w:r>
            <w:r>
              <w:t>ega</w:t>
            </w:r>
            <w:r w:rsidRPr="00326326">
              <w:t xml:space="preserve"> sistem</w:t>
            </w:r>
            <w:r>
              <w:t>a</w:t>
            </w:r>
            <w:r w:rsidRPr="00326326">
              <w:t xml:space="preserve"> v mobilnost brez emisij skozi</w:t>
            </w:r>
            <w:r>
              <w:t xml:space="preserve"> </w:t>
            </w:r>
            <w:r w:rsidRPr="00326326">
              <w:t>evropsk</w:t>
            </w:r>
            <w:r>
              <w:t xml:space="preserve">o znanje </w:t>
            </w:r>
            <w:r w:rsidRPr="00326326">
              <w:t>in industrijski sistem,</w:t>
            </w:r>
            <w:r>
              <w:t xml:space="preserve"> z upoštevanjem </w:t>
            </w:r>
            <w:r w:rsidRPr="00326326">
              <w:t>konkurenčn</w:t>
            </w:r>
            <w:r>
              <w:t>e</w:t>
            </w:r>
            <w:r w:rsidRPr="00326326">
              <w:t xml:space="preserve"> nov</w:t>
            </w:r>
            <w:r>
              <w:t>e</w:t>
            </w:r>
            <w:r w:rsidRPr="00326326">
              <w:t xml:space="preserve"> generacij</w:t>
            </w:r>
            <w:r>
              <w:t>e</w:t>
            </w:r>
            <w:r w:rsidRPr="00326326">
              <w:t xml:space="preserve"> lahk</w:t>
            </w:r>
            <w:r>
              <w:t xml:space="preserve">ih, </w:t>
            </w:r>
            <w:r w:rsidRPr="00326326">
              <w:t>energetsko učinkovit</w:t>
            </w:r>
            <w:r>
              <w:t xml:space="preserve">ih in cenovno ugodnih </w:t>
            </w:r>
            <w:r w:rsidRPr="00326326">
              <w:t>cestni</w:t>
            </w:r>
            <w:r>
              <w:t>h</w:t>
            </w:r>
            <w:r w:rsidRPr="00326326">
              <w:t xml:space="preserve"> promet</w:t>
            </w:r>
            <w:r>
              <w:t>nih v</w:t>
            </w:r>
            <w:r w:rsidRPr="00326326">
              <w:t>ozil in podpornih ukrepov za njihovo hitro uvajanje</w:t>
            </w:r>
            <w:r>
              <w:t>.</w:t>
            </w:r>
          </w:p>
        </w:tc>
        <w:tc>
          <w:tcPr>
            <w:tcW w:w="1560" w:type="dxa"/>
            <w:shd w:val="clear" w:color="auto" w:fill="FFF2CC"/>
            <w:vAlign w:val="center"/>
          </w:tcPr>
          <w:p w:rsidR="00714751" w:rsidRPr="00F64910" w:rsidRDefault="00714751" w:rsidP="00A96EEA">
            <w:pPr>
              <w:jc w:val="center"/>
            </w:pPr>
            <w:r>
              <w:t xml:space="preserve">cPPP European </w:t>
            </w:r>
            <w:proofErr w:type="spellStart"/>
            <w:r>
              <w:t>Green</w:t>
            </w:r>
            <w:proofErr w:type="spellEnd"/>
            <w:r>
              <w:t xml:space="preserve"> </w:t>
            </w:r>
            <w:proofErr w:type="spellStart"/>
            <w:r>
              <w:t>vehicle</w:t>
            </w:r>
            <w:proofErr w:type="spellEnd"/>
            <w:r>
              <w:t xml:space="preserve"> </w:t>
            </w:r>
            <w:proofErr w:type="spellStart"/>
            <w:r>
              <w:t>initiative</w:t>
            </w:r>
            <w:proofErr w:type="spellEnd"/>
          </w:p>
        </w:tc>
        <w:tc>
          <w:tcPr>
            <w:tcW w:w="2268" w:type="dxa"/>
            <w:shd w:val="clear" w:color="auto" w:fill="FFF2CC"/>
            <w:vAlign w:val="center"/>
          </w:tcPr>
          <w:p w:rsidR="00714751" w:rsidRPr="00F64910" w:rsidRDefault="00714751" w:rsidP="00A96EEA">
            <w:r>
              <w:t>industrija</w:t>
            </w:r>
          </w:p>
        </w:tc>
        <w:tc>
          <w:tcPr>
            <w:tcW w:w="1275" w:type="dxa"/>
            <w:shd w:val="clear" w:color="auto" w:fill="FFF2CC"/>
            <w:vAlign w:val="center"/>
          </w:tcPr>
          <w:p w:rsidR="00714751" w:rsidRDefault="00714751" w:rsidP="00A96EEA">
            <w:pPr>
              <w:jc w:val="center"/>
            </w:pPr>
            <w:r>
              <w:t xml:space="preserve">MZI, </w:t>
            </w:r>
          </w:p>
          <w:p w:rsidR="00CE6780" w:rsidRDefault="00714751" w:rsidP="00A96EEA">
            <w:pPr>
              <w:jc w:val="center"/>
            </w:pPr>
            <w:r>
              <w:t>MGRT</w:t>
            </w:r>
            <w:r w:rsidR="00CE6780">
              <w:t>,</w:t>
            </w:r>
          </w:p>
          <w:p w:rsidR="00714751" w:rsidRPr="00F64910" w:rsidRDefault="00CE6780" w:rsidP="00A96EEA">
            <w:pPr>
              <w:jc w:val="center"/>
            </w:pPr>
            <w:bookmarkStart w:id="0" w:name="_GoBack"/>
            <w:bookmarkEnd w:id="0"/>
            <w:r>
              <w:t xml:space="preserve"> MORS</w:t>
            </w:r>
          </w:p>
        </w:tc>
      </w:tr>
      <w:tr w:rsidR="00D17880" w:rsidRPr="00F64910" w:rsidTr="00D17880">
        <w:tc>
          <w:tcPr>
            <w:tcW w:w="5387" w:type="dxa"/>
            <w:shd w:val="clear" w:color="auto" w:fill="auto"/>
            <w:vAlign w:val="center"/>
          </w:tcPr>
          <w:p w:rsidR="00714751" w:rsidRPr="00001A15" w:rsidRDefault="00714751" w:rsidP="00A96EEA">
            <w:pPr>
              <w:rPr>
                <w:b/>
              </w:rPr>
            </w:pPr>
            <w:r w:rsidRPr="00001A15">
              <w:rPr>
                <w:b/>
              </w:rPr>
              <w:t>24. Mobilnost in varnost za avtomatizirani cestni prevoz</w:t>
            </w:r>
          </w:p>
          <w:p w:rsidR="00714751" w:rsidRPr="00001A15" w:rsidRDefault="00714751" w:rsidP="00A96EEA">
            <w:r>
              <w:t>(</w:t>
            </w:r>
            <w:proofErr w:type="spellStart"/>
            <w:r>
              <w:t>Mobility</w:t>
            </w:r>
            <w:proofErr w:type="spellEnd"/>
            <w:r>
              <w:t xml:space="preserve"> and </w:t>
            </w:r>
            <w:proofErr w:type="spellStart"/>
            <w:r>
              <w:t>Safety</w:t>
            </w:r>
            <w:proofErr w:type="spellEnd"/>
            <w:r>
              <w:t xml:space="preserve"> for </w:t>
            </w:r>
            <w:proofErr w:type="spellStart"/>
            <w:r>
              <w:t>Automated</w:t>
            </w:r>
            <w:proofErr w:type="spellEnd"/>
            <w:r>
              <w:t xml:space="preserve"> </w:t>
            </w:r>
            <w:proofErr w:type="spellStart"/>
            <w:r>
              <w:t>Road</w:t>
            </w:r>
            <w:proofErr w:type="spellEnd"/>
            <w:r>
              <w:t xml:space="preserve"> Transport)</w:t>
            </w:r>
          </w:p>
          <w:p w:rsidR="00714751" w:rsidRPr="00001A15" w:rsidRDefault="00714751" w:rsidP="00A96EEA"/>
          <w:p w:rsidR="00714751" w:rsidRPr="00F64910" w:rsidRDefault="00714751" w:rsidP="00A96EEA">
            <w:r w:rsidRPr="00001A15">
              <w:t>Dolgoročni okvir za strateško načrtovanje raziskovalni</w:t>
            </w:r>
            <w:r>
              <w:t>h</w:t>
            </w:r>
            <w:r w:rsidRPr="00001A15">
              <w:t xml:space="preserve"> program</w:t>
            </w:r>
            <w:r>
              <w:t xml:space="preserve">ov </w:t>
            </w:r>
            <w:r w:rsidRPr="00001A15">
              <w:t>za</w:t>
            </w:r>
            <w:r>
              <w:t xml:space="preserve"> področje </w:t>
            </w:r>
            <w:r w:rsidRPr="00001A15">
              <w:t>povezan</w:t>
            </w:r>
            <w:r>
              <w:t xml:space="preserve">e </w:t>
            </w:r>
            <w:r w:rsidRPr="00001A15">
              <w:t>in avtomatiziran</w:t>
            </w:r>
            <w:r>
              <w:t>e</w:t>
            </w:r>
            <w:r w:rsidRPr="00001A15">
              <w:t xml:space="preserve"> vožnj</w:t>
            </w:r>
            <w:r>
              <w:t>e</w:t>
            </w:r>
            <w:r w:rsidRPr="00001A15">
              <w:t xml:space="preserve"> po cestah</w:t>
            </w:r>
            <w:r>
              <w:t xml:space="preserve">, </w:t>
            </w:r>
            <w:r w:rsidRPr="00001A15">
              <w:t>v EU</w:t>
            </w:r>
            <w:r>
              <w:t xml:space="preserve"> </w:t>
            </w:r>
            <w:r w:rsidRPr="00001A15">
              <w:t>in na nacionalni ravni</w:t>
            </w:r>
            <w:r>
              <w:t xml:space="preserve"> z upoštevanjem </w:t>
            </w:r>
            <w:r w:rsidRPr="00001A15">
              <w:t>sistemske</w:t>
            </w:r>
            <w:r>
              <w:t>ga</w:t>
            </w:r>
            <w:r w:rsidRPr="00001A15">
              <w:t xml:space="preserve"> pristop</w:t>
            </w:r>
            <w:r>
              <w:t xml:space="preserve">a </w:t>
            </w:r>
            <w:r w:rsidRPr="00001A15">
              <w:t>(vozilo, interakcije, infrastruktura, tehnični in</w:t>
            </w:r>
            <w:r>
              <w:t xml:space="preserve"> </w:t>
            </w:r>
            <w:proofErr w:type="spellStart"/>
            <w:r w:rsidRPr="00001A15">
              <w:t>netehnični</w:t>
            </w:r>
            <w:proofErr w:type="spellEnd"/>
            <w:r w:rsidRPr="00001A15">
              <w:t xml:space="preserve"> dejavniki in družbeni vpliv)</w:t>
            </w:r>
          </w:p>
        </w:tc>
        <w:tc>
          <w:tcPr>
            <w:tcW w:w="1560" w:type="dxa"/>
            <w:shd w:val="clear" w:color="auto" w:fill="auto"/>
            <w:vAlign w:val="center"/>
          </w:tcPr>
          <w:p w:rsidR="00714751" w:rsidRPr="00F64910" w:rsidRDefault="00714751" w:rsidP="00A96EEA">
            <w:pPr>
              <w:jc w:val="center"/>
            </w:pPr>
            <w:r>
              <w:t xml:space="preserve">Povezano z 5G, Big Data, </w:t>
            </w:r>
            <w:proofErr w:type="spellStart"/>
            <w:r>
              <w:t>ECSEl</w:t>
            </w:r>
            <w:proofErr w:type="spellEnd"/>
            <w:r>
              <w:t>, S2R, SESAR, baterije, 2ZERO</w:t>
            </w:r>
          </w:p>
        </w:tc>
        <w:tc>
          <w:tcPr>
            <w:tcW w:w="2268" w:type="dxa"/>
            <w:shd w:val="clear" w:color="auto" w:fill="auto"/>
            <w:vAlign w:val="center"/>
          </w:tcPr>
          <w:p w:rsidR="00714751" w:rsidRPr="00F64910" w:rsidRDefault="00714751" w:rsidP="00A96EEA">
            <w:r>
              <w:t>industrija</w:t>
            </w:r>
          </w:p>
        </w:tc>
        <w:tc>
          <w:tcPr>
            <w:tcW w:w="1275" w:type="dxa"/>
            <w:shd w:val="clear" w:color="auto" w:fill="auto"/>
            <w:vAlign w:val="center"/>
          </w:tcPr>
          <w:p w:rsidR="00714751" w:rsidRDefault="00714751" w:rsidP="00A96EEA">
            <w:pPr>
              <w:jc w:val="center"/>
            </w:pPr>
            <w:r>
              <w:t xml:space="preserve">MZI, </w:t>
            </w:r>
          </w:p>
          <w:p w:rsidR="00714751" w:rsidRPr="00F64910" w:rsidRDefault="00714751" w:rsidP="00A96EEA">
            <w:pPr>
              <w:jc w:val="center"/>
            </w:pPr>
            <w:r>
              <w:t>MGRT</w:t>
            </w:r>
          </w:p>
        </w:tc>
      </w:tr>
      <w:tr w:rsidR="00D17880" w:rsidRPr="00F64910" w:rsidTr="00D17880">
        <w:tc>
          <w:tcPr>
            <w:tcW w:w="5387" w:type="dxa"/>
            <w:shd w:val="clear" w:color="auto" w:fill="FFF2CC"/>
            <w:vAlign w:val="center"/>
          </w:tcPr>
          <w:p w:rsidR="00714751" w:rsidRPr="00001A15" w:rsidRDefault="00714751" w:rsidP="00A96EEA">
            <w:pPr>
              <w:rPr>
                <w:b/>
              </w:rPr>
            </w:pPr>
            <w:r w:rsidRPr="00001A15">
              <w:rPr>
                <w:b/>
              </w:rPr>
              <w:t>25. Baterije</w:t>
            </w:r>
          </w:p>
          <w:p w:rsidR="00714751" w:rsidRDefault="00714751" w:rsidP="00A96EEA">
            <w:r>
              <w:t>(</w:t>
            </w:r>
            <w:proofErr w:type="spellStart"/>
            <w:r>
              <w:t>Batteries</w:t>
            </w:r>
            <w:proofErr w:type="spellEnd"/>
            <w:r>
              <w:t xml:space="preserve">: </w:t>
            </w:r>
            <w:proofErr w:type="spellStart"/>
            <w:r>
              <w:t>Towards</w:t>
            </w:r>
            <w:proofErr w:type="spellEnd"/>
            <w:r>
              <w:t xml:space="preserve"> a </w:t>
            </w:r>
            <w:proofErr w:type="spellStart"/>
            <w:r>
              <w:t>competitive</w:t>
            </w:r>
            <w:proofErr w:type="spellEnd"/>
            <w:r>
              <w:t xml:space="preserve"> European </w:t>
            </w:r>
            <w:proofErr w:type="spellStart"/>
            <w:r>
              <w:t>industrial</w:t>
            </w:r>
            <w:proofErr w:type="spellEnd"/>
            <w:r>
              <w:t xml:space="preserve"> </w:t>
            </w:r>
            <w:proofErr w:type="spellStart"/>
            <w:r>
              <w:t>battery</w:t>
            </w:r>
            <w:proofErr w:type="spellEnd"/>
            <w:r>
              <w:t xml:space="preserve"> </w:t>
            </w:r>
            <w:proofErr w:type="spellStart"/>
            <w:r>
              <w:t>value</w:t>
            </w:r>
            <w:proofErr w:type="spellEnd"/>
            <w:r>
              <w:t xml:space="preserve"> </w:t>
            </w:r>
            <w:proofErr w:type="spellStart"/>
            <w:r>
              <w:t>chain</w:t>
            </w:r>
            <w:proofErr w:type="spellEnd"/>
            <w:r>
              <w:t xml:space="preserve">) </w:t>
            </w:r>
          </w:p>
          <w:p w:rsidR="00714751" w:rsidRDefault="00714751" w:rsidP="00A96EEA"/>
          <w:p w:rsidR="00714751" w:rsidRPr="00F64910" w:rsidRDefault="00714751" w:rsidP="00A96EEA">
            <w:r>
              <w:t xml:space="preserve">Razvoj v svetovnem merilu odličnih </w:t>
            </w:r>
            <w:r w:rsidRPr="00001A15">
              <w:t>raziska</w:t>
            </w:r>
            <w:r>
              <w:t>v</w:t>
            </w:r>
            <w:r w:rsidRPr="00001A15">
              <w:t xml:space="preserve"> in razvoja</w:t>
            </w:r>
            <w:r>
              <w:t xml:space="preserve"> </w:t>
            </w:r>
            <w:r w:rsidRPr="00001A15">
              <w:t>na</w:t>
            </w:r>
            <w:r>
              <w:t xml:space="preserve"> področju</w:t>
            </w:r>
            <w:r w:rsidRPr="00001A15">
              <w:t xml:space="preserve"> baterij, s pogledom proti</w:t>
            </w:r>
            <w:r>
              <w:t xml:space="preserve"> evropski vodilni vlogi industrije. Združilo bo </w:t>
            </w:r>
            <w:r w:rsidRPr="00001A15">
              <w:t>vse dejavnosti programa Horizon Europe za razvoj sklad</w:t>
            </w:r>
            <w:r>
              <w:t>nega</w:t>
            </w:r>
            <w:r w:rsidRPr="00001A15">
              <w:t xml:space="preserve"> stratešk</w:t>
            </w:r>
            <w:r>
              <w:t>ega</w:t>
            </w:r>
            <w:r w:rsidRPr="00001A15">
              <w:t xml:space="preserve"> program</w:t>
            </w:r>
            <w:r>
              <w:t>a</w:t>
            </w:r>
            <w:r w:rsidRPr="00001A15">
              <w:t xml:space="preserve"> v sodelovanju</w:t>
            </w:r>
            <w:r>
              <w:t xml:space="preserve"> </w:t>
            </w:r>
            <w:r w:rsidRPr="00001A15">
              <w:t>z industrijskimi akterji in raziskovalno skupnostjo,</w:t>
            </w:r>
            <w:r>
              <w:t xml:space="preserve"> z bistvenim</w:t>
            </w:r>
            <w:r w:rsidRPr="00001A15">
              <w:t xml:space="preserve"> prispev</w:t>
            </w:r>
            <w:r>
              <w:t>kom</w:t>
            </w:r>
            <w:r w:rsidRPr="00001A15">
              <w:t xml:space="preserve"> k izpolnjevanju Parišk</w:t>
            </w:r>
            <w:r>
              <w:t>ega</w:t>
            </w:r>
            <w:r w:rsidRPr="00001A15">
              <w:t xml:space="preserve"> sporazum</w:t>
            </w:r>
            <w:r>
              <w:t xml:space="preserve">a in izboljšanja konkurenčnosti </w:t>
            </w:r>
            <w:r w:rsidRPr="00001A15">
              <w:t>sedanjih in nastajajočih</w:t>
            </w:r>
            <w:r>
              <w:t xml:space="preserve"> evropskih</w:t>
            </w:r>
            <w:r w:rsidRPr="00001A15">
              <w:t xml:space="preserve"> industrije v verigi vrednosti baterij.</w:t>
            </w:r>
          </w:p>
        </w:tc>
        <w:tc>
          <w:tcPr>
            <w:tcW w:w="1560" w:type="dxa"/>
            <w:shd w:val="clear" w:color="auto" w:fill="FFF2CC"/>
            <w:vAlign w:val="center"/>
          </w:tcPr>
          <w:p w:rsidR="00714751" w:rsidRPr="00F64910" w:rsidRDefault="00714751" w:rsidP="00A96EEA">
            <w:pPr>
              <w:jc w:val="center"/>
            </w:pPr>
            <w:r>
              <w:t>/</w:t>
            </w:r>
          </w:p>
        </w:tc>
        <w:tc>
          <w:tcPr>
            <w:tcW w:w="2268" w:type="dxa"/>
            <w:shd w:val="clear" w:color="auto" w:fill="FFF2CC"/>
            <w:vAlign w:val="center"/>
          </w:tcPr>
          <w:p w:rsidR="00714751" w:rsidRPr="00F64910" w:rsidRDefault="00714751" w:rsidP="00A96EEA">
            <w:r>
              <w:t>industrija</w:t>
            </w:r>
          </w:p>
        </w:tc>
        <w:tc>
          <w:tcPr>
            <w:tcW w:w="1275" w:type="dxa"/>
            <w:shd w:val="clear" w:color="auto" w:fill="FFF2CC"/>
            <w:vAlign w:val="center"/>
          </w:tcPr>
          <w:p w:rsidR="00714751" w:rsidRDefault="00714751" w:rsidP="00A96EEA">
            <w:pPr>
              <w:jc w:val="center"/>
            </w:pPr>
            <w:r>
              <w:t>MGRT</w:t>
            </w:r>
          </w:p>
          <w:p w:rsidR="00714751" w:rsidRDefault="00714751" w:rsidP="00A96EEA">
            <w:pPr>
              <w:jc w:val="center"/>
            </w:pPr>
            <w:r>
              <w:t xml:space="preserve">ali </w:t>
            </w:r>
          </w:p>
          <w:p w:rsidR="00714751" w:rsidRPr="00F64910" w:rsidRDefault="00714751" w:rsidP="00CE6780">
            <w:pPr>
              <w:jc w:val="center"/>
            </w:pPr>
            <w:r>
              <w:t>MIZŠ</w:t>
            </w:r>
            <w:r w:rsidR="00CE6780">
              <w:t xml:space="preserve"> in MZI</w:t>
            </w:r>
          </w:p>
        </w:tc>
      </w:tr>
      <w:tr w:rsidR="00D17880" w:rsidRPr="00F64910" w:rsidTr="00D17880">
        <w:tc>
          <w:tcPr>
            <w:tcW w:w="5387" w:type="dxa"/>
            <w:shd w:val="clear" w:color="auto" w:fill="auto"/>
            <w:vAlign w:val="center"/>
          </w:tcPr>
          <w:p w:rsidR="00714751" w:rsidRPr="00001A15" w:rsidRDefault="00714751" w:rsidP="00A96EEA">
            <w:pPr>
              <w:rPr>
                <w:b/>
              </w:rPr>
            </w:pPr>
            <w:r w:rsidRPr="00001A15">
              <w:rPr>
                <w:b/>
              </w:rPr>
              <w:t>26. Prehod na čisto energijo</w:t>
            </w:r>
          </w:p>
          <w:p w:rsidR="00714751" w:rsidRDefault="00714751" w:rsidP="00A96EEA">
            <w:r>
              <w:t>(</w:t>
            </w:r>
            <w:proofErr w:type="spellStart"/>
            <w:r>
              <w:t>Clean</w:t>
            </w:r>
            <w:proofErr w:type="spellEnd"/>
            <w:r>
              <w:t xml:space="preserve"> </w:t>
            </w:r>
            <w:proofErr w:type="spellStart"/>
            <w:r>
              <w:t>Energy</w:t>
            </w:r>
            <w:proofErr w:type="spellEnd"/>
            <w:r>
              <w:t xml:space="preserve"> </w:t>
            </w:r>
            <w:proofErr w:type="spellStart"/>
            <w:r>
              <w:t>Transition</w:t>
            </w:r>
            <w:proofErr w:type="spellEnd"/>
            <w:r>
              <w:t>)</w:t>
            </w:r>
          </w:p>
          <w:p w:rsidR="00714751" w:rsidRPr="00001A15" w:rsidRDefault="00714751" w:rsidP="00A96EEA"/>
          <w:p w:rsidR="00714751" w:rsidRPr="00F64910" w:rsidRDefault="00714751" w:rsidP="00A96EEA">
            <w:r w:rsidRPr="00001A15">
              <w:t xml:space="preserve">Odzvati se pozivu po </w:t>
            </w:r>
            <w:proofErr w:type="spellStart"/>
            <w:r w:rsidRPr="00001A15">
              <w:t>dekarbonizaciji</w:t>
            </w:r>
            <w:proofErr w:type="spellEnd"/>
            <w:r w:rsidRPr="00001A15">
              <w:t xml:space="preserve"> </w:t>
            </w:r>
            <w:r>
              <w:t xml:space="preserve">na </w:t>
            </w:r>
            <w:r w:rsidRPr="00001A15">
              <w:t>srednjeroč</w:t>
            </w:r>
            <w:r>
              <w:t>e</w:t>
            </w:r>
            <w:r w:rsidRPr="00001A15">
              <w:t>n in dolgoroč</w:t>
            </w:r>
            <w:r>
              <w:t>e</w:t>
            </w:r>
            <w:r w:rsidRPr="00001A15">
              <w:t>n celostni način,</w:t>
            </w:r>
            <w:r>
              <w:t xml:space="preserve"> </w:t>
            </w:r>
            <w:r w:rsidRPr="00001A15">
              <w:t xml:space="preserve">sintetiziranje vseh </w:t>
            </w:r>
            <w:r>
              <w:t xml:space="preserve"> </w:t>
            </w:r>
            <w:r w:rsidRPr="00001A15">
              <w:t xml:space="preserve">razdrobljenih </w:t>
            </w:r>
            <w:r>
              <w:t>aktivnosti na tem področju</w:t>
            </w:r>
            <w:r w:rsidRPr="00001A15">
              <w:t>, da se omogoči</w:t>
            </w:r>
            <w:r>
              <w:t xml:space="preserve"> </w:t>
            </w:r>
            <w:r w:rsidRPr="00001A15">
              <w:lastRenderedPageBreak/>
              <w:t>večja integracija ustreznih razisk</w:t>
            </w:r>
            <w:r>
              <w:t>ovalnih in i</w:t>
            </w:r>
            <w:r w:rsidRPr="00001A15">
              <w:t>novacijsk</w:t>
            </w:r>
            <w:r>
              <w:t>ih</w:t>
            </w:r>
            <w:r w:rsidRPr="00001A15">
              <w:t xml:space="preserve"> področ</w:t>
            </w:r>
            <w:r>
              <w:t>ij</w:t>
            </w:r>
            <w:r w:rsidRPr="00001A15">
              <w:t xml:space="preserve"> in </w:t>
            </w:r>
            <w:r>
              <w:t xml:space="preserve">se tako </w:t>
            </w:r>
            <w:r w:rsidRPr="00001A15">
              <w:t>zagotavlja večji učinek.</w:t>
            </w:r>
          </w:p>
        </w:tc>
        <w:tc>
          <w:tcPr>
            <w:tcW w:w="1560" w:type="dxa"/>
            <w:shd w:val="clear" w:color="auto" w:fill="auto"/>
            <w:vAlign w:val="center"/>
          </w:tcPr>
          <w:p w:rsidR="00714751" w:rsidRPr="00F64910" w:rsidRDefault="00714751" w:rsidP="00A96EEA">
            <w:pPr>
              <w:jc w:val="center"/>
            </w:pPr>
            <w:r>
              <w:lastRenderedPageBreak/>
              <w:t>10 obstoječih ERA-NET Cofund aktivnosti</w:t>
            </w:r>
          </w:p>
        </w:tc>
        <w:tc>
          <w:tcPr>
            <w:tcW w:w="2268" w:type="dxa"/>
            <w:shd w:val="clear" w:color="auto" w:fill="auto"/>
            <w:vAlign w:val="center"/>
          </w:tcPr>
          <w:p w:rsidR="00714751" w:rsidRPr="00F64910" w:rsidRDefault="00714751" w:rsidP="00A96EEA">
            <w:r>
              <w:t>DČ/PČ (</w:t>
            </w:r>
            <w:r w:rsidRPr="00F64910">
              <w:t>raziskovalne financerske organizacije</w:t>
            </w:r>
            <w:r>
              <w:t xml:space="preserve"> in raziskovalne organizacije)</w:t>
            </w:r>
          </w:p>
        </w:tc>
        <w:tc>
          <w:tcPr>
            <w:tcW w:w="1275" w:type="dxa"/>
            <w:shd w:val="clear" w:color="auto" w:fill="auto"/>
            <w:vAlign w:val="center"/>
          </w:tcPr>
          <w:p w:rsidR="00714751" w:rsidRPr="00F64910" w:rsidRDefault="00714751" w:rsidP="00A96EEA">
            <w:pPr>
              <w:jc w:val="center"/>
            </w:pPr>
            <w:r>
              <w:t>MZI</w:t>
            </w:r>
          </w:p>
        </w:tc>
      </w:tr>
      <w:tr w:rsidR="00714751" w:rsidRPr="00F64910" w:rsidTr="00D17880">
        <w:tc>
          <w:tcPr>
            <w:tcW w:w="10490" w:type="dxa"/>
            <w:gridSpan w:val="4"/>
            <w:shd w:val="clear" w:color="auto" w:fill="FFC000"/>
            <w:vAlign w:val="center"/>
          </w:tcPr>
          <w:p w:rsidR="00714751" w:rsidRPr="00F64910" w:rsidRDefault="00714751" w:rsidP="00A96EEA">
            <w:pPr>
              <w:rPr>
                <w:b/>
                <w:color w:val="FFFFFF"/>
              </w:rPr>
            </w:pPr>
            <w:r w:rsidRPr="00E37182">
              <w:rPr>
                <w:b/>
                <w:color w:val="FFFFFF"/>
              </w:rPr>
              <w:t>HRANA, BIOEKONOMIJA, NARAVNI VIRI, KMETIJSTVO IN OKOLJE</w:t>
            </w:r>
            <w:r w:rsidRPr="00F64910">
              <w:rPr>
                <w:b/>
                <w:color w:val="FFFFFF"/>
              </w:rPr>
              <w:t xml:space="preserve">/ CLUSTER </w:t>
            </w:r>
            <w:r>
              <w:rPr>
                <w:b/>
                <w:color w:val="FFFFFF"/>
              </w:rPr>
              <w:t>BIOECONOMY, FOOD, NATURAL RESOURCES, AGRICULTURE AND ENVIRONMENT</w:t>
            </w:r>
          </w:p>
        </w:tc>
      </w:tr>
      <w:tr w:rsidR="00D17880" w:rsidRPr="00F64910" w:rsidTr="00D17880">
        <w:tc>
          <w:tcPr>
            <w:tcW w:w="5387" w:type="dxa"/>
            <w:shd w:val="clear" w:color="auto" w:fill="FFF2CC"/>
            <w:vAlign w:val="center"/>
          </w:tcPr>
          <w:p w:rsidR="00714751" w:rsidRDefault="00714751" w:rsidP="00A96EEA">
            <w:pPr>
              <w:rPr>
                <w:b/>
              </w:rPr>
            </w:pPr>
            <w:r>
              <w:rPr>
                <w:b/>
              </w:rPr>
              <w:t>27. P</w:t>
            </w:r>
            <w:r w:rsidRPr="00E37182">
              <w:rPr>
                <w:b/>
              </w:rPr>
              <w:t>ospeševanje</w:t>
            </w:r>
            <w:r w:rsidRPr="00E37182">
              <w:t xml:space="preserve"> </w:t>
            </w:r>
            <w:r>
              <w:rPr>
                <w:b/>
              </w:rPr>
              <w:t>prehoda kmetijskih sistemov</w:t>
            </w:r>
          </w:p>
          <w:p w:rsidR="00714751" w:rsidRDefault="00714751" w:rsidP="00A96EEA">
            <w:r>
              <w:t>(</w:t>
            </w:r>
            <w:proofErr w:type="spellStart"/>
            <w:r w:rsidRPr="00E37182">
              <w:t>Accelerating</w:t>
            </w:r>
            <w:proofErr w:type="spellEnd"/>
            <w:r w:rsidRPr="00E37182">
              <w:t xml:space="preserve"> </w:t>
            </w:r>
            <w:proofErr w:type="spellStart"/>
            <w:r w:rsidRPr="00E37182">
              <w:t>farming</w:t>
            </w:r>
            <w:proofErr w:type="spellEnd"/>
            <w:r w:rsidRPr="00E37182">
              <w:t xml:space="preserve"> </w:t>
            </w:r>
            <w:proofErr w:type="spellStart"/>
            <w:r w:rsidRPr="00E37182">
              <w:t>systems</w:t>
            </w:r>
            <w:proofErr w:type="spellEnd"/>
            <w:r w:rsidRPr="00E37182">
              <w:t xml:space="preserve"> </w:t>
            </w:r>
            <w:proofErr w:type="spellStart"/>
            <w:r w:rsidRPr="00E37182">
              <w:t>transition</w:t>
            </w:r>
            <w:proofErr w:type="spellEnd"/>
            <w:r w:rsidRPr="00E37182">
              <w:t xml:space="preserve">: </w:t>
            </w:r>
            <w:proofErr w:type="spellStart"/>
            <w:r w:rsidRPr="00E37182">
              <w:t>agro-ecology</w:t>
            </w:r>
            <w:proofErr w:type="spellEnd"/>
            <w:r w:rsidRPr="00E37182">
              <w:t xml:space="preserve"> </w:t>
            </w:r>
            <w:proofErr w:type="spellStart"/>
            <w:r w:rsidRPr="00E37182">
              <w:t>living</w:t>
            </w:r>
            <w:proofErr w:type="spellEnd"/>
            <w:r w:rsidRPr="00E37182">
              <w:t xml:space="preserve"> </w:t>
            </w:r>
            <w:proofErr w:type="spellStart"/>
            <w:r w:rsidRPr="00E37182">
              <w:t>labs</w:t>
            </w:r>
            <w:proofErr w:type="spellEnd"/>
            <w:r w:rsidRPr="00E37182">
              <w:t xml:space="preserve"> and research </w:t>
            </w:r>
            <w:proofErr w:type="spellStart"/>
            <w:r w:rsidRPr="00E37182">
              <w:t>infrastructures</w:t>
            </w:r>
            <w:proofErr w:type="spellEnd"/>
            <w:r>
              <w:t>)</w:t>
            </w:r>
          </w:p>
          <w:p w:rsidR="00714751" w:rsidRDefault="00714751" w:rsidP="00A96EEA"/>
          <w:p w:rsidR="00714751" w:rsidRPr="00E37182" w:rsidRDefault="00714751" w:rsidP="00A96EEA">
            <w:r w:rsidRPr="00E37182">
              <w:t>Partnerstvo bo omogočilo razumevanje kratkih do dolgoročnih</w:t>
            </w:r>
            <w:r>
              <w:t xml:space="preserve"> </w:t>
            </w:r>
            <w:proofErr w:type="spellStart"/>
            <w:r w:rsidRPr="00E37182">
              <w:t>agro</w:t>
            </w:r>
            <w:proofErr w:type="spellEnd"/>
            <w:r>
              <w:t>-</w:t>
            </w:r>
            <w:r w:rsidRPr="00E37182">
              <w:t>ekološki proces</w:t>
            </w:r>
            <w:r>
              <w:t>ov</w:t>
            </w:r>
            <w:r w:rsidRPr="00E37182">
              <w:t xml:space="preserve"> na krajinski ravni</w:t>
            </w:r>
          </w:p>
          <w:p w:rsidR="00714751" w:rsidRPr="00F64910" w:rsidRDefault="00714751" w:rsidP="00A96EEA">
            <w:r w:rsidRPr="00E37182">
              <w:t>in pospeši</w:t>
            </w:r>
            <w:r>
              <w:t>l</w:t>
            </w:r>
            <w:r w:rsidRPr="00E37182">
              <w:t>o prehod k trajnostnemu</w:t>
            </w:r>
            <w:r>
              <w:t xml:space="preserve"> </w:t>
            </w:r>
            <w:r w:rsidRPr="00E37182">
              <w:t>podnebju in okolju prijazn</w:t>
            </w:r>
            <w:r>
              <w:t xml:space="preserve">emu kmetovanju, </w:t>
            </w:r>
            <w:r w:rsidRPr="00E37182">
              <w:t xml:space="preserve">s spodbujanjem inovacij </w:t>
            </w:r>
            <w:r>
              <w:t xml:space="preserve">in </w:t>
            </w:r>
            <w:r w:rsidRPr="00E37182">
              <w:t>soustvarja</w:t>
            </w:r>
            <w:r>
              <w:t xml:space="preserve">njem </w:t>
            </w:r>
            <w:r w:rsidRPr="00E37182">
              <w:t>okolje, ki pospešuje</w:t>
            </w:r>
            <w:r>
              <w:t xml:space="preserve"> </w:t>
            </w:r>
            <w:r w:rsidRPr="00E37182">
              <w:t>spreje</w:t>
            </w:r>
            <w:r>
              <w:t xml:space="preserve">manje </w:t>
            </w:r>
            <w:r w:rsidRPr="00E37182">
              <w:t>inovacij s strani kmetov in drug</w:t>
            </w:r>
            <w:r>
              <w:t>ih akterjev</w:t>
            </w:r>
            <w:r w:rsidRPr="00E37182">
              <w:t>.</w:t>
            </w:r>
          </w:p>
        </w:tc>
        <w:tc>
          <w:tcPr>
            <w:tcW w:w="1560" w:type="dxa"/>
            <w:shd w:val="clear" w:color="auto" w:fill="FFF2CC"/>
            <w:vAlign w:val="center"/>
          </w:tcPr>
          <w:p w:rsidR="00714751" w:rsidRPr="00F64910" w:rsidRDefault="00714751" w:rsidP="00A96EEA">
            <w:pPr>
              <w:jc w:val="center"/>
            </w:pPr>
            <w:r>
              <w:t>/</w:t>
            </w:r>
          </w:p>
        </w:tc>
        <w:tc>
          <w:tcPr>
            <w:tcW w:w="2268" w:type="dxa"/>
            <w:shd w:val="clear" w:color="auto" w:fill="FFF2CC"/>
            <w:vAlign w:val="center"/>
          </w:tcPr>
          <w:p w:rsidR="00714751" w:rsidRPr="00F64910" w:rsidRDefault="00714751" w:rsidP="00A96EEA">
            <w:r>
              <w:t>DČ/PČ (</w:t>
            </w:r>
            <w:r w:rsidRPr="00F64910">
              <w:t>raziskovalne financerske organizacije</w:t>
            </w:r>
            <w:r>
              <w:t xml:space="preserve"> in regionalni centri)</w:t>
            </w:r>
          </w:p>
        </w:tc>
        <w:tc>
          <w:tcPr>
            <w:tcW w:w="1275" w:type="dxa"/>
            <w:shd w:val="clear" w:color="auto" w:fill="FFF2CC"/>
            <w:vAlign w:val="center"/>
          </w:tcPr>
          <w:p w:rsidR="00714751" w:rsidRDefault="00714751" w:rsidP="00A96EEA">
            <w:pPr>
              <w:jc w:val="center"/>
            </w:pPr>
            <w:r>
              <w:t xml:space="preserve">MKGP, </w:t>
            </w:r>
          </w:p>
          <w:p w:rsidR="00714751" w:rsidRDefault="00714751" w:rsidP="00A96EEA">
            <w:pPr>
              <w:jc w:val="center"/>
            </w:pPr>
            <w:r>
              <w:t xml:space="preserve">MOP, </w:t>
            </w:r>
          </w:p>
          <w:p w:rsidR="00714751" w:rsidRPr="00F64910" w:rsidRDefault="00714751" w:rsidP="00A96EEA">
            <w:pPr>
              <w:jc w:val="center"/>
            </w:pPr>
            <w:r>
              <w:t>MGRT</w:t>
            </w:r>
          </w:p>
        </w:tc>
      </w:tr>
      <w:tr w:rsidR="00D17880" w:rsidRPr="00F64910" w:rsidTr="00D17880">
        <w:tc>
          <w:tcPr>
            <w:tcW w:w="5387" w:type="dxa"/>
            <w:shd w:val="clear" w:color="auto" w:fill="FFF2CC"/>
            <w:vAlign w:val="center"/>
          </w:tcPr>
          <w:p w:rsidR="00714751" w:rsidRPr="00E37182" w:rsidRDefault="00714751" w:rsidP="00A96EEA">
            <w:pPr>
              <w:rPr>
                <w:b/>
              </w:rPr>
            </w:pPr>
            <w:r w:rsidRPr="00E37182">
              <w:rPr>
                <w:b/>
              </w:rPr>
              <w:t>28. Zdravje živali</w:t>
            </w:r>
          </w:p>
          <w:p w:rsidR="00714751" w:rsidRDefault="00714751" w:rsidP="00A96EEA">
            <w:r>
              <w:t>(</w:t>
            </w:r>
            <w:proofErr w:type="spellStart"/>
            <w:r>
              <w:t>Animal</w:t>
            </w:r>
            <w:proofErr w:type="spellEnd"/>
            <w:r>
              <w:t xml:space="preserve"> </w:t>
            </w:r>
            <w:proofErr w:type="spellStart"/>
            <w:r>
              <w:t>Health</w:t>
            </w:r>
            <w:proofErr w:type="spellEnd"/>
            <w:r w:rsidRPr="00E37182">
              <w:t xml:space="preserve">: </w:t>
            </w:r>
            <w:proofErr w:type="spellStart"/>
            <w:r w:rsidRPr="00E37182">
              <w:t>Fighting</w:t>
            </w:r>
            <w:proofErr w:type="spellEnd"/>
            <w:r w:rsidRPr="00E37182">
              <w:t xml:space="preserve"> </w:t>
            </w:r>
            <w:proofErr w:type="spellStart"/>
            <w:r w:rsidRPr="00E37182">
              <w:t>infectious</w:t>
            </w:r>
            <w:proofErr w:type="spellEnd"/>
            <w:r w:rsidRPr="00E37182">
              <w:t xml:space="preserve"> </w:t>
            </w:r>
            <w:proofErr w:type="spellStart"/>
            <w:r w:rsidRPr="00E37182">
              <w:t>diseases</w:t>
            </w:r>
            <w:proofErr w:type="spellEnd"/>
            <w:r w:rsidRPr="00E37182">
              <w:t>)</w:t>
            </w:r>
          </w:p>
          <w:p w:rsidR="00714751" w:rsidRDefault="00714751" w:rsidP="00A96EEA"/>
          <w:p w:rsidR="00714751" w:rsidRPr="00F64910" w:rsidRDefault="00714751" w:rsidP="00A96EEA">
            <w:r w:rsidRPr="00E37182">
              <w:t>Pa</w:t>
            </w:r>
            <w:r>
              <w:t>rtnerstvo želi doseči trajnostne</w:t>
            </w:r>
            <w:r w:rsidRPr="00E37182">
              <w:t xml:space="preserve"> in</w:t>
            </w:r>
            <w:r>
              <w:t xml:space="preserve"> </w:t>
            </w:r>
            <w:r w:rsidRPr="00E37182">
              <w:t xml:space="preserve">inovativne rešitve za boj proti </w:t>
            </w:r>
            <w:r>
              <w:t xml:space="preserve">nalezljivim bolezni </w:t>
            </w:r>
            <w:r w:rsidRPr="00E37182">
              <w:t>živali, vključno s tistimi, ki se prenašajo med</w:t>
            </w:r>
            <w:r>
              <w:t xml:space="preserve"> </w:t>
            </w:r>
            <w:r w:rsidRPr="00E37182">
              <w:t>živali in ljud</w:t>
            </w:r>
            <w:r>
              <w:t>m</w:t>
            </w:r>
            <w:r w:rsidRPr="00E37182">
              <w:t>i (zoonoze) in prispevati</w:t>
            </w:r>
            <w:r>
              <w:t xml:space="preserve"> k </w:t>
            </w:r>
            <w:r w:rsidRPr="00E37182">
              <w:t>boj</w:t>
            </w:r>
            <w:r>
              <w:t>u</w:t>
            </w:r>
            <w:r w:rsidRPr="00E37182">
              <w:t xml:space="preserve"> proti protimikrobni odpornosti,</w:t>
            </w:r>
            <w:r>
              <w:t xml:space="preserve"> ter </w:t>
            </w:r>
            <w:r w:rsidRPr="00E37182">
              <w:t xml:space="preserve">izvajanje koncepta One </w:t>
            </w:r>
            <w:proofErr w:type="spellStart"/>
            <w:r w:rsidRPr="00E37182">
              <w:t>Health</w:t>
            </w:r>
            <w:proofErr w:type="spellEnd"/>
            <w:r>
              <w:t xml:space="preserve">, ter </w:t>
            </w:r>
            <w:r w:rsidRPr="00FE2D8F">
              <w:t>podpirati trajnostno</w:t>
            </w:r>
            <w:r>
              <w:t xml:space="preserve"> </w:t>
            </w:r>
            <w:r w:rsidRPr="00FE2D8F">
              <w:t>proizvodnjo živali, zmanjšati</w:t>
            </w:r>
            <w:r>
              <w:t xml:space="preserve"> </w:t>
            </w:r>
            <w:r w:rsidRPr="00FE2D8F">
              <w:t xml:space="preserve">trgovinske ovire in </w:t>
            </w:r>
            <w:r>
              <w:t xml:space="preserve">skrbeti </w:t>
            </w:r>
            <w:proofErr w:type="spellStart"/>
            <w:r>
              <w:t>za</w:t>
            </w:r>
            <w:r w:rsidRPr="00FE2D8F">
              <w:t>varstvo</w:t>
            </w:r>
            <w:proofErr w:type="spellEnd"/>
            <w:r w:rsidRPr="00FE2D8F">
              <w:t xml:space="preserve"> potrošnikov.</w:t>
            </w:r>
          </w:p>
        </w:tc>
        <w:tc>
          <w:tcPr>
            <w:tcW w:w="1560" w:type="dxa"/>
            <w:shd w:val="clear" w:color="auto" w:fill="FFF2CC"/>
            <w:vAlign w:val="center"/>
          </w:tcPr>
          <w:p w:rsidR="00714751" w:rsidRPr="00F64910" w:rsidRDefault="00714751" w:rsidP="00A96EEA">
            <w:pPr>
              <w:jc w:val="center"/>
            </w:pPr>
            <w:r>
              <w:t>Nekaj ERA-NET Cofund aktivnosti</w:t>
            </w:r>
          </w:p>
        </w:tc>
        <w:tc>
          <w:tcPr>
            <w:tcW w:w="2268" w:type="dxa"/>
            <w:shd w:val="clear" w:color="auto" w:fill="FFF2CC"/>
            <w:vAlign w:val="center"/>
          </w:tcPr>
          <w:p w:rsidR="00714751" w:rsidRPr="00F64910" w:rsidRDefault="00714751" w:rsidP="00A96EEA">
            <w:r>
              <w:t>Ali SČ/PČ ali industrija in regulativne agencije</w:t>
            </w:r>
          </w:p>
        </w:tc>
        <w:tc>
          <w:tcPr>
            <w:tcW w:w="1275" w:type="dxa"/>
            <w:shd w:val="clear" w:color="auto" w:fill="FFF2CC"/>
            <w:vAlign w:val="center"/>
          </w:tcPr>
          <w:p w:rsidR="00714751" w:rsidRDefault="00714751" w:rsidP="00A96EEA">
            <w:pPr>
              <w:jc w:val="center"/>
            </w:pPr>
            <w:r>
              <w:t xml:space="preserve">MKGP, </w:t>
            </w:r>
          </w:p>
          <w:p w:rsidR="00714751" w:rsidRDefault="00714751" w:rsidP="00A96EEA">
            <w:pPr>
              <w:jc w:val="center"/>
            </w:pPr>
            <w:r>
              <w:t xml:space="preserve">MOP, </w:t>
            </w:r>
          </w:p>
          <w:p w:rsidR="00714751" w:rsidRPr="00F64910" w:rsidRDefault="00714751" w:rsidP="00A96EEA">
            <w:pPr>
              <w:jc w:val="center"/>
            </w:pPr>
            <w:r>
              <w:t>MZ</w:t>
            </w:r>
          </w:p>
        </w:tc>
      </w:tr>
      <w:tr w:rsidR="00D17880" w:rsidRPr="00F64910" w:rsidTr="00D17880">
        <w:tc>
          <w:tcPr>
            <w:tcW w:w="5387" w:type="dxa"/>
            <w:shd w:val="clear" w:color="auto" w:fill="auto"/>
            <w:vAlign w:val="center"/>
          </w:tcPr>
          <w:p w:rsidR="00714751" w:rsidRPr="00FE2D8F" w:rsidRDefault="00714751" w:rsidP="00A96EEA">
            <w:pPr>
              <w:rPr>
                <w:b/>
              </w:rPr>
            </w:pPr>
            <w:r w:rsidRPr="00FE2D8F">
              <w:rPr>
                <w:b/>
              </w:rPr>
              <w:t>29. Opazovanje okolja za trajnostno kmetijstvo EU</w:t>
            </w:r>
          </w:p>
          <w:p w:rsidR="00714751" w:rsidRPr="00FE2D8F" w:rsidRDefault="00714751" w:rsidP="00A96EEA">
            <w:r>
              <w:t>(</w:t>
            </w:r>
            <w:proofErr w:type="spellStart"/>
            <w:r w:rsidRPr="00FE2D8F">
              <w:t>Environmental</w:t>
            </w:r>
            <w:proofErr w:type="spellEnd"/>
            <w:r w:rsidRPr="00FE2D8F">
              <w:t xml:space="preserve"> </w:t>
            </w:r>
            <w:proofErr w:type="spellStart"/>
            <w:r w:rsidRPr="00FE2D8F">
              <w:t>Observations</w:t>
            </w:r>
            <w:proofErr w:type="spellEnd"/>
            <w:r w:rsidRPr="00FE2D8F">
              <w:t xml:space="preserve"> for a </w:t>
            </w:r>
            <w:proofErr w:type="spellStart"/>
            <w:r w:rsidRPr="00FE2D8F">
              <w:t>sustainable</w:t>
            </w:r>
            <w:proofErr w:type="spellEnd"/>
          </w:p>
          <w:p w:rsidR="00714751" w:rsidRDefault="00714751" w:rsidP="00A96EEA">
            <w:r w:rsidRPr="00FE2D8F">
              <w:t xml:space="preserve">EU </w:t>
            </w:r>
            <w:proofErr w:type="spellStart"/>
            <w:r w:rsidRPr="00FE2D8F">
              <w:t>agriculture</w:t>
            </w:r>
            <w:proofErr w:type="spellEnd"/>
            <w:r>
              <w:t>)</w:t>
            </w:r>
          </w:p>
          <w:p w:rsidR="00714751" w:rsidRDefault="00714751" w:rsidP="00A96EEA"/>
          <w:p w:rsidR="00714751" w:rsidRPr="00FE2D8F" w:rsidRDefault="00714751" w:rsidP="00A96EEA">
            <w:r w:rsidRPr="00FE2D8F">
              <w:t>Cilj pobude je podpreti</w:t>
            </w:r>
            <w:r>
              <w:t xml:space="preserve"> </w:t>
            </w:r>
            <w:r w:rsidRPr="00FE2D8F">
              <w:t xml:space="preserve">zagotavljanje trajnostne </w:t>
            </w:r>
            <w:r>
              <w:t>CAP</w:t>
            </w:r>
            <w:r w:rsidRPr="00FE2D8F">
              <w:t>. To bo storjeno</w:t>
            </w:r>
            <w:r>
              <w:t xml:space="preserve"> </w:t>
            </w:r>
            <w:r w:rsidRPr="00FE2D8F">
              <w:t>z izboljšanjem kmetijskih praks</w:t>
            </w:r>
            <w:r>
              <w:t xml:space="preserve"> </w:t>
            </w:r>
            <w:r w:rsidRPr="00FE2D8F">
              <w:t>in donosnost</w:t>
            </w:r>
            <w:r>
              <w:t>i</w:t>
            </w:r>
            <w:r w:rsidRPr="00FE2D8F">
              <w:t xml:space="preserve"> kmetij z uporabo </w:t>
            </w:r>
            <w:r>
              <w:t xml:space="preserve">trenutnih </w:t>
            </w:r>
            <w:r w:rsidRPr="00FE2D8F">
              <w:t>možnosti</w:t>
            </w:r>
            <w:r>
              <w:t xml:space="preserve"> </w:t>
            </w:r>
            <w:r w:rsidRPr="00FE2D8F">
              <w:t>digitaln</w:t>
            </w:r>
            <w:r>
              <w:t>ih / podatkovnih</w:t>
            </w:r>
            <w:r w:rsidRPr="00FE2D8F">
              <w:t xml:space="preserve"> tehnik na področju EO</w:t>
            </w:r>
            <w:r>
              <w:t xml:space="preserve">. </w:t>
            </w:r>
            <w:r w:rsidRPr="00FE2D8F">
              <w:t>V skladu z digitalizacijo EU</w:t>
            </w:r>
            <w:r>
              <w:t xml:space="preserve"> </w:t>
            </w:r>
            <w:r w:rsidRPr="00FE2D8F">
              <w:t>kmetijsk</w:t>
            </w:r>
            <w:r>
              <w:t>ega</w:t>
            </w:r>
            <w:r w:rsidRPr="00FE2D8F">
              <w:t xml:space="preserve"> sektor</w:t>
            </w:r>
            <w:r>
              <w:t>ja</w:t>
            </w:r>
            <w:r w:rsidRPr="00FE2D8F">
              <w:t xml:space="preserve">, </w:t>
            </w:r>
            <w:r>
              <w:t xml:space="preserve">se bo razvilo </w:t>
            </w:r>
            <w:r w:rsidRPr="00FE2D8F">
              <w:t>nove storitve in aplikacije</w:t>
            </w:r>
            <w:r>
              <w:t xml:space="preserve">, ki </w:t>
            </w:r>
            <w:r w:rsidRPr="00FE2D8F">
              <w:t>bodo</w:t>
            </w:r>
            <w:r>
              <w:t xml:space="preserve"> o</w:t>
            </w:r>
            <w:r w:rsidRPr="00FE2D8F">
              <w:t>mogoča</w:t>
            </w:r>
            <w:r>
              <w:t>le učinkovitejši</w:t>
            </w:r>
            <w:r w:rsidRPr="00FE2D8F">
              <w:t>,</w:t>
            </w:r>
          </w:p>
          <w:p w:rsidR="00714751" w:rsidRPr="00F64910" w:rsidRDefault="00714751" w:rsidP="00A96EEA">
            <w:r w:rsidRPr="00FE2D8F">
              <w:t>okolju prijazen in donosen</w:t>
            </w:r>
            <w:r>
              <w:t xml:space="preserve"> proizvodni sistem.</w:t>
            </w:r>
          </w:p>
        </w:tc>
        <w:tc>
          <w:tcPr>
            <w:tcW w:w="1560" w:type="dxa"/>
            <w:shd w:val="clear" w:color="auto" w:fill="auto"/>
            <w:vAlign w:val="center"/>
          </w:tcPr>
          <w:p w:rsidR="00714751" w:rsidRPr="00F64910" w:rsidRDefault="00714751" w:rsidP="00A96EEA">
            <w:pPr>
              <w:jc w:val="center"/>
            </w:pPr>
            <w:proofErr w:type="spellStart"/>
            <w:r>
              <w:t>EuroGEOSS</w:t>
            </w:r>
            <w:proofErr w:type="spellEnd"/>
          </w:p>
        </w:tc>
        <w:tc>
          <w:tcPr>
            <w:tcW w:w="2268" w:type="dxa"/>
            <w:shd w:val="clear" w:color="auto" w:fill="auto"/>
            <w:vAlign w:val="center"/>
          </w:tcPr>
          <w:p w:rsidR="00714751" w:rsidRPr="00F64910" w:rsidRDefault="00714751" w:rsidP="00A96EEA">
            <w:r>
              <w:t>DČ/PČ (</w:t>
            </w:r>
            <w:r w:rsidRPr="00F64910">
              <w:t>raziskovalne financerske organizacije</w:t>
            </w:r>
            <w:r>
              <w:t xml:space="preserve"> in regionalni centri)</w:t>
            </w:r>
          </w:p>
        </w:tc>
        <w:tc>
          <w:tcPr>
            <w:tcW w:w="1275" w:type="dxa"/>
            <w:shd w:val="clear" w:color="auto" w:fill="auto"/>
            <w:vAlign w:val="center"/>
          </w:tcPr>
          <w:p w:rsidR="00714751" w:rsidRDefault="00714751" w:rsidP="00A96EEA">
            <w:pPr>
              <w:jc w:val="center"/>
            </w:pPr>
            <w:r>
              <w:t xml:space="preserve">MGRT, </w:t>
            </w:r>
          </w:p>
          <w:p w:rsidR="00714751" w:rsidRDefault="00714751" w:rsidP="00A96EEA">
            <w:pPr>
              <w:jc w:val="center"/>
            </w:pPr>
            <w:r>
              <w:t xml:space="preserve">MKGP, </w:t>
            </w:r>
          </w:p>
          <w:p w:rsidR="00714751" w:rsidRPr="00F64910" w:rsidRDefault="00714751" w:rsidP="00A96EEA">
            <w:pPr>
              <w:jc w:val="center"/>
            </w:pPr>
            <w:r>
              <w:t>MOP</w:t>
            </w:r>
          </w:p>
        </w:tc>
      </w:tr>
      <w:tr w:rsidR="00D17880" w:rsidRPr="00F64910" w:rsidTr="00D17880">
        <w:tc>
          <w:tcPr>
            <w:tcW w:w="5387" w:type="dxa"/>
            <w:shd w:val="clear" w:color="auto" w:fill="FFF2CC"/>
            <w:vAlign w:val="center"/>
          </w:tcPr>
          <w:p w:rsidR="00714751" w:rsidRPr="00FE2D8F" w:rsidRDefault="00714751" w:rsidP="00A96EEA">
            <w:pPr>
              <w:rPr>
                <w:b/>
              </w:rPr>
            </w:pPr>
            <w:r w:rsidRPr="00FE2D8F">
              <w:rPr>
                <w:b/>
              </w:rPr>
              <w:t>30. Reševanje biotske raznovrstnosti za zaščit</w:t>
            </w:r>
            <w:r>
              <w:rPr>
                <w:b/>
              </w:rPr>
              <w:t>a</w:t>
            </w:r>
            <w:r w:rsidRPr="00FE2D8F">
              <w:rPr>
                <w:b/>
              </w:rPr>
              <w:t xml:space="preserve"> življenja</w:t>
            </w:r>
          </w:p>
          <w:p w:rsidR="00714751" w:rsidRPr="00FE2D8F" w:rsidRDefault="00714751" w:rsidP="00A96EEA">
            <w:pPr>
              <w:rPr>
                <w:b/>
              </w:rPr>
            </w:pPr>
            <w:r w:rsidRPr="00FE2D8F">
              <w:rPr>
                <w:b/>
              </w:rPr>
              <w:t>na Zemlji</w:t>
            </w:r>
          </w:p>
          <w:p w:rsidR="00714751" w:rsidRDefault="00714751" w:rsidP="00A96EEA">
            <w:r>
              <w:lastRenderedPageBreak/>
              <w:t>(</w:t>
            </w:r>
            <w:proofErr w:type="spellStart"/>
            <w:r w:rsidRPr="00FE2D8F">
              <w:t>Rescuing</w:t>
            </w:r>
            <w:proofErr w:type="spellEnd"/>
            <w:r w:rsidRPr="00FE2D8F">
              <w:t xml:space="preserve"> </w:t>
            </w:r>
            <w:proofErr w:type="spellStart"/>
            <w:r w:rsidRPr="00FE2D8F">
              <w:t>biodiversity</w:t>
            </w:r>
            <w:proofErr w:type="spellEnd"/>
            <w:r w:rsidRPr="00FE2D8F">
              <w:t xml:space="preserve"> to </w:t>
            </w:r>
            <w:proofErr w:type="spellStart"/>
            <w:r w:rsidRPr="00FE2D8F">
              <w:t>safeguard</w:t>
            </w:r>
            <w:proofErr w:type="spellEnd"/>
            <w:r w:rsidRPr="00FE2D8F">
              <w:t xml:space="preserve"> </w:t>
            </w:r>
            <w:proofErr w:type="spellStart"/>
            <w:r w:rsidRPr="00FE2D8F">
              <w:t>life</w:t>
            </w:r>
            <w:proofErr w:type="spellEnd"/>
            <w:r>
              <w:t xml:space="preserve"> </w:t>
            </w:r>
            <w:r w:rsidRPr="00FE2D8F">
              <w:t xml:space="preserve">on </w:t>
            </w:r>
            <w:proofErr w:type="spellStart"/>
            <w:r w:rsidRPr="00FE2D8F">
              <w:t>Earth</w:t>
            </w:r>
            <w:proofErr w:type="spellEnd"/>
            <w:r>
              <w:t>)</w:t>
            </w:r>
          </w:p>
          <w:p w:rsidR="00714751" w:rsidRDefault="00714751" w:rsidP="00A96EEA"/>
          <w:p w:rsidR="00714751" w:rsidRPr="00FE2D8F" w:rsidRDefault="00714751" w:rsidP="00A96EEA">
            <w:r w:rsidRPr="00FE2D8F">
              <w:t>Zaustavitev izgube biotske raznovrstnosti, vzdrževanje in</w:t>
            </w:r>
          </w:p>
          <w:p w:rsidR="00714751" w:rsidRPr="00FE2D8F" w:rsidRDefault="00714751" w:rsidP="00A96EEA">
            <w:r w:rsidRPr="00FE2D8F">
              <w:t>obnova naravnega kapitala je bistvenega pomena za</w:t>
            </w:r>
          </w:p>
          <w:p w:rsidR="00714751" w:rsidRPr="00F64910" w:rsidRDefault="00714751" w:rsidP="00A96EEA">
            <w:r w:rsidRPr="00FE2D8F">
              <w:t>prehod v trajnost, podneb</w:t>
            </w:r>
            <w:r>
              <w:t xml:space="preserve">no </w:t>
            </w:r>
            <w:r w:rsidRPr="00FE2D8F">
              <w:t>nevtralnost in za spoštovanje planetarn</w:t>
            </w:r>
            <w:r>
              <w:t>ih omejitev</w:t>
            </w:r>
            <w:r w:rsidRPr="00FE2D8F">
              <w:t>. Cilj tega partnerstva je uvajanje</w:t>
            </w:r>
            <w:r>
              <w:t xml:space="preserve"> </w:t>
            </w:r>
            <w:r w:rsidRPr="00FE2D8F">
              <w:t>rešitve za zaustavitev mas</w:t>
            </w:r>
            <w:r>
              <w:t xml:space="preserve">ovnih </w:t>
            </w:r>
            <w:r w:rsidRPr="00FE2D8F">
              <w:t>izumrt</w:t>
            </w:r>
            <w:r>
              <w:t>i</w:t>
            </w:r>
            <w:r w:rsidRPr="00FE2D8F">
              <w:t>j vrst, ki jih povzroča človek</w:t>
            </w:r>
            <w:r>
              <w:t xml:space="preserve">. </w:t>
            </w:r>
          </w:p>
        </w:tc>
        <w:tc>
          <w:tcPr>
            <w:tcW w:w="1560" w:type="dxa"/>
            <w:shd w:val="clear" w:color="auto" w:fill="FFF2CC"/>
            <w:vAlign w:val="center"/>
          </w:tcPr>
          <w:p w:rsidR="00714751" w:rsidRDefault="00714751" w:rsidP="00A96EEA">
            <w:pPr>
              <w:jc w:val="center"/>
            </w:pPr>
            <w:r>
              <w:lastRenderedPageBreak/>
              <w:t xml:space="preserve">ERA-NET: </w:t>
            </w:r>
            <w:proofErr w:type="spellStart"/>
            <w:r>
              <w:t>Biodiversity</w:t>
            </w:r>
            <w:proofErr w:type="spellEnd"/>
            <w:r>
              <w:t xml:space="preserve">, </w:t>
            </w:r>
          </w:p>
          <w:p w:rsidR="00714751" w:rsidRPr="00F64910" w:rsidRDefault="00714751" w:rsidP="00A96EEA">
            <w:pPr>
              <w:jc w:val="center"/>
            </w:pPr>
            <w:r>
              <w:lastRenderedPageBreak/>
              <w:t>EKLIPSE, ESMERALDA</w:t>
            </w:r>
          </w:p>
        </w:tc>
        <w:tc>
          <w:tcPr>
            <w:tcW w:w="2268" w:type="dxa"/>
            <w:shd w:val="clear" w:color="auto" w:fill="FFF2CC"/>
            <w:vAlign w:val="center"/>
          </w:tcPr>
          <w:p w:rsidR="00714751" w:rsidRPr="00F64910" w:rsidRDefault="00714751" w:rsidP="00A96EEA">
            <w:r>
              <w:lastRenderedPageBreak/>
              <w:t>DČ/PČ (</w:t>
            </w:r>
            <w:r w:rsidRPr="00F64910">
              <w:t xml:space="preserve">raziskovalne financerske </w:t>
            </w:r>
            <w:r w:rsidRPr="00F64910">
              <w:lastRenderedPageBreak/>
              <w:t>organizacije</w:t>
            </w:r>
            <w:r>
              <w:t xml:space="preserve"> in regionalni centri)</w:t>
            </w:r>
          </w:p>
        </w:tc>
        <w:tc>
          <w:tcPr>
            <w:tcW w:w="1275" w:type="dxa"/>
            <w:shd w:val="clear" w:color="auto" w:fill="FFF2CC"/>
            <w:vAlign w:val="center"/>
          </w:tcPr>
          <w:p w:rsidR="00714751" w:rsidRPr="00F64910" w:rsidRDefault="00714751" w:rsidP="00A96EEA">
            <w:pPr>
              <w:jc w:val="center"/>
            </w:pPr>
            <w:r>
              <w:lastRenderedPageBreak/>
              <w:t>MOP</w:t>
            </w:r>
          </w:p>
        </w:tc>
      </w:tr>
      <w:tr w:rsidR="00D17880" w:rsidRPr="00F64910" w:rsidTr="00D17880">
        <w:tc>
          <w:tcPr>
            <w:tcW w:w="5387" w:type="dxa"/>
            <w:shd w:val="clear" w:color="auto" w:fill="auto"/>
            <w:vAlign w:val="center"/>
          </w:tcPr>
          <w:p w:rsidR="00714751" w:rsidRPr="0042695D" w:rsidRDefault="00714751" w:rsidP="00A96EEA">
            <w:pPr>
              <w:rPr>
                <w:b/>
              </w:rPr>
            </w:pPr>
            <w:r w:rsidRPr="0042695D">
              <w:rPr>
                <w:b/>
              </w:rPr>
              <w:t>31. Podnebno</w:t>
            </w:r>
            <w:r>
              <w:rPr>
                <w:b/>
              </w:rPr>
              <w:t xml:space="preserve"> nevtralno, trajnostno in p</w:t>
            </w:r>
            <w:r w:rsidRPr="0042695D">
              <w:rPr>
                <w:b/>
              </w:rPr>
              <w:t>roduktivno modro gospodarstvo</w:t>
            </w:r>
          </w:p>
          <w:p w:rsidR="00714751" w:rsidRDefault="00714751" w:rsidP="00A96EEA">
            <w:r>
              <w:t>(</w:t>
            </w:r>
            <w:r w:rsidRPr="0042695D">
              <w:t xml:space="preserve">A </w:t>
            </w:r>
            <w:proofErr w:type="spellStart"/>
            <w:r w:rsidRPr="0042695D">
              <w:t>climate</w:t>
            </w:r>
            <w:proofErr w:type="spellEnd"/>
            <w:r w:rsidRPr="0042695D">
              <w:t xml:space="preserve"> </w:t>
            </w:r>
            <w:proofErr w:type="spellStart"/>
            <w:r w:rsidRPr="0042695D">
              <w:t>neutral</w:t>
            </w:r>
            <w:proofErr w:type="spellEnd"/>
            <w:r w:rsidRPr="0042695D">
              <w:t xml:space="preserve">, </w:t>
            </w:r>
            <w:proofErr w:type="spellStart"/>
            <w:r w:rsidRPr="0042695D">
              <w:t>sustainable</w:t>
            </w:r>
            <w:proofErr w:type="spellEnd"/>
            <w:r w:rsidRPr="0042695D">
              <w:t xml:space="preserve"> and</w:t>
            </w:r>
            <w:r>
              <w:t xml:space="preserve"> </w:t>
            </w:r>
            <w:proofErr w:type="spellStart"/>
            <w:r w:rsidRPr="0042695D">
              <w:t>productive</w:t>
            </w:r>
            <w:proofErr w:type="spellEnd"/>
            <w:r w:rsidRPr="0042695D">
              <w:t xml:space="preserve"> </w:t>
            </w:r>
            <w:proofErr w:type="spellStart"/>
            <w:r w:rsidRPr="0042695D">
              <w:t>Blue</w:t>
            </w:r>
            <w:proofErr w:type="spellEnd"/>
            <w:r w:rsidRPr="0042695D">
              <w:t xml:space="preserve"> </w:t>
            </w:r>
            <w:proofErr w:type="spellStart"/>
            <w:r w:rsidRPr="0042695D">
              <w:t>Economy</w:t>
            </w:r>
            <w:proofErr w:type="spellEnd"/>
            <w:r>
              <w:t>)</w:t>
            </w:r>
          </w:p>
          <w:p w:rsidR="00714751" w:rsidRPr="0042695D" w:rsidRDefault="00714751" w:rsidP="00A96EEA"/>
          <w:p w:rsidR="00714751" w:rsidRPr="00F64910" w:rsidRDefault="00714751" w:rsidP="00A96EEA">
            <w:r w:rsidRPr="0042695D">
              <w:t>Cilj je trajnostn</w:t>
            </w:r>
            <w:r>
              <w:t>i</w:t>
            </w:r>
            <w:r w:rsidRPr="0042695D">
              <w:t xml:space="preserve"> </w:t>
            </w:r>
            <w:proofErr w:type="spellStart"/>
            <w:r w:rsidRPr="0042695D">
              <w:t>odklep</w:t>
            </w:r>
            <w:proofErr w:type="spellEnd"/>
            <w:r w:rsidRPr="0042695D">
              <w:t>,</w:t>
            </w:r>
            <w:r>
              <w:t xml:space="preserve"> prikaz </w:t>
            </w:r>
            <w:r w:rsidRPr="0042695D">
              <w:t xml:space="preserve">in </w:t>
            </w:r>
            <w:r>
              <w:t xml:space="preserve">polni </w:t>
            </w:r>
            <w:r w:rsidRPr="0042695D">
              <w:t>izkorist</w:t>
            </w:r>
            <w:r>
              <w:t>ek p</w:t>
            </w:r>
            <w:r w:rsidRPr="0042695D">
              <w:t>otencial</w:t>
            </w:r>
            <w:r>
              <w:t xml:space="preserve">a </w:t>
            </w:r>
            <w:r w:rsidRPr="0042695D">
              <w:t>Evropski</w:t>
            </w:r>
            <w:r>
              <w:t>h</w:t>
            </w:r>
            <w:r w:rsidRPr="0042695D">
              <w:t xml:space="preserve"> ocean</w:t>
            </w:r>
            <w:r>
              <w:t xml:space="preserve">ov </w:t>
            </w:r>
            <w:r w:rsidRPr="0042695D">
              <w:t>in mor</w:t>
            </w:r>
            <w:r>
              <w:t>ij</w:t>
            </w:r>
            <w:r w:rsidRPr="0042695D">
              <w:t xml:space="preserve"> skozi dobro</w:t>
            </w:r>
            <w:r>
              <w:t xml:space="preserve"> </w:t>
            </w:r>
            <w:r w:rsidRPr="0042695D">
              <w:t>strukturiran</w:t>
            </w:r>
            <w:r>
              <w:t>a</w:t>
            </w:r>
            <w:r w:rsidRPr="0042695D">
              <w:t>, traj</w:t>
            </w:r>
            <w:r>
              <w:t>na</w:t>
            </w:r>
            <w:r w:rsidRPr="0042695D">
              <w:t xml:space="preserve"> in poenostavljen</w:t>
            </w:r>
            <w:r>
              <w:t xml:space="preserve">a </w:t>
            </w:r>
            <w:r w:rsidRPr="0042695D">
              <w:t>prizadevanja na tem brezmejnem področju s ciljem</w:t>
            </w:r>
            <w:r>
              <w:t xml:space="preserve"> </w:t>
            </w:r>
            <w:r w:rsidRPr="0042695D">
              <w:t>za podporo prehoda v močno podne</w:t>
            </w:r>
            <w:r>
              <w:t xml:space="preserve">bno </w:t>
            </w:r>
            <w:r w:rsidRPr="0042695D">
              <w:t>nevtralno in trajno</w:t>
            </w:r>
            <w:r>
              <w:t>stno modro gospodarstvo do leta 2</w:t>
            </w:r>
            <w:r w:rsidRPr="0042695D">
              <w:t>050</w:t>
            </w:r>
            <w:r>
              <w:t>.</w:t>
            </w:r>
          </w:p>
        </w:tc>
        <w:tc>
          <w:tcPr>
            <w:tcW w:w="1560" w:type="dxa"/>
            <w:shd w:val="clear" w:color="auto" w:fill="auto"/>
            <w:vAlign w:val="center"/>
          </w:tcPr>
          <w:p w:rsidR="00714751" w:rsidRPr="00F64910" w:rsidRDefault="00714751" w:rsidP="00A96EEA">
            <w:pPr>
              <w:jc w:val="center"/>
            </w:pPr>
            <w:r>
              <w:t xml:space="preserve">BONUS, MARTERA, JPI Oceans, ERA-NET </w:t>
            </w:r>
            <w:proofErr w:type="spellStart"/>
            <w:r>
              <w:t>BlueBio</w:t>
            </w:r>
            <w:proofErr w:type="spellEnd"/>
          </w:p>
        </w:tc>
        <w:tc>
          <w:tcPr>
            <w:tcW w:w="2268" w:type="dxa"/>
            <w:shd w:val="clear" w:color="auto" w:fill="auto"/>
            <w:vAlign w:val="center"/>
          </w:tcPr>
          <w:p w:rsidR="00714751" w:rsidRPr="00F64910" w:rsidRDefault="00714751" w:rsidP="00A96EEA">
            <w:r>
              <w:t>DČ/PČ (</w:t>
            </w:r>
            <w:r w:rsidRPr="00F64910">
              <w:t>raziskovalne financerske organizacije</w:t>
            </w:r>
            <w:r>
              <w:t xml:space="preserve"> in regionalni centri), EU agencije</w:t>
            </w:r>
          </w:p>
        </w:tc>
        <w:tc>
          <w:tcPr>
            <w:tcW w:w="1275" w:type="dxa"/>
            <w:shd w:val="clear" w:color="auto" w:fill="auto"/>
            <w:vAlign w:val="center"/>
          </w:tcPr>
          <w:p w:rsidR="00714751" w:rsidRDefault="00714751" w:rsidP="00A96EEA">
            <w:pPr>
              <w:jc w:val="center"/>
            </w:pPr>
            <w:r>
              <w:t xml:space="preserve">MOP, </w:t>
            </w:r>
          </w:p>
          <w:p w:rsidR="00714751" w:rsidRPr="00F64910" w:rsidRDefault="00714751" w:rsidP="00A96EEA">
            <w:pPr>
              <w:jc w:val="center"/>
            </w:pPr>
            <w:r>
              <w:t>MKGP</w:t>
            </w:r>
          </w:p>
        </w:tc>
      </w:tr>
      <w:tr w:rsidR="00D17880" w:rsidRPr="00F64910" w:rsidTr="00D17880">
        <w:tc>
          <w:tcPr>
            <w:tcW w:w="5387" w:type="dxa"/>
            <w:shd w:val="clear" w:color="auto" w:fill="FFF2CC"/>
            <w:vAlign w:val="center"/>
          </w:tcPr>
          <w:p w:rsidR="00714751" w:rsidRPr="0042695D" w:rsidRDefault="00714751" w:rsidP="00A96EEA">
            <w:pPr>
              <w:rPr>
                <w:b/>
              </w:rPr>
            </w:pPr>
            <w:r w:rsidRPr="0042695D">
              <w:rPr>
                <w:b/>
              </w:rPr>
              <w:t>32. Varen in trajnosten prehramben sistem za ljudi, planet in podnebje</w:t>
            </w:r>
          </w:p>
          <w:p w:rsidR="00714751" w:rsidRDefault="00714751" w:rsidP="00A96EEA">
            <w:r>
              <w:t>(</w:t>
            </w:r>
            <w:proofErr w:type="spellStart"/>
            <w:r w:rsidRPr="0042695D">
              <w:t>Safe</w:t>
            </w:r>
            <w:proofErr w:type="spellEnd"/>
            <w:r w:rsidRPr="0042695D">
              <w:t xml:space="preserve"> and Sustainable </w:t>
            </w:r>
            <w:proofErr w:type="spellStart"/>
            <w:r w:rsidRPr="0042695D">
              <w:t>Food</w:t>
            </w:r>
            <w:proofErr w:type="spellEnd"/>
            <w:r w:rsidRPr="0042695D">
              <w:t xml:space="preserve"> </w:t>
            </w:r>
            <w:proofErr w:type="spellStart"/>
            <w:r w:rsidRPr="0042695D">
              <w:t>System</w:t>
            </w:r>
            <w:proofErr w:type="spellEnd"/>
            <w:r w:rsidRPr="0042695D">
              <w:t xml:space="preserve"> for</w:t>
            </w:r>
            <w:r>
              <w:t xml:space="preserve"> </w:t>
            </w:r>
            <w:proofErr w:type="spellStart"/>
            <w:r w:rsidRPr="0042695D">
              <w:t>People</w:t>
            </w:r>
            <w:proofErr w:type="spellEnd"/>
            <w:r w:rsidRPr="0042695D">
              <w:t>, Planet &amp; Climate</w:t>
            </w:r>
            <w:r>
              <w:t>)</w:t>
            </w:r>
          </w:p>
          <w:p w:rsidR="00714751" w:rsidRPr="0042695D" w:rsidRDefault="00714751" w:rsidP="00A96EEA"/>
          <w:p w:rsidR="00714751" w:rsidRPr="0042695D" w:rsidRDefault="00714751" w:rsidP="00A96EEA">
            <w:r>
              <w:t xml:space="preserve">Vzpostavitev </w:t>
            </w:r>
            <w:r w:rsidRPr="0042695D">
              <w:t>našega prehrambnega sistema je osrednja točka</w:t>
            </w:r>
            <w:r>
              <w:t xml:space="preserve"> pri </w:t>
            </w:r>
            <w:r w:rsidRPr="0042695D">
              <w:t>prehod</w:t>
            </w:r>
            <w:r>
              <w:t>u</w:t>
            </w:r>
            <w:r w:rsidRPr="0042695D">
              <w:t xml:space="preserve"> v „Trajnostno Evropo do leta 2030“,</w:t>
            </w:r>
          </w:p>
          <w:p w:rsidR="00714751" w:rsidRPr="0042695D" w:rsidRDefault="00714751" w:rsidP="00A96EEA">
            <w:r w:rsidRPr="0042695D">
              <w:t>in ključnega pomena za doseganje podnebnih ciljev IPCC</w:t>
            </w:r>
          </w:p>
          <w:p w:rsidR="00714751" w:rsidRPr="00F64910" w:rsidRDefault="00714751" w:rsidP="00A96EEA">
            <w:r w:rsidRPr="0042695D">
              <w:t>in del</w:t>
            </w:r>
            <w:r>
              <w:t xml:space="preserve">ovanja </w:t>
            </w:r>
            <w:r w:rsidRPr="0042695D">
              <w:t xml:space="preserve">znotraj </w:t>
            </w:r>
            <w:r>
              <w:t>planetarnih omejitev. T</w:t>
            </w:r>
            <w:r w:rsidRPr="0042695D">
              <w:t xml:space="preserve">o partnerstvo </w:t>
            </w:r>
            <w:r>
              <w:t xml:space="preserve">bo vključevalo FOOD 2030 in zagotavljalo </w:t>
            </w:r>
            <w:proofErr w:type="spellStart"/>
            <w:r>
              <w:t>potrošniko</w:t>
            </w:r>
            <w:proofErr w:type="spellEnd"/>
            <w:r>
              <w:t xml:space="preserve"> </w:t>
            </w:r>
            <w:r w:rsidRPr="0042695D">
              <w:t>zaupanje, varnos</w:t>
            </w:r>
            <w:r>
              <w:t>t, kakovost in sledljivost.</w:t>
            </w:r>
          </w:p>
        </w:tc>
        <w:tc>
          <w:tcPr>
            <w:tcW w:w="1560" w:type="dxa"/>
            <w:shd w:val="clear" w:color="auto" w:fill="FFF2CC"/>
            <w:vAlign w:val="center"/>
          </w:tcPr>
          <w:p w:rsidR="00714751" w:rsidRPr="00F64910" w:rsidRDefault="00714751" w:rsidP="00A96EEA">
            <w:pPr>
              <w:jc w:val="center"/>
            </w:pPr>
            <w:r>
              <w:t xml:space="preserve">FACCE </w:t>
            </w:r>
            <w:proofErr w:type="spellStart"/>
            <w:r>
              <w:t>SurPlus</w:t>
            </w:r>
            <w:proofErr w:type="spellEnd"/>
            <w:r>
              <w:t xml:space="preserve">, ICT Agri2, </w:t>
            </w:r>
            <w:proofErr w:type="spellStart"/>
            <w:r>
              <w:t>Core-Organic</w:t>
            </w:r>
            <w:proofErr w:type="spellEnd"/>
            <w:r>
              <w:t xml:space="preserve">, ERA GAS, </w:t>
            </w:r>
            <w:proofErr w:type="spellStart"/>
            <w:r>
              <w:t>SUSAn</w:t>
            </w:r>
            <w:proofErr w:type="spellEnd"/>
            <w:r>
              <w:t>, ERA HDL, SusFood2</w:t>
            </w:r>
          </w:p>
        </w:tc>
        <w:tc>
          <w:tcPr>
            <w:tcW w:w="2268" w:type="dxa"/>
            <w:shd w:val="clear" w:color="auto" w:fill="FFF2CC"/>
            <w:vAlign w:val="center"/>
          </w:tcPr>
          <w:p w:rsidR="00714751" w:rsidRPr="00F64910" w:rsidRDefault="00714751" w:rsidP="00A96EEA">
            <w:r>
              <w:t>DČ/PČ (</w:t>
            </w:r>
            <w:r w:rsidRPr="00F64910">
              <w:t>raziskovalne financerske organizacije</w:t>
            </w:r>
            <w:r>
              <w:t xml:space="preserve"> in regionalni centri), EU agencije</w:t>
            </w:r>
          </w:p>
        </w:tc>
        <w:tc>
          <w:tcPr>
            <w:tcW w:w="1275" w:type="dxa"/>
            <w:shd w:val="clear" w:color="auto" w:fill="FFF2CC"/>
            <w:vAlign w:val="center"/>
          </w:tcPr>
          <w:p w:rsidR="00714751" w:rsidRPr="00F64910" w:rsidRDefault="00714751" w:rsidP="00A96EEA">
            <w:pPr>
              <w:jc w:val="center"/>
            </w:pPr>
            <w:r>
              <w:t>MKGP</w:t>
            </w:r>
          </w:p>
        </w:tc>
      </w:tr>
      <w:tr w:rsidR="00D17880" w:rsidRPr="00F64910" w:rsidTr="00D17880">
        <w:tc>
          <w:tcPr>
            <w:tcW w:w="5387" w:type="dxa"/>
            <w:shd w:val="clear" w:color="auto" w:fill="auto"/>
            <w:vAlign w:val="center"/>
          </w:tcPr>
          <w:p w:rsidR="00714751" w:rsidRPr="00FC6B83" w:rsidRDefault="00714751" w:rsidP="00A96EEA">
            <w:pPr>
              <w:rPr>
                <w:b/>
              </w:rPr>
            </w:pPr>
            <w:r w:rsidRPr="00FC6B83">
              <w:rPr>
                <w:b/>
              </w:rPr>
              <w:t xml:space="preserve">33. Krožna Evropa, ki temelji na </w:t>
            </w:r>
            <w:proofErr w:type="spellStart"/>
            <w:r w:rsidRPr="00FC6B83">
              <w:rPr>
                <w:b/>
              </w:rPr>
              <w:t>bio</w:t>
            </w:r>
            <w:r>
              <w:rPr>
                <w:b/>
              </w:rPr>
              <w:t>zasnovanem</w:t>
            </w:r>
            <w:proofErr w:type="spellEnd"/>
            <w:r>
              <w:rPr>
                <w:b/>
              </w:rPr>
              <w:t xml:space="preserve"> </w:t>
            </w:r>
            <w:r w:rsidRPr="00FC6B83">
              <w:rPr>
                <w:b/>
              </w:rPr>
              <w:t>razvoju</w:t>
            </w:r>
          </w:p>
          <w:p w:rsidR="00714751" w:rsidRDefault="00714751" w:rsidP="00A96EEA">
            <w:r>
              <w:t>(</w:t>
            </w:r>
            <w:proofErr w:type="spellStart"/>
            <w:r w:rsidRPr="00FC6B83">
              <w:t>Circular</w:t>
            </w:r>
            <w:proofErr w:type="spellEnd"/>
            <w:r w:rsidRPr="00FC6B83">
              <w:t xml:space="preserve"> </w:t>
            </w:r>
            <w:proofErr w:type="spellStart"/>
            <w:r w:rsidRPr="00FC6B83">
              <w:t>bio-based</w:t>
            </w:r>
            <w:proofErr w:type="spellEnd"/>
            <w:r w:rsidRPr="00FC6B83">
              <w:t xml:space="preserve"> Europe: </w:t>
            </w:r>
            <w:proofErr w:type="spellStart"/>
            <w:r w:rsidRPr="00FC6B83">
              <w:t>sustainable</w:t>
            </w:r>
            <w:proofErr w:type="spellEnd"/>
            <w:r>
              <w:t xml:space="preserve"> </w:t>
            </w:r>
            <w:r w:rsidRPr="00FC6B83">
              <w:t xml:space="preserve">innovation for </w:t>
            </w:r>
            <w:proofErr w:type="spellStart"/>
            <w:r w:rsidRPr="00FC6B83">
              <w:t>new</w:t>
            </w:r>
            <w:proofErr w:type="spellEnd"/>
            <w:r w:rsidRPr="00FC6B83">
              <w:t xml:space="preserve"> </w:t>
            </w:r>
            <w:proofErr w:type="spellStart"/>
            <w:r w:rsidRPr="00FC6B83">
              <w:t>local</w:t>
            </w:r>
            <w:proofErr w:type="spellEnd"/>
            <w:r w:rsidRPr="00FC6B83">
              <w:t xml:space="preserve"> </w:t>
            </w:r>
            <w:proofErr w:type="spellStart"/>
            <w:r w:rsidRPr="00FC6B83">
              <w:t>value</w:t>
            </w:r>
            <w:proofErr w:type="spellEnd"/>
            <w:r w:rsidRPr="00FC6B83">
              <w:t xml:space="preserve"> </w:t>
            </w:r>
            <w:proofErr w:type="spellStart"/>
            <w:r w:rsidRPr="00FC6B83">
              <w:t>from</w:t>
            </w:r>
            <w:proofErr w:type="spellEnd"/>
            <w:r w:rsidRPr="00FC6B83">
              <w:t xml:space="preserve"> </w:t>
            </w:r>
            <w:proofErr w:type="spellStart"/>
            <w:r w:rsidRPr="00FC6B83">
              <w:t>waste</w:t>
            </w:r>
            <w:proofErr w:type="spellEnd"/>
            <w:r>
              <w:t xml:space="preserve"> </w:t>
            </w:r>
            <w:r w:rsidRPr="00FC6B83">
              <w:t xml:space="preserve">and </w:t>
            </w:r>
            <w:proofErr w:type="spellStart"/>
            <w:r w:rsidRPr="00FC6B83">
              <w:t>biomass</w:t>
            </w:r>
            <w:proofErr w:type="spellEnd"/>
            <w:r w:rsidRPr="00FC6B83">
              <w:t xml:space="preserve"> (Sustainable, </w:t>
            </w:r>
            <w:proofErr w:type="spellStart"/>
            <w:r w:rsidRPr="00FC6B83">
              <w:t>inclusive</w:t>
            </w:r>
            <w:proofErr w:type="spellEnd"/>
            <w:r w:rsidRPr="00FC6B83">
              <w:t xml:space="preserve"> and</w:t>
            </w:r>
            <w:r>
              <w:t xml:space="preserve"> </w:t>
            </w:r>
            <w:proofErr w:type="spellStart"/>
            <w:r w:rsidRPr="00FC6B83">
              <w:t>circular</w:t>
            </w:r>
            <w:proofErr w:type="spellEnd"/>
            <w:r w:rsidRPr="00FC6B83">
              <w:t xml:space="preserve"> </w:t>
            </w:r>
            <w:proofErr w:type="spellStart"/>
            <w:r w:rsidRPr="00FC6B83">
              <w:t>bio-based</w:t>
            </w:r>
            <w:proofErr w:type="spellEnd"/>
            <w:r w:rsidRPr="00FC6B83">
              <w:t xml:space="preserve"> </w:t>
            </w:r>
            <w:proofErr w:type="spellStart"/>
            <w:r w:rsidRPr="00FC6B83">
              <w:t>solutions</w:t>
            </w:r>
            <w:proofErr w:type="spellEnd"/>
            <w:r w:rsidRPr="00FC6B83">
              <w:t>)</w:t>
            </w:r>
          </w:p>
          <w:p w:rsidR="00714751" w:rsidRDefault="00714751" w:rsidP="00A96EEA"/>
          <w:p w:rsidR="00714751" w:rsidRPr="0042695D" w:rsidRDefault="00714751" w:rsidP="00A96EEA">
            <w:r w:rsidRPr="0042695D">
              <w:t>Cilj je doseči trajnostno in podnebn</w:t>
            </w:r>
            <w:r>
              <w:t xml:space="preserve">e </w:t>
            </w:r>
            <w:r w:rsidRPr="0042695D">
              <w:t>nevtralne rešitve, ki pospešujejo prehod</w:t>
            </w:r>
            <w:r>
              <w:t xml:space="preserve"> </w:t>
            </w:r>
            <w:r w:rsidRPr="0042695D">
              <w:t>na zdrav planet, kjer</w:t>
            </w:r>
            <w:r>
              <w:t xml:space="preserve"> bodo </w:t>
            </w:r>
            <w:r w:rsidRPr="0042695D">
              <w:t>obnovljiv</w:t>
            </w:r>
            <w:r>
              <w:t xml:space="preserve">i produkti in </w:t>
            </w:r>
            <w:r w:rsidRPr="0042695D">
              <w:t>hranila</w:t>
            </w:r>
            <w:r>
              <w:t xml:space="preserve"> izdelani </w:t>
            </w:r>
            <w:r w:rsidRPr="0042695D">
              <w:t xml:space="preserve">iz biomase in odpadkov </w:t>
            </w:r>
            <w:r w:rsidRPr="0042695D">
              <w:lastRenderedPageBreak/>
              <w:t xml:space="preserve">namesto </w:t>
            </w:r>
            <w:r>
              <w:t xml:space="preserve">iz </w:t>
            </w:r>
            <w:r w:rsidRPr="0042695D">
              <w:t>neobnovljivi</w:t>
            </w:r>
            <w:r>
              <w:t>h</w:t>
            </w:r>
            <w:r w:rsidRPr="0042695D">
              <w:t xml:space="preserve"> fosilni</w:t>
            </w:r>
            <w:r>
              <w:t>h</w:t>
            </w:r>
            <w:r w:rsidRPr="0042695D">
              <w:t xml:space="preserve"> in mineralni</w:t>
            </w:r>
            <w:r>
              <w:t>h</w:t>
            </w:r>
            <w:r w:rsidRPr="0042695D">
              <w:t xml:space="preserve"> vir</w:t>
            </w:r>
            <w:r>
              <w:t>ov</w:t>
            </w:r>
            <w:r w:rsidRPr="0042695D">
              <w:t xml:space="preserve">. </w:t>
            </w:r>
            <w:r>
              <w:t xml:space="preserve"> P</w:t>
            </w:r>
            <w:r w:rsidRPr="0042695D">
              <w:t>artnerstvo bo ustva</w:t>
            </w:r>
            <w:r>
              <w:t xml:space="preserve">rjalo in krepilo </w:t>
            </w:r>
            <w:r w:rsidRPr="0042695D">
              <w:t>zavest, zmogljivosti</w:t>
            </w:r>
          </w:p>
          <w:p w:rsidR="00714751" w:rsidRPr="0042695D" w:rsidRDefault="00714751" w:rsidP="00A96EEA">
            <w:r w:rsidRPr="0042695D">
              <w:t>in ustrezne strukture v sistemskem pristop</w:t>
            </w:r>
            <w:r>
              <w:t>u, ki presega industrijske partnerje</w:t>
            </w:r>
            <w:r w:rsidRPr="0042695D">
              <w:t>, ki tudi mobilizirajo proizvajalce</w:t>
            </w:r>
          </w:p>
          <w:p w:rsidR="00714751" w:rsidRPr="00F64910" w:rsidRDefault="00714751" w:rsidP="00A96EEA">
            <w:proofErr w:type="spellStart"/>
            <w:r w:rsidRPr="0042695D">
              <w:t>bio</w:t>
            </w:r>
            <w:r>
              <w:t>zasnovanih</w:t>
            </w:r>
            <w:proofErr w:type="spellEnd"/>
            <w:r w:rsidRPr="0042695D">
              <w:t xml:space="preserve"> vir</w:t>
            </w:r>
            <w:r>
              <w:t>ov</w:t>
            </w:r>
            <w:r w:rsidRPr="0042695D">
              <w:t xml:space="preserve"> in končn</w:t>
            </w:r>
            <w:r>
              <w:t>e</w:t>
            </w:r>
            <w:r w:rsidRPr="0042695D">
              <w:t xml:space="preserve"> uporabnik</w:t>
            </w:r>
            <w:r>
              <w:t>e</w:t>
            </w:r>
            <w:r w:rsidRPr="0042695D">
              <w:t>.</w:t>
            </w:r>
          </w:p>
        </w:tc>
        <w:tc>
          <w:tcPr>
            <w:tcW w:w="1560" w:type="dxa"/>
            <w:shd w:val="clear" w:color="auto" w:fill="auto"/>
            <w:vAlign w:val="center"/>
          </w:tcPr>
          <w:p w:rsidR="00714751" w:rsidRPr="00F64910" w:rsidRDefault="00714751" w:rsidP="00A96EEA">
            <w:pPr>
              <w:jc w:val="center"/>
            </w:pPr>
            <w:r>
              <w:lastRenderedPageBreak/>
              <w:t>JU BBI</w:t>
            </w:r>
          </w:p>
        </w:tc>
        <w:tc>
          <w:tcPr>
            <w:tcW w:w="2268" w:type="dxa"/>
            <w:shd w:val="clear" w:color="auto" w:fill="auto"/>
            <w:vAlign w:val="center"/>
          </w:tcPr>
          <w:p w:rsidR="00714751" w:rsidRPr="00F64910" w:rsidRDefault="00714751" w:rsidP="00A96EEA">
            <w:r>
              <w:t>DČ/PČ (</w:t>
            </w:r>
            <w:r w:rsidRPr="00F64910">
              <w:t>raziskovalne financerske organizacije</w:t>
            </w:r>
            <w:r>
              <w:t xml:space="preserve"> in regionalni centri), EU agencije</w:t>
            </w:r>
          </w:p>
        </w:tc>
        <w:tc>
          <w:tcPr>
            <w:tcW w:w="1275" w:type="dxa"/>
            <w:shd w:val="clear" w:color="auto" w:fill="auto"/>
            <w:vAlign w:val="center"/>
          </w:tcPr>
          <w:p w:rsidR="00714751" w:rsidRDefault="00714751" w:rsidP="00A96EEA">
            <w:pPr>
              <w:jc w:val="center"/>
            </w:pPr>
            <w:r>
              <w:t xml:space="preserve">MKGP, </w:t>
            </w:r>
          </w:p>
          <w:p w:rsidR="00714751" w:rsidRPr="00F64910" w:rsidRDefault="00714751" w:rsidP="00A96EEA">
            <w:pPr>
              <w:jc w:val="center"/>
            </w:pPr>
            <w:r>
              <w:t>MOP</w:t>
            </w:r>
          </w:p>
        </w:tc>
      </w:tr>
      <w:tr w:rsidR="00D17880" w:rsidRPr="00F64910" w:rsidTr="00D17880">
        <w:tc>
          <w:tcPr>
            <w:tcW w:w="5387" w:type="dxa"/>
            <w:shd w:val="clear" w:color="auto" w:fill="FFF2CC"/>
            <w:vAlign w:val="center"/>
          </w:tcPr>
          <w:p w:rsidR="00714751" w:rsidRPr="00820E81" w:rsidRDefault="00714751" w:rsidP="00A96EEA">
            <w:pPr>
              <w:rPr>
                <w:b/>
              </w:rPr>
            </w:pPr>
            <w:r w:rsidRPr="00820E81">
              <w:rPr>
                <w:b/>
              </w:rPr>
              <w:t>34. Voda za vse</w:t>
            </w:r>
            <w:r>
              <w:rPr>
                <w:b/>
              </w:rPr>
              <w:t xml:space="preserve">; </w:t>
            </w:r>
            <w:r w:rsidRPr="00820E81">
              <w:rPr>
                <w:b/>
              </w:rPr>
              <w:t>varnost vode za planet</w:t>
            </w:r>
          </w:p>
          <w:p w:rsidR="00714751" w:rsidRPr="000D5A8D" w:rsidRDefault="00714751" w:rsidP="00A96EEA">
            <w:r>
              <w:t>(Water4All)</w:t>
            </w:r>
          </w:p>
          <w:p w:rsidR="00714751" w:rsidRDefault="00714751" w:rsidP="00A96EEA"/>
          <w:p w:rsidR="00714751" w:rsidRPr="000D5A8D" w:rsidRDefault="00714751" w:rsidP="00A96EEA">
            <w:r w:rsidRPr="000D5A8D">
              <w:t>Partnerstvo si prizadeva zagotoviti vs</w:t>
            </w:r>
            <w:r>
              <w:t xml:space="preserve">e zahteve za </w:t>
            </w:r>
            <w:r w:rsidRPr="000D5A8D">
              <w:t>vodo</w:t>
            </w:r>
            <w:r>
              <w:t xml:space="preserve">, </w:t>
            </w:r>
            <w:r w:rsidRPr="000D5A8D">
              <w:t>glede kakovosti in količine,</w:t>
            </w:r>
            <w:r>
              <w:t xml:space="preserve"> </w:t>
            </w:r>
            <w:r w:rsidRPr="000D5A8D">
              <w:t xml:space="preserve">in da </w:t>
            </w:r>
            <w:r>
              <w:t>bosta</w:t>
            </w:r>
            <w:r w:rsidRPr="000D5A8D">
              <w:t xml:space="preserve"> gospodarski kot naravni sistem,</w:t>
            </w:r>
            <w:r>
              <w:t xml:space="preserve"> </w:t>
            </w:r>
            <w:r w:rsidRPr="000D5A8D">
              <w:t>pa tudi ljudje</w:t>
            </w:r>
            <w:r>
              <w:t xml:space="preserve">, </w:t>
            </w:r>
            <w:r w:rsidRPr="000D5A8D">
              <w:t xml:space="preserve">zaščiteni pred </w:t>
            </w:r>
            <w:r>
              <w:t xml:space="preserve">z </w:t>
            </w:r>
            <w:r w:rsidRPr="000D5A8D">
              <w:t>vodo</w:t>
            </w:r>
            <w:r>
              <w:t xml:space="preserve"> </w:t>
            </w:r>
            <w:r w:rsidRPr="000D5A8D">
              <w:t>povezan</w:t>
            </w:r>
            <w:r>
              <w:t xml:space="preserve">imi </w:t>
            </w:r>
            <w:r w:rsidRPr="000D5A8D">
              <w:t>nevarnost</w:t>
            </w:r>
            <w:r>
              <w:t>m</w:t>
            </w:r>
            <w:r w:rsidRPr="000D5A8D">
              <w:t>i.</w:t>
            </w:r>
            <w:r>
              <w:t xml:space="preserve"> </w:t>
            </w:r>
            <w:r w:rsidRPr="000D5A8D">
              <w:t>To je bistveno za podporo</w:t>
            </w:r>
          </w:p>
          <w:p w:rsidR="00714751" w:rsidRPr="00F64910" w:rsidRDefault="00714751" w:rsidP="00A96EEA">
            <w:r w:rsidRPr="000D5A8D">
              <w:t>prehod</w:t>
            </w:r>
            <w:r>
              <w:t>a na zdrav planet in za zagotovitev</w:t>
            </w:r>
            <w:r w:rsidRPr="000D5A8D">
              <w:t xml:space="preserve"> prožn</w:t>
            </w:r>
            <w:r>
              <w:t>e E</w:t>
            </w:r>
            <w:r w:rsidRPr="000D5A8D">
              <w:t>nergetsk</w:t>
            </w:r>
            <w:r>
              <w:t>e</w:t>
            </w:r>
            <w:r w:rsidRPr="000D5A8D">
              <w:t xml:space="preserve"> unij</w:t>
            </w:r>
            <w:r>
              <w:t>e</w:t>
            </w:r>
            <w:r w:rsidRPr="000D5A8D">
              <w:t xml:space="preserve">, </w:t>
            </w:r>
            <w:r>
              <w:t xml:space="preserve">podnebne politike </w:t>
            </w:r>
            <w:proofErr w:type="spellStart"/>
            <w:r>
              <w:t>Eu</w:t>
            </w:r>
            <w:proofErr w:type="spellEnd"/>
            <w:r>
              <w:t xml:space="preserve"> in </w:t>
            </w:r>
            <w:r w:rsidRPr="000D5A8D">
              <w:t>spoštovanje planetarnih</w:t>
            </w:r>
            <w:r>
              <w:t xml:space="preserve"> omejitev. </w:t>
            </w:r>
          </w:p>
        </w:tc>
        <w:tc>
          <w:tcPr>
            <w:tcW w:w="1560" w:type="dxa"/>
            <w:shd w:val="clear" w:color="auto" w:fill="FFF2CC"/>
            <w:vAlign w:val="center"/>
          </w:tcPr>
          <w:p w:rsidR="00714751" w:rsidRPr="00F64910" w:rsidRDefault="00714751" w:rsidP="00A96EEA">
            <w:pPr>
              <w:jc w:val="center"/>
            </w:pPr>
            <w:r>
              <w:t xml:space="preserve">JPI </w:t>
            </w:r>
            <w:proofErr w:type="spellStart"/>
            <w:r>
              <w:t>Water</w:t>
            </w:r>
            <w:proofErr w:type="spellEnd"/>
          </w:p>
        </w:tc>
        <w:tc>
          <w:tcPr>
            <w:tcW w:w="2268" w:type="dxa"/>
            <w:shd w:val="clear" w:color="auto" w:fill="FFF2CC"/>
            <w:vAlign w:val="center"/>
          </w:tcPr>
          <w:p w:rsidR="00714751" w:rsidRPr="00F64910" w:rsidRDefault="00714751" w:rsidP="00A96EEA">
            <w:r>
              <w:t>DČ/PČ (</w:t>
            </w:r>
            <w:r w:rsidRPr="00F64910">
              <w:t>raziskovalne financerske organizacije</w:t>
            </w:r>
            <w:r>
              <w:t xml:space="preserve"> in regionalni centri)</w:t>
            </w:r>
          </w:p>
        </w:tc>
        <w:tc>
          <w:tcPr>
            <w:tcW w:w="1275" w:type="dxa"/>
            <w:shd w:val="clear" w:color="auto" w:fill="FFF2CC"/>
            <w:vAlign w:val="center"/>
          </w:tcPr>
          <w:p w:rsidR="00714751" w:rsidRDefault="00714751" w:rsidP="00A96EEA">
            <w:pPr>
              <w:jc w:val="center"/>
            </w:pPr>
            <w:r>
              <w:t xml:space="preserve">MOP, </w:t>
            </w:r>
          </w:p>
          <w:p w:rsidR="00714751" w:rsidRPr="00F64910" w:rsidRDefault="00714751" w:rsidP="00A96EEA">
            <w:pPr>
              <w:jc w:val="center"/>
            </w:pPr>
            <w:r>
              <w:t>MKGP</w:t>
            </w:r>
          </w:p>
        </w:tc>
      </w:tr>
      <w:tr w:rsidR="00714751" w:rsidRPr="00F64910" w:rsidTr="00D17880">
        <w:tc>
          <w:tcPr>
            <w:tcW w:w="10490" w:type="dxa"/>
            <w:gridSpan w:val="4"/>
            <w:shd w:val="clear" w:color="auto" w:fill="FFC000"/>
            <w:vAlign w:val="center"/>
          </w:tcPr>
          <w:p w:rsidR="00714751" w:rsidRPr="00F64910" w:rsidRDefault="00714751" w:rsidP="00A96EEA">
            <w:pPr>
              <w:rPr>
                <w:b/>
                <w:color w:val="FFFFFF"/>
              </w:rPr>
            </w:pPr>
            <w:r>
              <w:rPr>
                <w:b/>
                <w:color w:val="FFFFFF"/>
              </w:rPr>
              <w:t>DRUGA PODROČJA / OTHER PILLARS</w:t>
            </w:r>
          </w:p>
        </w:tc>
      </w:tr>
      <w:tr w:rsidR="00D17880" w:rsidRPr="00F64910" w:rsidTr="00D17880">
        <w:tc>
          <w:tcPr>
            <w:tcW w:w="5387" w:type="dxa"/>
            <w:shd w:val="clear" w:color="auto" w:fill="auto"/>
            <w:vAlign w:val="center"/>
          </w:tcPr>
          <w:p w:rsidR="00714751" w:rsidRPr="007543F1" w:rsidRDefault="00714751" w:rsidP="00A96EEA">
            <w:pPr>
              <w:rPr>
                <w:b/>
              </w:rPr>
            </w:pPr>
            <w:r w:rsidRPr="007543F1">
              <w:rPr>
                <w:b/>
              </w:rPr>
              <w:t>35. Inovativna mala in srednje velika podjetja</w:t>
            </w:r>
            <w:r>
              <w:rPr>
                <w:b/>
              </w:rPr>
              <w:t xml:space="preserve"> (MSP)</w:t>
            </w:r>
          </w:p>
          <w:p w:rsidR="00714751" w:rsidRDefault="00714751" w:rsidP="00A96EEA">
            <w:r>
              <w:t>(</w:t>
            </w:r>
            <w:proofErr w:type="spellStart"/>
            <w:r>
              <w:t>Innovative</w:t>
            </w:r>
            <w:proofErr w:type="spellEnd"/>
            <w:r>
              <w:t xml:space="preserve"> </w:t>
            </w:r>
            <w:proofErr w:type="spellStart"/>
            <w:r>
              <w:t>SMEs</w:t>
            </w:r>
            <w:proofErr w:type="spellEnd"/>
            <w:r>
              <w:t>)</w:t>
            </w:r>
          </w:p>
          <w:p w:rsidR="00714751" w:rsidRPr="007543F1" w:rsidRDefault="00714751" w:rsidP="00A96EEA"/>
          <w:p w:rsidR="00714751" w:rsidRPr="00F64910" w:rsidRDefault="00714751" w:rsidP="00A96EEA">
            <w:r w:rsidRPr="007543F1">
              <w:t xml:space="preserve">Cilj pobude je zagotoviti nadnacionalno finančno </w:t>
            </w:r>
            <w:r>
              <w:t>p</w:t>
            </w:r>
            <w:r w:rsidRPr="007543F1">
              <w:t>odporo</w:t>
            </w:r>
            <w:r>
              <w:t xml:space="preserve"> </w:t>
            </w:r>
            <w:r w:rsidRPr="007543F1">
              <w:t>tržno usmerjeni</w:t>
            </w:r>
            <w:r>
              <w:t>h</w:t>
            </w:r>
            <w:r w:rsidRPr="007543F1">
              <w:t xml:space="preserve"> raziskovalni</w:t>
            </w:r>
            <w:r>
              <w:t>h</w:t>
            </w:r>
            <w:r w:rsidRPr="007543F1">
              <w:t xml:space="preserve"> projekt</w:t>
            </w:r>
            <w:r>
              <w:t>ov</w:t>
            </w:r>
            <w:r w:rsidRPr="007543F1">
              <w:t>, ki jih je vodi</w:t>
            </w:r>
            <w:r>
              <w:t>jo i</w:t>
            </w:r>
            <w:r w:rsidRPr="007543F1">
              <w:t>novativna MSP. Vodilno vlogo bodo prevzeli inovativni MSP in</w:t>
            </w:r>
            <w:r>
              <w:t xml:space="preserve"> </w:t>
            </w:r>
            <w:r w:rsidRPr="007543F1">
              <w:t>bi morali torej imeti možnost</w:t>
            </w:r>
            <w:r>
              <w:t xml:space="preserve"> </w:t>
            </w:r>
            <w:r w:rsidRPr="007543F1">
              <w:t>komercialnega izkoriščanja rezultatov projekta</w:t>
            </w:r>
            <w:r>
              <w:t xml:space="preserve"> za </w:t>
            </w:r>
            <w:r w:rsidRPr="007543F1">
              <w:t xml:space="preserve">izboljšanje njihovega konkurenčnega položaja. </w:t>
            </w:r>
          </w:p>
        </w:tc>
        <w:tc>
          <w:tcPr>
            <w:tcW w:w="1560" w:type="dxa"/>
            <w:shd w:val="clear" w:color="auto" w:fill="auto"/>
            <w:vAlign w:val="center"/>
          </w:tcPr>
          <w:p w:rsidR="00714751" w:rsidRPr="00F64910" w:rsidRDefault="00714751" w:rsidP="00A96EEA">
            <w:pPr>
              <w:jc w:val="center"/>
            </w:pPr>
            <w:r>
              <w:t>Eurostars2</w:t>
            </w:r>
          </w:p>
        </w:tc>
        <w:tc>
          <w:tcPr>
            <w:tcW w:w="2268" w:type="dxa"/>
            <w:shd w:val="clear" w:color="auto" w:fill="auto"/>
            <w:vAlign w:val="center"/>
          </w:tcPr>
          <w:p w:rsidR="00714751" w:rsidRPr="00F64910" w:rsidRDefault="00714751" w:rsidP="00A96EEA">
            <w:r>
              <w:t>DČ/PČ (mala in srednje velika podjetja)</w:t>
            </w:r>
          </w:p>
        </w:tc>
        <w:tc>
          <w:tcPr>
            <w:tcW w:w="1275" w:type="dxa"/>
            <w:shd w:val="clear" w:color="auto" w:fill="auto"/>
            <w:vAlign w:val="center"/>
          </w:tcPr>
          <w:p w:rsidR="00714751" w:rsidRPr="00F64910" w:rsidRDefault="00714751" w:rsidP="00A96EEA">
            <w:pPr>
              <w:jc w:val="center"/>
            </w:pPr>
            <w:r>
              <w:t>MGRT</w:t>
            </w:r>
          </w:p>
        </w:tc>
      </w:tr>
      <w:tr w:rsidR="00D17880" w:rsidRPr="00F64910" w:rsidTr="00D17880">
        <w:tc>
          <w:tcPr>
            <w:tcW w:w="5387" w:type="dxa"/>
            <w:shd w:val="clear" w:color="auto" w:fill="FFF2CC"/>
            <w:vAlign w:val="center"/>
          </w:tcPr>
          <w:p w:rsidR="00714751" w:rsidRPr="007543F1" w:rsidRDefault="00714751" w:rsidP="00A96EEA">
            <w:pPr>
              <w:rPr>
                <w:b/>
              </w:rPr>
            </w:pPr>
            <w:r w:rsidRPr="007543F1">
              <w:rPr>
                <w:b/>
              </w:rPr>
              <w:t xml:space="preserve">36. Evropski oblak odprte znanosti </w:t>
            </w:r>
          </w:p>
          <w:p w:rsidR="00714751" w:rsidRPr="007543F1" w:rsidRDefault="00714751" w:rsidP="00A96EEA">
            <w:r>
              <w:t xml:space="preserve">European Science </w:t>
            </w:r>
            <w:proofErr w:type="spellStart"/>
            <w:r>
              <w:t>Cloud</w:t>
            </w:r>
            <w:proofErr w:type="spellEnd"/>
            <w:r>
              <w:t xml:space="preserve"> (EOSC)</w:t>
            </w:r>
          </w:p>
          <w:p w:rsidR="00714751" w:rsidRPr="007543F1" w:rsidRDefault="00714751" w:rsidP="00A96EEA"/>
          <w:p w:rsidR="00714751" w:rsidRPr="007543F1" w:rsidRDefault="00714751" w:rsidP="00A96EEA">
            <w:r w:rsidRPr="007543F1">
              <w:t>Partnerstvo EOSC 2.0 je usmerjeno v olajšanje EOSC</w:t>
            </w:r>
          </w:p>
          <w:p w:rsidR="00714751" w:rsidRPr="007543F1" w:rsidRDefault="00714751" w:rsidP="00A96EEA">
            <w:r w:rsidRPr="007543F1">
              <w:t>dejavnosti izvajanja v svoji drugi fazi. Po letu 2020</w:t>
            </w:r>
            <w:r>
              <w:t xml:space="preserve"> bo </w:t>
            </w:r>
          </w:p>
          <w:p w:rsidR="00714751" w:rsidRPr="00F64910" w:rsidRDefault="00714751" w:rsidP="00A96EEA">
            <w:r w:rsidRPr="007543F1">
              <w:t xml:space="preserve">EOSC </w:t>
            </w:r>
            <w:r>
              <w:t xml:space="preserve"> </w:t>
            </w:r>
            <w:r w:rsidRPr="007543F1">
              <w:t xml:space="preserve">postal </w:t>
            </w:r>
            <w:r>
              <w:t xml:space="preserve">bolj dostopen </w:t>
            </w:r>
            <w:proofErr w:type="spellStart"/>
            <w:r w:rsidRPr="007543F1">
              <w:t>več</w:t>
            </w:r>
            <w:r>
              <w:t>im</w:t>
            </w:r>
            <w:proofErr w:type="spellEnd"/>
            <w:r>
              <w:t xml:space="preserve"> in različnim</w:t>
            </w:r>
            <w:r w:rsidRPr="007543F1">
              <w:t xml:space="preserve"> interesnim skupinam</w:t>
            </w:r>
            <w:r>
              <w:t>, z v</w:t>
            </w:r>
            <w:r w:rsidRPr="007543F1">
              <w:t>zpostavljen</w:t>
            </w:r>
            <w:r>
              <w:t>o</w:t>
            </w:r>
            <w:r w:rsidRPr="007543F1">
              <w:t xml:space="preserve"> struktur</w:t>
            </w:r>
            <w:r>
              <w:t>o</w:t>
            </w:r>
            <w:r w:rsidRPr="007543F1">
              <w:t xml:space="preserve"> upravljanja in bi imela koristi od</w:t>
            </w:r>
            <w:r>
              <w:t xml:space="preserve"> mehanizma so-</w:t>
            </w:r>
            <w:r w:rsidRPr="007543F1">
              <w:t>programiran</w:t>
            </w:r>
            <w:r>
              <w:t>ja.</w:t>
            </w:r>
          </w:p>
        </w:tc>
        <w:tc>
          <w:tcPr>
            <w:tcW w:w="1560" w:type="dxa"/>
            <w:shd w:val="clear" w:color="auto" w:fill="FFF2CC"/>
            <w:vAlign w:val="center"/>
          </w:tcPr>
          <w:p w:rsidR="00714751" w:rsidRPr="00F64910" w:rsidRDefault="00714751" w:rsidP="00A96EEA">
            <w:pPr>
              <w:jc w:val="center"/>
            </w:pPr>
            <w:r>
              <w:t>/</w:t>
            </w:r>
          </w:p>
        </w:tc>
        <w:tc>
          <w:tcPr>
            <w:tcW w:w="2268" w:type="dxa"/>
            <w:shd w:val="clear" w:color="auto" w:fill="FFF2CC"/>
            <w:vAlign w:val="center"/>
          </w:tcPr>
          <w:p w:rsidR="00714751" w:rsidRPr="00F64910" w:rsidRDefault="00714751" w:rsidP="00A96EEA">
            <w:r>
              <w:t>DČ/PČ, akademski sektor</w:t>
            </w:r>
          </w:p>
        </w:tc>
        <w:tc>
          <w:tcPr>
            <w:tcW w:w="1275" w:type="dxa"/>
            <w:shd w:val="clear" w:color="auto" w:fill="FFF2CC"/>
            <w:vAlign w:val="center"/>
          </w:tcPr>
          <w:p w:rsidR="00714751" w:rsidRPr="00F64910" w:rsidRDefault="00714751" w:rsidP="00A96EEA"/>
        </w:tc>
      </w:tr>
      <w:tr w:rsidR="00D17880" w:rsidRPr="00F64910" w:rsidTr="00D17880">
        <w:tc>
          <w:tcPr>
            <w:tcW w:w="5387" w:type="dxa"/>
            <w:shd w:val="clear" w:color="auto" w:fill="auto"/>
            <w:vAlign w:val="center"/>
          </w:tcPr>
          <w:p w:rsidR="00714751" w:rsidRDefault="00714751" w:rsidP="00A96EEA">
            <w:pPr>
              <w:rPr>
                <w:b/>
              </w:rPr>
            </w:pPr>
            <w:r>
              <w:rPr>
                <w:b/>
              </w:rPr>
              <w:t xml:space="preserve">37.  </w:t>
            </w:r>
            <w:r w:rsidRPr="007543F1">
              <w:rPr>
                <w:b/>
              </w:rPr>
              <w:t xml:space="preserve">EIT </w:t>
            </w:r>
            <w:r>
              <w:rPr>
                <w:b/>
              </w:rPr>
              <w:t>Center znanja in inovacij za p</w:t>
            </w:r>
            <w:r w:rsidRPr="007543F1">
              <w:rPr>
                <w:b/>
              </w:rPr>
              <w:t>odnebje</w:t>
            </w:r>
          </w:p>
          <w:p w:rsidR="00714751" w:rsidRPr="007543F1" w:rsidRDefault="00714751" w:rsidP="00A96EEA">
            <w:r>
              <w:t>(EIT KIC Climate)</w:t>
            </w:r>
          </w:p>
          <w:p w:rsidR="00714751" w:rsidRPr="00501E85" w:rsidRDefault="00714751" w:rsidP="00A96EEA"/>
          <w:p w:rsidR="00714751" w:rsidRPr="007543F1" w:rsidRDefault="00714751" w:rsidP="00A96EEA">
            <w:pPr>
              <w:rPr>
                <w:b/>
              </w:rPr>
            </w:pPr>
            <w:r>
              <w:t>J</w:t>
            </w:r>
            <w:r w:rsidRPr="00501E85">
              <w:t>e mreža univerz, podjetij in</w:t>
            </w:r>
            <w:r>
              <w:t xml:space="preserve"> </w:t>
            </w:r>
            <w:r w:rsidRPr="00501E85">
              <w:t>raziskovaln</w:t>
            </w:r>
            <w:r>
              <w:t>ih</w:t>
            </w:r>
            <w:r w:rsidRPr="00501E85">
              <w:t xml:space="preserve"> organizacij, ki ponujajo rešitve</w:t>
            </w:r>
            <w:r>
              <w:t xml:space="preserve"> za </w:t>
            </w:r>
            <w:r w:rsidRPr="00501E85">
              <w:t>blaž</w:t>
            </w:r>
            <w:r>
              <w:t xml:space="preserve">enje </w:t>
            </w:r>
            <w:r w:rsidRPr="00501E85">
              <w:t>ali prilagaja</w:t>
            </w:r>
            <w:r>
              <w:t>nje</w:t>
            </w:r>
            <w:r w:rsidRPr="00501E85">
              <w:t xml:space="preserve"> podnebnim spremembam in pospešujejo uvedbo novih</w:t>
            </w:r>
            <w:r>
              <w:t xml:space="preserve"> </w:t>
            </w:r>
            <w:r w:rsidRPr="00501E85">
              <w:t>rešitve na trgu.</w:t>
            </w:r>
          </w:p>
        </w:tc>
        <w:tc>
          <w:tcPr>
            <w:tcW w:w="1560" w:type="dxa"/>
            <w:shd w:val="clear" w:color="auto" w:fill="auto"/>
            <w:vAlign w:val="center"/>
          </w:tcPr>
          <w:p w:rsidR="00714751" w:rsidRPr="00F64910" w:rsidRDefault="00714751" w:rsidP="00A96EEA">
            <w:pPr>
              <w:jc w:val="center"/>
            </w:pPr>
            <w:r>
              <w:lastRenderedPageBreak/>
              <w:t>/</w:t>
            </w:r>
          </w:p>
        </w:tc>
        <w:tc>
          <w:tcPr>
            <w:tcW w:w="2268" w:type="dxa"/>
            <w:shd w:val="clear" w:color="auto" w:fill="auto"/>
            <w:vAlign w:val="center"/>
          </w:tcPr>
          <w:p w:rsidR="00714751" w:rsidRPr="00F64910" w:rsidRDefault="00714751" w:rsidP="00A96EEA">
            <w:r>
              <w:t>DČ/PČ, industrija, akademski sektor</w:t>
            </w:r>
          </w:p>
        </w:tc>
        <w:tc>
          <w:tcPr>
            <w:tcW w:w="1275" w:type="dxa"/>
            <w:shd w:val="clear" w:color="auto" w:fill="auto"/>
            <w:vAlign w:val="center"/>
          </w:tcPr>
          <w:p w:rsidR="00714751" w:rsidRDefault="00714751" w:rsidP="00A96EEA">
            <w:pPr>
              <w:jc w:val="center"/>
            </w:pPr>
            <w:r>
              <w:t xml:space="preserve">MGRT, </w:t>
            </w:r>
          </w:p>
          <w:p w:rsidR="00714751" w:rsidRDefault="00714751" w:rsidP="00A96EEA">
            <w:pPr>
              <w:jc w:val="center"/>
            </w:pPr>
            <w:r>
              <w:t xml:space="preserve">SVRK, </w:t>
            </w:r>
          </w:p>
          <w:p w:rsidR="00714751" w:rsidRPr="00F64910" w:rsidRDefault="00714751" w:rsidP="00A96EEA">
            <w:pPr>
              <w:jc w:val="center"/>
            </w:pPr>
            <w:r>
              <w:lastRenderedPageBreak/>
              <w:t>MOP</w:t>
            </w:r>
          </w:p>
        </w:tc>
      </w:tr>
      <w:tr w:rsidR="00D17880" w:rsidRPr="00F64910" w:rsidTr="00D17880">
        <w:tc>
          <w:tcPr>
            <w:tcW w:w="5387" w:type="dxa"/>
            <w:shd w:val="clear" w:color="auto" w:fill="FFF2CC"/>
            <w:vAlign w:val="center"/>
          </w:tcPr>
          <w:p w:rsidR="00714751" w:rsidRPr="00501E85" w:rsidRDefault="00714751" w:rsidP="00A96EEA">
            <w:pPr>
              <w:rPr>
                <w:b/>
              </w:rPr>
            </w:pPr>
            <w:r w:rsidRPr="00501E85">
              <w:rPr>
                <w:b/>
              </w:rPr>
              <w:lastRenderedPageBreak/>
              <w:t>38. EIT za inovativne energije</w:t>
            </w:r>
          </w:p>
          <w:p w:rsidR="00714751" w:rsidRDefault="00714751" w:rsidP="00A96EEA">
            <w:r>
              <w:t xml:space="preserve">(EIT </w:t>
            </w:r>
            <w:proofErr w:type="spellStart"/>
            <w:r>
              <w:t>InnoEnergy</w:t>
            </w:r>
            <w:proofErr w:type="spellEnd"/>
            <w:r>
              <w:t>)</w:t>
            </w:r>
          </w:p>
          <w:p w:rsidR="00714751" w:rsidRPr="00501E85" w:rsidRDefault="00714751" w:rsidP="00A96EEA"/>
          <w:p w:rsidR="00714751" w:rsidRPr="00501E85" w:rsidRDefault="00714751" w:rsidP="00A96EEA">
            <w:r w:rsidRPr="00501E85">
              <w:t>Njegov cilj je graditi trajnostno, dolgotrajno delovanje</w:t>
            </w:r>
          </w:p>
          <w:p w:rsidR="00714751" w:rsidRPr="00501E85" w:rsidRDefault="00714751" w:rsidP="00A96EEA">
            <w:r w:rsidRPr="00501E85">
              <w:t>ogrodj</w:t>
            </w:r>
            <w:r>
              <w:t>a</w:t>
            </w:r>
            <w:r w:rsidRPr="00501E85">
              <w:t xml:space="preserve"> med akterji trikotnika znanja v energij</w:t>
            </w:r>
            <w:r>
              <w:t xml:space="preserve">skem </w:t>
            </w:r>
          </w:p>
          <w:p w:rsidR="00714751" w:rsidRPr="00501E85" w:rsidRDefault="00714751" w:rsidP="00A96EEA">
            <w:r>
              <w:t>sektorju</w:t>
            </w:r>
            <w:r w:rsidRPr="00501E85">
              <w:t>, s ciljem pospeševanja ustvarjanja novih talentov,</w:t>
            </w:r>
            <w:r>
              <w:t xml:space="preserve"> </w:t>
            </w:r>
            <w:r w:rsidRPr="00501E85">
              <w:t>pojav</w:t>
            </w:r>
            <w:r>
              <w:t>om</w:t>
            </w:r>
            <w:r w:rsidRPr="00501E85">
              <w:t xml:space="preserve"> in uvajanje</w:t>
            </w:r>
            <w:r>
              <w:t>m</w:t>
            </w:r>
            <w:r w:rsidRPr="00501E85">
              <w:t xml:space="preserve"> novih inovativnih rešitev</w:t>
            </w:r>
          </w:p>
          <w:p w:rsidR="00714751" w:rsidRPr="00F64910" w:rsidRDefault="00714751" w:rsidP="00A96EEA">
            <w:r w:rsidRPr="00501E85">
              <w:t>ter ustanovitev in razvoj podjetij.</w:t>
            </w:r>
          </w:p>
        </w:tc>
        <w:tc>
          <w:tcPr>
            <w:tcW w:w="1560" w:type="dxa"/>
            <w:shd w:val="clear" w:color="auto" w:fill="FFF2CC"/>
            <w:vAlign w:val="center"/>
          </w:tcPr>
          <w:p w:rsidR="00714751" w:rsidRPr="00F64910" w:rsidRDefault="00714751" w:rsidP="00A96EEA">
            <w:pPr>
              <w:jc w:val="center"/>
            </w:pPr>
            <w:r>
              <w:t>/</w:t>
            </w:r>
          </w:p>
        </w:tc>
        <w:tc>
          <w:tcPr>
            <w:tcW w:w="2268" w:type="dxa"/>
            <w:shd w:val="clear" w:color="auto" w:fill="FFF2CC"/>
            <w:vAlign w:val="center"/>
          </w:tcPr>
          <w:p w:rsidR="00714751" w:rsidRPr="00F64910" w:rsidRDefault="00714751" w:rsidP="00A96EEA">
            <w:r>
              <w:t>DČ/PČ, industrija, akademski sektor</w:t>
            </w:r>
          </w:p>
        </w:tc>
        <w:tc>
          <w:tcPr>
            <w:tcW w:w="1275" w:type="dxa"/>
            <w:shd w:val="clear" w:color="auto" w:fill="FFF2CC"/>
            <w:vAlign w:val="center"/>
          </w:tcPr>
          <w:p w:rsidR="00714751" w:rsidRDefault="00714751" w:rsidP="00A96EEA">
            <w:pPr>
              <w:jc w:val="center"/>
            </w:pPr>
            <w:r>
              <w:t xml:space="preserve">MGRT, </w:t>
            </w:r>
          </w:p>
          <w:p w:rsidR="00714751" w:rsidRDefault="00714751" w:rsidP="00A96EEA">
            <w:pPr>
              <w:jc w:val="center"/>
            </w:pPr>
            <w:r>
              <w:t>SVRK,</w:t>
            </w:r>
          </w:p>
          <w:p w:rsidR="00714751" w:rsidRDefault="00714751" w:rsidP="00A96EEA">
            <w:pPr>
              <w:jc w:val="center"/>
            </w:pPr>
            <w:r>
              <w:t>MZI</w:t>
            </w:r>
          </w:p>
          <w:p w:rsidR="00714751" w:rsidRPr="00F64910" w:rsidRDefault="00714751" w:rsidP="00A96EEA">
            <w:pPr>
              <w:jc w:val="center"/>
            </w:pPr>
          </w:p>
        </w:tc>
      </w:tr>
      <w:tr w:rsidR="00D17880" w:rsidRPr="00F64910" w:rsidTr="00D17880">
        <w:tc>
          <w:tcPr>
            <w:tcW w:w="5387" w:type="dxa"/>
            <w:shd w:val="clear" w:color="auto" w:fill="auto"/>
            <w:vAlign w:val="center"/>
          </w:tcPr>
          <w:p w:rsidR="00714751" w:rsidRPr="00501E85" w:rsidRDefault="00714751" w:rsidP="00A96EEA">
            <w:pPr>
              <w:rPr>
                <w:b/>
              </w:rPr>
            </w:pPr>
            <w:r w:rsidRPr="00501E85">
              <w:rPr>
                <w:b/>
              </w:rPr>
              <w:t>39. EIT Digital</w:t>
            </w:r>
          </w:p>
          <w:p w:rsidR="00714751" w:rsidRPr="00501E85" w:rsidRDefault="00714751" w:rsidP="00A96EEA">
            <w:r>
              <w:t>(EIT Digital)</w:t>
            </w:r>
          </w:p>
          <w:p w:rsidR="00714751" w:rsidRPr="00501E85" w:rsidRDefault="00714751" w:rsidP="00A96EEA"/>
          <w:p w:rsidR="00714751" w:rsidRPr="00F64910" w:rsidRDefault="00714751" w:rsidP="00A96EEA">
            <w:r w:rsidRPr="00501E85">
              <w:t>Poslanstvo EIT Digital je spodbujanje digitalnih inovacij in razvoj</w:t>
            </w:r>
            <w:r>
              <w:t xml:space="preserve"> </w:t>
            </w:r>
            <w:r w:rsidRPr="00501E85">
              <w:t>podjetnišk</w:t>
            </w:r>
            <w:r>
              <w:t>ega</w:t>
            </w:r>
            <w:r w:rsidRPr="00501E85">
              <w:t xml:space="preserve"> talent</w:t>
            </w:r>
            <w:r>
              <w:t>a</w:t>
            </w:r>
            <w:r w:rsidRPr="00501E85">
              <w:t>, da bi okrepili ekonomsk</w:t>
            </w:r>
            <w:r>
              <w:t xml:space="preserve">o </w:t>
            </w:r>
            <w:r w:rsidRPr="00501E85">
              <w:t>rast in kakovost življenja po vsej Evropi.</w:t>
            </w:r>
          </w:p>
        </w:tc>
        <w:tc>
          <w:tcPr>
            <w:tcW w:w="1560" w:type="dxa"/>
            <w:shd w:val="clear" w:color="auto" w:fill="auto"/>
            <w:vAlign w:val="center"/>
          </w:tcPr>
          <w:p w:rsidR="00714751" w:rsidRPr="00F64910" w:rsidRDefault="00714751" w:rsidP="00A96EEA">
            <w:pPr>
              <w:jc w:val="center"/>
            </w:pPr>
            <w:r>
              <w:t>/</w:t>
            </w:r>
          </w:p>
        </w:tc>
        <w:tc>
          <w:tcPr>
            <w:tcW w:w="2268" w:type="dxa"/>
            <w:shd w:val="clear" w:color="auto" w:fill="auto"/>
            <w:vAlign w:val="center"/>
          </w:tcPr>
          <w:p w:rsidR="00714751" w:rsidRPr="00F64910" w:rsidRDefault="00714751" w:rsidP="00A96EEA">
            <w:r>
              <w:t>DČ/PČ, industrija, akademski sektor</w:t>
            </w:r>
          </w:p>
        </w:tc>
        <w:tc>
          <w:tcPr>
            <w:tcW w:w="1275" w:type="dxa"/>
            <w:shd w:val="clear" w:color="auto" w:fill="auto"/>
            <w:vAlign w:val="center"/>
          </w:tcPr>
          <w:p w:rsidR="00714751" w:rsidRDefault="00714751" w:rsidP="00A96EEA">
            <w:pPr>
              <w:jc w:val="center"/>
            </w:pPr>
            <w:r>
              <w:t xml:space="preserve">MGRT, </w:t>
            </w:r>
          </w:p>
          <w:p w:rsidR="00714751" w:rsidRDefault="00714751" w:rsidP="00A96EEA">
            <w:pPr>
              <w:jc w:val="center"/>
            </w:pPr>
            <w:r>
              <w:t xml:space="preserve">SVRK, </w:t>
            </w:r>
          </w:p>
          <w:p w:rsidR="00714751" w:rsidRPr="00F64910" w:rsidRDefault="00714751" w:rsidP="00A96EEA">
            <w:pPr>
              <w:jc w:val="center"/>
            </w:pPr>
            <w:r>
              <w:t>MJU</w:t>
            </w:r>
          </w:p>
        </w:tc>
      </w:tr>
      <w:tr w:rsidR="00D17880" w:rsidRPr="00F64910" w:rsidTr="00D17880">
        <w:tc>
          <w:tcPr>
            <w:tcW w:w="5387" w:type="dxa"/>
            <w:shd w:val="clear" w:color="auto" w:fill="FFF2CC"/>
            <w:vAlign w:val="center"/>
          </w:tcPr>
          <w:p w:rsidR="00714751" w:rsidRDefault="00714751" w:rsidP="00A96EEA">
            <w:pPr>
              <w:rPr>
                <w:b/>
              </w:rPr>
            </w:pPr>
            <w:r>
              <w:rPr>
                <w:b/>
              </w:rPr>
              <w:t>40. EIT zdravje</w:t>
            </w:r>
          </w:p>
          <w:p w:rsidR="00714751" w:rsidRDefault="00714751" w:rsidP="00A96EEA">
            <w:r>
              <w:t xml:space="preserve">(EIT </w:t>
            </w:r>
            <w:proofErr w:type="spellStart"/>
            <w:r>
              <w:t>Health</w:t>
            </w:r>
            <w:proofErr w:type="spellEnd"/>
            <w:r>
              <w:t>)</w:t>
            </w:r>
          </w:p>
          <w:p w:rsidR="00714751" w:rsidRDefault="00714751" w:rsidP="00A96EEA"/>
          <w:p w:rsidR="00714751" w:rsidRPr="00501E85" w:rsidRDefault="00714751" w:rsidP="00A96EEA">
            <w:r w:rsidRPr="00501E85">
              <w:t xml:space="preserve">EIT </w:t>
            </w:r>
            <w:proofErr w:type="spellStart"/>
            <w:r w:rsidRPr="00501E85">
              <w:t>Health</w:t>
            </w:r>
            <w:proofErr w:type="spellEnd"/>
            <w:r w:rsidRPr="00501E85">
              <w:t xml:space="preserve"> je mre</w:t>
            </w:r>
            <w:r>
              <w:t xml:space="preserve">ža univerz, podjetij in raziskovalnih </w:t>
            </w:r>
            <w:r w:rsidRPr="00501E85">
              <w:t>organizacij, ki ponuja</w:t>
            </w:r>
            <w:r>
              <w:t>jo rešitve za omogočanje evropskim</w:t>
            </w:r>
            <w:r w:rsidRPr="00501E85">
              <w:t xml:space="preserve"> državljano</w:t>
            </w:r>
            <w:r>
              <w:t xml:space="preserve">m </w:t>
            </w:r>
            <w:r w:rsidRPr="00501E85">
              <w:t>živeti dlje in bolj zdravo življenje s spodbujanjem inovacij.</w:t>
            </w:r>
          </w:p>
        </w:tc>
        <w:tc>
          <w:tcPr>
            <w:tcW w:w="1560" w:type="dxa"/>
            <w:shd w:val="clear" w:color="auto" w:fill="FFF2CC"/>
            <w:vAlign w:val="center"/>
          </w:tcPr>
          <w:p w:rsidR="00714751" w:rsidRPr="00F64910" w:rsidRDefault="00714751" w:rsidP="00A96EEA">
            <w:pPr>
              <w:jc w:val="center"/>
            </w:pPr>
            <w:r>
              <w:t>/</w:t>
            </w:r>
          </w:p>
        </w:tc>
        <w:tc>
          <w:tcPr>
            <w:tcW w:w="2268" w:type="dxa"/>
            <w:shd w:val="clear" w:color="auto" w:fill="FFF2CC"/>
            <w:vAlign w:val="center"/>
          </w:tcPr>
          <w:p w:rsidR="00714751" w:rsidRPr="00F64910" w:rsidRDefault="00714751" w:rsidP="00A96EEA">
            <w:r>
              <w:t>DČ/PČ, industrija, akademski sektor</w:t>
            </w:r>
          </w:p>
        </w:tc>
        <w:tc>
          <w:tcPr>
            <w:tcW w:w="1275" w:type="dxa"/>
            <w:shd w:val="clear" w:color="auto" w:fill="FFF2CC"/>
            <w:vAlign w:val="center"/>
          </w:tcPr>
          <w:p w:rsidR="00714751" w:rsidRDefault="00714751" w:rsidP="00A96EEA">
            <w:pPr>
              <w:jc w:val="center"/>
            </w:pPr>
            <w:r>
              <w:t xml:space="preserve">MGRT, </w:t>
            </w:r>
          </w:p>
          <w:p w:rsidR="00714751" w:rsidRDefault="00714751" w:rsidP="00A96EEA">
            <w:pPr>
              <w:jc w:val="center"/>
            </w:pPr>
            <w:r>
              <w:t xml:space="preserve">SVRK, </w:t>
            </w:r>
          </w:p>
          <w:p w:rsidR="00714751" w:rsidRPr="00F64910" w:rsidRDefault="00714751" w:rsidP="00A96EEA">
            <w:pPr>
              <w:jc w:val="center"/>
            </w:pPr>
            <w:r>
              <w:t>MZ</w:t>
            </w:r>
          </w:p>
        </w:tc>
      </w:tr>
      <w:tr w:rsidR="00D17880" w:rsidRPr="00F64910" w:rsidTr="00D17880">
        <w:tc>
          <w:tcPr>
            <w:tcW w:w="5387" w:type="dxa"/>
            <w:shd w:val="clear" w:color="auto" w:fill="auto"/>
            <w:vAlign w:val="center"/>
          </w:tcPr>
          <w:p w:rsidR="00714751" w:rsidRPr="00501E85" w:rsidRDefault="00714751" w:rsidP="00A96EEA">
            <w:pPr>
              <w:rPr>
                <w:b/>
              </w:rPr>
            </w:pPr>
            <w:r w:rsidRPr="00501E85">
              <w:rPr>
                <w:b/>
              </w:rPr>
              <w:t>41. EIT hrana</w:t>
            </w:r>
          </w:p>
          <w:p w:rsidR="00714751" w:rsidRDefault="00714751" w:rsidP="00A96EEA">
            <w:r>
              <w:t xml:space="preserve">(EIT </w:t>
            </w:r>
            <w:proofErr w:type="spellStart"/>
            <w:r>
              <w:t>Food</w:t>
            </w:r>
            <w:proofErr w:type="spellEnd"/>
            <w:r>
              <w:t>)</w:t>
            </w:r>
          </w:p>
          <w:p w:rsidR="00714751" w:rsidRPr="00501E85" w:rsidRDefault="00714751" w:rsidP="00A96EEA"/>
          <w:p w:rsidR="00714751" w:rsidRPr="00F64910" w:rsidRDefault="00714751" w:rsidP="00A96EEA">
            <w:r w:rsidRPr="00501E85">
              <w:t xml:space="preserve">EIT </w:t>
            </w:r>
            <w:proofErr w:type="spellStart"/>
            <w:r w:rsidRPr="00501E85">
              <w:t>Food</w:t>
            </w:r>
            <w:proofErr w:type="spellEnd"/>
            <w:r w:rsidRPr="00501E85">
              <w:t xml:space="preserve"> je mr</w:t>
            </w:r>
            <w:r>
              <w:t xml:space="preserve">eža univerz, podjetij in raziskovalnih </w:t>
            </w:r>
            <w:r w:rsidRPr="00501E85">
              <w:t>organizacije, ki ponujajo rešitve za razvoj visoko usposobljenih</w:t>
            </w:r>
            <w:r>
              <w:t xml:space="preserve"> </w:t>
            </w:r>
            <w:proofErr w:type="spellStart"/>
            <w:r w:rsidRPr="00501E85">
              <w:t>prehrambeni</w:t>
            </w:r>
            <w:r>
              <w:t>h</w:t>
            </w:r>
            <w:proofErr w:type="spellEnd"/>
            <w:r w:rsidRPr="00501E85">
              <w:t xml:space="preserve"> sektor</w:t>
            </w:r>
            <w:r>
              <w:t>jev</w:t>
            </w:r>
            <w:r w:rsidRPr="00501E85">
              <w:t xml:space="preserve">. EIT </w:t>
            </w:r>
            <w:proofErr w:type="spellStart"/>
            <w:r w:rsidRPr="00501E85">
              <w:t>Food</w:t>
            </w:r>
            <w:proofErr w:type="spellEnd"/>
            <w:r w:rsidRPr="00501E85">
              <w:t xml:space="preserve"> sodeluje s potrošniki</w:t>
            </w:r>
            <w:r>
              <w:t xml:space="preserve">, z namenom razvoja </w:t>
            </w:r>
            <w:r w:rsidRPr="00501E85">
              <w:t>izdelkov, storitev in novih tehnologij, ki zagotavljajo</w:t>
            </w:r>
            <w:r>
              <w:t xml:space="preserve"> </w:t>
            </w:r>
            <w:r w:rsidRPr="00501E85">
              <w:t>bolj zdrav življenjski slog za vse evropske državljane.</w:t>
            </w:r>
          </w:p>
        </w:tc>
        <w:tc>
          <w:tcPr>
            <w:tcW w:w="1560" w:type="dxa"/>
            <w:shd w:val="clear" w:color="auto" w:fill="auto"/>
            <w:vAlign w:val="center"/>
          </w:tcPr>
          <w:p w:rsidR="00714751" w:rsidRPr="00F64910" w:rsidRDefault="00714751" w:rsidP="00A96EEA">
            <w:pPr>
              <w:jc w:val="center"/>
            </w:pPr>
            <w:r>
              <w:t>/</w:t>
            </w:r>
          </w:p>
        </w:tc>
        <w:tc>
          <w:tcPr>
            <w:tcW w:w="2268" w:type="dxa"/>
            <w:shd w:val="clear" w:color="auto" w:fill="auto"/>
            <w:vAlign w:val="center"/>
          </w:tcPr>
          <w:p w:rsidR="00714751" w:rsidRPr="00F64910" w:rsidRDefault="00714751" w:rsidP="00A96EEA">
            <w:r>
              <w:t>DČ/PČ, industrija, akademski sektor</w:t>
            </w:r>
          </w:p>
        </w:tc>
        <w:tc>
          <w:tcPr>
            <w:tcW w:w="1275" w:type="dxa"/>
            <w:shd w:val="clear" w:color="auto" w:fill="auto"/>
            <w:vAlign w:val="center"/>
          </w:tcPr>
          <w:p w:rsidR="00714751" w:rsidRDefault="00714751" w:rsidP="00A96EEA">
            <w:pPr>
              <w:jc w:val="center"/>
            </w:pPr>
            <w:r>
              <w:t xml:space="preserve">MGRT, </w:t>
            </w:r>
          </w:p>
          <w:p w:rsidR="00714751" w:rsidRDefault="00714751" w:rsidP="00A96EEA">
            <w:pPr>
              <w:jc w:val="center"/>
            </w:pPr>
            <w:r>
              <w:t xml:space="preserve">SVRK, </w:t>
            </w:r>
          </w:p>
          <w:p w:rsidR="00714751" w:rsidRPr="00F64910" w:rsidRDefault="00714751" w:rsidP="00A96EEA">
            <w:pPr>
              <w:jc w:val="center"/>
            </w:pPr>
            <w:r>
              <w:t>MKGP</w:t>
            </w:r>
          </w:p>
        </w:tc>
      </w:tr>
      <w:tr w:rsidR="00D17880" w:rsidRPr="00F64910" w:rsidTr="00D17880">
        <w:tc>
          <w:tcPr>
            <w:tcW w:w="5387" w:type="dxa"/>
            <w:shd w:val="clear" w:color="auto" w:fill="FFF2CC"/>
            <w:vAlign w:val="center"/>
          </w:tcPr>
          <w:p w:rsidR="00714751" w:rsidRPr="008B0228" w:rsidRDefault="00714751" w:rsidP="00A96EEA">
            <w:pPr>
              <w:rPr>
                <w:b/>
              </w:rPr>
            </w:pPr>
            <w:r w:rsidRPr="008B0228">
              <w:rPr>
                <w:b/>
              </w:rPr>
              <w:lastRenderedPageBreak/>
              <w:t>42. EIT proizvodnja</w:t>
            </w:r>
          </w:p>
          <w:p w:rsidR="00714751" w:rsidRDefault="00714751" w:rsidP="00A96EEA">
            <w:r>
              <w:t xml:space="preserve">(EIT </w:t>
            </w:r>
            <w:proofErr w:type="spellStart"/>
            <w:r>
              <w:t>Manufacturing</w:t>
            </w:r>
            <w:proofErr w:type="spellEnd"/>
            <w:r>
              <w:t>)</w:t>
            </w:r>
          </w:p>
          <w:p w:rsidR="00714751" w:rsidRPr="008B0228" w:rsidRDefault="00714751" w:rsidP="00A96EEA"/>
          <w:p w:rsidR="00714751" w:rsidRPr="00F64910" w:rsidRDefault="00714751" w:rsidP="00A96EEA">
            <w:r>
              <w:t xml:space="preserve">EIT </w:t>
            </w:r>
            <w:proofErr w:type="spellStart"/>
            <w:r>
              <w:t>Manufacturing</w:t>
            </w:r>
            <w:proofErr w:type="spellEnd"/>
            <w:r>
              <w:t xml:space="preserve"> je</w:t>
            </w:r>
            <w:r w:rsidRPr="008B0228">
              <w:t xml:space="preserve"> mreža univerz, podjetij</w:t>
            </w:r>
            <w:r>
              <w:t xml:space="preserve"> in raziskovalnih</w:t>
            </w:r>
            <w:r w:rsidRPr="008B0228">
              <w:t xml:space="preserve"> organizacij, ki ponujajo rešitve za </w:t>
            </w:r>
            <w:r>
              <w:t>p</w:t>
            </w:r>
            <w:r w:rsidRPr="008B0228">
              <w:t>reoblikovanje</w:t>
            </w:r>
            <w:r>
              <w:t xml:space="preserve"> </w:t>
            </w:r>
            <w:r w:rsidRPr="008B0228">
              <w:t>današnjih industrijskih oblik proizvodnje</w:t>
            </w:r>
            <w:r>
              <w:t xml:space="preserve"> in predelovalnih tehnologij</w:t>
            </w:r>
            <w:r w:rsidRPr="008B0228">
              <w:t xml:space="preserve"> v smeri trajnostn</w:t>
            </w:r>
            <w:r>
              <w:t>e</w:t>
            </w:r>
            <w:r w:rsidRPr="008B0228">
              <w:t xml:space="preserve">, </w:t>
            </w:r>
            <w:r>
              <w:t xml:space="preserve">medsektorske proizvodnje in proizvodnje z nizkimi emisijami za zagotavljanje inovativnih izdelkov, procesov in storitev. </w:t>
            </w:r>
          </w:p>
        </w:tc>
        <w:tc>
          <w:tcPr>
            <w:tcW w:w="1560" w:type="dxa"/>
            <w:shd w:val="clear" w:color="auto" w:fill="FFF2CC"/>
            <w:vAlign w:val="center"/>
          </w:tcPr>
          <w:p w:rsidR="00714751" w:rsidRPr="00F64910" w:rsidRDefault="00714751" w:rsidP="00A96EEA">
            <w:pPr>
              <w:jc w:val="center"/>
            </w:pPr>
            <w:r>
              <w:t>/</w:t>
            </w:r>
          </w:p>
        </w:tc>
        <w:tc>
          <w:tcPr>
            <w:tcW w:w="2268" w:type="dxa"/>
            <w:shd w:val="clear" w:color="auto" w:fill="FFF2CC"/>
            <w:vAlign w:val="center"/>
          </w:tcPr>
          <w:p w:rsidR="00714751" w:rsidRPr="00F64910" w:rsidRDefault="00714751" w:rsidP="00A96EEA">
            <w:r>
              <w:t>DČ/PČ, industrija, akademski sektor</w:t>
            </w:r>
          </w:p>
        </w:tc>
        <w:tc>
          <w:tcPr>
            <w:tcW w:w="1275" w:type="dxa"/>
            <w:shd w:val="clear" w:color="auto" w:fill="FFF2CC"/>
            <w:vAlign w:val="center"/>
          </w:tcPr>
          <w:p w:rsidR="00714751" w:rsidRDefault="00714751" w:rsidP="00A96EEA">
            <w:pPr>
              <w:jc w:val="center"/>
            </w:pPr>
            <w:r>
              <w:t xml:space="preserve">MGRT, </w:t>
            </w:r>
          </w:p>
          <w:p w:rsidR="00714751" w:rsidRPr="00F64910" w:rsidRDefault="00714751" w:rsidP="00A96EEA">
            <w:pPr>
              <w:jc w:val="center"/>
            </w:pPr>
            <w:r>
              <w:t>SVRK</w:t>
            </w:r>
          </w:p>
        </w:tc>
      </w:tr>
      <w:tr w:rsidR="00D17880" w:rsidRPr="00F64910" w:rsidTr="00D17880">
        <w:tc>
          <w:tcPr>
            <w:tcW w:w="5387" w:type="dxa"/>
            <w:shd w:val="clear" w:color="auto" w:fill="auto"/>
            <w:vAlign w:val="center"/>
          </w:tcPr>
          <w:p w:rsidR="00714751" w:rsidRDefault="00714751" w:rsidP="00A96EEA">
            <w:pPr>
              <w:rPr>
                <w:b/>
              </w:rPr>
            </w:pPr>
            <w:r w:rsidRPr="008B0228">
              <w:rPr>
                <w:b/>
              </w:rPr>
              <w:t xml:space="preserve">43. EIT </w:t>
            </w:r>
            <w:r>
              <w:rPr>
                <w:b/>
              </w:rPr>
              <w:t>s</w:t>
            </w:r>
            <w:r w:rsidRPr="008B0228">
              <w:rPr>
                <w:b/>
              </w:rPr>
              <w:t>urovine</w:t>
            </w:r>
          </w:p>
          <w:p w:rsidR="00714751" w:rsidRDefault="00714751" w:rsidP="00A96EEA">
            <w:r>
              <w:t xml:space="preserve">(EIT </w:t>
            </w:r>
            <w:proofErr w:type="spellStart"/>
            <w:r>
              <w:t>Raw</w:t>
            </w:r>
            <w:proofErr w:type="spellEnd"/>
            <w:r>
              <w:t xml:space="preserve"> </w:t>
            </w:r>
            <w:proofErr w:type="spellStart"/>
            <w:r>
              <w:t>Materials</w:t>
            </w:r>
            <w:proofErr w:type="spellEnd"/>
            <w:r>
              <w:t>)</w:t>
            </w:r>
          </w:p>
          <w:p w:rsidR="00714751" w:rsidRPr="008B0228" w:rsidRDefault="00714751" w:rsidP="00A96EEA"/>
          <w:p w:rsidR="00714751" w:rsidRPr="00F64910" w:rsidRDefault="00714751" w:rsidP="00A96EEA">
            <w:r w:rsidRPr="008B0228">
              <w:t xml:space="preserve">EIT </w:t>
            </w:r>
            <w:proofErr w:type="spellStart"/>
            <w:r w:rsidRPr="008B0228">
              <w:t>RawMaterials</w:t>
            </w:r>
            <w:proofErr w:type="spellEnd"/>
            <w:r w:rsidRPr="008B0228">
              <w:t xml:space="preserve"> je mreža univerz, podjetij in</w:t>
            </w:r>
            <w:r>
              <w:t xml:space="preserve"> r</w:t>
            </w:r>
            <w:r w:rsidRPr="008B0228">
              <w:t>aziskovaln</w:t>
            </w:r>
            <w:r>
              <w:t xml:space="preserve">ih </w:t>
            </w:r>
            <w:r w:rsidRPr="008B0228">
              <w:t xml:space="preserve">organizacije ki ponujajo rešitve za </w:t>
            </w:r>
            <w:r>
              <w:t>p</w:t>
            </w:r>
            <w:r w:rsidRPr="008B0228">
              <w:t>ovečanje</w:t>
            </w:r>
            <w:r>
              <w:t xml:space="preserve"> </w:t>
            </w:r>
            <w:r w:rsidRPr="008B0228">
              <w:t>konkurenčnost, rast in privlačnost evropsk</w:t>
            </w:r>
            <w:r>
              <w:t xml:space="preserve">ega sektorja </w:t>
            </w:r>
            <w:r w:rsidRPr="008B0228">
              <w:t xml:space="preserve">surovin preko radikalnih inovacij, novih </w:t>
            </w:r>
            <w:r>
              <w:t>i</w:t>
            </w:r>
            <w:r w:rsidRPr="008B0228">
              <w:t>zobraževalnih</w:t>
            </w:r>
            <w:r>
              <w:t xml:space="preserve"> </w:t>
            </w:r>
            <w:r w:rsidRPr="008B0228">
              <w:t>pristopov in vodenega podjetništva.</w:t>
            </w:r>
          </w:p>
        </w:tc>
        <w:tc>
          <w:tcPr>
            <w:tcW w:w="1560" w:type="dxa"/>
            <w:shd w:val="clear" w:color="auto" w:fill="auto"/>
            <w:vAlign w:val="center"/>
          </w:tcPr>
          <w:p w:rsidR="00714751" w:rsidRPr="00F64910" w:rsidRDefault="00714751" w:rsidP="00A96EEA">
            <w:pPr>
              <w:jc w:val="center"/>
            </w:pPr>
            <w:r>
              <w:t>/</w:t>
            </w:r>
          </w:p>
        </w:tc>
        <w:tc>
          <w:tcPr>
            <w:tcW w:w="2268" w:type="dxa"/>
            <w:shd w:val="clear" w:color="auto" w:fill="auto"/>
            <w:vAlign w:val="center"/>
          </w:tcPr>
          <w:p w:rsidR="00714751" w:rsidRPr="00F64910" w:rsidRDefault="00714751" w:rsidP="00A96EEA">
            <w:r>
              <w:t>DČ/PČ, industrija, akademski sektor</w:t>
            </w:r>
          </w:p>
        </w:tc>
        <w:tc>
          <w:tcPr>
            <w:tcW w:w="1275" w:type="dxa"/>
            <w:shd w:val="clear" w:color="auto" w:fill="auto"/>
            <w:vAlign w:val="center"/>
          </w:tcPr>
          <w:p w:rsidR="00714751" w:rsidRDefault="00714751" w:rsidP="00A96EEA">
            <w:pPr>
              <w:jc w:val="center"/>
            </w:pPr>
            <w:r>
              <w:t xml:space="preserve">MGRT, </w:t>
            </w:r>
          </w:p>
          <w:p w:rsidR="00714751" w:rsidRPr="00F64910" w:rsidRDefault="00714751" w:rsidP="00A96EEA">
            <w:pPr>
              <w:jc w:val="center"/>
            </w:pPr>
            <w:r>
              <w:t>SVRK</w:t>
            </w:r>
          </w:p>
        </w:tc>
      </w:tr>
      <w:tr w:rsidR="00D17880" w:rsidRPr="00F64910" w:rsidTr="00D17880">
        <w:tc>
          <w:tcPr>
            <w:tcW w:w="5387" w:type="dxa"/>
            <w:shd w:val="clear" w:color="auto" w:fill="FFF2CC"/>
            <w:vAlign w:val="center"/>
          </w:tcPr>
          <w:p w:rsidR="00714751" w:rsidRDefault="00714751" w:rsidP="00A96EEA">
            <w:pPr>
              <w:rPr>
                <w:b/>
              </w:rPr>
            </w:pPr>
            <w:r>
              <w:rPr>
                <w:b/>
              </w:rPr>
              <w:t>44. EIT u</w:t>
            </w:r>
            <w:r w:rsidRPr="008B0228">
              <w:rPr>
                <w:b/>
              </w:rPr>
              <w:t xml:space="preserve">rbana mobilnost </w:t>
            </w:r>
          </w:p>
          <w:p w:rsidR="00714751" w:rsidRDefault="00714751" w:rsidP="00A96EEA">
            <w:pPr>
              <w:rPr>
                <w:b/>
              </w:rPr>
            </w:pPr>
            <w:r>
              <w:t xml:space="preserve">(EIT Urban </w:t>
            </w:r>
            <w:proofErr w:type="spellStart"/>
            <w:r>
              <w:t>Mobility</w:t>
            </w:r>
            <w:proofErr w:type="spellEnd"/>
            <w:r>
              <w:t>)</w:t>
            </w:r>
          </w:p>
          <w:p w:rsidR="00714751" w:rsidRDefault="00714751" w:rsidP="00A96EEA">
            <w:pPr>
              <w:rPr>
                <w:b/>
              </w:rPr>
            </w:pPr>
          </w:p>
          <w:p w:rsidR="00714751" w:rsidRPr="008B0228" w:rsidRDefault="00714751" w:rsidP="00A96EEA">
            <w:pPr>
              <w:rPr>
                <w:b/>
              </w:rPr>
            </w:pPr>
            <w:r>
              <w:t xml:space="preserve">EIT Urban </w:t>
            </w:r>
            <w:proofErr w:type="spellStart"/>
            <w:r>
              <w:t>Mobility</w:t>
            </w:r>
            <w:proofErr w:type="spellEnd"/>
            <w:r>
              <w:t xml:space="preserve"> je </w:t>
            </w:r>
            <w:r w:rsidRPr="008B0228">
              <w:t>mreža univerz, podjetij</w:t>
            </w:r>
            <w:r>
              <w:t xml:space="preserve"> in raziskovalnih</w:t>
            </w:r>
            <w:r w:rsidRPr="008B0228">
              <w:t xml:space="preserve"> organizacij, ki ponujajo rešitve za razvoj</w:t>
            </w:r>
            <w:r>
              <w:t xml:space="preserve"> </w:t>
            </w:r>
            <w:r w:rsidRPr="008B0228">
              <w:t>okolju prijaznejši, bolj vključujoč</w:t>
            </w:r>
            <w:r>
              <w:t>ih</w:t>
            </w:r>
            <w:r w:rsidRPr="008B0228">
              <w:t>, varnejši</w:t>
            </w:r>
            <w:r>
              <w:t>h</w:t>
            </w:r>
            <w:r w:rsidRPr="008B0228">
              <w:t xml:space="preserve"> in pametnejši</w:t>
            </w:r>
            <w:r>
              <w:t>h</w:t>
            </w:r>
            <w:r w:rsidRPr="008B0228">
              <w:t xml:space="preserve"> mestni</w:t>
            </w:r>
            <w:r>
              <w:t>h</w:t>
            </w:r>
            <w:r w:rsidRPr="008B0228">
              <w:t xml:space="preserve"> promet</w:t>
            </w:r>
            <w:r>
              <w:t xml:space="preserve">nih </w:t>
            </w:r>
            <w:r w:rsidRPr="008B0228">
              <w:t>sistem</w:t>
            </w:r>
            <w:r>
              <w:t>ov</w:t>
            </w:r>
            <w:r w:rsidRPr="008B0228">
              <w:t>.</w:t>
            </w:r>
          </w:p>
        </w:tc>
        <w:tc>
          <w:tcPr>
            <w:tcW w:w="1560" w:type="dxa"/>
            <w:shd w:val="clear" w:color="auto" w:fill="FFF2CC"/>
            <w:vAlign w:val="center"/>
          </w:tcPr>
          <w:p w:rsidR="00714751" w:rsidRPr="00F64910" w:rsidRDefault="00714751" w:rsidP="00A96EEA">
            <w:pPr>
              <w:jc w:val="center"/>
            </w:pPr>
            <w:r>
              <w:t>/</w:t>
            </w:r>
          </w:p>
        </w:tc>
        <w:tc>
          <w:tcPr>
            <w:tcW w:w="2268" w:type="dxa"/>
            <w:shd w:val="clear" w:color="auto" w:fill="FFF2CC"/>
            <w:vAlign w:val="center"/>
          </w:tcPr>
          <w:p w:rsidR="00714751" w:rsidRPr="00F64910" w:rsidRDefault="00714751" w:rsidP="00A96EEA">
            <w:r>
              <w:t>DČ/PČ, industrija, akademski sektor</w:t>
            </w:r>
          </w:p>
        </w:tc>
        <w:tc>
          <w:tcPr>
            <w:tcW w:w="1275" w:type="dxa"/>
            <w:shd w:val="clear" w:color="auto" w:fill="FFF2CC"/>
            <w:vAlign w:val="center"/>
          </w:tcPr>
          <w:p w:rsidR="00714751" w:rsidRDefault="00714751" w:rsidP="00A96EEA">
            <w:pPr>
              <w:jc w:val="center"/>
            </w:pPr>
            <w:r>
              <w:t xml:space="preserve">MGRT, </w:t>
            </w:r>
          </w:p>
          <w:p w:rsidR="00714751" w:rsidRDefault="00714751" w:rsidP="00A96EEA">
            <w:pPr>
              <w:jc w:val="center"/>
            </w:pPr>
            <w:r>
              <w:t xml:space="preserve">SVRK, </w:t>
            </w:r>
          </w:p>
          <w:p w:rsidR="00714751" w:rsidRPr="00F64910" w:rsidRDefault="00714751" w:rsidP="00A96EEA">
            <w:pPr>
              <w:jc w:val="center"/>
            </w:pPr>
            <w:r>
              <w:t>MZI</w:t>
            </w:r>
          </w:p>
        </w:tc>
      </w:tr>
      <w:tr w:rsidR="00714751" w:rsidRPr="00F64910" w:rsidTr="00D17880">
        <w:tc>
          <w:tcPr>
            <w:tcW w:w="10490" w:type="dxa"/>
            <w:gridSpan w:val="4"/>
            <w:shd w:val="clear" w:color="auto" w:fill="FFC000"/>
            <w:vAlign w:val="center"/>
          </w:tcPr>
          <w:p w:rsidR="00714751" w:rsidRPr="00F64910" w:rsidRDefault="00714751" w:rsidP="00A96EEA">
            <w:pPr>
              <w:rPr>
                <w:b/>
                <w:color w:val="FFFFFF"/>
              </w:rPr>
            </w:pPr>
            <w:r>
              <w:rPr>
                <w:b/>
                <w:color w:val="FFFFFF"/>
              </w:rPr>
              <w:t>DODATNIH 8 PREDLOGOV ZA PARTNERSTVA / ADDITIONAL 8 PARTNERSHIPS</w:t>
            </w:r>
          </w:p>
        </w:tc>
      </w:tr>
      <w:tr w:rsidR="00D17880" w:rsidRPr="00F64910" w:rsidTr="00D17880">
        <w:tc>
          <w:tcPr>
            <w:tcW w:w="5387" w:type="dxa"/>
            <w:shd w:val="clear" w:color="auto" w:fill="auto"/>
            <w:vAlign w:val="center"/>
          </w:tcPr>
          <w:p w:rsidR="00714751" w:rsidRPr="0010259B" w:rsidRDefault="00714751" w:rsidP="00A96EEA">
            <w:pPr>
              <w:rPr>
                <w:b/>
              </w:rPr>
            </w:pPr>
            <w:r w:rsidRPr="0010259B">
              <w:rPr>
                <w:b/>
              </w:rPr>
              <w:t>1. Gozdarstvo</w:t>
            </w:r>
          </w:p>
          <w:p w:rsidR="00714751" w:rsidRPr="00F64910" w:rsidRDefault="00714751" w:rsidP="00A96EEA">
            <w:r>
              <w:t>(</w:t>
            </w:r>
            <w:proofErr w:type="spellStart"/>
            <w:r>
              <w:t>Forestry</w:t>
            </w:r>
            <w:proofErr w:type="spellEnd"/>
            <w:r>
              <w:t>)</w:t>
            </w:r>
          </w:p>
        </w:tc>
        <w:tc>
          <w:tcPr>
            <w:tcW w:w="1560" w:type="dxa"/>
            <w:shd w:val="clear" w:color="auto" w:fill="auto"/>
            <w:vAlign w:val="center"/>
          </w:tcPr>
          <w:p w:rsidR="00714751" w:rsidRDefault="00714751" w:rsidP="00A96EEA">
            <w:pPr>
              <w:jc w:val="center"/>
            </w:pPr>
            <w:r>
              <w:t>Obstoječi in pretekli ERA-NET Cofund:</w:t>
            </w:r>
          </w:p>
          <w:p w:rsidR="00714751" w:rsidRPr="00F64910" w:rsidRDefault="00714751" w:rsidP="00A96EEA">
            <w:pPr>
              <w:jc w:val="center"/>
            </w:pPr>
            <w:proofErr w:type="spellStart"/>
            <w:r w:rsidRPr="00226817">
              <w:rPr>
                <w:sz w:val="18"/>
              </w:rPr>
              <w:t>WoodWisdom</w:t>
            </w:r>
            <w:proofErr w:type="spellEnd"/>
            <w:r>
              <w:t xml:space="preserve">, SUMFOREST, </w:t>
            </w:r>
            <w:r w:rsidRPr="00226817">
              <w:rPr>
                <w:sz w:val="18"/>
              </w:rPr>
              <w:t>FORESTVALUE</w:t>
            </w:r>
          </w:p>
        </w:tc>
        <w:tc>
          <w:tcPr>
            <w:tcW w:w="2268" w:type="dxa"/>
            <w:shd w:val="clear" w:color="auto" w:fill="auto"/>
            <w:vAlign w:val="center"/>
          </w:tcPr>
          <w:p w:rsidR="00714751" w:rsidRPr="00F64910" w:rsidRDefault="00714751" w:rsidP="00A96EEA">
            <w:r>
              <w:t>DČ/ PČ</w:t>
            </w:r>
          </w:p>
        </w:tc>
        <w:tc>
          <w:tcPr>
            <w:tcW w:w="1275" w:type="dxa"/>
            <w:shd w:val="clear" w:color="auto" w:fill="auto"/>
            <w:vAlign w:val="center"/>
          </w:tcPr>
          <w:p w:rsidR="00714751" w:rsidRPr="00F64910" w:rsidRDefault="00714751" w:rsidP="00A96EEA">
            <w:pPr>
              <w:jc w:val="center"/>
            </w:pPr>
            <w:r>
              <w:t>MKGP</w:t>
            </w:r>
          </w:p>
        </w:tc>
      </w:tr>
      <w:tr w:rsidR="00D17880" w:rsidRPr="00F64910" w:rsidTr="00D17880">
        <w:tc>
          <w:tcPr>
            <w:tcW w:w="5387" w:type="dxa"/>
            <w:shd w:val="clear" w:color="auto" w:fill="FFF2CC"/>
            <w:vAlign w:val="center"/>
          </w:tcPr>
          <w:p w:rsidR="00714751" w:rsidRPr="0010259B" w:rsidRDefault="00714751" w:rsidP="00A96EEA">
            <w:pPr>
              <w:rPr>
                <w:b/>
              </w:rPr>
            </w:pPr>
            <w:r w:rsidRPr="0010259B">
              <w:rPr>
                <w:b/>
              </w:rPr>
              <w:t>2. Geološki zavodi za Evropo</w:t>
            </w:r>
          </w:p>
          <w:p w:rsidR="00714751" w:rsidRPr="00F64910" w:rsidRDefault="00714751" w:rsidP="00A96EEA">
            <w:r>
              <w:t>(</w:t>
            </w:r>
            <w:proofErr w:type="spellStart"/>
            <w:r>
              <w:t>Geological</w:t>
            </w:r>
            <w:proofErr w:type="spellEnd"/>
            <w:r>
              <w:t xml:space="preserve"> </w:t>
            </w:r>
            <w:proofErr w:type="spellStart"/>
            <w:r>
              <w:t>Service</w:t>
            </w:r>
            <w:proofErr w:type="spellEnd"/>
            <w:r>
              <w:t xml:space="preserve"> for Europe)</w:t>
            </w:r>
          </w:p>
        </w:tc>
        <w:tc>
          <w:tcPr>
            <w:tcW w:w="1560" w:type="dxa"/>
            <w:shd w:val="clear" w:color="auto" w:fill="FFF2CC"/>
            <w:vAlign w:val="center"/>
          </w:tcPr>
          <w:p w:rsidR="00714751" w:rsidRPr="00F64910" w:rsidRDefault="00714751" w:rsidP="00A96EEA">
            <w:pPr>
              <w:jc w:val="center"/>
            </w:pPr>
            <w:r>
              <w:t>/</w:t>
            </w:r>
          </w:p>
        </w:tc>
        <w:tc>
          <w:tcPr>
            <w:tcW w:w="2268" w:type="dxa"/>
            <w:shd w:val="clear" w:color="auto" w:fill="FFF2CC"/>
            <w:vAlign w:val="center"/>
          </w:tcPr>
          <w:p w:rsidR="00714751" w:rsidRPr="00F64910" w:rsidRDefault="00714751" w:rsidP="00A96EEA">
            <w:r>
              <w:t>DČ/PČ, geološki zavodi</w:t>
            </w:r>
          </w:p>
        </w:tc>
        <w:tc>
          <w:tcPr>
            <w:tcW w:w="1275" w:type="dxa"/>
            <w:shd w:val="clear" w:color="auto" w:fill="FFF2CC"/>
            <w:vAlign w:val="center"/>
          </w:tcPr>
          <w:p w:rsidR="00714751" w:rsidRDefault="00714751" w:rsidP="00A96EEA">
            <w:pPr>
              <w:jc w:val="center"/>
            </w:pPr>
            <w:r>
              <w:t xml:space="preserve">MZI, </w:t>
            </w:r>
          </w:p>
          <w:p w:rsidR="00714751" w:rsidRDefault="00714751" w:rsidP="00A96EEA">
            <w:pPr>
              <w:jc w:val="center"/>
            </w:pPr>
            <w:r>
              <w:t xml:space="preserve">MOP, </w:t>
            </w:r>
          </w:p>
          <w:p w:rsidR="00714751" w:rsidRPr="00F64910" w:rsidRDefault="00714751" w:rsidP="00A96EEA">
            <w:pPr>
              <w:jc w:val="center"/>
            </w:pPr>
            <w:r>
              <w:t>MORS</w:t>
            </w:r>
          </w:p>
        </w:tc>
      </w:tr>
      <w:tr w:rsidR="00D17880" w:rsidRPr="00F64910" w:rsidTr="00D17880">
        <w:tc>
          <w:tcPr>
            <w:tcW w:w="5387" w:type="dxa"/>
            <w:shd w:val="clear" w:color="auto" w:fill="auto"/>
            <w:vAlign w:val="center"/>
          </w:tcPr>
          <w:p w:rsidR="00714751" w:rsidRPr="0010259B" w:rsidRDefault="00714751" w:rsidP="00A96EEA">
            <w:pPr>
              <w:rPr>
                <w:b/>
              </w:rPr>
            </w:pPr>
            <w:r w:rsidRPr="0010259B">
              <w:rPr>
                <w:b/>
              </w:rPr>
              <w:t>3. Zdravje možganov</w:t>
            </w:r>
          </w:p>
          <w:p w:rsidR="00714751" w:rsidRPr="00F64910" w:rsidRDefault="00714751" w:rsidP="00A96EEA">
            <w:r>
              <w:t>(</w:t>
            </w:r>
            <w:proofErr w:type="spellStart"/>
            <w:r>
              <w:t>Brain</w:t>
            </w:r>
            <w:proofErr w:type="spellEnd"/>
            <w:r>
              <w:t xml:space="preserve"> </w:t>
            </w:r>
            <w:proofErr w:type="spellStart"/>
            <w:r>
              <w:t>Helath</w:t>
            </w:r>
            <w:proofErr w:type="spellEnd"/>
            <w:r>
              <w:t>)</w:t>
            </w:r>
          </w:p>
        </w:tc>
        <w:tc>
          <w:tcPr>
            <w:tcW w:w="1560" w:type="dxa"/>
            <w:shd w:val="clear" w:color="auto" w:fill="auto"/>
            <w:vAlign w:val="center"/>
          </w:tcPr>
          <w:p w:rsidR="00714751" w:rsidRPr="00F64910" w:rsidRDefault="00714751" w:rsidP="00A96EEA">
            <w:pPr>
              <w:jc w:val="center"/>
            </w:pPr>
            <w:r>
              <w:t>JPI JPND</w:t>
            </w:r>
          </w:p>
        </w:tc>
        <w:tc>
          <w:tcPr>
            <w:tcW w:w="2268" w:type="dxa"/>
            <w:shd w:val="clear" w:color="auto" w:fill="auto"/>
            <w:vAlign w:val="center"/>
          </w:tcPr>
          <w:p w:rsidR="00714751" w:rsidRPr="00F64910" w:rsidRDefault="00714751" w:rsidP="00A96EEA">
            <w:r>
              <w:t>DČ/PČ, nacionalni inštituti</w:t>
            </w:r>
          </w:p>
        </w:tc>
        <w:tc>
          <w:tcPr>
            <w:tcW w:w="1275" w:type="dxa"/>
            <w:shd w:val="clear" w:color="auto" w:fill="auto"/>
            <w:vAlign w:val="center"/>
          </w:tcPr>
          <w:p w:rsidR="00714751" w:rsidRPr="00F64910" w:rsidRDefault="00714751" w:rsidP="00A96EEA">
            <w:pPr>
              <w:jc w:val="center"/>
            </w:pPr>
            <w:r>
              <w:t>MZ</w:t>
            </w:r>
          </w:p>
        </w:tc>
      </w:tr>
      <w:tr w:rsidR="00D17880" w:rsidRPr="00F64910" w:rsidTr="00D17880">
        <w:tc>
          <w:tcPr>
            <w:tcW w:w="5387" w:type="dxa"/>
            <w:shd w:val="clear" w:color="auto" w:fill="FFF2CC"/>
            <w:vAlign w:val="center"/>
          </w:tcPr>
          <w:p w:rsidR="00714751" w:rsidRPr="0010259B" w:rsidRDefault="00714751" w:rsidP="00A96EEA">
            <w:pPr>
              <w:rPr>
                <w:b/>
              </w:rPr>
            </w:pPr>
            <w:r w:rsidRPr="0010259B">
              <w:rPr>
                <w:b/>
              </w:rPr>
              <w:lastRenderedPageBreak/>
              <w:t>4. Protimikrobna odpornost</w:t>
            </w:r>
          </w:p>
          <w:p w:rsidR="00714751" w:rsidRPr="00F64910" w:rsidRDefault="00714751" w:rsidP="00A96EEA">
            <w:r>
              <w:t>(</w:t>
            </w:r>
            <w:proofErr w:type="spellStart"/>
            <w:r>
              <w:t>OneHealth</w:t>
            </w:r>
            <w:proofErr w:type="spellEnd"/>
            <w:r>
              <w:t xml:space="preserve"> – AMR)</w:t>
            </w:r>
          </w:p>
        </w:tc>
        <w:tc>
          <w:tcPr>
            <w:tcW w:w="1560" w:type="dxa"/>
            <w:shd w:val="clear" w:color="auto" w:fill="FFF2CC"/>
            <w:vAlign w:val="center"/>
          </w:tcPr>
          <w:p w:rsidR="00714751" w:rsidRDefault="00714751" w:rsidP="00A96EEA">
            <w:pPr>
              <w:jc w:val="center"/>
            </w:pPr>
            <w:r w:rsidRPr="0010259B">
              <w:t>JPI</w:t>
            </w:r>
            <w:r>
              <w:t xml:space="preserve"> </w:t>
            </w:r>
            <w:r w:rsidRPr="0010259B">
              <w:t xml:space="preserve">AMR, </w:t>
            </w:r>
          </w:p>
          <w:p w:rsidR="00714751" w:rsidRPr="00F64910" w:rsidRDefault="00714751" w:rsidP="00A96EEA">
            <w:pPr>
              <w:jc w:val="center"/>
            </w:pPr>
            <w:r w:rsidRPr="0010259B">
              <w:t xml:space="preserve">One </w:t>
            </w:r>
            <w:proofErr w:type="spellStart"/>
            <w:r w:rsidRPr="0010259B">
              <w:t>Health</w:t>
            </w:r>
            <w:proofErr w:type="spellEnd"/>
            <w:r w:rsidRPr="0010259B">
              <w:t xml:space="preserve"> EJP</w:t>
            </w:r>
          </w:p>
        </w:tc>
        <w:tc>
          <w:tcPr>
            <w:tcW w:w="2268" w:type="dxa"/>
            <w:shd w:val="clear" w:color="auto" w:fill="FFF2CC"/>
            <w:vAlign w:val="center"/>
          </w:tcPr>
          <w:p w:rsidR="00714751" w:rsidRPr="00F64910" w:rsidRDefault="00714751" w:rsidP="00A96EEA">
            <w:r>
              <w:t>DČ/PČ, nacionalni inštituti</w:t>
            </w:r>
          </w:p>
        </w:tc>
        <w:tc>
          <w:tcPr>
            <w:tcW w:w="1275" w:type="dxa"/>
            <w:shd w:val="clear" w:color="auto" w:fill="FFF2CC"/>
            <w:vAlign w:val="center"/>
          </w:tcPr>
          <w:p w:rsidR="00714751" w:rsidRPr="00F64910" w:rsidRDefault="00714751" w:rsidP="00A96EEA">
            <w:pPr>
              <w:jc w:val="center"/>
            </w:pPr>
            <w:r>
              <w:t>MZ</w:t>
            </w:r>
          </w:p>
        </w:tc>
      </w:tr>
      <w:tr w:rsidR="00D17880" w:rsidRPr="00F64910" w:rsidTr="00D17880">
        <w:tc>
          <w:tcPr>
            <w:tcW w:w="5387" w:type="dxa"/>
            <w:shd w:val="clear" w:color="auto" w:fill="auto"/>
            <w:vAlign w:val="center"/>
          </w:tcPr>
          <w:p w:rsidR="00714751" w:rsidRPr="0010259B" w:rsidRDefault="00714751" w:rsidP="00A96EEA">
            <w:pPr>
              <w:rPr>
                <w:b/>
              </w:rPr>
            </w:pPr>
            <w:r w:rsidRPr="0010259B">
              <w:rPr>
                <w:b/>
              </w:rPr>
              <w:t>5. Družbena preobrazba in neenakosti</w:t>
            </w:r>
          </w:p>
          <w:p w:rsidR="00714751" w:rsidRPr="00F64910" w:rsidRDefault="00714751" w:rsidP="00A96EEA">
            <w:r>
              <w:t>(S</w:t>
            </w:r>
            <w:r w:rsidRPr="0010259B">
              <w:t xml:space="preserve">ocial transformations and </w:t>
            </w:r>
            <w:proofErr w:type="spellStart"/>
            <w:r w:rsidRPr="0010259B">
              <w:t>inequalities</w:t>
            </w:r>
            <w:proofErr w:type="spellEnd"/>
            <w:r>
              <w:t>)</w:t>
            </w:r>
          </w:p>
        </w:tc>
        <w:tc>
          <w:tcPr>
            <w:tcW w:w="1560" w:type="dxa"/>
            <w:shd w:val="clear" w:color="auto" w:fill="auto"/>
            <w:vAlign w:val="center"/>
          </w:tcPr>
          <w:p w:rsidR="00714751" w:rsidRDefault="00714751" w:rsidP="00A96EEA">
            <w:pPr>
              <w:jc w:val="center"/>
            </w:pPr>
            <w:r>
              <w:t>Obstoječi ERA-NET Cofund:</w:t>
            </w:r>
          </w:p>
          <w:p w:rsidR="00714751" w:rsidRPr="00F64910" w:rsidRDefault="00714751" w:rsidP="00A96EEA">
            <w:pPr>
              <w:jc w:val="center"/>
            </w:pPr>
            <w:r>
              <w:t>TRANSF., HERA, DIAL</w:t>
            </w:r>
          </w:p>
        </w:tc>
        <w:tc>
          <w:tcPr>
            <w:tcW w:w="2268" w:type="dxa"/>
            <w:shd w:val="clear" w:color="auto" w:fill="auto"/>
            <w:vAlign w:val="center"/>
          </w:tcPr>
          <w:p w:rsidR="00714751" w:rsidRPr="00F64910" w:rsidRDefault="00714751" w:rsidP="00A96EEA">
            <w:r>
              <w:t>DČ/PČ, akademski sektor</w:t>
            </w:r>
          </w:p>
        </w:tc>
        <w:tc>
          <w:tcPr>
            <w:tcW w:w="1275" w:type="dxa"/>
            <w:shd w:val="clear" w:color="auto" w:fill="auto"/>
            <w:vAlign w:val="center"/>
          </w:tcPr>
          <w:p w:rsidR="00714751" w:rsidRPr="0010259B" w:rsidRDefault="00714751" w:rsidP="00A96EEA">
            <w:pPr>
              <w:jc w:val="center"/>
              <w:rPr>
                <w:b/>
              </w:rPr>
            </w:pPr>
            <w:r w:rsidRPr="0010259B">
              <w:rPr>
                <w:b/>
              </w:rPr>
              <w:t>MIZŠ</w:t>
            </w:r>
          </w:p>
        </w:tc>
      </w:tr>
      <w:tr w:rsidR="00D17880" w:rsidRPr="00F64910" w:rsidTr="00D17880">
        <w:tc>
          <w:tcPr>
            <w:tcW w:w="5387" w:type="dxa"/>
            <w:shd w:val="clear" w:color="auto" w:fill="FFF2CC"/>
            <w:vAlign w:val="center"/>
          </w:tcPr>
          <w:p w:rsidR="00714751" w:rsidRPr="0010259B" w:rsidRDefault="00714751" w:rsidP="00A96EEA">
            <w:pPr>
              <w:rPr>
                <w:b/>
              </w:rPr>
            </w:pPr>
            <w:r w:rsidRPr="0010259B">
              <w:rPr>
                <w:b/>
              </w:rPr>
              <w:t>6. Nič-emisi</w:t>
            </w:r>
            <w:r>
              <w:rPr>
                <w:b/>
              </w:rPr>
              <w:t>j</w:t>
            </w:r>
            <w:r w:rsidRPr="0010259B">
              <w:rPr>
                <w:b/>
              </w:rPr>
              <w:t>ski vodni transport</w:t>
            </w:r>
          </w:p>
          <w:p w:rsidR="00714751" w:rsidRPr="00F64910" w:rsidRDefault="00714751" w:rsidP="00A96EEA">
            <w:r>
              <w:t>(</w:t>
            </w:r>
            <w:proofErr w:type="spellStart"/>
            <w:r w:rsidRPr="0010259B">
              <w:t>Zero-emission</w:t>
            </w:r>
            <w:proofErr w:type="spellEnd"/>
            <w:r w:rsidRPr="0010259B">
              <w:t xml:space="preserve"> </w:t>
            </w:r>
            <w:proofErr w:type="spellStart"/>
            <w:r w:rsidRPr="0010259B">
              <w:t>waterborne</w:t>
            </w:r>
            <w:proofErr w:type="spellEnd"/>
            <w:r w:rsidRPr="0010259B">
              <w:t xml:space="preserve"> transport</w:t>
            </w:r>
            <w:r>
              <w:t>)</w:t>
            </w:r>
          </w:p>
        </w:tc>
        <w:tc>
          <w:tcPr>
            <w:tcW w:w="1560" w:type="dxa"/>
            <w:shd w:val="clear" w:color="auto" w:fill="FFF2CC"/>
            <w:vAlign w:val="center"/>
          </w:tcPr>
          <w:p w:rsidR="00714751" w:rsidRPr="00F64910" w:rsidRDefault="00714751" w:rsidP="00A96EEA">
            <w:pPr>
              <w:jc w:val="center"/>
            </w:pPr>
            <w:r>
              <w:t>/</w:t>
            </w:r>
          </w:p>
        </w:tc>
        <w:tc>
          <w:tcPr>
            <w:tcW w:w="2268" w:type="dxa"/>
            <w:shd w:val="clear" w:color="auto" w:fill="FFF2CC"/>
            <w:vAlign w:val="center"/>
          </w:tcPr>
          <w:p w:rsidR="00714751" w:rsidRPr="00F64910" w:rsidRDefault="00714751" w:rsidP="00A96EEA">
            <w:r>
              <w:t>DČ/PČ, industrija</w:t>
            </w:r>
          </w:p>
        </w:tc>
        <w:tc>
          <w:tcPr>
            <w:tcW w:w="1275" w:type="dxa"/>
            <w:shd w:val="clear" w:color="auto" w:fill="FFF2CC"/>
            <w:vAlign w:val="center"/>
          </w:tcPr>
          <w:p w:rsidR="00714751" w:rsidRPr="00F64910" w:rsidRDefault="00714751" w:rsidP="00A96EEA">
            <w:pPr>
              <w:jc w:val="center"/>
            </w:pPr>
            <w:r>
              <w:t>MZI</w:t>
            </w:r>
          </w:p>
        </w:tc>
      </w:tr>
      <w:tr w:rsidR="00D17880" w:rsidRPr="00F64910" w:rsidTr="00D17880">
        <w:tc>
          <w:tcPr>
            <w:tcW w:w="5387" w:type="dxa"/>
            <w:shd w:val="clear" w:color="auto" w:fill="auto"/>
            <w:vAlign w:val="center"/>
          </w:tcPr>
          <w:p w:rsidR="00714751" w:rsidRPr="0010259B" w:rsidRDefault="00714751" w:rsidP="00A96EEA">
            <w:pPr>
              <w:rPr>
                <w:b/>
              </w:rPr>
            </w:pPr>
            <w:r w:rsidRPr="0010259B">
              <w:rPr>
                <w:b/>
              </w:rPr>
              <w:t>7. Trajnostna, pametna in vključujoča mesta in skupnosti</w:t>
            </w:r>
          </w:p>
          <w:p w:rsidR="00714751" w:rsidRPr="00F64910" w:rsidRDefault="00714751" w:rsidP="00A96EEA">
            <w:r>
              <w:t>(</w:t>
            </w:r>
            <w:r w:rsidRPr="0010259B">
              <w:t xml:space="preserve">Sustainable, Smart and </w:t>
            </w:r>
            <w:proofErr w:type="spellStart"/>
            <w:r w:rsidRPr="0010259B">
              <w:t>Inclusive</w:t>
            </w:r>
            <w:proofErr w:type="spellEnd"/>
            <w:r w:rsidRPr="0010259B">
              <w:t xml:space="preserve"> </w:t>
            </w:r>
            <w:proofErr w:type="spellStart"/>
            <w:r w:rsidRPr="0010259B">
              <w:t>Cities</w:t>
            </w:r>
            <w:proofErr w:type="spellEnd"/>
            <w:r w:rsidRPr="0010259B">
              <w:t xml:space="preserve"> and </w:t>
            </w:r>
            <w:proofErr w:type="spellStart"/>
            <w:r w:rsidRPr="0010259B">
              <w:t>Communities</w:t>
            </w:r>
            <w:proofErr w:type="spellEnd"/>
            <w:r>
              <w:t>)</w:t>
            </w:r>
          </w:p>
        </w:tc>
        <w:tc>
          <w:tcPr>
            <w:tcW w:w="1560" w:type="dxa"/>
            <w:shd w:val="clear" w:color="auto" w:fill="auto"/>
            <w:vAlign w:val="center"/>
          </w:tcPr>
          <w:p w:rsidR="00714751" w:rsidRPr="00F64910" w:rsidRDefault="00714751" w:rsidP="00A96EEA">
            <w:pPr>
              <w:jc w:val="center"/>
            </w:pPr>
            <w:r>
              <w:t>JPI Urban Europe</w:t>
            </w:r>
          </w:p>
        </w:tc>
        <w:tc>
          <w:tcPr>
            <w:tcW w:w="2268" w:type="dxa"/>
            <w:shd w:val="clear" w:color="auto" w:fill="auto"/>
            <w:vAlign w:val="center"/>
          </w:tcPr>
          <w:p w:rsidR="00714751" w:rsidRPr="00F64910" w:rsidRDefault="00714751" w:rsidP="00A96EEA">
            <w:r>
              <w:t>DČ/PČ, industrija, akademski sektor</w:t>
            </w:r>
          </w:p>
        </w:tc>
        <w:tc>
          <w:tcPr>
            <w:tcW w:w="1275" w:type="dxa"/>
            <w:shd w:val="clear" w:color="auto" w:fill="auto"/>
            <w:vAlign w:val="center"/>
          </w:tcPr>
          <w:p w:rsidR="00714751" w:rsidRDefault="00714751" w:rsidP="00A96EEA">
            <w:pPr>
              <w:jc w:val="center"/>
            </w:pPr>
            <w:r>
              <w:t xml:space="preserve">MZI, </w:t>
            </w:r>
          </w:p>
          <w:p w:rsidR="00714751" w:rsidRPr="00F64910" w:rsidRDefault="00714751" w:rsidP="00A96EEA">
            <w:pPr>
              <w:jc w:val="center"/>
            </w:pPr>
            <w:r>
              <w:t>ARRS</w:t>
            </w:r>
          </w:p>
        </w:tc>
      </w:tr>
      <w:tr w:rsidR="00D17880" w:rsidRPr="00F64910" w:rsidTr="00D17880">
        <w:tc>
          <w:tcPr>
            <w:tcW w:w="5387" w:type="dxa"/>
            <w:shd w:val="clear" w:color="auto" w:fill="FFF2CC"/>
            <w:vAlign w:val="center"/>
          </w:tcPr>
          <w:p w:rsidR="00714751" w:rsidRPr="0010259B" w:rsidRDefault="00714751" w:rsidP="00A96EEA">
            <w:pPr>
              <w:rPr>
                <w:b/>
              </w:rPr>
            </w:pPr>
            <w:r w:rsidRPr="0010259B">
              <w:rPr>
                <w:b/>
              </w:rPr>
              <w:t>8. Materiali in proizvodnja</w:t>
            </w:r>
          </w:p>
          <w:p w:rsidR="00714751" w:rsidRPr="00F64910" w:rsidRDefault="00714751" w:rsidP="00A96EEA">
            <w:r>
              <w:t>(</w:t>
            </w:r>
            <w:proofErr w:type="spellStart"/>
            <w:r w:rsidRPr="0010259B">
              <w:t>Materials</w:t>
            </w:r>
            <w:proofErr w:type="spellEnd"/>
            <w:r w:rsidRPr="0010259B">
              <w:t xml:space="preserve"> and </w:t>
            </w:r>
            <w:proofErr w:type="spellStart"/>
            <w:r w:rsidRPr="0010259B">
              <w:t>Production</w:t>
            </w:r>
            <w:proofErr w:type="spellEnd"/>
            <w:r>
              <w:t>)</w:t>
            </w:r>
          </w:p>
        </w:tc>
        <w:tc>
          <w:tcPr>
            <w:tcW w:w="1560" w:type="dxa"/>
            <w:shd w:val="clear" w:color="auto" w:fill="FFF2CC"/>
            <w:vAlign w:val="center"/>
          </w:tcPr>
          <w:p w:rsidR="00714751" w:rsidRDefault="00714751" w:rsidP="00A96EEA">
            <w:pPr>
              <w:jc w:val="center"/>
            </w:pPr>
            <w:r>
              <w:t xml:space="preserve">Obstoječi ERA-_NET Cofund; </w:t>
            </w:r>
          </w:p>
          <w:p w:rsidR="00714751" w:rsidRPr="00F64910" w:rsidRDefault="00714751" w:rsidP="00A96EEA">
            <w:pPr>
              <w:jc w:val="center"/>
            </w:pPr>
            <w:r w:rsidRPr="0010259B">
              <w:t>M ERA.NET, MANUN</w:t>
            </w:r>
            <w:r>
              <w:t>ET, ERA-MIN</w:t>
            </w:r>
          </w:p>
        </w:tc>
        <w:tc>
          <w:tcPr>
            <w:tcW w:w="2268" w:type="dxa"/>
            <w:shd w:val="clear" w:color="auto" w:fill="FFF2CC"/>
            <w:vAlign w:val="center"/>
          </w:tcPr>
          <w:p w:rsidR="00714751" w:rsidRPr="00F64910" w:rsidRDefault="00714751" w:rsidP="00A96EEA">
            <w:r>
              <w:t>DČ/PČ, industrija</w:t>
            </w:r>
          </w:p>
        </w:tc>
        <w:tc>
          <w:tcPr>
            <w:tcW w:w="1275" w:type="dxa"/>
            <w:shd w:val="clear" w:color="auto" w:fill="FFF2CC"/>
            <w:vAlign w:val="center"/>
          </w:tcPr>
          <w:p w:rsidR="00714751" w:rsidRPr="0010259B" w:rsidRDefault="00714751" w:rsidP="00A96EEA">
            <w:pPr>
              <w:jc w:val="center"/>
              <w:rPr>
                <w:b/>
              </w:rPr>
            </w:pPr>
            <w:r>
              <w:rPr>
                <w:b/>
              </w:rPr>
              <w:t>MIZŠ</w:t>
            </w:r>
          </w:p>
        </w:tc>
      </w:tr>
    </w:tbl>
    <w:p w:rsidR="004E2EB7" w:rsidRDefault="004E2EB7" w:rsidP="00BE7D29">
      <w:pPr>
        <w:suppressAutoHyphens/>
        <w:overflowPunct w:val="0"/>
        <w:autoSpaceDE w:val="0"/>
        <w:autoSpaceDN w:val="0"/>
        <w:adjustRightInd w:val="0"/>
        <w:spacing w:line="260" w:lineRule="exact"/>
        <w:jc w:val="both"/>
        <w:textAlignment w:val="baseline"/>
      </w:pPr>
    </w:p>
    <w:p w:rsidR="00ED0CBC" w:rsidRDefault="00ED0CBC" w:rsidP="00BE7D29">
      <w:pPr>
        <w:suppressAutoHyphens/>
        <w:overflowPunct w:val="0"/>
        <w:autoSpaceDE w:val="0"/>
        <w:autoSpaceDN w:val="0"/>
        <w:adjustRightInd w:val="0"/>
        <w:spacing w:line="260" w:lineRule="exact"/>
        <w:jc w:val="both"/>
        <w:textAlignment w:val="baseline"/>
      </w:pPr>
    </w:p>
    <w:p w:rsidR="00BE7D29" w:rsidRDefault="00BE7D29" w:rsidP="00BE7D29"/>
    <w:p w:rsidR="00CF0391" w:rsidRDefault="00CF0391"/>
    <w:sectPr w:rsidR="00CF0391" w:rsidSect="00BE7D29">
      <w:pgSz w:w="11906" w:h="16838"/>
      <w:pgMar w:top="1418" w:right="1133" w:bottom="1418" w:left="17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F7F22"/>
    <w:multiLevelType w:val="hybridMultilevel"/>
    <w:tmpl w:val="E6E0B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94F62"/>
    <w:multiLevelType w:val="hybridMultilevel"/>
    <w:tmpl w:val="FBDE0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B2AFF"/>
    <w:multiLevelType w:val="hybridMultilevel"/>
    <w:tmpl w:val="C0ECA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29"/>
    <w:rsid w:val="00417105"/>
    <w:rsid w:val="004E2EB7"/>
    <w:rsid w:val="00572327"/>
    <w:rsid w:val="00714751"/>
    <w:rsid w:val="00A847C9"/>
    <w:rsid w:val="00BE7D29"/>
    <w:rsid w:val="00CE6780"/>
    <w:rsid w:val="00CF0391"/>
    <w:rsid w:val="00D17880"/>
    <w:rsid w:val="00DF638E"/>
    <w:rsid w:val="00ED0C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4CD2C-01B3-4C14-A7D6-6B114D7D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7D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Titre1"/>
    <w:basedOn w:val="Navaden"/>
    <w:link w:val="OdstavekseznamaZnak"/>
    <w:qFormat/>
    <w:rsid w:val="00BE7D29"/>
    <w:pPr>
      <w:spacing w:after="0" w:line="260" w:lineRule="atLeast"/>
      <w:ind w:left="720"/>
      <w:contextualSpacing/>
    </w:pPr>
    <w:rPr>
      <w:rFonts w:ascii="Arial" w:eastAsia="Times New Roman" w:hAnsi="Arial" w:cs="Times New Roman"/>
      <w:sz w:val="20"/>
      <w:szCs w:val="24"/>
      <w:lang w:val="en-US"/>
    </w:rPr>
  </w:style>
  <w:style w:type="character" w:customStyle="1" w:styleId="OdstavekseznamaZnak">
    <w:name w:val="Odstavek seznama Znak"/>
    <w:aliases w:val="Titre1 Znak"/>
    <w:link w:val="Odstavekseznama"/>
    <w:locked/>
    <w:rsid w:val="00BE7D29"/>
    <w:rPr>
      <w:rFonts w:ascii="Arial" w:eastAsia="Times New Roman" w:hAnsi="Arial" w:cs="Times New Roman"/>
      <w:sz w:val="20"/>
      <w:szCs w:val="24"/>
      <w:lang w:val="en-US"/>
    </w:rPr>
  </w:style>
  <w:style w:type="table" w:styleId="Tabelamrea">
    <w:name w:val="Table Grid"/>
    <w:basedOn w:val="Navadnatabela"/>
    <w:uiPriority w:val="59"/>
    <w:rsid w:val="00714751"/>
    <w:pPr>
      <w:spacing w:after="0" w:line="240" w:lineRule="auto"/>
    </w:pPr>
    <w:rPr>
      <w:rFonts w:ascii="Calibri" w:eastAsia="Calibri" w:hAnsi="Calibri" w:cs="Arial"/>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3852</Words>
  <Characters>21963</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PŽ</dc:creator>
  <cp:keywords/>
  <dc:description/>
  <cp:lastModifiedBy>PŽ</cp:lastModifiedBy>
  <cp:revision>7</cp:revision>
  <dcterms:created xsi:type="dcterms:W3CDTF">2019-09-24T13:40:00Z</dcterms:created>
  <dcterms:modified xsi:type="dcterms:W3CDTF">2019-10-24T08:58:00Z</dcterms:modified>
</cp:coreProperties>
</file>