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229"/>
        <w:gridCol w:w="1101"/>
        <w:gridCol w:w="683"/>
        <w:gridCol w:w="385"/>
        <w:gridCol w:w="17"/>
        <w:gridCol w:w="286"/>
        <w:gridCol w:w="366"/>
        <w:gridCol w:w="1762"/>
        <w:gridCol w:w="63"/>
      </w:tblGrid>
      <w:tr w:rsidR="00D12992" w:rsidRPr="00EE68A8" w:rsidTr="00D12992">
        <w:trPr>
          <w:gridAfter w:val="4"/>
          <w:wAfter w:w="2477" w:type="dxa"/>
          <w:trHeight w:val="239"/>
        </w:trPr>
        <w:tc>
          <w:tcPr>
            <w:tcW w:w="6786" w:type="dxa"/>
            <w:gridSpan w:val="9"/>
          </w:tcPr>
          <w:p w:rsidR="00D12992" w:rsidRPr="00EE68A8" w:rsidRDefault="00974B49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Številka: </w:t>
            </w:r>
            <w:r w:rsidR="000610EC" w:rsidRPr="00EE68A8">
              <w:rPr>
                <w:rFonts w:cs="Arial"/>
                <w:szCs w:val="20"/>
                <w:lang w:val="sl-SI"/>
              </w:rPr>
              <w:t>0100</w:t>
            </w:r>
            <w:r w:rsidR="00BD2716" w:rsidRPr="00EE68A8">
              <w:rPr>
                <w:rFonts w:cs="Arial"/>
                <w:szCs w:val="20"/>
                <w:lang w:val="sl-SI"/>
              </w:rPr>
              <w:t>-</w:t>
            </w:r>
            <w:r w:rsidR="00EA57C0">
              <w:rPr>
                <w:rFonts w:cs="Arial"/>
                <w:szCs w:val="20"/>
                <w:lang w:val="sl-SI"/>
              </w:rPr>
              <w:t>579/2019/</w:t>
            </w:r>
            <w:r w:rsidR="008B3360">
              <w:rPr>
                <w:rFonts w:cs="Arial"/>
                <w:szCs w:val="20"/>
                <w:lang w:val="sl-SI"/>
              </w:rPr>
              <w:t>6</w:t>
            </w:r>
          </w:p>
        </w:tc>
      </w:tr>
      <w:tr w:rsidR="00750EBA" w:rsidRPr="00EE68A8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Ljubljana,</w:t>
            </w:r>
            <w:r w:rsidR="009B45D3" w:rsidRPr="00EE68A8">
              <w:rPr>
                <w:noProof/>
                <w:szCs w:val="20"/>
                <w:lang w:val="sl-SI"/>
              </w:rPr>
              <w:t xml:space="preserve"> </w:t>
            </w:r>
            <w:r w:rsidR="00A5229B" w:rsidRPr="00EE68A8">
              <w:rPr>
                <w:noProof/>
                <w:szCs w:val="20"/>
                <w:lang w:val="sl-SI"/>
              </w:rPr>
              <w:t xml:space="preserve">dne </w:t>
            </w:r>
            <w:r w:rsidR="008B3360">
              <w:rPr>
                <w:noProof/>
                <w:szCs w:val="20"/>
              </w:rPr>
              <w:t>31</w:t>
            </w:r>
            <w:r w:rsidR="00FE7C14">
              <w:rPr>
                <w:noProof/>
                <w:szCs w:val="20"/>
              </w:rPr>
              <w:t>.7.2019</w:t>
            </w:r>
          </w:p>
        </w:tc>
      </w:tr>
      <w:tr w:rsidR="00750EBA" w:rsidRPr="00EE68A8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EVA </w:t>
            </w:r>
            <w:r w:rsidR="00585525" w:rsidRPr="00EE68A8">
              <w:rPr>
                <w:iCs/>
                <w:noProof/>
                <w:szCs w:val="20"/>
                <w:lang w:val="sl-SI"/>
              </w:rPr>
              <w:t>201</w:t>
            </w:r>
            <w:r w:rsidR="001D7ED0">
              <w:rPr>
                <w:iCs/>
                <w:noProof/>
                <w:szCs w:val="20"/>
                <w:lang w:val="sl-SI"/>
              </w:rPr>
              <w:t>9</w:t>
            </w:r>
            <w:r w:rsidR="000610EC" w:rsidRPr="00EE68A8">
              <w:rPr>
                <w:iCs/>
                <w:noProof/>
                <w:szCs w:val="20"/>
                <w:lang w:val="sl-SI"/>
              </w:rPr>
              <w:t>-3130-</w:t>
            </w:r>
            <w:r w:rsidR="00FE7C14">
              <w:rPr>
                <w:iCs/>
                <w:noProof/>
                <w:szCs w:val="20"/>
                <w:lang w:val="sl-SI"/>
              </w:rPr>
              <w:t>0029</w:t>
            </w:r>
          </w:p>
        </w:tc>
      </w:tr>
      <w:tr w:rsidR="00750EBA" w:rsidRPr="00EE68A8" w:rsidTr="00750EBA">
        <w:trPr>
          <w:gridAfter w:val="4"/>
          <w:wAfter w:w="2477" w:type="dxa"/>
        </w:trPr>
        <w:tc>
          <w:tcPr>
            <w:tcW w:w="6786" w:type="dxa"/>
            <w:gridSpan w:val="9"/>
          </w:tcPr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GENERALNI SEKRETARIAT VLADE REPUBLIKE SLOVENIJE</w:t>
            </w:r>
          </w:p>
          <w:p w:rsidR="00750EBA" w:rsidRPr="00EE68A8" w:rsidRDefault="00ED0BF6" w:rsidP="00F75ABD">
            <w:pPr>
              <w:rPr>
                <w:rFonts w:cs="Arial"/>
                <w:noProof/>
                <w:szCs w:val="20"/>
                <w:lang w:val="sl-SI"/>
              </w:rPr>
            </w:pPr>
            <w:hyperlink r:id="rId8" w:history="1">
              <w:r w:rsidR="00750EBA" w:rsidRPr="00EE68A8">
                <w:rPr>
                  <w:noProof/>
                  <w:szCs w:val="20"/>
                  <w:lang w:val="sl-SI"/>
                </w:rPr>
                <w:t>Gp.gs@gov.si</w:t>
              </w:r>
            </w:hyperlink>
          </w:p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67642A" w:rsidP="0027486A">
            <w:pPr>
              <w:spacing w:line="260" w:lineRule="exact"/>
              <w:jc w:val="both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 xml:space="preserve">ZADEVA: </w:t>
            </w:r>
            <w:r w:rsidR="00585525" w:rsidRPr="00EE68A8">
              <w:rPr>
                <w:rFonts w:cs="Arial"/>
                <w:b/>
                <w:szCs w:val="20"/>
                <w:lang w:val="sl-SI"/>
              </w:rPr>
              <w:t>Predlog uredbe o spremembah in dopolnitv</w:t>
            </w:r>
            <w:r w:rsidR="002152E5">
              <w:rPr>
                <w:rFonts w:cs="Arial"/>
                <w:b/>
                <w:szCs w:val="20"/>
                <w:lang w:val="sl-SI"/>
              </w:rPr>
              <w:t>i</w:t>
            </w:r>
            <w:r w:rsidR="00585525" w:rsidRPr="00EE68A8">
              <w:rPr>
                <w:rFonts w:cs="Arial"/>
                <w:b/>
                <w:szCs w:val="20"/>
                <w:lang w:val="sl-SI"/>
              </w:rPr>
              <w:t xml:space="preserve"> Uredbe o enotni metodologiji in obrazcih za obračun in izplačilo plač v javnem sektorju </w:t>
            </w:r>
            <w:r w:rsidR="005B19EC" w:rsidRPr="00EE68A8">
              <w:rPr>
                <w:rFonts w:cs="Arial"/>
                <w:b/>
                <w:szCs w:val="20"/>
                <w:lang w:val="sl-SI"/>
              </w:rPr>
              <w:t>– predlog za obravnavo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EE68A8">
              <w:rPr>
                <w:noProof/>
                <w:sz w:val="20"/>
                <w:szCs w:val="20"/>
              </w:rPr>
              <w:t>1. Predlog sklepov vlade: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A4496F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E68A8">
              <w:rPr>
                <w:rFonts w:cs="Arial"/>
                <w:szCs w:val="20"/>
                <w:lang w:val="sl-SI"/>
              </w:rPr>
              <w:t xml:space="preserve">Na podlagi prvega odstavka </w:t>
            </w: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21. člena </w:t>
            </w:r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Zakona o Vladi Republike Slovenije (Uradni list RS, št. </w:t>
            </w:r>
            <w:hyperlink r:id="rId9" w:tgtFrame="_blank" w:tooltip="Zakon o Vladi Republike Slovenije (uradno prečiščeno besedilo)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24/05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109/08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1" w:tgtFrame="_blank" w:tooltip="Zakon o upravljanju kapitalskih naložb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38/10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8/12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21/13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državni upravi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47/13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65/14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 xml:space="preserve"> in </w:t>
            </w:r>
            <w:hyperlink r:id="rId16" w:tgtFrame="_blank" w:tooltip="Zakon o spremembi Zakona o Vladi Republike Slovenije" w:history="1">
              <w:r w:rsidR="001222A4" w:rsidRPr="00EE68A8">
                <w:rPr>
                  <w:rFonts w:cs="Arial"/>
                  <w:color w:val="000000"/>
                  <w:szCs w:val="20"/>
                  <w:lang w:val="sl-SI"/>
                </w:rPr>
                <w:t>55/17</w:t>
              </w:r>
            </w:hyperlink>
            <w:r w:rsidR="001222A4" w:rsidRPr="00EE68A8">
              <w:rPr>
                <w:rFonts w:cs="Arial"/>
                <w:color w:val="000000"/>
                <w:szCs w:val="20"/>
                <w:lang w:val="sl-SI"/>
              </w:rPr>
              <w:t>)</w:t>
            </w: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 je </w:t>
            </w:r>
            <w:r w:rsidR="0067642A" w:rsidRPr="00EE68A8">
              <w:rPr>
                <w:rFonts w:cs="Arial"/>
                <w:color w:val="000000"/>
                <w:szCs w:val="20"/>
                <w:lang w:val="sl-SI"/>
              </w:rPr>
              <w:t>Vlada Republike Slovenije na ... seji … pod točko … sprejela naslednji</w:t>
            </w:r>
          </w:p>
          <w:p w:rsidR="00280ED4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  <w:p w:rsidR="00280ED4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  <w:r w:rsidRPr="00EE68A8">
              <w:rPr>
                <w:rFonts w:cs="Arial"/>
                <w:b/>
                <w:szCs w:val="20"/>
                <w:lang w:val="sl-SI"/>
              </w:rPr>
              <w:t>SKLEP:</w:t>
            </w:r>
          </w:p>
          <w:p w:rsidR="00280ED4" w:rsidRPr="00EE68A8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3D2606" w:rsidRDefault="00585525" w:rsidP="00495731">
            <w:pPr>
              <w:pStyle w:val="Odstavekseznama"/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  <w:r w:rsidRPr="00EE68A8">
              <w:rPr>
                <w:rFonts w:cs="Arial"/>
                <w:color w:val="000000"/>
                <w:szCs w:val="20"/>
                <w:lang w:val="sl-SI"/>
              </w:rPr>
              <w:t>Vlada Republike Slovenije je izdala Uredbo o spremembah in dopolnitv</w:t>
            </w:r>
            <w:r w:rsidR="002152E5">
              <w:rPr>
                <w:rFonts w:cs="Arial"/>
                <w:color w:val="000000"/>
                <w:szCs w:val="20"/>
                <w:lang w:val="sl-SI"/>
              </w:rPr>
              <w:t>i</w:t>
            </w:r>
            <w:r w:rsidRPr="00EE68A8">
              <w:rPr>
                <w:rFonts w:cs="Arial"/>
                <w:color w:val="000000"/>
                <w:szCs w:val="20"/>
                <w:lang w:val="sl-SI"/>
              </w:rPr>
              <w:t xml:space="preserve"> Uredbe o enotni metodologiji in obrazcih za obračun in izplačilo plač v javnem sektorju ter jo objavi v Uradnem listu Republike Slovenije</w:t>
            </w:r>
          </w:p>
          <w:p w:rsidR="007E58A4" w:rsidRPr="00EE68A8" w:rsidRDefault="007E58A4" w:rsidP="004D2A43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7E58A4" w:rsidRPr="00EE68A8" w:rsidRDefault="007E58A4" w:rsidP="007E58A4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EE68A8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280ED4" w:rsidRPr="00EE68A8" w:rsidRDefault="00280ED4" w:rsidP="00280ED4">
            <w:pPr>
              <w:rPr>
                <w:rFonts w:cs="Arial"/>
                <w:iCs/>
                <w:noProof/>
                <w:szCs w:val="20"/>
                <w:lang w:val="sl-SI"/>
              </w:rPr>
            </w:pPr>
            <w:r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                            </w:t>
            </w:r>
            <w:r w:rsidR="001055F0"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Stojan Tramte</w:t>
            </w:r>
          </w:p>
          <w:p w:rsidR="00280ED4" w:rsidRPr="00EE68A8" w:rsidRDefault="00280ED4" w:rsidP="00280ED4">
            <w:pPr>
              <w:ind w:left="17"/>
              <w:rPr>
                <w:rFonts w:cs="Arial"/>
                <w:iCs/>
                <w:noProof/>
                <w:szCs w:val="20"/>
                <w:lang w:val="sl-SI"/>
              </w:rPr>
            </w:pPr>
            <w:r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</w:t>
            </w:r>
            <w:r w:rsidR="001055F0"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GENERALNI SEKRETAR</w:t>
            </w:r>
            <w:r w:rsidRPr="00EE68A8">
              <w:rPr>
                <w:rFonts w:cs="Arial"/>
                <w:iCs/>
                <w:noProof/>
                <w:szCs w:val="20"/>
                <w:lang w:val="sl-SI"/>
              </w:rPr>
              <w:t xml:space="preserve"> </w:t>
            </w:r>
          </w:p>
          <w:p w:rsidR="00280ED4" w:rsidRPr="00EE68A8" w:rsidRDefault="00280ED4" w:rsidP="00280ED4">
            <w:pPr>
              <w:ind w:left="17"/>
              <w:rPr>
                <w:rFonts w:eastAsia="Calibri" w:cs="Arial"/>
                <w:iCs/>
                <w:szCs w:val="20"/>
                <w:lang w:val="sl-SI"/>
              </w:rPr>
            </w:pPr>
            <w:r w:rsidRPr="00EE68A8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:rsidR="00280ED4" w:rsidRPr="00EE68A8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  <w:lang w:val="sl-SI"/>
              </w:rPr>
            </w:pPr>
            <w:r w:rsidRPr="00EE68A8">
              <w:rPr>
                <w:rFonts w:cs="Arial"/>
                <w:iCs/>
                <w:szCs w:val="20"/>
                <w:lang w:val="sl-SI"/>
              </w:rPr>
              <w:t>ministrstva,</w:t>
            </w:r>
          </w:p>
          <w:p w:rsidR="00750EBA" w:rsidRPr="00EE68A8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noProof/>
                <w:szCs w:val="20"/>
                <w:lang w:val="sl-SI"/>
              </w:rPr>
            </w:pPr>
            <w:r w:rsidRPr="00EE68A8">
              <w:rPr>
                <w:rFonts w:cs="Arial"/>
                <w:iCs/>
                <w:szCs w:val="20"/>
                <w:lang w:val="sl-SI"/>
              </w:rPr>
              <w:t>vladne službe.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E37649" w:rsidRPr="00EE68A8" w:rsidRDefault="002B40DE" w:rsidP="00E37649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Peter Pogačar</w:t>
            </w:r>
            <w:r w:rsidR="00E37649" w:rsidRPr="00EE68A8">
              <w:rPr>
                <w:bCs/>
                <w:noProof/>
                <w:szCs w:val="20"/>
                <w:lang w:val="sl-SI"/>
              </w:rPr>
              <w:t>, generaln</w:t>
            </w:r>
            <w:r w:rsidR="00E22E22">
              <w:rPr>
                <w:bCs/>
                <w:noProof/>
                <w:szCs w:val="20"/>
                <w:lang w:val="sl-SI"/>
              </w:rPr>
              <w:t>i</w:t>
            </w:r>
            <w:r w:rsidR="00E37649" w:rsidRPr="00EE68A8">
              <w:rPr>
                <w:bCs/>
                <w:noProof/>
                <w:szCs w:val="20"/>
                <w:lang w:val="sl-SI"/>
              </w:rPr>
              <w:t xml:space="preserve"> direktor,</w:t>
            </w:r>
          </w:p>
          <w:p w:rsidR="00E37649" w:rsidRPr="00EE68A8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mag. Branko Vidič, vodja Sektorja za plače v javnem sektorju,</w:t>
            </w:r>
          </w:p>
          <w:p w:rsidR="00750EBA" w:rsidRPr="00EE68A8" w:rsidRDefault="00E37649" w:rsidP="00E37649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Barbara Lavtar, podsekretarka</w:t>
            </w:r>
            <w:r w:rsidR="0067642A" w:rsidRPr="00EE68A8">
              <w:rPr>
                <w:noProof/>
                <w:szCs w:val="20"/>
                <w:lang w:val="sl-SI"/>
              </w:rPr>
              <w:t>.</w:t>
            </w: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iCs/>
                <w:noProof/>
                <w:szCs w:val="20"/>
                <w:lang w:val="sl-SI"/>
              </w:rPr>
              <w:t xml:space="preserve">3.b Zunanji strokovnjaki, ki so </w:t>
            </w:r>
            <w:r w:rsidRPr="00EE68A8">
              <w:rPr>
                <w:b/>
                <w:noProof/>
                <w:szCs w:val="20"/>
                <w:lang w:val="sl-SI"/>
              </w:rPr>
              <w:t>sodelovali pri pripravi dela ali celotnega gradiva:</w:t>
            </w: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(Navedite imena in priimke ter funkcije ali nazive.)</w:t>
            </w: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585525" w:rsidRPr="00EE68A8" w:rsidRDefault="00585525" w:rsidP="00585525">
            <w:pPr>
              <w:spacing w:line="240" w:lineRule="atLeast"/>
              <w:jc w:val="both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5. Kratek povzetek gradiva:</w:t>
            </w:r>
          </w:p>
          <w:p w:rsidR="00585525" w:rsidRPr="00EE68A8" w:rsidRDefault="00585525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633316" w:rsidRDefault="00585525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Predlog </w:t>
            </w:r>
            <w:r w:rsidR="00331D34" w:rsidRPr="00EE68A8">
              <w:rPr>
                <w:szCs w:val="20"/>
                <w:lang w:val="sl-SI"/>
              </w:rPr>
              <w:t>spremembe</w:t>
            </w:r>
            <w:r w:rsidR="00331D34" w:rsidRPr="00EE68A8">
              <w:rPr>
                <w:noProof/>
                <w:szCs w:val="20"/>
                <w:lang w:val="sl-SI"/>
              </w:rPr>
              <w:t xml:space="preserve"> </w:t>
            </w:r>
            <w:r w:rsidRPr="00EE68A8">
              <w:rPr>
                <w:noProof/>
                <w:szCs w:val="20"/>
                <w:lang w:val="sl-SI"/>
              </w:rPr>
              <w:t xml:space="preserve">uredbe je posledica Aneksa </w:t>
            </w:r>
            <w:r w:rsidR="0012193D" w:rsidRPr="00EE68A8">
              <w:rPr>
                <w:noProof/>
                <w:szCs w:val="20"/>
                <w:lang w:val="sl-SI"/>
              </w:rPr>
              <w:t xml:space="preserve">št. 12 </w:t>
            </w:r>
            <w:r w:rsidRPr="00EE68A8">
              <w:rPr>
                <w:noProof/>
                <w:szCs w:val="20"/>
                <w:lang w:val="sl-SI"/>
              </w:rPr>
              <w:t>h Kolektivni pogodbi za javni sektor (</w:t>
            </w:r>
            <w:r w:rsidR="00523463" w:rsidRPr="00EE68A8">
              <w:rPr>
                <w:noProof/>
                <w:szCs w:val="20"/>
                <w:lang w:val="sl-SI"/>
              </w:rPr>
              <w:t xml:space="preserve">Aneks št. 12 h </w:t>
            </w:r>
            <w:r w:rsidRPr="00EE68A8">
              <w:rPr>
                <w:noProof/>
                <w:szCs w:val="20"/>
                <w:lang w:val="sl-SI"/>
              </w:rPr>
              <w:t>KPJS)</w:t>
            </w:r>
            <w:r w:rsidR="001D7ED0">
              <w:rPr>
                <w:noProof/>
                <w:szCs w:val="20"/>
                <w:lang w:val="sl-SI"/>
              </w:rPr>
              <w:t xml:space="preserve">, </w:t>
            </w:r>
            <w:r w:rsidR="00CA3E2B" w:rsidRPr="00EE68A8">
              <w:rPr>
                <w:noProof/>
                <w:szCs w:val="20"/>
                <w:lang w:val="sl-SI"/>
              </w:rPr>
              <w:t xml:space="preserve">ki </w:t>
            </w:r>
            <w:r w:rsidR="001D7ED0">
              <w:rPr>
                <w:noProof/>
                <w:szCs w:val="20"/>
                <w:lang w:val="sl-SI"/>
              </w:rPr>
              <w:t>je</w:t>
            </w:r>
            <w:r w:rsidR="00CA3E2B" w:rsidRPr="00EE68A8">
              <w:rPr>
                <w:noProof/>
                <w:szCs w:val="20"/>
                <w:lang w:val="sl-SI"/>
              </w:rPr>
              <w:t xml:space="preserve"> bil </w:t>
            </w:r>
            <w:r w:rsidRPr="00EE68A8">
              <w:rPr>
                <w:noProof/>
                <w:szCs w:val="20"/>
                <w:lang w:val="sl-SI"/>
              </w:rPr>
              <w:t>objavljen</w:t>
            </w:r>
            <w:r w:rsidR="00CA3E2B" w:rsidRPr="00EE68A8">
              <w:rPr>
                <w:noProof/>
                <w:szCs w:val="20"/>
                <w:lang w:val="sl-SI"/>
              </w:rPr>
              <w:t xml:space="preserve"> v Uradnem listu RS, št. 80/18 in</w:t>
            </w:r>
            <w:r w:rsidRPr="00EE68A8">
              <w:rPr>
                <w:noProof/>
                <w:szCs w:val="20"/>
                <w:lang w:val="sl-SI"/>
              </w:rPr>
              <w:t xml:space="preserve"> na podlagi kater</w:t>
            </w:r>
            <w:r w:rsidR="000150C0">
              <w:rPr>
                <w:noProof/>
                <w:szCs w:val="20"/>
                <w:lang w:val="sl-SI"/>
              </w:rPr>
              <w:t>ega</w:t>
            </w:r>
            <w:r w:rsidRPr="00EE68A8">
              <w:rPr>
                <w:noProof/>
                <w:szCs w:val="20"/>
                <w:lang w:val="sl-SI"/>
              </w:rPr>
              <w:t xml:space="preserve"> se spre</w:t>
            </w:r>
            <w:r w:rsidR="00CA3E2B" w:rsidRPr="00EE68A8">
              <w:rPr>
                <w:noProof/>
                <w:szCs w:val="20"/>
                <w:lang w:val="sl-SI"/>
              </w:rPr>
              <w:t>minjajo</w:t>
            </w:r>
            <w:r w:rsidR="00E94AC0" w:rsidRPr="00EE68A8">
              <w:rPr>
                <w:noProof/>
                <w:szCs w:val="20"/>
                <w:lang w:val="sl-SI"/>
              </w:rPr>
              <w:t xml:space="preserve"> </w:t>
            </w:r>
            <w:r w:rsidR="000150C0">
              <w:rPr>
                <w:noProof/>
                <w:szCs w:val="20"/>
                <w:lang w:val="sl-SI"/>
              </w:rPr>
              <w:t xml:space="preserve">obstoječi </w:t>
            </w:r>
            <w:r w:rsidR="001D7ED0">
              <w:rPr>
                <w:noProof/>
                <w:szCs w:val="20"/>
                <w:lang w:val="sl-SI"/>
              </w:rPr>
              <w:t>dodatki za delo ponoči (C100), dodatek za delo v nedeljo (C110) in dodatek za delo na dela prost dan (C111)</w:t>
            </w:r>
            <w:r w:rsidR="00E94AC0" w:rsidRPr="00EE68A8">
              <w:rPr>
                <w:noProof/>
                <w:szCs w:val="20"/>
                <w:lang w:val="sl-SI"/>
              </w:rPr>
              <w:t>.</w:t>
            </w:r>
          </w:p>
          <w:p w:rsidR="001D7ED0" w:rsidRDefault="001D7ED0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>
              <w:rPr>
                <w:noProof/>
                <w:szCs w:val="20"/>
                <w:lang w:val="sl-SI"/>
              </w:rPr>
              <w:t>Navedenim dodatkom se spreminja faktor, tako da veljajo od 1. septembra 2019 40 odstotkov od</w:t>
            </w:r>
            <w:r w:rsidR="00E22E22">
              <w:rPr>
                <w:noProof/>
                <w:szCs w:val="20"/>
                <w:lang w:val="sl-SI"/>
              </w:rPr>
              <w:t xml:space="preserve"> </w:t>
            </w:r>
            <w:r>
              <w:rPr>
                <w:noProof/>
                <w:szCs w:val="20"/>
                <w:lang w:val="sl-SI"/>
              </w:rPr>
              <w:t xml:space="preserve">osnovne plače za delo ponoči, 90 odstotkov </w:t>
            </w:r>
            <w:r w:rsidR="00E22E22">
              <w:rPr>
                <w:noProof/>
                <w:szCs w:val="20"/>
                <w:lang w:val="sl-SI"/>
              </w:rPr>
              <w:t xml:space="preserve">od </w:t>
            </w:r>
            <w:r>
              <w:rPr>
                <w:noProof/>
                <w:szCs w:val="20"/>
                <w:lang w:val="sl-SI"/>
              </w:rPr>
              <w:t>osnovne plače za delo v nedeljo in 120 odstotkov</w:t>
            </w:r>
            <w:r w:rsidR="00E22E22">
              <w:rPr>
                <w:noProof/>
                <w:szCs w:val="20"/>
                <w:lang w:val="sl-SI"/>
              </w:rPr>
              <w:t xml:space="preserve"> od osnovne plače</w:t>
            </w:r>
            <w:r>
              <w:rPr>
                <w:noProof/>
                <w:szCs w:val="20"/>
                <w:lang w:val="sl-SI"/>
              </w:rPr>
              <w:t xml:space="preserve"> za delo na dan, ko je z zakonom določen dela prost dan.</w:t>
            </w:r>
          </w:p>
          <w:p w:rsidR="001D7ED0" w:rsidRDefault="001D7ED0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</w:p>
          <w:p w:rsidR="001D7ED0" w:rsidRPr="00EE68A8" w:rsidRDefault="001D7ED0" w:rsidP="00585525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>
              <w:rPr>
                <w:noProof/>
                <w:szCs w:val="20"/>
                <w:lang w:val="sl-SI"/>
              </w:rPr>
              <w:t>Poleg navedenega se dopolnijo položajni dodatki za sodnike in toži</w:t>
            </w:r>
            <w:r w:rsidR="00E22E22">
              <w:rPr>
                <w:noProof/>
                <w:szCs w:val="20"/>
                <w:lang w:val="sl-SI"/>
              </w:rPr>
              <w:t>l</w:t>
            </w:r>
            <w:r>
              <w:rPr>
                <w:noProof/>
                <w:szCs w:val="20"/>
                <w:lang w:val="sl-SI"/>
              </w:rPr>
              <w:t xml:space="preserve">ce, in sicer veljajo tudi v primeru </w:t>
            </w:r>
            <w:r>
              <w:rPr>
                <w:noProof/>
                <w:szCs w:val="20"/>
                <w:lang w:val="sl-SI"/>
              </w:rPr>
              <w:lastRenderedPageBreak/>
              <w:t xml:space="preserve">nadomeščanj. Doslej v opredelitvi ni bilo posebej navedeno, da </w:t>
            </w:r>
            <w:r w:rsidR="00E22E22">
              <w:rPr>
                <w:noProof/>
                <w:szCs w:val="20"/>
                <w:lang w:val="sl-SI"/>
              </w:rPr>
              <w:t xml:space="preserve">položajni </w:t>
            </w:r>
            <w:r>
              <w:rPr>
                <w:noProof/>
                <w:szCs w:val="20"/>
                <w:lang w:val="sl-SI"/>
              </w:rPr>
              <w:t>dodat</w:t>
            </w:r>
            <w:r w:rsidR="000150C0">
              <w:rPr>
                <w:noProof/>
                <w:szCs w:val="20"/>
                <w:lang w:val="sl-SI"/>
              </w:rPr>
              <w:t>e</w:t>
            </w:r>
            <w:r>
              <w:rPr>
                <w:noProof/>
                <w:szCs w:val="20"/>
                <w:lang w:val="sl-SI"/>
              </w:rPr>
              <w:t xml:space="preserve">k velja tudi v primeru nadomeščanj. Gre za </w:t>
            </w:r>
            <w:r w:rsidR="00AD2AB8">
              <w:rPr>
                <w:noProof/>
                <w:szCs w:val="20"/>
                <w:lang w:val="sl-SI"/>
              </w:rPr>
              <w:t xml:space="preserve">obstoječe </w:t>
            </w:r>
            <w:r>
              <w:rPr>
                <w:noProof/>
                <w:szCs w:val="20"/>
                <w:lang w:val="sl-SI"/>
              </w:rPr>
              <w:t>položajne dodatke</w:t>
            </w:r>
            <w:r w:rsidR="00AD2AB8">
              <w:rPr>
                <w:noProof/>
                <w:szCs w:val="20"/>
                <w:lang w:val="sl-SI"/>
              </w:rPr>
              <w:t>, za katere veljajo že obstoječe pravne podlage in</w:t>
            </w:r>
            <w:r>
              <w:rPr>
                <w:noProof/>
                <w:szCs w:val="20"/>
                <w:lang w:val="sl-SI"/>
              </w:rPr>
              <w:t xml:space="preserve"> so v uredbi </w:t>
            </w:r>
            <w:r w:rsidR="000150C0">
              <w:rPr>
                <w:noProof/>
                <w:szCs w:val="20"/>
                <w:lang w:val="sl-SI"/>
              </w:rPr>
              <w:t xml:space="preserve">že </w:t>
            </w:r>
            <w:r>
              <w:rPr>
                <w:noProof/>
                <w:szCs w:val="20"/>
                <w:lang w:val="sl-SI"/>
              </w:rPr>
              <w:t xml:space="preserve">opredeljeni pod </w:t>
            </w:r>
            <w:r w:rsidR="00E22E22">
              <w:rPr>
                <w:noProof/>
                <w:szCs w:val="20"/>
                <w:lang w:val="sl-SI"/>
              </w:rPr>
              <w:t>š</w:t>
            </w:r>
            <w:r>
              <w:rPr>
                <w:noProof/>
                <w:szCs w:val="20"/>
                <w:lang w:val="sl-SI"/>
              </w:rPr>
              <w:t>iframi</w:t>
            </w:r>
            <w:r w:rsidR="00495731">
              <w:rPr>
                <w:noProof/>
                <w:szCs w:val="20"/>
                <w:lang w:val="sl-SI"/>
              </w:rPr>
              <w:t xml:space="preserve"> </w:t>
            </w:r>
            <w:r w:rsidR="007474D0">
              <w:rPr>
                <w:noProof/>
                <w:szCs w:val="20"/>
                <w:lang w:val="sl-SI"/>
              </w:rPr>
              <w:t xml:space="preserve">C330, </w:t>
            </w:r>
            <w:r>
              <w:rPr>
                <w:noProof/>
                <w:szCs w:val="20"/>
                <w:lang w:val="sl-SI"/>
              </w:rPr>
              <w:t xml:space="preserve">C340, C350, C360, C370 in C380. </w:t>
            </w:r>
          </w:p>
          <w:p w:rsidR="001B1149" w:rsidRPr="001D7ED0" w:rsidRDefault="00585525" w:rsidP="00DF56FF">
            <w:pPr>
              <w:spacing w:line="240" w:lineRule="atLeas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 xml:space="preserve"> </w:t>
            </w:r>
          </w:p>
        </w:tc>
      </w:tr>
      <w:tr w:rsidR="00750EBA" w:rsidRPr="00ED0BF6" w:rsidTr="00214850">
        <w:tc>
          <w:tcPr>
            <w:tcW w:w="9263" w:type="dxa"/>
            <w:gridSpan w:val="13"/>
          </w:tcPr>
          <w:p w:rsidR="00750EBA" w:rsidRPr="00EE68A8" w:rsidRDefault="00750EBA" w:rsidP="00E37649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EE68A8" w:rsidTr="00214850">
        <w:tc>
          <w:tcPr>
            <w:tcW w:w="9263" w:type="dxa"/>
            <w:gridSpan w:val="13"/>
          </w:tcPr>
          <w:p w:rsidR="00750EBA" w:rsidRPr="00EE68A8" w:rsidRDefault="00750EBA" w:rsidP="00F75ABD">
            <w:pPr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6. Presoja posledic za: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585525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administrativne posledice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gospodarstvo, zlasti</w:t>
            </w:r>
            <w:r w:rsidRPr="00EE68A8">
              <w:rPr>
                <w:bCs/>
                <w:noProof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E37649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socialno področje</w:t>
            </w:r>
          </w:p>
        </w:tc>
        <w:tc>
          <w:tcPr>
            <w:tcW w:w="1825" w:type="dxa"/>
            <w:gridSpan w:val="2"/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E68A8" w:rsidTr="00214850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50EBA" w:rsidRPr="00EE68A8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EE68A8" w:rsidRDefault="00750EBA" w:rsidP="00F75ABD">
            <w:p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dokumente razvojnega načrtovanja:</w:t>
            </w:r>
          </w:p>
          <w:p w:rsidR="00750EBA" w:rsidRPr="00EE68A8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nacionalne dokumente razvojnega načrtovanja</w:t>
            </w:r>
          </w:p>
          <w:p w:rsidR="00750EBA" w:rsidRPr="00EE68A8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razvojne politike na ravni programov po strukturi razvojne klasifikacije programskega proračuna</w:t>
            </w:r>
          </w:p>
          <w:p w:rsidR="00750EBA" w:rsidRPr="00EE68A8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sl-SI"/>
              </w:rPr>
            </w:pPr>
            <w:r w:rsidRPr="00EE68A8">
              <w:rPr>
                <w:bCs/>
                <w:noProof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750EBA" w:rsidRPr="00EE68A8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D0BF6" w:rsidTr="00C52C74">
        <w:trPr>
          <w:trHeight w:val="1140"/>
        </w:trPr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7.a Predstavitev ocene finančnih posledic nad 40.000 EUR</w:t>
            </w:r>
            <w:r w:rsidRPr="00EE68A8">
              <w:rPr>
                <w:noProof/>
                <w:szCs w:val="20"/>
                <w:lang w:val="sl-SI"/>
              </w:rPr>
              <w:t>:</w:t>
            </w:r>
          </w:p>
          <w:p w:rsidR="00750EBA" w:rsidRPr="00EE68A8" w:rsidRDefault="00750EBA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(Samo če izberete DA pod točko 6.a.)</w:t>
            </w:r>
          </w:p>
          <w:p w:rsidR="001101AA" w:rsidRPr="00EE68A8" w:rsidRDefault="001101AA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ED0BF6" w:rsidTr="00214850">
        <w:tc>
          <w:tcPr>
            <w:tcW w:w="9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EE68A8" w:rsidRDefault="00750EBA" w:rsidP="00E43156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noProof/>
                <w:szCs w:val="20"/>
              </w:rPr>
            </w:pPr>
            <w:r w:rsidRPr="00EE68A8">
              <w:rPr>
                <w:noProof/>
                <w:szCs w:val="20"/>
              </w:rPr>
              <w:t>I. Ocena finančnih posledic, ki niso načrtovane v sprejetem proračunu</w:t>
            </w: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t + 3</w:t>
            </w: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17777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17777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410B3" w:rsidRPr="00EE68A8" w:rsidTr="00741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B3" w:rsidRPr="00EE68A8" w:rsidRDefault="007410B3" w:rsidP="007410B3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B3" w:rsidRPr="00EE68A8" w:rsidRDefault="002531C7" w:rsidP="007410B3">
            <w:pPr>
              <w:rPr>
                <w:highlight w:val="yellow"/>
                <w:lang w:val="sl-SI"/>
              </w:rPr>
            </w:pPr>
            <w:r w:rsidRPr="002531C7">
              <w:rPr>
                <w:lang w:val="sl-SI"/>
              </w:rPr>
              <w:t>+7,5 mio</w:t>
            </w:r>
            <w:r w:rsidR="00E22E22">
              <w:rPr>
                <w:lang w:val="sl-SI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Pr="00EE68A8" w:rsidRDefault="002531C7" w:rsidP="007410B3">
            <w:pPr>
              <w:rPr>
                <w:lang w:val="sl-SI"/>
              </w:rPr>
            </w:pPr>
            <w:r>
              <w:rPr>
                <w:lang w:val="sl-SI"/>
              </w:rPr>
              <w:t>+30 mio</w:t>
            </w:r>
            <w:r w:rsidR="00E22E22">
              <w:rPr>
                <w:lang w:val="sl-SI"/>
              </w:rPr>
              <w:t>.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Pr="00EE68A8" w:rsidRDefault="002531C7" w:rsidP="007410B3">
            <w:pPr>
              <w:rPr>
                <w:lang w:val="sl-SI"/>
              </w:rPr>
            </w:pPr>
            <w:r>
              <w:rPr>
                <w:lang w:val="sl-SI"/>
              </w:rPr>
              <w:t>+30 mio</w:t>
            </w:r>
            <w:r w:rsidR="00E22E22">
              <w:rPr>
                <w:lang w:val="sl-SI"/>
              </w:rPr>
              <w:t>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Pr="00EE68A8" w:rsidRDefault="002531C7" w:rsidP="007410B3">
            <w:pPr>
              <w:rPr>
                <w:lang w:val="sl-SI"/>
              </w:rPr>
            </w:pPr>
            <w:r>
              <w:rPr>
                <w:lang w:val="sl-SI"/>
              </w:rPr>
              <w:t>+30 mio</w:t>
            </w:r>
            <w:r w:rsidR="00E22E22">
              <w:rPr>
                <w:lang w:val="sl-SI"/>
              </w:rPr>
              <w:t>.</w:t>
            </w: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EE68A8" w:rsidTr="00E37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EE68A8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EE68A8">
              <w:rPr>
                <w:b/>
                <w:noProof/>
                <w:szCs w:val="20"/>
                <w:lang w:val="sl-SI"/>
              </w:rPr>
              <w:t>–</w:t>
            </w:r>
            <w:r w:rsidRPr="00EE68A8">
              <w:rPr>
                <w:rFonts w:cs="Arial"/>
                <w:bCs/>
                <w:noProof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D0BF6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50EBA" w:rsidRPr="00ED0BF6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lastRenderedPageBreak/>
              <w:t>II.b Manjkajoče pravice porabe bodo zagotovljene s prerazporeditvijo: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 xml:space="preserve">Znesek za t + 1 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E68A8" w:rsidTr="00750E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EE68A8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EE68A8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ED0BF6" w:rsidTr="00E43156">
        <w:trPr>
          <w:gridAfter w:val="1"/>
          <w:wAfter w:w="63" w:type="dxa"/>
          <w:trHeight w:val="464"/>
        </w:trPr>
        <w:tc>
          <w:tcPr>
            <w:tcW w:w="9200" w:type="dxa"/>
            <w:gridSpan w:val="12"/>
          </w:tcPr>
          <w:p w:rsidR="00750EBA" w:rsidRPr="00EE68A8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OBRAZLOŽITEV:</w:t>
            </w:r>
          </w:p>
          <w:p w:rsidR="00750EBA" w:rsidRPr="00EE68A8" w:rsidRDefault="00750EBA" w:rsidP="00E43156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Ocena finančnih posledic, ki niso načrtovane v sprejetem proračunu</w:t>
            </w:r>
          </w:p>
          <w:p w:rsidR="00750EBA" w:rsidRPr="00EE68A8" w:rsidRDefault="00750EBA" w:rsidP="00750EB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Finančne posledice za državni proračun</w:t>
            </w:r>
          </w:p>
          <w:p w:rsidR="00750EBA" w:rsidRPr="00EE68A8" w:rsidRDefault="00750EBA" w:rsidP="00F75AB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II.a Pravice porabe za izvedbo predlaganih rešitev so zagotovljene:</w:t>
            </w:r>
          </w:p>
          <w:p w:rsidR="00750EBA" w:rsidRPr="00EE68A8" w:rsidRDefault="00750EBA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750EBA" w:rsidRPr="00EE68A8" w:rsidRDefault="00B266A7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 w:eastAsia="sl-SI"/>
              </w:rPr>
              <w:t xml:space="preserve">II.c </w:t>
            </w:r>
            <w:r w:rsidR="00750EBA" w:rsidRPr="00EE68A8">
              <w:rPr>
                <w:rFonts w:cs="Arial"/>
                <w:b/>
                <w:noProof/>
                <w:szCs w:val="20"/>
                <w:lang w:val="sl-SI" w:eastAsia="sl-SI"/>
              </w:rPr>
              <w:t>Načrtovana nadomestitev zmanjšanih prihodkov in povečanih odhodkov proračuna:</w:t>
            </w:r>
          </w:p>
          <w:p w:rsidR="00750EBA" w:rsidRPr="00EE68A8" w:rsidRDefault="00750EBA" w:rsidP="004D5A31">
            <w:pPr>
              <w:widowControl w:val="0"/>
              <w:ind w:left="284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ED0BF6" w:rsidTr="00750EBA">
        <w:trPr>
          <w:gridAfter w:val="1"/>
          <w:wAfter w:w="63" w:type="dxa"/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EE68A8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7.b Predstavitev ocene finančnih posledic pod 40.000 EUR:</w:t>
            </w:r>
          </w:p>
          <w:p w:rsidR="00750EBA" w:rsidRPr="00EE68A8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EE68A8">
              <w:rPr>
                <w:rFonts w:cs="Arial"/>
                <w:noProof/>
                <w:szCs w:val="20"/>
                <w:lang w:val="sl-SI"/>
              </w:rPr>
              <w:t>(Samo če izberete NE pod točko 6.a.)</w:t>
            </w:r>
          </w:p>
          <w:p w:rsidR="00D67A64" w:rsidRPr="00EE68A8" w:rsidRDefault="00C52C7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Kratka obrazložitev</w:t>
            </w:r>
          </w:p>
          <w:p w:rsidR="00867985" w:rsidRPr="00EE68A8" w:rsidRDefault="00585525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Spremembe in dopolnit</w:t>
            </w:r>
            <w:r w:rsidR="00BB0C62">
              <w:rPr>
                <w:noProof/>
                <w:szCs w:val="20"/>
                <w:lang w:val="sl-SI"/>
              </w:rPr>
              <w:t>ev</w:t>
            </w:r>
            <w:r w:rsidRPr="00EE68A8">
              <w:rPr>
                <w:noProof/>
                <w:szCs w:val="20"/>
                <w:lang w:val="sl-SI"/>
              </w:rPr>
              <w:t xml:space="preserve"> so posledica sprememb drugih normativnih predpisov in sama vsebina predloga uredbe ne vpliva na spremembo javnofinančnih sredstev</w:t>
            </w:r>
            <w:r w:rsidR="00867985" w:rsidRPr="00EE68A8">
              <w:rPr>
                <w:noProof/>
                <w:szCs w:val="20"/>
                <w:lang w:val="sl-SI"/>
              </w:rPr>
              <w:t xml:space="preserve">. </w:t>
            </w:r>
            <w:r w:rsidR="002531C7">
              <w:rPr>
                <w:noProof/>
                <w:szCs w:val="20"/>
                <w:lang w:val="sl-SI"/>
              </w:rPr>
              <w:t>Na podlagi podatkov ISPAP od januarja do aprila 2019 znaša ocena finančnega učinka na letni ravni 30 mio evrov (bruto bruto), v tekočem letu od septembra do novembra pa 7,5 mio</w:t>
            </w:r>
            <w:r w:rsidR="00E22E22">
              <w:rPr>
                <w:noProof/>
                <w:szCs w:val="20"/>
                <w:lang w:val="sl-SI"/>
              </w:rPr>
              <w:t>.</w:t>
            </w:r>
            <w:r w:rsidR="002531C7">
              <w:rPr>
                <w:noProof/>
                <w:szCs w:val="20"/>
                <w:lang w:val="sl-SI"/>
              </w:rPr>
              <w:t xml:space="preserve"> evrov.</w:t>
            </w:r>
          </w:p>
        </w:tc>
      </w:tr>
      <w:tr w:rsidR="00750EBA" w:rsidRPr="00ED0BF6" w:rsidTr="00750EBA">
        <w:trPr>
          <w:gridAfter w:val="1"/>
          <w:wAfter w:w="63" w:type="dxa"/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D4" w:rsidRPr="00EE68A8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EE68A8">
              <w:rPr>
                <w:rFonts w:cs="Arial"/>
                <w:b/>
                <w:noProof/>
                <w:szCs w:val="20"/>
                <w:lang w:val="sl-SI"/>
              </w:rPr>
              <w:t>8. Predstavitev sodelovanja z združenji občin: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Vsebina predloženega gradiva (predpisa) vpliva na:</w:t>
            </w:r>
          </w:p>
          <w:p w:rsidR="00750EBA" w:rsidRPr="00EE68A8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pristojnosti občin,</w:t>
            </w:r>
          </w:p>
          <w:p w:rsidR="00750EBA" w:rsidRPr="00EE68A8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delovanje občin,</w:t>
            </w:r>
          </w:p>
          <w:p w:rsidR="00750EBA" w:rsidRPr="00EE68A8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financiranje občin.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ind w:left="1440"/>
              <w:rPr>
                <w:iCs/>
                <w:noProof/>
                <w:szCs w:val="20"/>
                <w:lang w:val="sl-SI"/>
              </w:rPr>
            </w:pPr>
          </w:p>
        </w:tc>
        <w:tc>
          <w:tcPr>
            <w:tcW w:w="2431" w:type="dxa"/>
            <w:gridSpan w:val="4"/>
          </w:tcPr>
          <w:p w:rsidR="00750EBA" w:rsidRPr="00EE68A8" w:rsidRDefault="00750EBA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D0BF6" w:rsidTr="00750EBA">
        <w:trPr>
          <w:gridAfter w:val="1"/>
          <w:wAfter w:w="63" w:type="dxa"/>
          <w:trHeight w:val="274"/>
        </w:trPr>
        <w:tc>
          <w:tcPr>
            <w:tcW w:w="9200" w:type="dxa"/>
            <w:gridSpan w:val="12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Gradivo (predpis) je bilo poslano v mnenje: 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Skupnosti</w:t>
            </w:r>
            <w:r w:rsidR="004D5A31" w:rsidRPr="00EE68A8">
              <w:rPr>
                <w:iCs/>
                <w:noProof/>
                <w:szCs w:val="20"/>
                <w:lang w:val="sl-SI"/>
              </w:rPr>
              <w:t xml:space="preserve"> občin Slovenije SOS: </w:t>
            </w:r>
            <w:r w:rsidRPr="00EE68A8">
              <w:rPr>
                <w:iCs/>
                <w:noProof/>
                <w:szCs w:val="20"/>
                <w:lang w:val="sl-SI"/>
              </w:rPr>
              <w:t>NE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Združenju</w:t>
            </w:r>
            <w:r w:rsidR="004D5A31" w:rsidRPr="00EE68A8">
              <w:rPr>
                <w:iCs/>
                <w:noProof/>
                <w:szCs w:val="20"/>
                <w:lang w:val="sl-SI"/>
              </w:rPr>
              <w:t xml:space="preserve"> občin Slovenije ZOS: </w:t>
            </w:r>
            <w:r w:rsidRPr="00EE68A8">
              <w:rPr>
                <w:iCs/>
                <w:noProof/>
                <w:szCs w:val="20"/>
                <w:lang w:val="sl-SI"/>
              </w:rPr>
              <w:t>NE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Združenju m</w:t>
            </w:r>
            <w:r w:rsidR="004D5A31" w:rsidRPr="00EE68A8">
              <w:rPr>
                <w:iCs/>
                <w:noProof/>
                <w:szCs w:val="20"/>
                <w:lang w:val="sl-SI"/>
              </w:rPr>
              <w:t xml:space="preserve">estnih občin Slovenije ZMOS: </w:t>
            </w:r>
            <w:r w:rsidRPr="00EE68A8">
              <w:rPr>
                <w:iCs/>
                <w:noProof/>
                <w:szCs w:val="20"/>
                <w:lang w:val="sl-SI"/>
              </w:rPr>
              <w:t>NE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Predlogi in pripombe združenj so bili upoštevani: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 celoti,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večinoma,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delno,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niso bili upoštevani.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ind w:left="360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Bistveni predlogi in pri</w:t>
            </w:r>
            <w:r w:rsidR="00F406F7" w:rsidRPr="00EE68A8">
              <w:rPr>
                <w:iCs/>
                <w:noProof/>
                <w:szCs w:val="20"/>
                <w:lang w:val="sl-SI"/>
              </w:rPr>
              <w:t>pombe, ki niso bili upoštevani.</w:t>
            </w:r>
          </w:p>
        </w:tc>
      </w:tr>
      <w:tr w:rsidR="00750EBA" w:rsidRPr="00ED0BF6" w:rsidTr="00750EBA">
        <w:trPr>
          <w:gridAfter w:val="1"/>
          <w:wAfter w:w="63" w:type="dxa"/>
        </w:trPr>
        <w:tc>
          <w:tcPr>
            <w:tcW w:w="9200" w:type="dxa"/>
            <w:gridSpan w:val="12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9. Predstavitev sodelovanja javnosti:</w:t>
            </w:r>
          </w:p>
          <w:p w:rsidR="00280ED4" w:rsidRPr="00EE68A8" w:rsidRDefault="0067642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iCs/>
                <w:szCs w:val="20"/>
                <w:lang w:val="sl-SI"/>
              </w:rPr>
              <w:t>Gradivo ni tako</w:t>
            </w:r>
            <w:r w:rsidR="00280ED4" w:rsidRPr="00EE68A8">
              <w:rPr>
                <w:iCs/>
                <w:szCs w:val="20"/>
                <w:lang w:val="sl-SI"/>
              </w:rPr>
              <w:t xml:space="preserve">, da bi ga bilo treba objaviti na spletni strani predlagatelja. 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750EBA" w:rsidRPr="00EE68A8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NE</w:t>
            </w:r>
          </w:p>
        </w:tc>
      </w:tr>
      <w:tr w:rsidR="00750EBA" w:rsidRPr="00ED0BF6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EE68A8" w:rsidRDefault="004D5A31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Gradivo ni takšne narave, da bi ga bilo treba objaviti na spletni strani predlagatelja.</w:t>
            </w:r>
          </w:p>
        </w:tc>
      </w:tr>
      <w:tr w:rsidR="00750EBA" w:rsidRPr="00ED0BF6" w:rsidTr="00750EBA">
        <w:trPr>
          <w:gridAfter w:val="1"/>
          <w:wAfter w:w="63" w:type="dxa"/>
        </w:trPr>
        <w:tc>
          <w:tcPr>
            <w:tcW w:w="9200" w:type="dxa"/>
            <w:gridSpan w:val="12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lastRenderedPageBreak/>
              <w:t>(Če je odgovor DA, navedite: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Datum objave: ………</w:t>
            </w:r>
          </w:p>
          <w:p w:rsidR="0067642A" w:rsidRPr="00EE68A8" w:rsidRDefault="0067642A" w:rsidP="0067642A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V razpravo so bili vključeni: </w:t>
            </w:r>
          </w:p>
          <w:p w:rsidR="0067642A" w:rsidRPr="00EE68A8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nevladne organizacije, </w:t>
            </w:r>
          </w:p>
          <w:p w:rsidR="0067642A" w:rsidRPr="00EE68A8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predstavniki zainteresirane javnosti,</w:t>
            </w:r>
          </w:p>
          <w:p w:rsidR="0067642A" w:rsidRPr="00EE68A8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predstavniki strokovne javnosti.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 xml:space="preserve">Mnenja, predlogi in pripombe z navedbo predlagateljev </w:t>
            </w:r>
            <w:r w:rsidRPr="00EE68A8">
              <w:rPr>
                <w:noProof/>
                <w:color w:val="000000"/>
                <w:szCs w:val="20"/>
                <w:lang w:val="sl-SI"/>
              </w:rPr>
              <w:t>(imen in priimkov fizičnih oseb, ki niso poslovni subjekti, ne navajajte</w:t>
            </w:r>
            <w:r w:rsidRPr="00EE68A8">
              <w:rPr>
                <w:iCs/>
                <w:noProof/>
                <w:szCs w:val="20"/>
                <w:lang w:val="sl-SI"/>
              </w:rPr>
              <w:t>):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Upoštevani so bili: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 celoti,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večinoma,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delno,</w:t>
            </w:r>
          </w:p>
          <w:p w:rsidR="00750EBA" w:rsidRPr="00EE68A8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niso bili upoštevani.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Bistvena mnenja, predlogi in pripombe, ki niso bili upoštevani, ter razlogi za neupoštevanje: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Poročilo je bilo dano ……………..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iCs/>
                <w:noProof/>
                <w:szCs w:val="20"/>
                <w:lang w:val="sl-SI"/>
              </w:rPr>
              <w:t>Javnost je bila vključena v pripravo gradiva v skladu z Zakonom o …, kar je navedeno v predlogu predpisa.)</w:t>
            </w:r>
          </w:p>
          <w:p w:rsidR="00750EBA" w:rsidRPr="00EE68A8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sl-SI"/>
              </w:rPr>
            </w:pP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10. Pri pripravi gradiva so bile upoštevane zahteve iz Resolucije o normativni dejavnosti:</w:t>
            </w:r>
          </w:p>
          <w:p w:rsidR="00280ED4" w:rsidRPr="00EE68A8" w:rsidRDefault="00280ED4" w:rsidP="00280ED4">
            <w:pPr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Gradivo je bilo poslano v usklajevanje:</w:t>
            </w:r>
          </w:p>
          <w:p w:rsidR="00280ED4" w:rsidRPr="00EE68A8" w:rsidRDefault="00280ED4" w:rsidP="00280ED4">
            <w:pPr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−</w:t>
            </w:r>
            <w:r w:rsidRPr="00EE68A8">
              <w:rPr>
                <w:noProof/>
                <w:szCs w:val="20"/>
                <w:lang w:val="sl-SI"/>
              </w:rPr>
              <w:tab/>
              <w:t>Službi Vlade RS za zakonodajo,</w:t>
            </w:r>
          </w:p>
          <w:p w:rsidR="00280ED4" w:rsidRPr="00EE68A8" w:rsidRDefault="00280ED4" w:rsidP="00280ED4">
            <w:pPr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−</w:t>
            </w:r>
            <w:r w:rsidRPr="00EE68A8">
              <w:rPr>
                <w:noProof/>
                <w:szCs w:val="20"/>
                <w:lang w:val="sl-SI"/>
              </w:rPr>
              <w:tab/>
              <w:t>Ministrstvu za finance,</w:t>
            </w:r>
          </w:p>
          <w:p w:rsidR="009F2DAC" w:rsidRPr="00EE68A8" w:rsidRDefault="00280ED4" w:rsidP="00280E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hAnsi="Helv" w:cs="Helv"/>
                <w:color w:val="000000"/>
                <w:szCs w:val="20"/>
                <w:lang w:val="sl-SI" w:eastAsia="sl-SI"/>
              </w:rPr>
            </w:pPr>
            <w:r w:rsidRPr="00EE68A8">
              <w:rPr>
                <w:noProof/>
                <w:szCs w:val="20"/>
                <w:lang w:val="sl-SI"/>
              </w:rPr>
              <w:t>−</w:t>
            </w:r>
            <w:r w:rsidRPr="00EE68A8">
              <w:rPr>
                <w:noProof/>
                <w:szCs w:val="20"/>
                <w:lang w:val="sl-SI"/>
              </w:rPr>
              <w:tab/>
              <w:t xml:space="preserve">Medresorski delovni skupini za </w:t>
            </w:r>
            <w:r w:rsidR="00E22E22">
              <w:rPr>
                <w:noProof/>
                <w:szCs w:val="20"/>
                <w:lang w:val="sl-SI"/>
              </w:rPr>
              <w:t>enotno metodologijo in obrazce za obračun in izplačilo plač v javnem sektorju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DA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6769" w:type="dxa"/>
            <w:gridSpan w:val="8"/>
            <w:vAlign w:val="center"/>
          </w:tcPr>
          <w:p w:rsidR="00750EBA" w:rsidRPr="00EE68A8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EE68A8">
              <w:rPr>
                <w:b/>
                <w:noProof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EE68A8" w:rsidRDefault="009F2DAC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  <w:lang w:val="sl-SI"/>
              </w:rPr>
            </w:pPr>
            <w:r w:rsidRPr="00EE68A8">
              <w:rPr>
                <w:noProof/>
                <w:szCs w:val="20"/>
                <w:lang w:val="sl-SI"/>
              </w:rPr>
              <w:t>DA</w:t>
            </w:r>
          </w:p>
        </w:tc>
      </w:tr>
      <w:tr w:rsidR="00750EBA" w:rsidRPr="00EE68A8" w:rsidTr="00750EBA">
        <w:trPr>
          <w:gridAfter w:val="1"/>
          <w:wAfter w:w="63" w:type="dxa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EE68A8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:rsidR="009E2441" w:rsidRPr="00EE68A8" w:rsidRDefault="003A440D" w:rsidP="009E2441">
            <w:pPr>
              <w:spacing w:line="240" w:lineRule="auto"/>
              <w:ind w:left="4956" w:firstLine="708"/>
              <w:rPr>
                <w:b/>
                <w:szCs w:val="20"/>
                <w:lang w:val="sl-SI"/>
              </w:rPr>
            </w:pPr>
            <w:r w:rsidRPr="00EE68A8">
              <w:rPr>
                <w:b/>
                <w:szCs w:val="20"/>
                <w:lang w:val="sl-SI"/>
              </w:rPr>
              <w:t xml:space="preserve">  Rudi Medved</w:t>
            </w:r>
          </w:p>
          <w:p w:rsidR="009E2441" w:rsidRPr="00EE68A8" w:rsidRDefault="009E2441" w:rsidP="009E2441">
            <w:pPr>
              <w:spacing w:line="240" w:lineRule="auto"/>
              <w:rPr>
                <w:b/>
                <w:szCs w:val="20"/>
                <w:lang w:val="sl-SI"/>
              </w:rPr>
            </w:pPr>
            <w:r w:rsidRPr="00EE68A8">
              <w:rPr>
                <w:b/>
                <w:szCs w:val="20"/>
                <w:lang w:val="sl-SI"/>
              </w:rPr>
              <w:t xml:space="preserve">                                                                                       </w:t>
            </w:r>
            <w:r w:rsidR="00D75557" w:rsidRPr="00EE68A8">
              <w:rPr>
                <w:b/>
                <w:szCs w:val="20"/>
                <w:lang w:val="sl-SI"/>
              </w:rPr>
              <w:t xml:space="preserve">                    MINISTER</w:t>
            </w:r>
            <w:r w:rsidR="00FF5F5C" w:rsidRPr="00EE68A8">
              <w:rPr>
                <w:b/>
                <w:szCs w:val="20"/>
                <w:lang w:val="sl-SI"/>
              </w:rPr>
              <w:t xml:space="preserve">   </w:t>
            </w:r>
          </w:p>
          <w:p w:rsidR="00750EBA" w:rsidRPr="00EE68A8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A55B48" w:rsidRPr="00EE68A8" w:rsidRDefault="00A55B48" w:rsidP="00750EBA">
      <w:pPr>
        <w:tabs>
          <w:tab w:val="left" w:pos="708"/>
        </w:tabs>
        <w:rPr>
          <w:lang w:val="sl-SI"/>
        </w:rPr>
      </w:pPr>
    </w:p>
    <w:p w:rsidR="00D75557" w:rsidRPr="00EE68A8" w:rsidRDefault="00D75557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280ED4" w:rsidRPr="00EE68A8" w:rsidRDefault="00280ED4" w:rsidP="00750EBA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1B1149" w:rsidRPr="00EE68A8" w:rsidRDefault="001B1149" w:rsidP="00D67A64">
      <w:pPr>
        <w:pStyle w:val="Naslovpredpisa"/>
        <w:spacing w:before="0" w:after="0" w:line="260" w:lineRule="exact"/>
        <w:jc w:val="both"/>
        <w:rPr>
          <w:sz w:val="20"/>
          <w:szCs w:val="20"/>
          <w:lang w:eastAsia="en-US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DF56FF" w:rsidRPr="00EE68A8" w:rsidRDefault="00DF56FF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E22E22" w:rsidRDefault="00E22E22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585525" w:rsidRPr="00EE68A8" w:rsidRDefault="00585525" w:rsidP="00585525">
      <w:pPr>
        <w:tabs>
          <w:tab w:val="left" w:pos="708"/>
        </w:tabs>
        <w:rPr>
          <w:rFonts w:cs="Arial"/>
          <w:b/>
          <w:szCs w:val="20"/>
          <w:lang w:val="sl-SI"/>
        </w:rPr>
      </w:pPr>
      <w:r w:rsidRPr="00EE68A8">
        <w:rPr>
          <w:rFonts w:cs="Arial"/>
          <w:b/>
          <w:szCs w:val="20"/>
          <w:lang w:val="sl-SI"/>
        </w:rPr>
        <w:lastRenderedPageBreak/>
        <w:t>PREDLOG</w:t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</w:r>
      <w:r w:rsidRPr="00EE68A8">
        <w:rPr>
          <w:rFonts w:cs="Arial"/>
          <w:b/>
          <w:szCs w:val="20"/>
          <w:lang w:val="sl-SI"/>
        </w:rPr>
        <w:tab/>
        <w:t>EVA 201</w:t>
      </w:r>
      <w:r w:rsidR="00E22E22">
        <w:rPr>
          <w:rFonts w:cs="Arial"/>
          <w:b/>
          <w:szCs w:val="20"/>
          <w:lang w:val="sl-SI"/>
        </w:rPr>
        <w:t>9</w:t>
      </w:r>
      <w:r w:rsidRPr="00EE68A8">
        <w:rPr>
          <w:rFonts w:cs="Arial"/>
          <w:b/>
          <w:szCs w:val="20"/>
          <w:lang w:val="sl-SI"/>
        </w:rPr>
        <w:t>-3130-</w:t>
      </w:r>
      <w:r w:rsidR="00FE7C14">
        <w:rPr>
          <w:rFonts w:cs="Arial"/>
          <w:b/>
          <w:szCs w:val="20"/>
          <w:lang w:val="sl-SI"/>
        </w:rPr>
        <w:t>0029</w:t>
      </w:r>
    </w:p>
    <w:p w:rsidR="00585525" w:rsidRPr="00EE68A8" w:rsidRDefault="00585525" w:rsidP="00585525">
      <w:pPr>
        <w:spacing w:line="240" w:lineRule="auto"/>
        <w:jc w:val="both"/>
        <w:rPr>
          <w:szCs w:val="20"/>
          <w:lang w:val="sl-SI"/>
        </w:rPr>
      </w:pPr>
    </w:p>
    <w:p w:rsidR="00585525" w:rsidRPr="00EE68A8" w:rsidRDefault="00585525" w:rsidP="00585525">
      <w:pPr>
        <w:jc w:val="both"/>
        <w:rPr>
          <w:rFonts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</w:r>
      <w:r w:rsidRPr="00EE68A8">
        <w:rPr>
          <w:rFonts w:cs="Arial"/>
          <w:szCs w:val="20"/>
          <w:lang w:val="sl-SI"/>
        </w:rPr>
        <w:tab/>
        <w:t xml:space="preserve">       </w:t>
      </w:r>
      <w:r w:rsidRPr="00EE68A8">
        <w:rPr>
          <w:rFonts w:cs="Arial"/>
          <w:szCs w:val="20"/>
          <w:lang w:val="sl-SI"/>
        </w:rPr>
        <w:tab/>
      </w:r>
    </w:p>
    <w:p w:rsidR="00585525" w:rsidRPr="00EE68A8" w:rsidRDefault="00585525" w:rsidP="00585525">
      <w:pPr>
        <w:spacing w:line="288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 xml:space="preserve">Na podlagi prvega odstavka 40. člena </w:t>
      </w:r>
      <w:r w:rsidR="00E22E22" w:rsidRPr="00E22E22">
        <w:rPr>
          <w:rFonts w:cs="Arial"/>
          <w:szCs w:val="20"/>
          <w:lang w:val="sl-SI"/>
        </w:rPr>
        <w:t>Zakona o sistemu plač v javnem sektorju (Uradni list RS, št.</w:t>
      </w:r>
      <w:r w:rsidR="00051091">
        <w:rPr>
          <w:rFonts w:cs="Arial"/>
          <w:szCs w:val="20"/>
          <w:lang w:val="sl-SI"/>
        </w:rPr>
        <w:t xml:space="preserve"> </w:t>
      </w:r>
      <w:r w:rsidR="00E22E22" w:rsidRPr="00E22E22">
        <w:rPr>
          <w:rFonts w:cs="Arial"/>
          <w:szCs w:val="20"/>
          <w:lang w:val="sl-SI"/>
        </w:rPr>
        <w:t xml:space="preserve">108/09 – uradno prečiščeno besedilo, 13/10, 59/10, 85/10, 107/10, 35/11 – ORZSPJS49a, 27/12 – </w:t>
      </w:r>
      <w:proofErr w:type="spellStart"/>
      <w:r w:rsidR="00E22E22" w:rsidRPr="00E22E22">
        <w:rPr>
          <w:rFonts w:cs="Arial"/>
          <w:szCs w:val="20"/>
          <w:lang w:val="sl-SI"/>
        </w:rPr>
        <w:t>odl</w:t>
      </w:r>
      <w:proofErr w:type="spellEnd"/>
      <w:r w:rsidR="00E22E22" w:rsidRPr="00E22E22">
        <w:rPr>
          <w:rFonts w:cs="Arial"/>
          <w:szCs w:val="20"/>
          <w:lang w:val="sl-SI"/>
        </w:rPr>
        <w:t xml:space="preserve">. US, 40/12 – ZUJF, 46/13, 25/14 – ZFU, 50/14, 95/14 – ZUPPJS15, 82/15, 23/17 – </w:t>
      </w:r>
      <w:proofErr w:type="spellStart"/>
      <w:r w:rsidR="00E22E22" w:rsidRPr="00E22E22">
        <w:rPr>
          <w:rFonts w:cs="Arial"/>
          <w:szCs w:val="20"/>
          <w:lang w:val="sl-SI"/>
        </w:rPr>
        <w:t>ZDOdv</w:t>
      </w:r>
      <w:proofErr w:type="spellEnd"/>
      <w:r w:rsidR="00E22E22" w:rsidRPr="00E22E22">
        <w:rPr>
          <w:rFonts w:cs="Arial"/>
          <w:szCs w:val="20"/>
          <w:lang w:val="sl-SI"/>
        </w:rPr>
        <w:t>, 67/17 in 84/18)</w:t>
      </w:r>
      <w:r w:rsidR="00E22E22">
        <w:rPr>
          <w:rFonts w:cs="Arial"/>
          <w:szCs w:val="20"/>
          <w:lang w:val="sl-SI"/>
        </w:rPr>
        <w:t xml:space="preserve"> </w:t>
      </w:r>
      <w:r w:rsidRPr="00EE68A8">
        <w:rPr>
          <w:rFonts w:eastAsia="Calibri" w:cs="Arial"/>
          <w:szCs w:val="20"/>
          <w:lang w:val="sl-SI"/>
        </w:rPr>
        <w:t>Vlada Republike Slovenije</w:t>
      </w:r>
      <w:r w:rsidR="00BB0C62" w:rsidRPr="00BB0C62">
        <w:rPr>
          <w:rFonts w:eastAsia="Calibri" w:cs="Arial"/>
          <w:szCs w:val="20"/>
          <w:lang w:val="sl-SI"/>
        </w:rPr>
        <w:t xml:space="preserve"> </w:t>
      </w:r>
      <w:r w:rsidR="00BB0C62" w:rsidRPr="00EE68A8">
        <w:rPr>
          <w:rFonts w:eastAsia="Calibri" w:cs="Arial"/>
          <w:szCs w:val="20"/>
          <w:lang w:val="sl-SI"/>
        </w:rPr>
        <w:t>izdaja</w:t>
      </w:r>
    </w:p>
    <w:p w:rsidR="00585525" w:rsidRPr="00EE68A8" w:rsidRDefault="00585525" w:rsidP="00585525">
      <w:pPr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EE68A8">
        <w:rPr>
          <w:rFonts w:ascii="Arial" w:hAnsi="Arial" w:cs="Arial"/>
          <w:b/>
          <w:sz w:val="20"/>
          <w:szCs w:val="20"/>
          <w:lang w:val="sl-SI"/>
        </w:rPr>
        <w:t>U R E D B O</w:t>
      </w:r>
    </w:p>
    <w:p w:rsidR="00585525" w:rsidRPr="00EE68A8" w:rsidRDefault="00585525" w:rsidP="00585525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EE68A8">
        <w:rPr>
          <w:rFonts w:ascii="Arial" w:hAnsi="Arial" w:cs="Arial"/>
          <w:b/>
          <w:sz w:val="20"/>
          <w:szCs w:val="20"/>
          <w:lang w:val="sl-SI"/>
        </w:rPr>
        <w:t>o spremembah in dopolnitv</w:t>
      </w:r>
      <w:r w:rsidR="00BB0C62">
        <w:rPr>
          <w:rFonts w:ascii="Arial" w:hAnsi="Arial" w:cs="Arial"/>
          <w:b/>
          <w:sz w:val="20"/>
          <w:szCs w:val="20"/>
          <w:lang w:val="sl-SI"/>
        </w:rPr>
        <w:t>i</w:t>
      </w:r>
      <w:r w:rsidRPr="00EE68A8">
        <w:rPr>
          <w:rFonts w:ascii="Arial" w:hAnsi="Arial" w:cs="Arial"/>
          <w:b/>
          <w:sz w:val="20"/>
          <w:szCs w:val="20"/>
          <w:lang w:val="sl-SI"/>
        </w:rPr>
        <w:t xml:space="preserve"> Uredbe o enotni metodologiji in obrazcih za obračun in izplačilo plač v javnem sektorju</w:t>
      </w:r>
    </w:p>
    <w:p w:rsidR="00585525" w:rsidRPr="00495731" w:rsidRDefault="003D2606" w:rsidP="00585525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95731">
        <w:rPr>
          <w:rFonts w:ascii="Arial" w:hAnsi="Arial" w:cs="Arial"/>
          <w:b/>
          <w:sz w:val="20"/>
          <w:szCs w:val="20"/>
          <w:lang w:val="sl-SI"/>
        </w:rPr>
        <w:t>1. člen</w:t>
      </w:r>
    </w:p>
    <w:p w:rsidR="002531C7" w:rsidRDefault="00CF3CE4" w:rsidP="00585525">
      <w:pPr>
        <w:jc w:val="both"/>
        <w:rPr>
          <w:rFonts w:cs="Arial"/>
          <w:szCs w:val="20"/>
          <w:lang w:val="sl-SI"/>
        </w:rPr>
      </w:pPr>
      <w:r w:rsidRPr="00EE68A8">
        <w:rPr>
          <w:rFonts w:cs="Arial"/>
          <w:szCs w:val="20"/>
          <w:lang w:val="sl-SI"/>
        </w:rPr>
        <w:t xml:space="preserve">V Uredbi o enotni metodologiji in obrazcih za obračun in izplačilo plač v javnem sektorju </w:t>
      </w:r>
      <w:r w:rsidR="00E22E22" w:rsidRPr="00E22E22">
        <w:rPr>
          <w:rFonts w:cs="Arial"/>
          <w:szCs w:val="20"/>
          <w:lang w:val="sl-SI"/>
        </w:rPr>
        <w:t>(Uradni list RS, št. 14/09, 23/09, 48/09, 113/09, 25/10, 67/10, 105/10, 45/12, 24/13, 51/13, 12/14, 24/14, 52/14, 59/14, 24/15, 3/16, 70/16, 14/17, 68/17 in 6/19)</w:t>
      </w:r>
      <w:r w:rsidRPr="00EE68A8">
        <w:rPr>
          <w:rFonts w:cs="Arial"/>
          <w:szCs w:val="20"/>
          <w:lang w:val="sl-SI"/>
        </w:rPr>
        <w:t xml:space="preserve"> se v 3. členu v drugem odstavku v preglednici vrste izplačil </w:t>
      </w:r>
      <w:r w:rsidR="002531C7">
        <w:rPr>
          <w:rFonts w:cs="Arial"/>
          <w:szCs w:val="20"/>
          <w:lang w:val="sl-SI"/>
        </w:rPr>
        <w:t xml:space="preserve">s šifro C100 v stolpcu »Faktor/vrednost« </w:t>
      </w:r>
      <w:r w:rsidR="00AD2AB8">
        <w:rPr>
          <w:rFonts w:cs="Arial"/>
          <w:szCs w:val="20"/>
          <w:lang w:val="sl-SI"/>
        </w:rPr>
        <w:t>š</w:t>
      </w:r>
      <w:r w:rsidR="002531C7">
        <w:rPr>
          <w:rFonts w:cs="Arial"/>
          <w:szCs w:val="20"/>
          <w:lang w:val="sl-SI"/>
        </w:rPr>
        <w:t>tevilka »0,3« nadomesti s številko »0,4«.</w:t>
      </w:r>
    </w:p>
    <w:p w:rsidR="002531C7" w:rsidRDefault="002531C7" w:rsidP="00585525">
      <w:pPr>
        <w:jc w:val="both"/>
        <w:rPr>
          <w:rFonts w:cs="Arial"/>
          <w:szCs w:val="20"/>
          <w:lang w:val="sl-SI"/>
        </w:rPr>
      </w:pPr>
    </w:p>
    <w:p w:rsidR="002531C7" w:rsidRDefault="002531C7" w:rsidP="0058552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vrstici s šifro C110 </w:t>
      </w:r>
      <w:r w:rsidR="00051091">
        <w:rPr>
          <w:rFonts w:cs="Arial"/>
          <w:szCs w:val="20"/>
          <w:lang w:val="sl-SI"/>
        </w:rPr>
        <w:t xml:space="preserve">se </w:t>
      </w:r>
      <w:r>
        <w:rPr>
          <w:rFonts w:cs="Arial"/>
          <w:szCs w:val="20"/>
          <w:lang w:val="sl-SI"/>
        </w:rPr>
        <w:t xml:space="preserve">v stolpcu »Faktor/vrednost« </w:t>
      </w:r>
      <w:r w:rsidR="00AD2AB8">
        <w:rPr>
          <w:rFonts w:cs="Arial"/>
          <w:szCs w:val="20"/>
          <w:lang w:val="sl-SI"/>
        </w:rPr>
        <w:t>š</w:t>
      </w:r>
      <w:r>
        <w:rPr>
          <w:rFonts w:cs="Arial"/>
          <w:szCs w:val="20"/>
          <w:lang w:val="sl-SI"/>
        </w:rPr>
        <w:t>tevilka »0,75« nadomesti s številko »0,9«.</w:t>
      </w:r>
    </w:p>
    <w:p w:rsidR="002531C7" w:rsidRDefault="002531C7" w:rsidP="00585525">
      <w:pPr>
        <w:jc w:val="both"/>
        <w:rPr>
          <w:rFonts w:cs="Arial"/>
          <w:szCs w:val="20"/>
          <w:lang w:val="sl-SI"/>
        </w:rPr>
      </w:pPr>
    </w:p>
    <w:p w:rsidR="002531C7" w:rsidRDefault="002531C7" w:rsidP="002531C7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vrstici s šifro C111 </w:t>
      </w:r>
      <w:r w:rsidR="00051091">
        <w:rPr>
          <w:rFonts w:cs="Arial"/>
          <w:szCs w:val="20"/>
          <w:lang w:val="sl-SI"/>
        </w:rPr>
        <w:t xml:space="preserve">se </w:t>
      </w:r>
      <w:r>
        <w:rPr>
          <w:rFonts w:cs="Arial"/>
          <w:szCs w:val="20"/>
          <w:lang w:val="sl-SI"/>
        </w:rPr>
        <w:t xml:space="preserve">v stolpcu »Faktor/vrednost« </w:t>
      </w:r>
      <w:r w:rsidR="00AD2AB8">
        <w:rPr>
          <w:rFonts w:cs="Arial"/>
          <w:szCs w:val="20"/>
          <w:lang w:val="sl-SI"/>
        </w:rPr>
        <w:t>š</w:t>
      </w:r>
      <w:r>
        <w:rPr>
          <w:rFonts w:cs="Arial"/>
          <w:szCs w:val="20"/>
          <w:lang w:val="sl-SI"/>
        </w:rPr>
        <w:t>tevilka »0,9« nadomesti s številko »1,2«.</w:t>
      </w:r>
    </w:p>
    <w:p w:rsidR="00AD2AB8" w:rsidRDefault="00AD2AB8" w:rsidP="00585525">
      <w:pPr>
        <w:jc w:val="both"/>
        <w:rPr>
          <w:rFonts w:cs="Arial"/>
          <w:szCs w:val="20"/>
          <w:lang w:val="sl-SI"/>
        </w:rPr>
      </w:pPr>
    </w:p>
    <w:p w:rsidR="002531C7" w:rsidRDefault="00495731" w:rsidP="0058552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vrsticah s šiframi </w:t>
      </w:r>
      <w:r w:rsidR="001C6420">
        <w:rPr>
          <w:rFonts w:cs="Arial"/>
          <w:szCs w:val="20"/>
          <w:lang w:val="sl-SI"/>
        </w:rPr>
        <w:t xml:space="preserve">C330, </w:t>
      </w:r>
      <w:r>
        <w:rPr>
          <w:rFonts w:cs="Arial"/>
          <w:szCs w:val="20"/>
          <w:lang w:val="sl-SI"/>
        </w:rPr>
        <w:t xml:space="preserve">C340, C350, C360, C370 in C380 se v </w:t>
      </w:r>
      <w:r w:rsidR="00AD2AB8">
        <w:rPr>
          <w:rFonts w:cs="Arial"/>
          <w:szCs w:val="20"/>
          <w:lang w:val="sl-SI"/>
        </w:rPr>
        <w:t xml:space="preserve"> </w:t>
      </w:r>
      <w:r w:rsidR="002531C7">
        <w:rPr>
          <w:rFonts w:cs="Arial"/>
          <w:szCs w:val="20"/>
          <w:lang w:val="sl-SI"/>
        </w:rPr>
        <w:t>stolpcu »Opomba« doda besedilo »velja tudi za nadomeščanje«.</w:t>
      </w:r>
    </w:p>
    <w:p w:rsidR="002531C7" w:rsidRDefault="002531C7" w:rsidP="00585525">
      <w:pPr>
        <w:jc w:val="both"/>
        <w:rPr>
          <w:rFonts w:cs="Arial"/>
          <w:szCs w:val="20"/>
          <w:lang w:val="sl-SI"/>
        </w:rPr>
      </w:pPr>
    </w:p>
    <w:p w:rsidR="00585525" w:rsidRPr="00EE68A8" w:rsidRDefault="00585525" w:rsidP="00585525">
      <w:pPr>
        <w:autoSpaceDE w:val="0"/>
        <w:autoSpaceDN w:val="0"/>
        <w:adjustRightInd w:val="0"/>
        <w:spacing w:after="120" w:line="240" w:lineRule="atLeast"/>
        <w:rPr>
          <w:rFonts w:cs="Arial"/>
          <w:noProof/>
          <w:color w:val="000000"/>
          <w:szCs w:val="20"/>
          <w:lang w:val="sl-SI"/>
        </w:rPr>
      </w:pPr>
    </w:p>
    <w:p w:rsidR="00585525" w:rsidRPr="00495731" w:rsidRDefault="003D2606" w:rsidP="00585525">
      <w:pPr>
        <w:autoSpaceDE w:val="0"/>
        <w:autoSpaceDN w:val="0"/>
        <w:adjustRightInd w:val="0"/>
        <w:spacing w:after="120" w:line="240" w:lineRule="atLeast"/>
        <w:jc w:val="center"/>
        <w:rPr>
          <w:rFonts w:cs="Arial"/>
          <w:b/>
          <w:noProof/>
          <w:color w:val="000000"/>
          <w:szCs w:val="20"/>
          <w:lang w:val="sl-SI"/>
        </w:rPr>
      </w:pPr>
      <w:r w:rsidRPr="00495731">
        <w:rPr>
          <w:rFonts w:cs="Arial"/>
          <w:b/>
          <w:noProof/>
          <w:color w:val="000000"/>
          <w:szCs w:val="20"/>
          <w:lang w:val="sl-SI"/>
        </w:rPr>
        <w:t>PREHODNA IN KONČNA DOLOČBA</w:t>
      </w:r>
    </w:p>
    <w:p w:rsidR="00585525" w:rsidRPr="00EE68A8" w:rsidRDefault="00585525" w:rsidP="00585525">
      <w:pPr>
        <w:spacing w:line="240" w:lineRule="atLeast"/>
        <w:jc w:val="center"/>
        <w:rPr>
          <w:rFonts w:cs="Arial"/>
          <w:noProof/>
          <w:szCs w:val="20"/>
          <w:lang w:val="sl-SI" w:eastAsia="zh-CN"/>
        </w:rPr>
      </w:pPr>
    </w:p>
    <w:p w:rsidR="00585525" w:rsidRPr="00495731" w:rsidRDefault="003D2606" w:rsidP="00585525">
      <w:pPr>
        <w:spacing w:line="240" w:lineRule="atLeast"/>
        <w:jc w:val="center"/>
        <w:rPr>
          <w:rFonts w:cs="Arial"/>
          <w:b/>
          <w:noProof/>
          <w:szCs w:val="20"/>
          <w:lang w:val="sl-SI" w:eastAsia="zh-CN"/>
        </w:rPr>
      </w:pPr>
      <w:r w:rsidRPr="00495731">
        <w:rPr>
          <w:rFonts w:cs="Arial"/>
          <w:b/>
          <w:noProof/>
          <w:szCs w:val="20"/>
          <w:lang w:val="sl-SI" w:eastAsia="zh-CN"/>
        </w:rPr>
        <w:t>2. člen</w:t>
      </w:r>
    </w:p>
    <w:p w:rsidR="00585525" w:rsidRDefault="00585525" w:rsidP="005277E4">
      <w:pPr>
        <w:spacing w:line="240" w:lineRule="atLeast"/>
        <w:jc w:val="both"/>
        <w:rPr>
          <w:noProof/>
          <w:lang w:val="sl-SI" w:eastAsia="zh-CN"/>
        </w:rPr>
      </w:pPr>
    </w:p>
    <w:p w:rsidR="005277E4" w:rsidRPr="00EE68A8" w:rsidRDefault="005277E4" w:rsidP="005277E4">
      <w:pPr>
        <w:spacing w:line="240" w:lineRule="atLeast"/>
        <w:jc w:val="both"/>
        <w:rPr>
          <w:noProof/>
          <w:lang w:val="sl-SI" w:eastAsia="zh-CN"/>
        </w:rPr>
      </w:pPr>
      <w:r>
        <w:rPr>
          <w:noProof/>
          <w:lang w:val="sl-SI" w:eastAsia="zh-CN"/>
        </w:rPr>
        <w:t xml:space="preserve">Dodatki s šiframi C100, C110 in C111 se v skladu s </w:t>
      </w:r>
      <w:r w:rsidR="00FE1F9D">
        <w:rPr>
          <w:noProof/>
          <w:lang w:val="sl-SI" w:eastAsia="zh-CN"/>
        </w:rPr>
        <w:t xml:space="preserve">spremenjenim 3. členom </w:t>
      </w:r>
      <w:r>
        <w:rPr>
          <w:noProof/>
          <w:lang w:val="sl-SI" w:eastAsia="zh-CN"/>
        </w:rPr>
        <w:t xml:space="preserve">uredbe </w:t>
      </w:r>
      <w:r w:rsidR="00672B04">
        <w:rPr>
          <w:noProof/>
          <w:lang w:val="sl-SI" w:eastAsia="zh-CN"/>
        </w:rPr>
        <w:t xml:space="preserve">začnejo obračunavati </w:t>
      </w:r>
      <w:r>
        <w:rPr>
          <w:noProof/>
          <w:lang w:val="sl-SI" w:eastAsia="zh-CN"/>
        </w:rPr>
        <w:t>1. septembra 2019</w:t>
      </w:r>
      <w:r w:rsidR="00672B04">
        <w:rPr>
          <w:noProof/>
          <w:lang w:val="sl-SI" w:eastAsia="zh-CN"/>
        </w:rPr>
        <w:t xml:space="preserve">, do takrat pa se uporabljajo dodatki s šiframi C100, C110 in C111 v skladu z </w:t>
      </w:r>
      <w:r w:rsidR="00672B04">
        <w:rPr>
          <w:rFonts w:cs="Arial"/>
          <w:szCs w:val="20"/>
          <w:lang w:val="sl-SI"/>
        </w:rPr>
        <w:t>Uredbo</w:t>
      </w:r>
      <w:r w:rsidR="00672B04" w:rsidRPr="00EE68A8">
        <w:rPr>
          <w:rFonts w:cs="Arial"/>
          <w:szCs w:val="20"/>
          <w:lang w:val="sl-SI"/>
        </w:rPr>
        <w:t xml:space="preserve"> o enotni metodologiji in obrazcih za obračun in izplačilo plač v javnem sektorju </w:t>
      </w:r>
      <w:r w:rsidR="00672B04" w:rsidRPr="00E22E22">
        <w:rPr>
          <w:rFonts w:cs="Arial"/>
          <w:szCs w:val="20"/>
          <w:lang w:val="sl-SI"/>
        </w:rPr>
        <w:t>(Uradni list RS, št. 14/09, 23/09, 48/09, 113/09, 25/10, 67/10, 105/10, 45/12, 24/13, 51/13, 12/14, 24/14, 52/14, 59/14, 24/15, 3/16, 70/16, 14/17, 68/17 in 6/19)</w:t>
      </w:r>
      <w:r>
        <w:rPr>
          <w:noProof/>
          <w:lang w:val="sl-SI" w:eastAsia="zh-CN"/>
        </w:rPr>
        <w:t>.</w:t>
      </w:r>
    </w:p>
    <w:p w:rsidR="005277E4" w:rsidRDefault="005277E4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</w:p>
    <w:p w:rsidR="005277E4" w:rsidRPr="00495731" w:rsidRDefault="003D2606" w:rsidP="005277E4">
      <w:pPr>
        <w:spacing w:line="240" w:lineRule="atLeast"/>
        <w:jc w:val="center"/>
        <w:rPr>
          <w:rFonts w:cs="Arial"/>
          <w:b/>
          <w:noProof/>
          <w:szCs w:val="20"/>
          <w:lang w:val="sl-SI" w:eastAsia="zh-CN"/>
        </w:rPr>
      </w:pPr>
      <w:r w:rsidRPr="00495731">
        <w:rPr>
          <w:rFonts w:cs="Arial"/>
          <w:b/>
          <w:noProof/>
          <w:szCs w:val="20"/>
          <w:lang w:val="sl-SI" w:eastAsia="zh-CN"/>
        </w:rPr>
        <w:t>3. člen</w:t>
      </w:r>
    </w:p>
    <w:p w:rsidR="005277E4" w:rsidRDefault="005277E4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</w:p>
    <w:p w:rsidR="005277E4" w:rsidRDefault="005277E4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 xml:space="preserve">Ta uredba začne veljati naslednji dan po objavi v Uradnem listu Republike Slovenije. </w:t>
      </w: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  <w:r w:rsidRPr="00EE68A8">
        <w:rPr>
          <w:noProof/>
          <w:lang w:val="sl-SI" w:eastAsia="zh-CN"/>
        </w:rPr>
        <w:t>Vlada Republike Slovenije</w:t>
      </w:r>
    </w:p>
    <w:p w:rsidR="00585525" w:rsidRPr="00EE68A8" w:rsidRDefault="00585525" w:rsidP="00585525">
      <w:pPr>
        <w:spacing w:line="240" w:lineRule="atLeast"/>
        <w:ind w:left="4956"/>
        <w:rPr>
          <w:noProof/>
          <w:lang w:val="sl-SI" w:eastAsia="zh-CN"/>
        </w:rPr>
      </w:pPr>
      <w:r w:rsidRPr="00EE68A8">
        <w:rPr>
          <w:noProof/>
          <w:lang w:val="sl-SI" w:eastAsia="zh-CN"/>
        </w:rPr>
        <w:t xml:space="preserve">        Marjan Šarec</w:t>
      </w:r>
    </w:p>
    <w:p w:rsidR="00585525" w:rsidRPr="00EE68A8" w:rsidRDefault="00585525" w:rsidP="00585525">
      <w:pPr>
        <w:spacing w:line="240" w:lineRule="atLeast"/>
        <w:ind w:left="4956"/>
        <w:rPr>
          <w:noProof/>
          <w:lang w:val="sl-SI"/>
        </w:rPr>
      </w:pPr>
      <w:r w:rsidRPr="00EE68A8">
        <w:rPr>
          <w:noProof/>
          <w:lang w:val="sl-SI" w:eastAsia="zh-CN"/>
        </w:rPr>
        <w:t xml:space="preserve">          </w:t>
      </w:r>
      <w:r w:rsidR="00EE68A8">
        <w:rPr>
          <w:noProof/>
          <w:lang w:val="sl-SI" w:eastAsia="zh-CN"/>
        </w:rPr>
        <w:t>p</w:t>
      </w:r>
      <w:r w:rsidRPr="00EE68A8">
        <w:rPr>
          <w:noProof/>
          <w:lang w:val="sl-SI" w:eastAsia="zh-CN"/>
        </w:rPr>
        <w:t>redsednik</w:t>
      </w: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:rsidR="00585525" w:rsidRPr="00EE68A8" w:rsidRDefault="00585525" w:rsidP="00585525">
      <w:pPr>
        <w:spacing w:line="240" w:lineRule="atLeast"/>
        <w:jc w:val="both"/>
        <w:rPr>
          <w:rFonts w:cs="Arial"/>
          <w:noProof/>
          <w:szCs w:val="20"/>
          <w:lang w:val="sl-SI" w:eastAsia="sl-SI"/>
        </w:rPr>
      </w:pPr>
    </w:p>
    <w:p w:rsidR="00585525" w:rsidRPr="00EE68A8" w:rsidRDefault="006F14E4" w:rsidP="00585525">
      <w:pPr>
        <w:spacing w:line="240" w:lineRule="atLeast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 w:eastAsia="sl-SI"/>
        </w:rPr>
        <w:t>Št. 0100-</w:t>
      </w:r>
      <w:r w:rsidR="00EA57C0">
        <w:rPr>
          <w:rFonts w:cs="Arial"/>
          <w:noProof/>
          <w:szCs w:val="20"/>
          <w:lang w:val="sl-SI" w:eastAsia="sl-SI"/>
        </w:rPr>
        <w:t>579/2019/</w:t>
      </w:r>
      <w:r w:rsidR="008B3360">
        <w:rPr>
          <w:rFonts w:cs="Arial"/>
          <w:noProof/>
          <w:szCs w:val="20"/>
          <w:lang w:val="sl-SI" w:eastAsia="sl-SI"/>
        </w:rPr>
        <w:t>6</w:t>
      </w:r>
    </w:p>
    <w:p w:rsidR="00FE7C14" w:rsidRDefault="00FE7C14" w:rsidP="00FE7C14">
      <w:pPr>
        <w:spacing w:after="200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Ljubljana, </w:t>
      </w:r>
      <w:r w:rsidR="008B3360">
        <w:rPr>
          <w:rFonts w:eastAsia="Calibri" w:cs="Arial"/>
          <w:szCs w:val="20"/>
          <w:lang w:val="sl-SI"/>
        </w:rPr>
        <w:t>31</w:t>
      </w:r>
      <w:r>
        <w:rPr>
          <w:rFonts w:eastAsia="Calibri" w:cs="Arial"/>
          <w:szCs w:val="20"/>
          <w:lang w:val="sl-SI"/>
        </w:rPr>
        <w:t>.</w:t>
      </w:r>
      <w:r w:rsidR="00051091">
        <w:rPr>
          <w:rFonts w:eastAsia="Calibri" w:cs="Arial"/>
          <w:szCs w:val="20"/>
          <w:lang w:val="sl-SI"/>
        </w:rPr>
        <w:t xml:space="preserve"> </w:t>
      </w:r>
      <w:r w:rsidR="00BB0C62">
        <w:rPr>
          <w:rFonts w:eastAsia="Calibri" w:cs="Arial"/>
          <w:szCs w:val="20"/>
          <w:lang w:val="sl-SI"/>
        </w:rPr>
        <w:t xml:space="preserve">julija </w:t>
      </w:r>
      <w:r>
        <w:rPr>
          <w:rFonts w:eastAsia="Calibri" w:cs="Arial"/>
          <w:szCs w:val="20"/>
          <w:lang w:val="sl-SI"/>
        </w:rPr>
        <w:t>2019</w:t>
      </w:r>
      <w:bookmarkStart w:id="0" w:name="_GoBack"/>
      <w:bookmarkEnd w:id="0"/>
    </w:p>
    <w:p w:rsidR="00F255F4" w:rsidRPr="00FE7C14" w:rsidRDefault="00585525" w:rsidP="00BB0C62">
      <w:pPr>
        <w:spacing w:after="200"/>
        <w:rPr>
          <w:rFonts w:eastAsia="Calibri" w:cs="Arial"/>
          <w:szCs w:val="20"/>
          <w:lang w:val="sl-SI"/>
        </w:rPr>
        <w:sectPr w:rsidR="00F255F4" w:rsidRPr="00FE7C14" w:rsidSect="00672A33">
          <w:headerReference w:type="first" r:id="rId17"/>
          <w:type w:val="continuous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  <w:r w:rsidRPr="00EE68A8">
        <w:rPr>
          <w:rFonts w:cs="Arial"/>
          <w:noProof/>
          <w:szCs w:val="20"/>
          <w:lang w:val="sl-SI"/>
        </w:rPr>
        <w:t>EVA 201</w:t>
      </w:r>
      <w:r w:rsidR="005277E4">
        <w:rPr>
          <w:rFonts w:cs="Arial"/>
          <w:noProof/>
          <w:szCs w:val="20"/>
          <w:lang w:val="sl-SI"/>
        </w:rPr>
        <w:t>9</w:t>
      </w:r>
      <w:r w:rsidRPr="00EE68A8">
        <w:rPr>
          <w:rFonts w:cs="Arial"/>
          <w:noProof/>
          <w:szCs w:val="20"/>
          <w:lang w:val="sl-SI"/>
        </w:rPr>
        <w:t>-31</w:t>
      </w:r>
      <w:r w:rsidR="007C121F">
        <w:rPr>
          <w:rFonts w:cs="Arial"/>
          <w:noProof/>
          <w:szCs w:val="20"/>
          <w:lang w:val="sl-SI"/>
        </w:rPr>
        <w:t>30-</w:t>
      </w:r>
      <w:r w:rsidR="00FE7C14">
        <w:rPr>
          <w:rFonts w:cs="Arial"/>
          <w:noProof/>
          <w:szCs w:val="20"/>
          <w:lang w:val="sl-SI"/>
        </w:rPr>
        <w:t>0029</w:t>
      </w:r>
    </w:p>
    <w:p w:rsidR="00585525" w:rsidRPr="00EE68A8" w:rsidRDefault="00585525" w:rsidP="00585525">
      <w:pPr>
        <w:jc w:val="both"/>
        <w:rPr>
          <w:rFonts w:eastAsia="Calibri" w:cs="Arial"/>
          <w:b/>
          <w:szCs w:val="20"/>
          <w:lang w:val="sl-SI"/>
        </w:rPr>
      </w:pPr>
      <w:r w:rsidRPr="00EE68A8">
        <w:rPr>
          <w:rFonts w:eastAsia="Calibri" w:cs="Arial"/>
          <w:b/>
          <w:szCs w:val="20"/>
          <w:lang w:val="sl-SI"/>
        </w:rPr>
        <w:lastRenderedPageBreak/>
        <w:t>OBRAZLOŽITEV</w:t>
      </w:r>
    </w:p>
    <w:p w:rsidR="00585525" w:rsidRPr="00EE68A8" w:rsidRDefault="00585525" w:rsidP="00585525">
      <w:pPr>
        <w:numPr>
          <w:ilvl w:val="0"/>
          <w:numId w:val="39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 xml:space="preserve">UVOD </w:t>
      </w:r>
    </w:p>
    <w:p w:rsidR="00585525" w:rsidRPr="00EE68A8" w:rsidRDefault="00585525" w:rsidP="00585525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Pravna podlaga (besedilo, vsebina zakonske določbe, ki je podlaga za izdajo predpisa):</w:t>
      </w:r>
    </w:p>
    <w:p w:rsidR="00585525" w:rsidRPr="00EE68A8" w:rsidRDefault="00495731" w:rsidP="00585525">
      <w:pPr>
        <w:numPr>
          <w:ilvl w:val="0"/>
          <w:numId w:val="24"/>
        </w:numPr>
        <w:rPr>
          <w:noProof/>
          <w:lang w:val="sl-SI"/>
        </w:rPr>
      </w:pPr>
      <w:r>
        <w:rPr>
          <w:iCs/>
          <w:noProof/>
          <w:szCs w:val="20"/>
          <w:lang w:val="sl-SI"/>
        </w:rPr>
        <w:t>4</w:t>
      </w:r>
      <w:r w:rsidR="00585525" w:rsidRPr="00EE68A8">
        <w:rPr>
          <w:iCs/>
          <w:noProof/>
          <w:szCs w:val="20"/>
          <w:lang w:val="sl-SI"/>
        </w:rPr>
        <w:t xml:space="preserve">0. člen </w:t>
      </w:r>
      <w:r w:rsidR="006F67E9">
        <w:rPr>
          <w:iCs/>
          <w:noProof/>
          <w:szCs w:val="20"/>
          <w:lang w:val="sl-SI"/>
        </w:rPr>
        <w:t xml:space="preserve">Zakona o sistemu plač v javnem sektorju </w:t>
      </w:r>
      <w:r w:rsidR="006F67E9" w:rsidRPr="006F67E9">
        <w:rPr>
          <w:rFonts w:cs="Arial"/>
          <w:szCs w:val="20"/>
          <w:shd w:val="clear" w:color="auto" w:fill="FFFFFF"/>
          <w:lang w:val="sl-SI"/>
        </w:rPr>
        <w:t>(Uradni list RS, št. 14/09, 23/09, 48/09, 113/09, 25/10, 67/10, 105/10, 45/12, 24/13, 51/13, 12/14, 24/14, 52/14, 59/14, 24/15, 3/16, 70/16, 14/17, 68/17 in 6/19)</w:t>
      </w:r>
    </w:p>
    <w:p w:rsidR="00585525" w:rsidRPr="00EE68A8" w:rsidRDefault="00585525" w:rsidP="00585525">
      <w:pPr>
        <w:ind w:left="720"/>
        <w:rPr>
          <w:noProof/>
          <w:lang w:val="sl-SI"/>
        </w:rPr>
      </w:pPr>
    </w:p>
    <w:p w:rsidR="00585525" w:rsidRPr="00EE68A8" w:rsidRDefault="00585525" w:rsidP="00585525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Predstavitev presoje posledic za posamezna področja, če te niso mogle biti celovito predstavljene v predlogu zakona.</w:t>
      </w:r>
    </w:p>
    <w:p w:rsidR="00585525" w:rsidRPr="00EE68A8" w:rsidRDefault="00585525" w:rsidP="00585525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Izjava o skladnosti predloga predpisa s pravnimi akti Evropske unije in korelacijska tabela, če gre za prenos direktive.</w:t>
      </w:r>
    </w:p>
    <w:p w:rsidR="00585525" w:rsidRPr="00EE68A8" w:rsidRDefault="00585525" w:rsidP="00D069F5">
      <w:pPr>
        <w:spacing w:beforeLines="60" w:before="144" w:afterLines="60" w:after="144" w:line="276" w:lineRule="auto"/>
        <w:ind w:left="360" w:firstLine="348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 xml:space="preserve">Izjava o skladnosti (format </w:t>
      </w:r>
      <w:proofErr w:type="spellStart"/>
      <w:r w:rsidRPr="00EE68A8">
        <w:rPr>
          <w:rFonts w:eastAsia="Calibri" w:cs="Arial"/>
          <w:szCs w:val="20"/>
          <w:lang w:val="sl-SI"/>
        </w:rPr>
        <w:t>pdf</w:t>
      </w:r>
      <w:proofErr w:type="spellEnd"/>
      <w:r w:rsidRPr="00EE68A8">
        <w:rPr>
          <w:rFonts w:eastAsia="Calibri" w:cs="Arial"/>
          <w:szCs w:val="20"/>
          <w:lang w:val="sl-SI"/>
        </w:rPr>
        <w:t>) – izvoz iz baze RPS.</w:t>
      </w:r>
    </w:p>
    <w:p w:rsidR="00585525" w:rsidRPr="00EE68A8" w:rsidRDefault="00585525" w:rsidP="00585525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</w:p>
    <w:p w:rsidR="00585525" w:rsidRPr="00EE68A8" w:rsidRDefault="00585525" w:rsidP="00585525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  <w:r w:rsidRPr="00EE68A8">
        <w:rPr>
          <w:rFonts w:eastAsia="Calibri" w:cs="Arial"/>
          <w:szCs w:val="20"/>
          <w:lang w:val="sl-SI"/>
        </w:rPr>
        <w:t>II. VSEBINSKA OBRAZLOŽITEV UREDBE</w:t>
      </w:r>
    </w:p>
    <w:p w:rsidR="00585525" w:rsidRPr="00EE68A8" w:rsidRDefault="00585525" w:rsidP="00585525">
      <w:pPr>
        <w:spacing w:after="200" w:line="276" w:lineRule="auto"/>
        <w:rPr>
          <w:rFonts w:eastAsia="Calibri" w:cs="Arial"/>
          <w:b/>
          <w:szCs w:val="20"/>
          <w:lang w:val="sl-SI"/>
        </w:rPr>
      </w:pPr>
      <w:r w:rsidRPr="00EE68A8">
        <w:rPr>
          <w:rFonts w:eastAsia="Calibri" w:cs="Arial"/>
          <w:b/>
          <w:szCs w:val="20"/>
          <w:lang w:val="sl-SI"/>
        </w:rPr>
        <w:t>Obrazložitev k posameznim členom:</w:t>
      </w:r>
    </w:p>
    <w:p w:rsidR="00585525" w:rsidRPr="00EE68A8" w:rsidRDefault="00585525" w:rsidP="00585525">
      <w:pPr>
        <w:jc w:val="both"/>
        <w:rPr>
          <w:rFonts w:cs="Arial"/>
          <w:b/>
          <w:noProof/>
          <w:szCs w:val="20"/>
          <w:lang w:val="sl-SI"/>
        </w:rPr>
      </w:pPr>
      <w:r w:rsidRPr="00EE68A8">
        <w:rPr>
          <w:rFonts w:cs="Arial"/>
          <w:b/>
          <w:noProof/>
          <w:szCs w:val="20"/>
          <w:lang w:val="sl-SI"/>
        </w:rPr>
        <w:t>K 1. členu</w:t>
      </w:r>
    </w:p>
    <w:p w:rsidR="00585525" w:rsidRPr="00EE68A8" w:rsidRDefault="00585525" w:rsidP="00585525">
      <w:pPr>
        <w:spacing w:line="260" w:lineRule="exact"/>
        <w:jc w:val="both"/>
        <w:rPr>
          <w:iCs/>
          <w:noProof/>
          <w:szCs w:val="20"/>
          <w:lang w:val="sl-SI"/>
        </w:rPr>
      </w:pPr>
    </w:p>
    <w:p w:rsidR="005277E4" w:rsidRDefault="00051091" w:rsidP="00585525">
      <w:pPr>
        <w:jc w:val="both"/>
        <w:rPr>
          <w:rFonts w:cs="Arial"/>
          <w:noProof/>
          <w:szCs w:val="20"/>
          <w:lang w:val="sl-SI"/>
        </w:rPr>
      </w:pPr>
      <w:r w:rsidRPr="00051091">
        <w:rPr>
          <w:rFonts w:cs="Arial"/>
          <w:noProof/>
          <w:szCs w:val="20"/>
          <w:lang w:val="sl-SI"/>
        </w:rPr>
        <w:t xml:space="preserve">V skladu s 3. členom aneksa št. 12 h KPJS, </w:t>
      </w:r>
      <w:r w:rsidR="00ED0BF6">
        <w:rPr>
          <w:rFonts w:cs="Arial"/>
          <w:noProof/>
          <w:szCs w:val="20"/>
          <w:lang w:val="sl-SI"/>
        </w:rPr>
        <w:t>na podlagi katerega se</w:t>
      </w:r>
      <w:r w:rsidRPr="00051091">
        <w:rPr>
          <w:rFonts w:cs="Arial"/>
          <w:noProof/>
          <w:szCs w:val="20"/>
          <w:lang w:val="sl-SI"/>
        </w:rPr>
        <w:t xml:space="preserve"> je spremenil 43. člen KPJS, in sicer dodatek za delo ponoči, ter 44. člen KPJS, tj. dodatek za delo v nedeljo in za delo na dan, ki je z zakonom določen kot dela prost dan, se spremenijo dodatki s šiframi C100, C110 in C111.</w:t>
      </w:r>
    </w:p>
    <w:p w:rsidR="00051091" w:rsidRDefault="00051091" w:rsidP="00585525">
      <w:pPr>
        <w:jc w:val="both"/>
        <w:rPr>
          <w:rFonts w:cs="Arial"/>
          <w:noProof/>
          <w:szCs w:val="20"/>
          <w:lang w:val="sl-SI"/>
        </w:rPr>
      </w:pPr>
    </w:p>
    <w:p w:rsidR="00ED0BF6" w:rsidRDefault="00ED0BF6" w:rsidP="00585525">
      <w:pPr>
        <w:jc w:val="both"/>
        <w:rPr>
          <w:rFonts w:cs="Arial"/>
          <w:noProof/>
          <w:szCs w:val="20"/>
          <w:lang w:val="sl-SI"/>
        </w:rPr>
      </w:pPr>
      <w:r w:rsidRPr="00ED0BF6">
        <w:rPr>
          <w:rFonts w:cs="Arial"/>
          <w:noProof/>
          <w:szCs w:val="20"/>
          <w:lang w:val="sl-SI"/>
        </w:rPr>
        <w:t>na podlagi katerih se spreminjajo dodatki za delo ponoči</w:t>
      </w:r>
    </w:p>
    <w:p w:rsidR="005277E4" w:rsidRDefault="005277E4" w:rsidP="00585525">
      <w:pPr>
        <w:jc w:val="both"/>
        <w:rPr>
          <w:rFonts w:cs="Arial"/>
          <w:noProof/>
          <w:szCs w:val="20"/>
          <w:lang w:val="sl-SI"/>
        </w:rPr>
      </w:pPr>
      <w:r>
        <w:rPr>
          <w:rFonts w:cs="Arial"/>
          <w:noProof/>
          <w:szCs w:val="20"/>
          <w:lang w:val="sl-SI"/>
        </w:rPr>
        <w:t>Poleg tega se spremenijo in dopolnijo položajni dodatki za sodnike in tožilce, in sicer ti veljajo</w:t>
      </w:r>
      <w:r w:rsidR="006F67E9">
        <w:rPr>
          <w:rFonts w:cs="Arial"/>
          <w:noProof/>
          <w:szCs w:val="20"/>
          <w:lang w:val="sl-SI"/>
        </w:rPr>
        <w:t xml:space="preserve"> </w:t>
      </w:r>
      <w:r>
        <w:rPr>
          <w:rFonts w:cs="Arial"/>
          <w:noProof/>
          <w:szCs w:val="20"/>
          <w:lang w:val="sl-SI"/>
        </w:rPr>
        <w:t>tudi v primeru nadomeščanj.</w:t>
      </w:r>
    </w:p>
    <w:p w:rsidR="00585525" w:rsidRPr="00EE68A8" w:rsidRDefault="00585525" w:rsidP="00585525">
      <w:pPr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jc w:val="both"/>
        <w:rPr>
          <w:rFonts w:cs="Arial"/>
          <w:b/>
          <w:noProof/>
          <w:szCs w:val="20"/>
          <w:lang w:val="sl-SI"/>
        </w:rPr>
      </w:pPr>
      <w:r w:rsidRPr="00EE68A8">
        <w:rPr>
          <w:rFonts w:cs="Arial"/>
          <w:b/>
          <w:noProof/>
          <w:szCs w:val="20"/>
          <w:lang w:val="sl-SI"/>
        </w:rPr>
        <w:t>K 2. členu</w:t>
      </w:r>
    </w:p>
    <w:p w:rsidR="00585525" w:rsidRPr="00EE68A8" w:rsidRDefault="00585525" w:rsidP="00585525">
      <w:pPr>
        <w:jc w:val="both"/>
        <w:rPr>
          <w:rFonts w:cs="Arial"/>
          <w:noProof/>
          <w:szCs w:val="20"/>
          <w:lang w:val="sl-SI"/>
        </w:rPr>
      </w:pPr>
    </w:p>
    <w:p w:rsidR="005277E4" w:rsidRDefault="005277E4" w:rsidP="00585525">
      <w:pPr>
        <w:spacing w:line="288" w:lineRule="auto"/>
        <w:jc w:val="both"/>
        <w:rPr>
          <w:rFonts w:cs="Arial"/>
          <w:noProof/>
          <w:szCs w:val="20"/>
          <w:lang w:val="sl-SI"/>
        </w:rPr>
      </w:pPr>
      <w:r>
        <w:rPr>
          <w:rFonts w:cs="Arial"/>
          <w:noProof/>
          <w:szCs w:val="20"/>
          <w:lang w:val="sl-SI"/>
        </w:rPr>
        <w:t>Dodatki za delo ponoči, v nedel</w:t>
      </w:r>
      <w:r w:rsidR="00BB0C62">
        <w:rPr>
          <w:rFonts w:cs="Arial"/>
          <w:noProof/>
          <w:szCs w:val="20"/>
          <w:lang w:val="sl-SI"/>
        </w:rPr>
        <w:t>j</w:t>
      </w:r>
      <w:r>
        <w:rPr>
          <w:rFonts w:cs="Arial"/>
          <w:noProof/>
          <w:szCs w:val="20"/>
          <w:lang w:val="sl-SI"/>
        </w:rPr>
        <w:t xml:space="preserve">o in na dela prost dan, se obračunavajo z novimi količniki </w:t>
      </w:r>
      <w:r w:rsidR="007C121F">
        <w:rPr>
          <w:rFonts w:cs="Arial"/>
          <w:noProof/>
          <w:szCs w:val="20"/>
          <w:lang w:val="sl-SI"/>
        </w:rPr>
        <w:t>od</w:t>
      </w:r>
      <w:r>
        <w:rPr>
          <w:rFonts w:cs="Arial"/>
          <w:noProof/>
          <w:szCs w:val="20"/>
          <w:lang w:val="sl-SI"/>
        </w:rPr>
        <w:t xml:space="preserve"> 1.</w:t>
      </w:r>
      <w:r w:rsidR="00051091">
        <w:rPr>
          <w:rFonts w:cs="Arial"/>
          <w:noProof/>
          <w:szCs w:val="20"/>
          <w:lang w:val="sl-SI"/>
        </w:rPr>
        <w:t xml:space="preserve"> s</w:t>
      </w:r>
      <w:r>
        <w:rPr>
          <w:rFonts w:cs="Arial"/>
          <w:noProof/>
          <w:szCs w:val="20"/>
          <w:lang w:val="sl-SI"/>
        </w:rPr>
        <w:t>eptembra 2019</w:t>
      </w:r>
      <w:r w:rsidR="007C121F">
        <w:rPr>
          <w:rFonts w:cs="Arial"/>
          <w:noProof/>
          <w:szCs w:val="20"/>
          <w:lang w:val="sl-SI"/>
        </w:rPr>
        <w:t xml:space="preserve"> dalje.</w:t>
      </w:r>
    </w:p>
    <w:p w:rsidR="007C121F" w:rsidRDefault="007C121F" w:rsidP="00585525">
      <w:pPr>
        <w:spacing w:line="288" w:lineRule="auto"/>
        <w:jc w:val="both"/>
        <w:rPr>
          <w:rFonts w:cs="Arial"/>
          <w:noProof/>
          <w:szCs w:val="20"/>
          <w:lang w:val="sl-SI"/>
        </w:rPr>
      </w:pPr>
    </w:p>
    <w:p w:rsidR="00BB0C62" w:rsidRPr="00EE68A8" w:rsidRDefault="00BB0C62" w:rsidP="00BB0C62">
      <w:pPr>
        <w:jc w:val="both"/>
        <w:rPr>
          <w:rFonts w:cs="Arial"/>
          <w:b/>
          <w:noProof/>
          <w:szCs w:val="20"/>
          <w:lang w:val="sl-SI"/>
        </w:rPr>
      </w:pPr>
      <w:r>
        <w:rPr>
          <w:rFonts w:cs="Arial"/>
          <w:b/>
          <w:noProof/>
          <w:szCs w:val="20"/>
          <w:lang w:val="sl-SI"/>
        </w:rPr>
        <w:t>K 3</w:t>
      </w:r>
      <w:r w:rsidRPr="00EE68A8">
        <w:rPr>
          <w:rFonts w:cs="Arial"/>
          <w:b/>
          <w:noProof/>
          <w:szCs w:val="20"/>
          <w:lang w:val="sl-SI"/>
        </w:rPr>
        <w:t>. členu</w:t>
      </w:r>
    </w:p>
    <w:p w:rsidR="00BB0C62" w:rsidRDefault="00BB0C62" w:rsidP="00585525">
      <w:pPr>
        <w:spacing w:line="288" w:lineRule="auto"/>
        <w:jc w:val="both"/>
        <w:rPr>
          <w:rFonts w:cs="Arial"/>
          <w:noProof/>
          <w:szCs w:val="20"/>
          <w:lang w:val="sl-SI"/>
        </w:rPr>
      </w:pPr>
    </w:p>
    <w:p w:rsidR="00585525" w:rsidRPr="00EE68A8" w:rsidRDefault="00585525" w:rsidP="00585525">
      <w:pPr>
        <w:spacing w:line="288" w:lineRule="auto"/>
        <w:jc w:val="both"/>
        <w:rPr>
          <w:rFonts w:cs="Arial"/>
          <w:noProof/>
          <w:szCs w:val="20"/>
          <w:lang w:val="sl-SI"/>
        </w:rPr>
      </w:pPr>
      <w:r w:rsidRPr="00EE68A8">
        <w:rPr>
          <w:rFonts w:cs="Arial"/>
          <w:noProof/>
          <w:szCs w:val="20"/>
          <w:lang w:val="sl-SI"/>
        </w:rPr>
        <w:t>Ta uredba začne veljati naslednji dan po objavi v Uradnem listu Republike Slovenije.</w:t>
      </w:r>
    </w:p>
    <w:p w:rsidR="00387736" w:rsidRPr="00EE68A8" w:rsidRDefault="00387736" w:rsidP="00585525">
      <w:pPr>
        <w:tabs>
          <w:tab w:val="left" w:pos="708"/>
        </w:tabs>
        <w:spacing w:after="200" w:line="276" w:lineRule="auto"/>
        <w:rPr>
          <w:rFonts w:cs="Arial"/>
          <w:szCs w:val="20"/>
          <w:lang w:val="sl-SI"/>
        </w:rPr>
      </w:pPr>
    </w:p>
    <w:sectPr w:rsidR="00387736" w:rsidRPr="00EE68A8" w:rsidSect="00650069">
      <w:headerReference w:type="first" r:id="rId18"/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F2" w:rsidRDefault="00B723F2">
      <w:r>
        <w:separator/>
      </w:r>
    </w:p>
  </w:endnote>
  <w:endnote w:type="continuationSeparator" w:id="0">
    <w:p w:rsidR="00B723F2" w:rsidRDefault="00B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F2" w:rsidRDefault="00B723F2">
      <w:r>
        <w:separator/>
      </w:r>
    </w:p>
  </w:footnote>
  <w:footnote w:type="continuationSeparator" w:id="0">
    <w:p w:rsidR="00B723F2" w:rsidRDefault="00B7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4" w:rsidRPr="008F3500" w:rsidRDefault="00285AA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2" name="Slika 2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0BF6">
      <w:rPr>
        <w:rFonts w:cs="Arial"/>
        <w:noProof/>
        <w:sz w:val="16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6386" type="#_x0000_t32" style="position:absolute;margin-left:-36.5pt;margin-top:283.5pt;width:17pt;height:0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<w10:wrap anchory="page"/>
        </v:shape>
      </w:pic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85AA4" w:rsidRPr="008F3500" w:rsidRDefault="00285AA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F40" w:rsidRPr="008F3500" w:rsidRDefault="0058552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4" name="Slika 4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BF6">
      <w:rPr>
        <w:rFonts w:cs="Arial"/>
        <w:noProof/>
        <w:sz w:val="16"/>
        <w:lang w:val="sl-SI"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3" o:spid="_x0000_s16385" type="#_x0000_t32" style="position:absolute;margin-left:-36.5pt;margin-top:283.5pt;width:17pt;height:0;z-index:25166028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" o:allowincell="f" strokecolor="#529dba" strokeweight=".5pt">
          <w10:wrap anchory="page"/>
        </v:shape>
      </w:pict>
    </w:r>
    <w:r w:rsidR="00AB4F40">
      <w:rPr>
        <w:rFonts w:cs="Arial"/>
        <w:sz w:val="16"/>
        <w:lang w:val="sl-SI"/>
      </w:rPr>
      <w:t>Tržaška cesta 21</w:t>
    </w:r>
    <w:r w:rsidR="00AB4F40" w:rsidRPr="008F3500">
      <w:rPr>
        <w:rFonts w:cs="Arial"/>
        <w:sz w:val="16"/>
        <w:lang w:val="sl-SI"/>
      </w:rPr>
      <w:t xml:space="preserve">, </w:t>
    </w:r>
    <w:r w:rsidR="00AB4F40">
      <w:rPr>
        <w:rFonts w:cs="Arial"/>
        <w:sz w:val="16"/>
        <w:lang w:val="sl-SI"/>
      </w:rPr>
      <w:t>1000 Ljubljana</w:t>
    </w:r>
    <w:r w:rsidR="00AB4F40" w:rsidRPr="008F3500">
      <w:rPr>
        <w:rFonts w:cs="Arial"/>
        <w:sz w:val="16"/>
        <w:lang w:val="sl-SI"/>
      </w:rPr>
      <w:tab/>
      <w:t xml:space="preserve">T: </w:t>
    </w:r>
    <w:r w:rsidR="00AB4F40">
      <w:rPr>
        <w:rFonts w:cs="Arial"/>
        <w:sz w:val="16"/>
        <w:lang w:val="sl-SI"/>
      </w:rPr>
      <w:t>01 478 83 30</w:t>
    </w:r>
  </w:p>
  <w:p w:rsidR="00AB4F40" w:rsidRPr="008F3500" w:rsidRDefault="00AB4F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AB4F40" w:rsidRPr="008F3500" w:rsidRDefault="00AB4F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AB4F40" w:rsidRPr="008F3500" w:rsidRDefault="00AB4F40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AB4F40" w:rsidRPr="008F3500" w:rsidRDefault="00AB4F4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532C5"/>
    <w:multiLevelType w:val="hybridMultilevel"/>
    <w:tmpl w:val="D7CE8F42"/>
    <w:lvl w:ilvl="0" w:tplc="EA5C49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9660B"/>
    <w:multiLevelType w:val="hybridMultilevel"/>
    <w:tmpl w:val="6046B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1"/>
  </w:num>
  <w:num w:numId="4">
    <w:abstractNumId w:val="0"/>
  </w:num>
  <w:num w:numId="5">
    <w:abstractNumId w:val="3"/>
  </w:num>
  <w:num w:numId="6">
    <w:abstractNumId w:val="17"/>
  </w:num>
  <w:num w:numId="7">
    <w:abstractNumId w:val="28"/>
  </w:num>
  <w:num w:numId="8">
    <w:abstractNumId w:val="25"/>
  </w:num>
  <w:num w:numId="9">
    <w:abstractNumId w:val="8"/>
  </w:num>
  <w:num w:numId="10">
    <w:abstractNumId w:val="32"/>
  </w:num>
  <w:num w:numId="11">
    <w:abstractNumId w:val="35"/>
  </w:num>
  <w:num w:numId="12">
    <w:abstractNumId w:val="20"/>
  </w:num>
  <w:num w:numId="13">
    <w:abstractNumId w:val="14"/>
  </w:num>
  <w:num w:numId="14">
    <w:abstractNumId w:val="18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3"/>
  </w:num>
  <w:num w:numId="18">
    <w:abstractNumId w:val="26"/>
  </w:num>
  <w:num w:numId="19">
    <w:abstractNumId w:val="2"/>
  </w:num>
  <w:num w:numId="20">
    <w:abstractNumId w:val="6"/>
  </w:num>
  <w:num w:numId="21">
    <w:abstractNumId w:val="19"/>
  </w:num>
  <w:num w:numId="22">
    <w:abstractNumId w:val="11"/>
  </w:num>
  <w:num w:numId="23">
    <w:abstractNumId w:val="31"/>
  </w:num>
  <w:num w:numId="24">
    <w:abstractNumId w:val="5"/>
  </w:num>
  <w:num w:numId="25">
    <w:abstractNumId w:val="7"/>
  </w:num>
  <w:num w:numId="26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2"/>
  </w:num>
  <w:num w:numId="29">
    <w:abstractNumId w:val="10"/>
  </w:num>
  <w:num w:numId="30">
    <w:abstractNumId w:val="16"/>
  </w:num>
  <w:num w:numId="31">
    <w:abstractNumId w:val="13"/>
  </w:num>
  <w:num w:numId="32">
    <w:abstractNumId w:val="24"/>
  </w:num>
  <w:num w:numId="33">
    <w:abstractNumId w:val="22"/>
  </w:num>
  <w:num w:numId="34">
    <w:abstractNumId w:val="30"/>
  </w:num>
  <w:num w:numId="35">
    <w:abstractNumId w:val="31"/>
  </w:num>
  <w:num w:numId="3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"/>
  </w:num>
  <w:num w:numId="3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6387">
      <o:colormru v:ext="edit" colors="#428299,#529dba"/>
    </o:shapedefaults>
    <o:shapelayout v:ext="edit">
      <o:idmap v:ext="edit" data="16"/>
      <o:rules v:ext="edit">
        <o:r id="V:Rule3" type="connector" idref="#AutoShape 1"/>
        <o:r id="V:Rule4" type="connector" idref="#Raven puščični povezovalnik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8D"/>
    <w:rsid w:val="000006B5"/>
    <w:rsid w:val="00002282"/>
    <w:rsid w:val="000056F6"/>
    <w:rsid w:val="00007100"/>
    <w:rsid w:val="000119A1"/>
    <w:rsid w:val="000122DA"/>
    <w:rsid w:val="00013E50"/>
    <w:rsid w:val="000150C0"/>
    <w:rsid w:val="00015660"/>
    <w:rsid w:val="00015F0A"/>
    <w:rsid w:val="000210EA"/>
    <w:rsid w:val="000233B3"/>
    <w:rsid w:val="00023A88"/>
    <w:rsid w:val="00024D13"/>
    <w:rsid w:val="000347E6"/>
    <w:rsid w:val="00036093"/>
    <w:rsid w:val="00043A88"/>
    <w:rsid w:val="000474FD"/>
    <w:rsid w:val="00050C2C"/>
    <w:rsid w:val="00051091"/>
    <w:rsid w:val="0005214C"/>
    <w:rsid w:val="00056AB1"/>
    <w:rsid w:val="000572D4"/>
    <w:rsid w:val="000609C3"/>
    <w:rsid w:val="000610EC"/>
    <w:rsid w:val="00067771"/>
    <w:rsid w:val="00071611"/>
    <w:rsid w:val="00073169"/>
    <w:rsid w:val="00076ED7"/>
    <w:rsid w:val="00080058"/>
    <w:rsid w:val="00085A20"/>
    <w:rsid w:val="00087C6C"/>
    <w:rsid w:val="00094B4D"/>
    <w:rsid w:val="000A18CA"/>
    <w:rsid w:val="000A25FE"/>
    <w:rsid w:val="000A6ED0"/>
    <w:rsid w:val="000A7238"/>
    <w:rsid w:val="000B04B5"/>
    <w:rsid w:val="000B71B8"/>
    <w:rsid w:val="000B7C2B"/>
    <w:rsid w:val="000C2E96"/>
    <w:rsid w:val="000D1236"/>
    <w:rsid w:val="000E1055"/>
    <w:rsid w:val="000E266F"/>
    <w:rsid w:val="000E3091"/>
    <w:rsid w:val="000E7003"/>
    <w:rsid w:val="000F48CF"/>
    <w:rsid w:val="00102C22"/>
    <w:rsid w:val="001055F0"/>
    <w:rsid w:val="001101AA"/>
    <w:rsid w:val="00115046"/>
    <w:rsid w:val="0011565E"/>
    <w:rsid w:val="00116E81"/>
    <w:rsid w:val="00117B66"/>
    <w:rsid w:val="00120261"/>
    <w:rsid w:val="0012193D"/>
    <w:rsid w:val="001222A4"/>
    <w:rsid w:val="00122AFB"/>
    <w:rsid w:val="00124F63"/>
    <w:rsid w:val="00127B86"/>
    <w:rsid w:val="00131ADC"/>
    <w:rsid w:val="001357B2"/>
    <w:rsid w:val="00137E2A"/>
    <w:rsid w:val="00145789"/>
    <w:rsid w:val="00152407"/>
    <w:rsid w:val="00153EEA"/>
    <w:rsid w:val="00162821"/>
    <w:rsid w:val="00164064"/>
    <w:rsid w:val="00167088"/>
    <w:rsid w:val="001738C5"/>
    <w:rsid w:val="00173908"/>
    <w:rsid w:val="0017478F"/>
    <w:rsid w:val="0017525A"/>
    <w:rsid w:val="0017777D"/>
    <w:rsid w:val="00177B23"/>
    <w:rsid w:val="00181388"/>
    <w:rsid w:val="00183FCA"/>
    <w:rsid w:val="00184036"/>
    <w:rsid w:val="00185426"/>
    <w:rsid w:val="00187ABB"/>
    <w:rsid w:val="00194046"/>
    <w:rsid w:val="00195962"/>
    <w:rsid w:val="001A2091"/>
    <w:rsid w:val="001A553D"/>
    <w:rsid w:val="001B1149"/>
    <w:rsid w:val="001B31B9"/>
    <w:rsid w:val="001B3CA3"/>
    <w:rsid w:val="001B3F20"/>
    <w:rsid w:val="001C1633"/>
    <w:rsid w:val="001C597B"/>
    <w:rsid w:val="001C6420"/>
    <w:rsid w:val="001C710E"/>
    <w:rsid w:val="001D33E1"/>
    <w:rsid w:val="001D6923"/>
    <w:rsid w:val="001D6FBD"/>
    <w:rsid w:val="001D7ED0"/>
    <w:rsid w:val="001E0CB5"/>
    <w:rsid w:val="001E268F"/>
    <w:rsid w:val="001E718F"/>
    <w:rsid w:val="001F4EE5"/>
    <w:rsid w:val="002021E1"/>
    <w:rsid w:val="00202A77"/>
    <w:rsid w:val="00204046"/>
    <w:rsid w:val="00205B06"/>
    <w:rsid w:val="00214850"/>
    <w:rsid w:val="002152E5"/>
    <w:rsid w:val="002204D0"/>
    <w:rsid w:val="00221B80"/>
    <w:rsid w:val="0023146A"/>
    <w:rsid w:val="00240810"/>
    <w:rsid w:val="0024232C"/>
    <w:rsid w:val="0024295E"/>
    <w:rsid w:val="00244ADC"/>
    <w:rsid w:val="00246EA2"/>
    <w:rsid w:val="002517DB"/>
    <w:rsid w:val="00252172"/>
    <w:rsid w:val="002531C7"/>
    <w:rsid w:val="00253424"/>
    <w:rsid w:val="00262C06"/>
    <w:rsid w:val="002670A0"/>
    <w:rsid w:val="00267E56"/>
    <w:rsid w:val="002700B1"/>
    <w:rsid w:val="00271CE5"/>
    <w:rsid w:val="00271CE8"/>
    <w:rsid w:val="0027486A"/>
    <w:rsid w:val="00274E8A"/>
    <w:rsid w:val="002752C6"/>
    <w:rsid w:val="00280ED4"/>
    <w:rsid w:val="00282020"/>
    <w:rsid w:val="00285AA4"/>
    <w:rsid w:val="002941C2"/>
    <w:rsid w:val="00296CFE"/>
    <w:rsid w:val="002972C3"/>
    <w:rsid w:val="002977D7"/>
    <w:rsid w:val="002A212E"/>
    <w:rsid w:val="002A2B69"/>
    <w:rsid w:val="002A654C"/>
    <w:rsid w:val="002B40DE"/>
    <w:rsid w:val="002C2760"/>
    <w:rsid w:val="002C32C7"/>
    <w:rsid w:val="002C3F09"/>
    <w:rsid w:val="002D1F31"/>
    <w:rsid w:val="002D2791"/>
    <w:rsid w:val="002D574F"/>
    <w:rsid w:val="002D77DC"/>
    <w:rsid w:val="002D7919"/>
    <w:rsid w:val="002E0713"/>
    <w:rsid w:val="002E46CC"/>
    <w:rsid w:val="002E70C1"/>
    <w:rsid w:val="002E7B92"/>
    <w:rsid w:val="002E7F49"/>
    <w:rsid w:val="002F3B69"/>
    <w:rsid w:val="002F4974"/>
    <w:rsid w:val="002F7574"/>
    <w:rsid w:val="00300765"/>
    <w:rsid w:val="0030168C"/>
    <w:rsid w:val="00302485"/>
    <w:rsid w:val="00303200"/>
    <w:rsid w:val="00311D36"/>
    <w:rsid w:val="00316C13"/>
    <w:rsid w:val="003239B5"/>
    <w:rsid w:val="00323EA9"/>
    <w:rsid w:val="00325F72"/>
    <w:rsid w:val="00330587"/>
    <w:rsid w:val="00331D34"/>
    <w:rsid w:val="003329DC"/>
    <w:rsid w:val="00334FAD"/>
    <w:rsid w:val="00335D94"/>
    <w:rsid w:val="003417CE"/>
    <w:rsid w:val="00341A17"/>
    <w:rsid w:val="003444B3"/>
    <w:rsid w:val="00347CCC"/>
    <w:rsid w:val="00352927"/>
    <w:rsid w:val="00357112"/>
    <w:rsid w:val="00360BEB"/>
    <w:rsid w:val="0036286A"/>
    <w:rsid w:val="0036306F"/>
    <w:rsid w:val="003636BF"/>
    <w:rsid w:val="00367026"/>
    <w:rsid w:val="003701E7"/>
    <w:rsid w:val="00371442"/>
    <w:rsid w:val="0037398A"/>
    <w:rsid w:val="003822C0"/>
    <w:rsid w:val="0038249A"/>
    <w:rsid w:val="003845B4"/>
    <w:rsid w:val="00385C0D"/>
    <w:rsid w:val="00387736"/>
    <w:rsid w:val="00387B1A"/>
    <w:rsid w:val="0039093E"/>
    <w:rsid w:val="00392177"/>
    <w:rsid w:val="003A0DB8"/>
    <w:rsid w:val="003A1D47"/>
    <w:rsid w:val="003A440D"/>
    <w:rsid w:val="003B043F"/>
    <w:rsid w:val="003C454E"/>
    <w:rsid w:val="003C5EE5"/>
    <w:rsid w:val="003C6153"/>
    <w:rsid w:val="003C73AB"/>
    <w:rsid w:val="003C782A"/>
    <w:rsid w:val="003D2606"/>
    <w:rsid w:val="003D4A13"/>
    <w:rsid w:val="003D63CB"/>
    <w:rsid w:val="003E1C74"/>
    <w:rsid w:val="003E3461"/>
    <w:rsid w:val="003E40F8"/>
    <w:rsid w:val="003E7029"/>
    <w:rsid w:val="003F1505"/>
    <w:rsid w:val="003F19E7"/>
    <w:rsid w:val="003F2171"/>
    <w:rsid w:val="003F2823"/>
    <w:rsid w:val="00401169"/>
    <w:rsid w:val="00407A98"/>
    <w:rsid w:val="00410A32"/>
    <w:rsid w:val="00412471"/>
    <w:rsid w:val="00415A1E"/>
    <w:rsid w:val="004166B7"/>
    <w:rsid w:val="00416D8A"/>
    <w:rsid w:val="00417908"/>
    <w:rsid w:val="00420C96"/>
    <w:rsid w:val="00420D5D"/>
    <w:rsid w:val="004229C5"/>
    <w:rsid w:val="00426F6D"/>
    <w:rsid w:val="00427849"/>
    <w:rsid w:val="00427EF7"/>
    <w:rsid w:val="00431257"/>
    <w:rsid w:val="00431F93"/>
    <w:rsid w:val="0043336A"/>
    <w:rsid w:val="0043360F"/>
    <w:rsid w:val="00436528"/>
    <w:rsid w:val="00436DCE"/>
    <w:rsid w:val="004375DF"/>
    <w:rsid w:val="00440186"/>
    <w:rsid w:val="004501F0"/>
    <w:rsid w:val="00453B5F"/>
    <w:rsid w:val="00463779"/>
    <w:rsid w:val="00463FFD"/>
    <w:rsid w:val="004657EE"/>
    <w:rsid w:val="00466754"/>
    <w:rsid w:val="00466CB6"/>
    <w:rsid w:val="00470A52"/>
    <w:rsid w:val="00470B85"/>
    <w:rsid w:val="004716B7"/>
    <w:rsid w:val="00471E06"/>
    <w:rsid w:val="00472E27"/>
    <w:rsid w:val="00482341"/>
    <w:rsid w:val="00482FF5"/>
    <w:rsid w:val="00484685"/>
    <w:rsid w:val="00484E27"/>
    <w:rsid w:val="00490216"/>
    <w:rsid w:val="004919CB"/>
    <w:rsid w:val="004947D6"/>
    <w:rsid w:val="0049530E"/>
    <w:rsid w:val="00495731"/>
    <w:rsid w:val="00495F97"/>
    <w:rsid w:val="004A2E83"/>
    <w:rsid w:val="004A413F"/>
    <w:rsid w:val="004A4337"/>
    <w:rsid w:val="004A4516"/>
    <w:rsid w:val="004A4777"/>
    <w:rsid w:val="004B1572"/>
    <w:rsid w:val="004B5D39"/>
    <w:rsid w:val="004C0092"/>
    <w:rsid w:val="004C10E2"/>
    <w:rsid w:val="004C1F19"/>
    <w:rsid w:val="004D2A43"/>
    <w:rsid w:val="004D37CE"/>
    <w:rsid w:val="004D5A31"/>
    <w:rsid w:val="004D6016"/>
    <w:rsid w:val="004E0461"/>
    <w:rsid w:val="004E05CA"/>
    <w:rsid w:val="004E18C5"/>
    <w:rsid w:val="004E3A8A"/>
    <w:rsid w:val="004E5ED6"/>
    <w:rsid w:val="004F493A"/>
    <w:rsid w:val="004F4B3F"/>
    <w:rsid w:val="004F5D27"/>
    <w:rsid w:val="004F793E"/>
    <w:rsid w:val="005062ED"/>
    <w:rsid w:val="00510409"/>
    <w:rsid w:val="005114E7"/>
    <w:rsid w:val="0051573C"/>
    <w:rsid w:val="005207C5"/>
    <w:rsid w:val="00521E24"/>
    <w:rsid w:val="0052255E"/>
    <w:rsid w:val="00523463"/>
    <w:rsid w:val="00526246"/>
    <w:rsid w:val="005270C9"/>
    <w:rsid w:val="005277E4"/>
    <w:rsid w:val="00530105"/>
    <w:rsid w:val="00530AFD"/>
    <w:rsid w:val="00531547"/>
    <w:rsid w:val="00533D14"/>
    <w:rsid w:val="00534F83"/>
    <w:rsid w:val="00536BF6"/>
    <w:rsid w:val="00542F76"/>
    <w:rsid w:val="0054531E"/>
    <w:rsid w:val="00545674"/>
    <w:rsid w:val="00551409"/>
    <w:rsid w:val="00556839"/>
    <w:rsid w:val="00567106"/>
    <w:rsid w:val="00577662"/>
    <w:rsid w:val="0058139E"/>
    <w:rsid w:val="00584909"/>
    <w:rsid w:val="00585525"/>
    <w:rsid w:val="00593ECE"/>
    <w:rsid w:val="005943ED"/>
    <w:rsid w:val="005948AA"/>
    <w:rsid w:val="00596BB3"/>
    <w:rsid w:val="005A5782"/>
    <w:rsid w:val="005B0595"/>
    <w:rsid w:val="005B19EC"/>
    <w:rsid w:val="005B549E"/>
    <w:rsid w:val="005C2F92"/>
    <w:rsid w:val="005C3F61"/>
    <w:rsid w:val="005C5B90"/>
    <w:rsid w:val="005C73DE"/>
    <w:rsid w:val="005D4B1D"/>
    <w:rsid w:val="005E095C"/>
    <w:rsid w:val="005E1D3C"/>
    <w:rsid w:val="005E4948"/>
    <w:rsid w:val="005E5AA4"/>
    <w:rsid w:val="005E726C"/>
    <w:rsid w:val="005F0029"/>
    <w:rsid w:val="0060019B"/>
    <w:rsid w:val="00600DC6"/>
    <w:rsid w:val="00606DA3"/>
    <w:rsid w:val="00613E8C"/>
    <w:rsid w:val="006148FD"/>
    <w:rsid w:val="006221AA"/>
    <w:rsid w:val="00624832"/>
    <w:rsid w:val="00625AE6"/>
    <w:rsid w:val="00630625"/>
    <w:rsid w:val="00631BA7"/>
    <w:rsid w:val="00632253"/>
    <w:rsid w:val="00633316"/>
    <w:rsid w:val="00640301"/>
    <w:rsid w:val="00642714"/>
    <w:rsid w:val="006455CE"/>
    <w:rsid w:val="00650069"/>
    <w:rsid w:val="00652DCD"/>
    <w:rsid w:val="00655841"/>
    <w:rsid w:val="00655E20"/>
    <w:rsid w:val="00660912"/>
    <w:rsid w:val="00663A19"/>
    <w:rsid w:val="00665687"/>
    <w:rsid w:val="006713CC"/>
    <w:rsid w:val="00672A33"/>
    <w:rsid w:val="00672B04"/>
    <w:rsid w:val="00674A19"/>
    <w:rsid w:val="00674DDD"/>
    <w:rsid w:val="0067642A"/>
    <w:rsid w:val="00676AC1"/>
    <w:rsid w:val="00677B8B"/>
    <w:rsid w:val="006800A9"/>
    <w:rsid w:val="006923F4"/>
    <w:rsid w:val="006942C5"/>
    <w:rsid w:val="006A1E55"/>
    <w:rsid w:val="006A6C8D"/>
    <w:rsid w:val="006C1BB3"/>
    <w:rsid w:val="006C2202"/>
    <w:rsid w:val="006D552F"/>
    <w:rsid w:val="006D7CF8"/>
    <w:rsid w:val="006E71DA"/>
    <w:rsid w:val="006F14E4"/>
    <w:rsid w:val="006F3B16"/>
    <w:rsid w:val="006F548B"/>
    <w:rsid w:val="006F67E9"/>
    <w:rsid w:val="006F6DCD"/>
    <w:rsid w:val="007018BD"/>
    <w:rsid w:val="00701E4C"/>
    <w:rsid w:val="00706B33"/>
    <w:rsid w:val="00727348"/>
    <w:rsid w:val="007279ED"/>
    <w:rsid w:val="0073033E"/>
    <w:rsid w:val="007315A4"/>
    <w:rsid w:val="00733017"/>
    <w:rsid w:val="007350C4"/>
    <w:rsid w:val="0073510A"/>
    <w:rsid w:val="007370E8"/>
    <w:rsid w:val="00740478"/>
    <w:rsid w:val="007410B3"/>
    <w:rsid w:val="0074376D"/>
    <w:rsid w:val="00744E8B"/>
    <w:rsid w:val="007474D0"/>
    <w:rsid w:val="00747FC2"/>
    <w:rsid w:val="00750EBA"/>
    <w:rsid w:val="00754AD2"/>
    <w:rsid w:val="00761472"/>
    <w:rsid w:val="00761A91"/>
    <w:rsid w:val="0076538D"/>
    <w:rsid w:val="00766061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B1947"/>
    <w:rsid w:val="007B6E9B"/>
    <w:rsid w:val="007C0902"/>
    <w:rsid w:val="007C0C93"/>
    <w:rsid w:val="007C121F"/>
    <w:rsid w:val="007C1EAA"/>
    <w:rsid w:val="007C543C"/>
    <w:rsid w:val="007C608F"/>
    <w:rsid w:val="007D1BCF"/>
    <w:rsid w:val="007D75CF"/>
    <w:rsid w:val="007E0440"/>
    <w:rsid w:val="007E26B7"/>
    <w:rsid w:val="007E58A4"/>
    <w:rsid w:val="007E5CED"/>
    <w:rsid w:val="007E6DC5"/>
    <w:rsid w:val="007E72FB"/>
    <w:rsid w:val="007F382F"/>
    <w:rsid w:val="00803C81"/>
    <w:rsid w:val="008108F0"/>
    <w:rsid w:val="00811622"/>
    <w:rsid w:val="00813001"/>
    <w:rsid w:val="0082075E"/>
    <w:rsid w:val="00820B76"/>
    <w:rsid w:val="0082386B"/>
    <w:rsid w:val="0083098C"/>
    <w:rsid w:val="00845BFB"/>
    <w:rsid w:val="00862816"/>
    <w:rsid w:val="008665CC"/>
    <w:rsid w:val="00866E80"/>
    <w:rsid w:val="00867985"/>
    <w:rsid w:val="008703D2"/>
    <w:rsid w:val="00871C55"/>
    <w:rsid w:val="008760F1"/>
    <w:rsid w:val="00877FFC"/>
    <w:rsid w:val="0088043C"/>
    <w:rsid w:val="00884889"/>
    <w:rsid w:val="00885FA5"/>
    <w:rsid w:val="00890396"/>
    <w:rsid w:val="008906C9"/>
    <w:rsid w:val="008963A8"/>
    <w:rsid w:val="008A03EF"/>
    <w:rsid w:val="008A0C04"/>
    <w:rsid w:val="008A1FA8"/>
    <w:rsid w:val="008B17EF"/>
    <w:rsid w:val="008B186F"/>
    <w:rsid w:val="008B20C0"/>
    <w:rsid w:val="008B3360"/>
    <w:rsid w:val="008C0E1E"/>
    <w:rsid w:val="008C0EAA"/>
    <w:rsid w:val="008C2D9B"/>
    <w:rsid w:val="008C5738"/>
    <w:rsid w:val="008C753D"/>
    <w:rsid w:val="008C78F5"/>
    <w:rsid w:val="008D04F0"/>
    <w:rsid w:val="008D7B90"/>
    <w:rsid w:val="008E11C8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57C8"/>
    <w:rsid w:val="00915C0D"/>
    <w:rsid w:val="009207A1"/>
    <w:rsid w:val="009218CC"/>
    <w:rsid w:val="00924E3C"/>
    <w:rsid w:val="009310EE"/>
    <w:rsid w:val="009336A9"/>
    <w:rsid w:val="00937CD6"/>
    <w:rsid w:val="00941AFC"/>
    <w:rsid w:val="00945C50"/>
    <w:rsid w:val="00950EFE"/>
    <w:rsid w:val="009612BB"/>
    <w:rsid w:val="00965E9D"/>
    <w:rsid w:val="009728E3"/>
    <w:rsid w:val="00974B49"/>
    <w:rsid w:val="0097716E"/>
    <w:rsid w:val="0098222E"/>
    <w:rsid w:val="00984B8B"/>
    <w:rsid w:val="0098799C"/>
    <w:rsid w:val="00991E04"/>
    <w:rsid w:val="009935B8"/>
    <w:rsid w:val="0099437B"/>
    <w:rsid w:val="009A16CD"/>
    <w:rsid w:val="009A3E6C"/>
    <w:rsid w:val="009A7142"/>
    <w:rsid w:val="009B3E19"/>
    <w:rsid w:val="009B45D3"/>
    <w:rsid w:val="009B633E"/>
    <w:rsid w:val="009C5155"/>
    <w:rsid w:val="009C740A"/>
    <w:rsid w:val="009D5A22"/>
    <w:rsid w:val="009E2441"/>
    <w:rsid w:val="009E2822"/>
    <w:rsid w:val="009E4AA5"/>
    <w:rsid w:val="009F0D81"/>
    <w:rsid w:val="009F0F53"/>
    <w:rsid w:val="009F2DAC"/>
    <w:rsid w:val="00A005A1"/>
    <w:rsid w:val="00A125C5"/>
    <w:rsid w:val="00A12FA6"/>
    <w:rsid w:val="00A13AB9"/>
    <w:rsid w:val="00A13F10"/>
    <w:rsid w:val="00A207AA"/>
    <w:rsid w:val="00A23CE3"/>
    <w:rsid w:val="00A2451C"/>
    <w:rsid w:val="00A2472E"/>
    <w:rsid w:val="00A26050"/>
    <w:rsid w:val="00A3126E"/>
    <w:rsid w:val="00A35087"/>
    <w:rsid w:val="00A352A7"/>
    <w:rsid w:val="00A41101"/>
    <w:rsid w:val="00A4496F"/>
    <w:rsid w:val="00A51FF1"/>
    <w:rsid w:val="00A5229B"/>
    <w:rsid w:val="00A53387"/>
    <w:rsid w:val="00A5481F"/>
    <w:rsid w:val="00A55B48"/>
    <w:rsid w:val="00A578CA"/>
    <w:rsid w:val="00A65EE7"/>
    <w:rsid w:val="00A70133"/>
    <w:rsid w:val="00A712A0"/>
    <w:rsid w:val="00A71BBA"/>
    <w:rsid w:val="00A7468D"/>
    <w:rsid w:val="00A770A6"/>
    <w:rsid w:val="00A813B1"/>
    <w:rsid w:val="00A8402D"/>
    <w:rsid w:val="00A8521A"/>
    <w:rsid w:val="00AA0289"/>
    <w:rsid w:val="00AA25F1"/>
    <w:rsid w:val="00AB1C4F"/>
    <w:rsid w:val="00AB22BD"/>
    <w:rsid w:val="00AB36C4"/>
    <w:rsid w:val="00AB3FAD"/>
    <w:rsid w:val="00AB4F40"/>
    <w:rsid w:val="00AB6FE0"/>
    <w:rsid w:val="00AC32B2"/>
    <w:rsid w:val="00AC6CC2"/>
    <w:rsid w:val="00AC7113"/>
    <w:rsid w:val="00AD1B6F"/>
    <w:rsid w:val="00AD217D"/>
    <w:rsid w:val="00AD2AB8"/>
    <w:rsid w:val="00AD400F"/>
    <w:rsid w:val="00AE37F7"/>
    <w:rsid w:val="00AE7198"/>
    <w:rsid w:val="00AF051B"/>
    <w:rsid w:val="00AF4C05"/>
    <w:rsid w:val="00AF5458"/>
    <w:rsid w:val="00B0007F"/>
    <w:rsid w:val="00B100E1"/>
    <w:rsid w:val="00B17141"/>
    <w:rsid w:val="00B200D5"/>
    <w:rsid w:val="00B20A74"/>
    <w:rsid w:val="00B21CB7"/>
    <w:rsid w:val="00B24F85"/>
    <w:rsid w:val="00B2577C"/>
    <w:rsid w:val="00B25C2D"/>
    <w:rsid w:val="00B266A7"/>
    <w:rsid w:val="00B31575"/>
    <w:rsid w:val="00B328A6"/>
    <w:rsid w:val="00B33BD7"/>
    <w:rsid w:val="00B3437D"/>
    <w:rsid w:val="00B360AB"/>
    <w:rsid w:val="00B37527"/>
    <w:rsid w:val="00B439E0"/>
    <w:rsid w:val="00B46268"/>
    <w:rsid w:val="00B62002"/>
    <w:rsid w:val="00B662CE"/>
    <w:rsid w:val="00B72053"/>
    <w:rsid w:val="00B723F2"/>
    <w:rsid w:val="00B7584B"/>
    <w:rsid w:val="00B766BA"/>
    <w:rsid w:val="00B76B56"/>
    <w:rsid w:val="00B77A2E"/>
    <w:rsid w:val="00B8065E"/>
    <w:rsid w:val="00B816AE"/>
    <w:rsid w:val="00B81B5A"/>
    <w:rsid w:val="00B81F50"/>
    <w:rsid w:val="00B81FFB"/>
    <w:rsid w:val="00B83D77"/>
    <w:rsid w:val="00B8406C"/>
    <w:rsid w:val="00B8547D"/>
    <w:rsid w:val="00BA080A"/>
    <w:rsid w:val="00BA1B2F"/>
    <w:rsid w:val="00BA1C3F"/>
    <w:rsid w:val="00BA7BBC"/>
    <w:rsid w:val="00BB03AF"/>
    <w:rsid w:val="00BB0C62"/>
    <w:rsid w:val="00BB0D9F"/>
    <w:rsid w:val="00BB14C9"/>
    <w:rsid w:val="00BC0384"/>
    <w:rsid w:val="00BC19A9"/>
    <w:rsid w:val="00BC1CE0"/>
    <w:rsid w:val="00BC3DA3"/>
    <w:rsid w:val="00BC4459"/>
    <w:rsid w:val="00BD0E4B"/>
    <w:rsid w:val="00BD1E39"/>
    <w:rsid w:val="00BD2716"/>
    <w:rsid w:val="00BD350D"/>
    <w:rsid w:val="00BE528B"/>
    <w:rsid w:val="00BE5541"/>
    <w:rsid w:val="00BE798A"/>
    <w:rsid w:val="00BF157A"/>
    <w:rsid w:val="00BF4669"/>
    <w:rsid w:val="00C00211"/>
    <w:rsid w:val="00C0652E"/>
    <w:rsid w:val="00C11621"/>
    <w:rsid w:val="00C134E8"/>
    <w:rsid w:val="00C216CD"/>
    <w:rsid w:val="00C23577"/>
    <w:rsid w:val="00C239CC"/>
    <w:rsid w:val="00C250D5"/>
    <w:rsid w:val="00C265DA"/>
    <w:rsid w:val="00C27544"/>
    <w:rsid w:val="00C35666"/>
    <w:rsid w:val="00C36D32"/>
    <w:rsid w:val="00C36FC5"/>
    <w:rsid w:val="00C41039"/>
    <w:rsid w:val="00C52C74"/>
    <w:rsid w:val="00C56FF0"/>
    <w:rsid w:val="00C575C2"/>
    <w:rsid w:val="00C64371"/>
    <w:rsid w:val="00C71699"/>
    <w:rsid w:val="00C77ABC"/>
    <w:rsid w:val="00C77D99"/>
    <w:rsid w:val="00C920FE"/>
    <w:rsid w:val="00C92898"/>
    <w:rsid w:val="00C93F73"/>
    <w:rsid w:val="00C94D73"/>
    <w:rsid w:val="00C95E8D"/>
    <w:rsid w:val="00CA3E2B"/>
    <w:rsid w:val="00CA4072"/>
    <w:rsid w:val="00CA4340"/>
    <w:rsid w:val="00CA5606"/>
    <w:rsid w:val="00CA5C8D"/>
    <w:rsid w:val="00CB1FBB"/>
    <w:rsid w:val="00CB2F73"/>
    <w:rsid w:val="00CB38CF"/>
    <w:rsid w:val="00CB5344"/>
    <w:rsid w:val="00CB6B42"/>
    <w:rsid w:val="00CB71FE"/>
    <w:rsid w:val="00CC1C57"/>
    <w:rsid w:val="00CD522C"/>
    <w:rsid w:val="00CD749A"/>
    <w:rsid w:val="00CE4A02"/>
    <w:rsid w:val="00CE5238"/>
    <w:rsid w:val="00CE5A77"/>
    <w:rsid w:val="00CE7514"/>
    <w:rsid w:val="00CF3CE4"/>
    <w:rsid w:val="00CF5482"/>
    <w:rsid w:val="00D01E49"/>
    <w:rsid w:val="00D01EA3"/>
    <w:rsid w:val="00D03801"/>
    <w:rsid w:val="00D04476"/>
    <w:rsid w:val="00D06515"/>
    <w:rsid w:val="00D069F5"/>
    <w:rsid w:val="00D12992"/>
    <w:rsid w:val="00D2269E"/>
    <w:rsid w:val="00D248DE"/>
    <w:rsid w:val="00D24BE1"/>
    <w:rsid w:val="00D339F1"/>
    <w:rsid w:val="00D3538F"/>
    <w:rsid w:val="00D44A5A"/>
    <w:rsid w:val="00D44CFC"/>
    <w:rsid w:val="00D46859"/>
    <w:rsid w:val="00D5042F"/>
    <w:rsid w:val="00D530C4"/>
    <w:rsid w:val="00D547E8"/>
    <w:rsid w:val="00D558DA"/>
    <w:rsid w:val="00D571E4"/>
    <w:rsid w:val="00D619CA"/>
    <w:rsid w:val="00D61C32"/>
    <w:rsid w:val="00D63386"/>
    <w:rsid w:val="00D63861"/>
    <w:rsid w:val="00D64BBD"/>
    <w:rsid w:val="00D67A64"/>
    <w:rsid w:val="00D74985"/>
    <w:rsid w:val="00D75557"/>
    <w:rsid w:val="00D80EEA"/>
    <w:rsid w:val="00D8542D"/>
    <w:rsid w:val="00D915F7"/>
    <w:rsid w:val="00D918ED"/>
    <w:rsid w:val="00D94BE7"/>
    <w:rsid w:val="00D97187"/>
    <w:rsid w:val="00DA1947"/>
    <w:rsid w:val="00DA2611"/>
    <w:rsid w:val="00DA2F71"/>
    <w:rsid w:val="00DA671F"/>
    <w:rsid w:val="00DB1F9E"/>
    <w:rsid w:val="00DB28E6"/>
    <w:rsid w:val="00DC011A"/>
    <w:rsid w:val="00DC6A71"/>
    <w:rsid w:val="00DD11A7"/>
    <w:rsid w:val="00DD2F75"/>
    <w:rsid w:val="00DD531F"/>
    <w:rsid w:val="00DF09F9"/>
    <w:rsid w:val="00DF2A0F"/>
    <w:rsid w:val="00DF56FF"/>
    <w:rsid w:val="00E0357D"/>
    <w:rsid w:val="00E04A80"/>
    <w:rsid w:val="00E05849"/>
    <w:rsid w:val="00E124C9"/>
    <w:rsid w:val="00E14730"/>
    <w:rsid w:val="00E154E3"/>
    <w:rsid w:val="00E17748"/>
    <w:rsid w:val="00E20BED"/>
    <w:rsid w:val="00E22E22"/>
    <w:rsid w:val="00E2383D"/>
    <w:rsid w:val="00E3087B"/>
    <w:rsid w:val="00E30A9B"/>
    <w:rsid w:val="00E317D6"/>
    <w:rsid w:val="00E32D8B"/>
    <w:rsid w:val="00E349F3"/>
    <w:rsid w:val="00E37649"/>
    <w:rsid w:val="00E4189B"/>
    <w:rsid w:val="00E43156"/>
    <w:rsid w:val="00E465C6"/>
    <w:rsid w:val="00E561D4"/>
    <w:rsid w:val="00E57EB0"/>
    <w:rsid w:val="00E60A17"/>
    <w:rsid w:val="00E637CD"/>
    <w:rsid w:val="00E73540"/>
    <w:rsid w:val="00E73DAA"/>
    <w:rsid w:val="00E74CF8"/>
    <w:rsid w:val="00E76A2E"/>
    <w:rsid w:val="00E8119A"/>
    <w:rsid w:val="00E90062"/>
    <w:rsid w:val="00E9442E"/>
    <w:rsid w:val="00E94AC0"/>
    <w:rsid w:val="00EA0413"/>
    <w:rsid w:val="00EA57C0"/>
    <w:rsid w:val="00EB0587"/>
    <w:rsid w:val="00EB460D"/>
    <w:rsid w:val="00EC3CA4"/>
    <w:rsid w:val="00EC4448"/>
    <w:rsid w:val="00ED0BF6"/>
    <w:rsid w:val="00ED1C3E"/>
    <w:rsid w:val="00ED5089"/>
    <w:rsid w:val="00ED6779"/>
    <w:rsid w:val="00EE4CD8"/>
    <w:rsid w:val="00EE5B7C"/>
    <w:rsid w:val="00EE68A8"/>
    <w:rsid w:val="00F240BB"/>
    <w:rsid w:val="00F24F19"/>
    <w:rsid w:val="00F255F4"/>
    <w:rsid w:val="00F345B0"/>
    <w:rsid w:val="00F406F7"/>
    <w:rsid w:val="00F4623D"/>
    <w:rsid w:val="00F509E4"/>
    <w:rsid w:val="00F50A29"/>
    <w:rsid w:val="00F52501"/>
    <w:rsid w:val="00F52579"/>
    <w:rsid w:val="00F57FED"/>
    <w:rsid w:val="00F60165"/>
    <w:rsid w:val="00F6269E"/>
    <w:rsid w:val="00F62EA1"/>
    <w:rsid w:val="00F6606B"/>
    <w:rsid w:val="00F67E5F"/>
    <w:rsid w:val="00F715E0"/>
    <w:rsid w:val="00F73EBD"/>
    <w:rsid w:val="00F7455C"/>
    <w:rsid w:val="00F75ABD"/>
    <w:rsid w:val="00F84782"/>
    <w:rsid w:val="00F86EE1"/>
    <w:rsid w:val="00F92757"/>
    <w:rsid w:val="00F933EB"/>
    <w:rsid w:val="00F958EB"/>
    <w:rsid w:val="00FA092C"/>
    <w:rsid w:val="00FA5ABE"/>
    <w:rsid w:val="00FB18CF"/>
    <w:rsid w:val="00FB39F5"/>
    <w:rsid w:val="00FB5390"/>
    <w:rsid w:val="00FC0429"/>
    <w:rsid w:val="00FC4FEC"/>
    <w:rsid w:val="00FC570D"/>
    <w:rsid w:val="00FC6212"/>
    <w:rsid w:val="00FC675E"/>
    <w:rsid w:val="00FD196C"/>
    <w:rsid w:val="00FD6D18"/>
    <w:rsid w:val="00FE0194"/>
    <w:rsid w:val="00FE0471"/>
    <w:rsid w:val="00FE1F9D"/>
    <w:rsid w:val="00FE4C9D"/>
    <w:rsid w:val="00FE5A90"/>
    <w:rsid w:val="00FE6817"/>
    <w:rsid w:val="00FE7C14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61A92DC"/>
  <w15:docId w15:val="{07B36F9D-E289-4F0C-9772-86B707BB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AD6B22-0DEC-44AA-8258-2AA568CA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MJU.dot</Template>
  <TotalTime>175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11988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Dimitrij Komic</dc:creator>
  <cp:lastModifiedBy>Barbara Lavtar</cp:lastModifiedBy>
  <cp:revision>22</cp:revision>
  <cp:lastPrinted>2019-01-25T07:38:00Z</cp:lastPrinted>
  <dcterms:created xsi:type="dcterms:W3CDTF">2019-01-25T10:15:00Z</dcterms:created>
  <dcterms:modified xsi:type="dcterms:W3CDTF">2019-07-31T10:16:00Z</dcterms:modified>
</cp:coreProperties>
</file>