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3F" w:rsidRDefault="00E0273F" w:rsidP="00E0273F">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1" name="Slika 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 xml:space="preserve">       </w:t>
      </w:r>
      <w:r>
        <w:rPr>
          <w:rFonts w:cs="Arial"/>
          <w:sz w:val="16"/>
        </w:rPr>
        <w:t>Gregorčičeva 20–25, Sl-1001 Ljubljana</w:t>
      </w:r>
      <w:r>
        <w:rPr>
          <w:rFonts w:cs="Arial"/>
          <w:sz w:val="16"/>
        </w:rPr>
        <w:tab/>
      </w:r>
      <w:r>
        <w:rPr>
          <w:rFonts w:cs="Arial"/>
          <w:sz w:val="16"/>
        </w:rPr>
        <w:tab/>
      </w:r>
      <w:r>
        <w:rPr>
          <w:rFonts w:cs="Arial"/>
          <w:sz w:val="16"/>
        </w:rPr>
        <w:t>T: +386 1 478 1000</w:t>
      </w:r>
    </w:p>
    <w:p w:rsidR="00E0273F" w:rsidRDefault="00E0273F" w:rsidP="00E0273F">
      <w:pPr>
        <w:pStyle w:val="Glava"/>
        <w:tabs>
          <w:tab w:val="left" w:pos="5112"/>
        </w:tabs>
        <w:spacing w:line="240" w:lineRule="exact"/>
        <w:rPr>
          <w:rFonts w:cs="Arial"/>
          <w:sz w:val="16"/>
        </w:rPr>
      </w:pPr>
      <w:r>
        <w:rPr>
          <w:rFonts w:cs="Arial"/>
          <w:sz w:val="16"/>
        </w:rPr>
        <w:tab/>
      </w:r>
      <w:r>
        <w:rPr>
          <w:rFonts w:cs="Arial"/>
          <w:sz w:val="16"/>
        </w:rPr>
        <w:tab/>
      </w:r>
      <w:r>
        <w:rPr>
          <w:rFonts w:cs="Arial"/>
          <w:sz w:val="16"/>
        </w:rPr>
        <w:t>F: +386 1 478 1607</w:t>
      </w:r>
    </w:p>
    <w:p w:rsidR="00E0273F" w:rsidRDefault="00E0273F" w:rsidP="00E0273F">
      <w:pPr>
        <w:pStyle w:val="Glava"/>
        <w:tabs>
          <w:tab w:val="left" w:pos="5112"/>
        </w:tabs>
        <w:spacing w:line="240" w:lineRule="exact"/>
        <w:rPr>
          <w:rFonts w:cs="Arial"/>
          <w:sz w:val="16"/>
        </w:rPr>
      </w:pPr>
      <w:r>
        <w:rPr>
          <w:rFonts w:cs="Arial"/>
          <w:sz w:val="16"/>
        </w:rPr>
        <w:tab/>
      </w:r>
      <w:r>
        <w:rPr>
          <w:rFonts w:cs="Arial"/>
          <w:sz w:val="16"/>
        </w:rPr>
        <w:tab/>
      </w:r>
      <w:r>
        <w:rPr>
          <w:rFonts w:cs="Arial"/>
          <w:sz w:val="16"/>
        </w:rPr>
        <w:t>E: gp.gs@gov.si</w:t>
      </w:r>
    </w:p>
    <w:p w:rsidR="00E0273F" w:rsidRDefault="00E0273F" w:rsidP="00E0273F">
      <w:pPr>
        <w:pStyle w:val="Glava"/>
        <w:tabs>
          <w:tab w:val="left" w:pos="5112"/>
        </w:tabs>
        <w:spacing w:line="240" w:lineRule="exact"/>
        <w:rPr>
          <w:rFonts w:cs="Arial"/>
          <w:sz w:val="16"/>
        </w:rPr>
      </w:pPr>
      <w:r>
        <w:rPr>
          <w:rFonts w:cs="Arial"/>
          <w:sz w:val="16"/>
        </w:rPr>
        <w:tab/>
      </w:r>
      <w:r>
        <w:rPr>
          <w:rFonts w:cs="Arial"/>
          <w:sz w:val="16"/>
        </w:rPr>
        <w:tab/>
      </w:r>
      <w:r>
        <w:rPr>
          <w:rFonts w:cs="Arial"/>
          <w:sz w:val="16"/>
        </w:rPr>
        <w:t>http://www.vlada.si/</w:t>
      </w:r>
    </w:p>
    <w:p w:rsidR="00E0273F" w:rsidRDefault="00E0273F" w:rsidP="00961F16">
      <w:pPr>
        <w:spacing w:after="0" w:line="276" w:lineRule="auto"/>
        <w:jc w:val="both"/>
        <w:rPr>
          <w:rFonts w:ascii="Arial" w:hAnsi="Arial" w:cs="Arial"/>
          <w:color w:val="000000" w:themeColor="text1"/>
          <w:sz w:val="20"/>
          <w:szCs w:val="20"/>
        </w:rPr>
      </w:pPr>
    </w:p>
    <w:p w:rsidR="00E0273F" w:rsidRPr="002760DC" w:rsidRDefault="00E0273F" w:rsidP="00E0273F">
      <w:pPr>
        <w:pStyle w:val="datumtevilka"/>
        <w:rPr>
          <w:lang w:val="sl-SI"/>
        </w:rPr>
      </w:pPr>
      <w:r w:rsidRPr="002760DC">
        <w:rPr>
          <w:lang w:val="sl-SI"/>
        </w:rPr>
        <w:t xml:space="preserve">Številka: </w:t>
      </w:r>
      <w:r w:rsidRPr="002760DC">
        <w:rPr>
          <w:lang w:val="sl-SI"/>
        </w:rPr>
        <w:tab/>
      </w:r>
      <w:r>
        <w:rPr>
          <w:rFonts w:cs="Arial"/>
          <w:color w:val="000000"/>
          <w:lang w:val="sl-SI"/>
        </w:rPr>
        <w:t>00104-380/2019/5</w:t>
      </w:r>
    </w:p>
    <w:p w:rsidR="00E0273F" w:rsidRPr="002760DC" w:rsidRDefault="00E0273F" w:rsidP="00E0273F">
      <w:pPr>
        <w:pStyle w:val="datumtevilka"/>
        <w:rPr>
          <w:lang w:val="sl-SI"/>
        </w:rPr>
      </w:pPr>
      <w:r>
        <w:rPr>
          <w:lang w:val="sl-SI"/>
        </w:rPr>
        <w:t>Datum:</w:t>
      </w:r>
      <w:r w:rsidRPr="002760DC">
        <w:rPr>
          <w:lang w:val="sl-SI"/>
        </w:rPr>
        <w:tab/>
      </w:r>
      <w:r>
        <w:rPr>
          <w:rFonts w:cs="Arial"/>
          <w:color w:val="000000"/>
          <w:lang w:eastAsia="sl-SI"/>
        </w:rPr>
        <w:t>12. 12. 2019</w:t>
      </w:r>
      <w:r w:rsidRPr="002760DC">
        <w:rPr>
          <w:lang w:val="sl-SI"/>
        </w:rPr>
        <w:t xml:space="preserve"> </w:t>
      </w:r>
    </w:p>
    <w:p w:rsidR="00E0273F" w:rsidRPr="002760DC" w:rsidRDefault="00E0273F" w:rsidP="00E0273F"/>
    <w:p w:rsidR="00E0273F" w:rsidRPr="00E0273F" w:rsidRDefault="00E0273F" w:rsidP="00E0273F">
      <w:pPr>
        <w:autoSpaceDE w:val="0"/>
        <w:autoSpaceDN w:val="0"/>
        <w:adjustRightInd w:val="0"/>
        <w:jc w:val="center"/>
        <w:rPr>
          <w:rFonts w:ascii="Arial" w:hAnsi="Arial" w:cs="Arial"/>
          <w:b/>
          <w:color w:val="000000"/>
          <w:sz w:val="20"/>
          <w:szCs w:val="20"/>
        </w:rPr>
      </w:pPr>
      <w:r w:rsidRPr="00E0273F">
        <w:rPr>
          <w:rFonts w:ascii="Arial" w:hAnsi="Arial" w:cs="Arial"/>
          <w:b/>
          <w:color w:val="000000"/>
          <w:sz w:val="20"/>
          <w:szCs w:val="20"/>
        </w:rPr>
        <w:t>Odgovor na poslansko vprašanje Janija Ivanuše v zvezi s spremembami pogojev za upokojevanje in določitvijo višine pokojnine</w:t>
      </w:r>
    </w:p>
    <w:p w:rsidR="00E0273F" w:rsidRPr="00C6695F" w:rsidRDefault="00E0273F" w:rsidP="00961F16">
      <w:pPr>
        <w:spacing w:after="0" w:line="276" w:lineRule="auto"/>
        <w:jc w:val="both"/>
        <w:rPr>
          <w:rFonts w:ascii="Arial" w:hAnsi="Arial" w:cs="Arial"/>
          <w:color w:val="000000" w:themeColor="text1"/>
          <w:sz w:val="20"/>
          <w:szCs w:val="20"/>
        </w:rPr>
      </w:pPr>
    </w:p>
    <w:p w:rsidR="00730545" w:rsidRPr="00730545" w:rsidRDefault="004575D3" w:rsidP="00961F16">
      <w:pPr>
        <w:spacing w:after="0" w:line="276" w:lineRule="auto"/>
        <w:jc w:val="both"/>
        <w:rPr>
          <w:rFonts w:ascii="Arial" w:eastAsia="Times New Roman" w:hAnsi="Arial" w:cs="Arial"/>
          <w:color w:val="000000" w:themeColor="text1"/>
          <w:sz w:val="20"/>
          <w:szCs w:val="20"/>
          <w:lang w:eastAsia="sl-SI"/>
        </w:rPr>
      </w:pPr>
      <w:r w:rsidRPr="00C6695F">
        <w:rPr>
          <w:rFonts w:ascii="Arial" w:hAnsi="Arial" w:cs="Arial"/>
          <w:color w:val="000000" w:themeColor="text1"/>
          <w:sz w:val="20"/>
          <w:szCs w:val="20"/>
        </w:rPr>
        <w:t>Vlada Republike Slovenije</w:t>
      </w:r>
      <w:r w:rsidR="00E32A0B" w:rsidRPr="00C6695F">
        <w:rPr>
          <w:rFonts w:ascii="Arial" w:hAnsi="Arial" w:cs="Arial"/>
          <w:color w:val="000000" w:themeColor="text1"/>
          <w:sz w:val="20"/>
          <w:szCs w:val="20"/>
        </w:rPr>
        <w:t xml:space="preserve"> (v nadaljnjem besedilu: </w:t>
      </w:r>
      <w:r w:rsidR="00AA540E" w:rsidRPr="00C6695F">
        <w:rPr>
          <w:rFonts w:ascii="Arial" w:hAnsi="Arial" w:cs="Arial"/>
          <w:color w:val="000000" w:themeColor="text1"/>
          <w:sz w:val="20"/>
          <w:szCs w:val="20"/>
        </w:rPr>
        <w:t>Vlada RS)</w:t>
      </w:r>
      <w:r w:rsidR="00C4463D" w:rsidRPr="00C6695F">
        <w:rPr>
          <w:rFonts w:ascii="Arial" w:hAnsi="Arial" w:cs="Arial"/>
          <w:color w:val="000000" w:themeColor="text1"/>
          <w:sz w:val="20"/>
          <w:szCs w:val="20"/>
        </w:rPr>
        <w:t xml:space="preserve"> je prejela pisno poslansko</w:t>
      </w:r>
      <w:r w:rsidRPr="00C6695F">
        <w:rPr>
          <w:rFonts w:ascii="Arial" w:hAnsi="Arial" w:cs="Arial"/>
          <w:color w:val="000000" w:themeColor="text1"/>
          <w:sz w:val="20"/>
          <w:szCs w:val="20"/>
        </w:rPr>
        <w:t xml:space="preserve"> </w:t>
      </w:r>
      <w:r w:rsidR="00730545">
        <w:rPr>
          <w:rFonts w:ascii="Arial" w:eastAsia="Times New Roman" w:hAnsi="Arial" w:cs="Arial"/>
          <w:color w:val="000000" w:themeColor="text1"/>
          <w:sz w:val="20"/>
          <w:szCs w:val="20"/>
          <w:lang w:eastAsia="sl-SI"/>
        </w:rPr>
        <w:t>vprašanje</w:t>
      </w:r>
      <w:r w:rsidR="00730545" w:rsidRPr="00730545">
        <w:rPr>
          <w:rFonts w:ascii="Arial" w:eastAsia="Times New Roman" w:hAnsi="Arial" w:cs="Arial"/>
          <w:color w:val="000000" w:themeColor="text1"/>
          <w:sz w:val="20"/>
          <w:szCs w:val="20"/>
          <w:lang w:eastAsia="sl-SI"/>
        </w:rPr>
        <w:t xml:space="preserve"> Jani</w:t>
      </w:r>
      <w:r w:rsidR="00730545">
        <w:rPr>
          <w:rFonts w:ascii="Arial" w:eastAsia="Times New Roman" w:hAnsi="Arial" w:cs="Arial"/>
          <w:color w:val="000000" w:themeColor="text1"/>
          <w:sz w:val="20"/>
          <w:szCs w:val="20"/>
          <w:lang w:eastAsia="sl-SI"/>
        </w:rPr>
        <w:t>ja Ivanuše</w:t>
      </w:r>
      <w:r w:rsidR="00730545" w:rsidRPr="00730545">
        <w:rPr>
          <w:rFonts w:ascii="Arial" w:eastAsia="Times New Roman" w:hAnsi="Arial" w:cs="Arial"/>
          <w:color w:val="000000" w:themeColor="text1"/>
          <w:sz w:val="20"/>
          <w:szCs w:val="20"/>
          <w:lang w:eastAsia="sl-SI"/>
        </w:rPr>
        <w:t xml:space="preserve"> v zvezi s spremembami pogojev za upokojevanje in določitvijo višine pokojnine. Poslanec prosi Vlado RS, da odgovori na več podrobnih vprašanj, ki se nanašajo na starostno pokojnino od osamosvojitve Slovenije do danes. </w:t>
      </w:r>
    </w:p>
    <w:p w:rsidR="00730545" w:rsidRPr="00730545" w:rsidRDefault="00730545" w:rsidP="00961F16">
      <w:pPr>
        <w:spacing w:after="0" w:line="276" w:lineRule="auto"/>
        <w:jc w:val="both"/>
        <w:rPr>
          <w:rFonts w:ascii="Arial" w:eastAsia="Times New Roman" w:hAnsi="Arial" w:cs="Arial"/>
          <w:color w:val="000000" w:themeColor="text1"/>
          <w:sz w:val="20"/>
          <w:szCs w:val="20"/>
          <w:lang w:eastAsia="sl-SI"/>
        </w:rPr>
      </w:pPr>
    </w:p>
    <w:p w:rsidR="00730545" w:rsidRPr="00730545" w:rsidRDefault="00730545" w:rsidP="00961F16">
      <w:pPr>
        <w:spacing w:after="0" w:line="276" w:lineRule="auto"/>
        <w:jc w:val="both"/>
        <w:rPr>
          <w:rFonts w:ascii="Arial" w:eastAsia="Times New Roman" w:hAnsi="Arial" w:cs="Arial"/>
          <w:color w:val="000000" w:themeColor="text1"/>
          <w:sz w:val="20"/>
          <w:szCs w:val="20"/>
          <w:lang w:eastAsia="sl-SI"/>
        </w:rPr>
      </w:pPr>
      <w:r w:rsidRPr="00730545">
        <w:rPr>
          <w:rFonts w:ascii="Arial" w:eastAsia="Times New Roman" w:hAnsi="Arial" w:cs="Arial"/>
          <w:color w:val="000000" w:themeColor="text1"/>
          <w:sz w:val="20"/>
          <w:szCs w:val="20"/>
          <w:lang w:eastAsia="sl-SI"/>
        </w:rPr>
        <w:t xml:space="preserve">Uvodoma </w:t>
      </w:r>
      <w:r>
        <w:rPr>
          <w:rFonts w:ascii="Arial" w:eastAsia="Times New Roman" w:hAnsi="Arial" w:cs="Arial"/>
          <w:color w:val="000000" w:themeColor="text1"/>
          <w:sz w:val="20"/>
          <w:szCs w:val="20"/>
          <w:lang w:eastAsia="sl-SI"/>
        </w:rPr>
        <w:t xml:space="preserve">Vlada RS </w:t>
      </w:r>
      <w:r w:rsidRPr="00730545">
        <w:rPr>
          <w:rFonts w:ascii="Arial" w:eastAsia="Times New Roman" w:hAnsi="Arial" w:cs="Arial"/>
          <w:color w:val="000000" w:themeColor="text1"/>
          <w:sz w:val="20"/>
          <w:szCs w:val="20"/>
          <w:lang w:eastAsia="sl-SI"/>
        </w:rPr>
        <w:t>pojasnjuje, da so v času od osamosvojitve dalje v R</w:t>
      </w:r>
      <w:r>
        <w:rPr>
          <w:rFonts w:ascii="Arial" w:eastAsia="Times New Roman" w:hAnsi="Arial" w:cs="Arial"/>
          <w:color w:val="000000" w:themeColor="text1"/>
          <w:sz w:val="20"/>
          <w:szCs w:val="20"/>
          <w:lang w:eastAsia="sl-SI"/>
        </w:rPr>
        <w:t xml:space="preserve">epubliki </w:t>
      </w:r>
      <w:r w:rsidRPr="00730545">
        <w:rPr>
          <w:rFonts w:ascii="Arial" w:eastAsia="Times New Roman" w:hAnsi="Arial" w:cs="Arial"/>
          <w:color w:val="000000" w:themeColor="text1"/>
          <w:sz w:val="20"/>
          <w:szCs w:val="20"/>
          <w:lang w:eastAsia="sl-SI"/>
        </w:rPr>
        <w:t>S</w:t>
      </w:r>
      <w:r>
        <w:rPr>
          <w:rFonts w:ascii="Arial" w:eastAsia="Times New Roman" w:hAnsi="Arial" w:cs="Arial"/>
          <w:color w:val="000000" w:themeColor="text1"/>
          <w:sz w:val="20"/>
          <w:szCs w:val="20"/>
          <w:lang w:eastAsia="sl-SI"/>
        </w:rPr>
        <w:t>loveniji</w:t>
      </w:r>
      <w:r w:rsidR="003D462F">
        <w:rPr>
          <w:rFonts w:ascii="Arial" w:eastAsia="Times New Roman" w:hAnsi="Arial" w:cs="Arial"/>
          <w:color w:val="000000" w:themeColor="text1"/>
          <w:sz w:val="20"/>
          <w:szCs w:val="20"/>
          <w:lang w:eastAsia="sl-SI"/>
        </w:rPr>
        <w:t xml:space="preserve"> (v nadaljnjem besedilu: RS)</w:t>
      </w:r>
      <w:r w:rsidRPr="00730545">
        <w:rPr>
          <w:rFonts w:ascii="Arial" w:eastAsia="Times New Roman" w:hAnsi="Arial" w:cs="Arial"/>
          <w:color w:val="000000" w:themeColor="text1"/>
          <w:sz w:val="20"/>
          <w:szCs w:val="20"/>
          <w:lang w:eastAsia="sl-SI"/>
        </w:rPr>
        <w:t xml:space="preserve"> veljali štirje področni zakoni. Vse do 1. 4. 1992, ko je začel veljati Zakon o pokojninskem in invalidskem zavarovanju (Uradni list RS, št. 12/92 s spremembami; v nadalj</w:t>
      </w:r>
      <w:r>
        <w:rPr>
          <w:rFonts w:ascii="Arial" w:eastAsia="Times New Roman" w:hAnsi="Arial" w:cs="Arial"/>
          <w:color w:val="000000" w:themeColor="text1"/>
          <w:sz w:val="20"/>
          <w:szCs w:val="20"/>
          <w:lang w:eastAsia="sl-SI"/>
        </w:rPr>
        <w:t>njem besedilu</w:t>
      </w:r>
      <w:r w:rsidRPr="00730545">
        <w:rPr>
          <w:rFonts w:ascii="Arial" w:eastAsia="Times New Roman" w:hAnsi="Arial" w:cs="Arial"/>
          <w:color w:val="000000" w:themeColor="text1"/>
          <w:sz w:val="20"/>
          <w:szCs w:val="20"/>
          <w:lang w:eastAsia="sl-SI"/>
        </w:rPr>
        <w:t>: ZPIZ-92), je veljal še republiški zakon bivše SFRJ iz leta 1983 (Zakon o pokojninskem in invalidskem zavarovanju, Uradni list SRS, št. 27/1983), po ZPIZ-92, ki je veljal do 31. 12. 1999, je stopil v veljavo Zakon o pokojninskem in invalidskem zavarovanju (Uradni list RS, št. 106/99 s spremembami; v nadalj</w:t>
      </w:r>
      <w:r>
        <w:rPr>
          <w:rFonts w:ascii="Arial" w:eastAsia="Times New Roman" w:hAnsi="Arial" w:cs="Arial"/>
          <w:color w:val="000000" w:themeColor="text1"/>
          <w:sz w:val="20"/>
          <w:szCs w:val="20"/>
          <w:lang w:eastAsia="sl-SI"/>
        </w:rPr>
        <w:t>njem besedilu</w:t>
      </w:r>
      <w:r w:rsidRPr="00730545">
        <w:rPr>
          <w:rFonts w:ascii="Arial" w:eastAsia="Times New Roman" w:hAnsi="Arial" w:cs="Arial"/>
          <w:color w:val="000000" w:themeColor="text1"/>
          <w:sz w:val="20"/>
          <w:szCs w:val="20"/>
          <w:lang w:eastAsia="sl-SI"/>
        </w:rPr>
        <w:t>:</w:t>
      </w:r>
      <w:r>
        <w:rPr>
          <w:rFonts w:ascii="Arial" w:eastAsia="Times New Roman" w:hAnsi="Arial" w:cs="Arial"/>
          <w:color w:val="000000" w:themeColor="text1"/>
          <w:sz w:val="20"/>
          <w:szCs w:val="20"/>
          <w:lang w:eastAsia="sl-SI"/>
        </w:rPr>
        <w:t xml:space="preserve"> </w:t>
      </w:r>
      <w:r w:rsidRPr="00730545">
        <w:rPr>
          <w:rFonts w:ascii="Arial" w:eastAsia="Times New Roman" w:hAnsi="Arial" w:cs="Arial"/>
          <w:color w:val="000000" w:themeColor="text1"/>
          <w:sz w:val="20"/>
          <w:szCs w:val="20"/>
          <w:lang w:eastAsia="sl-SI"/>
        </w:rPr>
        <w:t>ZPIZ-1), nato pa s 1.</w:t>
      </w:r>
      <w:r>
        <w:rPr>
          <w:rFonts w:ascii="Arial" w:eastAsia="Times New Roman" w:hAnsi="Arial" w:cs="Arial"/>
          <w:color w:val="000000" w:themeColor="text1"/>
          <w:sz w:val="20"/>
          <w:szCs w:val="20"/>
          <w:lang w:eastAsia="sl-SI"/>
        </w:rPr>
        <w:t xml:space="preserve"> </w:t>
      </w:r>
      <w:r w:rsidRPr="00730545">
        <w:rPr>
          <w:rFonts w:ascii="Arial" w:eastAsia="Times New Roman" w:hAnsi="Arial" w:cs="Arial"/>
          <w:color w:val="000000" w:themeColor="text1"/>
          <w:sz w:val="20"/>
          <w:szCs w:val="20"/>
          <w:lang w:eastAsia="sl-SI"/>
        </w:rPr>
        <w:t>1.</w:t>
      </w:r>
      <w:r>
        <w:rPr>
          <w:rFonts w:ascii="Arial" w:eastAsia="Times New Roman" w:hAnsi="Arial" w:cs="Arial"/>
          <w:color w:val="000000" w:themeColor="text1"/>
          <w:sz w:val="20"/>
          <w:szCs w:val="20"/>
          <w:lang w:eastAsia="sl-SI"/>
        </w:rPr>
        <w:t xml:space="preserve"> </w:t>
      </w:r>
      <w:r w:rsidRPr="00730545">
        <w:rPr>
          <w:rFonts w:ascii="Arial" w:eastAsia="Times New Roman" w:hAnsi="Arial" w:cs="Arial"/>
          <w:color w:val="000000" w:themeColor="text1"/>
          <w:sz w:val="20"/>
          <w:szCs w:val="20"/>
          <w:lang w:eastAsia="sl-SI"/>
        </w:rPr>
        <w:t>2013 še Zakon o pokojnins</w:t>
      </w:r>
      <w:r>
        <w:rPr>
          <w:rFonts w:ascii="Arial" w:eastAsia="Times New Roman" w:hAnsi="Arial" w:cs="Arial"/>
          <w:color w:val="000000" w:themeColor="text1"/>
          <w:sz w:val="20"/>
          <w:szCs w:val="20"/>
          <w:lang w:eastAsia="sl-SI"/>
        </w:rPr>
        <w:t xml:space="preserve">kem in invalidskem zavarovanju </w:t>
      </w:r>
      <w:r w:rsidRPr="00730545">
        <w:rPr>
          <w:rFonts w:ascii="Arial" w:eastAsia="Times New Roman" w:hAnsi="Arial" w:cs="Arial"/>
          <w:color w:val="000000" w:themeColor="text1"/>
          <w:sz w:val="20"/>
          <w:szCs w:val="20"/>
          <w:lang w:eastAsia="sl-SI"/>
        </w:rPr>
        <w:t>(Uradni list RS, št. 96/12, 39/13, 99/13 – ZSVarPre-C, 101/13 – ZIPRS1415, 44/14 – ORZPIZ206, 85/14 – ZUJF-B, 95/14 – ZUJF-C, 90/15 – ZIUPTD, 102/1</w:t>
      </w:r>
      <w:r>
        <w:rPr>
          <w:rFonts w:ascii="Arial" w:eastAsia="Times New Roman" w:hAnsi="Arial" w:cs="Arial"/>
          <w:color w:val="000000" w:themeColor="text1"/>
          <w:sz w:val="20"/>
          <w:szCs w:val="20"/>
          <w:lang w:eastAsia="sl-SI"/>
        </w:rPr>
        <w:t>5, 23/17, 40/17, 65/17 in 28/19;</w:t>
      </w:r>
      <w:r w:rsidRPr="00730545">
        <w:rPr>
          <w:rFonts w:ascii="Arial" w:eastAsia="Times New Roman" w:hAnsi="Arial" w:cs="Arial"/>
          <w:color w:val="000000" w:themeColor="text1"/>
          <w:sz w:val="20"/>
          <w:szCs w:val="20"/>
          <w:lang w:eastAsia="sl-SI"/>
        </w:rPr>
        <w:t xml:space="preserve"> v nadalj</w:t>
      </w:r>
      <w:r>
        <w:rPr>
          <w:rFonts w:ascii="Arial" w:eastAsia="Times New Roman" w:hAnsi="Arial" w:cs="Arial"/>
          <w:color w:val="000000" w:themeColor="text1"/>
          <w:sz w:val="20"/>
          <w:szCs w:val="20"/>
          <w:lang w:eastAsia="sl-SI"/>
        </w:rPr>
        <w:t>njem besedilu</w:t>
      </w:r>
      <w:r w:rsidRPr="00730545">
        <w:rPr>
          <w:rFonts w:ascii="Arial" w:eastAsia="Times New Roman" w:hAnsi="Arial" w:cs="Arial"/>
          <w:color w:val="000000" w:themeColor="text1"/>
          <w:sz w:val="20"/>
          <w:szCs w:val="20"/>
          <w:lang w:eastAsia="sl-SI"/>
        </w:rPr>
        <w:t>: ZPIZ-2), ki še vedno velja.</w:t>
      </w:r>
    </w:p>
    <w:p w:rsidR="00730545" w:rsidRPr="00730545" w:rsidRDefault="00730545" w:rsidP="00961F16">
      <w:pPr>
        <w:spacing w:after="0" w:line="276" w:lineRule="auto"/>
        <w:jc w:val="both"/>
        <w:rPr>
          <w:rFonts w:ascii="Arial" w:eastAsia="Times New Roman" w:hAnsi="Arial" w:cs="Arial"/>
          <w:color w:val="000000" w:themeColor="text1"/>
          <w:sz w:val="20"/>
          <w:szCs w:val="20"/>
          <w:lang w:eastAsia="sl-SI"/>
        </w:rPr>
      </w:pPr>
    </w:p>
    <w:p w:rsidR="00BD6C6B" w:rsidRDefault="00730545" w:rsidP="00961F16">
      <w:pPr>
        <w:spacing w:after="0" w:line="276" w:lineRule="auto"/>
        <w:jc w:val="both"/>
        <w:rPr>
          <w:rFonts w:ascii="Arial" w:eastAsia="Times New Roman" w:hAnsi="Arial" w:cs="Arial"/>
          <w:color w:val="000000" w:themeColor="text1"/>
          <w:sz w:val="20"/>
          <w:szCs w:val="20"/>
          <w:lang w:eastAsia="sl-SI"/>
        </w:rPr>
      </w:pPr>
      <w:r w:rsidRPr="00730545">
        <w:rPr>
          <w:rFonts w:ascii="Arial" w:eastAsia="Times New Roman" w:hAnsi="Arial" w:cs="Arial"/>
          <w:color w:val="000000" w:themeColor="text1"/>
          <w:sz w:val="20"/>
          <w:szCs w:val="20"/>
          <w:lang w:eastAsia="sl-SI"/>
        </w:rPr>
        <w:t>V nadaljevanju predstavljamo zahtevane podatke na podlagi ZPIZ-92, ZPIZ-1 ter ZPIZ-2.</w:t>
      </w:r>
    </w:p>
    <w:p w:rsidR="00730545" w:rsidRDefault="00730545" w:rsidP="00961F16">
      <w:pPr>
        <w:spacing w:after="0" w:line="276" w:lineRule="auto"/>
        <w:jc w:val="both"/>
        <w:rPr>
          <w:rFonts w:ascii="Arial" w:eastAsia="Times New Roman" w:hAnsi="Arial" w:cs="Arial"/>
          <w:color w:val="000000" w:themeColor="text1"/>
          <w:sz w:val="20"/>
          <w:szCs w:val="20"/>
          <w:lang w:eastAsia="sl-SI"/>
        </w:rPr>
      </w:pPr>
    </w:p>
    <w:p w:rsidR="00730545" w:rsidRPr="00961F16" w:rsidRDefault="00961F16" w:rsidP="00961F16">
      <w:pPr>
        <w:tabs>
          <w:tab w:val="left" w:pos="540"/>
          <w:tab w:val="left" w:pos="900"/>
        </w:tabs>
        <w:spacing w:after="0" w:line="276" w:lineRule="auto"/>
        <w:jc w:val="both"/>
        <w:rPr>
          <w:rFonts w:ascii="Arial" w:hAnsi="Arial" w:cs="Arial"/>
          <w:sz w:val="20"/>
          <w:szCs w:val="20"/>
        </w:rPr>
      </w:pPr>
      <w:r w:rsidRPr="00961F16">
        <w:rPr>
          <w:rFonts w:ascii="Arial" w:hAnsi="Arial" w:cs="Arial"/>
          <w:b/>
          <w:bCs/>
          <w:color w:val="000000"/>
          <w:sz w:val="20"/>
          <w:szCs w:val="20"/>
        </w:rPr>
        <w:t>1.</w:t>
      </w:r>
      <w:r w:rsidRPr="00961F16">
        <w:rPr>
          <w:rFonts w:ascii="Arial" w:hAnsi="Arial" w:cs="Arial"/>
          <w:color w:val="000000"/>
          <w:sz w:val="20"/>
          <w:szCs w:val="20"/>
        </w:rPr>
        <w:tab/>
        <w:t>Glede vprašanja v zvezi s spremembo pogojev za upokojitev, predpisane starosti, dolžine pokojninske oziroma zavarovalne dobe za starostno upokojitev od osamosvojitve Slovenije do danes Vlada RS pojasnjuje, da je na</w:t>
      </w:r>
      <w:r w:rsidR="00730545" w:rsidRPr="00961F16">
        <w:rPr>
          <w:rFonts w:ascii="Arial" w:hAnsi="Arial" w:cs="Arial"/>
          <w:b/>
          <w:bCs/>
          <w:color w:val="000000"/>
          <w:sz w:val="20"/>
          <w:szCs w:val="20"/>
          <w:u w:val="single"/>
        </w:rPr>
        <w:t xml:space="preserve"> podlagi ZPIZ-92</w:t>
      </w:r>
      <w:r w:rsidR="00730545" w:rsidRPr="00961F16">
        <w:rPr>
          <w:rFonts w:ascii="Arial" w:hAnsi="Arial" w:cs="Arial"/>
          <w:sz w:val="20"/>
          <w:szCs w:val="20"/>
        </w:rPr>
        <w:t xml:space="preserve"> zavarovanec pridobil pravico do starostne pokojnine, ko je dopolnil starost 63 let (moški) oziroma 58 let (ženska) in pokojninsko dobo 20 let, pri čemer se je v prehodnem obdobju od 1. 4. 1992 do 31. 12. 1996 starostna meja za pridobitev pravice do starostne pokojnine zviševala postopoma, in sicer za 6 mesecev na leto. </w:t>
      </w:r>
    </w:p>
    <w:p w:rsidR="00730545" w:rsidRPr="00961F16" w:rsidRDefault="00730545" w:rsidP="00961F16">
      <w:pPr>
        <w:tabs>
          <w:tab w:val="left" w:pos="540"/>
          <w:tab w:val="left" w:pos="900"/>
        </w:tabs>
        <w:spacing w:after="0" w:line="276" w:lineRule="auto"/>
        <w:jc w:val="both"/>
        <w:rPr>
          <w:rFonts w:ascii="Arial" w:hAnsi="Arial" w:cs="Arial"/>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3652"/>
        <w:gridCol w:w="1276"/>
        <w:gridCol w:w="1417"/>
      </w:tblGrid>
      <w:tr w:rsidR="00730545" w:rsidRPr="00961F16" w:rsidTr="00730545">
        <w:trPr>
          <w:jc w:val="center"/>
        </w:trPr>
        <w:tc>
          <w:tcPr>
            <w:tcW w:w="3652" w:type="dxa"/>
            <w:tcBorders>
              <w:top w:val="single" w:sz="4" w:space="0" w:color="auto"/>
              <w:bottom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Obdobje</w:t>
            </w:r>
          </w:p>
        </w:tc>
        <w:tc>
          <w:tcPr>
            <w:tcW w:w="1276" w:type="dxa"/>
            <w:tcBorders>
              <w:top w:val="single" w:sz="4" w:space="0" w:color="auto"/>
              <w:bottom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Moški</w:t>
            </w:r>
          </w:p>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let</w:t>
            </w:r>
          </w:p>
        </w:tc>
        <w:tc>
          <w:tcPr>
            <w:tcW w:w="1417" w:type="dxa"/>
            <w:tcBorders>
              <w:top w:val="single" w:sz="4" w:space="0" w:color="auto"/>
              <w:bottom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Ženska</w:t>
            </w:r>
          </w:p>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let</w:t>
            </w:r>
          </w:p>
        </w:tc>
      </w:tr>
      <w:tr w:rsidR="00730545" w:rsidRPr="00961F16" w:rsidTr="00730545">
        <w:trPr>
          <w:jc w:val="center"/>
        </w:trPr>
        <w:tc>
          <w:tcPr>
            <w:tcW w:w="3652" w:type="dxa"/>
            <w:tcBorders>
              <w:top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4. 1992 do 31. 12. 1992</w:t>
            </w:r>
          </w:p>
        </w:tc>
        <w:tc>
          <w:tcPr>
            <w:tcW w:w="1276" w:type="dxa"/>
            <w:tcBorders>
              <w:top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60,5</w:t>
            </w:r>
          </w:p>
        </w:tc>
        <w:tc>
          <w:tcPr>
            <w:tcW w:w="1417" w:type="dxa"/>
            <w:tcBorders>
              <w:top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55,5</w:t>
            </w:r>
          </w:p>
        </w:tc>
      </w:tr>
      <w:tr w:rsidR="00730545" w:rsidRPr="00961F16" w:rsidTr="00730545">
        <w:trPr>
          <w:jc w:val="center"/>
        </w:trPr>
        <w:tc>
          <w:tcPr>
            <w:tcW w:w="3652"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1993 do 31. 12. 1993</w:t>
            </w:r>
          </w:p>
        </w:tc>
        <w:tc>
          <w:tcPr>
            <w:tcW w:w="1276"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61,0</w:t>
            </w:r>
          </w:p>
        </w:tc>
        <w:tc>
          <w:tcPr>
            <w:tcW w:w="1417"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56,0</w:t>
            </w:r>
          </w:p>
        </w:tc>
      </w:tr>
      <w:tr w:rsidR="00730545" w:rsidRPr="00961F16" w:rsidTr="00730545">
        <w:trPr>
          <w:jc w:val="center"/>
        </w:trPr>
        <w:tc>
          <w:tcPr>
            <w:tcW w:w="3652"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1994 do 31. 12. 1994</w:t>
            </w:r>
          </w:p>
        </w:tc>
        <w:tc>
          <w:tcPr>
            <w:tcW w:w="1276"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61,5</w:t>
            </w:r>
          </w:p>
        </w:tc>
        <w:tc>
          <w:tcPr>
            <w:tcW w:w="1417"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56,5</w:t>
            </w:r>
          </w:p>
        </w:tc>
      </w:tr>
      <w:tr w:rsidR="00730545" w:rsidRPr="00961F16" w:rsidTr="00730545">
        <w:trPr>
          <w:jc w:val="center"/>
        </w:trPr>
        <w:tc>
          <w:tcPr>
            <w:tcW w:w="3652"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1.1. 1995 do 31. 12. 1995</w:t>
            </w:r>
          </w:p>
        </w:tc>
        <w:tc>
          <w:tcPr>
            <w:tcW w:w="1276"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62,0</w:t>
            </w:r>
          </w:p>
        </w:tc>
        <w:tc>
          <w:tcPr>
            <w:tcW w:w="1417"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57,0</w:t>
            </w:r>
          </w:p>
        </w:tc>
      </w:tr>
      <w:tr w:rsidR="00730545" w:rsidRPr="00961F16" w:rsidTr="00730545">
        <w:trPr>
          <w:jc w:val="center"/>
        </w:trPr>
        <w:tc>
          <w:tcPr>
            <w:tcW w:w="3652"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1996 do 31. 12. 1996</w:t>
            </w:r>
          </w:p>
        </w:tc>
        <w:tc>
          <w:tcPr>
            <w:tcW w:w="1276"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62,5</w:t>
            </w:r>
          </w:p>
        </w:tc>
        <w:tc>
          <w:tcPr>
            <w:tcW w:w="1417"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57,5</w:t>
            </w:r>
          </w:p>
        </w:tc>
      </w:tr>
      <w:tr w:rsidR="00730545" w:rsidRPr="00961F16" w:rsidTr="00730545">
        <w:trPr>
          <w:jc w:val="center"/>
        </w:trPr>
        <w:tc>
          <w:tcPr>
            <w:tcW w:w="3652"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1997</w:t>
            </w:r>
          </w:p>
        </w:tc>
        <w:tc>
          <w:tcPr>
            <w:tcW w:w="1276"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63,0</w:t>
            </w:r>
          </w:p>
        </w:tc>
        <w:tc>
          <w:tcPr>
            <w:tcW w:w="1417"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58,0</w:t>
            </w:r>
          </w:p>
        </w:tc>
      </w:tr>
    </w:tbl>
    <w:p w:rsidR="00730545" w:rsidRPr="00961F16" w:rsidRDefault="00730545" w:rsidP="00961F16">
      <w:pPr>
        <w:pStyle w:val="Odstavek"/>
        <w:spacing w:before="0" w:line="276" w:lineRule="auto"/>
        <w:ind w:firstLine="0"/>
        <w:rPr>
          <w:rFonts w:cs="Arial"/>
          <w:sz w:val="20"/>
          <w:szCs w:val="20"/>
        </w:rPr>
      </w:pPr>
    </w:p>
    <w:p w:rsidR="00730545" w:rsidRPr="00961F16" w:rsidRDefault="00730545" w:rsidP="00961F16">
      <w:pPr>
        <w:pStyle w:val="Odstavek"/>
        <w:spacing w:before="0" w:line="276" w:lineRule="auto"/>
        <w:ind w:firstLine="0"/>
        <w:rPr>
          <w:rFonts w:cs="Arial"/>
          <w:sz w:val="20"/>
          <w:szCs w:val="20"/>
        </w:rPr>
      </w:pPr>
      <w:r w:rsidRPr="00961F16">
        <w:rPr>
          <w:rFonts w:cs="Arial"/>
          <w:sz w:val="20"/>
          <w:szCs w:val="20"/>
        </w:rPr>
        <w:t xml:space="preserve">Zavarovanec, ki ni imel dopolnjene pokojninske dobe 20 let, je pridobil pravico do starostne pokojnine, ko je dopolnil starost 65 let (moški) oziroma 60 let (ženska) in najmanj 15 let zavarovalne dobe. </w:t>
      </w:r>
    </w:p>
    <w:p w:rsidR="00730545" w:rsidRPr="00961F16" w:rsidRDefault="00730545" w:rsidP="00961F16">
      <w:pPr>
        <w:pStyle w:val="Odstavek"/>
        <w:spacing w:before="0" w:line="276" w:lineRule="auto"/>
        <w:ind w:firstLine="0"/>
        <w:rPr>
          <w:rFonts w:cs="Arial"/>
          <w:sz w:val="20"/>
          <w:szCs w:val="20"/>
        </w:rPr>
      </w:pPr>
    </w:p>
    <w:p w:rsidR="00730545" w:rsidRPr="00961F16" w:rsidRDefault="00730545" w:rsidP="00961F16">
      <w:pPr>
        <w:pStyle w:val="Odstavek"/>
        <w:spacing w:before="0" w:line="276" w:lineRule="auto"/>
        <w:ind w:firstLine="0"/>
        <w:rPr>
          <w:rFonts w:cs="Arial"/>
          <w:sz w:val="20"/>
          <w:szCs w:val="20"/>
        </w:rPr>
      </w:pPr>
      <w:r w:rsidRPr="00961F16">
        <w:rPr>
          <w:rFonts w:cs="Arial"/>
          <w:sz w:val="20"/>
          <w:szCs w:val="20"/>
        </w:rPr>
        <w:t xml:space="preserve">Zavarovanec je pridobil pravico do starostne pokojnine tudi, če je dopolnil pokojninsko dobo 40 let (moški) oziroma 35 let (ženska) in starost 58 let (moški) oziroma 53 let (ženska), pri čemer se je v </w:t>
      </w:r>
      <w:r w:rsidRPr="00961F16">
        <w:rPr>
          <w:rFonts w:cs="Arial"/>
          <w:sz w:val="20"/>
          <w:szCs w:val="20"/>
        </w:rPr>
        <w:lastRenderedPageBreak/>
        <w:t>prehodnem obdobju od 1. 4. 1992 do 1. 1. 1998 starostna meja za pridobitev pravice do starostne pokojnine zviševala postopoma, in sicer za 6 mesecev na leto.</w:t>
      </w:r>
    </w:p>
    <w:p w:rsidR="00730545" w:rsidRPr="00961F16" w:rsidRDefault="00730545" w:rsidP="00961F16">
      <w:pPr>
        <w:pStyle w:val="Odstavek"/>
        <w:spacing w:before="0" w:line="276" w:lineRule="auto"/>
        <w:ind w:firstLine="0"/>
        <w:rPr>
          <w:rFonts w:cs="Arial"/>
          <w:sz w:val="20"/>
          <w:szCs w:val="20"/>
        </w:rPr>
      </w:pPr>
    </w:p>
    <w:tbl>
      <w:tblPr>
        <w:tblW w:w="0" w:type="auto"/>
        <w:jc w:val="center"/>
        <w:tblLook w:val="04A0" w:firstRow="1" w:lastRow="0" w:firstColumn="1" w:lastColumn="0" w:noHBand="0" w:noVBand="1"/>
      </w:tblPr>
      <w:tblGrid>
        <w:gridCol w:w="3598"/>
        <w:gridCol w:w="1275"/>
        <w:gridCol w:w="1418"/>
      </w:tblGrid>
      <w:tr w:rsidR="00730545" w:rsidRPr="00961F16" w:rsidTr="00730545">
        <w:trPr>
          <w:jc w:val="center"/>
        </w:trPr>
        <w:tc>
          <w:tcPr>
            <w:tcW w:w="3598" w:type="dxa"/>
            <w:tcBorders>
              <w:top w:val="single" w:sz="4" w:space="0" w:color="auto"/>
              <w:bottom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Obdobje</w:t>
            </w:r>
          </w:p>
        </w:tc>
        <w:tc>
          <w:tcPr>
            <w:tcW w:w="1275" w:type="dxa"/>
            <w:tcBorders>
              <w:top w:val="single" w:sz="4" w:space="0" w:color="auto"/>
              <w:bottom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Moški</w:t>
            </w:r>
          </w:p>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let</w:t>
            </w:r>
          </w:p>
        </w:tc>
        <w:tc>
          <w:tcPr>
            <w:tcW w:w="1418" w:type="dxa"/>
            <w:tcBorders>
              <w:top w:val="single" w:sz="4" w:space="0" w:color="auto"/>
              <w:bottom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Ženska</w:t>
            </w:r>
          </w:p>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let</w:t>
            </w:r>
          </w:p>
        </w:tc>
      </w:tr>
      <w:tr w:rsidR="00730545" w:rsidRPr="00961F16" w:rsidTr="00730545">
        <w:trPr>
          <w:jc w:val="center"/>
        </w:trPr>
        <w:tc>
          <w:tcPr>
            <w:tcW w:w="3598" w:type="dxa"/>
            <w:tcBorders>
              <w:top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4. 1992 do 31. 12. 1992</w:t>
            </w:r>
          </w:p>
        </w:tc>
        <w:tc>
          <w:tcPr>
            <w:tcW w:w="1275" w:type="dxa"/>
            <w:tcBorders>
              <w:top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w:t>
            </w:r>
          </w:p>
        </w:tc>
        <w:tc>
          <w:tcPr>
            <w:tcW w:w="1418" w:type="dxa"/>
            <w:tcBorders>
              <w:top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w:t>
            </w:r>
          </w:p>
        </w:tc>
      </w:tr>
      <w:tr w:rsidR="00730545" w:rsidRPr="00961F16" w:rsidTr="00730545">
        <w:trPr>
          <w:jc w:val="center"/>
        </w:trPr>
        <w:tc>
          <w:tcPr>
            <w:tcW w:w="359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1993 do 31. 12. 1993</w:t>
            </w:r>
          </w:p>
        </w:tc>
        <w:tc>
          <w:tcPr>
            <w:tcW w:w="1275"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55,5</w:t>
            </w:r>
          </w:p>
        </w:tc>
        <w:tc>
          <w:tcPr>
            <w:tcW w:w="141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50,5</w:t>
            </w:r>
          </w:p>
        </w:tc>
      </w:tr>
      <w:tr w:rsidR="00730545" w:rsidRPr="00961F16" w:rsidTr="00730545">
        <w:trPr>
          <w:jc w:val="center"/>
        </w:trPr>
        <w:tc>
          <w:tcPr>
            <w:tcW w:w="359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1994 do 31. 12. 1994</w:t>
            </w:r>
          </w:p>
        </w:tc>
        <w:tc>
          <w:tcPr>
            <w:tcW w:w="1275"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56,0</w:t>
            </w:r>
          </w:p>
        </w:tc>
        <w:tc>
          <w:tcPr>
            <w:tcW w:w="141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51,0</w:t>
            </w:r>
          </w:p>
        </w:tc>
      </w:tr>
      <w:tr w:rsidR="00730545" w:rsidRPr="00961F16" w:rsidTr="00730545">
        <w:trPr>
          <w:jc w:val="center"/>
        </w:trPr>
        <w:tc>
          <w:tcPr>
            <w:tcW w:w="359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1995 do 31. 12. 1995</w:t>
            </w:r>
          </w:p>
        </w:tc>
        <w:tc>
          <w:tcPr>
            <w:tcW w:w="1275"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56,5</w:t>
            </w:r>
          </w:p>
        </w:tc>
        <w:tc>
          <w:tcPr>
            <w:tcW w:w="141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51,5</w:t>
            </w:r>
          </w:p>
        </w:tc>
      </w:tr>
      <w:tr w:rsidR="00730545" w:rsidRPr="00961F16" w:rsidTr="00730545">
        <w:trPr>
          <w:jc w:val="center"/>
        </w:trPr>
        <w:tc>
          <w:tcPr>
            <w:tcW w:w="359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1996 do 31. 12. 1996</w:t>
            </w:r>
          </w:p>
        </w:tc>
        <w:tc>
          <w:tcPr>
            <w:tcW w:w="1275"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57,0</w:t>
            </w:r>
          </w:p>
        </w:tc>
        <w:tc>
          <w:tcPr>
            <w:tcW w:w="141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52,0</w:t>
            </w:r>
          </w:p>
        </w:tc>
      </w:tr>
      <w:tr w:rsidR="00730545" w:rsidRPr="00961F16" w:rsidTr="00730545">
        <w:trPr>
          <w:jc w:val="center"/>
        </w:trPr>
        <w:tc>
          <w:tcPr>
            <w:tcW w:w="359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1997 do 31. 12. 1997</w:t>
            </w:r>
          </w:p>
        </w:tc>
        <w:tc>
          <w:tcPr>
            <w:tcW w:w="1275"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57,5</w:t>
            </w:r>
          </w:p>
        </w:tc>
        <w:tc>
          <w:tcPr>
            <w:tcW w:w="1418" w:type="dxa"/>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52,5</w:t>
            </w:r>
          </w:p>
        </w:tc>
      </w:tr>
      <w:tr w:rsidR="00730545" w:rsidRPr="00961F16" w:rsidTr="00730545">
        <w:trPr>
          <w:jc w:val="center"/>
        </w:trPr>
        <w:tc>
          <w:tcPr>
            <w:tcW w:w="3598" w:type="dxa"/>
            <w:tcBorders>
              <w:bottom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od 1. 1. 1998</w:t>
            </w:r>
          </w:p>
        </w:tc>
        <w:tc>
          <w:tcPr>
            <w:tcW w:w="1275" w:type="dxa"/>
            <w:tcBorders>
              <w:bottom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58,0</w:t>
            </w:r>
          </w:p>
        </w:tc>
        <w:tc>
          <w:tcPr>
            <w:tcW w:w="1418" w:type="dxa"/>
            <w:tcBorders>
              <w:bottom w:val="single" w:sz="4" w:space="0" w:color="auto"/>
            </w:tcBorders>
          </w:tcPr>
          <w:p w:rsidR="00730545" w:rsidRPr="00961F16" w:rsidRDefault="00730545" w:rsidP="00961F16">
            <w:pPr>
              <w:spacing w:after="0" w:line="276" w:lineRule="auto"/>
              <w:jc w:val="center"/>
              <w:rPr>
                <w:rFonts w:ascii="Arial" w:hAnsi="Arial" w:cs="Arial"/>
                <w:sz w:val="18"/>
                <w:szCs w:val="18"/>
              </w:rPr>
            </w:pPr>
            <w:r w:rsidRPr="00961F16">
              <w:rPr>
                <w:rFonts w:ascii="Arial" w:hAnsi="Arial" w:cs="Arial"/>
                <w:sz w:val="18"/>
                <w:szCs w:val="18"/>
              </w:rPr>
              <w:t>53,0</w:t>
            </w:r>
          </w:p>
        </w:tc>
      </w:tr>
    </w:tbl>
    <w:p w:rsidR="00730545" w:rsidRPr="00961F16" w:rsidRDefault="00730545" w:rsidP="00961F16">
      <w:pPr>
        <w:tabs>
          <w:tab w:val="left" w:pos="540"/>
          <w:tab w:val="left" w:pos="900"/>
        </w:tabs>
        <w:spacing w:after="0" w:line="276" w:lineRule="auto"/>
        <w:jc w:val="both"/>
        <w:rPr>
          <w:rFonts w:ascii="Arial" w:hAnsi="Arial" w:cs="Arial"/>
          <w:b/>
          <w:bCs/>
          <w:sz w:val="20"/>
          <w:szCs w:val="20"/>
        </w:rPr>
      </w:pPr>
    </w:p>
    <w:p w:rsidR="00730545" w:rsidRPr="00961F16" w:rsidRDefault="00730545" w:rsidP="00961F16">
      <w:pPr>
        <w:tabs>
          <w:tab w:val="left" w:pos="540"/>
          <w:tab w:val="left" w:pos="900"/>
        </w:tabs>
        <w:spacing w:after="0" w:line="276" w:lineRule="auto"/>
        <w:jc w:val="both"/>
        <w:rPr>
          <w:rFonts w:ascii="Arial" w:hAnsi="Arial" w:cs="Arial"/>
          <w:sz w:val="20"/>
          <w:szCs w:val="20"/>
          <w:lang w:val="pl-PL"/>
        </w:rPr>
      </w:pPr>
      <w:r w:rsidRPr="00961F16">
        <w:rPr>
          <w:rFonts w:ascii="Arial" w:hAnsi="Arial" w:cs="Arial"/>
          <w:b/>
          <w:bCs/>
          <w:sz w:val="20"/>
          <w:szCs w:val="20"/>
          <w:u w:val="single"/>
        </w:rPr>
        <w:t>Na podlagi ZPIZ-1</w:t>
      </w:r>
      <w:r w:rsidRPr="00961F16">
        <w:rPr>
          <w:rFonts w:ascii="Arial" w:hAnsi="Arial" w:cs="Arial"/>
          <w:bCs/>
          <w:sz w:val="20"/>
          <w:szCs w:val="20"/>
        </w:rPr>
        <w:t xml:space="preserve"> je z</w:t>
      </w:r>
      <w:r w:rsidRPr="00961F16">
        <w:rPr>
          <w:rFonts w:ascii="Arial" w:hAnsi="Arial" w:cs="Arial"/>
          <w:sz w:val="20"/>
          <w:szCs w:val="20"/>
          <w:lang w:val="pl-PL"/>
        </w:rPr>
        <w:t>avarovanec pridobil pravico do starostne pokojnine pri starosti 58 let, če je dopolnil 40 let pokojninske dobe (moški) oziroma 38 let pokojninske dobe (ženska). Zavarovanec je lahko pridobil pravico do starostne pokojnine tudi pri starosti 63 let (moški) oziroma 61 let (ženska), če je dopolnil 20 let pokojninske dobe. Zavarovanec</w:t>
      </w:r>
      <w:r w:rsidRPr="00961F16">
        <w:rPr>
          <w:rFonts w:ascii="Arial" w:hAnsi="Arial" w:cs="Arial"/>
          <w:sz w:val="20"/>
          <w:szCs w:val="20"/>
        </w:rPr>
        <w:t xml:space="preserve">, ki ni imel dopolnjene pokojninske dobe 20 let, pa je lahko </w:t>
      </w:r>
      <w:r w:rsidRPr="00961F16">
        <w:rPr>
          <w:rFonts w:ascii="Arial" w:hAnsi="Arial" w:cs="Arial"/>
          <w:sz w:val="20"/>
          <w:szCs w:val="20"/>
          <w:lang w:val="pl-PL"/>
        </w:rPr>
        <w:t>pridobil pravico do starostne pokojnine pri starosti 65 let (moški) oziroma 63 let (ženska), če je dopolnil najmanj 15 let zavarovalne dobe.</w:t>
      </w:r>
    </w:p>
    <w:p w:rsidR="00730545" w:rsidRPr="00961F16" w:rsidRDefault="00730545" w:rsidP="00961F16">
      <w:pPr>
        <w:tabs>
          <w:tab w:val="left" w:pos="540"/>
          <w:tab w:val="left" w:pos="900"/>
        </w:tabs>
        <w:spacing w:after="0" w:line="276" w:lineRule="auto"/>
        <w:jc w:val="both"/>
        <w:rPr>
          <w:rFonts w:ascii="Arial" w:hAnsi="Arial" w:cs="Arial"/>
          <w:bCs/>
          <w:sz w:val="20"/>
          <w:szCs w:val="20"/>
        </w:rPr>
      </w:pPr>
    </w:p>
    <w:p w:rsidR="00730545" w:rsidRPr="00961F16" w:rsidRDefault="00730545" w:rsidP="00961F16">
      <w:pPr>
        <w:tabs>
          <w:tab w:val="left" w:pos="993"/>
          <w:tab w:val="left" w:pos="1134"/>
        </w:tabs>
        <w:autoSpaceDE w:val="0"/>
        <w:autoSpaceDN w:val="0"/>
        <w:adjustRightInd w:val="0"/>
        <w:spacing w:after="0" w:line="276" w:lineRule="auto"/>
        <w:jc w:val="both"/>
        <w:rPr>
          <w:rFonts w:ascii="Arial" w:hAnsi="Arial" w:cs="Arial"/>
          <w:bCs/>
          <w:sz w:val="20"/>
          <w:szCs w:val="20"/>
          <w:lang w:val="x-none"/>
        </w:rPr>
      </w:pPr>
      <w:r w:rsidRPr="00961F16">
        <w:rPr>
          <w:rFonts w:ascii="Arial" w:hAnsi="Arial" w:cs="Arial"/>
          <w:sz w:val="20"/>
          <w:szCs w:val="20"/>
        </w:rPr>
        <w:t xml:space="preserve">Z določbo 36. člena v povezavi s 398. členom ZPIZ-1 se je zahtevana </w:t>
      </w:r>
      <w:r w:rsidRPr="00961F16">
        <w:rPr>
          <w:rFonts w:ascii="Arial" w:hAnsi="Arial" w:cs="Arial"/>
          <w:bCs/>
          <w:sz w:val="20"/>
          <w:szCs w:val="20"/>
          <w:lang w:val="x-none"/>
        </w:rPr>
        <w:t xml:space="preserve">minimalna </w:t>
      </w:r>
      <w:r w:rsidRPr="00961F16">
        <w:rPr>
          <w:rFonts w:ascii="Arial" w:hAnsi="Arial" w:cs="Arial"/>
          <w:bCs/>
          <w:sz w:val="20"/>
          <w:szCs w:val="20"/>
        </w:rPr>
        <w:t xml:space="preserve">zahtevana </w:t>
      </w:r>
      <w:r w:rsidRPr="00961F16">
        <w:rPr>
          <w:rFonts w:ascii="Arial" w:hAnsi="Arial" w:cs="Arial"/>
          <w:bCs/>
          <w:sz w:val="20"/>
          <w:szCs w:val="20"/>
          <w:lang w:val="x-none"/>
        </w:rPr>
        <w:t>starost in pokojninska doba za pridobitev pravice do starostne pokojnine za ženske</w:t>
      </w:r>
      <w:r w:rsidRPr="00961F16">
        <w:rPr>
          <w:rFonts w:ascii="Arial" w:hAnsi="Arial" w:cs="Arial"/>
          <w:sz w:val="20"/>
          <w:szCs w:val="20"/>
        </w:rPr>
        <w:t xml:space="preserve"> višala postopoma </w:t>
      </w:r>
      <w:r w:rsidRPr="00961F16">
        <w:rPr>
          <w:rFonts w:ascii="Arial" w:hAnsi="Arial" w:cs="Arial"/>
          <w:bCs/>
          <w:sz w:val="20"/>
          <w:szCs w:val="20"/>
          <w:lang w:val="x-none"/>
        </w:rPr>
        <w:t>od uveljavitve zakona do 31. 12. 2013:</w:t>
      </w:r>
    </w:p>
    <w:p w:rsidR="00730545" w:rsidRPr="00961F16" w:rsidRDefault="00730545" w:rsidP="00961F16">
      <w:pPr>
        <w:tabs>
          <w:tab w:val="left" w:pos="993"/>
          <w:tab w:val="left" w:pos="1134"/>
        </w:tabs>
        <w:autoSpaceDE w:val="0"/>
        <w:autoSpaceDN w:val="0"/>
        <w:adjustRightInd w:val="0"/>
        <w:spacing w:after="0" w:line="276" w:lineRule="auto"/>
        <w:jc w:val="both"/>
        <w:rPr>
          <w:rFonts w:ascii="Arial" w:hAnsi="Arial" w:cs="Arial"/>
          <w:bCs/>
          <w:sz w:val="20"/>
          <w:szCs w:val="20"/>
          <w:lang w:val="x-none"/>
        </w:rPr>
      </w:pPr>
    </w:p>
    <w:tbl>
      <w:tblPr>
        <w:tblW w:w="0" w:type="auto"/>
        <w:jc w:val="center"/>
        <w:tblCellMar>
          <w:left w:w="0" w:type="dxa"/>
          <w:right w:w="0" w:type="dxa"/>
        </w:tblCellMar>
        <w:tblLook w:val="04A0" w:firstRow="1" w:lastRow="0" w:firstColumn="1" w:lastColumn="0" w:noHBand="0" w:noVBand="1"/>
      </w:tblPr>
      <w:tblGrid>
        <w:gridCol w:w="1188"/>
        <w:gridCol w:w="2520"/>
        <w:gridCol w:w="1980"/>
        <w:gridCol w:w="1657"/>
        <w:gridCol w:w="1620"/>
      </w:tblGrid>
      <w:tr w:rsidR="00730545" w:rsidRPr="00961F16" w:rsidTr="00730545">
        <w:trPr>
          <w:jc w:val="center"/>
        </w:trPr>
        <w:tc>
          <w:tcPr>
            <w:tcW w:w="1188" w:type="dxa"/>
            <w:tcBorders>
              <w:top w:val="single" w:sz="8" w:space="0" w:color="auto"/>
              <w:left w:val="nil"/>
              <w:bottom w:val="nil"/>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Leto</w:t>
            </w:r>
          </w:p>
        </w:tc>
        <w:tc>
          <w:tcPr>
            <w:tcW w:w="4500" w:type="dxa"/>
            <w:gridSpan w:val="2"/>
            <w:tcBorders>
              <w:top w:val="single" w:sz="8" w:space="0" w:color="auto"/>
              <w:left w:val="nil"/>
              <w:bottom w:val="nil"/>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Starostna meja</w:t>
            </w:r>
          </w:p>
        </w:tc>
        <w:tc>
          <w:tcPr>
            <w:tcW w:w="3277" w:type="dxa"/>
            <w:gridSpan w:val="2"/>
            <w:tcBorders>
              <w:top w:val="single" w:sz="8" w:space="0" w:color="auto"/>
              <w:left w:val="nil"/>
              <w:bottom w:val="nil"/>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Pokojninska doba</w:t>
            </w:r>
          </w:p>
        </w:tc>
      </w:tr>
      <w:tr w:rsidR="00730545" w:rsidRPr="00961F16" w:rsidTr="00730545">
        <w:trPr>
          <w:jc w:val="center"/>
        </w:trPr>
        <w:tc>
          <w:tcPr>
            <w:tcW w:w="1188"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 </w:t>
            </w:r>
          </w:p>
        </w:tc>
        <w:tc>
          <w:tcPr>
            <w:tcW w:w="2520"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Leta</w:t>
            </w:r>
          </w:p>
        </w:tc>
        <w:tc>
          <w:tcPr>
            <w:tcW w:w="1980"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meseci</w:t>
            </w:r>
          </w:p>
        </w:tc>
        <w:tc>
          <w:tcPr>
            <w:tcW w:w="1657"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Leta</w:t>
            </w:r>
          </w:p>
        </w:tc>
        <w:tc>
          <w:tcPr>
            <w:tcW w:w="1620"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meseci</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2000</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53</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4</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35</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0</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2001</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53</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8</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35</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0</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2002</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54</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0</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35</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2003</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54</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4</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35</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6</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2004</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54</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8</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35</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9</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2005</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55</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0</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36</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0</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2006</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55</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4</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36</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2007</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55</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8</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36</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6</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2008</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56</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0</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36</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9</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2009</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56</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4</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37</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0</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2010</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56</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8</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37</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2011</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57</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0</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37</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6</w:t>
            </w:r>
          </w:p>
        </w:tc>
      </w:tr>
      <w:tr w:rsidR="00730545" w:rsidRPr="00961F16" w:rsidTr="00730545">
        <w:trPr>
          <w:jc w:val="center"/>
        </w:trPr>
        <w:tc>
          <w:tcPr>
            <w:tcW w:w="1188"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2012</w:t>
            </w:r>
          </w:p>
        </w:tc>
        <w:tc>
          <w:tcPr>
            <w:tcW w:w="25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57</w:t>
            </w:r>
          </w:p>
        </w:tc>
        <w:tc>
          <w:tcPr>
            <w:tcW w:w="198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4</w:t>
            </w:r>
          </w:p>
        </w:tc>
        <w:tc>
          <w:tcPr>
            <w:tcW w:w="1657"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37</w:t>
            </w:r>
          </w:p>
        </w:tc>
        <w:tc>
          <w:tcPr>
            <w:tcW w:w="1620" w:type="dxa"/>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9</w:t>
            </w:r>
          </w:p>
        </w:tc>
      </w:tr>
      <w:tr w:rsidR="00730545" w:rsidRPr="00961F16" w:rsidTr="00730545">
        <w:trPr>
          <w:jc w:val="center"/>
        </w:trPr>
        <w:tc>
          <w:tcPr>
            <w:tcW w:w="1188"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2013</w:t>
            </w:r>
          </w:p>
        </w:tc>
        <w:tc>
          <w:tcPr>
            <w:tcW w:w="2520"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57</w:t>
            </w:r>
          </w:p>
        </w:tc>
        <w:tc>
          <w:tcPr>
            <w:tcW w:w="1980"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8</w:t>
            </w:r>
          </w:p>
        </w:tc>
        <w:tc>
          <w:tcPr>
            <w:tcW w:w="1657"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 </w:t>
            </w:r>
          </w:p>
        </w:tc>
        <w:tc>
          <w:tcPr>
            <w:tcW w:w="1620" w:type="dxa"/>
            <w:tcBorders>
              <w:top w:val="nil"/>
              <w:left w:val="nil"/>
              <w:bottom w:val="single" w:sz="8" w:space="0" w:color="auto"/>
              <w:right w:val="nil"/>
            </w:tcBorders>
            <w:tcMar>
              <w:top w:w="0" w:type="dxa"/>
              <w:left w:w="108" w:type="dxa"/>
              <w:bottom w:w="0" w:type="dxa"/>
              <w:right w:w="108" w:type="dxa"/>
            </w:tcMar>
            <w:hideMark/>
          </w:tcPr>
          <w:p w:rsidR="00730545" w:rsidRPr="00961F16" w:rsidRDefault="00730545" w:rsidP="00961F16">
            <w:pPr>
              <w:tabs>
                <w:tab w:val="left" w:pos="540"/>
                <w:tab w:val="left" w:pos="900"/>
              </w:tabs>
              <w:spacing w:after="0" w:line="276" w:lineRule="auto"/>
              <w:jc w:val="both"/>
              <w:rPr>
                <w:rFonts w:ascii="Arial" w:hAnsi="Arial" w:cs="Arial"/>
                <w:bCs/>
                <w:color w:val="000000"/>
                <w:sz w:val="18"/>
                <w:szCs w:val="18"/>
              </w:rPr>
            </w:pPr>
            <w:r w:rsidRPr="00961F16">
              <w:rPr>
                <w:rFonts w:ascii="Arial" w:hAnsi="Arial" w:cs="Arial"/>
                <w:bCs/>
                <w:color w:val="000000"/>
                <w:sz w:val="18"/>
                <w:szCs w:val="18"/>
              </w:rPr>
              <w:t> </w:t>
            </w:r>
          </w:p>
        </w:tc>
      </w:tr>
    </w:tbl>
    <w:p w:rsidR="00730545" w:rsidRPr="00961F16" w:rsidRDefault="00730545" w:rsidP="00961F16">
      <w:pPr>
        <w:tabs>
          <w:tab w:val="left" w:pos="540"/>
          <w:tab w:val="left" w:pos="900"/>
        </w:tabs>
        <w:spacing w:after="0" w:line="276" w:lineRule="auto"/>
        <w:jc w:val="both"/>
        <w:rPr>
          <w:rFonts w:ascii="Arial" w:hAnsi="Arial" w:cs="Arial"/>
          <w:bCs/>
          <w:color w:val="000000"/>
          <w:sz w:val="20"/>
          <w:szCs w:val="20"/>
        </w:rPr>
      </w:pPr>
    </w:p>
    <w:p w:rsidR="00730545" w:rsidRPr="00961F16" w:rsidRDefault="00730545" w:rsidP="00961F16">
      <w:pPr>
        <w:tabs>
          <w:tab w:val="left" w:pos="540"/>
          <w:tab w:val="left" w:pos="900"/>
        </w:tabs>
        <w:spacing w:after="0" w:line="276" w:lineRule="auto"/>
        <w:jc w:val="both"/>
        <w:rPr>
          <w:rFonts w:ascii="Arial" w:hAnsi="Arial" w:cs="Arial"/>
          <w:sz w:val="20"/>
          <w:szCs w:val="20"/>
          <w:lang w:eastAsia="sl-SI"/>
        </w:rPr>
      </w:pPr>
      <w:r w:rsidRPr="00961F16">
        <w:rPr>
          <w:rFonts w:ascii="Arial" w:hAnsi="Arial" w:cs="Arial"/>
          <w:bCs/>
          <w:color w:val="000000"/>
          <w:sz w:val="20"/>
          <w:szCs w:val="20"/>
        </w:rPr>
        <w:t xml:space="preserve">Medtem ko je ZPIZ-1 omogočal tri različne kombinacije starosti in pokojninske/zavarovalne dobe, na podlagi katerih so zavarovanci lahko pridobili starostno pokojnino, pa je </w:t>
      </w:r>
      <w:r w:rsidRPr="00961F16">
        <w:rPr>
          <w:rFonts w:ascii="Arial" w:hAnsi="Arial" w:cs="Arial"/>
          <w:b/>
          <w:bCs/>
          <w:color w:val="000000"/>
          <w:sz w:val="20"/>
          <w:szCs w:val="20"/>
          <w:u w:val="single"/>
        </w:rPr>
        <w:t>ZPIZ-2</w:t>
      </w:r>
      <w:r w:rsidRPr="00961F16">
        <w:rPr>
          <w:rFonts w:ascii="Arial" w:hAnsi="Arial" w:cs="Arial"/>
          <w:bCs/>
          <w:color w:val="000000"/>
          <w:sz w:val="20"/>
          <w:szCs w:val="20"/>
        </w:rPr>
        <w:t xml:space="preserve"> tri različne kombinacije ohranil le še v okviru prehodnih obdobij, po poteku le-teh pa predpisuje dve kombinaciji starostnega upokojevanja. </w:t>
      </w:r>
      <w:r w:rsidR="00961F16">
        <w:rPr>
          <w:rFonts w:ascii="Arial" w:hAnsi="Arial" w:cs="Arial"/>
          <w:bCs/>
          <w:color w:val="000000"/>
          <w:sz w:val="20"/>
          <w:szCs w:val="20"/>
        </w:rPr>
        <w:t>Z</w:t>
      </w:r>
      <w:r w:rsidR="00961F16" w:rsidRPr="00961F16">
        <w:rPr>
          <w:rFonts w:ascii="Arial" w:hAnsi="Arial" w:cs="Arial"/>
          <w:sz w:val="20"/>
          <w:szCs w:val="20"/>
          <w:lang w:val="x-none" w:eastAsia="sl-SI"/>
        </w:rPr>
        <w:t>avarovanec</w:t>
      </w:r>
      <w:r w:rsidRPr="00961F16">
        <w:rPr>
          <w:rFonts w:ascii="Arial" w:hAnsi="Arial" w:cs="Arial"/>
          <w:sz w:val="20"/>
          <w:szCs w:val="20"/>
          <w:lang w:val="x-none" w:eastAsia="sl-SI"/>
        </w:rPr>
        <w:t xml:space="preserve"> (moški in ženska) </w:t>
      </w:r>
      <w:r w:rsidRPr="00961F16">
        <w:rPr>
          <w:rFonts w:ascii="Arial" w:hAnsi="Arial" w:cs="Arial"/>
          <w:sz w:val="20"/>
          <w:szCs w:val="20"/>
          <w:lang w:eastAsia="sl-SI"/>
        </w:rPr>
        <w:t xml:space="preserve">tako lahko </w:t>
      </w:r>
      <w:r w:rsidRPr="00961F16">
        <w:rPr>
          <w:rFonts w:ascii="Arial" w:hAnsi="Arial" w:cs="Arial"/>
          <w:sz w:val="20"/>
          <w:szCs w:val="20"/>
          <w:lang w:val="x-none" w:eastAsia="sl-SI"/>
        </w:rPr>
        <w:t>pridobi pravico do starostne pokojnine pri starosti 65 let, če dopolni najmanj 15 let zavarovalne dobe, pri čemer se je starost</w:t>
      </w:r>
      <w:r w:rsidRPr="00961F16">
        <w:rPr>
          <w:rFonts w:ascii="Arial" w:hAnsi="Arial" w:cs="Arial"/>
          <w:sz w:val="20"/>
          <w:szCs w:val="20"/>
          <w:lang w:eastAsia="sl-SI"/>
        </w:rPr>
        <w:t xml:space="preserve"> 65 let</w:t>
      </w:r>
      <w:r w:rsidRPr="00961F16">
        <w:rPr>
          <w:rFonts w:ascii="Arial" w:hAnsi="Arial" w:cs="Arial"/>
          <w:sz w:val="20"/>
          <w:szCs w:val="20"/>
          <w:lang w:val="x-none" w:eastAsia="sl-SI"/>
        </w:rPr>
        <w:t>, določena za ženske</w:t>
      </w:r>
      <w:r w:rsidRPr="00961F16">
        <w:rPr>
          <w:rFonts w:ascii="Arial" w:hAnsi="Arial" w:cs="Arial"/>
          <w:sz w:val="20"/>
          <w:szCs w:val="20"/>
          <w:lang w:eastAsia="sl-SI"/>
        </w:rPr>
        <w:t>,</w:t>
      </w:r>
      <w:r w:rsidRPr="00961F16">
        <w:rPr>
          <w:rFonts w:ascii="Arial" w:hAnsi="Arial" w:cs="Arial"/>
          <w:sz w:val="20"/>
          <w:szCs w:val="20"/>
          <w:lang w:val="x-none" w:eastAsia="sl-SI"/>
        </w:rPr>
        <w:t xml:space="preserve"> v obdobju od leta 2013 do leta 2015 </w:t>
      </w:r>
      <w:r w:rsidRPr="00961F16">
        <w:rPr>
          <w:rFonts w:ascii="Arial" w:hAnsi="Arial" w:cs="Arial"/>
          <w:sz w:val="20"/>
          <w:szCs w:val="20"/>
          <w:lang w:eastAsia="sl-SI"/>
        </w:rPr>
        <w:t xml:space="preserve">zviševala postopoma. </w:t>
      </w:r>
    </w:p>
    <w:p w:rsidR="00730545" w:rsidRDefault="00730545" w:rsidP="00961F16">
      <w:pPr>
        <w:spacing w:after="0" w:line="276" w:lineRule="auto"/>
        <w:jc w:val="both"/>
        <w:rPr>
          <w:rFonts w:ascii="Arial" w:hAnsi="Arial" w:cs="Arial"/>
          <w:sz w:val="20"/>
          <w:szCs w:val="20"/>
          <w:lang w:eastAsia="sl-SI"/>
        </w:rPr>
      </w:pPr>
    </w:p>
    <w:p w:rsidR="00E0273F" w:rsidRDefault="00E0273F" w:rsidP="00961F16">
      <w:pPr>
        <w:spacing w:after="0" w:line="276" w:lineRule="auto"/>
        <w:jc w:val="both"/>
        <w:rPr>
          <w:rFonts w:ascii="Arial" w:hAnsi="Arial" w:cs="Arial"/>
          <w:sz w:val="20"/>
          <w:szCs w:val="20"/>
          <w:lang w:eastAsia="sl-SI"/>
        </w:rPr>
      </w:pPr>
    </w:p>
    <w:p w:rsidR="00E0273F" w:rsidRDefault="00E0273F" w:rsidP="00961F16">
      <w:pPr>
        <w:spacing w:after="0" w:line="276" w:lineRule="auto"/>
        <w:jc w:val="both"/>
        <w:rPr>
          <w:rFonts w:ascii="Arial" w:hAnsi="Arial" w:cs="Arial"/>
          <w:sz w:val="20"/>
          <w:szCs w:val="20"/>
          <w:lang w:eastAsia="sl-SI"/>
        </w:rPr>
      </w:pPr>
    </w:p>
    <w:p w:rsidR="00E0273F" w:rsidRDefault="00E0273F" w:rsidP="00961F16">
      <w:pPr>
        <w:spacing w:after="0" w:line="276" w:lineRule="auto"/>
        <w:jc w:val="both"/>
        <w:rPr>
          <w:rFonts w:ascii="Arial" w:hAnsi="Arial" w:cs="Arial"/>
          <w:sz w:val="20"/>
          <w:szCs w:val="20"/>
          <w:lang w:eastAsia="sl-SI"/>
        </w:rPr>
      </w:pPr>
    </w:p>
    <w:p w:rsidR="00E0273F" w:rsidRDefault="00E0273F" w:rsidP="00961F16">
      <w:pPr>
        <w:spacing w:after="0" w:line="276" w:lineRule="auto"/>
        <w:jc w:val="both"/>
        <w:rPr>
          <w:rFonts w:ascii="Arial" w:hAnsi="Arial" w:cs="Arial"/>
          <w:sz w:val="20"/>
          <w:szCs w:val="20"/>
          <w:lang w:eastAsia="sl-SI"/>
        </w:rPr>
      </w:pPr>
    </w:p>
    <w:p w:rsidR="00E0273F" w:rsidRPr="00961F16" w:rsidRDefault="00E0273F" w:rsidP="00961F16">
      <w:pPr>
        <w:spacing w:after="0" w:line="276" w:lineRule="auto"/>
        <w:jc w:val="both"/>
        <w:rPr>
          <w:rFonts w:ascii="Arial" w:hAnsi="Arial" w:cs="Arial"/>
          <w:sz w:val="20"/>
          <w:szCs w:val="20"/>
          <w:lang w:eastAsia="sl-SI"/>
        </w:rPr>
      </w:pPr>
    </w:p>
    <w:p w:rsidR="00730545" w:rsidRPr="00961F16" w:rsidRDefault="00730545" w:rsidP="00961F16">
      <w:pPr>
        <w:spacing w:after="0" w:line="276" w:lineRule="auto"/>
        <w:jc w:val="both"/>
        <w:rPr>
          <w:rFonts w:ascii="Arial" w:hAnsi="Arial" w:cs="Arial"/>
          <w:sz w:val="20"/>
          <w:szCs w:val="20"/>
          <w:lang w:val="x-none" w:eastAsia="sl-SI"/>
        </w:rPr>
      </w:pPr>
      <w:r w:rsidRPr="00961F16">
        <w:rPr>
          <w:rFonts w:ascii="Arial" w:hAnsi="Arial" w:cs="Arial"/>
          <w:sz w:val="20"/>
          <w:szCs w:val="20"/>
          <w:lang w:val="x-none" w:eastAsia="sl-SI"/>
        </w:rPr>
        <w:lastRenderedPageBreak/>
        <w:t xml:space="preserve">V obdobju od 1. januarja 2013 do 31. decembra 2019 </w:t>
      </w:r>
      <w:r w:rsidRPr="00961F16">
        <w:rPr>
          <w:rFonts w:ascii="Arial" w:hAnsi="Arial" w:cs="Arial"/>
          <w:sz w:val="20"/>
          <w:szCs w:val="20"/>
          <w:lang w:eastAsia="sl-SI"/>
        </w:rPr>
        <w:t xml:space="preserve">lahko </w:t>
      </w:r>
      <w:r w:rsidRPr="00961F16">
        <w:rPr>
          <w:rFonts w:ascii="Arial" w:hAnsi="Arial" w:cs="Arial"/>
          <w:sz w:val="20"/>
          <w:szCs w:val="20"/>
          <w:lang w:val="x-none" w:eastAsia="sl-SI"/>
        </w:rPr>
        <w:t>zavarovanec (moški in ženska</w:t>
      </w:r>
      <w:r w:rsidRPr="00961F16">
        <w:rPr>
          <w:rFonts w:ascii="Arial" w:hAnsi="Arial" w:cs="Arial"/>
          <w:sz w:val="20"/>
          <w:szCs w:val="20"/>
          <w:lang w:eastAsia="sl-SI"/>
        </w:rPr>
        <w:t xml:space="preserve">) </w:t>
      </w:r>
      <w:r w:rsidRPr="00961F16">
        <w:rPr>
          <w:rFonts w:ascii="Arial" w:hAnsi="Arial" w:cs="Arial"/>
          <w:sz w:val="20"/>
          <w:szCs w:val="20"/>
          <w:lang w:val="x-none" w:eastAsia="sl-SI"/>
        </w:rPr>
        <w:t>pridobi pravico do starostne pokojnine</w:t>
      </w:r>
      <w:r w:rsidRPr="00961F16">
        <w:rPr>
          <w:rFonts w:ascii="Arial" w:hAnsi="Arial" w:cs="Arial"/>
          <w:sz w:val="20"/>
          <w:szCs w:val="20"/>
          <w:lang w:eastAsia="sl-SI"/>
        </w:rPr>
        <w:t xml:space="preserve"> tudi, če</w:t>
      </w:r>
      <w:r w:rsidRPr="00961F16">
        <w:rPr>
          <w:rFonts w:ascii="Arial" w:hAnsi="Arial" w:cs="Arial"/>
          <w:sz w:val="20"/>
          <w:szCs w:val="20"/>
          <w:lang w:val="x-none" w:eastAsia="sl-SI"/>
        </w:rPr>
        <w:t xml:space="preserve"> dopolni 20 let pokojninske dobe in naslednjo starost:</w:t>
      </w:r>
    </w:p>
    <w:p w:rsidR="00730545" w:rsidRPr="00961F16" w:rsidRDefault="00730545" w:rsidP="00961F16">
      <w:pPr>
        <w:spacing w:after="0" w:line="276" w:lineRule="auto"/>
        <w:jc w:val="both"/>
        <w:rPr>
          <w:rFonts w:ascii="Arial" w:hAnsi="Arial" w:cs="Arial"/>
          <w:sz w:val="20"/>
          <w:szCs w:val="20"/>
          <w:lang w:eastAsia="sl-SI"/>
        </w:rPr>
      </w:pPr>
    </w:p>
    <w:tbl>
      <w:tblPr>
        <w:tblW w:w="0" w:type="auto"/>
        <w:jc w:val="center"/>
        <w:tblCellMar>
          <w:left w:w="0" w:type="dxa"/>
          <w:right w:w="0" w:type="dxa"/>
        </w:tblCellMar>
        <w:tblLook w:val="04A0" w:firstRow="1" w:lastRow="0" w:firstColumn="1" w:lastColumn="0" w:noHBand="0" w:noVBand="1"/>
      </w:tblPr>
      <w:tblGrid>
        <w:gridCol w:w="1020"/>
        <w:gridCol w:w="908"/>
        <w:gridCol w:w="907"/>
        <w:gridCol w:w="907"/>
        <w:gridCol w:w="907"/>
      </w:tblGrid>
      <w:tr w:rsidR="00730545" w:rsidRPr="00961F16" w:rsidTr="00730545">
        <w:trPr>
          <w:trHeight w:val="60"/>
          <w:jc w:val="center"/>
        </w:trPr>
        <w:tc>
          <w:tcPr>
            <w:tcW w:w="1020" w:type="dxa"/>
            <w:vMerge w:val="restart"/>
            <w:tcBorders>
              <w:top w:val="single" w:sz="8" w:space="0" w:color="000000"/>
              <w:left w:val="single" w:sz="8" w:space="0" w:color="000000"/>
              <w:bottom w:val="single" w:sz="8" w:space="0" w:color="000000"/>
              <w:right w:val="single" w:sz="8" w:space="0" w:color="000000"/>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Leto</w:t>
            </w:r>
          </w:p>
        </w:tc>
        <w:tc>
          <w:tcPr>
            <w:tcW w:w="3629" w:type="dxa"/>
            <w:gridSpan w:val="4"/>
            <w:tcBorders>
              <w:top w:val="single" w:sz="8" w:space="0" w:color="auto"/>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Starost</w:t>
            </w:r>
          </w:p>
        </w:tc>
      </w:tr>
      <w:tr w:rsidR="00730545" w:rsidRPr="00961F16" w:rsidTr="00730545">
        <w:trPr>
          <w:trHeight w:val="6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0545" w:rsidRPr="00961F16" w:rsidRDefault="00730545" w:rsidP="00961F16">
            <w:pPr>
              <w:spacing w:after="0" w:line="276" w:lineRule="auto"/>
              <w:rPr>
                <w:rFonts w:ascii="Arial" w:hAnsi="Arial" w:cs="Arial"/>
                <w:sz w:val="18"/>
                <w:szCs w:val="18"/>
                <w:lang w:eastAsia="sl-SI"/>
              </w:rPr>
            </w:pPr>
          </w:p>
        </w:tc>
        <w:tc>
          <w:tcPr>
            <w:tcW w:w="1815" w:type="dxa"/>
            <w:gridSpan w:val="2"/>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Moški</w:t>
            </w:r>
          </w:p>
        </w:tc>
        <w:tc>
          <w:tcPr>
            <w:tcW w:w="1814" w:type="dxa"/>
            <w:gridSpan w:val="2"/>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Ženska</w:t>
            </w:r>
          </w:p>
        </w:tc>
      </w:tr>
      <w:tr w:rsidR="00730545" w:rsidRPr="00961F16" w:rsidTr="00730545">
        <w:trPr>
          <w:trHeight w:val="6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0545" w:rsidRPr="00961F16" w:rsidRDefault="00730545" w:rsidP="00961F16">
            <w:pPr>
              <w:spacing w:after="0" w:line="276" w:lineRule="auto"/>
              <w:rPr>
                <w:rFonts w:ascii="Arial" w:hAnsi="Arial" w:cs="Arial"/>
                <w:sz w:val="18"/>
                <w:szCs w:val="18"/>
                <w:lang w:eastAsia="sl-SI"/>
              </w:rPr>
            </w:pPr>
          </w:p>
        </w:tc>
        <w:tc>
          <w:tcPr>
            <w:tcW w:w="908"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Leta</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Meseci</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Leta</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Meseci</w:t>
            </w:r>
          </w:p>
        </w:tc>
      </w:tr>
      <w:tr w:rsidR="00730545" w:rsidRPr="00961F16" w:rsidTr="00730545">
        <w:trPr>
          <w:trHeight w:val="60"/>
          <w:jc w:val="center"/>
        </w:trPr>
        <w:tc>
          <w:tcPr>
            <w:tcW w:w="1020" w:type="dxa"/>
            <w:tcBorders>
              <w:top w:val="nil"/>
              <w:left w:val="single" w:sz="8" w:space="0" w:color="auto"/>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2013</w:t>
            </w:r>
          </w:p>
        </w:tc>
        <w:tc>
          <w:tcPr>
            <w:tcW w:w="908"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63</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61</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w:t>
            </w:r>
          </w:p>
        </w:tc>
      </w:tr>
      <w:tr w:rsidR="00730545" w:rsidRPr="00961F16" w:rsidTr="00730545">
        <w:trPr>
          <w:trHeight w:val="60"/>
          <w:jc w:val="center"/>
        </w:trPr>
        <w:tc>
          <w:tcPr>
            <w:tcW w:w="1020" w:type="dxa"/>
            <w:tcBorders>
              <w:top w:val="nil"/>
              <w:left w:val="single" w:sz="8" w:space="0" w:color="auto"/>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2014</w:t>
            </w:r>
          </w:p>
        </w:tc>
        <w:tc>
          <w:tcPr>
            <w:tcW w:w="908"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64</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0</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62</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0</w:t>
            </w:r>
          </w:p>
        </w:tc>
      </w:tr>
      <w:tr w:rsidR="00730545" w:rsidRPr="00961F16" w:rsidTr="00730545">
        <w:trPr>
          <w:trHeight w:val="60"/>
          <w:jc w:val="center"/>
        </w:trPr>
        <w:tc>
          <w:tcPr>
            <w:tcW w:w="1020" w:type="dxa"/>
            <w:tcBorders>
              <w:top w:val="nil"/>
              <w:left w:val="single" w:sz="8" w:space="0" w:color="auto"/>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2015</w:t>
            </w:r>
          </w:p>
        </w:tc>
        <w:tc>
          <w:tcPr>
            <w:tcW w:w="908"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64</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62</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w:t>
            </w:r>
          </w:p>
        </w:tc>
      </w:tr>
      <w:tr w:rsidR="00730545" w:rsidRPr="00961F16" w:rsidTr="00730545">
        <w:trPr>
          <w:trHeight w:val="60"/>
          <w:jc w:val="center"/>
        </w:trPr>
        <w:tc>
          <w:tcPr>
            <w:tcW w:w="1020" w:type="dxa"/>
            <w:tcBorders>
              <w:top w:val="nil"/>
              <w:left w:val="single" w:sz="8" w:space="0" w:color="auto"/>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2016</w:t>
            </w:r>
          </w:p>
        </w:tc>
        <w:tc>
          <w:tcPr>
            <w:tcW w:w="908"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 </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 </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63</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0</w:t>
            </w:r>
          </w:p>
        </w:tc>
      </w:tr>
      <w:tr w:rsidR="00730545" w:rsidRPr="00961F16" w:rsidTr="00730545">
        <w:trPr>
          <w:trHeight w:val="60"/>
          <w:jc w:val="center"/>
        </w:trPr>
        <w:tc>
          <w:tcPr>
            <w:tcW w:w="1020" w:type="dxa"/>
            <w:tcBorders>
              <w:top w:val="nil"/>
              <w:left w:val="single" w:sz="8" w:space="0" w:color="auto"/>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2017</w:t>
            </w:r>
          </w:p>
        </w:tc>
        <w:tc>
          <w:tcPr>
            <w:tcW w:w="908"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 </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 </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63</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w:t>
            </w:r>
          </w:p>
        </w:tc>
      </w:tr>
      <w:tr w:rsidR="00730545" w:rsidRPr="00961F16" w:rsidTr="00730545">
        <w:trPr>
          <w:trHeight w:val="60"/>
          <w:jc w:val="center"/>
        </w:trPr>
        <w:tc>
          <w:tcPr>
            <w:tcW w:w="1020" w:type="dxa"/>
            <w:tcBorders>
              <w:top w:val="nil"/>
              <w:left w:val="single" w:sz="8" w:space="0" w:color="auto"/>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2018</w:t>
            </w:r>
          </w:p>
        </w:tc>
        <w:tc>
          <w:tcPr>
            <w:tcW w:w="908"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 </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 </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64</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0</w:t>
            </w:r>
          </w:p>
        </w:tc>
      </w:tr>
      <w:tr w:rsidR="00730545" w:rsidRPr="00961F16" w:rsidTr="00730545">
        <w:trPr>
          <w:trHeight w:val="60"/>
          <w:jc w:val="center"/>
        </w:trPr>
        <w:tc>
          <w:tcPr>
            <w:tcW w:w="1020" w:type="dxa"/>
            <w:tcBorders>
              <w:top w:val="nil"/>
              <w:left w:val="single" w:sz="8" w:space="0" w:color="auto"/>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2019</w:t>
            </w:r>
          </w:p>
        </w:tc>
        <w:tc>
          <w:tcPr>
            <w:tcW w:w="908"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 </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 </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64</w:t>
            </w:r>
          </w:p>
        </w:tc>
        <w:tc>
          <w:tcPr>
            <w:tcW w:w="907" w:type="dxa"/>
            <w:tcBorders>
              <w:top w:val="nil"/>
              <w:left w:val="nil"/>
              <w:bottom w:val="single" w:sz="8" w:space="0" w:color="auto"/>
              <w:right w:val="single" w:sz="8" w:space="0" w:color="auto"/>
            </w:tcBorders>
            <w:tcMar>
              <w:top w:w="128" w:type="dxa"/>
              <w:left w:w="85" w:type="dxa"/>
              <w:bottom w:w="128" w:type="dxa"/>
              <w:right w:w="85" w:type="dxa"/>
            </w:tcMar>
            <w:vAlign w:val="center"/>
            <w:hideMark/>
          </w:tcPr>
          <w:p w:rsidR="00730545" w:rsidRPr="00961F16" w:rsidRDefault="00730545" w:rsidP="00961F16">
            <w:pPr>
              <w:spacing w:after="0" w:line="276" w:lineRule="auto"/>
              <w:jc w:val="both"/>
              <w:rPr>
                <w:rFonts w:ascii="Arial" w:hAnsi="Arial" w:cs="Arial"/>
                <w:sz w:val="18"/>
                <w:szCs w:val="18"/>
                <w:lang w:eastAsia="sl-SI"/>
              </w:rPr>
            </w:pPr>
            <w:r w:rsidRPr="00961F16">
              <w:rPr>
                <w:rFonts w:ascii="Arial" w:hAnsi="Arial" w:cs="Arial"/>
                <w:sz w:val="18"/>
                <w:szCs w:val="18"/>
                <w:lang w:eastAsia="sl-SI"/>
              </w:rPr>
              <w:t>6</w:t>
            </w:r>
          </w:p>
        </w:tc>
      </w:tr>
    </w:tbl>
    <w:p w:rsidR="00730545" w:rsidRPr="00961F16" w:rsidRDefault="00730545" w:rsidP="00961F16">
      <w:pPr>
        <w:spacing w:after="0" w:line="276" w:lineRule="auto"/>
        <w:jc w:val="both"/>
        <w:rPr>
          <w:rFonts w:ascii="Arial" w:hAnsi="Arial" w:cs="Arial"/>
          <w:sz w:val="20"/>
          <w:szCs w:val="20"/>
          <w:lang w:eastAsia="sl-SI"/>
        </w:rPr>
      </w:pPr>
    </w:p>
    <w:p w:rsidR="00730545" w:rsidRPr="00961F16" w:rsidRDefault="00730545" w:rsidP="00961F16">
      <w:pPr>
        <w:spacing w:after="0" w:line="276" w:lineRule="auto"/>
        <w:jc w:val="both"/>
        <w:rPr>
          <w:rFonts w:ascii="Arial" w:hAnsi="Arial" w:cs="Arial"/>
          <w:sz w:val="20"/>
          <w:szCs w:val="20"/>
          <w:lang w:val="x-none" w:eastAsia="sl-SI"/>
        </w:rPr>
      </w:pPr>
      <w:r w:rsidRPr="00961F16">
        <w:rPr>
          <w:rFonts w:ascii="Arial" w:hAnsi="Arial" w:cs="Arial"/>
          <w:sz w:val="20"/>
          <w:szCs w:val="20"/>
          <w:lang w:eastAsia="sl-SI"/>
        </w:rPr>
        <w:t>P</w:t>
      </w:r>
      <w:r w:rsidRPr="00961F16">
        <w:rPr>
          <w:rFonts w:ascii="Arial" w:hAnsi="Arial" w:cs="Arial"/>
          <w:sz w:val="20"/>
          <w:szCs w:val="20"/>
          <w:lang w:val="x-none" w:eastAsia="sl-SI"/>
        </w:rPr>
        <w:t xml:space="preserve">ravico do starostne pokojnine </w:t>
      </w:r>
      <w:r w:rsidRPr="00961F16">
        <w:rPr>
          <w:rFonts w:ascii="Arial" w:hAnsi="Arial" w:cs="Arial"/>
          <w:sz w:val="20"/>
          <w:szCs w:val="20"/>
          <w:lang w:eastAsia="sl-SI"/>
        </w:rPr>
        <w:t xml:space="preserve">pa pridobi tudi </w:t>
      </w:r>
      <w:r w:rsidRPr="00961F16">
        <w:rPr>
          <w:rFonts w:ascii="Arial" w:hAnsi="Arial" w:cs="Arial"/>
          <w:sz w:val="20"/>
          <w:szCs w:val="20"/>
          <w:lang w:val="x-none" w:eastAsia="sl-SI"/>
        </w:rPr>
        <w:t xml:space="preserve">zavarovanec (moški in ženska), ki dopolni 60 let starosti in 40 let pokojninske dobe brez dokupa dobe, pri čemer se </w:t>
      </w:r>
      <w:r w:rsidRPr="00961F16">
        <w:rPr>
          <w:rFonts w:ascii="Arial" w:hAnsi="Arial" w:cs="Arial"/>
          <w:sz w:val="20"/>
          <w:szCs w:val="20"/>
          <w:lang w:eastAsia="sl-SI"/>
        </w:rPr>
        <w:t xml:space="preserve">je </w:t>
      </w:r>
      <w:r w:rsidRPr="00961F16">
        <w:rPr>
          <w:rFonts w:ascii="Arial" w:hAnsi="Arial" w:cs="Arial"/>
          <w:sz w:val="20"/>
          <w:szCs w:val="20"/>
          <w:lang w:val="x-none" w:eastAsia="sl-SI"/>
        </w:rPr>
        <w:t xml:space="preserve">v obdobju od uveljavitve </w:t>
      </w:r>
      <w:r w:rsidRPr="00961F16">
        <w:rPr>
          <w:rFonts w:ascii="Arial" w:hAnsi="Arial" w:cs="Arial"/>
          <w:sz w:val="20"/>
          <w:szCs w:val="20"/>
          <w:lang w:eastAsia="sl-SI"/>
        </w:rPr>
        <w:t>ZPIZ-2</w:t>
      </w:r>
      <w:r w:rsidRPr="00961F16">
        <w:rPr>
          <w:rFonts w:ascii="Arial" w:hAnsi="Arial" w:cs="Arial"/>
          <w:sz w:val="20"/>
          <w:szCs w:val="20"/>
          <w:lang w:val="x-none" w:eastAsia="sl-SI"/>
        </w:rPr>
        <w:t xml:space="preserve"> do 31. decembra 2018 starost zavarovanca (moški in ženska) in pokojninska doba zavarovanca (ženska) brez dokupa za pridobitev pravice do starostne pokojnine zviševala postopoma. </w:t>
      </w:r>
    </w:p>
    <w:p w:rsidR="00730545" w:rsidRPr="00961F16" w:rsidRDefault="00730545" w:rsidP="00961F16">
      <w:pPr>
        <w:spacing w:after="0" w:line="276" w:lineRule="auto"/>
        <w:jc w:val="both"/>
        <w:rPr>
          <w:rFonts w:ascii="Arial" w:hAnsi="Arial" w:cs="Arial"/>
          <w:sz w:val="20"/>
          <w:szCs w:val="20"/>
          <w:lang w:val="x-none" w:eastAsia="sl-SI"/>
        </w:rPr>
      </w:pPr>
    </w:p>
    <w:tbl>
      <w:tblPr>
        <w:tblW w:w="6370" w:type="dxa"/>
        <w:jc w:val="center"/>
        <w:tblCellMar>
          <w:left w:w="0" w:type="dxa"/>
          <w:right w:w="0" w:type="dxa"/>
        </w:tblCellMar>
        <w:tblLook w:val="04A0" w:firstRow="1" w:lastRow="0" w:firstColumn="1" w:lastColumn="0" w:noHBand="0" w:noVBand="1"/>
      </w:tblPr>
      <w:tblGrid>
        <w:gridCol w:w="1101"/>
        <w:gridCol w:w="1514"/>
        <w:gridCol w:w="1517"/>
        <w:gridCol w:w="2238"/>
      </w:tblGrid>
      <w:tr w:rsidR="00730545" w:rsidRPr="00961F16" w:rsidTr="00730545">
        <w:trPr>
          <w:trHeight w:val="509"/>
          <w:jc w:val="center"/>
        </w:trPr>
        <w:tc>
          <w:tcPr>
            <w:tcW w:w="1101" w:type="dxa"/>
            <w:vMerge w:val="restart"/>
            <w:tcBorders>
              <w:top w:val="single" w:sz="8" w:space="0" w:color="000000"/>
              <w:left w:val="single" w:sz="8" w:space="0" w:color="000000"/>
              <w:bottom w:val="single" w:sz="8" w:space="0" w:color="000000"/>
              <w:right w:val="single" w:sz="8" w:space="0" w:color="000000"/>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Leto</w:t>
            </w:r>
          </w:p>
        </w:tc>
        <w:tc>
          <w:tcPr>
            <w:tcW w:w="3031" w:type="dxa"/>
            <w:gridSpan w:val="2"/>
            <w:tcBorders>
              <w:top w:val="single" w:sz="8" w:space="0" w:color="auto"/>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Starost</w:t>
            </w:r>
          </w:p>
        </w:tc>
        <w:tc>
          <w:tcPr>
            <w:tcW w:w="2238" w:type="dxa"/>
            <w:tcBorders>
              <w:top w:val="single" w:sz="8" w:space="0" w:color="auto"/>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Pokojninska</w:t>
            </w:r>
          </w:p>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doba brez dokupa (ženska)</w:t>
            </w:r>
          </w:p>
        </w:tc>
      </w:tr>
      <w:tr w:rsidR="00730545" w:rsidRPr="00961F16" w:rsidTr="00730545">
        <w:trPr>
          <w:trHeight w:val="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0545" w:rsidRPr="00961F16" w:rsidRDefault="00730545" w:rsidP="00961F16">
            <w:pPr>
              <w:spacing w:after="0" w:line="276" w:lineRule="auto"/>
              <w:rPr>
                <w:rFonts w:ascii="Arial" w:hAnsi="Arial" w:cs="Arial"/>
                <w:color w:val="000000"/>
                <w:sz w:val="18"/>
                <w:szCs w:val="18"/>
                <w:lang w:eastAsia="sl-SI"/>
              </w:rPr>
            </w:pPr>
          </w:p>
        </w:tc>
        <w:tc>
          <w:tcPr>
            <w:tcW w:w="1514"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Moški</w:t>
            </w:r>
          </w:p>
        </w:tc>
        <w:tc>
          <w:tcPr>
            <w:tcW w:w="3755" w:type="dxa"/>
            <w:gridSpan w:val="2"/>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Ženska</w:t>
            </w:r>
          </w:p>
        </w:tc>
      </w:tr>
      <w:tr w:rsidR="00730545" w:rsidRPr="00961F16" w:rsidTr="00730545">
        <w:trPr>
          <w:trHeight w:val="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0545" w:rsidRPr="00961F16" w:rsidRDefault="00730545" w:rsidP="00961F16">
            <w:pPr>
              <w:spacing w:after="0" w:line="276" w:lineRule="auto"/>
              <w:rPr>
                <w:rFonts w:ascii="Arial" w:hAnsi="Arial" w:cs="Arial"/>
                <w:color w:val="000000"/>
                <w:sz w:val="18"/>
                <w:szCs w:val="18"/>
                <w:lang w:eastAsia="sl-SI"/>
              </w:rPr>
            </w:pPr>
          </w:p>
        </w:tc>
        <w:tc>
          <w:tcPr>
            <w:tcW w:w="1514"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Leta Meseci</w:t>
            </w:r>
          </w:p>
        </w:tc>
        <w:tc>
          <w:tcPr>
            <w:tcW w:w="1516"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Leta Meseci</w:t>
            </w:r>
          </w:p>
        </w:tc>
        <w:tc>
          <w:tcPr>
            <w:tcW w:w="2238"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Leta Meseci</w:t>
            </w:r>
          </w:p>
        </w:tc>
      </w:tr>
      <w:tr w:rsidR="00730545" w:rsidRPr="00961F16" w:rsidTr="00730545">
        <w:trPr>
          <w:trHeight w:val="34"/>
          <w:jc w:val="center"/>
        </w:trPr>
        <w:tc>
          <w:tcPr>
            <w:tcW w:w="1101" w:type="dxa"/>
            <w:tcBorders>
              <w:top w:val="nil"/>
              <w:left w:val="single" w:sz="8" w:space="0" w:color="auto"/>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2013</w:t>
            </w:r>
          </w:p>
        </w:tc>
        <w:tc>
          <w:tcPr>
            <w:tcW w:w="1514"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58 4</w:t>
            </w:r>
          </w:p>
        </w:tc>
        <w:tc>
          <w:tcPr>
            <w:tcW w:w="1516"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58 0</w:t>
            </w:r>
          </w:p>
        </w:tc>
        <w:tc>
          <w:tcPr>
            <w:tcW w:w="2238"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38 4</w:t>
            </w:r>
          </w:p>
        </w:tc>
      </w:tr>
      <w:tr w:rsidR="00730545" w:rsidRPr="00961F16" w:rsidTr="00730545">
        <w:trPr>
          <w:trHeight w:val="34"/>
          <w:jc w:val="center"/>
        </w:trPr>
        <w:tc>
          <w:tcPr>
            <w:tcW w:w="1101" w:type="dxa"/>
            <w:tcBorders>
              <w:top w:val="nil"/>
              <w:left w:val="single" w:sz="8" w:space="0" w:color="auto"/>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2014</w:t>
            </w:r>
          </w:p>
        </w:tc>
        <w:tc>
          <w:tcPr>
            <w:tcW w:w="1514"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58 8</w:t>
            </w:r>
          </w:p>
        </w:tc>
        <w:tc>
          <w:tcPr>
            <w:tcW w:w="1516"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58 4</w:t>
            </w:r>
          </w:p>
        </w:tc>
        <w:tc>
          <w:tcPr>
            <w:tcW w:w="2238"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38 8</w:t>
            </w:r>
          </w:p>
        </w:tc>
      </w:tr>
      <w:tr w:rsidR="00730545" w:rsidRPr="00961F16" w:rsidTr="00730545">
        <w:trPr>
          <w:trHeight w:val="34"/>
          <w:jc w:val="center"/>
        </w:trPr>
        <w:tc>
          <w:tcPr>
            <w:tcW w:w="1101" w:type="dxa"/>
            <w:tcBorders>
              <w:top w:val="nil"/>
              <w:left w:val="single" w:sz="8" w:space="0" w:color="auto"/>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2015</w:t>
            </w:r>
          </w:p>
        </w:tc>
        <w:tc>
          <w:tcPr>
            <w:tcW w:w="1514"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59 0</w:t>
            </w:r>
          </w:p>
        </w:tc>
        <w:tc>
          <w:tcPr>
            <w:tcW w:w="1516"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58 8</w:t>
            </w:r>
          </w:p>
        </w:tc>
        <w:tc>
          <w:tcPr>
            <w:tcW w:w="2238"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39 0</w:t>
            </w:r>
          </w:p>
        </w:tc>
      </w:tr>
      <w:tr w:rsidR="00730545" w:rsidRPr="00961F16" w:rsidTr="00730545">
        <w:trPr>
          <w:trHeight w:val="34"/>
          <w:jc w:val="center"/>
        </w:trPr>
        <w:tc>
          <w:tcPr>
            <w:tcW w:w="1101" w:type="dxa"/>
            <w:tcBorders>
              <w:top w:val="nil"/>
              <w:left w:val="single" w:sz="8" w:space="0" w:color="auto"/>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2016</w:t>
            </w:r>
          </w:p>
        </w:tc>
        <w:tc>
          <w:tcPr>
            <w:tcW w:w="1514"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59 4</w:t>
            </w:r>
          </w:p>
        </w:tc>
        <w:tc>
          <w:tcPr>
            <w:tcW w:w="1516"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59 0</w:t>
            </w:r>
          </w:p>
        </w:tc>
        <w:tc>
          <w:tcPr>
            <w:tcW w:w="2238"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39 4</w:t>
            </w:r>
          </w:p>
        </w:tc>
      </w:tr>
      <w:tr w:rsidR="00730545" w:rsidRPr="00961F16" w:rsidTr="00730545">
        <w:trPr>
          <w:trHeight w:val="34"/>
          <w:jc w:val="center"/>
        </w:trPr>
        <w:tc>
          <w:tcPr>
            <w:tcW w:w="1101" w:type="dxa"/>
            <w:tcBorders>
              <w:top w:val="nil"/>
              <w:left w:val="single" w:sz="8" w:space="0" w:color="auto"/>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2017</w:t>
            </w:r>
          </w:p>
        </w:tc>
        <w:tc>
          <w:tcPr>
            <w:tcW w:w="1514"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59 8</w:t>
            </w:r>
          </w:p>
        </w:tc>
        <w:tc>
          <w:tcPr>
            <w:tcW w:w="1516"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59 4</w:t>
            </w:r>
          </w:p>
        </w:tc>
        <w:tc>
          <w:tcPr>
            <w:tcW w:w="2238"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39 8</w:t>
            </w:r>
          </w:p>
        </w:tc>
      </w:tr>
      <w:tr w:rsidR="00730545" w:rsidRPr="00961F16" w:rsidTr="00730545">
        <w:trPr>
          <w:trHeight w:val="27"/>
          <w:jc w:val="center"/>
        </w:trPr>
        <w:tc>
          <w:tcPr>
            <w:tcW w:w="1101" w:type="dxa"/>
            <w:tcBorders>
              <w:top w:val="nil"/>
              <w:left w:val="single" w:sz="8" w:space="0" w:color="auto"/>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2018</w:t>
            </w:r>
          </w:p>
        </w:tc>
        <w:tc>
          <w:tcPr>
            <w:tcW w:w="1514"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 </w:t>
            </w:r>
          </w:p>
        </w:tc>
        <w:tc>
          <w:tcPr>
            <w:tcW w:w="1516"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59 8</w:t>
            </w:r>
          </w:p>
        </w:tc>
        <w:tc>
          <w:tcPr>
            <w:tcW w:w="2238" w:type="dxa"/>
            <w:tcBorders>
              <w:top w:val="nil"/>
              <w:left w:val="nil"/>
              <w:bottom w:val="single" w:sz="8" w:space="0" w:color="auto"/>
              <w:right w:val="single" w:sz="8" w:space="0" w:color="auto"/>
            </w:tcBorders>
            <w:tcMar>
              <w:top w:w="128" w:type="dxa"/>
              <w:left w:w="57" w:type="dxa"/>
              <w:bottom w:w="128" w:type="dxa"/>
              <w:right w:w="57" w:type="dxa"/>
            </w:tcMar>
            <w:vAlign w:val="center"/>
            <w:hideMark/>
          </w:tcPr>
          <w:p w:rsidR="00730545" w:rsidRPr="00961F16" w:rsidRDefault="00730545" w:rsidP="00961F16">
            <w:pPr>
              <w:spacing w:after="0" w:line="276" w:lineRule="auto"/>
              <w:jc w:val="both"/>
              <w:rPr>
                <w:rFonts w:ascii="Arial" w:hAnsi="Arial" w:cs="Arial"/>
                <w:color w:val="000000"/>
                <w:sz w:val="18"/>
                <w:szCs w:val="18"/>
                <w:lang w:eastAsia="sl-SI"/>
              </w:rPr>
            </w:pPr>
            <w:r w:rsidRPr="00961F16">
              <w:rPr>
                <w:rFonts w:ascii="Arial" w:hAnsi="Arial" w:cs="Arial"/>
                <w:color w:val="000000"/>
                <w:sz w:val="18"/>
                <w:szCs w:val="18"/>
                <w:lang w:eastAsia="sl-SI"/>
              </w:rPr>
              <w:t> </w:t>
            </w:r>
          </w:p>
        </w:tc>
      </w:tr>
    </w:tbl>
    <w:p w:rsidR="00730545" w:rsidRDefault="00730545" w:rsidP="00730545">
      <w:pPr>
        <w:spacing w:after="0" w:line="260" w:lineRule="atLeast"/>
        <w:jc w:val="both"/>
        <w:rPr>
          <w:rFonts w:ascii="Arial" w:eastAsia="Times New Roman" w:hAnsi="Arial" w:cs="Arial"/>
          <w:color w:val="000000" w:themeColor="text1"/>
          <w:sz w:val="20"/>
          <w:szCs w:val="20"/>
          <w:lang w:eastAsia="sl-SI"/>
        </w:rPr>
      </w:pPr>
    </w:p>
    <w:p w:rsidR="00961F16" w:rsidRDefault="00961F16" w:rsidP="00961F16">
      <w:pPr>
        <w:pStyle w:val="Oddelek"/>
        <w:spacing w:before="0" w:line="276" w:lineRule="auto"/>
        <w:jc w:val="both"/>
        <w:rPr>
          <w:b/>
          <w:sz w:val="20"/>
          <w:szCs w:val="20"/>
          <w:u w:val="single"/>
        </w:rPr>
      </w:pPr>
      <w:bookmarkStart w:id="0" w:name="_GoBack"/>
      <w:bookmarkEnd w:id="0"/>
    </w:p>
    <w:p w:rsidR="00961F16" w:rsidRDefault="00961F16" w:rsidP="00961F16">
      <w:pPr>
        <w:pStyle w:val="Oddelek"/>
        <w:spacing w:before="0" w:line="276" w:lineRule="auto"/>
        <w:jc w:val="both"/>
        <w:rPr>
          <w:b/>
          <w:sz w:val="20"/>
          <w:szCs w:val="20"/>
          <w:u w:val="single"/>
        </w:rPr>
      </w:pPr>
    </w:p>
    <w:p w:rsidR="00961F16" w:rsidRDefault="00961F16" w:rsidP="00961F16">
      <w:pPr>
        <w:pStyle w:val="Oddelek"/>
        <w:spacing w:before="0" w:line="276" w:lineRule="auto"/>
        <w:jc w:val="both"/>
        <w:rPr>
          <w:sz w:val="20"/>
          <w:szCs w:val="20"/>
        </w:rPr>
      </w:pPr>
      <w:r w:rsidRPr="00961F16">
        <w:rPr>
          <w:b/>
          <w:sz w:val="20"/>
          <w:szCs w:val="20"/>
        </w:rPr>
        <w:t>2.</w:t>
      </w:r>
      <w:r w:rsidRPr="00961F16">
        <w:rPr>
          <w:bCs/>
          <w:sz w:val="20"/>
          <w:szCs w:val="20"/>
        </w:rPr>
        <w:tab/>
        <w:t>Glede vprašanja v zvezi s spremembami dejavnikov, ki vplivajo na višino pokojnine, število</w:t>
      </w:r>
      <w:r>
        <w:rPr>
          <w:bCs/>
          <w:sz w:val="20"/>
          <w:szCs w:val="20"/>
        </w:rPr>
        <w:t>m</w:t>
      </w:r>
      <w:r w:rsidRPr="00961F16">
        <w:rPr>
          <w:bCs/>
          <w:sz w:val="20"/>
          <w:szCs w:val="20"/>
        </w:rPr>
        <w:t xml:space="preserve"> let zavarovanja, ki so upoštevana pri izračunu pokojninske osnove</w:t>
      </w:r>
      <w:r w:rsidR="003D462F">
        <w:rPr>
          <w:bCs/>
          <w:sz w:val="20"/>
          <w:szCs w:val="20"/>
        </w:rPr>
        <w:t>,</w:t>
      </w:r>
      <w:r w:rsidRPr="00961F16">
        <w:rPr>
          <w:bCs/>
          <w:sz w:val="20"/>
          <w:szCs w:val="20"/>
        </w:rPr>
        <w:t xml:space="preserve"> in valorizacijskega količnika Vlada </w:t>
      </w:r>
      <w:r w:rsidRPr="00961F16">
        <w:rPr>
          <w:bCs/>
          <w:sz w:val="20"/>
          <w:szCs w:val="20"/>
        </w:rPr>
        <w:lastRenderedPageBreak/>
        <w:t>RS pojasnjuje, da se je skladu z</w:t>
      </w:r>
      <w:r w:rsidRPr="00961F16">
        <w:rPr>
          <w:b/>
          <w:sz w:val="20"/>
          <w:szCs w:val="20"/>
        </w:rPr>
        <w:t xml:space="preserve"> </w:t>
      </w:r>
      <w:r w:rsidRPr="00961F16">
        <w:rPr>
          <w:b/>
          <w:sz w:val="20"/>
          <w:szCs w:val="20"/>
          <w:u w:val="single"/>
        </w:rPr>
        <w:t>ZPIZ-92</w:t>
      </w:r>
      <w:r w:rsidRPr="00961F16">
        <w:rPr>
          <w:sz w:val="20"/>
          <w:szCs w:val="20"/>
        </w:rPr>
        <w:t xml:space="preserve"> starostna pokojnina odmerila od mesečnega povprečja plač, ki jih je zavarovanec prejel, oziroma od zavarovalnih osnov, od katerih so mu bili obračunani prispevki, v katerihkoli zaporednih desetih letih zavarovanja po 1. 1. 1970, ki so bila zanj najugodnejša. </w:t>
      </w:r>
    </w:p>
    <w:p w:rsidR="003D462F" w:rsidRPr="00961F16" w:rsidRDefault="003D462F" w:rsidP="00961F16">
      <w:pPr>
        <w:pStyle w:val="Oddelek"/>
        <w:spacing w:before="0" w:line="276" w:lineRule="auto"/>
        <w:jc w:val="both"/>
        <w:rPr>
          <w:sz w:val="20"/>
          <w:szCs w:val="20"/>
        </w:rPr>
      </w:pPr>
    </w:p>
    <w:p w:rsidR="00961F16" w:rsidRDefault="00961F16" w:rsidP="00961F16">
      <w:pPr>
        <w:pStyle w:val="Odstavek"/>
        <w:spacing w:before="0" w:line="276" w:lineRule="auto"/>
        <w:ind w:firstLine="0"/>
        <w:rPr>
          <w:rFonts w:cs="Arial"/>
          <w:sz w:val="20"/>
          <w:szCs w:val="20"/>
        </w:rPr>
      </w:pPr>
      <w:r w:rsidRPr="00961F16">
        <w:rPr>
          <w:rFonts w:cs="Arial"/>
          <w:sz w:val="20"/>
          <w:szCs w:val="20"/>
        </w:rPr>
        <w:t>Za izračun pokojninske osnove so se upoštevale plače oziroma osnove, od katerih so bili plačani prispevki, zmanjšane za davke in prispevke, ki se obračunavajo in plačujejo od plače po povprečni stopnji v RS. Povprečne stopnje davkov in prispevkov je določil predstojnik republiškega upravnega organa, pristojnega za finance.</w:t>
      </w:r>
    </w:p>
    <w:p w:rsidR="003D462F" w:rsidRPr="00961F16" w:rsidRDefault="003D462F" w:rsidP="00961F16">
      <w:pPr>
        <w:pStyle w:val="Odstavek"/>
        <w:spacing w:before="0" w:line="276" w:lineRule="auto"/>
        <w:ind w:firstLine="0"/>
        <w:rPr>
          <w:rFonts w:cs="Arial"/>
          <w:sz w:val="20"/>
          <w:szCs w:val="20"/>
        </w:rPr>
      </w:pPr>
    </w:p>
    <w:p w:rsidR="00961F16" w:rsidRPr="00961F16" w:rsidRDefault="00961F16" w:rsidP="00961F16">
      <w:pPr>
        <w:pStyle w:val="odstavek1"/>
        <w:spacing w:before="0" w:line="276" w:lineRule="auto"/>
        <w:ind w:firstLine="0"/>
        <w:rPr>
          <w:sz w:val="20"/>
          <w:szCs w:val="20"/>
        </w:rPr>
      </w:pPr>
      <w:r w:rsidRPr="00961F16">
        <w:rPr>
          <w:sz w:val="20"/>
          <w:szCs w:val="20"/>
        </w:rPr>
        <w:t xml:space="preserve">Plače iz prejšnjih let, ki so se upoštevale za ugotovitev pokojninske osnove, so se valorizirale s količniki, ki so se določili vsako leto tako, da se je primerjala povprečna plača vseh zaposlenih v RS v zadnjem koledarskem letu pred letom, v katerem je zavarovanec uveljavil pravico do pokojnine, s povprečnimi plačami na zaposlenega v RS v koledarskih letih, iz katerih so se upoštevale plače za izračun pokojninske osnove. Količnike je določil </w:t>
      </w:r>
      <w:r w:rsidR="003D462F">
        <w:rPr>
          <w:sz w:val="20"/>
          <w:szCs w:val="20"/>
        </w:rPr>
        <w:t>Z</w:t>
      </w:r>
      <w:r w:rsidRPr="00961F16">
        <w:rPr>
          <w:sz w:val="20"/>
          <w:szCs w:val="20"/>
        </w:rPr>
        <w:t>avod</w:t>
      </w:r>
      <w:r w:rsidR="003D462F">
        <w:rPr>
          <w:sz w:val="20"/>
          <w:szCs w:val="20"/>
        </w:rPr>
        <w:t xml:space="preserve"> za pokojninsko in invalidsko zavarovanje Slo</w:t>
      </w:r>
      <w:r w:rsidR="00AE16BE">
        <w:rPr>
          <w:sz w:val="20"/>
          <w:szCs w:val="20"/>
        </w:rPr>
        <w:t>venije (v nadaljnjem besedilu: Z</w:t>
      </w:r>
      <w:r w:rsidR="003D462F">
        <w:rPr>
          <w:sz w:val="20"/>
          <w:szCs w:val="20"/>
        </w:rPr>
        <w:t>avod)</w:t>
      </w:r>
      <w:r w:rsidRPr="00961F16">
        <w:rPr>
          <w:sz w:val="20"/>
          <w:szCs w:val="20"/>
        </w:rPr>
        <w:t xml:space="preserve"> in jih objavil v Uradnem listu RS.</w:t>
      </w:r>
    </w:p>
    <w:p w:rsidR="00961F16" w:rsidRPr="00961F16" w:rsidRDefault="00961F16" w:rsidP="00961F16">
      <w:pPr>
        <w:pStyle w:val="Oddelek"/>
        <w:spacing w:before="0" w:line="276" w:lineRule="auto"/>
        <w:jc w:val="both"/>
        <w:rPr>
          <w:sz w:val="20"/>
          <w:szCs w:val="20"/>
        </w:rPr>
      </w:pPr>
    </w:p>
    <w:p w:rsidR="00961F16" w:rsidRPr="00961F16" w:rsidRDefault="00961F16" w:rsidP="00961F16">
      <w:pPr>
        <w:pStyle w:val="odstavek1"/>
        <w:spacing w:before="0" w:line="276" w:lineRule="auto"/>
        <w:ind w:firstLine="0"/>
        <w:rPr>
          <w:sz w:val="20"/>
          <w:szCs w:val="20"/>
        </w:rPr>
      </w:pPr>
      <w:r w:rsidRPr="00961F16">
        <w:rPr>
          <w:b/>
          <w:sz w:val="20"/>
          <w:szCs w:val="20"/>
          <w:u w:val="single"/>
          <w:lang w:val="pl-PL"/>
        </w:rPr>
        <w:t>V skladu z ZPIZ-1</w:t>
      </w:r>
      <w:r w:rsidRPr="00961F16">
        <w:rPr>
          <w:sz w:val="20"/>
          <w:szCs w:val="20"/>
          <w:lang w:val="pl-PL"/>
        </w:rPr>
        <w:t xml:space="preserve"> se je starostna pokojnina odmerila od mesečnega povprečja plač, ki jih je zavarovanec prejel, oziroma zavarovalnih osnov, od katerih so mu bili obračunani prispevki, v katerihkoli zaporednih 18 letih zavarovanja po 1. 1. 1970, ki so bila zanj najugodnejša.</w:t>
      </w:r>
      <w:r w:rsidRPr="00961F16">
        <w:rPr>
          <w:sz w:val="20"/>
          <w:szCs w:val="20"/>
        </w:rPr>
        <w:t xml:space="preserve"> Podaljševanje obračunskega obdobja iz 10 let (ZPIZ-92) na 18 let je potekalo postopno, za eno leto na leto (iz 10 let leta 2000 na 18 let leta 2008).</w:t>
      </w:r>
    </w:p>
    <w:p w:rsidR="00961F16" w:rsidRPr="00961F16" w:rsidRDefault="00961F16" w:rsidP="00961F16">
      <w:pPr>
        <w:pStyle w:val="odstavek1"/>
        <w:spacing w:before="0" w:line="276" w:lineRule="auto"/>
        <w:ind w:firstLine="0"/>
        <w:rPr>
          <w:sz w:val="20"/>
          <w:szCs w:val="20"/>
        </w:rPr>
      </w:pPr>
    </w:p>
    <w:p w:rsidR="00961F16" w:rsidRPr="00961F16" w:rsidRDefault="00961F16" w:rsidP="00961F16">
      <w:pPr>
        <w:pStyle w:val="odstavek1"/>
        <w:spacing w:before="0" w:line="276" w:lineRule="auto"/>
        <w:ind w:firstLine="0"/>
        <w:rPr>
          <w:sz w:val="20"/>
          <w:szCs w:val="20"/>
          <w:lang w:val="pl-PL"/>
        </w:rPr>
      </w:pPr>
      <w:r w:rsidRPr="00961F16">
        <w:rPr>
          <w:sz w:val="20"/>
          <w:szCs w:val="20"/>
          <w:lang w:val="pl-PL"/>
        </w:rPr>
        <w:t>Za izračun pokojninske osnove so se upoštevale plače oziroma osnove, od katerih so bili plačani prispevki, zmanjšane za davke in prispevke, ki so se obračunavali in plačevali od plače po povprečni stopnji v RS.</w:t>
      </w:r>
      <w:r w:rsidRPr="00961F16">
        <w:rPr>
          <w:sz w:val="20"/>
          <w:szCs w:val="20"/>
        </w:rPr>
        <w:t xml:space="preserve"> </w:t>
      </w:r>
      <w:r w:rsidRPr="00961F16">
        <w:rPr>
          <w:sz w:val="20"/>
          <w:szCs w:val="20"/>
          <w:lang w:val="es-ES"/>
        </w:rPr>
        <w:t>Višino povprečne stopnje prispevkov in davkov, veljavno v posameznem koledarskem letu, je določil in objavil minister, pristojen za finance</w:t>
      </w:r>
      <w:r w:rsidRPr="00961F16">
        <w:rPr>
          <w:sz w:val="20"/>
          <w:szCs w:val="20"/>
          <w:lang w:val="pl-PL"/>
        </w:rPr>
        <w:t>, minister, pristojen za delo, pa je predpisal metodologijo za določitev plač, ki so se upoštevajo pri izračunu pokojninske osnove</w:t>
      </w:r>
      <w:r w:rsidRPr="00961F16">
        <w:rPr>
          <w:sz w:val="20"/>
          <w:szCs w:val="20"/>
          <w:lang w:val="es-ES"/>
        </w:rPr>
        <w:t xml:space="preserve"> ter določil in objavil valorizacijske količnike</w:t>
      </w:r>
      <w:r w:rsidRPr="00961F16">
        <w:rPr>
          <w:sz w:val="20"/>
          <w:szCs w:val="20"/>
          <w:lang w:val="pl-PL"/>
        </w:rPr>
        <w:t>.</w:t>
      </w:r>
    </w:p>
    <w:p w:rsidR="00961F16" w:rsidRPr="00961F16" w:rsidRDefault="00961F16" w:rsidP="00961F16">
      <w:pPr>
        <w:pStyle w:val="odstavek1"/>
        <w:spacing w:before="0" w:line="276" w:lineRule="auto"/>
        <w:ind w:firstLine="0"/>
        <w:rPr>
          <w:sz w:val="20"/>
          <w:szCs w:val="20"/>
        </w:rPr>
      </w:pPr>
    </w:p>
    <w:p w:rsidR="00961F16" w:rsidRPr="00961F16" w:rsidRDefault="00961F16" w:rsidP="00961F16">
      <w:pPr>
        <w:pStyle w:val="odstavek1"/>
        <w:spacing w:before="0" w:line="276" w:lineRule="auto"/>
        <w:ind w:firstLine="0"/>
        <w:rPr>
          <w:sz w:val="20"/>
          <w:szCs w:val="20"/>
        </w:rPr>
      </w:pPr>
      <w:r w:rsidRPr="00961F16">
        <w:rPr>
          <w:sz w:val="20"/>
          <w:szCs w:val="20"/>
          <w:lang w:val="es-ES"/>
        </w:rPr>
        <w:t>Pri določitvi pokojninske osnove so se plače oziroma zavarovalne osnove iz prejšnjih let preračunale z valorizacijskimi količniki tako, da so ustrezale gibanjem povprečnih plač in pokojnin v koledarskem letu pred uveljavitvijo pravice do pokojnine.</w:t>
      </w:r>
      <w:r w:rsidRPr="00961F16">
        <w:rPr>
          <w:sz w:val="20"/>
          <w:szCs w:val="20"/>
        </w:rPr>
        <w:t xml:space="preserve"> </w:t>
      </w:r>
    </w:p>
    <w:p w:rsidR="00961F16" w:rsidRPr="00961F16" w:rsidRDefault="00961F16" w:rsidP="00961F16">
      <w:pPr>
        <w:pStyle w:val="odstavek1"/>
        <w:spacing w:before="0" w:line="276" w:lineRule="auto"/>
        <w:ind w:firstLine="0"/>
        <w:rPr>
          <w:sz w:val="20"/>
          <w:szCs w:val="20"/>
        </w:rPr>
      </w:pPr>
    </w:p>
    <w:p w:rsidR="00961F16" w:rsidRPr="00961F16" w:rsidRDefault="00961F16" w:rsidP="00961F16">
      <w:pPr>
        <w:spacing w:after="0" w:line="276" w:lineRule="auto"/>
        <w:jc w:val="both"/>
        <w:rPr>
          <w:rFonts w:ascii="Arial" w:hAnsi="Arial" w:cs="Arial"/>
          <w:sz w:val="20"/>
          <w:szCs w:val="20"/>
          <w:lang w:val="es-ES"/>
        </w:rPr>
      </w:pPr>
      <w:r w:rsidRPr="00961F16">
        <w:rPr>
          <w:rFonts w:ascii="Arial" w:hAnsi="Arial" w:cs="Arial"/>
          <w:sz w:val="20"/>
          <w:szCs w:val="20"/>
          <w:lang w:val="es-ES"/>
        </w:rPr>
        <w:t>Valorizacijski količniki so se vsako leto določili na novo na način, da se je rast povprečne plače v RS</w:t>
      </w:r>
      <w:r w:rsidR="003D462F">
        <w:rPr>
          <w:rFonts w:ascii="Arial" w:hAnsi="Arial" w:cs="Arial"/>
          <w:sz w:val="20"/>
          <w:szCs w:val="20"/>
          <w:lang w:val="es-ES"/>
        </w:rPr>
        <w:t xml:space="preserve"> </w:t>
      </w:r>
      <w:r w:rsidRPr="00961F16">
        <w:rPr>
          <w:rFonts w:ascii="Arial" w:hAnsi="Arial" w:cs="Arial"/>
          <w:sz w:val="20"/>
          <w:szCs w:val="20"/>
          <w:lang w:val="es-ES"/>
        </w:rPr>
        <w:t>povečalo na ra</w:t>
      </w:r>
      <w:r w:rsidR="003D462F">
        <w:rPr>
          <w:rFonts w:ascii="Arial" w:hAnsi="Arial" w:cs="Arial"/>
          <w:sz w:val="20"/>
          <w:szCs w:val="20"/>
          <w:lang w:val="es-ES"/>
        </w:rPr>
        <w:t>čun uskladitev vseh pokojnin oziroma</w:t>
      </w:r>
      <w:r w:rsidRPr="00961F16">
        <w:rPr>
          <w:rFonts w:ascii="Arial" w:hAnsi="Arial" w:cs="Arial"/>
          <w:sz w:val="20"/>
          <w:szCs w:val="20"/>
          <w:lang w:val="es-ES"/>
        </w:rPr>
        <w:t xml:space="preserve"> da se je povprečno plačo na zaposleno osebo v državi, izplačano za oktober 1990 in povečano za odstotek vseh uskladitev pokojnin po predpisih, veljavnih do uveljavitve ZPIZ-1 in po </w:t>
      </w:r>
      <w:r w:rsidRPr="00961F16">
        <w:rPr>
          <w:rFonts w:ascii="Arial" w:hAnsi="Arial" w:cs="Arial"/>
          <w:sz w:val="20"/>
          <w:szCs w:val="20"/>
          <w:lang w:val="x-none"/>
        </w:rPr>
        <w:t xml:space="preserve">150.a in 150.b </w:t>
      </w:r>
      <w:r w:rsidRPr="00961F16">
        <w:rPr>
          <w:rFonts w:ascii="Arial" w:hAnsi="Arial" w:cs="Arial"/>
          <w:sz w:val="20"/>
          <w:szCs w:val="20"/>
          <w:lang w:val="es-ES"/>
        </w:rPr>
        <w:t xml:space="preserve">členu, opravljenih od 1. 1. 1991 do konca koledarskega leta pred letom uveljavitve valorizacijskih količnikov, delilo z zneskom povprečne plače na zaposleno osebo v državi, dosežene v letih, iz katerih se plače upoštevajo za izračun pokojninske osnove. </w:t>
      </w:r>
    </w:p>
    <w:p w:rsidR="00961F16" w:rsidRPr="00961F16" w:rsidRDefault="00961F16" w:rsidP="00961F16">
      <w:pPr>
        <w:spacing w:after="0" w:line="276" w:lineRule="auto"/>
        <w:jc w:val="both"/>
        <w:rPr>
          <w:rFonts w:ascii="Arial" w:hAnsi="Arial" w:cs="Arial"/>
          <w:sz w:val="20"/>
          <w:szCs w:val="20"/>
          <w:lang w:val="es-ES"/>
        </w:rPr>
      </w:pPr>
    </w:p>
    <w:p w:rsidR="00961F16" w:rsidRPr="00961F16" w:rsidRDefault="00961F16" w:rsidP="00961F16">
      <w:pPr>
        <w:spacing w:after="0" w:line="276" w:lineRule="auto"/>
        <w:jc w:val="both"/>
        <w:rPr>
          <w:rFonts w:ascii="Arial" w:hAnsi="Arial" w:cs="Arial"/>
          <w:sz w:val="20"/>
          <w:szCs w:val="20"/>
        </w:rPr>
      </w:pPr>
      <w:r w:rsidRPr="00961F16">
        <w:rPr>
          <w:rFonts w:ascii="Arial" w:hAnsi="Arial" w:cs="Arial"/>
          <w:sz w:val="20"/>
          <w:szCs w:val="20"/>
        </w:rPr>
        <w:t>Zaradi t.</w:t>
      </w:r>
      <w:r w:rsidR="003D462F">
        <w:rPr>
          <w:rFonts w:ascii="Arial" w:hAnsi="Arial" w:cs="Arial"/>
          <w:sz w:val="20"/>
          <w:szCs w:val="20"/>
        </w:rPr>
        <w:t xml:space="preserve"> </w:t>
      </w:r>
      <w:r w:rsidRPr="00961F16">
        <w:rPr>
          <w:rFonts w:ascii="Arial" w:hAnsi="Arial" w:cs="Arial"/>
          <w:sz w:val="20"/>
          <w:szCs w:val="20"/>
        </w:rPr>
        <w:t>i. horizontalnega izenačevanja posameznih generacij upokojencev oziroma zagotavljanja enakopravnega položaja med upokojenci, upokojenimi v različnih obdobjih, se je v skladu s 151. členom ZPIZ-1 pri izvedbi prve uskladitve v vsakem koledarskem letu opravila uskladitev med pokojninami, uveljavljenimi v tekočem letu in pokojninami, uveljavljenimi pred tem. Zato je bila prva uskladitev prej uveljavljenih pokojnin nižja od uskladitve pokojnin, uveljavljenih v tekočem letu, in sicer za toliko, za kolikor se je v tekočem letu zmanjšala odmerna stopnja za 40 let pokojninske dobe v primerjavi z odmerno stopnjo za 40 let pokojninske dobe iz predhodnega leta. Skladno z zakonodajo se je namreč odmerni odstotek vsako leto zniževal za 0,5%.</w:t>
      </w:r>
    </w:p>
    <w:p w:rsidR="00961F16" w:rsidRPr="00961F16" w:rsidRDefault="00961F16" w:rsidP="00961F16">
      <w:pPr>
        <w:spacing w:after="0" w:line="276" w:lineRule="auto"/>
        <w:jc w:val="both"/>
        <w:rPr>
          <w:rFonts w:ascii="Arial" w:hAnsi="Arial" w:cs="Arial"/>
          <w:sz w:val="20"/>
          <w:szCs w:val="20"/>
        </w:rPr>
      </w:pPr>
    </w:p>
    <w:p w:rsidR="00961F16" w:rsidRPr="00961F16" w:rsidRDefault="00961F16" w:rsidP="00961F16">
      <w:pPr>
        <w:autoSpaceDE w:val="0"/>
        <w:autoSpaceDN w:val="0"/>
        <w:adjustRightInd w:val="0"/>
        <w:spacing w:after="0" w:line="276" w:lineRule="auto"/>
        <w:jc w:val="both"/>
        <w:rPr>
          <w:rFonts w:ascii="Arial" w:hAnsi="Arial" w:cs="Arial"/>
          <w:sz w:val="20"/>
          <w:szCs w:val="20"/>
          <w:lang w:val="es-ES"/>
        </w:rPr>
      </w:pPr>
      <w:r w:rsidRPr="00961F16">
        <w:rPr>
          <w:rFonts w:ascii="Arial" w:hAnsi="Arial" w:cs="Arial"/>
          <w:sz w:val="20"/>
          <w:szCs w:val="20"/>
        </w:rPr>
        <w:t xml:space="preserve">Valorizacijski količnik je tako vsako leto padal in je v letu pred uveljavitvijo novega zakona (2012) znašal 0,732. Rezultat posebnega načina valorizacije plač oziroma zavarovalnih osnov iz prejšnjih let </w:t>
      </w:r>
      <w:r w:rsidRPr="00961F16">
        <w:rPr>
          <w:rFonts w:ascii="Arial" w:hAnsi="Arial" w:cs="Arial"/>
          <w:sz w:val="20"/>
          <w:szCs w:val="20"/>
        </w:rPr>
        <w:lastRenderedPageBreak/>
        <w:t xml:space="preserve">dela je imel tako za posledico predvsem padanje višine začetnih pokojnin novih upokojencev, le-te pa so se </w:t>
      </w:r>
      <w:r w:rsidRPr="00961F16">
        <w:rPr>
          <w:rFonts w:ascii="Arial" w:hAnsi="Arial" w:cs="Arial"/>
          <w:sz w:val="20"/>
          <w:szCs w:val="20"/>
          <w:lang w:val="es-ES"/>
        </w:rPr>
        <w:t>vsako leto še nižale, saj je na letni ravni padal odstotek uskladitev pokojnin. S takšnim načinom se je torej poseglo tudi v višino pokojnin, saj so se pravice odmerile od pokojninske osnove, ki je bila tudi do 20 % nižja, kot pa bi bila če bi se pri preračunu uporabilo izključno realno rast povprečne plače v Republiki Sloveniji.</w:t>
      </w:r>
    </w:p>
    <w:p w:rsidR="00961F16" w:rsidRPr="00961F16" w:rsidRDefault="00961F16" w:rsidP="00961F16">
      <w:pPr>
        <w:pStyle w:val="Oddelek"/>
        <w:spacing w:before="0" w:line="276" w:lineRule="auto"/>
        <w:jc w:val="both"/>
        <w:rPr>
          <w:color w:val="626060"/>
          <w:sz w:val="20"/>
          <w:szCs w:val="20"/>
        </w:rPr>
      </w:pPr>
    </w:p>
    <w:p w:rsidR="00961F16" w:rsidRPr="00961F16" w:rsidRDefault="00961F16" w:rsidP="00961F16">
      <w:pPr>
        <w:pStyle w:val="Oddelek"/>
        <w:spacing w:before="0" w:line="276" w:lineRule="auto"/>
        <w:jc w:val="both"/>
        <w:rPr>
          <w:sz w:val="20"/>
          <w:szCs w:val="20"/>
        </w:rPr>
      </w:pPr>
      <w:r w:rsidRPr="00961F16">
        <w:rPr>
          <w:b/>
          <w:sz w:val="20"/>
          <w:szCs w:val="20"/>
          <w:u w:val="single"/>
        </w:rPr>
        <w:t>V skladu z ZPIZ-2</w:t>
      </w:r>
      <w:r w:rsidRPr="00961F16">
        <w:rPr>
          <w:sz w:val="20"/>
          <w:szCs w:val="20"/>
        </w:rPr>
        <w:t xml:space="preserve"> se za izračun pokojninske osnove starostne pokojnine upošteva obdobje najugodnejših zaporednih 24 let zavarovanja od 1.1.1970 dalje, ki so za zavarovanca najugodnejša. V prehodnem obdobju se je obračunsko obdobje za izračun pokojninske osnove podaljševalo postopoma za eno leto na leto (iz 19 let v letu 2013 na 24 let leta 2018). </w:t>
      </w:r>
    </w:p>
    <w:p w:rsidR="00961F16" w:rsidRPr="00961F16" w:rsidRDefault="00961F16" w:rsidP="00961F16">
      <w:pPr>
        <w:spacing w:after="0" w:line="276" w:lineRule="auto"/>
        <w:jc w:val="both"/>
        <w:rPr>
          <w:rFonts w:ascii="Arial" w:hAnsi="Arial" w:cs="Arial"/>
          <w:sz w:val="20"/>
          <w:szCs w:val="20"/>
          <w:lang w:eastAsia="sl-SI"/>
        </w:rPr>
      </w:pPr>
    </w:p>
    <w:p w:rsidR="00961F16" w:rsidRPr="008B2A92" w:rsidRDefault="00961F16" w:rsidP="00961F16">
      <w:pPr>
        <w:pStyle w:val="Sprotnaopomba-besedilo"/>
        <w:spacing w:line="276" w:lineRule="auto"/>
        <w:jc w:val="both"/>
        <w:rPr>
          <w:rFonts w:cs="Arial"/>
          <w:lang w:val="sl-SI"/>
        </w:rPr>
      </w:pPr>
      <w:r w:rsidRPr="008B2A92">
        <w:rPr>
          <w:rFonts w:cs="Arial"/>
          <w:lang w:val="sl-SI"/>
        </w:rPr>
        <w:t>Zaradi težnje po bolj preglednem sistemu valorizacije preteklih pokojninskih osnov in s tem preglednejšim načinom ugotavljanja višine pokojnine je ZPIZ-2 na nov način določil valorizacijske količnike za preračun osnov iz prejšnjih let zavarovanja na primerljivo vrednost v letu, ko se posameznik upokoji.</w:t>
      </w:r>
    </w:p>
    <w:p w:rsidR="00961F16" w:rsidRPr="008B2A92" w:rsidRDefault="00961F16" w:rsidP="00961F16">
      <w:pPr>
        <w:pStyle w:val="Sprotnaopomba-besedilo"/>
        <w:spacing w:line="276" w:lineRule="auto"/>
        <w:jc w:val="both"/>
        <w:rPr>
          <w:rFonts w:cs="Arial"/>
          <w:lang w:val="sl-SI"/>
        </w:rPr>
      </w:pPr>
    </w:p>
    <w:p w:rsidR="00961F16" w:rsidRPr="00961F16" w:rsidRDefault="00961F16" w:rsidP="00961F16">
      <w:pPr>
        <w:spacing w:after="0" w:line="276" w:lineRule="auto"/>
        <w:jc w:val="both"/>
        <w:rPr>
          <w:rFonts w:ascii="Arial" w:hAnsi="Arial" w:cs="Arial"/>
          <w:sz w:val="20"/>
          <w:szCs w:val="20"/>
          <w:lang w:val="x-none" w:eastAsia="sl-SI"/>
        </w:rPr>
      </w:pPr>
      <w:r w:rsidRPr="008B2A92">
        <w:rPr>
          <w:rFonts w:ascii="Arial" w:hAnsi="Arial" w:cs="Arial"/>
          <w:sz w:val="20"/>
          <w:szCs w:val="20"/>
          <w:lang w:eastAsia="sl-SI"/>
        </w:rPr>
        <w:t xml:space="preserve">Pri izračunu pokojninske osnove se osnove iz prejšnjih let zavarovanja preračunajo z valorizacijskimi </w:t>
      </w:r>
      <w:r w:rsidRPr="00961F16">
        <w:rPr>
          <w:rFonts w:ascii="Arial" w:hAnsi="Arial" w:cs="Arial"/>
          <w:sz w:val="20"/>
          <w:szCs w:val="20"/>
          <w:lang w:val="x-none" w:eastAsia="sl-SI"/>
        </w:rPr>
        <w:t>količniki, ki se vsako leto določijo na novo in se izračunajo po naslednji formuli na tri decimalna mesta:</w:t>
      </w:r>
    </w:p>
    <w:p w:rsidR="00961F16" w:rsidRPr="00961F16" w:rsidRDefault="00961F16" w:rsidP="00961F16">
      <w:pPr>
        <w:spacing w:after="0" w:line="276" w:lineRule="auto"/>
        <w:jc w:val="both"/>
        <w:rPr>
          <w:rFonts w:ascii="Arial" w:hAnsi="Arial" w:cs="Arial"/>
          <w:sz w:val="20"/>
          <w:szCs w:val="20"/>
          <w:lang w:eastAsia="sl-SI"/>
        </w:rPr>
      </w:pPr>
    </w:p>
    <w:p w:rsidR="00961F16" w:rsidRPr="00961F16" w:rsidRDefault="00961F16" w:rsidP="00961F16">
      <w:pPr>
        <w:spacing w:after="0" w:line="276" w:lineRule="auto"/>
        <w:jc w:val="center"/>
        <w:rPr>
          <w:rFonts w:ascii="Arial" w:hAnsi="Arial" w:cs="Arial"/>
          <w:i/>
          <w:sz w:val="20"/>
          <w:szCs w:val="20"/>
          <w:lang w:eastAsia="sl-SI"/>
        </w:rPr>
      </w:pPr>
      <w:r w:rsidRPr="00961F16">
        <w:rPr>
          <w:rFonts w:ascii="Arial" w:hAnsi="Arial" w:cs="Arial"/>
          <w:i/>
          <w:sz w:val="20"/>
          <w:szCs w:val="20"/>
          <w:u w:val="single"/>
          <w:lang w:eastAsia="sl-SI"/>
        </w:rPr>
        <w:t>PPZOKPU</w:t>
      </w:r>
    </w:p>
    <w:p w:rsidR="00961F16" w:rsidRPr="00961F16" w:rsidRDefault="00961F16" w:rsidP="00961F16">
      <w:pPr>
        <w:spacing w:after="0" w:line="276" w:lineRule="auto"/>
        <w:jc w:val="center"/>
        <w:rPr>
          <w:rFonts w:ascii="Arial" w:hAnsi="Arial" w:cs="Arial"/>
          <w:i/>
          <w:sz w:val="20"/>
          <w:szCs w:val="20"/>
          <w:lang w:eastAsia="sl-SI"/>
        </w:rPr>
      </w:pPr>
      <w:r w:rsidRPr="00961F16">
        <w:rPr>
          <w:rFonts w:ascii="Arial" w:hAnsi="Arial" w:cs="Arial"/>
          <w:i/>
          <w:sz w:val="20"/>
          <w:szCs w:val="20"/>
          <w:lang w:eastAsia="sl-SI"/>
        </w:rPr>
        <w:t>PPZOKL</w:t>
      </w:r>
    </w:p>
    <w:p w:rsidR="00961F16" w:rsidRPr="00961F16" w:rsidRDefault="00961F16" w:rsidP="00961F16">
      <w:pPr>
        <w:spacing w:after="0" w:line="276" w:lineRule="auto"/>
        <w:jc w:val="center"/>
        <w:rPr>
          <w:rFonts w:ascii="Arial" w:hAnsi="Arial" w:cs="Arial"/>
          <w:i/>
          <w:sz w:val="20"/>
          <w:szCs w:val="20"/>
          <w:lang w:eastAsia="sl-SI"/>
        </w:rPr>
      </w:pPr>
    </w:p>
    <w:p w:rsidR="00961F16" w:rsidRPr="00961F16" w:rsidRDefault="00961F16" w:rsidP="00961F16">
      <w:pPr>
        <w:spacing w:after="0" w:line="276" w:lineRule="auto"/>
        <w:jc w:val="both"/>
        <w:rPr>
          <w:rFonts w:ascii="Arial" w:hAnsi="Arial" w:cs="Arial"/>
          <w:sz w:val="20"/>
          <w:szCs w:val="20"/>
          <w:lang w:eastAsia="sl-SI"/>
        </w:rPr>
      </w:pPr>
      <w:r w:rsidRPr="00961F16">
        <w:rPr>
          <w:rFonts w:ascii="Arial" w:hAnsi="Arial" w:cs="Arial"/>
          <w:sz w:val="20"/>
          <w:szCs w:val="20"/>
          <w:lang w:eastAsia="sl-SI"/>
        </w:rPr>
        <w:t>PPZOKPU = povprečna plača na zaposleno osebo, izplačana za koledarsko leto pred letom, za katero so določeni količniki,</w:t>
      </w:r>
    </w:p>
    <w:p w:rsidR="00961F16" w:rsidRPr="00961F16" w:rsidRDefault="00961F16" w:rsidP="00961F16">
      <w:pPr>
        <w:spacing w:after="0" w:line="276" w:lineRule="auto"/>
        <w:jc w:val="both"/>
        <w:rPr>
          <w:rFonts w:ascii="Arial" w:hAnsi="Arial" w:cs="Arial"/>
          <w:sz w:val="20"/>
          <w:szCs w:val="20"/>
          <w:lang w:eastAsia="sl-SI"/>
        </w:rPr>
      </w:pPr>
      <w:r w:rsidRPr="00961F16">
        <w:rPr>
          <w:rFonts w:ascii="Arial" w:hAnsi="Arial" w:cs="Arial"/>
          <w:sz w:val="20"/>
          <w:szCs w:val="20"/>
          <w:lang w:eastAsia="sl-SI"/>
        </w:rPr>
        <w:t>PPZOKL = povprečna plača na zaposleno osebo, izplačana za posamezno koledarsko leto</w:t>
      </w:r>
    </w:p>
    <w:p w:rsidR="00961F16" w:rsidRPr="00961F16" w:rsidRDefault="00961F16" w:rsidP="00961F16">
      <w:pPr>
        <w:spacing w:after="0" w:line="276" w:lineRule="auto"/>
        <w:jc w:val="both"/>
        <w:rPr>
          <w:rFonts w:ascii="Arial" w:hAnsi="Arial" w:cs="Arial"/>
          <w:sz w:val="20"/>
          <w:szCs w:val="20"/>
          <w:lang w:eastAsia="sl-SI"/>
        </w:rPr>
      </w:pPr>
      <w:r w:rsidRPr="00961F16">
        <w:rPr>
          <w:rFonts w:ascii="Arial" w:hAnsi="Arial" w:cs="Arial"/>
          <w:sz w:val="20"/>
          <w:szCs w:val="20"/>
          <w:lang w:val="x-none" w:eastAsia="sl-SI"/>
        </w:rPr>
        <w:t>Valorizacijske količnike vsako leto objavi minister, pristojen za delo, v soglasju z ministrom, pristojnim za finance.</w:t>
      </w:r>
    </w:p>
    <w:p w:rsidR="00961F16" w:rsidRPr="00961F16" w:rsidRDefault="00961F16" w:rsidP="00961F16">
      <w:pPr>
        <w:pStyle w:val="Sprotnaopomba-besedilo"/>
        <w:spacing w:line="276" w:lineRule="auto"/>
        <w:jc w:val="both"/>
        <w:rPr>
          <w:rFonts w:cs="Arial"/>
          <w:i/>
        </w:rPr>
      </w:pPr>
    </w:p>
    <w:p w:rsidR="00961F16" w:rsidRPr="008B2A92" w:rsidRDefault="00961F16" w:rsidP="00961F16">
      <w:pPr>
        <w:pStyle w:val="Sprotnaopomba-besedilo"/>
        <w:spacing w:line="276" w:lineRule="auto"/>
        <w:jc w:val="both"/>
        <w:rPr>
          <w:rFonts w:cs="Arial"/>
          <w:lang w:val="sl-SI"/>
        </w:rPr>
      </w:pPr>
      <w:r w:rsidRPr="008B2A92">
        <w:rPr>
          <w:rFonts w:cs="Arial"/>
          <w:lang w:val="sl-SI"/>
        </w:rPr>
        <w:t xml:space="preserve">Z novim načinom določanja valorizacijskega količnika, ki upošteva izključno rast povprečne plače v RS (kar pomeni, da je valorizacijski količnik za preračun osnov iz zadnjega leta dela vedno enak 1), zaradi česar je ugodnejši od valorizacijskih količnikov po ZPIZ-1 (kjer so se količniki preračunavali na podlagi rasti povprečne plače v RS, povečane na uskladitev vseh pokojnin od 1.1.1991 dalje), je ZPIZ-2 odpravil nesorazmerne posege v višino začetnih pokojnin novih upokojencev in določil ustreznejši način izračuna valorizacijskih količnikov. To izhaja predvsem iz dejstva, da so plače v preteklih letih rasle hitreje kot pokojnine in tudi kot rast cen življenjskih stroškov, kar pri preračunavanju valorizacijskih količnikov pomeni tudi višje vrednosti le-teh v primerjavi z načinom izračuna po ZPIZ-1 in kot končni rezultat prinese tudi višje pokojnine. Poleg navedenega se je z novim načinom določanja valorizacijskih količnikov odpravila horizontalna enakost med upokojenci, ki so se oziroma se bodo upokojili. </w:t>
      </w:r>
    </w:p>
    <w:p w:rsidR="00961F16" w:rsidRPr="00961F16" w:rsidRDefault="00961F16" w:rsidP="00961F16">
      <w:pPr>
        <w:tabs>
          <w:tab w:val="left" w:pos="0"/>
        </w:tabs>
        <w:autoSpaceDE w:val="0"/>
        <w:autoSpaceDN w:val="0"/>
        <w:adjustRightInd w:val="0"/>
        <w:spacing w:after="0" w:line="276" w:lineRule="auto"/>
        <w:jc w:val="both"/>
        <w:textAlignment w:val="center"/>
        <w:rPr>
          <w:rFonts w:ascii="Arial" w:hAnsi="Arial" w:cs="Arial"/>
          <w:sz w:val="20"/>
          <w:szCs w:val="20"/>
          <w:lang w:eastAsia="sl-SI"/>
        </w:rPr>
      </w:pPr>
    </w:p>
    <w:p w:rsidR="00961F16" w:rsidRDefault="00961F16" w:rsidP="00961F16">
      <w:pPr>
        <w:autoSpaceDE w:val="0"/>
        <w:autoSpaceDN w:val="0"/>
        <w:adjustRightInd w:val="0"/>
        <w:spacing w:after="0" w:line="276" w:lineRule="auto"/>
        <w:jc w:val="both"/>
        <w:rPr>
          <w:rFonts w:ascii="Arial" w:hAnsi="Arial" w:cs="Arial"/>
          <w:sz w:val="20"/>
          <w:szCs w:val="20"/>
          <w:lang w:eastAsia="sl-SI"/>
        </w:rPr>
      </w:pPr>
      <w:r w:rsidRPr="00961F16">
        <w:rPr>
          <w:rFonts w:ascii="Arial" w:hAnsi="Arial" w:cs="Arial"/>
          <w:sz w:val="20"/>
          <w:szCs w:val="20"/>
          <w:lang w:eastAsia="sl-SI"/>
        </w:rPr>
        <w:t>ZPIZ-2 je v</w:t>
      </w:r>
      <w:r w:rsidRPr="00961F16">
        <w:rPr>
          <w:rFonts w:ascii="Arial" w:hAnsi="Arial" w:cs="Arial"/>
          <w:sz w:val="20"/>
          <w:szCs w:val="20"/>
        </w:rPr>
        <w:t xml:space="preserve">zpostavil nov način odmere pokojnine, in sicer z uvedbo novih »čistih« neto odmernih odstotkov, v katerih je že upoštevana prilagoditev s količnikom v višini 0,732, ki je fiksiran na raven iz leta 2011 in se ne spreminja (tako kot se je v skladu z ZPIZ-1). To </w:t>
      </w:r>
      <w:r w:rsidRPr="00961F16">
        <w:rPr>
          <w:rFonts w:ascii="Arial" w:hAnsi="Arial" w:cs="Arial"/>
          <w:sz w:val="20"/>
          <w:szCs w:val="20"/>
          <w:lang w:eastAsia="sl-SI"/>
        </w:rPr>
        <w:t xml:space="preserve">pomeni, da tudi upokojenci, ki se upokojujejo še v skladu s 391. členom ZPIZ-2 (upokojevanje po prejšnjih predpisih), obdržijo pokojnino najmanj v višini, kot bi jim šla, če bi se upokojili leta 2012. </w:t>
      </w:r>
    </w:p>
    <w:p w:rsidR="004D3C30" w:rsidRDefault="004D3C30" w:rsidP="00961F16">
      <w:pPr>
        <w:autoSpaceDE w:val="0"/>
        <w:autoSpaceDN w:val="0"/>
        <w:adjustRightInd w:val="0"/>
        <w:spacing w:after="0" w:line="276" w:lineRule="auto"/>
        <w:jc w:val="both"/>
        <w:rPr>
          <w:rFonts w:ascii="Arial" w:hAnsi="Arial" w:cs="Arial"/>
          <w:sz w:val="20"/>
          <w:szCs w:val="20"/>
          <w:lang w:eastAsia="sl-SI"/>
        </w:rPr>
      </w:pPr>
    </w:p>
    <w:p w:rsidR="004D3C30" w:rsidRDefault="004D3C30" w:rsidP="00961F16">
      <w:pPr>
        <w:autoSpaceDE w:val="0"/>
        <w:autoSpaceDN w:val="0"/>
        <w:adjustRightInd w:val="0"/>
        <w:spacing w:after="0" w:line="276" w:lineRule="auto"/>
        <w:jc w:val="both"/>
        <w:rPr>
          <w:rFonts w:ascii="Arial" w:hAnsi="Arial" w:cs="Arial"/>
          <w:sz w:val="20"/>
          <w:szCs w:val="20"/>
          <w:lang w:eastAsia="sl-SI"/>
        </w:rPr>
      </w:pPr>
    </w:p>
    <w:p w:rsidR="004D3C30" w:rsidRDefault="004D3C30" w:rsidP="00961F16">
      <w:pPr>
        <w:autoSpaceDE w:val="0"/>
        <w:autoSpaceDN w:val="0"/>
        <w:adjustRightInd w:val="0"/>
        <w:spacing w:after="0" w:line="276" w:lineRule="auto"/>
        <w:jc w:val="both"/>
        <w:rPr>
          <w:rFonts w:ascii="Arial" w:hAnsi="Arial" w:cs="Arial"/>
          <w:sz w:val="20"/>
          <w:szCs w:val="20"/>
          <w:lang w:eastAsia="sl-SI"/>
        </w:rPr>
      </w:pPr>
      <w:r w:rsidRPr="006B4BAC">
        <w:rPr>
          <w:rFonts w:ascii="Arial" w:hAnsi="Arial" w:cs="Arial"/>
          <w:b/>
          <w:bCs/>
          <w:sz w:val="20"/>
          <w:szCs w:val="20"/>
          <w:lang w:eastAsia="sl-SI"/>
        </w:rPr>
        <w:t>3.</w:t>
      </w:r>
      <w:r>
        <w:rPr>
          <w:rFonts w:ascii="Arial" w:hAnsi="Arial" w:cs="Arial"/>
          <w:sz w:val="20"/>
          <w:szCs w:val="20"/>
          <w:lang w:eastAsia="sl-SI"/>
        </w:rPr>
        <w:tab/>
        <w:t>Glede vprašanja v zvezi s spremembami odmernih odstotkov in »ugodnejšega vrednotenja pokojninske dobe brez dokupa« od osamosvojitve Slovenije do danes Vlada RS v nadaljevanju pojasnjuje naslednje:</w:t>
      </w:r>
    </w:p>
    <w:p w:rsidR="004D3C30" w:rsidRDefault="004D3C30" w:rsidP="00961F16">
      <w:pPr>
        <w:autoSpaceDE w:val="0"/>
        <w:autoSpaceDN w:val="0"/>
        <w:adjustRightInd w:val="0"/>
        <w:spacing w:after="0" w:line="276" w:lineRule="auto"/>
        <w:jc w:val="both"/>
        <w:rPr>
          <w:rFonts w:ascii="Arial" w:hAnsi="Arial" w:cs="Arial"/>
          <w:sz w:val="20"/>
          <w:szCs w:val="20"/>
          <w:lang w:eastAsia="sl-SI"/>
        </w:rPr>
      </w:pPr>
    </w:p>
    <w:p w:rsidR="004D3C30" w:rsidRPr="004D3C30" w:rsidRDefault="004D3C30" w:rsidP="004D3C30">
      <w:pPr>
        <w:spacing w:after="0" w:line="276" w:lineRule="auto"/>
        <w:jc w:val="both"/>
        <w:rPr>
          <w:rFonts w:ascii="Arial" w:hAnsi="Arial" w:cs="Arial"/>
          <w:b/>
          <w:sz w:val="20"/>
          <w:szCs w:val="20"/>
        </w:rPr>
      </w:pPr>
      <w:r w:rsidRPr="004D3C30">
        <w:rPr>
          <w:rFonts w:ascii="Arial" w:hAnsi="Arial" w:cs="Arial"/>
          <w:b/>
          <w:sz w:val="20"/>
          <w:szCs w:val="20"/>
        </w:rPr>
        <w:t>ODMERNI ODSTOTKI</w:t>
      </w:r>
    </w:p>
    <w:p w:rsidR="004D3C30" w:rsidRPr="004D3C30" w:rsidRDefault="004D3C30" w:rsidP="004D3C30">
      <w:pPr>
        <w:spacing w:after="0" w:line="276" w:lineRule="auto"/>
        <w:jc w:val="both"/>
        <w:rPr>
          <w:rFonts w:ascii="Arial" w:hAnsi="Arial" w:cs="Arial"/>
          <w:b/>
          <w:sz w:val="20"/>
          <w:szCs w:val="20"/>
        </w:rPr>
      </w:pPr>
    </w:p>
    <w:p w:rsidR="004D3C30" w:rsidRPr="004D3C30" w:rsidRDefault="004D3C30" w:rsidP="004D3C30">
      <w:pPr>
        <w:spacing w:after="0" w:line="276" w:lineRule="auto"/>
        <w:jc w:val="both"/>
        <w:rPr>
          <w:rFonts w:ascii="Arial" w:hAnsi="Arial" w:cs="Arial"/>
          <w:sz w:val="20"/>
          <w:szCs w:val="20"/>
        </w:rPr>
      </w:pPr>
      <w:r w:rsidRPr="004D3C30">
        <w:rPr>
          <w:rFonts w:ascii="Arial" w:hAnsi="Arial" w:cs="Arial"/>
          <w:b/>
          <w:sz w:val="20"/>
          <w:szCs w:val="20"/>
          <w:u w:val="single"/>
        </w:rPr>
        <w:t>Po ZPIZ-92</w:t>
      </w:r>
      <w:r w:rsidRPr="004D3C30">
        <w:rPr>
          <w:rFonts w:ascii="Arial" w:hAnsi="Arial" w:cs="Arial"/>
          <w:sz w:val="20"/>
          <w:szCs w:val="20"/>
        </w:rPr>
        <w:t xml:space="preserve"> je bila starostna pokojnina za 15 let dopolnjene zavarovalne dobe moškim odmerjena v višini 35% pokojninske osnove, ženskam pa v višini 40% pokojninske osnove, pri čemer se je moškim za vsako nadaljnje leto dopolnjene pokojninske dobe povečala za 2%, ženskam pa do dopolnjenih 20 let za 3%, za vsako dopolnjeno leto pokojninske dobe nad 20 let pa za 2% pokojninske osnove, vendar največ do 85% pokojninske osnove (M in Ž).</w:t>
      </w:r>
    </w:p>
    <w:p w:rsidR="004D3C30" w:rsidRPr="004D3C30" w:rsidRDefault="004D3C30" w:rsidP="004D3C30">
      <w:pPr>
        <w:spacing w:after="0" w:line="276" w:lineRule="auto"/>
        <w:jc w:val="both"/>
        <w:rPr>
          <w:rFonts w:ascii="Arial" w:hAnsi="Arial" w:cs="Arial"/>
          <w:sz w:val="20"/>
          <w:szCs w:val="20"/>
        </w:rPr>
      </w:pPr>
    </w:p>
    <w:p w:rsidR="004D3C30" w:rsidRPr="004D3C30" w:rsidRDefault="004D3C30" w:rsidP="004D3C30">
      <w:pPr>
        <w:spacing w:after="0" w:line="276" w:lineRule="auto"/>
        <w:jc w:val="both"/>
        <w:rPr>
          <w:rFonts w:ascii="Arial" w:hAnsi="Arial" w:cs="Arial"/>
          <w:sz w:val="20"/>
          <w:szCs w:val="20"/>
        </w:rPr>
      </w:pPr>
      <w:r w:rsidRPr="004D3C30">
        <w:rPr>
          <w:rFonts w:ascii="Arial" w:hAnsi="Arial" w:cs="Arial"/>
          <w:sz w:val="20"/>
          <w:szCs w:val="20"/>
        </w:rPr>
        <w:t xml:space="preserve">Starostna pokojnina za zavarovanca s 40 leti dopolnjene pokojninske dobe in zavarovanko s 35 leti dopolnjene pokojninske dobe, je bila odmerjena v višini 85 % od pokojninske osnove. </w:t>
      </w:r>
    </w:p>
    <w:p w:rsidR="004D3C30" w:rsidRPr="004D3C30" w:rsidRDefault="004D3C30" w:rsidP="004D3C30">
      <w:pPr>
        <w:spacing w:after="0" w:line="276" w:lineRule="auto"/>
        <w:jc w:val="both"/>
        <w:rPr>
          <w:rFonts w:ascii="Arial" w:hAnsi="Arial" w:cs="Arial"/>
          <w:sz w:val="20"/>
          <w:szCs w:val="20"/>
        </w:rPr>
      </w:pPr>
    </w:p>
    <w:p w:rsidR="004D3C30" w:rsidRPr="004D3C30" w:rsidRDefault="004D3C30" w:rsidP="004D3C30">
      <w:pPr>
        <w:spacing w:after="0" w:line="276" w:lineRule="auto"/>
        <w:jc w:val="both"/>
        <w:rPr>
          <w:rFonts w:ascii="Arial" w:hAnsi="Arial" w:cs="Arial"/>
          <w:sz w:val="20"/>
          <w:szCs w:val="20"/>
        </w:rPr>
      </w:pPr>
      <w:r w:rsidRPr="004D3C30">
        <w:rPr>
          <w:rFonts w:ascii="Arial" w:hAnsi="Arial" w:cs="Arial"/>
          <w:b/>
          <w:sz w:val="20"/>
          <w:szCs w:val="20"/>
          <w:u w:val="single"/>
        </w:rPr>
        <w:t>ZPIZ-1</w:t>
      </w:r>
      <w:r w:rsidRPr="004D3C30">
        <w:rPr>
          <w:rFonts w:ascii="Arial" w:hAnsi="Arial" w:cs="Arial"/>
          <w:sz w:val="20"/>
          <w:szCs w:val="20"/>
        </w:rPr>
        <w:t xml:space="preserve"> je v 50. členu za odmero starostne pokojnine določil nižje odmerne odstotke, kot so veljali v skladu s predhodno zakonodajo. Starostna pokojnina za dopolnjenih 15 let zavarovalne dobe je bila zavarovancu odmerjena v višini 35% od pokojninske osnove, zavarovanki pa v višini 38% od pokojninske osnove. Za vsako nadaljnje leto dopolnjene pokojninske dobe se je odmerni odstotek povečal za 1,5%, za 6 mesecev dopolnjene pokojninske dobe pa za 0,75%. V prehodnem obdobju je veljal kombiniran način odmere starostne pokojnine. Tako se je zavarovancu, ki je del pokojninske dobe dopolnil do 31. 12. 1999, pokojnina odmerila ob upoštevanju odstotkov za odmero pokojnine po predpisih, veljavnih do uveljavitve ZPIZ-1 in odstotkov za odmero pokojnine, določenih z ZPIZ-1. Skupni odmerni odstotek se je določil tako, da se je odstotku za odmero pokojnine po prejšnjih predpisih, ki je bil določen glede na pokojninsko dobo, dopolnjeno do uveljavitve ZPIZ-1 (torej do 31. 12. 1999), prištelo po 1,5% za vsako leto pokojninske dobe oziroma po 0,75% za 6 mesecev pokojninske dobe, dopolnjene po 1. 1. 2000. Tista pokojninska doba, ki je po prejšnjih predpisih ni bilo mogoče vrednotiti, ker je bila krajša od 6 mesecev, se je prištela k pokojninski dobi, dopolnjeni po uveljavitvi ZPIZ-1. </w:t>
      </w:r>
    </w:p>
    <w:p w:rsidR="004D3C30" w:rsidRPr="004D3C30" w:rsidRDefault="004D3C30" w:rsidP="004D3C30">
      <w:pPr>
        <w:spacing w:after="0" w:line="276" w:lineRule="auto"/>
        <w:jc w:val="both"/>
        <w:rPr>
          <w:rFonts w:ascii="Arial" w:hAnsi="Arial" w:cs="Arial"/>
          <w:sz w:val="20"/>
          <w:szCs w:val="20"/>
        </w:rPr>
      </w:pPr>
    </w:p>
    <w:p w:rsidR="004D3C30" w:rsidRPr="004D3C30" w:rsidRDefault="004D3C30" w:rsidP="004D3C30">
      <w:pPr>
        <w:autoSpaceDE w:val="0"/>
        <w:autoSpaceDN w:val="0"/>
        <w:adjustRightInd w:val="0"/>
        <w:spacing w:after="0" w:line="276" w:lineRule="auto"/>
        <w:jc w:val="both"/>
        <w:rPr>
          <w:rFonts w:ascii="Arial" w:hAnsi="Arial" w:cs="Arial"/>
          <w:sz w:val="20"/>
          <w:szCs w:val="20"/>
        </w:rPr>
      </w:pPr>
      <w:r w:rsidRPr="004D3C30">
        <w:rPr>
          <w:rFonts w:ascii="Arial" w:hAnsi="Arial" w:cs="Arial"/>
          <w:sz w:val="20"/>
          <w:szCs w:val="20"/>
        </w:rPr>
        <w:t>Skladno z zakonodajo se je odmerni odstotek vsako leto zniževal za 0,5%. Odmerni odstotek za 40 let pokojninske dobe za moške se je tako od uveljavitve ZPIZ-1 (1.</w:t>
      </w:r>
      <w:r w:rsidR="00B56CD3">
        <w:rPr>
          <w:rFonts w:ascii="Arial" w:hAnsi="Arial" w:cs="Arial"/>
          <w:sz w:val="20"/>
          <w:szCs w:val="20"/>
        </w:rPr>
        <w:t xml:space="preserve"> </w:t>
      </w:r>
      <w:r w:rsidRPr="004D3C30">
        <w:rPr>
          <w:rFonts w:ascii="Arial" w:hAnsi="Arial" w:cs="Arial"/>
          <w:sz w:val="20"/>
          <w:szCs w:val="20"/>
        </w:rPr>
        <w:t xml:space="preserve">1. 2000) do leta 2013 znižal za 7 odstotnih točk, torej na 78% od pokojninske osnove. </w:t>
      </w:r>
    </w:p>
    <w:p w:rsidR="004D3C30" w:rsidRPr="004D3C30" w:rsidRDefault="004D3C30" w:rsidP="004D3C30">
      <w:pPr>
        <w:autoSpaceDE w:val="0"/>
        <w:autoSpaceDN w:val="0"/>
        <w:adjustRightInd w:val="0"/>
        <w:spacing w:after="0" w:line="276" w:lineRule="auto"/>
        <w:jc w:val="both"/>
        <w:rPr>
          <w:rFonts w:ascii="Arial" w:hAnsi="Arial" w:cs="Arial"/>
          <w:sz w:val="20"/>
          <w:szCs w:val="20"/>
        </w:rPr>
      </w:pPr>
    </w:p>
    <w:p w:rsidR="004D3C30" w:rsidRPr="004D3C30" w:rsidRDefault="004D3C30" w:rsidP="004D3C30">
      <w:pPr>
        <w:autoSpaceDE w:val="0"/>
        <w:autoSpaceDN w:val="0"/>
        <w:adjustRightInd w:val="0"/>
        <w:spacing w:after="0" w:line="276" w:lineRule="auto"/>
        <w:jc w:val="both"/>
        <w:rPr>
          <w:rFonts w:ascii="Arial" w:hAnsi="Arial" w:cs="Arial"/>
          <w:sz w:val="20"/>
          <w:szCs w:val="20"/>
        </w:rPr>
      </w:pPr>
      <w:r w:rsidRPr="004D3C30">
        <w:rPr>
          <w:rFonts w:ascii="Arial" w:hAnsi="Arial" w:cs="Arial"/>
          <w:b/>
          <w:sz w:val="20"/>
          <w:szCs w:val="20"/>
          <w:u w:val="single"/>
          <w:lang w:eastAsia="sl-SI"/>
        </w:rPr>
        <w:t>ZPIZ-2</w:t>
      </w:r>
      <w:r w:rsidRPr="004D3C30">
        <w:rPr>
          <w:rFonts w:ascii="Arial" w:hAnsi="Arial" w:cs="Arial"/>
          <w:sz w:val="20"/>
          <w:szCs w:val="20"/>
          <w:lang w:eastAsia="sl-SI"/>
        </w:rPr>
        <w:t xml:space="preserve"> je v</w:t>
      </w:r>
      <w:r w:rsidRPr="004D3C30">
        <w:rPr>
          <w:rFonts w:ascii="Arial" w:hAnsi="Arial" w:cs="Arial"/>
          <w:sz w:val="20"/>
          <w:szCs w:val="20"/>
        </w:rPr>
        <w:t xml:space="preserve">zpostavil nov način odmere pokojnine, in sicer z uvedbo novih »čistih« neto odmernih odstotkov, v katerih je že upoštevana prilagoditev s količnikom v višini 0,732, ki je fiksiran na raven iz leta 2011 in se ne spreminja (tako kot se je v skladu z ZPIZ-1). Pri določitvi odmernih odstotkov po ZPIZ-2 je bilo namreč potrebno upoštevati rast pokojnin, ki je bila nižja od rasti plač. Z ZPIZ-2 je bilo zaustavljeno tudi nadaljnje padanje pokojnin, ki je bilo posledica že omenjenega zniževanja odmernega odstotka za 0,5 odstotne točke na leto. </w:t>
      </w:r>
    </w:p>
    <w:p w:rsidR="004D3C30" w:rsidRPr="004D3C30" w:rsidRDefault="004D3C30" w:rsidP="004D3C30">
      <w:pPr>
        <w:spacing w:after="0" w:line="276" w:lineRule="auto"/>
        <w:jc w:val="both"/>
        <w:rPr>
          <w:rFonts w:ascii="Arial" w:hAnsi="Arial" w:cs="Arial"/>
          <w:sz w:val="20"/>
          <w:szCs w:val="20"/>
        </w:rPr>
      </w:pPr>
    </w:p>
    <w:p w:rsidR="004D3C30" w:rsidRPr="004D3C30" w:rsidRDefault="004D3C30" w:rsidP="004D3C30">
      <w:pPr>
        <w:spacing w:after="0" w:line="276" w:lineRule="auto"/>
        <w:jc w:val="both"/>
        <w:rPr>
          <w:rFonts w:ascii="Arial" w:hAnsi="Arial" w:cs="Arial"/>
          <w:sz w:val="20"/>
          <w:szCs w:val="20"/>
          <w:lang w:eastAsia="sl-SI"/>
        </w:rPr>
      </w:pPr>
      <w:r w:rsidRPr="004D3C30">
        <w:rPr>
          <w:rFonts w:ascii="Arial" w:hAnsi="Arial" w:cs="Arial"/>
          <w:sz w:val="20"/>
          <w:szCs w:val="20"/>
        </w:rPr>
        <w:t>R</w:t>
      </w:r>
      <w:r w:rsidRPr="004D3C30">
        <w:rPr>
          <w:rFonts w:ascii="Arial" w:hAnsi="Arial" w:cs="Arial"/>
          <w:bCs/>
          <w:sz w:val="20"/>
          <w:szCs w:val="20"/>
        </w:rPr>
        <w:t>azlika med določitvijo odmernih odstotkov po ZPIZ-1 in ZPIZ-2</w:t>
      </w:r>
      <w:r w:rsidRPr="004D3C30">
        <w:rPr>
          <w:rFonts w:ascii="Arial" w:hAnsi="Arial" w:cs="Arial"/>
          <w:sz w:val="20"/>
          <w:szCs w:val="20"/>
        </w:rPr>
        <w:t xml:space="preserve"> je v tem, da so bili po ZPIZ-1 odmerni odstotki določeni v bruto višini, zato jih je bilo potrebno še dodatno uskladiti z odstotkom vseh uskladitev pokojnin, ki je v letu 2011 znašal 0,732 (vendar pa se je letno še zniževal in tako povzročal vsako leto nižjo določitev višine pokojnin novih upokojencev). Po ZPIZ-2 pa so odmerni odstotki že v zakonu določeni v neto višini in upoštevajo zaostajanje rasti pokojnin za rastjo povprečnih plač. Pokojnina zavarovanca za 40 let pokojninske dobe tako znaša 57,25 % pokojninske osnove (kar bi bilo enako odstotku po ZPIZ-1 iz leta 2012 v višini 78,75 %), pokojnina zavarovanke za 40 let pokojninske dobe pa v letošnjem letu znaša 63,5 % (kar bi bilo po ZPIZ-1 enako 86 %), pri čemer je pokojninska osnova zaradi drugačne valorizacije osnov iz prejšnjih let ustrezno višja. </w:t>
      </w:r>
    </w:p>
    <w:p w:rsidR="004D3C30" w:rsidRPr="004D3C30" w:rsidRDefault="004D3C30" w:rsidP="004D3C30">
      <w:pPr>
        <w:autoSpaceDE w:val="0"/>
        <w:autoSpaceDN w:val="0"/>
        <w:adjustRightInd w:val="0"/>
        <w:spacing w:after="0" w:line="276" w:lineRule="auto"/>
        <w:rPr>
          <w:rFonts w:ascii="Arial" w:hAnsi="Arial" w:cs="Arial"/>
          <w:sz w:val="20"/>
          <w:szCs w:val="20"/>
        </w:rPr>
      </w:pPr>
    </w:p>
    <w:p w:rsidR="004D3C30" w:rsidRPr="004D3C30" w:rsidRDefault="004D3C30" w:rsidP="004D3C30">
      <w:pPr>
        <w:autoSpaceDE w:val="0"/>
        <w:autoSpaceDN w:val="0"/>
        <w:adjustRightInd w:val="0"/>
        <w:spacing w:after="0" w:line="276" w:lineRule="auto"/>
        <w:jc w:val="both"/>
        <w:rPr>
          <w:rFonts w:ascii="Arial" w:hAnsi="Arial" w:cs="Arial"/>
          <w:sz w:val="20"/>
          <w:szCs w:val="20"/>
        </w:rPr>
      </w:pPr>
      <w:r w:rsidRPr="004D3C30">
        <w:rPr>
          <w:rFonts w:ascii="Arial" w:hAnsi="Arial" w:cs="Arial"/>
          <w:sz w:val="20"/>
          <w:szCs w:val="20"/>
        </w:rPr>
        <w:t>Zaradi postopnega dviga zahtevane pokojninske dobe za zavarovanke iz 38 let po ZPIZ-1 na 40 let po ZPIZ-2 in zaradi ohranjanja vrednosti pokojnin zavarovank v primerljivi višini kot po ZPIZ-1, je v prehodnem obdobju za zavarovanke določen ugodnejši način odmere starostne pokojnine. Na ta način se zavarovankam, ki bodo v letih 2013 – 2022 dopolnile zahtevano pokojninsko dobo, omogoča ohranjanje vrednosti pokojnine v primerljivi višini kot po ZPIZ-1, in sicer od:</w:t>
      </w:r>
    </w:p>
    <w:p w:rsidR="004D3C30" w:rsidRPr="004D3C30" w:rsidRDefault="004D3C30" w:rsidP="004D3C30">
      <w:pPr>
        <w:autoSpaceDE w:val="0"/>
        <w:autoSpaceDN w:val="0"/>
        <w:adjustRightInd w:val="0"/>
        <w:spacing w:after="0" w:line="276" w:lineRule="auto"/>
        <w:jc w:val="both"/>
        <w:rPr>
          <w:rFonts w:ascii="Arial" w:hAnsi="Arial" w:cs="Arial"/>
          <w:sz w:val="20"/>
          <w:szCs w:val="20"/>
        </w:rPr>
      </w:pPr>
      <w:r w:rsidRPr="004D3C30">
        <w:rPr>
          <w:rFonts w:ascii="Arial" w:hAnsi="Arial" w:cs="Arial"/>
          <w:sz w:val="20"/>
          <w:szCs w:val="20"/>
        </w:rPr>
        <w:t>-</w:t>
      </w:r>
      <w:r w:rsidRPr="004D3C30">
        <w:rPr>
          <w:rFonts w:ascii="Arial" w:hAnsi="Arial" w:cs="Arial"/>
          <w:sz w:val="20"/>
          <w:szCs w:val="20"/>
        </w:rPr>
        <w:tab/>
        <w:t>1. 1. 2013 do 31. 12. 2016 za 40 let 64,25 % (bruto – 87,77 %);</w:t>
      </w:r>
    </w:p>
    <w:p w:rsidR="004D3C30" w:rsidRPr="004D3C30" w:rsidRDefault="004D3C30" w:rsidP="004D3C30">
      <w:pPr>
        <w:autoSpaceDE w:val="0"/>
        <w:autoSpaceDN w:val="0"/>
        <w:adjustRightInd w:val="0"/>
        <w:spacing w:after="0" w:line="276" w:lineRule="auto"/>
        <w:jc w:val="both"/>
        <w:rPr>
          <w:rFonts w:ascii="Arial" w:hAnsi="Arial" w:cs="Arial"/>
          <w:sz w:val="20"/>
          <w:szCs w:val="20"/>
        </w:rPr>
      </w:pPr>
      <w:r w:rsidRPr="004D3C30">
        <w:rPr>
          <w:rFonts w:ascii="Arial" w:hAnsi="Arial" w:cs="Arial"/>
          <w:sz w:val="20"/>
          <w:szCs w:val="20"/>
        </w:rPr>
        <w:lastRenderedPageBreak/>
        <w:t>-</w:t>
      </w:r>
      <w:r w:rsidRPr="004D3C30">
        <w:rPr>
          <w:rFonts w:ascii="Arial" w:hAnsi="Arial" w:cs="Arial"/>
          <w:sz w:val="20"/>
          <w:szCs w:val="20"/>
        </w:rPr>
        <w:tab/>
        <w:t>1. 1. 2017 do 31. 12. 2019 za 40 let 63,5 % (bruto – 86,75 %);</w:t>
      </w:r>
    </w:p>
    <w:p w:rsidR="004D3C30" w:rsidRPr="004D3C30" w:rsidRDefault="004D3C30" w:rsidP="004D3C30">
      <w:pPr>
        <w:autoSpaceDE w:val="0"/>
        <w:autoSpaceDN w:val="0"/>
        <w:adjustRightInd w:val="0"/>
        <w:spacing w:after="0" w:line="276" w:lineRule="auto"/>
        <w:jc w:val="both"/>
        <w:rPr>
          <w:rFonts w:ascii="Arial" w:hAnsi="Arial" w:cs="Arial"/>
          <w:sz w:val="20"/>
          <w:szCs w:val="20"/>
        </w:rPr>
      </w:pPr>
      <w:r w:rsidRPr="004D3C30">
        <w:rPr>
          <w:rFonts w:ascii="Arial" w:hAnsi="Arial" w:cs="Arial"/>
          <w:sz w:val="20"/>
          <w:szCs w:val="20"/>
        </w:rPr>
        <w:t>-</w:t>
      </w:r>
      <w:r w:rsidRPr="004D3C30">
        <w:rPr>
          <w:rFonts w:ascii="Arial" w:hAnsi="Arial" w:cs="Arial"/>
          <w:sz w:val="20"/>
          <w:szCs w:val="20"/>
        </w:rPr>
        <w:tab/>
        <w:t>1. 1. 2020 do 31. 12. 2022 za 40 let 61,5 % (bruto – 84 %).</w:t>
      </w:r>
    </w:p>
    <w:p w:rsidR="004D3C30" w:rsidRPr="004D3C30" w:rsidRDefault="004D3C30" w:rsidP="004D3C30">
      <w:pPr>
        <w:pStyle w:val="Odstavek"/>
        <w:spacing w:before="0" w:line="276" w:lineRule="auto"/>
        <w:ind w:firstLine="0"/>
        <w:rPr>
          <w:rFonts w:cs="Arial"/>
          <w:b/>
          <w:sz w:val="20"/>
          <w:szCs w:val="20"/>
        </w:rPr>
      </w:pPr>
    </w:p>
    <w:p w:rsidR="004D3C30" w:rsidRPr="004D3C30" w:rsidRDefault="004D3C30" w:rsidP="004D3C30">
      <w:pPr>
        <w:pStyle w:val="Odstavek"/>
        <w:spacing w:before="0" w:line="276" w:lineRule="auto"/>
        <w:ind w:firstLine="0"/>
        <w:rPr>
          <w:rFonts w:cs="Arial"/>
          <w:b/>
          <w:sz w:val="20"/>
          <w:szCs w:val="20"/>
        </w:rPr>
      </w:pPr>
      <w:r w:rsidRPr="004D3C30">
        <w:rPr>
          <w:rFonts w:cs="Arial"/>
          <w:b/>
          <w:sz w:val="20"/>
          <w:szCs w:val="20"/>
        </w:rPr>
        <w:t>UGODNEJŠE VREDNOTENJE POKOJNINSKE DOBE</w:t>
      </w:r>
    </w:p>
    <w:p w:rsidR="004D3C30" w:rsidRPr="004D3C30" w:rsidRDefault="004D3C30" w:rsidP="004D3C30">
      <w:pPr>
        <w:pStyle w:val="Odstavek"/>
        <w:spacing w:before="0" w:line="276" w:lineRule="auto"/>
        <w:ind w:firstLine="0"/>
        <w:rPr>
          <w:rFonts w:cs="Arial"/>
          <w:b/>
          <w:sz w:val="20"/>
          <w:szCs w:val="20"/>
        </w:rPr>
      </w:pPr>
    </w:p>
    <w:p w:rsidR="004D3C30" w:rsidRPr="004D3C30" w:rsidRDefault="004D3C30" w:rsidP="004D3C30">
      <w:pPr>
        <w:pStyle w:val="Odstavek"/>
        <w:spacing w:before="0" w:line="276" w:lineRule="auto"/>
        <w:ind w:firstLine="0"/>
        <w:rPr>
          <w:rFonts w:cs="Arial"/>
          <w:sz w:val="20"/>
          <w:szCs w:val="20"/>
        </w:rPr>
      </w:pPr>
      <w:r w:rsidRPr="004D3C30">
        <w:rPr>
          <w:rFonts w:cs="Arial"/>
          <w:b/>
          <w:sz w:val="20"/>
          <w:szCs w:val="20"/>
          <w:u w:val="single"/>
        </w:rPr>
        <w:t>Po ZPIZ-92</w:t>
      </w:r>
      <w:r w:rsidRPr="004D3C30">
        <w:rPr>
          <w:rFonts w:cs="Arial"/>
          <w:sz w:val="20"/>
          <w:szCs w:val="20"/>
        </w:rPr>
        <w:t xml:space="preserve"> se je zavarovancu, ki je ostal v zavarovanju po dopolnitvi polne pokojninske dobe, ker še ni dopolnil zakonsko določene starosti, odmerjena pokojnina povečala za 1% za vsako dopolnjeno leto, ki presega polno pokojninsko dobo. </w:t>
      </w:r>
    </w:p>
    <w:p w:rsidR="004D3C30" w:rsidRPr="004D3C30" w:rsidRDefault="004D3C30" w:rsidP="004D3C30">
      <w:pPr>
        <w:pStyle w:val="Odstavek"/>
        <w:spacing w:before="0" w:line="276" w:lineRule="auto"/>
        <w:ind w:firstLine="0"/>
        <w:rPr>
          <w:rFonts w:cs="Arial"/>
          <w:sz w:val="20"/>
          <w:szCs w:val="20"/>
        </w:rPr>
      </w:pPr>
    </w:p>
    <w:p w:rsidR="004D3C30" w:rsidRPr="004D3C30" w:rsidRDefault="004D3C30" w:rsidP="004D3C30">
      <w:pPr>
        <w:pStyle w:val="Odstavek"/>
        <w:spacing w:before="0" w:line="276" w:lineRule="auto"/>
        <w:ind w:firstLine="0"/>
        <w:rPr>
          <w:rFonts w:cs="Arial"/>
          <w:sz w:val="20"/>
          <w:szCs w:val="20"/>
        </w:rPr>
      </w:pPr>
      <w:r w:rsidRPr="004D3C30">
        <w:rPr>
          <w:rFonts w:cs="Arial"/>
          <w:b/>
          <w:sz w:val="20"/>
          <w:szCs w:val="20"/>
          <w:u w:val="single"/>
        </w:rPr>
        <w:t>Po ZPIZ-1</w:t>
      </w:r>
      <w:r w:rsidRPr="004D3C30">
        <w:rPr>
          <w:rFonts w:cs="Arial"/>
          <w:sz w:val="20"/>
          <w:szCs w:val="20"/>
        </w:rPr>
        <w:t xml:space="preserve"> se je pri odmeri starostne pokojnine delovna doba, daljša od 40 let (moški) oziroma 38 let (ženske), ki jo je zavarovanec dopolnil do dopolnitve 63 let starosti (moški) oziroma 61 let starosti (ženska), vrednotila z višjimi odstotki, in sicer na naslednji način: </w:t>
      </w:r>
    </w:p>
    <w:p w:rsidR="004D3C30" w:rsidRPr="004D3C30" w:rsidRDefault="004D3C30" w:rsidP="004D3C30">
      <w:pPr>
        <w:pStyle w:val="Odstavek"/>
        <w:spacing w:before="0" w:line="276" w:lineRule="auto"/>
        <w:ind w:firstLine="0"/>
        <w:rPr>
          <w:rFonts w:cs="Arial"/>
          <w:sz w:val="20"/>
          <w:szCs w:val="20"/>
        </w:rPr>
      </w:pPr>
    </w:p>
    <w:tbl>
      <w:tblPr>
        <w:tblW w:w="9000" w:type="dxa"/>
        <w:tblCellMar>
          <w:left w:w="70" w:type="dxa"/>
          <w:right w:w="70" w:type="dxa"/>
        </w:tblCellMar>
        <w:tblLook w:val="04A0" w:firstRow="1" w:lastRow="0" w:firstColumn="1" w:lastColumn="0" w:noHBand="0" w:noVBand="1"/>
      </w:tblPr>
      <w:tblGrid>
        <w:gridCol w:w="2373"/>
        <w:gridCol w:w="1410"/>
        <w:gridCol w:w="1364"/>
        <w:gridCol w:w="2050"/>
        <w:gridCol w:w="1803"/>
      </w:tblGrid>
      <w:tr w:rsidR="004D3C30" w:rsidRPr="004D3C30" w:rsidTr="002543AF">
        <w:trPr>
          <w:trHeight w:val="679"/>
        </w:trPr>
        <w:tc>
          <w:tcPr>
            <w:tcW w:w="237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VREDNOTENJE DALJŠE DELOVNE DOBE OD POLNE</w:t>
            </w:r>
          </w:p>
        </w:tc>
        <w:tc>
          <w:tcPr>
            <w:tcW w:w="1410" w:type="dxa"/>
            <w:tcBorders>
              <w:top w:val="single" w:sz="8" w:space="0" w:color="auto"/>
              <w:left w:val="nil"/>
              <w:bottom w:val="single" w:sz="4"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M</w:t>
            </w:r>
          </w:p>
        </w:tc>
        <w:tc>
          <w:tcPr>
            <w:tcW w:w="1364" w:type="dxa"/>
            <w:tcBorders>
              <w:top w:val="single" w:sz="8" w:space="0" w:color="auto"/>
              <w:left w:val="nil"/>
              <w:bottom w:val="single" w:sz="4"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Ž</w:t>
            </w:r>
          </w:p>
        </w:tc>
        <w:tc>
          <w:tcPr>
            <w:tcW w:w="2050" w:type="dxa"/>
            <w:tcBorders>
              <w:top w:val="single" w:sz="8" w:space="0" w:color="auto"/>
              <w:left w:val="nil"/>
              <w:bottom w:val="single" w:sz="4" w:space="0" w:color="auto"/>
              <w:right w:val="single" w:sz="4" w:space="0" w:color="auto"/>
            </w:tcBorders>
            <w:shd w:val="clear" w:color="auto" w:fill="auto"/>
            <w:vAlign w:val="bottom"/>
            <w:hideMark/>
          </w:tcPr>
          <w:p w:rsidR="004D3C30" w:rsidRPr="004D3C30" w:rsidRDefault="004D3C30" w:rsidP="004D3C30">
            <w:pPr>
              <w:spacing w:after="0" w:line="276" w:lineRule="auto"/>
              <w:rPr>
                <w:rFonts w:ascii="Arial" w:hAnsi="Arial" w:cs="Arial"/>
                <w:color w:val="000000"/>
                <w:sz w:val="18"/>
                <w:szCs w:val="18"/>
                <w:lang w:eastAsia="sl-SI"/>
              </w:rPr>
            </w:pPr>
            <w:r w:rsidRPr="004D3C30">
              <w:rPr>
                <w:rFonts w:ascii="Arial" w:hAnsi="Arial" w:cs="Arial"/>
                <w:color w:val="000000"/>
                <w:sz w:val="18"/>
                <w:szCs w:val="18"/>
                <w:lang w:eastAsia="sl-SI"/>
              </w:rPr>
              <w:t xml:space="preserve">vrednost posameznega </w:t>
            </w:r>
            <w:r w:rsidRPr="004D3C30">
              <w:rPr>
                <w:rFonts w:ascii="Arial" w:hAnsi="Arial" w:cs="Arial"/>
                <w:color w:val="000000"/>
                <w:sz w:val="18"/>
                <w:szCs w:val="18"/>
                <w:lang w:eastAsia="sl-SI"/>
              </w:rPr>
              <w:br/>
              <w:t>leta delovne dobe</w:t>
            </w:r>
          </w:p>
        </w:tc>
        <w:tc>
          <w:tcPr>
            <w:tcW w:w="1803" w:type="dxa"/>
            <w:tcBorders>
              <w:top w:val="single" w:sz="8" w:space="0" w:color="auto"/>
              <w:left w:val="nil"/>
              <w:bottom w:val="single" w:sz="4" w:space="0" w:color="auto"/>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6M</w:t>
            </w:r>
          </w:p>
        </w:tc>
      </w:tr>
      <w:tr w:rsidR="004D3C30" w:rsidRPr="004D3C30" w:rsidTr="002543AF">
        <w:trPr>
          <w:trHeight w:val="226"/>
        </w:trPr>
        <w:tc>
          <w:tcPr>
            <w:tcW w:w="2373" w:type="dxa"/>
            <w:vMerge/>
            <w:tcBorders>
              <w:top w:val="single" w:sz="8" w:space="0" w:color="auto"/>
              <w:left w:val="single" w:sz="8"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18"/>
                <w:szCs w:val="18"/>
                <w:lang w:eastAsia="sl-SI"/>
              </w:rPr>
            </w:pPr>
          </w:p>
        </w:tc>
        <w:tc>
          <w:tcPr>
            <w:tcW w:w="1410" w:type="dxa"/>
            <w:tcBorders>
              <w:top w:val="nil"/>
              <w:left w:val="nil"/>
              <w:bottom w:val="single" w:sz="4" w:space="0" w:color="auto"/>
              <w:right w:val="single" w:sz="4" w:space="0" w:color="auto"/>
            </w:tcBorders>
            <w:shd w:val="clear" w:color="auto" w:fill="auto"/>
            <w:noWrap/>
            <w:vAlign w:val="bottom"/>
            <w:hideMark/>
          </w:tcPr>
          <w:p w:rsidR="004D3C30" w:rsidRPr="004D3C30" w:rsidRDefault="004D3C30" w:rsidP="004D3C30">
            <w:pPr>
              <w:spacing w:after="0" w:line="276" w:lineRule="auto"/>
              <w:rPr>
                <w:rFonts w:ascii="Arial" w:hAnsi="Arial" w:cs="Arial"/>
                <w:color w:val="000000"/>
                <w:sz w:val="18"/>
                <w:szCs w:val="18"/>
                <w:lang w:eastAsia="sl-SI"/>
              </w:rPr>
            </w:pPr>
            <w:r w:rsidRPr="004D3C30">
              <w:rPr>
                <w:rFonts w:ascii="Arial" w:hAnsi="Arial" w:cs="Arial"/>
                <w:color w:val="000000"/>
                <w:sz w:val="18"/>
                <w:szCs w:val="18"/>
                <w:lang w:eastAsia="sl-SI"/>
              </w:rPr>
              <w:t>41. leto</w:t>
            </w:r>
          </w:p>
        </w:tc>
        <w:tc>
          <w:tcPr>
            <w:tcW w:w="1364" w:type="dxa"/>
            <w:tcBorders>
              <w:top w:val="nil"/>
              <w:left w:val="nil"/>
              <w:bottom w:val="single" w:sz="4" w:space="0" w:color="auto"/>
              <w:right w:val="single" w:sz="4" w:space="0" w:color="auto"/>
            </w:tcBorders>
            <w:shd w:val="clear" w:color="auto" w:fill="auto"/>
            <w:noWrap/>
            <w:vAlign w:val="bottom"/>
            <w:hideMark/>
          </w:tcPr>
          <w:p w:rsidR="004D3C30" w:rsidRPr="004D3C30" w:rsidRDefault="004D3C30" w:rsidP="004D3C30">
            <w:pPr>
              <w:spacing w:after="0" w:line="276" w:lineRule="auto"/>
              <w:rPr>
                <w:rFonts w:ascii="Arial" w:hAnsi="Arial" w:cs="Arial"/>
                <w:color w:val="000000"/>
                <w:sz w:val="18"/>
                <w:szCs w:val="18"/>
                <w:lang w:eastAsia="sl-SI"/>
              </w:rPr>
            </w:pPr>
            <w:r w:rsidRPr="004D3C30">
              <w:rPr>
                <w:rFonts w:ascii="Arial" w:hAnsi="Arial" w:cs="Arial"/>
                <w:color w:val="000000"/>
                <w:sz w:val="18"/>
                <w:szCs w:val="18"/>
                <w:lang w:eastAsia="sl-SI"/>
              </w:rPr>
              <w:t>39. leto</w:t>
            </w:r>
          </w:p>
        </w:tc>
        <w:tc>
          <w:tcPr>
            <w:tcW w:w="2050" w:type="dxa"/>
            <w:tcBorders>
              <w:top w:val="nil"/>
              <w:left w:val="nil"/>
              <w:bottom w:val="single" w:sz="4"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3%</w:t>
            </w:r>
          </w:p>
        </w:tc>
        <w:tc>
          <w:tcPr>
            <w:tcW w:w="1803" w:type="dxa"/>
            <w:tcBorders>
              <w:top w:val="nil"/>
              <w:left w:val="nil"/>
              <w:bottom w:val="single" w:sz="4" w:space="0" w:color="auto"/>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1,5%</w:t>
            </w:r>
          </w:p>
        </w:tc>
      </w:tr>
      <w:tr w:rsidR="004D3C30" w:rsidRPr="004D3C30" w:rsidTr="002543AF">
        <w:trPr>
          <w:trHeight w:val="226"/>
        </w:trPr>
        <w:tc>
          <w:tcPr>
            <w:tcW w:w="2373" w:type="dxa"/>
            <w:vMerge/>
            <w:tcBorders>
              <w:top w:val="single" w:sz="8" w:space="0" w:color="auto"/>
              <w:left w:val="single" w:sz="8"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18"/>
                <w:szCs w:val="18"/>
                <w:lang w:eastAsia="sl-SI"/>
              </w:rPr>
            </w:pPr>
          </w:p>
        </w:tc>
        <w:tc>
          <w:tcPr>
            <w:tcW w:w="1410" w:type="dxa"/>
            <w:tcBorders>
              <w:top w:val="nil"/>
              <w:left w:val="nil"/>
              <w:bottom w:val="single" w:sz="4" w:space="0" w:color="auto"/>
              <w:right w:val="single" w:sz="4" w:space="0" w:color="auto"/>
            </w:tcBorders>
            <w:shd w:val="clear" w:color="auto" w:fill="auto"/>
            <w:noWrap/>
            <w:vAlign w:val="bottom"/>
            <w:hideMark/>
          </w:tcPr>
          <w:p w:rsidR="004D3C30" w:rsidRPr="004D3C30" w:rsidRDefault="004D3C30" w:rsidP="004D3C30">
            <w:pPr>
              <w:spacing w:after="0" w:line="276" w:lineRule="auto"/>
              <w:rPr>
                <w:rFonts w:ascii="Arial" w:hAnsi="Arial" w:cs="Arial"/>
                <w:color w:val="000000"/>
                <w:sz w:val="18"/>
                <w:szCs w:val="18"/>
                <w:lang w:eastAsia="sl-SI"/>
              </w:rPr>
            </w:pPr>
            <w:r w:rsidRPr="004D3C30">
              <w:rPr>
                <w:rFonts w:ascii="Arial" w:hAnsi="Arial" w:cs="Arial"/>
                <w:color w:val="000000"/>
                <w:sz w:val="18"/>
                <w:szCs w:val="18"/>
                <w:lang w:eastAsia="sl-SI"/>
              </w:rPr>
              <w:t>42. leto</w:t>
            </w:r>
          </w:p>
        </w:tc>
        <w:tc>
          <w:tcPr>
            <w:tcW w:w="1364" w:type="dxa"/>
            <w:tcBorders>
              <w:top w:val="nil"/>
              <w:left w:val="nil"/>
              <w:bottom w:val="single" w:sz="4" w:space="0" w:color="auto"/>
              <w:right w:val="single" w:sz="4" w:space="0" w:color="auto"/>
            </w:tcBorders>
            <w:shd w:val="clear" w:color="auto" w:fill="auto"/>
            <w:noWrap/>
            <w:vAlign w:val="bottom"/>
            <w:hideMark/>
          </w:tcPr>
          <w:p w:rsidR="004D3C30" w:rsidRPr="004D3C30" w:rsidRDefault="004D3C30" w:rsidP="004D3C30">
            <w:pPr>
              <w:spacing w:after="0" w:line="276" w:lineRule="auto"/>
              <w:rPr>
                <w:rFonts w:ascii="Arial" w:hAnsi="Arial" w:cs="Arial"/>
                <w:color w:val="000000"/>
                <w:sz w:val="18"/>
                <w:szCs w:val="18"/>
                <w:lang w:eastAsia="sl-SI"/>
              </w:rPr>
            </w:pPr>
            <w:r w:rsidRPr="004D3C30">
              <w:rPr>
                <w:rFonts w:ascii="Arial" w:hAnsi="Arial" w:cs="Arial"/>
                <w:color w:val="000000"/>
                <w:sz w:val="18"/>
                <w:szCs w:val="18"/>
                <w:lang w:eastAsia="sl-SI"/>
              </w:rPr>
              <w:t>40. leto</w:t>
            </w:r>
          </w:p>
        </w:tc>
        <w:tc>
          <w:tcPr>
            <w:tcW w:w="2050" w:type="dxa"/>
            <w:tcBorders>
              <w:top w:val="nil"/>
              <w:left w:val="nil"/>
              <w:bottom w:val="single" w:sz="4"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2,60%</w:t>
            </w:r>
          </w:p>
        </w:tc>
        <w:tc>
          <w:tcPr>
            <w:tcW w:w="1803" w:type="dxa"/>
            <w:tcBorders>
              <w:top w:val="nil"/>
              <w:left w:val="nil"/>
              <w:bottom w:val="single" w:sz="4" w:space="0" w:color="auto"/>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1,3%</w:t>
            </w:r>
          </w:p>
        </w:tc>
      </w:tr>
      <w:tr w:rsidR="004D3C30" w:rsidRPr="004D3C30" w:rsidTr="002543AF">
        <w:trPr>
          <w:trHeight w:val="226"/>
        </w:trPr>
        <w:tc>
          <w:tcPr>
            <w:tcW w:w="2373" w:type="dxa"/>
            <w:vMerge/>
            <w:tcBorders>
              <w:top w:val="single" w:sz="8" w:space="0" w:color="auto"/>
              <w:left w:val="single" w:sz="8"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18"/>
                <w:szCs w:val="18"/>
                <w:lang w:eastAsia="sl-SI"/>
              </w:rPr>
            </w:pPr>
          </w:p>
        </w:tc>
        <w:tc>
          <w:tcPr>
            <w:tcW w:w="1410" w:type="dxa"/>
            <w:tcBorders>
              <w:top w:val="nil"/>
              <w:left w:val="nil"/>
              <w:bottom w:val="single" w:sz="4" w:space="0" w:color="auto"/>
              <w:right w:val="single" w:sz="4" w:space="0" w:color="auto"/>
            </w:tcBorders>
            <w:shd w:val="clear" w:color="auto" w:fill="auto"/>
            <w:noWrap/>
            <w:vAlign w:val="bottom"/>
            <w:hideMark/>
          </w:tcPr>
          <w:p w:rsidR="004D3C30" w:rsidRPr="004D3C30" w:rsidRDefault="004D3C30" w:rsidP="004D3C30">
            <w:pPr>
              <w:spacing w:after="0" w:line="276" w:lineRule="auto"/>
              <w:rPr>
                <w:rFonts w:ascii="Arial" w:hAnsi="Arial" w:cs="Arial"/>
                <w:color w:val="000000"/>
                <w:sz w:val="18"/>
                <w:szCs w:val="18"/>
                <w:lang w:eastAsia="sl-SI"/>
              </w:rPr>
            </w:pPr>
            <w:r w:rsidRPr="004D3C30">
              <w:rPr>
                <w:rFonts w:ascii="Arial" w:hAnsi="Arial" w:cs="Arial"/>
                <w:color w:val="000000"/>
                <w:sz w:val="18"/>
                <w:szCs w:val="18"/>
                <w:lang w:eastAsia="sl-SI"/>
              </w:rPr>
              <w:t>43. leto</w:t>
            </w:r>
          </w:p>
        </w:tc>
        <w:tc>
          <w:tcPr>
            <w:tcW w:w="1364" w:type="dxa"/>
            <w:tcBorders>
              <w:top w:val="nil"/>
              <w:left w:val="nil"/>
              <w:bottom w:val="single" w:sz="4" w:space="0" w:color="auto"/>
              <w:right w:val="single" w:sz="4" w:space="0" w:color="auto"/>
            </w:tcBorders>
            <w:shd w:val="clear" w:color="auto" w:fill="auto"/>
            <w:noWrap/>
            <w:vAlign w:val="bottom"/>
            <w:hideMark/>
          </w:tcPr>
          <w:p w:rsidR="004D3C30" w:rsidRPr="004D3C30" w:rsidRDefault="004D3C30" w:rsidP="004D3C30">
            <w:pPr>
              <w:spacing w:after="0" w:line="276" w:lineRule="auto"/>
              <w:rPr>
                <w:rFonts w:ascii="Arial" w:hAnsi="Arial" w:cs="Arial"/>
                <w:color w:val="000000"/>
                <w:sz w:val="18"/>
                <w:szCs w:val="18"/>
                <w:lang w:eastAsia="sl-SI"/>
              </w:rPr>
            </w:pPr>
            <w:r w:rsidRPr="004D3C30">
              <w:rPr>
                <w:rFonts w:ascii="Arial" w:hAnsi="Arial" w:cs="Arial"/>
                <w:color w:val="000000"/>
                <w:sz w:val="18"/>
                <w:szCs w:val="18"/>
                <w:lang w:eastAsia="sl-SI"/>
              </w:rPr>
              <w:t>41. leto</w:t>
            </w:r>
          </w:p>
        </w:tc>
        <w:tc>
          <w:tcPr>
            <w:tcW w:w="2050" w:type="dxa"/>
            <w:tcBorders>
              <w:top w:val="nil"/>
              <w:left w:val="nil"/>
              <w:bottom w:val="single" w:sz="4"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2,20%</w:t>
            </w:r>
          </w:p>
        </w:tc>
        <w:tc>
          <w:tcPr>
            <w:tcW w:w="1803" w:type="dxa"/>
            <w:tcBorders>
              <w:top w:val="nil"/>
              <w:left w:val="nil"/>
              <w:bottom w:val="single" w:sz="4" w:space="0" w:color="auto"/>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1,1%</w:t>
            </w:r>
          </w:p>
        </w:tc>
      </w:tr>
      <w:tr w:rsidR="004D3C30" w:rsidRPr="004D3C30" w:rsidTr="002543AF">
        <w:trPr>
          <w:trHeight w:val="226"/>
        </w:trPr>
        <w:tc>
          <w:tcPr>
            <w:tcW w:w="2373" w:type="dxa"/>
            <w:vMerge/>
            <w:tcBorders>
              <w:top w:val="single" w:sz="8" w:space="0" w:color="auto"/>
              <w:left w:val="single" w:sz="8"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18"/>
                <w:szCs w:val="18"/>
                <w:lang w:eastAsia="sl-SI"/>
              </w:rPr>
            </w:pPr>
          </w:p>
        </w:tc>
        <w:tc>
          <w:tcPr>
            <w:tcW w:w="1410" w:type="dxa"/>
            <w:tcBorders>
              <w:top w:val="nil"/>
              <w:left w:val="nil"/>
              <w:bottom w:val="single" w:sz="4" w:space="0" w:color="auto"/>
              <w:right w:val="single" w:sz="4" w:space="0" w:color="auto"/>
            </w:tcBorders>
            <w:shd w:val="clear" w:color="auto" w:fill="auto"/>
            <w:noWrap/>
            <w:vAlign w:val="bottom"/>
            <w:hideMark/>
          </w:tcPr>
          <w:p w:rsidR="004D3C30" w:rsidRPr="004D3C30" w:rsidRDefault="004D3C30" w:rsidP="004D3C30">
            <w:pPr>
              <w:spacing w:after="0" w:line="276" w:lineRule="auto"/>
              <w:rPr>
                <w:rFonts w:ascii="Arial" w:hAnsi="Arial" w:cs="Arial"/>
                <w:color w:val="000000"/>
                <w:sz w:val="18"/>
                <w:szCs w:val="18"/>
                <w:lang w:eastAsia="sl-SI"/>
              </w:rPr>
            </w:pPr>
            <w:r w:rsidRPr="004D3C30">
              <w:rPr>
                <w:rFonts w:ascii="Arial" w:hAnsi="Arial" w:cs="Arial"/>
                <w:color w:val="000000"/>
                <w:sz w:val="18"/>
                <w:szCs w:val="18"/>
                <w:lang w:eastAsia="sl-SI"/>
              </w:rPr>
              <w:t>44. leto</w:t>
            </w:r>
          </w:p>
        </w:tc>
        <w:tc>
          <w:tcPr>
            <w:tcW w:w="1364" w:type="dxa"/>
            <w:tcBorders>
              <w:top w:val="nil"/>
              <w:left w:val="nil"/>
              <w:bottom w:val="single" w:sz="4" w:space="0" w:color="auto"/>
              <w:right w:val="single" w:sz="4" w:space="0" w:color="auto"/>
            </w:tcBorders>
            <w:shd w:val="clear" w:color="auto" w:fill="auto"/>
            <w:noWrap/>
            <w:vAlign w:val="bottom"/>
            <w:hideMark/>
          </w:tcPr>
          <w:p w:rsidR="004D3C30" w:rsidRPr="004D3C30" w:rsidRDefault="004D3C30" w:rsidP="004D3C30">
            <w:pPr>
              <w:spacing w:after="0" w:line="276" w:lineRule="auto"/>
              <w:rPr>
                <w:rFonts w:ascii="Arial" w:hAnsi="Arial" w:cs="Arial"/>
                <w:color w:val="000000"/>
                <w:sz w:val="18"/>
                <w:szCs w:val="18"/>
                <w:lang w:eastAsia="sl-SI"/>
              </w:rPr>
            </w:pPr>
            <w:r w:rsidRPr="004D3C30">
              <w:rPr>
                <w:rFonts w:ascii="Arial" w:hAnsi="Arial" w:cs="Arial"/>
                <w:color w:val="000000"/>
                <w:sz w:val="18"/>
                <w:szCs w:val="18"/>
                <w:lang w:eastAsia="sl-SI"/>
              </w:rPr>
              <w:t>42. leto</w:t>
            </w:r>
          </w:p>
        </w:tc>
        <w:tc>
          <w:tcPr>
            <w:tcW w:w="2050" w:type="dxa"/>
            <w:tcBorders>
              <w:top w:val="nil"/>
              <w:left w:val="nil"/>
              <w:bottom w:val="single" w:sz="4"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1,80%</w:t>
            </w:r>
          </w:p>
        </w:tc>
        <w:tc>
          <w:tcPr>
            <w:tcW w:w="1803" w:type="dxa"/>
            <w:tcBorders>
              <w:top w:val="nil"/>
              <w:left w:val="nil"/>
              <w:bottom w:val="single" w:sz="4" w:space="0" w:color="auto"/>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0,9%</w:t>
            </w:r>
          </w:p>
        </w:tc>
      </w:tr>
      <w:tr w:rsidR="004D3C30" w:rsidRPr="004D3C30" w:rsidTr="002543AF">
        <w:trPr>
          <w:trHeight w:val="429"/>
        </w:trPr>
        <w:tc>
          <w:tcPr>
            <w:tcW w:w="2373" w:type="dxa"/>
            <w:vMerge/>
            <w:tcBorders>
              <w:top w:val="single" w:sz="8" w:space="0" w:color="auto"/>
              <w:left w:val="single" w:sz="8"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18"/>
                <w:szCs w:val="18"/>
                <w:lang w:eastAsia="sl-SI"/>
              </w:rPr>
            </w:pPr>
          </w:p>
        </w:tc>
        <w:tc>
          <w:tcPr>
            <w:tcW w:w="1410" w:type="dxa"/>
            <w:vMerge w:val="restart"/>
            <w:tcBorders>
              <w:top w:val="nil"/>
              <w:left w:val="single" w:sz="4" w:space="0" w:color="auto"/>
              <w:bottom w:val="single" w:sz="8" w:space="0" w:color="000000"/>
              <w:right w:val="single" w:sz="4" w:space="0" w:color="auto"/>
            </w:tcBorders>
            <w:shd w:val="clear" w:color="auto" w:fill="auto"/>
            <w:vAlign w:val="bottom"/>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 xml:space="preserve">45. in vsako </w:t>
            </w:r>
            <w:r w:rsidRPr="004D3C30">
              <w:rPr>
                <w:rFonts w:ascii="Arial" w:hAnsi="Arial" w:cs="Arial"/>
                <w:color w:val="000000"/>
                <w:sz w:val="18"/>
                <w:szCs w:val="18"/>
                <w:lang w:eastAsia="sl-SI"/>
              </w:rPr>
              <w:br/>
              <w:t>naslednje leto</w:t>
            </w:r>
          </w:p>
        </w:tc>
        <w:tc>
          <w:tcPr>
            <w:tcW w:w="1364" w:type="dxa"/>
            <w:vMerge w:val="restart"/>
            <w:tcBorders>
              <w:top w:val="nil"/>
              <w:left w:val="single" w:sz="4" w:space="0" w:color="auto"/>
              <w:bottom w:val="single" w:sz="8" w:space="0" w:color="000000"/>
              <w:right w:val="single" w:sz="4" w:space="0" w:color="auto"/>
            </w:tcBorders>
            <w:shd w:val="clear" w:color="auto" w:fill="auto"/>
            <w:vAlign w:val="bottom"/>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 xml:space="preserve">43. in vsako </w:t>
            </w:r>
            <w:r w:rsidRPr="004D3C30">
              <w:rPr>
                <w:rFonts w:ascii="Arial" w:hAnsi="Arial" w:cs="Arial"/>
                <w:color w:val="000000"/>
                <w:sz w:val="18"/>
                <w:szCs w:val="18"/>
                <w:lang w:eastAsia="sl-SI"/>
              </w:rPr>
              <w:br/>
              <w:t>naslednje leto</w:t>
            </w:r>
          </w:p>
        </w:tc>
        <w:tc>
          <w:tcPr>
            <w:tcW w:w="205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1,50%</w:t>
            </w:r>
          </w:p>
        </w:tc>
        <w:tc>
          <w:tcPr>
            <w:tcW w:w="1803"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0,75%</w:t>
            </w:r>
          </w:p>
        </w:tc>
      </w:tr>
      <w:tr w:rsidR="004D3C30" w:rsidRPr="004D3C30" w:rsidTr="002543AF">
        <w:trPr>
          <w:trHeight w:val="429"/>
        </w:trPr>
        <w:tc>
          <w:tcPr>
            <w:tcW w:w="2373" w:type="dxa"/>
            <w:vMerge/>
            <w:tcBorders>
              <w:top w:val="single" w:sz="8" w:space="0" w:color="auto"/>
              <w:left w:val="single" w:sz="8"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20"/>
                <w:szCs w:val="20"/>
                <w:lang w:eastAsia="sl-SI"/>
              </w:rPr>
            </w:pPr>
          </w:p>
        </w:tc>
        <w:tc>
          <w:tcPr>
            <w:tcW w:w="1410" w:type="dxa"/>
            <w:vMerge/>
            <w:tcBorders>
              <w:top w:val="nil"/>
              <w:left w:val="single" w:sz="4"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20"/>
                <w:szCs w:val="20"/>
                <w:lang w:eastAsia="sl-SI"/>
              </w:rPr>
            </w:pPr>
          </w:p>
        </w:tc>
        <w:tc>
          <w:tcPr>
            <w:tcW w:w="1364" w:type="dxa"/>
            <w:vMerge/>
            <w:tcBorders>
              <w:top w:val="nil"/>
              <w:left w:val="single" w:sz="4"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20"/>
                <w:szCs w:val="20"/>
                <w:lang w:eastAsia="sl-SI"/>
              </w:rPr>
            </w:pPr>
          </w:p>
        </w:tc>
        <w:tc>
          <w:tcPr>
            <w:tcW w:w="2050" w:type="dxa"/>
            <w:vMerge/>
            <w:tcBorders>
              <w:top w:val="nil"/>
              <w:left w:val="single" w:sz="4"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20"/>
                <w:szCs w:val="20"/>
                <w:lang w:eastAsia="sl-SI"/>
              </w:rPr>
            </w:pPr>
          </w:p>
        </w:tc>
        <w:tc>
          <w:tcPr>
            <w:tcW w:w="1803" w:type="dxa"/>
            <w:vMerge/>
            <w:tcBorders>
              <w:top w:val="nil"/>
              <w:left w:val="single" w:sz="4" w:space="0" w:color="auto"/>
              <w:bottom w:val="single" w:sz="8" w:space="0" w:color="000000"/>
              <w:right w:val="single" w:sz="8" w:space="0" w:color="auto"/>
            </w:tcBorders>
            <w:vAlign w:val="center"/>
            <w:hideMark/>
          </w:tcPr>
          <w:p w:rsidR="004D3C30" w:rsidRPr="004D3C30" w:rsidRDefault="004D3C30" w:rsidP="004D3C30">
            <w:pPr>
              <w:spacing w:after="0" w:line="276" w:lineRule="auto"/>
              <w:rPr>
                <w:rFonts w:ascii="Arial" w:hAnsi="Arial" w:cs="Arial"/>
                <w:color w:val="000000"/>
                <w:sz w:val="20"/>
                <w:szCs w:val="20"/>
                <w:lang w:eastAsia="sl-SI"/>
              </w:rPr>
            </w:pPr>
          </w:p>
        </w:tc>
      </w:tr>
    </w:tbl>
    <w:p w:rsidR="004D3C30" w:rsidRPr="004D3C30" w:rsidRDefault="004D3C30" w:rsidP="004D3C30">
      <w:pPr>
        <w:pStyle w:val="Odstavek"/>
        <w:spacing w:before="0" w:line="276" w:lineRule="auto"/>
        <w:ind w:firstLine="0"/>
        <w:rPr>
          <w:rFonts w:cs="Arial"/>
          <w:b/>
          <w:sz w:val="20"/>
          <w:szCs w:val="20"/>
          <w:u w:val="single"/>
        </w:rPr>
      </w:pPr>
    </w:p>
    <w:p w:rsidR="004D3C30" w:rsidRPr="004D3C30" w:rsidRDefault="004D3C30" w:rsidP="004D3C30">
      <w:pPr>
        <w:pStyle w:val="Odstavek"/>
        <w:spacing w:before="0" w:line="276" w:lineRule="auto"/>
        <w:ind w:firstLine="0"/>
        <w:rPr>
          <w:rFonts w:cs="Arial"/>
          <w:sz w:val="20"/>
          <w:szCs w:val="20"/>
        </w:rPr>
      </w:pPr>
      <w:r w:rsidRPr="004D3C30">
        <w:rPr>
          <w:rFonts w:cs="Arial"/>
          <w:b/>
          <w:sz w:val="20"/>
          <w:szCs w:val="20"/>
          <w:u w:val="single"/>
        </w:rPr>
        <w:t>V skladu z ZPIZ-2</w:t>
      </w:r>
      <w:r w:rsidRPr="004D3C30">
        <w:rPr>
          <w:rFonts w:cs="Arial"/>
          <w:sz w:val="20"/>
          <w:szCs w:val="20"/>
        </w:rPr>
        <w:t xml:space="preserve"> se z namenom spodbujanja daljše aktivnosti ter s tem kasnejšega uveljavljanja starostne pokojnine zavarovancu, ki izpolni pogoje za starostno upokojitev 60 let starosti in 40 let pokojninske dobe brez dokupa (oziroma v prehodnih obdobjih ustrezno nižje starosti in pokojninske dobe brez dokupa) in ostane vključen v obvezno zavarovanje, vsako nadaljnje leto dopolnjene pokojninske dobe brez dokupa, dopolnjene v obveznem zavarovanju po uveljavitvi ZPIZ-2, </w:t>
      </w:r>
      <w:r w:rsidRPr="004D3C30">
        <w:rPr>
          <w:rFonts w:cs="Arial"/>
          <w:b/>
          <w:sz w:val="20"/>
          <w:szCs w:val="20"/>
        </w:rPr>
        <w:t xml:space="preserve">vrednoti z višjim odmernim odstotkom </w:t>
      </w:r>
      <w:r w:rsidRPr="004D3C30">
        <w:rPr>
          <w:rFonts w:cs="Arial"/>
          <w:sz w:val="20"/>
          <w:szCs w:val="20"/>
        </w:rPr>
        <w:t>na način, da se trije meseci pokojninske dobe brez dokupa vrednotijo v višini 1%. Takšno ugodnejše vrednotenje je omejeno na največ tri zaporedna leta dopolnjene daljše pokojninske dobe brez dokupa, kar pomeni, da se zavarovancem, ki izrabijo ta bonus v celoti, zadnja 3 leta dopolnjene pokojninske dobe brez dokupa vrednotijo v višini 12% (namesto 3,75 %).</w:t>
      </w:r>
    </w:p>
    <w:p w:rsidR="004D3C30" w:rsidRPr="004D3C30" w:rsidRDefault="004D3C30" w:rsidP="004D3C30">
      <w:pPr>
        <w:pStyle w:val="Odstavek"/>
        <w:spacing w:before="0" w:line="276" w:lineRule="auto"/>
        <w:ind w:firstLine="0"/>
        <w:rPr>
          <w:rFonts w:cs="Arial"/>
          <w:sz w:val="20"/>
          <w:szCs w:val="20"/>
        </w:rPr>
      </w:pPr>
    </w:p>
    <w:tbl>
      <w:tblPr>
        <w:tblW w:w="3980" w:type="dxa"/>
        <w:tblCellMar>
          <w:left w:w="70" w:type="dxa"/>
          <w:right w:w="70" w:type="dxa"/>
        </w:tblCellMar>
        <w:tblLook w:val="04A0" w:firstRow="1" w:lastRow="0" w:firstColumn="1" w:lastColumn="0" w:noHBand="0" w:noVBand="1"/>
      </w:tblPr>
      <w:tblGrid>
        <w:gridCol w:w="2060"/>
        <w:gridCol w:w="960"/>
        <w:gridCol w:w="960"/>
      </w:tblGrid>
      <w:tr w:rsidR="004D3C30" w:rsidRPr="004D3C30" w:rsidTr="002543AF">
        <w:trPr>
          <w:trHeight w:val="375"/>
        </w:trPr>
        <w:tc>
          <w:tcPr>
            <w:tcW w:w="2060"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4D3C30" w:rsidRPr="004D3C30" w:rsidRDefault="004D3C30" w:rsidP="004D3C30">
            <w:pPr>
              <w:spacing w:after="0" w:line="276" w:lineRule="auto"/>
              <w:jc w:val="center"/>
              <w:rPr>
                <w:rFonts w:ascii="Arial" w:hAnsi="Arial" w:cs="Arial"/>
                <w:color w:val="000000"/>
                <w:sz w:val="18"/>
                <w:szCs w:val="18"/>
                <w:lang w:eastAsia="sl-SI"/>
              </w:rPr>
            </w:pPr>
          </w:p>
          <w:p w:rsidR="004D3C30" w:rsidRPr="004D3C30" w:rsidRDefault="004D3C30" w:rsidP="004D3C30">
            <w:pPr>
              <w:spacing w:after="0" w:line="276" w:lineRule="auto"/>
              <w:jc w:val="center"/>
              <w:rPr>
                <w:rFonts w:ascii="Arial" w:hAnsi="Arial" w:cs="Arial"/>
                <w:color w:val="000000"/>
                <w:sz w:val="18"/>
                <w:szCs w:val="18"/>
                <w:lang w:eastAsia="sl-SI"/>
              </w:rPr>
            </w:pPr>
            <w:r w:rsidRPr="004D3C30">
              <w:rPr>
                <w:rFonts w:ascii="Arial" w:hAnsi="Arial" w:cs="Arial"/>
                <w:color w:val="000000"/>
                <w:sz w:val="18"/>
                <w:szCs w:val="18"/>
                <w:lang w:eastAsia="sl-SI"/>
              </w:rPr>
              <w:t>UGODNEJŠE VREDNOTENJE POKOJNINSKE DOBE BREZ DOKUPA</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3M</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1%</w:t>
            </w:r>
          </w:p>
        </w:tc>
      </w:tr>
      <w:tr w:rsidR="004D3C30" w:rsidRPr="004D3C30" w:rsidTr="002543AF">
        <w:trPr>
          <w:trHeight w:val="315"/>
        </w:trPr>
        <w:tc>
          <w:tcPr>
            <w:tcW w:w="2060" w:type="dxa"/>
            <w:vMerge/>
            <w:tcBorders>
              <w:top w:val="single" w:sz="8" w:space="0" w:color="auto"/>
              <w:left w:val="single" w:sz="8"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18"/>
                <w:szCs w:val="18"/>
                <w:lang w:eastAsia="sl-SI"/>
              </w:rPr>
            </w:pPr>
          </w:p>
        </w:tc>
        <w:tc>
          <w:tcPr>
            <w:tcW w:w="960" w:type="dxa"/>
            <w:tcBorders>
              <w:top w:val="nil"/>
              <w:left w:val="nil"/>
              <w:bottom w:val="single" w:sz="4"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6M</w:t>
            </w:r>
          </w:p>
        </w:tc>
        <w:tc>
          <w:tcPr>
            <w:tcW w:w="960" w:type="dxa"/>
            <w:tcBorders>
              <w:top w:val="nil"/>
              <w:left w:val="nil"/>
              <w:bottom w:val="single" w:sz="4" w:space="0" w:color="auto"/>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2%</w:t>
            </w:r>
          </w:p>
        </w:tc>
      </w:tr>
      <w:tr w:rsidR="004D3C30" w:rsidRPr="004D3C30" w:rsidTr="002543AF">
        <w:trPr>
          <w:trHeight w:val="300"/>
        </w:trPr>
        <w:tc>
          <w:tcPr>
            <w:tcW w:w="2060" w:type="dxa"/>
            <w:vMerge/>
            <w:tcBorders>
              <w:top w:val="single" w:sz="8" w:space="0" w:color="auto"/>
              <w:left w:val="single" w:sz="8"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18"/>
                <w:szCs w:val="18"/>
                <w:lang w:eastAsia="sl-SI"/>
              </w:rPr>
            </w:pPr>
          </w:p>
        </w:tc>
        <w:tc>
          <w:tcPr>
            <w:tcW w:w="960" w:type="dxa"/>
            <w:tcBorders>
              <w:top w:val="nil"/>
              <w:left w:val="nil"/>
              <w:bottom w:val="single" w:sz="4"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9M</w:t>
            </w:r>
          </w:p>
        </w:tc>
        <w:tc>
          <w:tcPr>
            <w:tcW w:w="960" w:type="dxa"/>
            <w:tcBorders>
              <w:top w:val="nil"/>
              <w:left w:val="nil"/>
              <w:bottom w:val="single" w:sz="4" w:space="0" w:color="auto"/>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3%</w:t>
            </w:r>
          </w:p>
        </w:tc>
      </w:tr>
      <w:tr w:rsidR="004D3C30" w:rsidRPr="004D3C30" w:rsidTr="002543AF">
        <w:trPr>
          <w:trHeight w:val="315"/>
        </w:trPr>
        <w:tc>
          <w:tcPr>
            <w:tcW w:w="2060" w:type="dxa"/>
            <w:vMerge/>
            <w:tcBorders>
              <w:top w:val="single" w:sz="8" w:space="0" w:color="auto"/>
              <w:left w:val="single" w:sz="8" w:space="0" w:color="auto"/>
              <w:bottom w:val="single" w:sz="8" w:space="0" w:color="000000"/>
              <w:right w:val="single" w:sz="4" w:space="0" w:color="auto"/>
            </w:tcBorders>
            <w:vAlign w:val="center"/>
            <w:hideMark/>
          </w:tcPr>
          <w:p w:rsidR="004D3C30" w:rsidRPr="004D3C30" w:rsidRDefault="004D3C30" w:rsidP="004D3C30">
            <w:pPr>
              <w:spacing w:after="0" w:line="276" w:lineRule="auto"/>
              <w:rPr>
                <w:rFonts w:ascii="Arial" w:hAnsi="Arial" w:cs="Arial"/>
                <w:color w:val="000000"/>
                <w:sz w:val="18"/>
                <w:szCs w:val="18"/>
                <w:lang w:eastAsia="sl-SI"/>
              </w:rPr>
            </w:pPr>
          </w:p>
        </w:tc>
        <w:tc>
          <w:tcPr>
            <w:tcW w:w="960" w:type="dxa"/>
            <w:tcBorders>
              <w:top w:val="nil"/>
              <w:left w:val="nil"/>
              <w:bottom w:val="single" w:sz="8" w:space="0" w:color="auto"/>
              <w:right w:val="single" w:sz="4"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1L</w:t>
            </w:r>
          </w:p>
        </w:tc>
        <w:tc>
          <w:tcPr>
            <w:tcW w:w="960" w:type="dxa"/>
            <w:tcBorders>
              <w:top w:val="nil"/>
              <w:left w:val="nil"/>
              <w:bottom w:val="single" w:sz="8" w:space="0" w:color="auto"/>
              <w:right w:val="single" w:sz="8" w:space="0" w:color="auto"/>
            </w:tcBorders>
            <w:shd w:val="clear" w:color="auto" w:fill="auto"/>
            <w:noWrap/>
            <w:vAlign w:val="center"/>
            <w:hideMark/>
          </w:tcPr>
          <w:p w:rsidR="004D3C30" w:rsidRPr="004D3C30" w:rsidRDefault="004D3C30" w:rsidP="004D3C30">
            <w:pPr>
              <w:spacing w:after="0" w:line="276" w:lineRule="auto"/>
              <w:jc w:val="center"/>
              <w:rPr>
                <w:rFonts w:ascii="Arial" w:hAnsi="Arial" w:cs="Arial"/>
                <w:b/>
                <w:bCs/>
                <w:color w:val="000000"/>
                <w:sz w:val="18"/>
                <w:szCs w:val="18"/>
                <w:lang w:eastAsia="sl-SI"/>
              </w:rPr>
            </w:pPr>
            <w:r w:rsidRPr="004D3C30">
              <w:rPr>
                <w:rFonts w:ascii="Arial" w:hAnsi="Arial" w:cs="Arial"/>
                <w:b/>
                <w:bCs/>
                <w:color w:val="000000"/>
                <w:sz w:val="18"/>
                <w:szCs w:val="18"/>
                <w:lang w:eastAsia="sl-SI"/>
              </w:rPr>
              <w:t>4%</w:t>
            </w:r>
          </w:p>
        </w:tc>
      </w:tr>
    </w:tbl>
    <w:p w:rsidR="004D3C30" w:rsidRPr="004D3C30" w:rsidRDefault="004D3C30" w:rsidP="004D3C30">
      <w:pPr>
        <w:pStyle w:val="Odstavek"/>
        <w:spacing w:before="0" w:line="276" w:lineRule="auto"/>
        <w:ind w:firstLine="0"/>
        <w:rPr>
          <w:rFonts w:cs="Arial"/>
          <w:sz w:val="20"/>
          <w:szCs w:val="20"/>
        </w:rPr>
      </w:pPr>
    </w:p>
    <w:p w:rsidR="004D3C30" w:rsidRPr="004D3C30" w:rsidRDefault="004D3C30" w:rsidP="004D3C30">
      <w:pPr>
        <w:pStyle w:val="Odstavek"/>
        <w:spacing w:before="0" w:line="276" w:lineRule="auto"/>
        <w:ind w:firstLine="0"/>
        <w:rPr>
          <w:rFonts w:cs="Arial"/>
          <w:sz w:val="20"/>
          <w:szCs w:val="20"/>
        </w:rPr>
      </w:pPr>
      <w:r w:rsidRPr="004D3C30">
        <w:rPr>
          <w:rFonts w:cs="Arial"/>
          <w:sz w:val="20"/>
          <w:szCs w:val="20"/>
        </w:rPr>
        <w:t xml:space="preserve">**Podrobnejši podatki o odmernih odstotkih, valorizacijskih količnikih ter ugodnejšem vrednotenju dobe v skladu s posameznimi zakoni so razvidni iz prilog k odgovoru na poslansko vprašanje. </w:t>
      </w:r>
    </w:p>
    <w:p w:rsidR="004D3C30" w:rsidRPr="00961F16" w:rsidRDefault="004D3C30" w:rsidP="00961F16">
      <w:pPr>
        <w:autoSpaceDE w:val="0"/>
        <w:autoSpaceDN w:val="0"/>
        <w:adjustRightInd w:val="0"/>
        <w:spacing w:after="0" w:line="276" w:lineRule="auto"/>
        <w:jc w:val="both"/>
        <w:rPr>
          <w:rFonts w:ascii="Arial" w:hAnsi="Arial" w:cs="Arial"/>
          <w:sz w:val="20"/>
          <w:szCs w:val="20"/>
        </w:rPr>
      </w:pPr>
    </w:p>
    <w:p w:rsidR="00961F16" w:rsidRDefault="00961F16" w:rsidP="00730545">
      <w:pPr>
        <w:spacing w:after="0" w:line="260" w:lineRule="atLeast"/>
        <w:jc w:val="both"/>
        <w:rPr>
          <w:rFonts w:ascii="Arial" w:eastAsia="Times New Roman" w:hAnsi="Arial" w:cs="Arial"/>
          <w:color w:val="000000" w:themeColor="text1"/>
          <w:sz w:val="20"/>
          <w:szCs w:val="20"/>
          <w:lang w:eastAsia="sl-SI"/>
        </w:rPr>
      </w:pPr>
    </w:p>
    <w:p w:rsidR="00B56CD3" w:rsidRPr="00B56CD3" w:rsidRDefault="00B56CD3" w:rsidP="00B56CD3">
      <w:pPr>
        <w:spacing w:after="0" w:line="260" w:lineRule="atLeast"/>
        <w:jc w:val="both"/>
        <w:rPr>
          <w:rFonts w:ascii="Arial" w:hAnsi="Arial" w:cs="Arial"/>
          <w:sz w:val="20"/>
          <w:szCs w:val="20"/>
        </w:rPr>
      </w:pPr>
      <w:r w:rsidRPr="006B4BAC">
        <w:rPr>
          <w:rFonts w:ascii="Arial" w:eastAsia="Times New Roman" w:hAnsi="Arial" w:cs="Arial"/>
          <w:b/>
          <w:bCs/>
          <w:color w:val="000000" w:themeColor="text1"/>
          <w:sz w:val="20"/>
          <w:szCs w:val="20"/>
          <w:lang w:eastAsia="sl-SI"/>
        </w:rPr>
        <w:t>4.</w:t>
      </w:r>
      <w:r>
        <w:rPr>
          <w:rFonts w:ascii="Arial" w:eastAsia="Times New Roman" w:hAnsi="Arial" w:cs="Arial"/>
          <w:color w:val="000000" w:themeColor="text1"/>
          <w:sz w:val="20"/>
          <w:szCs w:val="20"/>
          <w:lang w:eastAsia="sl-SI"/>
        </w:rPr>
        <w:tab/>
        <w:t>Glede vprašanja v zvezi z usklajevanjem pokojnin od osamosvojitve Slovenije do danes Vlada RS pojasnjuje, da se je</w:t>
      </w:r>
      <w:r w:rsidRPr="00B56CD3">
        <w:rPr>
          <w:rFonts w:ascii="Arial" w:eastAsia="Times New Roman" w:hAnsi="Arial" w:cs="Arial"/>
          <w:color w:val="000000" w:themeColor="text1"/>
          <w:sz w:val="20"/>
          <w:szCs w:val="20"/>
          <w:lang w:eastAsia="sl-SI"/>
        </w:rPr>
        <w:t xml:space="preserve"> p</w:t>
      </w:r>
      <w:r w:rsidRPr="00B56CD3">
        <w:rPr>
          <w:rFonts w:ascii="Arial" w:hAnsi="Arial" w:cs="Arial"/>
          <w:color w:val="000000"/>
          <w:sz w:val="20"/>
          <w:szCs w:val="20"/>
        </w:rPr>
        <w:t xml:space="preserve">o </w:t>
      </w:r>
      <w:r w:rsidRPr="00B56CD3">
        <w:rPr>
          <w:rFonts w:ascii="Arial" w:hAnsi="Arial" w:cs="Arial"/>
          <w:b/>
          <w:bCs/>
          <w:color w:val="000000"/>
          <w:sz w:val="20"/>
          <w:szCs w:val="20"/>
          <w:u w:val="single"/>
        </w:rPr>
        <w:t>ZPIZ-92</w:t>
      </w:r>
      <w:r w:rsidRPr="00B56CD3">
        <w:rPr>
          <w:rFonts w:ascii="Arial" w:hAnsi="Arial" w:cs="Arial"/>
          <w:bCs/>
          <w:color w:val="000000"/>
          <w:sz w:val="20"/>
          <w:szCs w:val="20"/>
        </w:rPr>
        <w:t xml:space="preserve"> </w:t>
      </w:r>
      <w:r w:rsidRPr="00B56CD3">
        <w:rPr>
          <w:rFonts w:ascii="Arial" w:hAnsi="Arial" w:cs="Arial"/>
          <w:sz w:val="20"/>
          <w:szCs w:val="20"/>
        </w:rPr>
        <w:t xml:space="preserve">v začetku vsakega leta določilo razmerje med povprečno plačo na zaposlenega v republiki in povprečno starostno pokojnino za polno pokojninsko dobo, ki ni moglo biti nižje od 85%. </w:t>
      </w:r>
    </w:p>
    <w:p w:rsidR="00B56CD3" w:rsidRPr="00B56CD3" w:rsidRDefault="00B56CD3" w:rsidP="00B56CD3">
      <w:pPr>
        <w:tabs>
          <w:tab w:val="left" w:pos="540"/>
          <w:tab w:val="left" w:pos="900"/>
        </w:tabs>
        <w:spacing w:after="0" w:line="276" w:lineRule="auto"/>
        <w:jc w:val="both"/>
        <w:rPr>
          <w:rFonts w:ascii="Arial" w:hAnsi="Arial" w:cs="Arial"/>
          <w:bCs/>
          <w:color w:val="000000"/>
          <w:sz w:val="20"/>
          <w:szCs w:val="20"/>
        </w:rPr>
      </w:pPr>
    </w:p>
    <w:p w:rsidR="00B56CD3" w:rsidRPr="00B56CD3" w:rsidRDefault="00B56CD3" w:rsidP="00B56CD3">
      <w:pPr>
        <w:pStyle w:val="Odstavek"/>
        <w:spacing w:before="0" w:line="276" w:lineRule="auto"/>
        <w:ind w:firstLine="0"/>
        <w:rPr>
          <w:rFonts w:cs="Arial"/>
          <w:sz w:val="20"/>
          <w:szCs w:val="20"/>
        </w:rPr>
      </w:pPr>
      <w:r w:rsidRPr="00B56CD3">
        <w:rPr>
          <w:rFonts w:cs="Arial"/>
          <w:sz w:val="20"/>
          <w:szCs w:val="20"/>
        </w:rPr>
        <w:t xml:space="preserve">Pokojnine so se usklajevale na podlagi uradnih statističnih podatkov o mesečnem gibanju plač vseh zaposlenih delavcev na območju republike. Upokojencem je pripadala tako usklajena pokojnina od </w:t>
      </w:r>
      <w:r w:rsidRPr="00B56CD3">
        <w:rPr>
          <w:rFonts w:cs="Arial"/>
          <w:sz w:val="20"/>
          <w:szCs w:val="20"/>
        </w:rPr>
        <w:lastRenderedPageBreak/>
        <w:t xml:space="preserve">prvega dne meseca, v katerem je ugotovljen skupni porast plač, ki za 1,5% presega povprečje plač, glede na katero so bile pokojnine nazadnje usklajene. Izplačilo pokojnin ni moglo biti nižje od izplačila pokojnin za prejšnji mesec. </w:t>
      </w:r>
    </w:p>
    <w:p w:rsidR="00B56CD3" w:rsidRPr="00B56CD3" w:rsidRDefault="00B56CD3" w:rsidP="00B56CD3">
      <w:pPr>
        <w:pStyle w:val="Odstavek"/>
        <w:spacing w:before="0" w:line="276" w:lineRule="auto"/>
        <w:ind w:firstLine="0"/>
        <w:rPr>
          <w:rFonts w:cs="Arial"/>
          <w:sz w:val="20"/>
          <w:szCs w:val="20"/>
        </w:rPr>
      </w:pPr>
    </w:p>
    <w:p w:rsidR="00B56CD3" w:rsidRPr="00B56CD3" w:rsidRDefault="00B56CD3" w:rsidP="00B56CD3">
      <w:pPr>
        <w:pStyle w:val="Odstavek"/>
        <w:spacing w:before="0" w:line="276" w:lineRule="auto"/>
        <w:ind w:firstLine="0"/>
        <w:rPr>
          <w:rFonts w:cs="Arial"/>
          <w:sz w:val="20"/>
          <w:szCs w:val="20"/>
        </w:rPr>
      </w:pPr>
      <w:r w:rsidRPr="00B56CD3">
        <w:rPr>
          <w:rFonts w:cs="Arial"/>
          <w:sz w:val="20"/>
          <w:szCs w:val="20"/>
        </w:rPr>
        <w:t>Pokojnina, uveljavljena v tekočem letu, se je ob odmeri preračunala z odstotkom, izračunanim ob upoštevanju poprečja plač zaposlenih v državi za oktober 1990, povečanega za odstotek vseh uskladitev pokojnin od 1. 1. 1991 do decembra v koledarskem letu pred letom uveljavitve pravice do pokojnine, in dejanskim poprečjem plač v navedenem koledarskem letu.</w:t>
      </w:r>
    </w:p>
    <w:p w:rsidR="00B56CD3" w:rsidRPr="00B56CD3" w:rsidRDefault="00B56CD3" w:rsidP="00B56CD3">
      <w:pPr>
        <w:pStyle w:val="Odstavek"/>
        <w:spacing w:before="0" w:line="276" w:lineRule="auto"/>
        <w:ind w:firstLine="0"/>
        <w:rPr>
          <w:rFonts w:cs="Arial"/>
          <w:sz w:val="20"/>
          <w:szCs w:val="20"/>
        </w:rPr>
      </w:pPr>
    </w:p>
    <w:p w:rsidR="00B56CD3" w:rsidRPr="00B56CD3" w:rsidRDefault="00B56CD3" w:rsidP="00B56CD3">
      <w:pPr>
        <w:pStyle w:val="Odstavek"/>
        <w:spacing w:before="0" w:line="276" w:lineRule="auto"/>
        <w:ind w:firstLine="0"/>
        <w:rPr>
          <w:rFonts w:cs="Arial"/>
          <w:sz w:val="20"/>
          <w:szCs w:val="20"/>
        </w:rPr>
      </w:pPr>
      <w:r w:rsidRPr="00B56CD3">
        <w:rPr>
          <w:rFonts w:cs="Arial"/>
          <w:sz w:val="20"/>
          <w:szCs w:val="20"/>
        </w:rPr>
        <w:t xml:space="preserve">Če se je z zakonom spremenil način odmere ali usklajevanja pokojnin, je </w:t>
      </w:r>
      <w:r w:rsidR="00AE16BE">
        <w:rPr>
          <w:rFonts w:cs="Arial"/>
          <w:sz w:val="20"/>
          <w:szCs w:val="20"/>
        </w:rPr>
        <w:t>Z</w:t>
      </w:r>
      <w:r w:rsidRPr="00B56CD3">
        <w:rPr>
          <w:rFonts w:cs="Arial"/>
          <w:sz w:val="20"/>
          <w:szCs w:val="20"/>
        </w:rPr>
        <w:t xml:space="preserve">avod v 90 dneh po uveljavitvi teh sprememb pripravil pregled zneskov pokojnin, uveljavljenih v posameznih koledarskih letih od 1. 1. 1984 dalje. V primeru, če se je ugotovilo, da starostna pokojnina delavca, ki se je upokojil v določenem obdobju in je v polni zavarovalni dobi prejemal plače v višini poprečne plače na zaposlenega delavca v državi, zaostaja za starostno pokojnino, kakršna bi mu bila za enako pokojninsko dobo in pokojninsko osnovo odmerjena v tekočem letu, so se vse pokojnine, uveljavljene v navedenem obdobju, uskladile za ugotovljeno razliko. Če pa je bilo ugotovljeno, da starostna pokojnina delavca, ki se je upokojil v določenem obdobju in je v polni zavarovalni dobi prejemal plače v višini poprečne plače na zaposlenega delavca v državi, presega starostno pokojnino, kakršna bi mu bila za enako pokojninsko dobo in pokojninsko osnovo odmerjena v tekočem letu, se vse pokojnine, uveljavljene v navedenem obdobju, niso usklajevale vse dokler se niso izenačile s starostnimi pokojninami, kakršne bi bile zavarovancem z enako pokojninsko dobo in pokojninsko osnovo odmerjene v tekočem letu. </w:t>
      </w:r>
    </w:p>
    <w:p w:rsidR="00B56CD3" w:rsidRPr="00B56CD3" w:rsidRDefault="00B56CD3" w:rsidP="00B56CD3">
      <w:pPr>
        <w:pStyle w:val="Odstavek"/>
        <w:spacing w:before="0" w:line="276" w:lineRule="auto"/>
        <w:ind w:firstLine="0"/>
        <w:rPr>
          <w:rFonts w:cs="Arial"/>
          <w:sz w:val="20"/>
          <w:szCs w:val="20"/>
        </w:rPr>
      </w:pPr>
    </w:p>
    <w:p w:rsidR="00B56CD3" w:rsidRPr="00B56CD3" w:rsidRDefault="00B56CD3" w:rsidP="00B56CD3">
      <w:pPr>
        <w:pStyle w:val="Odstavek"/>
        <w:spacing w:before="0" w:line="276" w:lineRule="auto"/>
        <w:ind w:firstLine="0"/>
        <w:rPr>
          <w:rFonts w:cs="Arial"/>
          <w:sz w:val="20"/>
          <w:szCs w:val="20"/>
        </w:rPr>
      </w:pPr>
      <w:r w:rsidRPr="00B56CD3">
        <w:rPr>
          <w:rFonts w:cs="Arial"/>
          <w:b/>
          <w:sz w:val="20"/>
          <w:szCs w:val="20"/>
          <w:u w:val="single"/>
        </w:rPr>
        <w:t>Po ZPIZ-1</w:t>
      </w:r>
      <w:r w:rsidRPr="00B56CD3">
        <w:rPr>
          <w:rFonts w:cs="Arial"/>
          <w:sz w:val="20"/>
          <w:szCs w:val="20"/>
        </w:rPr>
        <w:t xml:space="preserve"> so se pokojnine usklajevale glede na rast zneska povprečne mesečne plače, izplačane zaposlenim pri pravnih osebah, ki ga je Statistični urad RS objavil v Uradnem listu RS. Osnova za uskladitev pokojnin je bila pokojnina, ki je upravičencu pripadala za mesec pred mesecem, v katerem se je izvedla uskladitev oziroma ob odmeri, če je bila odmerjena v mesecu izvedbe uskladitve.</w:t>
      </w:r>
    </w:p>
    <w:p w:rsidR="00B56CD3" w:rsidRPr="00B56CD3" w:rsidRDefault="00B56CD3" w:rsidP="00B56CD3">
      <w:pPr>
        <w:pStyle w:val="Odstavek"/>
        <w:spacing w:before="0" w:line="276" w:lineRule="auto"/>
        <w:ind w:firstLine="0"/>
        <w:rPr>
          <w:rFonts w:cs="Arial"/>
          <w:sz w:val="20"/>
          <w:szCs w:val="20"/>
        </w:rPr>
      </w:pPr>
    </w:p>
    <w:p w:rsidR="00B56CD3" w:rsidRPr="00B56CD3" w:rsidRDefault="00B56CD3" w:rsidP="00B56CD3">
      <w:pPr>
        <w:spacing w:after="0" w:line="276" w:lineRule="auto"/>
        <w:jc w:val="both"/>
        <w:rPr>
          <w:rFonts w:ascii="Arial" w:hAnsi="Arial" w:cs="Arial"/>
          <w:sz w:val="20"/>
          <w:szCs w:val="20"/>
          <w:lang w:eastAsia="sl-SI"/>
        </w:rPr>
      </w:pPr>
      <w:r w:rsidRPr="00B56CD3">
        <w:rPr>
          <w:rFonts w:ascii="Arial" w:hAnsi="Arial" w:cs="Arial"/>
          <w:b/>
          <w:bCs/>
          <w:sz w:val="20"/>
          <w:szCs w:val="20"/>
          <w:lang w:eastAsia="sl-SI"/>
        </w:rPr>
        <w:t xml:space="preserve">Redna letna uskladitev pokojnin </w:t>
      </w:r>
      <w:r w:rsidRPr="00B56CD3">
        <w:rPr>
          <w:rFonts w:ascii="Arial" w:hAnsi="Arial" w:cs="Arial"/>
          <w:bCs/>
          <w:sz w:val="20"/>
          <w:szCs w:val="20"/>
          <w:lang w:eastAsia="sl-SI"/>
        </w:rPr>
        <w:t>se je izvedla p</w:t>
      </w:r>
      <w:r w:rsidRPr="00B56CD3">
        <w:rPr>
          <w:rFonts w:ascii="Arial" w:hAnsi="Arial" w:cs="Arial"/>
          <w:sz w:val="20"/>
          <w:szCs w:val="20"/>
          <w:lang w:eastAsia="sl-SI"/>
        </w:rPr>
        <w:t>ri izplačilu pokojnin za februar, pri čemer so se pokojnine uskladile največ za toliko odstotkov, za kolikor je povprečna plača za preteklo koledarsko leto porasla v primerjavi s povprečno plačo za koledarsko leto pred tem.</w:t>
      </w:r>
    </w:p>
    <w:p w:rsidR="00B56CD3" w:rsidRPr="00B56CD3" w:rsidRDefault="00B56CD3" w:rsidP="00B56CD3">
      <w:pPr>
        <w:spacing w:after="0" w:line="276" w:lineRule="auto"/>
        <w:jc w:val="both"/>
        <w:rPr>
          <w:rFonts w:ascii="Arial" w:hAnsi="Arial" w:cs="Arial"/>
          <w:sz w:val="20"/>
          <w:szCs w:val="20"/>
          <w:lang w:eastAsia="sl-SI"/>
        </w:rPr>
      </w:pPr>
    </w:p>
    <w:p w:rsidR="00B56CD3" w:rsidRPr="00B56CD3" w:rsidRDefault="00B56CD3" w:rsidP="00B56CD3">
      <w:pPr>
        <w:spacing w:after="0" w:line="276" w:lineRule="auto"/>
        <w:jc w:val="both"/>
        <w:rPr>
          <w:rFonts w:ascii="Arial" w:hAnsi="Arial" w:cs="Arial"/>
          <w:sz w:val="20"/>
          <w:szCs w:val="20"/>
          <w:lang w:eastAsia="sl-SI"/>
        </w:rPr>
      </w:pPr>
      <w:r w:rsidRPr="00B56CD3">
        <w:rPr>
          <w:rFonts w:ascii="Arial" w:hAnsi="Arial" w:cs="Arial"/>
          <w:b/>
          <w:bCs/>
          <w:sz w:val="20"/>
          <w:szCs w:val="20"/>
          <w:lang w:eastAsia="sl-SI"/>
        </w:rPr>
        <w:t xml:space="preserve">Uskladitev pokojnin glede na rast plač v tekočem letu </w:t>
      </w:r>
      <w:r w:rsidRPr="00B56CD3">
        <w:rPr>
          <w:rFonts w:ascii="Arial" w:hAnsi="Arial" w:cs="Arial"/>
          <w:bCs/>
          <w:sz w:val="20"/>
          <w:szCs w:val="20"/>
          <w:lang w:eastAsia="sl-SI"/>
        </w:rPr>
        <w:t>se je izvedla p</w:t>
      </w:r>
      <w:r w:rsidRPr="00B56CD3">
        <w:rPr>
          <w:rFonts w:ascii="Arial" w:hAnsi="Arial" w:cs="Arial"/>
          <w:sz w:val="20"/>
          <w:szCs w:val="20"/>
          <w:lang w:eastAsia="sl-SI"/>
        </w:rPr>
        <w:t>ri izplačilu pokojnin za november, pri čemer so se pokojnine uskladile za toliko odstotkov, za kolikor je povprečna plača za obdobje januar</w:t>
      </w:r>
      <w:r w:rsidR="00A26930">
        <w:rPr>
          <w:rFonts w:ascii="Arial" w:hAnsi="Arial" w:cs="Arial"/>
          <w:sz w:val="20"/>
          <w:szCs w:val="20"/>
          <w:lang w:eastAsia="sl-SI"/>
        </w:rPr>
        <w:t xml:space="preserve"> </w:t>
      </w:r>
      <w:r w:rsidRPr="00B56CD3">
        <w:rPr>
          <w:rFonts w:ascii="Arial" w:hAnsi="Arial" w:cs="Arial"/>
          <w:sz w:val="20"/>
          <w:szCs w:val="20"/>
          <w:lang w:eastAsia="sl-SI"/>
        </w:rPr>
        <w:t>–</w:t>
      </w:r>
      <w:r w:rsidR="00A26930">
        <w:rPr>
          <w:rFonts w:ascii="Arial" w:hAnsi="Arial" w:cs="Arial"/>
          <w:sz w:val="20"/>
          <w:szCs w:val="20"/>
          <w:lang w:eastAsia="sl-SI"/>
        </w:rPr>
        <w:t xml:space="preserve"> </w:t>
      </w:r>
      <w:r w:rsidRPr="00B56CD3">
        <w:rPr>
          <w:rFonts w:ascii="Arial" w:hAnsi="Arial" w:cs="Arial"/>
          <w:sz w:val="20"/>
          <w:szCs w:val="20"/>
          <w:lang w:eastAsia="sl-SI"/>
        </w:rPr>
        <w:t>september tekočega leta porasla v primerjavi s povprečno plačo za obdobje januar–december predhodnega leta. Pokojnine se uskladile za največ toliko odstotkov, da povprečen mesečni porast najnižje pokojninske osnove, veljavne v tekočem letu, po opravljeni februarski in novembrski uskladitvi, v primerjavi z mesečnim povprečjem te osnove, veljavne v preteklem letu, ni presegla jesenske napovedi ocenjenega porasta povprečne plače za obdobje januar</w:t>
      </w:r>
      <w:r w:rsidR="00A26930">
        <w:rPr>
          <w:rFonts w:ascii="Arial" w:hAnsi="Arial" w:cs="Arial"/>
          <w:sz w:val="20"/>
          <w:szCs w:val="20"/>
          <w:lang w:eastAsia="sl-SI"/>
        </w:rPr>
        <w:t xml:space="preserve"> </w:t>
      </w:r>
      <w:r w:rsidRPr="00B56CD3">
        <w:rPr>
          <w:rFonts w:ascii="Arial" w:hAnsi="Arial" w:cs="Arial"/>
          <w:sz w:val="20"/>
          <w:szCs w:val="20"/>
          <w:lang w:eastAsia="sl-SI"/>
        </w:rPr>
        <w:t>–</w:t>
      </w:r>
      <w:r w:rsidR="00A26930">
        <w:rPr>
          <w:rFonts w:ascii="Arial" w:hAnsi="Arial" w:cs="Arial"/>
          <w:sz w:val="20"/>
          <w:szCs w:val="20"/>
          <w:lang w:eastAsia="sl-SI"/>
        </w:rPr>
        <w:t xml:space="preserve"> </w:t>
      </w:r>
      <w:r w:rsidRPr="00B56CD3">
        <w:rPr>
          <w:rFonts w:ascii="Arial" w:hAnsi="Arial" w:cs="Arial"/>
          <w:sz w:val="20"/>
          <w:szCs w:val="20"/>
          <w:lang w:eastAsia="sl-SI"/>
        </w:rPr>
        <w:t>december tekočega leta v primerjavi z njenim povprečjem za obdobje januar</w:t>
      </w:r>
      <w:r w:rsidR="00A26930">
        <w:rPr>
          <w:rFonts w:ascii="Arial" w:hAnsi="Arial" w:cs="Arial"/>
          <w:sz w:val="20"/>
          <w:szCs w:val="20"/>
          <w:lang w:eastAsia="sl-SI"/>
        </w:rPr>
        <w:t xml:space="preserve"> </w:t>
      </w:r>
      <w:r w:rsidRPr="00B56CD3">
        <w:rPr>
          <w:rFonts w:ascii="Arial" w:hAnsi="Arial" w:cs="Arial"/>
          <w:sz w:val="20"/>
          <w:szCs w:val="20"/>
          <w:lang w:eastAsia="sl-SI"/>
        </w:rPr>
        <w:t>–</w:t>
      </w:r>
      <w:r w:rsidR="00A26930">
        <w:rPr>
          <w:rFonts w:ascii="Arial" w:hAnsi="Arial" w:cs="Arial"/>
          <w:sz w:val="20"/>
          <w:szCs w:val="20"/>
          <w:lang w:eastAsia="sl-SI"/>
        </w:rPr>
        <w:t xml:space="preserve"> </w:t>
      </w:r>
      <w:r w:rsidRPr="00B56CD3">
        <w:rPr>
          <w:rFonts w:ascii="Arial" w:hAnsi="Arial" w:cs="Arial"/>
          <w:sz w:val="20"/>
          <w:szCs w:val="20"/>
          <w:lang w:eastAsia="sl-SI"/>
        </w:rPr>
        <w:t>december preteklega leta.</w:t>
      </w:r>
    </w:p>
    <w:p w:rsidR="00B56CD3" w:rsidRPr="00B56CD3" w:rsidRDefault="00B56CD3" w:rsidP="00B56CD3">
      <w:pPr>
        <w:spacing w:after="0" w:line="276" w:lineRule="auto"/>
        <w:jc w:val="both"/>
        <w:rPr>
          <w:rFonts w:ascii="Arial" w:hAnsi="Arial" w:cs="Arial"/>
          <w:bCs/>
          <w:sz w:val="20"/>
          <w:szCs w:val="20"/>
          <w:lang w:eastAsia="sl-SI"/>
        </w:rPr>
      </w:pPr>
    </w:p>
    <w:p w:rsidR="00B56CD3" w:rsidRPr="00B56CD3" w:rsidRDefault="00B56CD3" w:rsidP="00B56CD3">
      <w:pPr>
        <w:spacing w:after="0" w:line="276" w:lineRule="auto"/>
        <w:jc w:val="both"/>
        <w:rPr>
          <w:rFonts w:ascii="Arial" w:hAnsi="Arial" w:cs="Arial"/>
          <w:sz w:val="20"/>
          <w:szCs w:val="20"/>
          <w:lang w:eastAsia="sl-SI"/>
        </w:rPr>
      </w:pPr>
      <w:r w:rsidRPr="00B56CD3">
        <w:rPr>
          <w:rFonts w:ascii="Arial" w:hAnsi="Arial" w:cs="Arial"/>
          <w:bCs/>
          <w:sz w:val="20"/>
          <w:szCs w:val="20"/>
          <w:lang w:eastAsia="sl-SI"/>
        </w:rPr>
        <w:t xml:space="preserve">Vsako leto se je </w:t>
      </w:r>
      <w:r w:rsidRPr="00B56CD3">
        <w:rPr>
          <w:rFonts w:ascii="Arial" w:hAnsi="Arial" w:cs="Arial"/>
          <w:sz w:val="20"/>
          <w:szCs w:val="20"/>
          <w:lang w:eastAsia="sl-SI"/>
        </w:rPr>
        <w:t>za zagotovitev enakopravnega položaja med upokojenci, ki so se upokojili v različnih obdobjih,</w:t>
      </w:r>
      <w:r w:rsidRPr="00B56CD3">
        <w:rPr>
          <w:rFonts w:ascii="Arial" w:hAnsi="Arial" w:cs="Arial"/>
          <w:bCs/>
          <w:sz w:val="20"/>
          <w:szCs w:val="20"/>
          <w:lang w:eastAsia="sl-SI"/>
        </w:rPr>
        <w:t xml:space="preserve"> izvedel tudi preračun pokojnin, uveljavljenih v različnih obdobjih, pri čemer se je o</w:t>
      </w:r>
      <w:r w:rsidRPr="00B56CD3">
        <w:rPr>
          <w:rFonts w:ascii="Arial" w:hAnsi="Arial" w:cs="Arial"/>
          <w:sz w:val="20"/>
          <w:szCs w:val="20"/>
          <w:lang w:eastAsia="sl-SI"/>
        </w:rPr>
        <w:t>pravila uskladitev med pokojninami, uveljavljenimi v tekočem letu in pred tem uveljavljenimi pokojninami. Odstotek uskladitve se je določil tako, da sta se primerjali odmerni stopnji za 40 let pokojninske dobe moškemu v tekočem koledarskem letu in predhodnem letu. Uskladitev se je nanašala na vse uveljavljene pokojnine, ki bi glede na dopolnjeno pokojninsko dobo presegale novo uveljavljene pokojnine z enako pokojninsko dobo.</w:t>
      </w:r>
    </w:p>
    <w:p w:rsidR="00B56CD3" w:rsidRPr="00B56CD3" w:rsidRDefault="00B56CD3" w:rsidP="00B56CD3">
      <w:pPr>
        <w:tabs>
          <w:tab w:val="left" w:pos="540"/>
          <w:tab w:val="left" w:pos="900"/>
        </w:tabs>
        <w:spacing w:after="0" w:line="276" w:lineRule="auto"/>
        <w:jc w:val="both"/>
        <w:rPr>
          <w:rFonts w:ascii="Arial" w:hAnsi="Arial" w:cs="Arial"/>
          <w:bCs/>
          <w:color w:val="000000"/>
          <w:sz w:val="20"/>
          <w:szCs w:val="20"/>
        </w:rPr>
      </w:pPr>
    </w:p>
    <w:p w:rsidR="00B56CD3" w:rsidRPr="00B56CD3" w:rsidRDefault="00B56CD3" w:rsidP="00B56CD3">
      <w:pPr>
        <w:pStyle w:val="docplain"/>
        <w:spacing w:before="0" w:beforeAutospacing="0" w:after="0" w:afterAutospacing="0" w:line="276" w:lineRule="auto"/>
        <w:jc w:val="both"/>
        <w:rPr>
          <w:rFonts w:ascii="Arial" w:eastAsia="Calibri" w:hAnsi="Arial" w:cs="Arial"/>
          <w:sz w:val="20"/>
          <w:szCs w:val="20"/>
        </w:rPr>
      </w:pPr>
      <w:r w:rsidRPr="00B56CD3">
        <w:rPr>
          <w:rFonts w:ascii="Arial" w:hAnsi="Arial" w:cs="Arial"/>
          <w:b/>
          <w:bCs/>
          <w:sz w:val="20"/>
          <w:szCs w:val="20"/>
          <w:u w:val="single"/>
        </w:rPr>
        <w:t>ZPIZ-2</w:t>
      </w:r>
      <w:r w:rsidRPr="00B56CD3">
        <w:rPr>
          <w:rFonts w:ascii="Arial" w:hAnsi="Arial" w:cs="Arial"/>
          <w:bCs/>
          <w:sz w:val="20"/>
          <w:szCs w:val="20"/>
        </w:rPr>
        <w:t xml:space="preserve"> </w:t>
      </w:r>
      <w:r w:rsidRPr="00B56CD3">
        <w:rPr>
          <w:rFonts w:ascii="Arial" w:eastAsia="Calibri" w:hAnsi="Arial" w:cs="Arial"/>
          <w:sz w:val="20"/>
          <w:szCs w:val="20"/>
        </w:rPr>
        <w:t xml:space="preserve">prvič, odkar obstaja institut usklajevanja pokojnin, določa tudi njegov namen. Usklajevanje pokojnin je namenjeno ohranjanju njihove vrednosti med izplačevanjem. </w:t>
      </w:r>
    </w:p>
    <w:p w:rsidR="00B56CD3" w:rsidRPr="00B56CD3" w:rsidRDefault="00B56CD3" w:rsidP="00B56CD3">
      <w:pPr>
        <w:pStyle w:val="docplain"/>
        <w:spacing w:before="0" w:beforeAutospacing="0" w:after="0" w:afterAutospacing="0" w:line="276" w:lineRule="auto"/>
        <w:jc w:val="both"/>
        <w:rPr>
          <w:rFonts w:ascii="Arial" w:eastAsia="Calibri" w:hAnsi="Arial" w:cs="Arial"/>
          <w:sz w:val="20"/>
          <w:szCs w:val="20"/>
        </w:rPr>
      </w:pPr>
    </w:p>
    <w:p w:rsidR="00B56CD3" w:rsidRPr="00B56CD3" w:rsidRDefault="00B56CD3" w:rsidP="00B56CD3">
      <w:pPr>
        <w:spacing w:after="0" w:line="276" w:lineRule="auto"/>
        <w:jc w:val="both"/>
        <w:rPr>
          <w:rFonts w:ascii="Arial" w:hAnsi="Arial" w:cs="Arial"/>
          <w:sz w:val="20"/>
          <w:szCs w:val="20"/>
        </w:rPr>
      </w:pPr>
      <w:r w:rsidRPr="00B56CD3">
        <w:rPr>
          <w:rFonts w:ascii="Arial" w:hAnsi="Arial" w:cs="Arial"/>
          <w:sz w:val="20"/>
          <w:szCs w:val="20"/>
        </w:rPr>
        <w:lastRenderedPageBreak/>
        <w:t xml:space="preserve">ZPIZ-2 je na novo določil formulo za usklajevanje pokojnin. V primerjavi s prejšnjo zakonodajo, ki je določala, da se pokojnine usklajujejo z rastjo plač, nova formula določa, da se usklajujejo delno z rastjo povprečne mesečne bruto plače v RS, delno pa na podlagi rasti cen življenjskih stroškov, </w:t>
      </w:r>
      <w:r w:rsidRPr="00B56CD3">
        <w:rPr>
          <w:rFonts w:ascii="Arial" w:hAnsi="Arial" w:cs="Arial"/>
          <w:sz w:val="20"/>
          <w:szCs w:val="20"/>
          <w:lang w:eastAsia="sl-SI"/>
        </w:rPr>
        <w:t xml:space="preserve">ki ju ugotovi in uradno objavi </w:t>
      </w:r>
      <w:r w:rsidRPr="00B56CD3">
        <w:rPr>
          <w:rFonts w:ascii="Arial" w:hAnsi="Arial" w:cs="Arial"/>
          <w:sz w:val="20"/>
          <w:szCs w:val="20"/>
        </w:rPr>
        <w:t>SURS</w:t>
      </w:r>
      <w:r w:rsidRPr="00B56CD3">
        <w:rPr>
          <w:rFonts w:ascii="Arial" w:hAnsi="Arial" w:cs="Arial"/>
          <w:sz w:val="20"/>
          <w:szCs w:val="20"/>
          <w:lang w:eastAsia="sl-SI"/>
        </w:rPr>
        <w:t>.</w:t>
      </w:r>
      <w:r w:rsidRPr="00B56CD3">
        <w:rPr>
          <w:rFonts w:ascii="Arial" w:hAnsi="Arial" w:cs="Arial"/>
          <w:sz w:val="20"/>
          <w:szCs w:val="20"/>
        </w:rPr>
        <w:t xml:space="preserve"> Letna uskladitev pokojnin se po novem tako opravi enkrat letno ob izplačilu pokojnin za mesec februar tekočega leta, in sicer v višini 60 % rasti povprečne bruto plače, izplačane za obdobje januar</w:t>
      </w:r>
      <w:r w:rsidR="00A26930">
        <w:rPr>
          <w:rFonts w:ascii="Arial" w:hAnsi="Arial" w:cs="Arial"/>
          <w:sz w:val="20"/>
          <w:szCs w:val="20"/>
        </w:rPr>
        <w:t xml:space="preserve"> </w:t>
      </w:r>
      <w:r w:rsidRPr="00B56CD3">
        <w:rPr>
          <w:rFonts w:ascii="Arial" w:hAnsi="Arial" w:cs="Arial"/>
          <w:sz w:val="20"/>
          <w:szCs w:val="20"/>
        </w:rPr>
        <w:t>–</w:t>
      </w:r>
      <w:r w:rsidR="00A26930">
        <w:rPr>
          <w:rFonts w:ascii="Arial" w:hAnsi="Arial" w:cs="Arial"/>
          <w:sz w:val="20"/>
          <w:szCs w:val="20"/>
        </w:rPr>
        <w:t xml:space="preserve"> </w:t>
      </w:r>
      <w:r w:rsidRPr="00B56CD3">
        <w:rPr>
          <w:rFonts w:ascii="Arial" w:hAnsi="Arial" w:cs="Arial"/>
          <w:sz w:val="20"/>
          <w:szCs w:val="20"/>
        </w:rPr>
        <w:t>december preteklega leta, v primerjavi s povprečno bruto plačo, izplačano za enako obdobje leto pred tem, in za 40 % povprečne rasti cen življenjskih stroškov v obdobju januar</w:t>
      </w:r>
      <w:r w:rsidR="00A26930">
        <w:rPr>
          <w:rFonts w:ascii="Arial" w:hAnsi="Arial" w:cs="Arial"/>
          <w:sz w:val="20"/>
          <w:szCs w:val="20"/>
        </w:rPr>
        <w:t xml:space="preserve"> </w:t>
      </w:r>
      <w:r w:rsidRPr="00B56CD3">
        <w:rPr>
          <w:rFonts w:ascii="Arial" w:hAnsi="Arial" w:cs="Arial"/>
          <w:sz w:val="20"/>
          <w:szCs w:val="20"/>
        </w:rPr>
        <w:t>–</w:t>
      </w:r>
      <w:r w:rsidR="00A26930">
        <w:rPr>
          <w:rFonts w:ascii="Arial" w:hAnsi="Arial" w:cs="Arial"/>
          <w:sz w:val="20"/>
          <w:szCs w:val="20"/>
        </w:rPr>
        <w:t xml:space="preserve"> </w:t>
      </w:r>
      <w:r w:rsidRPr="00B56CD3">
        <w:rPr>
          <w:rFonts w:ascii="Arial" w:hAnsi="Arial" w:cs="Arial"/>
          <w:sz w:val="20"/>
          <w:szCs w:val="20"/>
        </w:rPr>
        <w:t>december preteklega leta v primerjavi z enakim obdobjem leto pred tem. Ker višina uskladitve temelji na določenem delu rasti bruto plače in cen življenjskih potrebščin, ne pa tudi na njunih zmanjšanjih, ima uskladitev pokojnin lahko za posledico le njihovo zvišanje, negativne uskladitve pa zakon ne predvideva. Določena je tudi varstvena določba, da uskladitev ne more biti nižja od ugotovljene polovične rasti cen življenjskih potrebščin, kar zagotavlja najmanj polovično ohranjanje realne vrednosti pokojnin v primeru, da bi prišlo do nizke ali ničelne rasti povprečne plače.</w:t>
      </w:r>
    </w:p>
    <w:p w:rsidR="00B56CD3" w:rsidRPr="00B56CD3" w:rsidRDefault="00B56CD3" w:rsidP="00B56CD3">
      <w:pPr>
        <w:pStyle w:val="docplain"/>
        <w:spacing w:before="0" w:beforeAutospacing="0" w:after="0" w:afterAutospacing="0" w:line="276" w:lineRule="auto"/>
        <w:jc w:val="both"/>
        <w:rPr>
          <w:rFonts w:ascii="Arial" w:hAnsi="Arial" w:cs="Arial"/>
          <w:sz w:val="20"/>
          <w:szCs w:val="20"/>
        </w:rPr>
      </w:pPr>
    </w:p>
    <w:p w:rsidR="00B56CD3" w:rsidRPr="00B56CD3" w:rsidRDefault="00B56CD3" w:rsidP="00B56CD3">
      <w:pPr>
        <w:spacing w:after="0" w:line="276" w:lineRule="auto"/>
        <w:jc w:val="both"/>
        <w:rPr>
          <w:rFonts w:ascii="Arial" w:hAnsi="Arial" w:cs="Arial"/>
          <w:sz w:val="20"/>
          <w:szCs w:val="20"/>
        </w:rPr>
      </w:pPr>
      <w:r w:rsidRPr="00B56CD3">
        <w:rPr>
          <w:rFonts w:ascii="Arial" w:hAnsi="Arial" w:cs="Arial"/>
          <w:sz w:val="20"/>
          <w:szCs w:val="20"/>
        </w:rPr>
        <w:t>Način izvedbe uskladitve pokojnin se bistveno razlikuje od ureditev, veljavnih v preteklih obdobjih, ker je ne navezuje na datum uveljavitve pokojnine. Uskladitev se nanaša na vse pokojnine, tako tiste, ki so bile uveljavljene do konca koledarskega leta, iz katerega se sicer upošteva rast povprečne bruto plače in povprečna rast cen življenjskih potrebščin, kot uveljavljene pokojnine v letu izvedbe uskladitve.</w:t>
      </w:r>
    </w:p>
    <w:p w:rsidR="00B56CD3" w:rsidRPr="00B56CD3" w:rsidRDefault="00B56CD3" w:rsidP="00B56CD3">
      <w:pPr>
        <w:spacing w:after="0" w:line="276" w:lineRule="auto"/>
        <w:jc w:val="both"/>
        <w:rPr>
          <w:rFonts w:ascii="Arial" w:hAnsi="Arial" w:cs="Arial"/>
          <w:bCs/>
          <w:sz w:val="20"/>
          <w:szCs w:val="20"/>
        </w:rPr>
      </w:pPr>
    </w:p>
    <w:p w:rsidR="00B56CD3" w:rsidRPr="00B56CD3" w:rsidRDefault="00B56CD3" w:rsidP="00B56CD3">
      <w:pPr>
        <w:spacing w:after="0" w:line="276" w:lineRule="auto"/>
        <w:jc w:val="both"/>
        <w:rPr>
          <w:rFonts w:ascii="Arial" w:hAnsi="Arial" w:cs="Arial"/>
          <w:sz w:val="20"/>
          <w:szCs w:val="20"/>
        </w:rPr>
      </w:pPr>
      <w:r w:rsidRPr="00B56CD3">
        <w:rPr>
          <w:rFonts w:ascii="Arial" w:hAnsi="Arial" w:cs="Arial"/>
          <w:sz w:val="20"/>
          <w:szCs w:val="20"/>
        </w:rPr>
        <w:t>ZPIZ-2 vsebuje tudi določbo o možnosti izredne uskladitve pokojnin ob izpolnitvi zakonsko določenih pogojev. Zakon tako določa, da se lahko v letu, ki sledi letu, v katerem je ugotovljena pozitivna gospodarska rast bruto domačega proizvoda, ali v letu, ko je rast najnižje pokojninske osnove dve leti zaporedoma nižja od rasti cen življenjskih potrebščin v obdobju januar</w:t>
      </w:r>
      <w:r w:rsidR="00A26930">
        <w:rPr>
          <w:rFonts w:ascii="Arial" w:hAnsi="Arial" w:cs="Arial"/>
          <w:sz w:val="20"/>
          <w:szCs w:val="20"/>
        </w:rPr>
        <w:t xml:space="preserve"> </w:t>
      </w:r>
      <w:r w:rsidRPr="00B56CD3">
        <w:rPr>
          <w:rFonts w:ascii="Arial" w:hAnsi="Arial" w:cs="Arial"/>
          <w:sz w:val="20"/>
          <w:szCs w:val="20"/>
        </w:rPr>
        <w:t>–</w:t>
      </w:r>
      <w:r w:rsidR="00A26930">
        <w:rPr>
          <w:rFonts w:ascii="Arial" w:hAnsi="Arial" w:cs="Arial"/>
          <w:sz w:val="20"/>
          <w:szCs w:val="20"/>
        </w:rPr>
        <w:t xml:space="preserve"> </w:t>
      </w:r>
      <w:r w:rsidRPr="00B56CD3">
        <w:rPr>
          <w:rFonts w:ascii="Arial" w:hAnsi="Arial" w:cs="Arial"/>
          <w:sz w:val="20"/>
          <w:szCs w:val="20"/>
        </w:rPr>
        <w:t xml:space="preserve">december preteklega leta v primerjavi z enakim obdobjem pred tem, na predlog Sveta Zavoda in s soglasjem Vlade RS, opravi izredna uskladitev pokojnin. </w:t>
      </w:r>
    </w:p>
    <w:p w:rsidR="00B56CD3" w:rsidRPr="00B56CD3" w:rsidRDefault="00B56CD3" w:rsidP="00B56CD3">
      <w:pPr>
        <w:spacing w:after="0" w:line="276" w:lineRule="auto"/>
        <w:jc w:val="both"/>
        <w:rPr>
          <w:rFonts w:ascii="Arial" w:hAnsi="Arial" w:cs="Arial"/>
          <w:sz w:val="20"/>
          <w:szCs w:val="20"/>
        </w:rPr>
      </w:pPr>
    </w:p>
    <w:p w:rsidR="00B56CD3" w:rsidRPr="00B56CD3" w:rsidRDefault="00B56CD3" w:rsidP="00B56CD3">
      <w:pPr>
        <w:spacing w:after="0" w:line="276" w:lineRule="auto"/>
        <w:jc w:val="both"/>
        <w:rPr>
          <w:rFonts w:ascii="Arial" w:hAnsi="Arial" w:cs="Arial"/>
          <w:sz w:val="20"/>
          <w:szCs w:val="20"/>
        </w:rPr>
      </w:pPr>
      <w:r w:rsidRPr="00B56CD3">
        <w:rPr>
          <w:rFonts w:ascii="Arial" w:hAnsi="Arial" w:cs="Arial"/>
          <w:sz w:val="20"/>
          <w:szCs w:val="20"/>
        </w:rPr>
        <w:t>Upoštevanje dveh različnih podlag za izvedbo uskladitve pokojnin je v slovenskem pokojninskem sistemu izjema, saj takšnega načina do sedaj predpisi, ki so urejali usklajevanje pokojnin, niso določali. Takšen spremembe načina usklajevanja pokojnin naj bi zagotavljale vzdržnost sistema, ohranjale vrednost pokojnin, skupaj z drugimi določbami zakona pa naj bi zaustavile tudi nadaljnje padanje vrednosti novih pokojnin.</w:t>
      </w:r>
    </w:p>
    <w:p w:rsidR="00B56CD3" w:rsidRDefault="00B56CD3" w:rsidP="00B56CD3">
      <w:pPr>
        <w:spacing w:after="0" w:line="276" w:lineRule="auto"/>
        <w:jc w:val="both"/>
        <w:rPr>
          <w:rFonts w:ascii="Arial" w:eastAsia="Times New Roman" w:hAnsi="Arial" w:cs="Arial"/>
          <w:color w:val="000000" w:themeColor="text1"/>
          <w:sz w:val="20"/>
          <w:szCs w:val="20"/>
          <w:lang w:eastAsia="sl-SI"/>
        </w:rPr>
      </w:pPr>
    </w:p>
    <w:p w:rsidR="00AE16BE" w:rsidRDefault="00AE16BE" w:rsidP="00B56CD3">
      <w:pPr>
        <w:spacing w:after="0" w:line="276" w:lineRule="auto"/>
        <w:jc w:val="both"/>
        <w:rPr>
          <w:rFonts w:ascii="Arial" w:eastAsia="Times New Roman" w:hAnsi="Arial" w:cs="Arial"/>
          <w:color w:val="000000" w:themeColor="text1"/>
          <w:sz w:val="20"/>
          <w:szCs w:val="20"/>
          <w:lang w:eastAsia="sl-SI"/>
        </w:rPr>
      </w:pPr>
    </w:p>
    <w:p w:rsidR="00AE16BE" w:rsidRDefault="00AE16BE" w:rsidP="00B56CD3">
      <w:pPr>
        <w:spacing w:after="0" w:line="276" w:lineRule="auto"/>
        <w:jc w:val="both"/>
        <w:rPr>
          <w:rFonts w:ascii="Arial" w:eastAsia="Times New Roman" w:hAnsi="Arial" w:cs="Arial"/>
          <w:color w:val="000000" w:themeColor="text1"/>
          <w:sz w:val="20"/>
          <w:szCs w:val="20"/>
          <w:lang w:eastAsia="sl-SI"/>
        </w:rPr>
      </w:pPr>
    </w:p>
    <w:p w:rsidR="00AE16BE" w:rsidRDefault="00AE16BE" w:rsidP="00B56CD3">
      <w:pPr>
        <w:spacing w:after="0" w:line="276" w:lineRule="auto"/>
        <w:jc w:val="both"/>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Priloge:</w:t>
      </w:r>
    </w:p>
    <w:p w:rsidR="00AE16BE" w:rsidRPr="00AE16BE" w:rsidRDefault="00AE16BE" w:rsidP="00AE16BE">
      <w:pPr>
        <w:pStyle w:val="Odstavekseznama"/>
        <w:numPr>
          <w:ilvl w:val="0"/>
          <w:numId w:val="39"/>
        </w:numPr>
        <w:spacing w:after="0" w:line="276" w:lineRule="auto"/>
        <w:jc w:val="both"/>
        <w:rPr>
          <w:rFonts w:ascii="Arial" w:eastAsia="Times New Roman" w:hAnsi="Arial" w:cs="Arial"/>
          <w:color w:val="000000" w:themeColor="text1"/>
          <w:sz w:val="20"/>
          <w:szCs w:val="20"/>
          <w:lang w:eastAsia="sl-SI"/>
        </w:rPr>
      </w:pPr>
      <w:r w:rsidRPr="00AE16BE">
        <w:rPr>
          <w:rFonts w:ascii="Arial" w:eastAsia="Times New Roman" w:hAnsi="Arial" w:cs="Arial"/>
          <w:color w:val="000000" w:themeColor="text1"/>
          <w:sz w:val="20"/>
          <w:szCs w:val="20"/>
          <w:lang w:eastAsia="sl-SI"/>
        </w:rPr>
        <w:t>ODSTOTEK ODMERE POKOJNINE - ZPIZ92.ZPIZ1.ZPIZ2.xlsx</w:t>
      </w:r>
    </w:p>
    <w:p w:rsidR="00AE16BE" w:rsidRPr="00AE16BE" w:rsidRDefault="00AE16BE" w:rsidP="00AE16BE">
      <w:pPr>
        <w:pStyle w:val="Odstavekseznama"/>
        <w:numPr>
          <w:ilvl w:val="0"/>
          <w:numId w:val="39"/>
        </w:numPr>
        <w:spacing w:after="0" w:line="276" w:lineRule="auto"/>
        <w:jc w:val="both"/>
        <w:rPr>
          <w:rFonts w:ascii="Arial" w:eastAsia="Times New Roman" w:hAnsi="Arial" w:cs="Arial"/>
          <w:color w:val="000000" w:themeColor="text1"/>
          <w:sz w:val="20"/>
          <w:szCs w:val="20"/>
          <w:lang w:eastAsia="sl-SI"/>
        </w:rPr>
      </w:pPr>
      <w:r w:rsidRPr="00AE16BE">
        <w:rPr>
          <w:rFonts w:ascii="Arial" w:eastAsia="Times New Roman" w:hAnsi="Arial" w:cs="Arial"/>
          <w:color w:val="000000" w:themeColor="text1"/>
          <w:sz w:val="20"/>
          <w:szCs w:val="20"/>
          <w:lang w:eastAsia="sl-SI"/>
        </w:rPr>
        <w:t>valorizacije pokojnin 1984-2019.xlsx</w:t>
      </w:r>
    </w:p>
    <w:p w:rsidR="00AE16BE" w:rsidRPr="00AE16BE" w:rsidRDefault="00AE16BE" w:rsidP="00AE16BE">
      <w:pPr>
        <w:pStyle w:val="Odstavekseznama"/>
        <w:numPr>
          <w:ilvl w:val="0"/>
          <w:numId w:val="39"/>
        </w:numPr>
        <w:spacing w:after="0" w:line="276" w:lineRule="auto"/>
        <w:jc w:val="both"/>
        <w:rPr>
          <w:rFonts w:ascii="Arial" w:eastAsia="Times New Roman" w:hAnsi="Arial" w:cs="Arial"/>
          <w:color w:val="000000" w:themeColor="text1"/>
          <w:sz w:val="20"/>
          <w:szCs w:val="20"/>
          <w:lang w:eastAsia="sl-SI"/>
        </w:rPr>
      </w:pPr>
      <w:r w:rsidRPr="00AE16BE">
        <w:rPr>
          <w:rFonts w:ascii="Arial" w:eastAsia="Times New Roman" w:hAnsi="Arial" w:cs="Arial"/>
          <w:color w:val="000000" w:themeColor="text1"/>
          <w:sz w:val="20"/>
          <w:szCs w:val="20"/>
          <w:lang w:eastAsia="sl-SI"/>
        </w:rPr>
        <w:t>VALORIZACIJSKI KOLIČNIKI od 2000 dalje.zip</w:t>
      </w:r>
    </w:p>
    <w:sectPr w:rsidR="00AE16BE" w:rsidRPr="00AE16BE" w:rsidSect="00BD6A1D">
      <w:footerReference w:type="default" r:id="rId9"/>
      <w:head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D3" w:rsidRDefault="00C51FD3" w:rsidP="00BD6A1D">
      <w:pPr>
        <w:spacing w:after="0" w:line="240" w:lineRule="auto"/>
      </w:pPr>
      <w:r>
        <w:separator/>
      </w:r>
    </w:p>
  </w:endnote>
  <w:endnote w:type="continuationSeparator" w:id="0">
    <w:p w:rsidR="00C51FD3" w:rsidRDefault="00C51FD3"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2531"/>
      <w:docPartObj>
        <w:docPartGallery w:val="Page Numbers (Bottom of Page)"/>
        <w:docPartUnique/>
      </w:docPartObj>
    </w:sdtPr>
    <w:sdtEndPr/>
    <w:sdtContent>
      <w:p w:rsidR="00730545" w:rsidRDefault="00730545">
        <w:pPr>
          <w:pStyle w:val="Noga"/>
          <w:jc w:val="right"/>
        </w:pPr>
        <w:r w:rsidRPr="00B20161">
          <w:rPr>
            <w:rFonts w:ascii="Arial" w:hAnsi="Arial" w:cs="Arial"/>
            <w:sz w:val="20"/>
            <w:szCs w:val="20"/>
          </w:rPr>
          <w:fldChar w:fldCharType="begin"/>
        </w:r>
        <w:r w:rsidRPr="00B20161">
          <w:rPr>
            <w:rFonts w:ascii="Arial" w:hAnsi="Arial" w:cs="Arial"/>
            <w:sz w:val="20"/>
            <w:szCs w:val="20"/>
          </w:rPr>
          <w:instrText xml:space="preserve"> PAGE   \* MERGEFORMAT </w:instrText>
        </w:r>
        <w:r w:rsidRPr="00B20161">
          <w:rPr>
            <w:rFonts w:ascii="Arial" w:hAnsi="Arial" w:cs="Arial"/>
            <w:sz w:val="20"/>
            <w:szCs w:val="20"/>
          </w:rPr>
          <w:fldChar w:fldCharType="separate"/>
        </w:r>
        <w:r w:rsidR="00E0273F">
          <w:rPr>
            <w:rFonts w:ascii="Arial" w:hAnsi="Arial" w:cs="Arial"/>
            <w:noProof/>
            <w:sz w:val="20"/>
            <w:szCs w:val="20"/>
          </w:rPr>
          <w:t>9</w:t>
        </w:r>
        <w:r w:rsidRPr="00B20161">
          <w:rPr>
            <w:rFonts w:ascii="Arial" w:hAnsi="Arial" w:cs="Arial"/>
            <w:sz w:val="20"/>
            <w:szCs w:val="20"/>
          </w:rPr>
          <w:fldChar w:fldCharType="end"/>
        </w:r>
      </w:p>
    </w:sdtContent>
  </w:sdt>
  <w:p w:rsidR="00730545" w:rsidRDefault="0073054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D3" w:rsidRDefault="00C51FD3" w:rsidP="00BD6A1D">
      <w:pPr>
        <w:spacing w:after="0" w:line="240" w:lineRule="auto"/>
      </w:pPr>
      <w:r>
        <w:separator/>
      </w:r>
    </w:p>
  </w:footnote>
  <w:footnote w:type="continuationSeparator" w:id="0">
    <w:p w:rsidR="00C51FD3" w:rsidRDefault="00C51FD3" w:rsidP="00BD6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545" w:rsidRPr="00BD6A1D" w:rsidRDefault="00730545" w:rsidP="00BD6A1D">
    <w:pPr>
      <w:pStyle w:val="Glava"/>
      <w:tabs>
        <w:tab w:val="left" w:pos="5112"/>
      </w:tabs>
      <w:spacing w:line="240" w:lineRule="exact"/>
      <w:ind w:left="5103"/>
      <w:rPr>
        <w:rFonts w:ascii="Arial" w:hAnsi="Arial" w:cs="Arial"/>
        <w:sz w:val="16"/>
        <w:szCs w:val="16"/>
      </w:rPr>
    </w:pPr>
  </w:p>
  <w:p w:rsidR="00730545" w:rsidRDefault="0073054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1E2FE8"/>
    <w:lvl w:ilvl="0">
      <w:numFmt w:val="bullet"/>
      <w:lvlText w:val="*"/>
      <w:lvlJc w:val="left"/>
    </w:lvl>
  </w:abstractNum>
  <w:abstractNum w:abstractNumId="1">
    <w:nsid w:val="050D0544"/>
    <w:multiLevelType w:val="hybridMultilevel"/>
    <w:tmpl w:val="729640A4"/>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nsid w:val="09F10CFC"/>
    <w:multiLevelType w:val="multilevel"/>
    <w:tmpl w:val="809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11B73"/>
    <w:multiLevelType w:val="hybridMultilevel"/>
    <w:tmpl w:val="8BB29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CE67481"/>
    <w:multiLevelType w:val="hybridMultilevel"/>
    <w:tmpl w:val="B860E2C2"/>
    <w:lvl w:ilvl="0" w:tplc="E4566CCA">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18B29D6"/>
    <w:multiLevelType w:val="hybridMultilevel"/>
    <w:tmpl w:val="6AFA6BF8"/>
    <w:lvl w:ilvl="0" w:tplc="E028238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2585F5A"/>
    <w:multiLevelType w:val="hybridMultilevel"/>
    <w:tmpl w:val="2B142A46"/>
    <w:lvl w:ilvl="0" w:tplc="B7C466B2">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8F646C0"/>
    <w:multiLevelType w:val="hybridMultilevel"/>
    <w:tmpl w:val="F7E6E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9D2489E"/>
    <w:multiLevelType w:val="hybridMultilevel"/>
    <w:tmpl w:val="4C8276F8"/>
    <w:lvl w:ilvl="0" w:tplc="B7C466B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B636105"/>
    <w:multiLevelType w:val="hybridMultilevel"/>
    <w:tmpl w:val="DC0C36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F216601"/>
    <w:multiLevelType w:val="hybridMultilevel"/>
    <w:tmpl w:val="10D643AE"/>
    <w:lvl w:ilvl="0" w:tplc="A0E058E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0563C7E"/>
    <w:multiLevelType w:val="multilevel"/>
    <w:tmpl w:val="CC14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7900B1"/>
    <w:multiLevelType w:val="hybridMultilevel"/>
    <w:tmpl w:val="6D76C850"/>
    <w:lvl w:ilvl="0" w:tplc="298EAF0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8550FEE"/>
    <w:multiLevelType w:val="hybridMultilevel"/>
    <w:tmpl w:val="B7BE9C8A"/>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5">
    <w:nsid w:val="2A262B7A"/>
    <w:multiLevelType w:val="hybridMultilevel"/>
    <w:tmpl w:val="3A46EF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2B017516"/>
    <w:multiLevelType w:val="hybridMultilevel"/>
    <w:tmpl w:val="DDB88020"/>
    <w:lvl w:ilvl="0" w:tplc="873C767E">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E983808"/>
    <w:multiLevelType w:val="hybridMultilevel"/>
    <w:tmpl w:val="C220F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848574C"/>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89C77E1"/>
    <w:multiLevelType w:val="hybridMultilevel"/>
    <w:tmpl w:val="A3B4C5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B2B2CF6"/>
    <w:multiLevelType w:val="hybridMultilevel"/>
    <w:tmpl w:val="47281E0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9644357"/>
    <w:multiLevelType w:val="hybridMultilevel"/>
    <w:tmpl w:val="58285234"/>
    <w:lvl w:ilvl="0" w:tplc="BC6272E0">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9D41A99"/>
    <w:multiLevelType w:val="hybridMultilevel"/>
    <w:tmpl w:val="C2B2B0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3412785"/>
    <w:multiLevelType w:val="hybridMultilevel"/>
    <w:tmpl w:val="8C761F3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88A66A1"/>
    <w:multiLevelType w:val="hybridMultilevel"/>
    <w:tmpl w:val="34BA0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90B434B"/>
    <w:multiLevelType w:val="multilevel"/>
    <w:tmpl w:val="AE8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D62721"/>
    <w:multiLevelType w:val="hybridMultilevel"/>
    <w:tmpl w:val="F6325DEE"/>
    <w:lvl w:ilvl="0" w:tplc="64FEE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A0D6F7F"/>
    <w:multiLevelType w:val="hybridMultilevel"/>
    <w:tmpl w:val="4930319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18509BE"/>
    <w:multiLevelType w:val="hybridMultilevel"/>
    <w:tmpl w:val="BF5CE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56E0BD2"/>
    <w:multiLevelType w:val="hybridMultilevel"/>
    <w:tmpl w:val="64CA38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B5D252F"/>
    <w:multiLevelType w:val="hybridMultilevel"/>
    <w:tmpl w:val="DD269BB0"/>
    <w:lvl w:ilvl="0" w:tplc="B74C8702">
      <w:numFmt w:val="bullet"/>
      <w:lvlText w:val="-"/>
      <w:lvlJc w:val="left"/>
      <w:pPr>
        <w:ind w:left="375" w:hanging="360"/>
      </w:pPr>
      <w:rPr>
        <w:rFonts w:ascii="Calibri" w:eastAsia="Times New Roman" w:hAnsi="Calibri" w:cs="Calibri" w:hint="default"/>
      </w:rPr>
    </w:lvl>
    <w:lvl w:ilvl="1" w:tplc="04240003" w:tentative="1">
      <w:start w:val="1"/>
      <w:numFmt w:val="bullet"/>
      <w:lvlText w:val="o"/>
      <w:lvlJc w:val="left"/>
      <w:pPr>
        <w:ind w:left="1095" w:hanging="360"/>
      </w:pPr>
      <w:rPr>
        <w:rFonts w:ascii="Courier New" w:hAnsi="Courier New" w:cs="Courier New" w:hint="default"/>
      </w:rPr>
    </w:lvl>
    <w:lvl w:ilvl="2" w:tplc="04240005" w:tentative="1">
      <w:start w:val="1"/>
      <w:numFmt w:val="bullet"/>
      <w:lvlText w:val=""/>
      <w:lvlJc w:val="left"/>
      <w:pPr>
        <w:ind w:left="1815" w:hanging="360"/>
      </w:pPr>
      <w:rPr>
        <w:rFonts w:ascii="Wingdings" w:hAnsi="Wingdings" w:hint="default"/>
      </w:rPr>
    </w:lvl>
    <w:lvl w:ilvl="3" w:tplc="04240001" w:tentative="1">
      <w:start w:val="1"/>
      <w:numFmt w:val="bullet"/>
      <w:lvlText w:val=""/>
      <w:lvlJc w:val="left"/>
      <w:pPr>
        <w:ind w:left="2535" w:hanging="360"/>
      </w:pPr>
      <w:rPr>
        <w:rFonts w:ascii="Symbol" w:hAnsi="Symbol" w:hint="default"/>
      </w:rPr>
    </w:lvl>
    <w:lvl w:ilvl="4" w:tplc="04240003" w:tentative="1">
      <w:start w:val="1"/>
      <w:numFmt w:val="bullet"/>
      <w:lvlText w:val="o"/>
      <w:lvlJc w:val="left"/>
      <w:pPr>
        <w:ind w:left="3255" w:hanging="360"/>
      </w:pPr>
      <w:rPr>
        <w:rFonts w:ascii="Courier New" w:hAnsi="Courier New" w:cs="Courier New" w:hint="default"/>
      </w:rPr>
    </w:lvl>
    <w:lvl w:ilvl="5" w:tplc="04240005" w:tentative="1">
      <w:start w:val="1"/>
      <w:numFmt w:val="bullet"/>
      <w:lvlText w:val=""/>
      <w:lvlJc w:val="left"/>
      <w:pPr>
        <w:ind w:left="3975" w:hanging="360"/>
      </w:pPr>
      <w:rPr>
        <w:rFonts w:ascii="Wingdings" w:hAnsi="Wingdings" w:hint="default"/>
      </w:rPr>
    </w:lvl>
    <w:lvl w:ilvl="6" w:tplc="04240001" w:tentative="1">
      <w:start w:val="1"/>
      <w:numFmt w:val="bullet"/>
      <w:lvlText w:val=""/>
      <w:lvlJc w:val="left"/>
      <w:pPr>
        <w:ind w:left="4695" w:hanging="360"/>
      </w:pPr>
      <w:rPr>
        <w:rFonts w:ascii="Symbol" w:hAnsi="Symbol" w:hint="default"/>
      </w:rPr>
    </w:lvl>
    <w:lvl w:ilvl="7" w:tplc="04240003" w:tentative="1">
      <w:start w:val="1"/>
      <w:numFmt w:val="bullet"/>
      <w:lvlText w:val="o"/>
      <w:lvlJc w:val="left"/>
      <w:pPr>
        <w:ind w:left="5415" w:hanging="360"/>
      </w:pPr>
      <w:rPr>
        <w:rFonts w:ascii="Courier New" w:hAnsi="Courier New" w:cs="Courier New" w:hint="default"/>
      </w:rPr>
    </w:lvl>
    <w:lvl w:ilvl="8" w:tplc="04240005" w:tentative="1">
      <w:start w:val="1"/>
      <w:numFmt w:val="bullet"/>
      <w:lvlText w:val=""/>
      <w:lvlJc w:val="left"/>
      <w:pPr>
        <w:ind w:left="6135" w:hanging="360"/>
      </w:pPr>
      <w:rPr>
        <w:rFonts w:ascii="Wingdings" w:hAnsi="Wingdings" w:hint="default"/>
      </w:rPr>
    </w:lvl>
  </w:abstractNum>
  <w:abstractNum w:abstractNumId="37">
    <w:nsid w:val="7DB14EB0"/>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31"/>
  </w:num>
  <w:num w:numId="4">
    <w:abstractNumId w:val="35"/>
  </w:num>
  <w:num w:numId="5">
    <w:abstractNumId w:val="38"/>
  </w:num>
  <w:num w:numId="6">
    <w:abstractNumId w:val="22"/>
  </w:num>
  <w:num w:numId="7">
    <w:abstractNumId w:val="16"/>
  </w:num>
  <w:num w:numId="8">
    <w:abstractNumId w:val="23"/>
  </w:num>
  <w:num w:numId="9">
    <w:abstractNumId w:val="1"/>
  </w:num>
  <w:num w:numId="10">
    <w:abstractNumId w:val="30"/>
  </w:num>
  <w:num w:numId="11">
    <w:abstractNumId w:val="14"/>
  </w:num>
  <w:num w:numId="12">
    <w:abstractNumId w:val="9"/>
  </w:num>
  <w:num w:numId="13">
    <w:abstractNumId w:val="7"/>
  </w:num>
  <w:num w:numId="14">
    <w:abstractNumId w:val="17"/>
  </w:num>
  <w:num w:numId="15">
    <w:abstractNumId w:val="5"/>
  </w:num>
  <w:num w:numId="16">
    <w:abstractNumId w:val="20"/>
  </w:num>
  <w:num w:numId="17">
    <w:abstractNumId w:val="32"/>
  </w:num>
  <w:num w:numId="18">
    <w:abstractNumId w:val="18"/>
  </w:num>
  <w:num w:numId="19">
    <w:abstractNumId w:val="3"/>
  </w:num>
  <w:num w:numId="20">
    <w:abstractNumId w:val="24"/>
  </w:num>
  <w:num w:numId="21">
    <w:abstractNumId w:val="37"/>
  </w:num>
  <w:num w:numId="22">
    <w:abstractNumId w:val="25"/>
  </w:num>
  <w:num w:numId="23">
    <w:abstractNumId w:val="26"/>
  </w:num>
  <w:num w:numId="24">
    <w:abstractNumId w:val="21"/>
  </w:num>
  <w:num w:numId="25">
    <w:abstractNumId w:val="19"/>
  </w:num>
  <w:num w:numId="26">
    <w:abstractNumId w:val="29"/>
  </w:num>
  <w:num w:numId="27">
    <w:abstractNumId w:val="13"/>
  </w:num>
  <w:num w:numId="28">
    <w:abstractNumId w:val="15"/>
  </w:num>
  <w:num w:numId="29">
    <w:abstractNumId w:val="34"/>
  </w:num>
  <w:num w:numId="30">
    <w:abstractNumId w:val="27"/>
  </w:num>
  <w:num w:numId="31">
    <w:abstractNumId w:val="6"/>
  </w:num>
  <w:num w:numId="32">
    <w:abstractNumId w:val="8"/>
  </w:num>
  <w:num w:numId="33">
    <w:abstractNumId w:val="28"/>
  </w:num>
  <w:num w:numId="34">
    <w:abstractNumId w:val="4"/>
  </w:num>
  <w:num w:numId="35">
    <w:abstractNumId w:val="0"/>
    <w:lvlOverride w:ilvl="0">
      <w:lvl w:ilvl="0">
        <w:numFmt w:val="bullet"/>
        <w:lvlText w:val=""/>
        <w:legacy w:legacy="1" w:legacySpace="0" w:legacyIndent="0"/>
        <w:lvlJc w:val="left"/>
        <w:rPr>
          <w:rFonts w:ascii="Symbol" w:hAnsi="Symbol" w:hint="default"/>
          <w:sz w:val="22"/>
        </w:rPr>
      </w:lvl>
    </w:lvlOverride>
  </w:num>
  <w:num w:numId="36">
    <w:abstractNumId w:val="12"/>
  </w:num>
  <w:num w:numId="37">
    <w:abstractNumId w:val="2"/>
  </w:num>
  <w:num w:numId="38">
    <w:abstractNumId w:val="3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C3"/>
    <w:rsid w:val="000079F7"/>
    <w:rsid w:val="00012A1B"/>
    <w:rsid w:val="0002653D"/>
    <w:rsid w:val="0006317D"/>
    <w:rsid w:val="00067E4A"/>
    <w:rsid w:val="00075CBF"/>
    <w:rsid w:val="00086913"/>
    <w:rsid w:val="000A0664"/>
    <w:rsid w:val="000A1597"/>
    <w:rsid w:val="000A6618"/>
    <w:rsid w:val="000D33E4"/>
    <w:rsid w:val="000E0DBF"/>
    <w:rsid w:val="000E4E31"/>
    <w:rsid w:val="000F7A3C"/>
    <w:rsid w:val="00101CA9"/>
    <w:rsid w:val="0011398A"/>
    <w:rsid w:val="001236C3"/>
    <w:rsid w:val="00126DAB"/>
    <w:rsid w:val="00132858"/>
    <w:rsid w:val="001362D8"/>
    <w:rsid w:val="00181929"/>
    <w:rsid w:val="0018434D"/>
    <w:rsid w:val="00192028"/>
    <w:rsid w:val="00195384"/>
    <w:rsid w:val="001973E4"/>
    <w:rsid w:val="001B1535"/>
    <w:rsid w:val="001B5BBD"/>
    <w:rsid w:val="001D2CB0"/>
    <w:rsid w:val="001D327C"/>
    <w:rsid w:val="001E6906"/>
    <w:rsid w:val="001F2F8A"/>
    <w:rsid w:val="00225B1B"/>
    <w:rsid w:val="002270AA"/>
    <w:rsid w:val="00232C7A"/>
    <w:rsid w:val="002408E9"/>
    <w:rsid w:val="0024317D"/>
    <w:rsid w:val="00252BCE"/>
    <w:rsid w:val="002532F4"/>
    <w:rsid w:val="002552D7"/>
    <w:rsid w:val="00255F11"/>
    <w:rsid w:val="00260AA8"/>
    <w:rsid w:val="00272CFC"/>
    <w:rsid w:val="0028055A"/>
    <w:rsid w:val="00282B8D"/>
    <w:rsid w:val="0028638E"/>
    <w:rsid w:val="0028653F"/>
    <w:rsid w:val="00294E6A"/>
    <w:rsid w:val="002C414D"/>
    <w:rsid w:val="002C6DBF"/>
    <w:rsid w:val="002D57F0"/>
    <w:rsid w:val="002D5F0B"/>
    <w:rsid w:val="002F1DF9"/>
    <w:rsid w:val="002F33DE"/>
    <w:rsid w:val="003000D7"/>
    <w:rsid w:val="003055C6"/>
    <w:rsid w:val="00315009"/>
    <w:rsid w:val="00315129"/>
    <w:rsid w:val="00320555"/>
    <w:rsid w:val="003209E3"/>
    <w:rsid w:val="00321A64"/>
    <w:rsid w:val="00325425"/>
    <w:rsid w:val="00356592"/>
    <w:rsid w:val="00356D27"/>
    <w:rsid w:val="00360277"/>
    <w:rsid w:val="00364B70"/>
    <w:rsid w:val="0037266A"/>
    <w:rsid w:val="00374145"/>
    <w:rsid w:val="003A2972"/>
    <w:rsid w:val="003B1DE6"/>
    <w:rsid w:val="003D462F"/>
    <w:rsid w:val="003F07D4"/>
    <w:rsid w:val="00407C68"/>
    <w:rsid w:val="004171C7"/>
    <w:rsid w:val="00423A30"/>
    <w:rsid w:val="0042715E"/>
    <w:rsid w:val="0043206B"/>
    <w:rsid w:val="004441D9"/>
    <w:rsid w:val="0045704C"/>
    <w:rsid w:val="004575D3"/>
    <w:rsid w:val="00475D1E"/>
    <w:rsid w:val="004A02B0"/>
    <w:rsid w:val="004A3E98"/>
    <w:rsid w:val="004A66F6"/>
    <w:rsid w:val="004B40C4"/>
    <w:rsid w:val="004B53C7"/>
    <w:rsid w:val="004C7352"/>
    <w:rsid w:val="004D0F0D"/>
    <w:rsid w:val="004D3C30"/>
    <w:rsid w:val="004D6774"/>
    <w:rsid w:val="004D79A4"/>
    <w:rsid w:val="004E4EE9"/>
    <w:rsid w:val="004F0C35"/>
    <w:rsid w:val="004F6EDC"/>
    <w:rsid w:val="004F72DE"/>
    <w:rsid w:val="0050239C"/>
    <w:rsid w:val="00510BE3"/>
    <w:rsid w:val="00511A2B"/>
    <w:rsid w:val="00541CE1"/>
    <w:rsid w:val="005424A1"/>
    <w:rsid w:val="00570D58"/>
    <w:rsid w:val="005959A6"/>
    <w:rsid w:val="00597BDE"/>
    <w:rsid w:val="005A0664"/>
    <w:rsid w:val="005B74D0"/>
    <w:rsid w:val="005D22BD"/>
    <w:rsid w:val="005E0842"/>
    <w:rsid w:val="005E26D0"/>
    <w:rsid w:val="005F2E59"/>
    <w:rsid w:val="00600031"/>
    <w:rsid w:val="00610EEE"/>
    <w:rsid w:val="00616CED"/>
    <w:rsid w:val="00635461"/>
    <w:rsid w:val="0065068C"/>
    <w:rsid w:val="006512B2"/>
    <w:rsid w:val="006675C6"/>
    <w:rsid w:val="00671CA5"/>
    <w:rsid w:val="00674060"/>
    <w:rsid w:val="00683EEE"/>
    <w:rsid w:val="00687174"/>
    <w:rsid w:val="00695EC3"/>
    <w:rsid w:val="006B4BAC"/>
    <w:rsid w:val="006C437E"/>
    <w:rsid w:val="006D7130"/>
    <w:rsid w:val="006E4F5E"/>
    <w:rsid w:val="006F1BF2"/>
    <w:rsid w:val="00700EE6"/>
    <w:rsid w:val="00707FF9"/>
    <w:rsid w:val="00710C05"/>
    <w:rsid w:val="0071707A"/>
    <w:rsid w:val="00717EBA"/>
    <w:rsid w:val="00730545"/>
    <w:rsid w:val="0073519F"/>
    <w:rsid w:val="007354E6"/>
    <w:rsid w:val="007470C3"/>
    <w:rsid w:val="00767C2E"/>
    <w:rsid w:val="00786628"/>
    <w:rsid w:val="00791AD2"/>
    <w:rsid w:val="007A2AC3"/>
    <w:rsid w:val="007D329E"/>
    <w:rsid w:val="007E5E20"/>
    <w:rsid w:val="007E79DC"/>
    <w:rsid w:val="007F0653"/>
    <w:rsid w:val="00800304"/>
    <w:rsid w:val="00810308"/>
    <w:rsid w:val="008320E6"/>
    <w:rsid w:val="008476BB"/>
    <w:rsid w:val="00847C30"/>
    <w:rsid w:val="00851342"/>
    <w:rsid w:val="00856EDD"/>
    <w:rsid w:val="008644B4"/>
    <w:rsid w:val="008A12FA"/>
    <w:rsid w:val="008B2A92"/>
    <w:rsid w:val="008D2A07"/>
    <w:rsid w:val="008D49CE"/>
    <w:rsid w:val="008E3F2C"/>
    <w:rsid w:val="008F210F"/>
    <w:rsid w:val="00907690"/>
    <w:rsid w:val="00911F41"/>
    <w:rsid w:val="00912C04"/>
    <w:rsid w:val="00961F16"/>
    <w:rsid w:val="009844BE"/>
    <w:rsid w:val="00990888"/>
    <w:rsid w:val="00993969"/>
    <w:rsid w:val="009A019C"/>
    <w:rsid w:val="009A307B"/>
    <w:rsid w:val="009A56E8"/>
    <w:rsid w:val="009B13E4"/>
    <w:rsid w:val="009C01D3"/>
    <w:rsid w:val="009C01DB"/>
    <w:rsid w:val="009C0232"/>
    <w:rsid w:val="009C5A3F"/>
    <w:rsid w:val="009C7019"/>
    <w:rsid w:val="009D008E"/>
    <w:rsid w:val="009D7E6C"/>
    <w:rsid w:val="009E076A"/>
    <w:rsid w:val="009F1DF8"/>
    <w:rsid w:val="00A17A6E"/>
    <w:rsid w:val="00A23E5D"/>
    <w:rsid w:val="00A244C1"/>
    <w:rsid w:val="00A26930"/>
    <w:rsid w:val="00A328B8"/>
    <w:rsid w:val="00A35B22"/>
    <w:rsid w:val="00A7612C"/>
    <w:rsid w:val="00A95DDA"/>
    <w:rsid w:val="00AA2323"/>
    <w:rsid w:val="00AA540E"/>
    <w:rsid w:val="00AC0DB0"/>
    <w:rsid w:val="00AD34CE"/>
    <w:rsid w:val="00AD4F12"/>
    <w:rsid w:val="00AE0971"/>
    <w:rsid w:val="00AE16BE"/>
    <w:rsid w:val="00AE1F83"/>
    <w:rsid w:val="00AE5F32"/>
    <w:rsid w:val="00B02ECC"/>
    <w:rsid w:val="00B062C1"/>
    <w:rsid w:val="00B16C80"/>
    <w:rsid w:val="00B20161"/>
    <w:rsid w:val="00B22923"/>
    <w:rsid w:val="00B30846"/>
    <w:rsid w:val="00B379A0"/>
    <w:rsid w:val="00B56CD3"/>
    <w:rsid w:val="00B62F91"/>
    <w:rsid w:val="00B64210"/>
    <w:rsid w:val="00B67DFF"/>
    <w:rsid w:val="00B7056A"/>
    <w:rsid w:val="00B848C9"/>
    <w:rsid w:val="00B95D82"/>
    <w:rsid w:val="00BA0777"/>
    <w:rsid w:val="00BA0A8D"/>
    <w:rsid w:val="00BB00BF"/>
    <w:rsid w:val="00BC1355"/>
    <w:rsid w:val="00BC28B3"/>
    <w:rsid w:val="00BD6A1D"/>
    <w:rsid w:val="00BD6C6B"/>
    <w:rsid w:val="00BE6261"/>
    <w:rsid w:val="00C10310"/>
    <w:rsid w:val="00C24B2C"/>
    <w:rsid w:val="00C30809"/>
    <w:rsid w:val="00C35CED"/>
    <w:rsid w:val="00C362C5"/>
    <w:rsid w:val="00C4463D"/>
    <w:rsid w:val="00C44C5F"/>
    <w:rsid w:val="00C454E4"/>
    <w:rsid w:val="00C46D39"/>
    <w:rsid w:val="00C51FD3"/>
    <w:rsid w:val="00C55012"/>
    <w:rsid w:val="00C65571"/>
    <w:rsid w:val="00C6695F"/>
    <w:rsid w:val="00C87D2A"/>
    <w:rsid w:val="00CA61D8"/>
    <w:rsid w:val="00CA6F10"/>
    <w:rsid w:val="00CC56A4"/>
    <w:rsid w:val="00CC74DB"/>
    <w:rsid w:val="00CD086E"/>
    <w:rsid w:val="00CD6DE0"/>
    <w:rsid w:val="00CE614B"/>
    <w:rsid w:val="00CE76C3"/>
    <w:rsid w:val="00D12115"/>
    <w:rsid w:val="00D14F01"/>
    <w:rsid w:val="00D34263"/>
    <w:rsid w:val="00D674ED"/>
    <w:rsid w:val="00D744D2"/>
    <w:rsid w:val="00D86AC9"/>
    <w:rsid w:val="00DA38C6"/>
    <w:rsid w:val="00DA68E9"/>
    <w:rsid w:val="00DD094F"/>
    <w:rsid w:val="00DE608E"/>
    <w:rsid w:val="00DF4029"/>
    <w:rsid w:val="00DF5031"/>
    <w:rsid w:val="00DF7D5C"/>
    <w:rsid w:val="00E0065B"/>
    <w:rsid w:val="00E0273F"/>
    <w:rsid w:val="00E11188"/>
    <w:rsid w:val="00E14654"/>
    <w:rsid w:val="00E32A0B"/>
    <w:rsid w:val="00E36F10"/>
    <w:rsid w:val="00E44384"/>
    <w:rsid w:val="00E444C7"/>
    <w:rsid w:val="00E476B7"/>
    <w:rsid w:val="00E61767"/>
    <w:rsid w:val="00E72CDF"/>
    <w:rsid w:val="00E7619F"/>
    <w:rsid w:val="00E76D1B"/>
    <w:rsid w:val="00E85755"/>
    <w:rsid w:val="00F210CF"/>
    <w:rsid w:val="00F260BC"/>
    <w:rsid w:val="00F31729"/>
    <w:rsid w:val="00F31B3A"/>
    <w:rsid w:val="00F3220F"/>
    <w:rsid w:val="00F357FC"/>
    <w:rsid w:val="00F37200"/>
    <w:rsid w:val="00F37692"/>
    <w:rsid w:val="00F56569"/>
    <w:rsid w:val="00F61121"/>
    <w:rsid w:val="00F620C5"/>
    <w:rsid w:val="00F67A3D"/>
    <w:rsid w:val="00F73AB4"/>
    <w:rsid w:val="00F82AEA"/>
    <w:rsid w:val="00F86543"/>
    <w:rsid w:val="00F8716D"/>
    <w:rsid w:val="00F961A6"/>
    <w:rsid w:val="00FA0428"/>
    <w:rsid w:val="00FA250A"/>
    <w:rsid w:val="00FA2B5E"/>
    <w:rsid w:val="00FA46CA"/>
    <w:rsid w:val="00FA5F4F"/>
    <w:rsid w:val="00FB199B"/>
    <w:rsid w:val="00FB397B"/>
    <w:rsid w:val="00FB4D1B"/>
    <w:rsid w:val="00FB58E7"/>
    <w:rsid w:val="00FC0B76"/>
    <w:rsid w:val="00FC173E"/>
    <w:rsid w:val="00FC7849"/>
    <w:rsid w:val="00FD09C1"/>
    <w:rsid w:val="00FE0034"/>
    <w:rsid w:val="00FE10F1"/>
    <w:rsid w:val="00FF2EBD"/>
    <w:rsid w:val="00FF7C9B"/>
  </w:rsids>
  <m:mathPr>
    <m:mathFont m:val="Cambria Math"/>
    <m:brkBin m:val="before"/>
    <m:brkBinSub m:val="--"/>
    <m:smallFrac/>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0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semiHidden/>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F7C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left1">
    <w:name w:val="align-left1"/>
    <w:basedOn w:val="Navaden"/>
    <w:rsid w:val="000A6618"/>
    <w:pPr>
      <w:spacing w:after="0" w:line="240" w:lineRule="auto"/>
    </w:pPr>
    <w:rPr>
      <w:rFonts w:ascii="Times New Roman" w:eastAsia="Times New Roman" w:hAnsi="Times New Roman" w:cs="Times New Roman"/>
      <w:sz w:val="24"/>
      <w:szCs w:val="24"/>
      <w:lang w:eastAsia="sl-SI"/>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4A66F6"/>
    <w:pPr>
      <w:spacing w:after="0" w:line="260" w:lineRule="atLeast"/>
    </w:pPr>
    <w:rPr>
      <w:rFonts w:ascii="Arial" w:eastAsia="Times New Roman" w:hAnsi="Arial" w:cs="Times New Roman"/>
      <w:sz w:val="20"/>
      <w:szCs w:val="20"/>
      <w:lang w:val="en-US"/>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4A66F6"/>
    <w:rPr>
      <w:rFonts w:ascii="Arial" w:eastAsia="Times New Roman" w:hAnsi="Arial" w:cs="Times New Roman"/>
      <w:sz w:val="20"/>
      <w:szCs w:val="20"/>
      <w:lang w:val="en-US"/>
    </w:rPr>
  </w:style>
  <w:style w:type="character" w:styleId="Sprotnaopomba-sklic">
    <w:name w:val="footnote reference"/>
    <w:uiPriority w:val="99"/>
    <w:rsid w:val="004A66F6"/>
    <w:rPr>
      <w:vertAlign w:val="superscript"/>
    </w:rPr>
  </w:style>
  <w:style w:type="paragraph" w:customStyle="1" w:styleId="Oddelek">
    <w:name w:val="Oddelek"/>
    <w:basedOn w:val="Navaden"/>
    <w:link w:val="OddelekZnak1"/>
    <w:qFormat/>
    <w:rsid w:val="00961F16"/>
    <w:pPr>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OddelekZnak1">
    <w:name w:val="Oddelek Znak1"/>
    <w:link w:val="Oddelek"/>
    <w:rsid w:val="00961F16"/>
    <w:rPr>
      <w:rFonts w:ascii="Arial" w:eastAsia="Times New Roman" w:hAnsi="Arial" w:cs="Arial"/>
      <w:lang w:eastAsia="sl-SI"/>
    </w:rPr>
  </w:style>
  <w:style w:type="paragraph" w:customStyle="1" w:styleId="odstavek1">
    <w:name w:val="odstavek1"/>
    <w:basedOn w:val="Navaden"/>
    <w:rsid w:val="00961F16"/>
    <w:pPr>
      <w:spacing w:before="240" w:after="0" w:line="240" w:lineRule="auto"/>
      <w:ind w:firstLine="1021"/>
      <w:jc w:val="both"/>
    </w:pPr>
    <w:rPr>
      <w:rFonts w:ascii="Arial" w:eastAsia="Times New Roman" w:hAnsi="Arial" w:cs="Arial"/>
      <w:lang w:eastAsia="sl-SI"/>
    </w:rPr>
  </w:style>
  <w:style w:type="paragraph" w:customStyle="1" w:styleId="docplain">
    <w:name w:val="doc_plain"/>
    <w:basedOn w:val="Navaden"/>
    <w:rsid w:val="00B56CD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E0273F"/>
    <w:pPr>
      <w:tabs>
        <w:tab w:val="left" w:pos="1701"/>
      </w:tabs>
      <w:spacing w:after="0" w:line="260" w:lineRule="exact"/>
    </w:pPr>
    <w:rPr>
      <w:rFonts w:ascii="Arial" w:eastAsia="Times New Roman" w:hAnsi="Arial" w:cs="Times New Roman"/>
      <w:sz w:val="20"/>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0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semiHidden/>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F7C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left1">
    <w:name w:val="align-left1"/>
    <w:basedOn w:val="Navaden"/>
    <w:rsid w:val="000A6618"/>
    <w:pPr>
      <w:spacing w:after="0" w:line="240" w:lineRule="auto"/>
    </w:pPr>
    <w:rPr>
      <w:rFonts w:ascii="Times New Roman" w:eastAsia="Times New Roman" w:hAnsi="Times New Roman" w:cs="Times New Roman"/>
      <w:sz w:val="24"/>
      <w:szCs w:val="24"/>
      <w:lang w:eastAsia="sl-SI"/>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4A66F6"/>
    <w:pPr>
      <w:spacing w:after="0" w:line="260" w:lineRule="atLeast"/>
    </w:pPr>
    <w:rPr>
      <w:rFonts w:ascii="Arial" w:eastAsia="Times New Roman" w:hAnsi="Arial" w:cs="Times New Roman"/>
      <w:sz w:val="20"/>
      <w:szCs w:val="20"/>
      <w:lang w:val="en-US"/>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4A66F6"/>
    <w:rPr>
      <w:rFonts w:ascii="Arial" w:eastAsia="Times New Roman" w:hAnsi="Arial" w:cs="Times New Roman"/>
      <w:sz w:val="20"/>
      <w:szCs w:val="20"/>
      <w:lang w:val="en-US"/>
    </w:rPr>
  </w:style>
  <w:style w:type="character" w:styleId="Sprotnaopomba-sklic">
    <w:name w:val="footnote reference"/>
    <w:uiPriority w:val="99"/>
    <w:rsid w:val="004A66F6"/>
    <w:rPr>
      <w:vertAlign w:val="superscript"/>
    </w:rPr>
  </w:style>
  <w:style w:type="paragraph" w:customStyle="1" w:styleId="Oddelek">
    <w:name w:val="Oddelek"/>
    <w:basedOn w:val="Navaden"/>
    <w:link w:val="OddelekZnak1"/>
    <w:qFormat/>
    <w:rsid w:val="00961F16"/>
    <w:pPr>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OddelekZnak1">
    <w:name w:val="Oddelek Znak1"/>
    <w:link w:val="Oddelek"/>
    <w:rsid w:val="00961F16"/>
    <w:rPr>
      <w:rFonts w:ascii="Arial" w:eastAsia="Times New Roman" w:hAnsi="Arial" w:cs="Arial"/>
      <w:lang w:eastAsia="sl-SI"/>
    </w:rPr>
  </w:style>
  <w:style w:type="paragraph" w:customStyle="1" w:styleId="odstavek1">
    <w:name w:val="odstavek1"/>
    <w:basedOn w:val="Navaden"/>
    <w:rsid w:val="00961F16"/>
    <w:pPr>
      <w:spacing w:before="240" w:after="0" w:line="240" w:lineRule="auto"/>
      <w:ind w:firstLine="1021"/>
      <w:jc w:val="both"/>
    </w:pPr>
    <w:rPr>
      <w:rFonts w:ascii="Arial" w:eastAsia="Times New Roman" w:hAnsi="Arial" w:cs="Arial"/>
      <w:lang w:eastAsia="sl-SI"/>
    </w:rPr>
  </w:style>
  <w:style w:type="paragraph" w:customStyle="1" w:styleId="docplain">
    <w:name w:val="doc_plain"/>
    <w:basedOn w:val="Navaden"/>
    <w:rsid w:val="00B56CD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E0273F"/>
    <w:pPr>
      <w:tabs>
        <w:tab w:val="left" w:pos="1701"/>
      </w:tabs>
      <w:spacing w:after="0" w:line="260" w:lineRule="exact"/>
    </w:pPr>
    <w:rPr>
      <w:rFonts w:ascii="Arial" w:eastAsia="Times New Roman" w:hAnsi="Arial" w:cs="Times New Roman"/>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35003">
      <w:bodyDiv w:val="1"/>
      <w:marLeft w:val="0"/>
      <w:marRight w:val="0"/>
      <w:marTop w:val="0"/>
      <w:marBottom w:val="0"/>
      <w:divBdr>
        <w:top w:val="none" w:sz="0" w:space="0" w:color="auto"/>
        <w:left w:val="none" w:sz="0" w:space="0" w:color="auto"/>
        <w:bottom w:val="none" w:sz="0" w:space="0" w:color="auto"/>
        <w:right w:val="none" w:sz="0" w:space="0" w:color="auto"/>
      </w:divBdr>
      <w:divsChild>
        <w:div w:id="1807039158">
          <w:marLeft w:val="0"/>
          <w:marRight w:val="0"/>
          <w:marTop w:val="0"/>
          <w:marBottom w:val="0"/>
          <w:divBdr>
            <w:top w:val="none" w:sz="0" w:space="0" w:color="auto"/>
            <w:left w:val="none" w:sz="0" w:space="0" w:color="auto"/>
            <w:bottom w:val="none" w:sz="0" w:space="0" w:color="auto"/>
            <w:right w:val="none" w:sz="0" w:space="0" w:color="auto"/>
          </w:divBdr>
          <w:divsChild>
            <w:div w:id="396559219">
              <w:marLeft w:val="0"/>
              <w:marRight w:val="0"/>
              <w:marTop w:val="0"/>
              <w:marBottom w:val="0"/>
              <w:divBdr>
                <w:top w:val="none" w:sz="0" w:space="0" w:color="auto"/>
                <w:left w:val="none" w:sz="0" w:space="0" w:color="auto"/>
                <w:bottom w:val="none" w:sz="0" w:space="0" w:color="auto"/>
                <w:right w:val="none" w:sz="0" w:space="0" w:color="auto"/>
              </w:divBdr>
              <w:divsChild>
                <w:div w:id="1986279091">
                  <w:marLeft w:val="0"/>
                  <w:marRight w:val="0"/>
                  <w:marTop w:val="0"/>
                  <w:marBottom w:val="0"/>
                  <w:divBdr>
                    <w:top w:val="none" w:sz="0" w:space="0" w:color="auto"/>
                    <w:left w:val="none" w:sz="0" w:space="0" w:color="auto"/>
                    <w:bottom w:val="none" w:sz="0" w:space="0" w:color="auto"/>
                    <w:right w:val="none" w:sz="0" w:space="0" w:color="auto"/>
                  </w:divBdr>
                  <w:divsChild>
                    <w:div w:id="1327628992">
                      <w:marLeft w:val="0"/>
                      <w:marRight w:val="0"/>
                      <w:marTop w:val="0"/>
                      <w:marBottom w:val="0"/>
                      <w:divBdr>
                        <w:top w:val="none" w:sz="0" w:space="0" w:color="auto"/>
                        <w:left w:val="none" w:sz="0" w:space="0" w:color="auto"/>
                        <w:bottom w:val="none" w:sz="0" w:space="0" w:color="auto"/>
                        <w:right w:val="none" w:sz="0" w:space="0" w:color="auto"/>
                      </w:divBdr>
                      <w:divsChild>
                        <w:div w:id="1995797197">
                          <w:marLeft w:val="0"/>
                          <w:marRight w:val="0"/>
                          <w:marTop w:val="0"/>
                          <w:marBottom w:val="0"/>
                          <w:divBdr>
                            <w:top w:val="none" w:sz="0" w:space="0" w:color="auto"/>
                            <w:left w:val="none" w:sz="0" w:space="0" w:color="auto"/>
                            <w:bottom w:val="none" w:sz="0" w:space="0" w:color="auto"/>
                            <w:right w:val="none" w:sz="0" w:space="0" w:color="auto"/>
                          </w:divBdr>
                          <w:divsChild>
                            <w:div w:id="1929848364">
                              <w:marLeft w:val="0"/>
                              <w:marRight w:val="0"/>
                              <w:marTop w:val="0"/>
                              <w:marBottom w:val="0"/>
                              <w:divBdr>
                                <w:top w:val="none" w:sz="0" w:space="0" w:color="auto"/>
                                <w:left w:val="none" w:sz="0" w:space="0" w:color="auto"/>
                                <w:bottom w:val="none" w:sz="0" w:space="0" w:color="auto"/>
                                <w:right w:val="none" w:sz="0" w:space="0" w:color="auto"/>
                              </w:divBdr>
                            </w:div>
                            <w:div w:id="34503626">
                              <w:marLeft w:val="0"/>
                              <w:marRight w:val="0"/>
                              <w:marTop w:val="0"/>
                              <w:marBottom w:val="0"/>
                              <w:divBdr>
                                <w:top w:val="none" w:sz="0" w:space="0" w:color="auto"/>
                                <w:left w:val="none" w:sz="0" w:space="0" w:color="auto"/>
                                <w:bottom w:val="none" w:sz="0" w:space="0" w:color="auto"/>
                                <w:right w:val="none" w:sz="0" w:space="0" w:color="auto"/>
                              </w:divBdr>
                            </w:div>
                            <w:div w:id="428703359">
                              <w:marLeft w:val="0"/>
                              <w:marRight w:val="0"/>
                              <w:marTop w:val="0"/>
                              <w:marBottom w:val="0"/>
                              <w:divBdr>
                                <w:top w:val="none" w:sz="0" w:space="0" w:color="auto"/>
                                <w:left w:val="none" w:sz="0" w:space="0" w:color="auto"/>
                                <w:bottom w:val="none" w:sz="0" w:space="0" w:color="auto"/>
                                <w:right w:val="none" w:sz="0" w:space="0" w:color="auto"/>
                              </w:divBdr>
                            </w:div>
                            <w:div w:id="157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4031</Words>
  <Characters>22982</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26960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TAncik</dc:creator>
  <cp:lastModifiedBy>LVidergar</cp:lastModifiedBy>
  <cp:revision>3</cp:revision>
  <cp:lastPrinted>2019-09-03T10:40:00Z</cp:lastPrinted>
  <dcterms:created xsi:type="dcterms:W3CDTF">2019-12-11T08:48:00Z</dcterms:created>
  <dcterms:modified xsi:type="dcterms:W3CDTF">2019-12-11T08:50:00Z</dcterms:modified>
</cp:coreProperties>
</file>