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FC676" w14:textId="77777777" w:rsidR="00205264" w:rsidRPr="004223D6" w:rsidRDefault="00205264" w:rsidP="00205264">
      <w:pPr>
        <w:rPr>
          <w:lang w:val="sl-SI" w:eastAsia="sl-SI"/>
        </w:rPr>
      </w:pPr>
    </w:p>
    <w:p w14:paraId="57187530" w14:textId="77777777" w:rsidR="00205264" w:rsidRPr="004223D6" w:rsidRDefault="00205264" w:rsidP="00205264">
      <w:pPr>
        <w:rPr>
          <w:lang w:val="sl-SI" w:eastAsia="sl-SI"/>
        </w:rPr>
      </w:pPr>
    </w:p>
    <w:p w14:paraId="28A179EE" w14:textId="77777777" w:rsidR="00205264" w:rsidRPr="004223D6" w:rsidRDefault="00205264" w:rsidP="00205264">
      <w:pPr>
        <w:rPr>
          <w:lang w:val="sl-SI" w:eastAsia="sl-SI"/>
        </w:rPr>
      </w:pPr>
    </w:p>
    <w:p w14:paraId="103175E5" w14:textId="77777777" w:rsidR="00205264" w:rsidRPr="004223D6" w:rsidRDefault="00205264" w:rsidP="00205264">
      <w:pPr>
        <w:rPr>
          <w:lang w:val="sl-SI" w:eastAsia="sl-SI"/>
        </w:rPr>
      </w:pPr>
    </w:p>
    <w:p w14:paraId="7A9B87B4" w14:textId="77777777" w:rsidR="00205264" w:rsidRPr="004223D6" w:rsidRDefault="00205264" w:rsidP="00205264">
      <w:pPr>
        <w:rPr>
          <w:lang w:val="sl-SI" w:eastAsia="sl-SI"/>
        </w:rPr>
      </w:pPr>
    </w:p>
    <w:p w14:paraId="37CE8850" w14:textId="77777777" w:rsidR="00205264" w:rsidRPr="004223D6" w:rsidRDefault="00205264" w:rsidP="00205264">
      <w:pPr>
        <w:rPr>
          <w:lang w:val="sl-SI" w:eastAsia="sl-SI"/>
        </w:rPr>
      </w:pPr>
    </w:p>
    <w:tbl>
      <w:tblPr>
        <w:tblpPr w:leftFromText="141" w:rightFromText="141" w:vertAnchor="text" w:horzAnchor="margin" w:tblpY="89"/>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5097"/>
        <w:gridCol w:w="347"/>
        <w:gridCol w:w="2209"/>
      </w:tblGrid>
      <w:tr w:rsidR="00205264" w:rsidRPr="004223D6" w14:paraId="4B9F4F06" w14:textId="77777777" w:rsidTr="0069385C">
        <w:trPr>
          <w:gridAfter w:val="2"/>
          <w:wAfter w:w="2556" w:type="dxa"/>
        </w:trPr>
        <w:tc>
          <w:tcPr>
            <w:tcW w:w="6658" w:type="dxa"/>
            <w:gridSpan w:val="2"/>
          </w:tcPr>
          <w:p w14:paraId="568BC8B3" w14:textId="7EE8ACFB" w:rsidR="00205264" w:rsidRPr="007A1204" w:rsidRDefault="00205264" w:rsidP="00205264">
            <w:pPr>
              <w:pStyle w:val="datumtevilka"/>
              <w:spacing w:line="240" w:lineRule="auto"/>
              <w:rPr>
                <w:sz w:val="22"/>
                <w:szCs w:val="22"/>
              </w:rPr>
            </w:pPr>
            <w:r w:rsidRPr="007A1204">
              <w:rPr>
                <w:sz w:val="22"/>
                <w:szCs w:val="22"/>
              </w:rPr>
              <w:t xml:space="preserve">Številka: </w:t>
            </w:r>
            <w:r w:rsidRPr="007A1204">
              <w:rPr>
                <w:rFonts w:eastAsiaTheme="minorHAnsi"/>
                <w:color w:val="000000"/>
                <w:sz w:val="22"/>
                <w:szCs w:val="22"/>
              </w:rPr>
              <w:t>303-</w:t>
            </w:r>
            <w:r w:rsidR="00721082" w:rsidRPr="007A1204">
              <w:rPr>
                <w:rFonts w:eastAsiaTheme="minorHAnsi"/>
                <w:color w:val="000000"/>
                <w:sz w:val="22"/>
                <w:szCs w:val="22"/>
              </w:rPr>
              <w:t>1</w:t>
            </w:r>
            <w:r w:rsidRPr="007A1204">
              <w:rPr>
                <w:rFonts w:eastAsiaTheme="minorHAnsi"/>
                <w:color w:val="000000"/>
                <w:sz w:val="22"/>
                <w:szCs w:val="22"/>
              </w:rPr>
              <w:t>5/2017</w:t>
            </w:r>
            <w:r w:rsidR="005F7A4D">
              <w:rPr>
                <w:rFonts w:eastAsiaTheme="minorHAnsi"/>
                <w:color w:val="000000"/>
                <w:sz w:val="22"/>
                <w:szCs w:val="22"/>
              </w:rPr>
              <w:t>/56</w:t>
            </w:r>
          </w:p>
        </w:tc>
      </w:tr>
      <w:tr w:rsidR="00205264" w:rsidRPr="004223D6" w14:paraId="65C3D1B4" w14:textId="77777777" w:rsidTr="0069385C">
        <w:trPr>
          <w:gridAfter w:val="2"/>
          <w:wAfter w:w="2556" w:type="dxa"/>
        </w:trPr>
        <w:tc>
          <w:tcPr>
            <w:tcW w:w="6658" w:type="dxa"/>
            <w:gridSpan w:val="2"/>
          </w:tcPr>
          <w:p w14:paraId="39A76469" w14:textId="66FDADA7" w:rsidR="00205264" w:rsidRPr="007A1204" w:rsidRDefault="00205264" w:rsidP="005F7A4D">
            <w:pPr>
              <w:pStyle w:val="datumtevilka"/>
              <w:spacing w:line="240" w:lineRule="auto"/>
              <w:rPr>
                <w:sz w:val="22"/>
                <w:szCs w:val="22"/>
              </w:rPr>
            </w:pPr>
            <w:r w:rsidRPr="007A1204">
              <w:rPr>
                <w:sz w:val="22"/>
                <w:szCs w:val="22"/>
              </w:rPr>
              <w:t>Ljubljana, dne</w:t>
            </w:r>
            <w:r w:rsidR="00C13896" w:rsidRPr="007A1204">
              <w:rPr>
                <w:sz w:val="22"/>
                <w:szCs w:val="22"/>
              </w:rPr>
              <w:t xml:space="preserve"> </w:t>
            </w:r>
            <w:r w:rsidR="005F7A4D">
              <w:rPr>
                <w:sz w:val="22"/>
                <w:szCs w:val="22"/>
              </w:rPr>
              <w:t>13</w:t>
            </w:r>
            <w:r w:rsidRPr="007A1204">
              <w:rPr>
                <w:sz w:val="22"/>
                <w:szCs w:val="22"/>
              </w:rPr>
              <w:t>.</w:t>
            </w:r>
            <w:r w:rsidR="007A1204" w:rsidRPr="007A1204">
              <w:rPr>
                <w:sz w:val="22"/>
                <w:szCs w:val="22"/>
              </w:rPr>
              <w:t>9.2019</w:t>
            </w:r>
          </w:p>
        </w:tc>
      </w:tr>
      <w:tr w:rsidR="00205264" w:rsidRPr="004223D6" w14:paraId="4E4C4B28" w14:textId="77777777" w:rsidTr="0069385C">
        <w:trPr>
          <w:gridAfter w:val="2"/>
          <w:wAfter w:w="2556" w:type="dxa"/>
        </w:trPr>
        <w:tc>
          <w:tcPr>
            <w:tcW w:w="6658" w:type="dxa"/>
            <w:gridSpan w:val="2"/>
          </w:tcPr>
          <w:p w14:paraId="2450E41F" w14:textId="77777777" w:rsidR="00205264" w:rsidRPr="004223D6" w:rsidRDefault="00205264" w:rsidP="00205264">
            <w:pPr>
              <w:pStyle w:val="Neotevilenodstavek"/>
              <w:spacing w:before="0" w:after="0" w:line="240" w:lineRule="auto"/>
              <w:jc w:val="left"/>
            </w:pPr>
            <w:r w:rsidRPr="004223D6">
              <w:rPr>
                <w:iCs/>
              </w:rPr>
              <w:t>EVA /</w:t>
            </w:r>
          </w:p>
        </w:tc>
      </w:tr>
      <w:tr w:rsidR="00205264" w:rsidRPr="004223D6" w14:paraId="02605F00" w14:textId="77777777" w:rsidTr="0069385C">
        <w:trPr>
          <w:gridAfter w:val="2"/>
          <w:wAfter w:w="2556" w:type="dxa"/>
        </w:trPr>
        <w:tc>
          <w:tcPr>
            <w:tcW w:w="6658" w:type="dxa"/>
            <w:gridSpan w:val="2"/>
          </w:tcPr>
          <w:p w14:paraId="5FEC2BD3" w14:textId="77777777" w:rsidR="00205264" w:rsidRPr="004223D6" w:rsidRDefault="00205264" w:rsidP="00205264">
            <w:pPr>
              <w:rPr>
                <w:rFonts w:cs="Arial"/>
                <w:lang w:val="sl-SI"/>
              </w:rPr>
            </w:pPr>
          </w:p>
          <w:p w14:paraId="025A25E2" w14:textId="77777777" w:rsidR="00205264" w:rsidRPr="004223D6" w:rsidRDefault="00205264" w:rsidP="00205264">
            <w:pPr>
              <w:rPr>
                <w:rFonts w:cs="Arial"/>
                <w:b/>
                <w:lang w:val="sl-SI"/>
              </w:rPr>
            </w:pPr>
            <w:r w:rsidRPr="004223D6">
              <w:rPr>
                <w:rFonts w:cs="Arial"/>
                <w:b/>
                <w:lang w:val="sl-SI"/>
              </w:rPr>
              <w:t>GENERALNI SEKRETARIAT VLADE REPUBLIKE SLOVENIJE</w:t>
            </w:r>
          </w:p>
          <w:p w14:paraId="576BF59D" w14:textId="77777777" w:rsidR="00205264" w:rsidRPr="004223D6" w:rsidRDefault="0084527F" w:rsidP="00205264">
            <w:pPr>
              <w:rPr>
                <w:rFonts w:cs="Arial"/>
                <w:b/>
                <w:lang w:val="sl-SI"/>
              </w:rPr>
            </w:pPr>
            <w:hyperlink r:id="rId9" w:history="1">
              <w:r w:rsidR="00205264" w:rsidRPr="004223D6">
                <w:rPr>
                  <w:rStyle w:val="Hiperpovezava"/>
                  <w:rFonts w:cs="Arial"/>
                  <w:b/>
                  <w:lang w:val="sl-SI"/>
                </w:rPr>
                <w:t>gp.gs@gov.si</w:t>
              </w:r>
            </w:hyperlink>
          </w:p>
          <w:p w14:paraId="63BA6FD0" w14:textId="77777777" w:rsidR="00205264" w:rsidRPr="004223D6" w:rsidRDefault="00205264" w:rsidP="00205264">
            <w:pPr>
              <w:rPr>
                <w:rFonts w:cs="Arial"/>
                <w:lang w:val="sl-SI"/>
              </w:rPr>
            </w:pPr>
          </w:p>
        </w:tc>
      </w:tr>
      <w:tr w:rsidR="00205264" w:rsidRPr="004223D6" w14:paraId="34CB6720" w14:textId="77777777" w:rsidTr="00205264">
        <w:tc>
          <w:tcPr>
            <w:tcW w:w="9214" w:type="dxa"/>
            <w:gridSpan w:val="4"/>
          </w:tcPr>
          <w:p w14:paraId="46292DB6" w14:textId="06E7E04C" w:rsidR="00205264" w:rsidRPr="004223D6" w:rsidRDefault="00205264" w:rsidP="002C0584">
            <w:pPr>
              <w:pStyle w:val="Naslovpredpisa"/>
              <w:spacing w:before="0" w:after="0" w:line="240" w:lineRule="auto"/>
              <w:jc w:val="both"/>
            </w:pPr>
            <w:r w:rsidRPr="004223D6">
              <w:t xml:space="preserve">ZADEVA: Načrt izvajanja finančnih instrumentov za </w:t>
            </w:r>
            <w:r w:rsidR="002C0584">
              <w:t xml:space="preserve">obdobje </w:t>
            </w:r>
            <w:r w:rsidR="00721082" w:rsidRPr="004223D6">
              <w:t>20</w:t>
            </w:r>
            <w:r w:rsidR="002C0584">
              <w:t>20-2023</w:t>
            </w:r>
            <w:r w:rsidRPr="004223D6">
              <w:t xml:space="preserve"> – predlog za obravnavo</w:t>
            </w:r>
            <w:r w:rsidR="00C13896">
              <w:t xml:space="preserve">    </w:t>
            </w:r>
          </w:p>
        </w:tc>
      </w:tr>
      <w:tr w:rsidR="00205264" w:rsidRPr="004223D6" w14:paraId="30136CB6" w14:textId="77777777" w:rsidTr="00205264">
        <w:tc>
          <w:tcPr>
            <w:tcW w:w="9214" w:type="dxa"/>
            <w:gridSpan w:val="4"/>
          </w:tcPr>
          <w:p w14:paraId="7A401674" w14:textId="77777777" w:rsidR="00205264" w:rsidRPr="004223D6" w:rsidRDefault="00205264" w:rsidP="00205264">
            <w:pPr>
              <w:pStyle w:val="Poglavje"/>
              <w:spacing w:before="0" w:after="0" w:line="240" w:lineRule="auto"/>
              <w:jc w:val="left"/>
            </w:pPr>
          </w:p>
          <w:p w14:paraId="07AA6C8F" w14:textId="77777777" w:rsidR="00205264" w:rsidRPr="004223D6" w:rsidRDefault="00205264" w:rsidP="00205264">
            <w:pPr>
              <w:pStyle w:val="Poglavje"/>
              <w:spacing w:before="0" w:after="0" w:line="240" w:lineRule="auto"/>
              <w:jc w:val="left"/>
            </w:pPr>
            <w:r w:rsidRPr="004223D6">
              <w:t>1. Predlog sklepov vlade:</w:t>
            </w:r>
          </w:p>
        </w:tc>
      </w:tr>
      <w:tr w:rsidR="00205264" w:rsidRPr="004223D6" w14:paraId="0925ED86" w14:textId="77777777" w:rsidTr="00205264">
        <w:tc>
          <w:tcPr>
            <w:tcW w:w="9214" w:type="dxa"/>
            <w:gridSpan w:val="4"/>
          </w:tcPr>
          <w:p w14:paraId="743E55E2" w14:textId="2EC5F7CA" w:rsidR="00205264" w:rsidRPr="004223D6" w:rsidRDefault="00205264" w:rsidP="00205264">
            <w:pPr>
              <w:widowControl w:val="0"/>
              <w:suppressAutoHyphens/>
              <w:jc w:val="both"/>
              <w:rPr>
                <w:rFonts w:cs="Arial"/>
                <w:szCs w:val="22"/>
                <w:lang w:val="sl-SI" w:eastAsia="ar-SA"/>
              </w:rPr>
            </w:pPr>
            <w:r w:rsidRPr="004223D6">
              <w:rPr>
                <w:rFonts w:cs="Arial"/>
                <w:szCs w:val="22"/>
                <w:lang w:val="sl-SI" w:eastAsia="ar-SA"/>
              </w:rPr>
              <w:t>Na podlagi</w:t>
            </w:r>
            <w:r w:rsidRPr="004223D6">
              <w:rPr>
                <w:rFonts w:cs="Arial"/>
                <w:szCs w:val="22"/>
                <w:lang w:val="sl-SI"/>
              </w:rPr>
              <w:t xml:space="preserve"> </w:t>
            </w:r>
            <w:r w:rsidRPr="004223D6">
              <w:rPr>
                <w:rFonts w:cs="Arial"/>
                <w:szCs w:val="22"/>
                <w:lang w:val="sl-SI" w:eastAsia="ar-SA"/>
              </w:rPr>
              <w:t xml:space="preserve">šestega odstavka 21. člena Zakona o Vladi Republike Slovenije </w:t>
            </w:r>
            <w:r w:rsidRPr="004223D6">
              <w:rPr>
                <w:rFonts w:cs="Arial"/>
                <w:szCs w:val="22"/>
                <w:lang w:val="sl-SI" w:eastAsia="sl-SI"/>
              </w:rPr>
              <w:t xml:space="preserve">(Uradni list RS, št. 24/05 </w:t>
            </w:r>
            <w:r w:rsidR="00AD2ADE" w:rsidRPr="004223D6">
              <w:rPr>
                <w:rFonts w:cs="Arial"/>
                <w:szCs w:val="22"/>
                <w:lang w:val="sl-SI" w:eastAsia="sl-SI"/>
              </w:rPr>
              <w:t>–</w:t>
            </w:r>
            <w:r w:rsidRPr="004223D6">
              <w:rPr>
                <w:rFonts w:cs="Arial"/>
                <w:szCs w:val="22"/>
                <w:lang w:val="sl-SI" w:eastAsia="sl-SI"/>
              </w:rPr>
              <w:t xml:space="preserve"> uradno prečiščeno besedilo, 109/08, 38/10 </w:t>
            </w:r>
            <w:r w:rsidR="00AD2ADE" w:rsidRPr="004223D6">
              <w:rPr>
                <w:rFonts w:cs="Arial"/>
                <w:szCs w:val="22"/>
                <w:lang w:val="sl-SI" w:eastAsia="sl-SI"/>
              </w:rPr>
              <w:t>–</w:t>
            </w:r>
            <w:r w:rsidRPr="004223D6">
              <w:rPr>
                <w:rFonts w:cs="Arial"/>
                <w:szCs w:val="22"/>
                <w:lang w:val="sl-SI" w:eastAsia="sl-SI"/>
              </w:rPr>
              <w:t xml:space="preserve"> ZKUN, 8/12, 21/13, 47/13 </w:t>
            </w:r>
            <w:r w:rsidR="00AD2ADE" w:rsidRPr="004223D6">
              <w:rPr>
                <w:rFonts w:cs="Arial"/>
                <w:szCs w:val="22"/>
                <w:lang w:val="sl-SI" w:eastAsia="sl-SI"/>
              </w:rPr>
              <w:t>–</w:t>
            </w:r>
            <w:r w:rsidRPr="004223D6">
              <w:rPr>
                <w:rFonts w:cs="Arial"/>
                <w:szCs w:val="22"/>
                <w:lang w:val="sl-SI" w:eastAsia="sl-SI"/>
              </w:rPr>
              <w:t xml:space="preserve"> ZDU-1G, 65/14 in 55/17) in v zvezi s</w:t>
            </w:r>
            <w:r w:rsidR="0082467F" w:rsidRPr="004223D6">
              <w:rPr>
                <w:rFonts w:cs="Arial"/>
                <w:szCs w:val="22"/>
                <w:lang w:val="sl-SI" w:eastAsia="sl-SI"/>
              </w:rPr>
              <w:t xml:space="preserve"> 13. členom Zakona o javnih financah Uradni list RS, št. </w:t>
            </w:r>
            <w:hyperlink r:id="rId10" w:tgtFrame="_blank" w:tooltip="Zakon o javnih financah (uradno prečiščeno besedilo)" w:history="1">
              <w:r w:rsidR="0082467F" w:rsidRPr="004223D6">
                <w:rPr>
                  <w:rFonts w:cs="Arial"/>
                  <w:szCs w:val="22"/>
                  <w:lang w:val="sl-SI" w:eastAsia="sl-SI"/>
                </w:rPr>
                <w:t>11/11</w:t>
              </w:r>
            </w:hyperlink>
            <w:r w:rsidR="0082467F" w:rsidRPr="004223D6">
              <w:rPr>
                <w:rFonts w:cs="Arial"/>
                <w:szCs w:val="22"/>
                <w:lang w:val="sl-SI" w:eastAsia="sl-SI"/>
              </w:rPr>
              <w:t xml:space="preserve"> – uradno prečiščeno besedilo, </w:t>
            </w:r>
            <w:hyperlink r:id="rId11" w:tgtFrame="_blank" w:tooltip="Popravek Uradnega prečiščenega besedila Zakona  o javnih financah (ZJF-UPB4p)" w:history="1">
              <w:r w:rsidR="0082467F" w:rsidRPr="004223D6">
                <w:rPr>
                  <w:rFonts w:cs="Arial"/>
                  <w:szCs w:val="22"/>
                  <w:lang w:val="sl-SI" w:eastAsia="sl-SI"/>
                </w:rPr>
                <w:t xml:space="preserve">14/13 – </w:t>
              </w:r>
              <w:proofErr w:type="spellStart"/>
              <w:r w:rsidR="0082467F" w:rsidRPr="004223D6">
                <w:rPr>
                  <w:rFonts w:cs="Arial"/>
                  <w:szCs w:val="22"/>
                  <w:lang w:val="sl-SI" w:eastAsia="sl-SI"/>
                </w:rPr>
                <w:t>popr</w:t>
              </w:r>
              <w:proofErr w:type="spellEnd"/>
              <w:r w:rsidR="0082467F" w:rsidRPr="004223D6">
                <w:rPr>
                  <w:rFonts w:cs="Arial"/>
                  <w:szCs w:val="22"/>
                  <w:lang w:val="sl-SI" w:eastAsia="sl-SI"/>
                </w:rPr>
                <w:t>.</w:t>
              </w:r>
            </w:hyperlink>
            <w:r w:rsidR="0082467F" w:rsidRPr="004223D6">
              <w:rPr>
                <w:rFonts w:cs="Arial"/>
                <w:szCs w:val="22"/>
                <w:lang w:val="sl-SI" w:eastAsia="sl-SI"/>
              </w:rPr>
              <w:t xml:space="preserve">, </w:t>
            </w:r>
            <w:hyperlink r:id="rId12" w:tgtFrame="_blank" w:tooltip="Zakon o dopolnitvi Zakona o javnih financah" w:history="1">
              <w:r w:rsidR="0082467F" w:rsidRPr="004223D6">
                <w:rPr>
                  <w:rFonts w:cs="Arial"/>
                  <w:szCs w:val="22"/>
                  <w:lang w:val="sl-SI" w:eastAsia="sl-SI"/>
                </w:rPr>
                <w:t>101/13</w:t>
              </w:r>
            </w:hyperlink>
            <w:r w:rsidR="0082467F" w:rsidRPr="004223D6">
              <w:rPr>
                <w:rFonts w:cs="Arial"/>
                <w:szCs w:val="22"/>
                <w:lang w:val="sl-SI" w:eastAsia="sl-SI"/>
              </w:rPr>
              <w:t xml:space="preserve">, </w:t>
            </w:r>
            <w:hyperlink r:id="rId13" w:tgtFrame="_blank" w:tooltip="Zakon o fiskalnem pravilu" w:history="1">
              <w:r w:rsidR="0082467F" w:rsidRPr="004223D6">
                <w:rPr>
                  <w:rFonts w:cs="Arial"/>
                  <w:szCs w:val="22"/>
                  <w:lang w:val="sl-SI" w:eastAsia="sl-SI"/>
                </w:rPr>
                <w:t>55/15</w:t>
              </w:r>
            </w:hyperlink>
            <w:r w:rsidR="0082467F" w:rsidRPr="004223D6">
              <w:rPr>
                <w:rFonts w:cs="Arial"/>
                <w:szCs w:val="22"/>
                <w:lang w:val="sl-SI" w:eastAsia="sl-SI"/>
              </w:rPr>
              <w:t xml:space="preserve"> – </w:t>
            </w:r>
            <w:proofErr w:type="spellStart"/>
            <w:r w:rsidR="0082467F" w:rsidRPr="004223D6">
              <w:rPr>
                <w:rFonts w:cs="Arial"/>
                <w:szCs w:val="22"/>
                <w:lang w:val="sl-SI" w:eastAsia="sl-SI"/>
              </w:rPr>
              <w:t>ZFisP</w:t>
            </w:r>
            <w:proofErr w:type="spellEnd"/>
            <w:r w:rsidR="0082467F" w:rsidRPr="004223D6">
              <w:rPr>
                <w:rFonts w:cs="Arial"/>
                <w:szCs w:val="22"/>
                <w:lang w:val="sl-SI" w:eastAsia="sl-SI"/>
              </w:rPr>
              <w:t xml:space="preserve">, </w:t>
            </w:r>
            <w:hyperlink r:id="rId14" w:tgtFrame="_blank" w:tooltip="Zakon o izvrševanju proračunov Republike Slovenije za leti 2016 in 2017" w:history="1">
              <w:r w:rsidR="0082467F" w:rsidRPr="004223D6">
                <w:rPr>
                  <w:rFonts w:cs="Arial"/>
                  <w:szCs w:val="22"/>
                  <w:lang w:val="sl-SI" w:eastAsia="sl-SI"/>
                </w:rPr>
                <w:t>96/15</w:t>
              </w:r>
            </w:hyperlink>
            <w:r w:rsidR="0082467F" w:rsidRPr="004223D6">
              <w:rPr>
                <w:rFonts w:cs="Arial"/>
                <w:szCs w:val="22"/>
                <w:lang w:val="sl-SI" w:eastAsia="sl-SI"/>
              </w:rPr>
              <w:t xml:space="preserve"> – ZIPRS1617 in </w:t>
            </w:r>
            <w:hyperlink r:id="rId15" w:tgtFrame="_blank" w:tooltip="Zakon o spremembah in dopolnitvah Zakona o javnih financah" w:history="1">
              <w:r w:rsidR="0082467F" w:rsidRPr="004223D6">
                <w:rPr>
                  <w:rFonts w:cs="Arial"/>
                  <w:szCs w:val="22"/>
                  <w:lang w:val="sl-SI" w:eastAsia="sl-SI"/>
                </w:rPr>
                <w:t>13/18</w:t>
              </w:r>
            </w:hyperlink>
            <w:r w:rsidR="0082467F" w:rsidRPr="004223D6">
              <w:rPr>
                <w:rFonts w:cs="Arial"/>
                <w:szCs w:val="22"/>
                <w:lang w:val="sl-SI" w:eastAsia="sl-SI"/>
              </w:rPr>
              <w:t>)</w:t>
            </w:r>
            <w:r w:rsidR="00C13896">
              <w:rPr>
                <w:rFonts w:cs="Arial"/>
                <w:szCs w:val="22"/>
                <w:lang w:val="sl-SI" w:eastAsia="sl-SI"/>
              </w:rPr>
              <w:t xml:space="preserve"> </w:t>
            </w:r>
            <w:r w:rsidR="0000252C" w:rsidRPr="007811F9">
              <w:rPr>
                <w:rFonts w:cs="Arial"/>
                <w:szCs w:val="22"/>
                <w:lang w:val="sl-SI" w:eastAsia="sl-SI"/>
              </w:rPr>
              <w:t>ter 6</w:t>
            </w:r>
            <w:r w:rsidRPr="007811F9">
              <w:rPr>
                <w:rFonts w:cs="Arial"/>
                <w:szCs w:val="22"/>
                <w:lang w:val="sl-SI" w:eastAsia="sl-SI"/>
              </w:rPr>
              <w:t>. točk</w:t>
            </w:r>
            <w:r w:rsidR="00AD2ADE">
              <w:rPr>
                <w:rFonts w:cs="Arial"/>
                <w:szCs w:val="22"/>
                <w:lang w:val="sl-SI" w:eastAsia="sl-SI"/>
              </w:rPr>
              <w:t>o</w:t>
            </w:r>
            <w:r w:rsidRPr="007811F9">
              <w:rPr>
                <w:rFonts w:cs="Arial"/>
                <w:szCs w:val="22"/>
                <w:lang w:val="sl-SI" w:eastAsia="sl-SI"/>
              </w:rPr>
              <w:t xml:space="preserve"> sklepa št. 41003-</w:t>
            </w:r>
            <w:r w:rsidR="006336CB" w:rsidRPr="007811F9">
              <w:rPr>
                <w:rFonts w:cs="Arial"/>
                <w:szCs w:val="22"/>
                <w:lang w:val="sl-SI" w:eastAsia="sl-SI"/>
              </w:rPr>
              <w:t>5/2019/9</w:t>
            </w:r>
            <w:r w:rsidRPr="007811F9">
              <w:rPr>
                <w:rFonts w:cs="Arial"/>
                <w:color w:val="000000"/>
                <w:lang w:val="sl-SI"/>
              </w:rPr>
              <w:t xml:space="preserve">, </w:t>
            </w:r>
            <w:r w:rsidRPr="007811F9">
              <w:rPr>
                <w:rFonts w:cs="Arial"/>
                <w:szCs w:val="20"/>
                <w:lang w:val="sl-SI"/>
              </w:rPr>
              <w:t xml:space="preserve">sprejetega dne </w:t>
            </w:r>
            <w:r w:rsidR="006336CB" w:rsidRPr="007811F9">
              <w:rPr>
                <w:rFonts w:cs="Arial"/>
                <w:szCs w:val="20"/>
                <w:lang w:val="sl-SI"/>
              </w:rPr>
              <w:t xml:space="preserve">4. 7. 2019 na </w:t>
            </w:r>
            <w:r w:rsidRPr="007811F9">
              <w:rPr>
                <w:rFonts w:cs="Arial"/>
                <w:szCs w:val="20"/>
                <w:lang w:val="sl-SI"/>
              </w:rPr>
              <w:t>3</w:t>
            </w:r>
            <w:r w:rsidR="006336CB" w:rsidRPr="007811F9">
              <w:rPr>
                <w:rFonts w:cs="Arial"/>
                <w:szCs w:val="20"/>
                <w:lang w:val="sl-SI"/>
              </w:rPr>
              <w:t>8</w:t>
            </w:r>
            <w:r w:rsidRPr="007811F9">
              <w:rPr>
                <w:rFonts w:cs="Arial"/>
                <w:szCs w:val="20"/>
                <w:lang w:val="sl-SI"/>
              </w:rPr>
              <w:t>. redni seji Vlade Republike Slovenije</w:t>
            </w:r>
            <w:r w:rsidR="00AD2ADE">
              <w:rPr>
                <w:rFonts w:cs="Arial"/>
                <w:szCs w:val="20"/>
                <w:lang w:val="sl-SI"/>
              </w:rPr>
              <w:t>,</w:t>
            </w:r>
            <w:r w:rsidRPr="007811F9">
              <w:rPr>
                <w:rFonts w:cs="Arial"/>
                <w:szCs w:val="20"/>
                <w:lang w:val="sl-SI"/>
              </w:rPr>
              <w:t xml:space="preserve"> </w:t>
            </w:r>
            <w:r w:rsidRPr="007811F9">
              <w:rPr>
                <w:rFonts w:cs="Arial"/>
                <w:szCs w:val="22"/>
                <w:lang w:val="sl-SI" w:eastAsia="ar-SA"/>
              </w:rPr>
              <w:t>je</w:t>
            </w:r>
            <w:r w:rsidRPr="004223D6">
              <w:rPr>
                <w:rFonts w:cs="Arial"/>
                <w:szCs w:val="22"/>
                <w:lang w:val="sl-SI" w:eastAsia="ar-SA"/>
              </w:rPr>
              <w:t xml:space="preserve"> Vlada Republike Slovenije na </w:t>
            </w:r>
            <w:r w:rsidR="00721082" w:rsidRPr="004223D6">
              <w:rPr>
                <w:rFonts w:cs="Arial"/>
                <w:szCs w:val="22"/>
                <w:lang w:val="sl-SI" w:eastAsia="ar-SA"/>
              </w:rPr>
              <w:t xml:space="preserve">….. </w:t>
            </w:r>
            <w:r w:rsidR="0069385C" w:rsidRPr="004223D6">
              <w:rPr>
                <w:rFonts w:cs="Arial"/>
                <w:szCs w:val="22"/>
                <w:lang w:val="sl-SI" w:eastAsia="ar-SA"/>
              </w:rPr>
              <w:t xml:space="preserve">redni </w:t>
            </w:r>
            <w:r w:rsidRPr="004223D6">
              <w:rPr>
                <w:rFonts w:cs="Arial"/>
                <w:szCs w:val="22"/>
                <w:lang w:val="sl-SI" w:eastAsia="ar-SA"/>
              </w:rPr>
              <w:t xml:space="preserve">seji dne </w:t>
            </w:r>
            <w:r w:rsidR="00A733DF" w:rsidRPr="004223D6">
              <w:rPr>
                <w:rFonts w:cs="Arial"/>
                <w:szCs w:val="22"/>
                <w:lang w:val="sl-SI" w:eastAsia="ar-SA"/>
              </w:rPr>
              <w:t>…</w:t>
            </w:r>
            <w:r w:rsidRPr="004223D6">
              <w:rPr>
                <w:rFonts w:cs="Arial"/>
                <w:szCs w:val="22"/>
                <w:lang w:val="sl-SI" w:eastAsia="ar-SA"/>
              </w:rPr>
              <w:t xml:space="preserve"> pod točko </w:t>
            </w:r>
            <w:r w:rsidR="00A733DF" w:rsidRPr="004223D6">
              <w:rPr>
                <w:rFonts w:cs="Arial"/>
                <w:szCs w:val="22"/>
                <w:lang w:val="sl-SI" w:eastAsia="ar-SA"/>
              </w:rPr>
              <w:t>….</w:t>
            </w:r>
            <w:r w:rsidRPr="004223D6">
              <w:rPr>
                <w:rFonts w:cs="Arial"/>
                <w:szCs w:val="22"/>
                <w:lang w:val="sl-SI" w:eastAsia="ar-SA"/>
              </w:rPr>
              <w:t xml:space="preserve"> dnevnega reda sprejela naslednji:</w:t>
            </w:r>
          </w:p>
          <w:p w14:paraId="12BFE75F" w14:textId="06B432A2" w:rsidR="0069385C" w:rsidRPr="004223D6" w:rsidRDefault="0069385C" w:rsidP="00205264">
            <w:pPr>
              <w:widowControl w:val="0"/>
              <w:suppressAutoHyphens/>
              <w:jc w:val="both"/>
              <w:rPr>
                <w:rFonts w:cs="Arial"/>
                <w:szCs w:val="22"/>
                <w:lang w:val="sl-SI" w:eastAsia="ar-SA"/>
              </w:rPr>
            </w:pPr>
          </w:p>
          <w:p w14:paraId="4A073230" w14:textId="77777777" w:rsidR="00A733DF" w:rsidRPr="004223D6" w:rsidRDefault="00A733DF" w:rsidP="00205264">
            <w:pPr>
              <w:widowControl w:val="0"/>
              <w:suppressAutoHyphens/>
              <w:jc w:val="both"/>
              <w:rPr>
                <w:rFonts w:cs="Arial"/>
                <w:szCs w:val="22"/>
                <w:lang w:val="sl-SI" w:eastAsia="ar-SA"/>
              </w:rPr>
            </w:pPr>
          </w:p>
          <w:p w14:paraId="4A86B215" w14:textId="4F404908" w:rsidR="0069385C" w:rsidRPr="004223D6" w:rsidRDefault="0069385C" w:rsidP="0069385C">
            <w:pPr>
              <w:widowControl w:val="0"/>
              <w:suppressAutoHyphens/>
              <w:jc w:val="center"/>
              <w:rPr>
                <w:rFonts w:cs="Arial"/>
                <w:b/>
                <w:lang w:val="sl-SI" w:eastAsia="ar-SA"/>
              </w:rPr>
            </w:pPr>
            <w:r w:rsidRPr="004223D6">
              <w:rPr>
                <w:rFonts w:cs="Arial"/>
                <w:b/>
                <w:szCs w:val="22"/>
                <w:lang w:val="sl-SI" w:eastAsia="ar-SA"/>
              </w:rPr>
              <w:t>SKLEP</w:t>
            </w:r>
            <w:r w:rsidR="00AD2ADE">
              <w:rPr>
                <w:rFonts w:cs="Arial"/>
                <w:b/>
                <w:szCs w:val="22"/>
                <w:lang w:val="sl-SI" w:eastAsia="ar-SA"/>
              </w:rPr>
              <w:t>:</w:t>
            </w:r>
          </w:p>
          <w:p w14:paraId="1671C227" w14:textId="77777777" w:rsidR="00205264" w:rsidRPr="004223D6" w:rsidRDefault="00205264" w:rsidP="00205264">
            <w:pPr>
              <w:widowControl w:val="0"/>
              <w:suppressAutoHyphens/>
              <w:jc w:val="both"/>
              <w:rPr>
                <w:rFonts w:cs="Arial"/>
                <w:lang w:val="sl-SI" w:eastAsia="ar-SA"/>
              </w:rPr>
            </w:pPr>
          </w:p>
          <w:p w14:paraId="2532202C" w14:textId="750B43B0" w:rsidR="00205264" w:rsidRDefault="00C979AE" w:rsidP="00C979AE">
            <w:pPr>
              <w:autoSpaceDE w:val="0"/>
              <w:autoSpaceDN w:val="0"/>
              <w:adjustRightInd w:val="0"/>
              <w:spacing w:after="200"/>
              <w:jc w:val="both"/>
              <w:rPr>
                <w:rFonts w:cs="Arial"/>
                <w:szCs w:val="20"/>
                <w:lang w:eastAsia="sl-SI"/>
              </w:rPr>
            </w:pPr>
            <w:proofErr w:type="spellStart"/>
            <w:r>
              <w:rPr>
                <w:rFonts w:cs="Arial"/>
                <w:bCs/>
                <w:szCs w:val="22"/>
              </w:rPr>
              <w:t>Vlada</w:t>
            </w:r>
            <w:proofErr w:type="spellEnd"/>
            <w:r>
              <w:rPr>
                <w:rFonts w:cs="Arial"/>
                <w:bCs/>
                <w:szCs w:val="22"/>
              </w:rPr>
              <w:t xml:space="preserve"> </w:t>
            </w:r>
            <w:proofErr w:type="spellStart"/>
            <w:r>
              <w:rPr>
                <w:rFonts w:cs="Arial"/>
                <w:bCs/>
                <w:szCs w:val="22"/>
              </w:rPr>
              <w:t>Republike</w:t>
            </w:r>
            <w:proofErr w:type="spellEnd"/>
            <w:r>
              <w:rPr>
                <w:rFonts w:cs="Arial"/>
                <w:bCs/>
                <w:szCs w:val="22"/>
              </w:rPr>
              <w:t xml:space="preserve"> </w:t>
            </w:r>
            <w:proofErr w:type="spellStart"/>
            <w:r>
              <w:rPr>
                <w:rFonts w:cs="Arial"/>
                <w:bCs/>
                <w:szCs w:val="22"/>
              </w:rPr>
              <w:t>Slovenije</w:t>
            </w:r>
            <w:proofErr w:type="spellEnd"/>
            <w:r>
              <w:rPr>
                <w:rFonts w:cs="Arial"/>
                <w:bCs/>
                <w:szCs w:val="22"/>
              </w:rPr>
              <w:t xml:space="preserve"> </w:t>
            </w:r>
            <w:r w:rsidRPr="002041C3">
              <w:rPr>
                <w:rFonts w:cs="Arial"/>
                <w:bCs/>
                <w:szCs w:val="22"/>
              </w:rPr>
              <w:t xml:space="preserve">je </w:t>
            </w:r>
            <w:proofErr w:type="spellStart"/>
            <w:r>
              <w:rPr>
                <w:rFonts w:cs="Arial"/>
                <w:bCs/>
                <w:szCs w:val="22"/>
              </w:rPr>
              <w:t>sprejela</w:t>
            </w:r>
            <w:proofErr w:type="spellEnd"/>
            <w:r w:rsidRPr="002041C3">
              <w:rPr>
                <w:rFonts w:cs="Arial"/>
                <w:bCs/>
                <w:szCs w:val="22"/>
              </w:rPr>
              <w:t xml:space="preserve"> </w:t>
            </w:r>
            <w:proofErr w:type="spellStart"/>
            <w:r w:rsidRPr="002041C3">
              <w:rPr>
                <w:rFonts w:cs="Arial"/>
                <w:bCs/>
                <w:szCs w:val="22"/>
              </w:rPr>
              <w:t>Načrt</w:t>
            </w:r>
            <w:proofErr w:type="spellEnd"/>
            <w:r w:rsidRPr="002041C3">
              <w:rPr>
                <w:rFonts w:cs="Arial"/>
                <w:bCs/>
                <w:szCs w:val="22"/>
              </w:rPr>
              <w:t xml:space="preserve"> </w:t>
            </w:r>
            <w:proofErr w:type="spellStart"/>
            <w:r w:rsidRPr="002041C3">
              <w:rPr>
                <w:rFonts w:cs="Arial"/>
                <w:bCs/>
                <w:szCs w:val="22"/>
              </w:rPr>
              <w:t>izvajanja</w:t>
            </w:r>
            <w:proofErr w:type="spellEnd"/>
            <w:r w:rsidRPr="002041C3">
              <w:rPr>
                <w:rFonts w:cs="Arial"/>
                <w:bCs/>
                <w:szCs w:val="22"/>
              </w:rPr>
              <w:t xml:space="preserve"> </w:t>
            </w:r>
            <w:proofErr w:type="spellStart"/>
            <w:r w:rsidRPr="002041C3">
              <w:rPr>
                <w:rFonts w:cs="Arial"/>
                <w:bCs/>
                <w:szCs w:val="22"/>
              </w:rPr>
              <w:t>finančnih</w:t>
            </w:r>
            <w:proofErr w:type="spellEnd"/>
            <w:r w:rsidRPr="002041C3">
              <w:rPr>
                <w:rFonts w:cs="Arial"/>
                <w:bCs/>
                <w:szCs w:val="22"/>
              </w:rPr>
              <w:t xml:space="preserve"> </w:t>
            </w:r>
            <w:proofErr w:type="spellStart"/>
            <w:r w:rsidRPr="002041C3">
              <w:rPr>
                <w:rFonts w:cs="Arial"/>
                <w:bCs/>
                <w:szCs w:val="22"/>
              </w:rPr>
              <w:t>instrumentov</w:t>
            </w:r>
            <w:proofErr w:type="spellEnd"/>
            <w:r w:rsidRPr="002041C3">
              <w:rPr>
                <w:rFonts w:cs="Arial"/>
                <w:bCs/>
                <w:szCs w:val="22"/>
              </w:rPr>
              <w:t xml:space="preserve"> </w:t>
            </w:r>
            <w:proofErr w:type="spellStart"/>
            <w:r w:rsidRPr="002041C3">
              <w:rPr>
                <w:rFonts w:cs="Arial"/>
                <w:bCs/>
                <w:szCs w:val="22"/>
              </w:rPr>
              <w:t>za</w:t>
            </w:r>
            <w:proofErr w:type="spellEnd"/>
            <w:r w:rsidRPr="002041C3">
              <w:rPr>
                <w:rFonts w:cs="Arial"/>
                <w:bCs/>
                <w:szCs w:val="22"/>
              </w:rPr>
              <w:t xml:space="preserve"> </w:t>
            </w:r>
            <w:proofErr w:type="spellStart"/>
            <w:r w:rsidRPr="002041C3">
              <w:rPr>
                <w:rFonts w:cs="Arial"/>
                <w:bCs/>
                <w:szCs w:val="22"/>
              </w:rPr>
              <w:t>obdobje</w:t>
            </w:r>
            <w:proofErr w:type="spellEnd"/>
            <w:r w:rsidRPr="002041C3">
              <w:rPr>
                <w:rFonts w:cs="Arial"/>
                <w:bCs/>
                <w:szCs w:val="22"/>
              </w:rPr>
              <w:t xml:space="preserve"> 2020–2023, </w:t>
            </w:r>
            <w:proofErr w:type="spellStart"/>
            <w:r w:rsidRPr="002041C3">
              <w:rPr>
                <w:rFonts w:cs="Arial"/>
                <w:bCs/>
                <w:szCs w:val="22"/>
              </w:rPr>
              <w:t>ki</w:t>
            </w:r>
            <w:proofErr w:type="spellEnd"/>
            <w:r w:rsidRPr="002041C3">
              <w:rPr>
                <w:rFonts w:cs="Arial"/>
                <w:bCs/>
                <w:szCs w:val="22"/>
              </w:rPr>
              <w:t xml:space="preserve"> </w:t>
            </w:r>
            <w:proofErr w:type="spellStart"/>
            <w:r w:rsidRPr="002041C3">
              <w:rPr>
                <w:rFonts w:cs="Arial"/>
                <w:bCs/>
                <w:szCs w:val="22"/>
              </w:rPr>
              <w:t>ga</w:t>
            </w:r>
            <w:proofErr w:type="spellEnd"/>
            <w:r w:rsidRPr="002041C3">
              <w:rPr>
                <w:rFonts w:cs="Arial"/>
                <w:bCs/>
                <w:szCs w:val="22"/>
              </w:rPr>
              <w:t xml:space="preserve"> je </w:t>
            </w:r>
            <w:proofErr w:type="spellStart"/>
            <w:r w:rsidRPr="002041C3">
              <w:rPr>
                <w:rFonts w:cs="Arial"/>
                <w:bCs/>
                <w:szCs w:val="22"/>
              </w:rPr>
              <w:t>pripravilo</w:t>
            </w:r>
            <w:proofErr w:type="spellEnd"/>
            <w:r w:rsidRPr="002041C3">
              <w:rPr>
                <w:rFonts w:cs="Arial"/>
                <w:bCs/>
                <w:szCs w:val="22"/>
              </w:rPr>
              <w:t xml:space="preserve"> </w:t>
            </w:r>
            <w:proofErr w:type="spellStart"/>
            <w:r w:rsidRPr="002041C3">
              <w:rPr>
                <w:rFonts w:cs="Arial"/>
                <w:bCs/>
                <w:szCs w:val="22"/>
              </w:rPr>
              <w:t>Ministrstvo</w:t>
            </w:r>
            <w:proofErr w:type="spellEnd"/>
            <w:r w:rsidRPr="002041C3">
              <w:rPr>
                <w:rFonts w:cs="Arial"/>
                <w:bCs/>
                <w:szCs w:val="22"/>
              </w:rPr>
              <w:t xml:space="preserve"> </w:t>
            </w:r>
            <w:proofErr w:type="spellStart"/>
            <w:r w:rsidRPr="002041C3">
              <w:rPr>
                <w:rFonts w:cs="Arial"/>
                <w:bCs/>
                <w:szCs w:val="22"/>
              </w:rPr>
              <w:t>za</w:t>
            </w:r>
            <w:proofErr w:type="spellEnd"/>
            <w:r w:rsidRPr="002041C3">
              <w:rPr>
                <w:rFonts w:cs="Arial"/>
                <w:bCs/>
                <w:szCs w:val="22"/>
              </w:rPr>
              <w:t xml:space="preserve"> </w:t>
            </w:r>
            <w:proofErr w:type="spellStart"/>
            <w:r>
              <w:rPr>
                <w:rFonts w:cs="Arial"/>
                <w:bCs/>
                <w:szCs w:val="22"/>
              </w:rPr>
              <w:t>gospodarski</w:t>
            </w:r>
            <w:proofErr w:type="spellEnd"/>
            <w:r>
              <w:rPr>
                <w:rFonts w:cs="Arial"/>
                <w:bCs/>
                <w:szCs w:val="22"/>
              </w:rPr>
              <w:t xml:space="preserve"> </w:t>
            </w:r>
            <w:proofErr w:type="spellStart"/>
            <w:r>
              <w:rPr>
                <w:rFonts w:cs="Arial"/>
                <w:bCs/>
                <w:szCs w:val="22"/>
              </w:rPr>
              <w:t>razvoj</w:t>
            </w:r>
            <w:proofErr w:type="spellEnd"/>
            <w:r>
              <w:rPr>
                <w:rFonts w:cs="Arial"/>
                <w:bCs/>
                <w:szCs w:val="22"/>
              </w:rPr>
              <w:t xml:space="preserve"> in </w:t>
            </w:r>
            <w:proofErr w:type="spellStart"/>
            <w:r>
              <w:rPr>
                <w:rFonts w:cs="Arial"/>
                <w:bCs/>
                <w:szCs w:val="22"/>
              </w:rPr>
              <w:t>tehnologijo</w:t>
            </w:r>
            <w:proofErr w:type="spellEnd"/>
            <w:r w:rsidR="00AD2ADE">
              <w:rPr>
                <w:rFonts w:cs="Arial"/>
                <w:bCs/>
                <w:szCs w:val="22"/>
              </w:rPr>
              <w:t>,</w:t>
            </w:r>
            <w:r>
              <w:rPr>
                <w:rFonts w:cs="Arial"/>
                <w:bCs/>
                <w:szCs w:val="22"/>
              </w:rPr>
              <w:t xml:space="preserve"> </w:t>
            </w:r>
            <w:r>
              <w:rPr>
                <w:rFonts w:cs="Arial"/>
                <w:szCs w:val="20"/>
                <w:lang w:eastAsia="sl-SI"/>
              </w:rPr>
              <w:t xml:space="preserve">in </w:t>
            </w:r>
            <w:proofErr w:type="spellStart"/>
            <w:r>
              <w:rPr>
                <w:rFonts w:cs="Arial"/>
                <w:szCs w:val="20"/>
                <w:lang w:eastAsia="sl-SI"/>
              </w:rPr>
              <w:t>ga</w:t>
            </w:r>
            <w:proofErr w:type="spellEnd"/>
            <w:r>
              <w:rPr>
                <w:rFonts w:cs="Arial"/>
                <w:szCs w:val="20"/>
                <w:lang w:eastAsia="sl-SI"/>
              </w:rPr>
              <w:t xml:space="preserve">, </w:t>
            </w:r>
            <w:proofErr w:type="spellStart"/>
            <w:r>
              <w:rPr>
                <w:rFonts w:cs="Arial"/>
                <w:szCs w:val="20"/>
                <w:lang w:eastAsia="sl-SI"/>
              </w:rPr>
              <w:t>kot</w:t>
            </w:r>
            <w:proofErr w:type="spellEnd"/>
            <w:r>
              <w:rPr>
                <w:rFonts w:cs="Arial"/>
                <w:szCs w:val="20"/>
                <w:lang w:eastAsia="sl-SI"/>
              </w:rPr>
              <w:t xml:space="preserve"> </w:t>
            </w:r>
            <w:proofErr w:type="spellStart"/>
            <w:r>
              <w:rPr>
                <w:rFonts w:cs="Arial"/>
                <w:szCs w:val="20"/>
                <w:lang w:eastAsia="sl-SI"/>
              </w:rPr>
              <w:t>sestavni</w:t>
            </w:r>
            <w:proofErr w:type="spellEnd"/>
            <w:r>
              <w:rPr>
                <w:rFonts w:cs="Arial"/>
                <w:szCs w:val="20"/>
                <w:lang w:eastAsia="sl-SI"/>
              </w:rPr>
              <w:t xml:space="preserve"> del </w:t>
            </w:r>
            <w:proofErr w:type="spellStart"/>
            <w:r>
              <w:rPr>
                <w:rFonts w:cs="Arial"/>
                <w:szCs w:val="20"/>
                <w:lang w:eastAsia="sl-SI"/>
              </w:rPr>
              <w:t>obrazložitve</w:t>
            </w:r>
            <w:proofErr w:type="spellEnd"/>
            <w:r>
              <w:rPr>
                <w:rFonts w:cs="Arial"/>
                <w:szCs w:val="20"/>
                <w:lang w:eastAsia="sl-SI"/>
              </w:rPr>
              <w:t xml:space="preserve"> </w:t>
            </w:r>
            <w:proofErr w:type="spellStart"/>
            <w:r>
              <w:rPr>
                <w:rFonts w:cs="Arial"/>
                <w:szCs w:val="20"/>
                <w:lang w:eastAsia="sl-SI"/>
              </w:rPr>
              <w:t>proračuna</w:t>
            </w:r>
            <w:proofErr w:type="spellEnd"/>
            <w:r>
              <w:rPr>
                <w:rFonts w:cs="Arial"/>
                <w:szCs w:val="20"/>
                <w:lang w:eastAsia="sl-SI"/>
              </w:rPr>
              <w:t xml:space="preserve"> </w:t>
            </w:r>
            <w:proofErr w:type="spellStart"/>
            <w:r>
              <w:rPr>
                <w:rFonts w:cs="Arial"/>
                <w:szCs w:val="20"/>
                <w:lang w:eastAsia="sl-SI"/>
              </w:rPr>
              <w:t>države</w:t>
            </w:r>
            <w:proofErr w:type="spellEnd"/>
            <w:r>
              <w:rPr>
                <w:rFonts w:cs="Arial"/>
                <w:szCs w:val="20"/>
                <w:lang w:eastAsia="sl-SI"/>
              </w:rPr>
              <w:t xml:space="preserve">, </w:t>
            </w:r>
            <w:proofErr w:type="spellStart"/>
            <w:r>
              <w:rPr>
                <w:rFonts w:cs="Arial"/>
                <w:szCs w:val="20"/>
                <w:lang w:eastAsia="sl-SI"/>
              </w:rPr>
              <w:t>posreduje</w:t>
            </w:r>
            <w:proofErr w:type="spellEnd"/>
            <w:r>
              <w:rPr>
                <w:rFonts w:cs="Arial"/>
                <w:szCs w:val="20"/>
                <w:lang w:eastAsia="sl-SI"/>
              </w:rPr>
              <w:t xml:space="preserve"> </w:t>
            </w:r>
            <w:proofErr w:type="spellStart"/>
            <w:r>
              <w:rPr>
                <w:rFonts w:cs="Arial"/>
                <w:szCs w:val="20"/>
                <w:lang w:eastAsia="sl-SI"/>
              </w:rPr>
              <w:t>Državnemu</w:t>
            </w:r>
            <w:proofErr w:type="spellEnd"/>
            <w:r>
              <w:rPr>
                <w:rFonts w:cs="Arial"/>
                <w:szCs w:val="20"/>
                <w:lang w:eastAsia="sl-SI"/>
              </w:rPr>
              <w:t xml:space="preserve"> </w:t>
            </w:r>
            <w:proofErr w:type="spellStart"/>
            <w:r>
              <w:rPr>
                <w:rFonts w:cs="Arial"/>
                <w:szCs w:val="20"/>
                <w:lang w:eastAsia="sl-SI"/>
              </w:rPr>
              <w:t>zboru</w:t>
            </w:r>
            <w:proofErr w:type="spellEnd"/>
            <w:r>
              <w:rPr>
                <w:rFonts w:cs="Arial"/>
                <w:szCs w:val="20"/>
                <w:lang w:eastAsia="sl-SI"/>
              </w:rPr>
              <w:t xml:space="preserve"> </w:t>
            </w:r>
            <w:proofErr w:type="spellStart"/>
            <w:r>
              <w:rPr>
                <w:rFonts w:cs="Arial"/>
                <w:szCs w:val="20"/>
                <w:lang w:eastAsia="sl-SI"/>
              </w:rPr>
              <w:t>Republike</w:t>
            </w:r>
            <w:proofErr w:type="spellEnd"/>
            <w:r>
              <w:rPr>
                <w:rFonts w:cs="Arial"/>
                <w:szCs w:val="20"/>
                <w:lang w:eastAsia="sl-SI"/>
              </w:rPr>
              <w:t xml:space="preserve"> </w:t>
            </w:r>
            <w:proofErr w:type="spellStart"/>
            <w:r>
              <w:rPr>
                <w:rFonts w:cs="Arial"/>
                <w:szCs w:val="20"/>
                <w:lang w:eastAsia="sl-SI"/>
              </w:rPr>
              <w:t>Slovenije</w:t>
            </w:r>
            <w:proofErr w:type="spellEnd"/>
            <w:r>
              <w:rPr>
                <w:rFonts w:cs="Arial"/>
                <w:szCs w:val="20"/>
                <w:lang w:eastAsia="sl-SI"/>
              </w:rPr>
              <w:t>.</w:t>
            </w:r>
          </w:p>
          <w:p w14:paraId="6B072F1F" w14:textId="77777777" w:rsidR="00C979AE" w:rsidRPr="00C979AE" w:rsidRDefault="00C979AE" w:rsidP="00C979AE">
            <w:pPr>
              <w:autoSpaceDE w:val="0"/>
              <w:autoSpaceDN w:val="0"/>
              <w:adjustRightInd w:val="0"/>
              <w:spacing w:after="200"/>
              <w:jc w:val="both"/>
              <w:rPr>
                <w:rFonts w:cs="Arial"/>
                <w:lang w:eastAsia="ar-SA"/>
              </w:rPr>
            </w:pPr>
          </w:p>
          <w:p w14:paraId="64BF39B8" w14:textId="4BF47AD0" w:rsidR="00205264" w:rsidRPr="004223D6" w:rsidRDefault="00C979AE" w:rsidP="00C979AE">
            <w:pPr>
              <w:jc w:val="both"/>
              <w:rPr>
                <w:rFonts w:cs="Arial"/>
                <w:lang w:val="sl-SI" w:eastAsia="ar-SA"/>
              </w:rPr>
            </w:pPr>
            <w:r>
              <w:rPr>
                <w:rFonts w:cs="Arial"/>
                <w:szCs w:val="22"/>
                <w:lang w:val="sl-SI" w:eastAsia="ar-SA"/>
              </w:rPr>
              <w:t xml:space="preserve">                                                                                  </w:t>
            </w:r>
            <w:r w:rsidR="00205264" w:rsidRPr="004223D6">
              <w:rPr>
                <w:rFonts w:cs="Arial"/>
                <w:szCs w:val="22"/>
                <w:lang w:val="sl-SI" w:eastAsia="ar-SA"/>
              </w:rPr>
              <w:t xml:space="preserve">Stojan </w:t>
            </w:r>
            <w:r w:rsidR="0069385C" w:rsidRPr="004223D6">
              <w:rPr>
                <w:rFonts w:cs="Arial"/>
                <w:szCs w:val="22"/>
                <w:lang w:val="sl-SI" w:eastAsia="ar-SA"/>
              </w:rPr>
              <w:t>TRAMTE</w:t>
            </w:r>
          </w:p>
          <w:p w14:paraId="1716279B" w14:textId="07B0869B" w:rsidR="00205264" w:rsidRPr="004223D6" w:rsidRDefault="00C13896" w:rsidP="00205264">
            <w:pPr>
              <w:jc w:val="both"/>
              <w:rPr>
                <w:rFonts w:cs="Arial"/>
                <w:lang w:val="sl-SI" w:eastAsia="ar-SA"/>
              </w:rPr>
            </w:pPr>
            <w:r>
              <w:rPr>
                <w:rFonts w:cs="Arial"/>
                <w:szCs w:val="22"/>
                <w:lang w:val="sl-SI" w:eastAsia="ar-SA"/>
              </w:rPr>
              <w:t xml:space="preserve">                                               </w:t>
            </w:r>
            <w:r w:rsidR="00C979AE">
              <w:rPr>
                <w:rFonts w:cs="Arial"/>
                <w:szCs w:val="22"/>
                <w:lang w:val="sl-SI" w:eastAsia="ar-SA"/>
              </w:rPr>
              <w:t xml:space="preserve">                            </w:t>
            </w:r>
            <w:r w:rsidR="00205264" w:rsidRPr="004223D6">
              <w:rPr>
                <w:rFonts w:cs="Arial"/>
                <w:szCs w:val="22"/>
                <w:lang w:val="sl-SI" w:eastAsia="ar-SA"/>
              </w:rPr>
              <w:t>GENERALNI SEKRETAR</w:t>
            </w:r>
          </w:p>
          <w:p w14:paraId="47FA1E07" w14:textId="77777777" w:rsidR="00205264" w:rsidRPr="004223D6" w:rsidRDefault="00205264" w:rsidP="00205264">
            <w:pPr>
              <w:pStyle w:val="Naslovpredpisa"/>
              <w:spacing w:before="0" w:after="0" w:line="240" w:lineRule="auto"/>
              <w:jc w:val="both"/>
              <w:rPr>
                <w:b w:val="0"/>
                <w:lang w:eastAsia="en-US"/>
              </w:rPr>
            </w:pPr>
          </w:p>
          <w:p w14:paraId="615EDFA3" w14:textId="1D2BA1B8" w:rsidR="00205264" w:rsidRPr="004223D6" w:rsidRDefault="0069385C" w:rsidP="00205264">
            <w:pPr>
              <w:pStyle w:val="Naslovpredpisa"/>
              <w:spacing w:before="0" w:after="0" w:line="240" w:lineRule="auto"/>
              <w:jc w:val="both"/>
              <w:rPr>
                <w:b w:val="0"/>
                <w:lang w:eastAsia="en-US"/>
              </w:rPr>
            </w:pPr>
            <w:r w:rsidRPr="004223D6">
              <w:rPr>
                <w:b w:val="0"/>
                <w:lang w:eastAsia="en-US"/>
              </w:rPr>
              <w:t>Prilog</w:t>
            </w:r>
            <w:r w:rsidR="00911E48">
              <w:rPr>
                <w:b w:val="0"/>
                <w:lang w:eastAsia="en-US"/>
              </w:rPr>
              <w:t>a</w:t>
            </w:r>
            <w:r w:rsidRPr="004223D6">
              <w:rPr>
                <w:b w:val="0"/>
                <w:lang w:eastAsia="en-US"/>
              </w:rPr>
              <w:t>:</w:t>
            </w:r>
          </w:p>
          <w:p w14:paraId="57098A6E" w14:textId="4F9BAADD" w:rsidR="001434DD" w:rsidRPr="00911E48" w:rsidRDefault="00911E48" w:rsidP="003B1561">
            <w:pPr>
              <w:pStyle w:val="Naslovpredpisa"/>
              <w:numPr>
                <w:ilvl w:val="0"/>
                <w:numId w:val="22"/>
              </w:numPr>
              <w:spacing w:before="0" w:after="0" w:line="240" w:lineRule="auto"/>
              <w:jc w:val="both"/>
              <w:rPr>
                <w:b w:val="0"/>
                <w:lang w:eastAsia="en-US"/>
              </w:rPr>
            </w:pPr>
            <w:r w:rsidRPr="00911E48">
              <w:rPr>
                <w:b w:val="0"/>
                <w:bCs/>
              </w:rPr>
              <w:t>Načrt izvajanja finančnih instrumentov za obdobje 2020–2023</w:t>
            </w:r>
            <w:r w:rsidR="001434DD" w:rsidRPr="00911E48">
              <w:rPr>
                <w:b w:val="0"/>
                <w:lang w:eastAsia="en-US"/>
              </w:rPr>
              <w:t>.</w:t>
            </w:r>
          </w:p>
          <w:p w14:paraId="29164DA0" w14:textId="77777777" w:rsidR="00205264" w:rsidRPr="004223D6" w:rsidRDefault="00205264" w:rsidP="00205264">
            <w:pPr>
              <w:pStyle w:val="Naslovpredpisa"/>
              <w:spacing w:before="0" w:after="0" w:line="240" w:lineRule="auto"/>
              <w:jc w:val="both"/>
              <w:rPr>
                <w:b w:val="0"/>
                <w:lang w:eastAsia="en-US"/>
              </w:rPr>
            </w:pPr>
          </w:p>
          <w:p w14:paraId="57ACCE89" w14:textId="77777777" w:rsidR="00205264" w:rsidRPr="004223D6" w:rsidRDefault="00205264" w:rsidP="00205264">
            <w:pPr>
              <w:pStyle w:val="Naslovpredpisa"/>
              <w:spacing w:before="0" w:after="0" w:line="240" w:lineRule="auto"/>
              <w:jc w:val="both"/>
              <w:rPr>
                <w:b w:val="0"/>
                <w:lang w:eastAsia="en-US"/>
              </w:rPr>
            </w:pPr>
            <w:r w:rsidRPr="004223D6">
              <w:rPr>
                <w:b w:val="0"/>
                <w:lang w:eastAsia="en-US"/>
              </w:rPr>
              <w:t>Sklep prejmejo:</w:t>
            </w:r>
          </w:p>
          <w:p w14:paraId="380DFB8A" w14:textId="77777777" w:rsidR="004A18F8" w:rsidRPr="004A18F8" w:rsidRDefault="004A18F8" w:rsidP="004A18F8">
            <w:pPr>
              <w:pStyle w:val="Odstavekseznama"/>
              <w:numPr>
                <w:ilvl w:val="0"/>
                <w:numId w:val="21"/>
              </w:numPr>
              <w:rPr>
                <w:rFonts w:ascii="Arial" w:eastAsia="Times New Roman" w:hAnsi="Arial" w:cs="Arial"/>
                <w:lang w:val="sl-SI"/>
              </w:rPr>
            </w:pPr>
            <w:r w:rsidRPr="004A18F8">
              <w:rPr>
                <w:rFonts w:ascii="Arial" w:eastAsia="Times New Roman" w:hAnsi="Arial" w:cs="Arial"/>
                <w:lang w:val="sl-SI"/>
              </w:rPr>
              <w:t>Državni zbor Republike Slovenije,</w:t>
            </w:r>
          </w:p>
          <w:p w14:paraId="1B7C4EB0" w14:textId="6B90CDAC" w:rsidR="00205264" w:rsidRPr="004223D6" w:rsidRDefault="00205264" w:rsidP="00205264">
            <w:pPr>
              <w:numPr>
                <w:ilvl w:val="0"/>
                <w:numId w:val="21"/>
              </w:numPr>
              <w:jc w:val="both"/>
              <w:rPr>
                <w:rFonts w:cs="Arial"/>
                <w:lang w:val="sl-SI"/>
              </w:rPr>
            </w:pPr>
            <w:r w:rsidRPr="004223D6">
              <w:rPr>
                <w:rFonts w:cs="Arial"/>
                <w:szCs w:val="22"/>
                <w:lang w:val="sl-SI"/>
              </w:rPr>
              <w:t>Ministrstvo za finance</w:t>
            </w:r>
            <w:r w:rsidR="0069385C" w:rsidRPr="004223D6">
              <w:rPr>
                <w:rFonts w:cs="Arial"/>
                <w:szCs w:val="22"/>
                <w:lang w:val="sl-SI"/>
              </w:rPr>
              <w:t>,</w:t>
            </w:r>
          </w:p>
          <w:p w14:paraId="0AE38584" w14:textId="57638BCF" w:rsidR="00205264" w:rsidRPr="004223D6" w:rsidRDefault="00205264" w:rsidP="00205264">
            <w:pPr>
              <w:numPr>
                <w:ilvl w:val="0"/>
                <w:numId w:val="21"/>
              </w:numPr>
              <w:jc w:val="both"/>
              <w:rPr>
                <w:rFonts w:cs="Arial"/>
                <w:lang w:val="sl-SI"/>
              </w:rPr>
            </w:pPr>
            <w:r w:rsidRPr="004223D6">
              <w:rPr>
                <w:rFonts w:cs="Arial"/>
                <w:szCs w:val="22"/>
                <w:lang w:val="sl-SI"/>
              </w:rPr>
              <w:t>Ministrstvo za infrastrukturo</w:t>
            </w:r>
            <w:r w:rsidR="0069385C" w:rsidRPr="004223D6">
              <w:rPr>
                <w:rFonts w:cs="Arial"/>
                <w:szCs w:val="22"/>
                <w:lang w:val="sl-SI"/>
              </w:rPr>
              <w:t>,</w:t>
            </w:r>
          </w:p>
          <w:p w14:paraId="5585C8AE" w14:textId="72933D24" w:rsidR="00205264" w:rsidRPr="004223D6" w:rsidRDefault="00205264" w:rsidP="00205264">
            <w:pPr>
              <w:numPr>
                <w:ilvl w:val="0"/>
                <w:numId w:val="21"/>
              </w:numPr>
              <w:jc w:val="both"/>
              <w:rPr>
                <w:rFonts w:cs="Arial"/>
                <w:lang w:val="sl-SI"/>
              </w:rPr>
            </w:pPr>
            <w:r w:rsidRPr="004223D6">
              <w:rPr>
                <w:rFonts w:cs="Arial"/>
                <w:szCs w:val="22"/>
                <w:lang w:val="sl-SI"/>
              </w:rPr>
              <w:t>Ministrstvo za okolje in prostor</w:t>
            </w:r>
            <w:r w:rsidR="0069385C" w:rsidRPr="004223D6">
              <w:rPr>
                <w:rFonts w:cs="Arial"/>
                <w:szCs w:val="22"/>
                <w:lang w:val="sl-SI"/>
              </w:rPr>
              <w:t>,</w:t>
            </w:r>
          </w:p>
          <w:p w14:paraId="0870B01A" w14:textId="67DBBA61" w:rsidR="00205264" w:rsidRPr="004223D6" w:rsidRDefault="00205264" w:rsidP="00205264">
            <w:pPr>
              <w:numPr>
                <w:ilvl w:val="0"/>
                <w:numId w:val="21"/>
              </w:numPr>
              <w:jc w:val="both"/>
              <w:rPr>
                <w:rFonts w:cs="Arial"/>
                <w:lang w:val="sl-SI"/>
              </w:rPr>
            </w:pPr>
            <w:r w:rsidRPr="004223D6">
              <w:rPr>
                <w:rFonts w:cs="Arial"/>
                <w:szCs w:val="22"/>
                <w:lang w:val="sl-SI"/>
              </w:rPr>
              <w:t>Služba Vlade RS za razvoj in evropsko kohezijsko politiko</w:t>
            </w:r>
            <w:r w:rsidR="0069385C" w:rsidRPr="004223D6">
              <w:rPr>
                <w:rFonts w:cs="Arial"/>
                <w:szCs w:val="22"/>
                <w:lang w:val="sl-SI"/>
              </w:rPr>
              <w:t>,</w:t>
            </w:r>
          </w:p>
          <w:p w14:paraId="662096B5" w14:textId="68B84714" w:rsidR="00205264" w:rsidRPr="004223D6" w:rsidRDefault="00205264" w:rsidP="00205264">
            <w:pPr>
              <w:numPr>
                <w:ilvl w:val="0"/>
                <w:numId w:val="21"/>
              </w:numPr>
              <w:jc w:val="both"/>
              <w:rPr>
                <w:rFonts w:cs="Arial"/>
                <w:lang w:val="sl-SI"/>
              </w:rPr>
            </w:pPr>
            <w:r w:rsidRPr="004223D6">
              <w:rPr>
                <w:rFonts w:cs="Arial"/>
                <w:szCs w:val="22"/>
                <w:lang w:val="sl-SI"/>
              </w:rPr>
              <w:t>Služba Vlade RS za zakonodajo</w:t>
            </w:r>
            <w:r w:rsidR="0069385C" w:rsidRPr="004223D6">
              <w:rPr>
                <w:rFonts w:cs="Arial"/>
                <w:szCs w:val="22"/>
                <w:lang w:val="sl-SI"/>
              </w:rPr>
              <w:t>,</w:t>
            </w:r>
          </w:p>
          <w:p w14:paraId="0B427F9D" w14:textId="6E95EA1F" w:rsidR="00205264" w:rsidRPr="004223D6" w:rsidRDefault="00205264" w:rsidP="00205264">
            <w:pPr>
              <w:numPr>
                <w:ilvl w:val="0"/>
                <w:numId w:val="21"/>
              </w:numPr>
              <w:jc w:val="both"/>
              <w:rPr>
                <w:rFonts w:cs="Arial"/>
                <w:lang w:val="sl-SI"/>
              </w:rPr>
            </w:pPr>
            <w:r w:rsidRPr="004223D6">
              <w:rPr>
                <w:rFonts w:cs="Arial"/>
                <w:szCs w:val="22"/>
                <w:lang w:val="sl-SI"/>
              </w:rPr>
              <w:lastRenderedPageBreak/>
              <w:t>Urad Vlade RS za komuniciranje</w:t>
            </w:r>
            <w:r w:rsidR="0069385C" w:rsidRPr="004223D6">
              <w:rPr>
                <w:rFonts w:cs="Arial"/>
                <w:szCs w:val="22"/>
                <w:lang w:val="sl-SI"/>
              </w:rPr>
              <w:t>,</w:t>
            </w:r>
          </w:p>
          <w:p w14:paraId="1126660E" w14:textId="73BF3F3D" w:rsidR="00205264" w:rsidRPr="004223D6" w:rsidRDefault="00205264" w:rsidP="00205264">
            <w:pPr>
              <w:numPr>
                <w:ilvl w:val="0"/>
                <w:numId w:val="21"/>
              </w:numPr>
              <w:jc w:val="both"/>
              <w:rPr>
                <w:rFonts w:cs="Arial"/>
                <w:lang w:val="sl-SI"/>
              </w:rPr>
            </w:pPr>
            <w:r w:rsidRPr="004223D6">
              <w:rPr>
                <w:rFonts w:cs="Arial"/>
                <w:szCs w:val="22"/>
                <w:lang w:val="sl-SI"/>
              </w:rPr>
              <w:t>Generalni sekretariat Vlade RS</w:t>
            </w:r>
            <w:r w:rsidR="0069385C" w:rsidRPr="004223D6">
              <w:rPr>
                <w:rFonts w:cs="Arial"/>
                <w:szCs w:val="22"/>
                <w:lang w:val="sl-SI"/>
              </w:rPr>
              <w:t>.</w:t>
            </w:r>
          </w:p>
        </w:tc>
      </w:tr>
      <w:tr w:rsidR="00205264" w:rsidRPr="004223D6" w14:paraId="53F01E46" w14:textId="77777777" w:rsidTr="00205264">
        <w:tc>
          <w:tcPr>
            <w:tcW w:w="9214" w:type="dxa"/>
            <w:gridSpan w:val="4"/>
          </w:tcPr>
          <w:p w14:paraId="0F15D745" w14:textId="77777777" w:rsidR="00205264" w:rsidRPr="004223D6" w:rsidRDefault="00205264" w:rsidP="00205264">
            <w:pPr>
              <w:pStyle w:val="Neotevilenodstavek"/>
              <w:spacing w:before="0" w:after="0" w:line="240" w:lineRule="auto"/>
              <w:rPr>
                <w:b/>
                <w:iCs/>
              </w:rPr>
            </w:pPr>
            <w:r w:rsidRPr="004223D6">
              <w:rPr>
                <w:b/>
              </w:rPr>
              <w:lastRenderedPageBreak/>
              <w:t>2. Predlog za obravnavo predloga zakona po nujnem ali skrajšanem postopku v državnem zboru z obrazložitvijo razlogov:</w:t>
            </w:r>
          </w:p>
        </w:tc>
      </w:tr>
      <w:tr w:rsidR="00205264" w:rsidRPr="004223D6" w14:paraId="7A20869D" w14:textId="77777777" w:rsidTr="00205264">
        <w:tc>
          <w:tcPr>
            <w:tcW w:w="9214" w:type="dxa"/>
            <w:gridSpan w:val="4"/>
          </w:tcPr>
          <w:p w14:paraId="3DC643B7" w14:textId="77777777" w:rsidR="00205264" w:rsidRPr="004223D6" w:rsidRDefault="00205264" w:rsidP="00205264">
            <w:pPr>
              <w:pStyle w:val="Neotevilenodstavek"/>
              <w:spacing w:before="0" w:after="0" w:line="240" w:lineRule="auto"/>
              <w:rPr>
                <w:iCs/>
              </w:rPr>
            </w:pPr>
            <w:r w:rsidRPr="004223D6">
              <w:rPr>
                <w:iCs/>
              </w:rPr>
              <w:t>/</w:t>
            </w:r>
          </w:p>
        </w:tc>
      </w:tr>
      <w:tr w:rsidR="00205264" w:rsidRPr="004223D6" w14:paraId="426C4776" w14:textId="77777777" w:rsidTr="00205264">
        <w:tc>
          <w:tcPr>
            <w:tcW w:w="9214" w:type="dxa"/>
            <w:gridSpan w:val="4"/>
          </w:tcPr>
          <w:p w14:paraId="4CD92BA5" w14:textId="77777777" w:rsidR="00205264" w:rsidRPr="004223D6" w:rsidRDefault="00205264" w:rsidP="00205264">
            <w:pPr>
              <w:pStyle w:val="Neotevilenodstavek"/>
              <w:spacing w:before="0" w:after="0" w:line="240" w:lineRule="auto"/>
              <w:rPr>
                <w:b/>
                <w:iCs/>
              </w:rPr>
            </w:pPr>
            <w:proofErr w:type="spellStart"/>
            <w:r w:rsidRPr="004223D6">
              <w:rPr>
                <w:b/>
              </w:rPr>
              <w:t>3.a</w:t>
            </w:r>
            <w:proofErr w:type="spellEnd"/>
            <w:r w:rsidRPr="004223D6">
              <w:rPr>
                <w:b/>
              </w:rPr>
              <w:t xml:space="preserve"> Osebe, odgovorne za strokovno pripravo in usklajenost gradiva:</w:t>
            </w:r>
          </w:p>
        </w:tc>
      </w:tr>
      <w:tr w:rsidR="00205264" w:rsidRPr="004223D6" w14:paraId="7314F178" w14:textId="77777777" w:rsidTr="00205264">
        <w:tc>
          <w:tcPr>
            <w:tcW w:w="9214" w:type="dxa"/>
            <w:gridSpan w:val="4"/>
          </w:tcPr>
          <w:p w14:paraId="4EFE50A2" w14:textId="77777777" w:rsidR="00205264" w:rsidRPr="004223D6" w:rsidRDefault="00205264" w:rsidP="00205264">
            <w:pPr>
              <w:pStyle w:val="Neotevilenodstavek"/>
              <w:numPr>
                <w:ilvl w:val="0"/>
                <w:numId w:val="20"/>
              </w:numPr>
              <w:spacing w:before="0" w:after="0" w:line="240" w:lineRule="auto"/>
              <w:rPr>
                <w:iCs/>
                <w:color w:val="000000"/>
              </w:rPr>
            </w:pPr>
            <w:r w:rsidRPr="004223D6">
              <w:rPr>
                <w:iCs/>
                <w:color w:val="000000"/>
              </w:rPr>
              <w:t xml:space="preserve">mag. Aleš </w:t>
            </w:r>
            <w:proofErr w:type="spellStart"/>
            <w:r w:rsidRPr="004223D6">
              <w:rPr>
                <w:iCs/>
                <w:color w:val="000000"/>
              </w:rPr>
              <w:t>Cantarutti</w:t>
            </w:r>
            <w:proofErr w:type="spellEnd"/>
            <w:r w:rsidRPr="004223D6">
              <w:rPr>
                <w:iCs/>
                <w:color w:val="000000"/>
              </w:rPr>
              <w:t>, državni sekretar, Ministrstvo za gospodarski razvoj in tehnologijo</w:t>
            </w:r>
          </w:p>
          <w:p w14:paraId="0D683DBB" w14:textId="77777777" w:rsidR="00205264" w:rsidRPr="004223D6" w:rsidRDefault="00205264" w:rsidP="00205264">
            <w:pPr>
              <w:pStyle w:val="Neotevilenodstavek"/>
              <w:numPr>
                <w:ilvl w:val="0"/>
                <w:numId w:val="20"/>
              </w:numPr>
              <w:spacing w:before="0" w:after="0" w:line="240" w:lineRule="auto"/>
              <w:rPr>
                <w:iCs/>
                <w:color w:val="000000"/>
              </w:rPr>
            </w:pPr>
            <w:r w:rsidRPr="004223D6">
              <w:rPr>
                <w:iCs/>
                <w:color w:val="000000"/>
              </w:rPr>
              <w:t>mag. Karin Žvokelj, vodja Službe za razvojna sredstva</w:t>
            </w:r>
          </w:p>
        </w:tc>
      </w:tr>
      <w:tr w:rsidR="00205264" w:rsidRPr="004223D6" w14:paraId="2B01FA6A" w14:textId="77777777" w:rsidTr="00205264">
        <w:tc>
          <w:tcPr>
            <w:tcW w:w="9214" w:type="dxa"/>
            <w:gridSpan w:val="4"/>
          </w:tcPr>
          <w:p w14:paraId="05806DD3" w14:textId="77777777" w:rsidR="00205264" w:rsidRPr="004223D6" w:rsidRDefault="00205264" w:rsidP="00205264">
            <w:pPr>
              <w:pStyle w:val="Neotevilenodstavek"/>
              <w:spacing w:before="0" w:after="0" w:line="240" w:lineRule="auto"/>
              <w:rPr>
                <w:b/>
                <w:iCs/>
              </w:rPr>
            </w:pPr>
            <w:proofErr w:type="spellStart"/>
            <w:r w:rsidRPr="004223D6">
              <w:rPr>
                <w:b/>
                <w:iCs/>
              </w:rPr>
              <w:t>3.b</w:t>
            </w:r>
            <w:proofErr w:type="spellEnd"/>
            <w:r w:rsidRPr="004223D6">
              <w:rPr>
                <w:b/>
                <w:iCs/>
              </w:rPr>
              <w:t xml:space="preserve"> Zunanji strokovnjaki, ki so </w:t>
            </w:r>
            <w:r w:rsidRPr="004223D6">
              <w:rPr>
                <w:b/>
              </w:rPr>
              <w:t>sodelovali pri pripravi dela ali celotnega gradiva:</w:t>
            </w:r>
          </w:p>
        </w:tc>
      </w:tr>
      <w:tr w:rsidR="00205264" w:rsidRPr="004223D6" w14:paraId="77A8E87A" w14:textId="77777777" w:rsidTr="00205264">
        <w:tc>
          <w:tcPr>
            <w:tcW w:w="9214" w:type="dxa"/>
            <w:gridSpan w:val="4"/>
          </w:tcPr>
          <w:p w14:paraId="05F08848" w14:textId="77777777" w:rsidR="00205264" w:rsidRPr="004223D6" w:rsidRDefault="00205264" w:rsidP="00205264">
            <w:pPr>
              <w:pStyle w:val="Neotevilenodstavek"/>
              <w:spacing w:before="0" w:after="0" w:line="240" w:lineRule="auto"/>
              <w:rPr>
                <w:iCs/>
              </w:rPr>
            </w:pPr>
            <w:r w:rsidRPr="004223D6">
              <w:rPr>
                <w:iCs/>
              </w:rPr>
              <w:t>/</w:t>
            </w:r>
          </w:p>
        </w:tc>
      </w:tr>
      <w:tr w:rsidR="00205264" w:rsidRPr="004223D6" w14:paraId="574B2AEA" w14:textId="77777777" w:rsidTr="00205264">
        <w:tc>
          <w:tcPr>
            <w:tcW w:w="9214" w:type="dxa"/>
            <w:gridSpan w:val="4"/>
          </w:tcPr>
          <w:p w14:paraId="25EB849C" w14:textId="77777777" w:rsidR="00205264" w:rsidRPr="004223D6" w:rsidRDefault="00205264" w:rsidP="00205264">
            <w:pPr>
              <w:pStyle w:val="Neotevilenodstavek"/>
              <w:spacing w:before="0" w:after="0" w:line="240" w:lineRule="auto"/>
              <w:rPr>
                <w:b/>
                <w:iCs/>
              </w:rPr>
            </w:pPr>
            <w:r w:rsidRPr="004223D6">
              <w:rPr>
                <w:b/>
              </w:rPr>
              <w:t>4. Predstavniki vlade, ki bodo sodelovali pri delu državnega zbora:</w:t>
            </w:r>
          </w:p>
        </w:tc>
      </w:tr>
      <w:tr w:rsidR="00205264" w:rsidRPr="004223D6" w14:paraId="76BBEDF9" w14:textId="77777777" w:rsidTr="00205264">
        <w:tc>
          <w:tcPr>
            <w:tcW w:w="9214" w:type="dxa"/>
            <w:gridSpan w:val="4"/>
          </w:tcPr>
          <w:p w14:paraId="79BA2F77" w14:textId="77777777" w:rsidR="00205264" w:rsidRPr="004223D6" w:rsidRDefault="00205264" w:rsidP="00205264">
            <w:pPr>
              <w:pStyle w:val="Neotevilenodstavek"/>
              <w:spacing w:before="0" w:after="0" w:line="240" w:lineRule="auto"/>
              <w:rPr>
                <w:b/>
              </w:rPr>
            </w:pPr>
            <w:r w:rsidRPr="004223D6">
              <w:rPr>
                <w:iCs/>
              </w:rPr>
              <w:t>/</w:t>
            </w:r>
          </w:p>
        </w:tc>
      </w:tr>
      <w:tr w:rsidR="00205264" w:rsidRPr="004223D6" w14:paraId="40267AE2" w14:textId="77777777" w:rsidTr="00205264">
        <w:tc>
          <w:tcPr>
            <w:tcW w:w="9214" w:type="dxa"/>
            <w:gridSpan w:val="4"/>
          </w:tcPr>
          <w:p w14:paraId="22A57281" w14:textId="77777777" w:rsidR="00205264" w:rsidRPr="004223D6" w:rsidRDefault="00205264" w:rsidP="00205264">
            <w:pPr>
              <w:pStyle w:val="Oddelek"/>
              <w:numPr>
                <w:ilvl w:val="0"/>
                <w:numId w:val="0"/>
              </w:numPr>
              <w:spacing w:before="0" w:after="0" w:line="240" w:lineRule="auto"/>
              <w:jc w:val="left"/>
              <w:rPr>
                <w:rFonts w:cs="Arial"/>
              </w:rPr>
            </w:pPr>
            <w:r w:rsidRPr="004223D6">
              <w:rPr>
                <w:rFonts w:cs="Arial"/>
              </w:rPr>
              <w:t>5. Kratek povzetek gradiva:</w:t>
            </w:r>
          </w:p>
        </w:tc>
      </w:tr>
      <w:tr w:rsidR="00205264" w:rsidRPr="004223D6" w14:paraId="594F6A17" w14:textId="77777777" w:rsidTr="00205264">
        <w:tc>
          <w:tcPr>
            <w:tcW w:w="9214" w:type="dxa"/>
            <w:gridSpan w:val="4"/>
          </w:tcPr>
          <w:p w14:paraId="15BF9D12" w14:textId="4EC3C8A1" w:rsidR="00286EF1" w:rsidRDefault="00864A80" w:rsidP="00864A80">
            <w:pPr>
              <w:jc w:val="both"/>
              <w:rPr>
                <w:rFonts w:cs="Arial"/>
                <w:szCs w:val="22"/>
                <w:lang w:val="sl-SI"/>
              </w:rPr>
            </w:pPr>
            <w:r w:rsidRPr="004223D6">
              <w:rPr>
                <w:rFonts w:cs="Arial"/>
                <w:szCs w:val="22"/>
                <w:lang w:val="sl-SI"/>
              </w:rPr>
              <w:t>V letu 2017 je bil pripravljen in s strani Vlade Republike Slovenije (sklep št. 30300-5/2017/3 z dne 8.</w:t>
            </w:r>
            <w:r w:rsidR="00AD2ADE">
              <w:rPr>
                <w:rFonts w:cs="Arial"/>
                <w:szCs w:val="22"/>
                <w:lang w:val="sl-SI"/>
              </w:rPr>
              <w:t xml:space="preserve"> </w:t>
            </w:r>
            <w:r w:rsidRPr="004223D6">
              <w:rPr>
                <w:rFonts w:cs="Arial"/>
                <w:szCs w:val="22"/>
                <w:lang w:val="sl-SI"/>
              </w:rPr>
              <w:t>9.</w:t>
            </w:r>
            <w:r w:rsidR="00AD2ADE">
              <w:rPr>
                <w:rFonts w:cs="Arial"/>
                <w:szCs w:val="22"/>
                <w:lang w:val="sl-SI"/>
              </w:rPr>
              <w:t xml:space="preserve"> </w:t>
            </w:r>
            <w:r w:rsidRPr="004223D6">
              <w:rPr>
                <w:rFonts w:cs="Arial"/>
                <w:szCs w:val="22"/>
                <w:lang w:val="sl-SI"/>
              </w:rPr>
              <w:t xml:space="preserve">2017) </w:t>
            </w:r>
            <w:r w:rsidR="0069385C" w:rsidRPr="004223D6">
              <w:rPr>
                <w:rFonts w:cs="Arial"/>
                <w:szCs w:val="22"/>
                <w:lang w:val="sl-SI"/>
              </w:rPr>
              <w:t xml:space="preserve">potrjen </w:t>
            </w:r>
            <w:r w:rsidRPr="004223D6">
              <w:rPr>
                <w:rFonts w:cs="Arial"/>
                <w:szCs w:val="22"/>
                <w:lang w:val="sl-SI"/>
              </w:rPr>
              <w:t>Načrt izvajanja finančnih ins</w:t>
            </w:r>
            <w:r w:rsidR="00286EF1">
              <w:rPr>
                <w:rFonts w:cs="Arial"/>
                <w:szCs w:val="22"/>
                <w:lang w:val="sl-SI"/>
              </w:rPr>
              <w:t>trumentov za leti 2018 in 2019.</w:t>
            </w:r>
          </w:p>
          <w:p w14:paraId="1CED10DD" w14:textId="77777777" w:rsidR="00286EF1" w:rsidRDefault="00286EF1" w:rsidP="00864A80">
            <w:pPr>
              <w:jc w:val="both"/>
              <w:rPr>
                <w:rFonts w:cs="Arial"/>
                <w:szCs w:val="22"/>
                <w:lang w:val="sl-SI"/>
              </w:rPr>
            </w:pPr>
          </w:p>
          <w:p w14:paraId="52DC8B14" w14:textId="7BBFBD12" w:rsidR="00864A80" w:rsidRPr="004223D6" w:rsidRDefault="00286EF1" w:rsidP="00864A80">
            <w:pPr>
              <w:jc w:val="both"/>
              <w:rPr>
                <w:rFonts w:cs="Arial"/>
                <w:szCs w:val="22"/>
                <w:lang w:val="sl-SI"/>
              </w:rPr>
            </w:pPr>
            <w:r>
              <w:rPr>
                <w:rFonts w:cs="Arial"/>
                <w:szCs w:val="22"/>
                <w:lang w:val="sl-SI"/>
              </w:rPr>
              <w:t>Predloženo vladno gradivo</w:t>
            </w:r>
            <w:r w:rsidRPr="00861D4F">
              <w:rPr>
                <w:rFonts w:cs="Arial"/>
                <w:szCs w:val="22"/>
                <w:lang w:val="sl-SI"/>
              </w:rPr>
              <w:t xml:space="preserve"> </w:t>
            </w:r>
            <w:r>
              <w:rPr>
                <w:rFonts w:cs="Arial"/>
                <w:szCs w:val="22"/>
                <w:lang w:val="sl-SI"/>
              </w:rPr>
              <w:t xml:space="preserve">- </w:t>
            </w:r>
            <w:r w:rsidRPr="004223D6">
              <w:rPr>
                <w:rFonts w:cs="Arial"/>
                <w:szCs w:val="22"/>
                <w:lang w:val="sl-SI"/>
              </w:rPr>
              <w:t xml:space="preserve">Načrt izvajanja finančnih instrumentov za </w:t>
            </w:r>
            <w:r>
              <w:rPr>
                <w:rFonts w:cs="Arial"/>
                <w:szCs w:val="22"/>
                <w:lang w:val="sl-SI"/>
              </w:rPr>
              <w:t xml:space="preserve">obdobje 2020-2023 </w:t>
            </w:r>
            <w:r w:rsidR="003B1561">
              <w:rPr>
                <w:rFonts w:cs="Arial"/>
                <w:szCs w:val="22"/>
                <w:lang w:val="sl-SI"/>
              </w:rPr>
              <w:t xml:space="preserve">- </w:t>
            </w:r>
            <w:r w:rsidRPr="00861D4F">
              <w:rPr>
                <w:rFonts w:cs="Arial"/>
                <w:szCs w:val="22"/>
                <w:lang w:val="sl-SI"/>
              </w:rPr>
              <w:t>je pripravljeno</w:t>
            </w:r>
            <w:r w:rsidR="000B1C8B">
              <w:rPr>
                <w:rFonts w:cs="Arial"/>
                <w:szCs w:val="22"/>
                <w:lang w:val="sl-SI"/>
              </w:rPr>
              <w:t xml:space="preserve"> </w:t>
            </w:r>
            <w:r w:rsidR="0069385C" w:rsidRPr="004223D6">
              <w:rPr>
                <w:rFonts w:cs="Arial"/>
                <w:szCs w:val="22"/>
                <w:lang w:val="sl-SI"/>
              </w:rPr>
              <w:t xml:space="preserve">na podlagi </w:t>
            </w:r>
            <w:r w:rsidR="004A18F8" w:rsidRPr="007811F9">
              <w:rPr>
                <w:rFonts w:cs="Arial"/>
                <w:szCs w:val="22"/>
                <w:lang w:val="sl-SI" w:eastAsia="sl-SI"/>
              </w:rPr>
              <w:t>6. točke sklepa št. 41003-5/2019/9</w:t>
            </w:r>
            <w:r w:rsidR="004A18F8" w:rsidRPr="007811F9">
              <w:rPr>
                <w:rFonts w:cs="Arial"/>
                <w:color w:val="000000"/>
                <w:lang w:val="sl-SI"/>
              </w:rPr>
              <w:t xml:space="preserve">, </w:t>
            </w:r>
            <w:r w:rsidR="004A18F8" w:rsidRPr="007811F9">
              <w:rPr>
                <w:rFonts w:cs="Arial"/>
                <w:szCs w:val="20"/>
                <w:lang w:val="sl-SI"/>
              </w:rPr>
              <w:t>sprejetega dne 4. 7. 2019 na 38. redni seji Vlade Republike Slovenije</w:t>
            </w:r>
            <w:r w:rsidR="00DA2C30">
              <w:rPr>
                <w:rFonts w:cs="Arial"/>
                <w:szCs w:val="22"/>
                <w:lang w:val="sl-SI"/>
              </w:rPr>
              <w:t xml:space="preserve"> in podaja informacijo o planirani dinamiki in višini tranš za obdobje </w:t>
            </w:r>
            <w:r w:rsidR="009A1B61">
              <w:rPr>
                <w:rFonts w:cs="Arial"/>
                <w:szCs w:val="22"/>
                <w:lang w:val="sl-SI"/>
              </w:rPr>
              <w:t>2020</w:t>
            </w:r>
            <w:r w:rsidR="00AD2ADE" w:rsidRPr="004223D6">
              <w:rPr>
                <w:rFonts w:cs="Arial"/>
                <w:szCs w:val="22"/>
                <w:lang w:val="sl-SI" w:eastAsia="sl-SI"/>
              </w:rPr>
              <w:t>–</w:t>
            </w:r>
            <w:r w:rsidR="00DA2C30">
              <w:rPr>
                <w:rFonts w:cs="Arial"/>
                <w:szCs w:val="22"/>
                <w:lang w:val="sl-SI"/>
              </w:rPr>
              <w:t>2023 za potrebe priprave proračuna.</w:t>
            </w:r>
          </w:p>
          <w:p w14:paraId="218000F7" w14:textId="77777777" w:rsidR="00864A80" w:rsidRPr="004223D6" w:rsidRDefault="00864A80" w:rsidP="00205264">
            <w:pPr>
              <w:jc w:val="both"/>
              <w:rPr>
                <w:rFonts w:cs="Arial"/>
                <w:szCs w:val="22"/>
                <w:lang w:val="sl-SI"/>
              </w:rPr>
            </w:pPr>
          </w:p>
          <w:p w14:paraId="09B890CB" w14:textId="70418D95" w:rsidR="00205264" w:rsidRPr="004223D6" w:rsidRDefault="00205264" w:rsidP="00205264">
            <w:pPr>
              <w:jc w:val="both"/>
              <w:rPr>
                <w:rFonts w:cs="Arial"/>
                <w:szCs w:val="22"/>
                <w:lang w:val="sl-SI"/>
              </w:rPr>
            </w:pPr>
            <w:r w:rsidRPr="004223D6">
              <w:rPr>
                <w:rFonts w:cs="Arial"/>
                <w:szCs w:val="22"/>
                <w:lang w:val="sl-SI"/>
              </w:rPr>
              <w:t xml:space="preserve">Vsebinsko podlago </w:t>
            </w:r>
            <w:r w:rsidR="00845861">
              <w:rPr>
                <w:rFonts w:cs="Arial"/>
                <w:szCs w:val="22"/>
                <w:lang w:val="sl-SI"/>
              </w:rPr>
              <w:t>za Načrt izvajanja finančnih instrumentov v obdobju 2020</w:t>
            </w:r>
            <w:r w:rsidR="00AD2ADE" w:rsidRPr="004223D6">
              <w:rPr>
                <w:rFonts w:cs="Arial"/>
                <w:szCs w:val="22"/>
                <w:lang w:val="sl-SI" w:eastAsia="sl-SI"/>
              </w:rPr>
              <w:t>–</w:t>
            </w:r>
            <w:r w:rsidR="00845861">
              <w:rPr>
                <w:rFonts w:cs="Arial"/>
                <w:szCs w:val="22"/>
                <w:lang w:val="sl-SI"/>
              </w:rPr>
              <w:t xml:space="preserve">2023  </w:t>
            </w:r>
            <w:r w:rsidRPr="004223D6">
              <w:rPr>
                <w:rFonts w:cs="Arial"/>
                <w:szCs w:val="22"/>
                <w:lang w:val="sl-SI"/>
              </w:rPr>
              <w:t>predstavljajo Operativni program za izvajanje evropske kohezijske politike v obdobju 2014</w:t>
            </w:r>
            <w:r w:rsidR="00AD2ADE" w:rsidRPr="004223D6">
              <w:rPr>
                <w:rFonts w:cs="Arial"/>
                <w:szCs w:val="22"/>
                <w:lang w:val="sl-SI" w:eastAsia="sl-SI"/>
              </w:rPr>
              <w:t>–</w:t>
            </w:r>
            <w:r w:rsidRPr="004223D6">
              <w:rPr>
                <w:rFonts w:cs="Arial"/>
                <w:szCs w:val="22"/>
                <w:lang w:val="sl-SI"/>
              </w:rPr>
              <w:t>2020, Ključni elementi finančnih instrumentov v programskem obdobju 2014</w:t>
            </w:r>
            <w:r w:rsidR="00AD2ADE" w:rsidRPr="004223D6">
              <w:rPr>
                <w:rFonts w:cs="Arial"/>
                <w:szCs w:val="22"/>
                <w:lang w:val="sl-SI" w:eastAsia="sl-SI"/>
              </w:rPr>
              <w:t>–</w:t>
            </w:r>
            <w:r w:rsidRPr="004223D6">
              <w:rPr>
                <w:rFonts w:cs="Arial"/>
                <w:szCs w:val="22"/>
                <w:lang w:val="sl-SI"/>
              </w:rPr>
              <w:t>2020, h katerim je Vlada RS podala soglasje dne 15.</w:t>
            </w:r>
            <w:r w:rsidR="00AD2ADE">
              <w:rPr>
                <w:rFonts w:cs="Arial"/>
                <w:szCs w:val="22"/>
                <w:lang w:val="sl-SI"/>
              </w:rPr>
              <w:t xml:space="preserve"> </w:t>
            </w:r>
            <w:r w:rsidRPr="004223D6">
              <w:rPr>
                <w:rFonts w:cs="Arial"/>
                <w:szCs w:val="22"/>
                <w:lang w:val="sl-SI"/>
              </w:rPr>
              <w:t>6.</w:t>
            </w:r>
            <w:r w:rsidR="00AD2ADE">
              <w:rPr>
                <w:rFonts w:cs="Arial"/>
                <w:szCs w:val="22"/>
                <w:lang w:val="sl-SI"/>
              </w:rPr>
              <w:t xml:space="preserve"> </w:t>
            </w:r>
            <w:r w:rsidRPr="004223D6">
              <w:rPr>
                <w:rFonts w:cs="Arial"/>
                <w:szCs w:val="22"/>
                <w:lang w:val="sl-SI"/>
              </w:rPr>
              <w:t>2017 in so bili spremenjeni s sklepom Vlade RS z dne 28.</w:t>
            </w:r>
            <w:r w:rsidR="00AD2ADE">
              <w:rPr>
                <w:rFonts w:cs="Arial"/>
                <w:szCs w:val="22"/>
                <w:lang w:val="sl-SI"/>
              </w:rPr>
              <w:t xml:space="preserve"> </w:t>
            </w:r>
            <w:r w:rsidRPr="004223D6">
              <w:rPr>
                <w:rFonts w:cs="Arial"/>
                <w:szCs w:val="22"/>
                <w:lang w:val="sl-SI"/>
              </w:rPr>
              <w:t>9.</w:t>
            </w:r>
            <w:r w:rsidR="00AD2ADE">
              <w:rPr>
                <w:rFonts w:cs="Arial"/>
                <w:szCs w:val="22"/>
                <w:lang w:val="sl-SI"/>
              </w:rPr>
              <w:t xml:space="preserve"> </w:t>
            </w:r>
            <w:r w:rsidRPr="004223D6">
              <w:rPr>
                <w:rFonts w:cs="Arial"/>
                <w:szCs w:val="22"/>
                <w:lang w:val="sl-SI"/>
              </w:rPr>
              <w:t>2017, ter Predhodna ocena finančnih instrumentov 2014</w:t>
            </w:r>
            <w:r w:rsidR="00AD2ADE" w:rsidRPr="004223D6">
              <w:rPr>
                <w:rFonts w:cs="Arial"/>
                <w:szCs w:val="22"/>
                <w:lang w:val="sl-SI" w:eastAsia="sl-SI"/>
              </w:rPr>
              <w:t>–</w:t>
            </w:r>
            <w:r w:rsidRPr="004223D6">
              <w:rPr>
                <w:rFonts w:cs="Arial"/>
                <w:szCs w:val="22"/>
                <w:lang w:val="sl-SI"/>
              </w:rPr>
              <w:t>2020, ki je ugotovila vrzeli financ</w:t>
            </w:r>
            <w:r w:rsidR="004223D6" w:rsidRPr="004223D6">
              <w:rPr>
                <w:rFonts w:cs="Arial"/>
                <w:szCs w:val="22"/>
                <w:lang w:val="sl-SI"/>
              </w:rPr>
              <w:t>i</w:t>
            </w:r>
            <w:r w:rsidRPr="004223D6">
              <w:rPr>
                <w:rFonts w:cs="Arial"/>
                <w:szCs w:val="22"/>
                <w:lang w:val="sl-SI"/>
              </w:rPr>
              <w:t>ranja na štirih področjih: (i) raziskave, razvoj in inovacije, (</w:t>
            </w:r>
            <w:proofErr w:type="spellStart"/>
            <w:r w:rsidRPr="004223D6">
              <w:rPr>
                <w:rFonts w:cs="Arial"/>
                <w:szCs w:val="22"/>
                <w:lang w:val="sl-SI"/>
              </w:rPr>
              <w:t>ii</w:t>
            </w:r>
            <w:proofErr w:type="spellEnd"/>
            <w:r w:rsidRPr="004223D6">
              <w:rPr>
                <w:rFonts w:cs="Arial"/>
                <w:szCs w:val="22"/>
                <w:lang w:val="sl-SI"/>
              </w:rPr>
              <w:t>) mala in srednje velika podjetja, (</w:t>
            </w:r>
            <w:proofErr w:type="spellStart"/>
            <w:r w:rsidRPr="004223D6">
              <w:rPr>
                <w:rFonts w:cs="Arial"/>
                <w:szCs w:val="22"/>
                <w:lang w:val="sl-SI"/>
              </w:rPr>
              <w:t>iii</w:t>
            </w:r>
            <w:proofErr w:type="spellEnd"/>
            <w:r w:rsidRPr="004223D6">
              <w:rPr>
                <w:rFonts w:cs="Arial"/>
                <w:szCs w:val="22"/>
                <w:lang w:val="sl-SI"/>
              </w:rPr>
              <w:t xml:space="preserve">) urbani razvoj in (iv) energetska učinkovitost. </w:t>
            </w:r>
          </w:p>
          <w:p w14:paraId="08977EE3" w14:textId="77777777" w:rsidR="00205264" w:rsidRPr="004223D6" w:rsidRDefault="00205264" w:rsidP="00205264">
            <w:pPr>
              <w:jc w:val="both"/>
              <w:rPr>
                <w:rFonts w:cs="Arial"/>
                <w:szCs w:val="22"/>
                <w:lang w:val="sl-SI"/>
              </w:rPr>
            </w:pPr>
          </w:p>
          <w:p w14:paraId="7F368892" w14:textId="77777777" w:rsidR="00205264" w:rsidRDefault="00205264" w:rsidP="003B1561">
            <w:pPr>
              <w:jc w:val="both"/>
              <w:rPr>
                <w:rFonts w:cs="Arial"/>
                <w:szCs w:val="22"/>
                <w:lang w:val="sl-SI"/>
              </w:rPr>
            </w:pPr>
            <w:r w:rsidRPr="004223D6">
              <w:rPr>
                <w:rFonts w:cs="Arial"/>
                <w:szCs w:val="22"/>
                <w:lang w:val="sl-SI"/>
              </w:rPr>
              <w:t>Skupni znesek sredstev za finančne instrumente za obdobje upravičenosti do leta 2023 znaša 253 mio EUR (sredstva evropske kohezijske politike). Izvedeno je bilo prvo</w:t>
            </w:r>
            <w:r w:rsidR="005611B2" w:rsidRPr="004223D6">
              <w:rPr>
                <w:rFonts w:cs="Arial"/>
                <w:szCs w:val="22"/>
                <w:lang w:val="sl-SI"/>
              </w:rPr>
              <w:t xml:space="preserve"> vplačilo</w:t>
            </w:r>
            <w:r w:rsidRPr="004223D6">
              <w:rPr>
                <w:rFonts w:cs="Arial"/>
                <w:szCs w:val="22"/>
                <w:lang w:val="sl-SI"/>
              </w:rPr>
              <w:t xml:space="preserve"> </w:t>
            </w:r>
            <w:r w:rsidR="00286EF1">
              <w:rPr>
                <w:rFonts w:cs="Arial"/>
                <w:szCs w:val="22"/>
                <w:lang w:val="sl-SI"/>
              </w:rPr>
              <w:t xml:space="preserve">(prva tranša) </w:t>
            </w:r>
            <w:r w:rsidRPr="004223D6">
              <w:rPr>
                <w:rFonts w:cs="Arial"/>
                <w:szCs w:val="22"/>
                <w:lang w:val="sl-SI"/>
              </w:rPr>
              <w:t>v sklad skladov v letu 2017 v višini 63,25 mio EUR</w:t>
            </w:r>
            <w:r w:rsidR="003B1561">
              <w:rPr>
                <w:rFonts w:cs="Arial"/>
                <w:szCs w:val="22"/>
                <w:lang w:val="sl-SI"/>
              </w:rPr>
              <w:t>.</w:t>
            </w:r>
            <w:r w:rsidRPr="004223D6">
              <w:rPr>
                <w:rFonts w:cs="Arial"/>
                <w:szCs w:val="22"/>
                <w:lang w:val="sl-SI"/>
              </w:rPr>
              <w:t xml:space="preserve"> </w:t>
            </w:r>
            <w:r w:rsidR="003B1561" w:rsidRPr="00E44377">
              <w:rPr>
                <w:rFonts w:cs="Arial"/>
                <w:szCs w:val="22"/>
                <w:lang w:val="sl-SI"/>
              </w:rPr>
              <w:t xml:space="preserve"> </w:t>
            </w:r>
            <w:r w:rsidR="003B1561">
              <w:rPr>
                <w:rFonts w:cs="Arial"/>
                <w:szCs w:val="22"/>
                <w:lang w:val="sl-SI"/>
              </w:rPr>
              <w:t>V</w:t>
            </w:r>
            <w:r w:rsidR="003B1561" w:rsidRPr="00E44377">
              <w:rPr>
                <w:rFonts w:cs="Arial"/>
                <w:szCs w:val="22"/>
                <w:lang w:val="sl-SI"/>
              </w:rPr>
              <w:t xml:space="preserve"> letu 2019 </w:t>
            </w:r>
            <w:r w:rsidR="003B1561">
              <w:rPr>
                <w:rFonts w:cs="Arial"/>
                <w:szCs w:val="22"/>
                <w:lang w:val="sl-SI"/>
              </w:rPr>
              <w:t>je</w:t>
            </w:r>
            <w:r w:rsidRPr="004223D6">
              <w:rPr>
                <w:rFonts w:cs="Arial"/>
                <w:szCs w:val="22"/>
                <w:lang w:val="sl-SI"/>
              </w:rPr>
              <w:t xml:space="preserve"> </w:t>
            </w:r>
            <w:r w:rsidRPr="00E44377">
              <w:rPr>
                <w:rFonts w:cs="Arial"/>
                <w:szCs w:val="22"/>
                <w:lang w:val="sl-SI"/>
              </w:rPr>
              <w:t>predvideno drugo vplačilo v sklad skladov v višini 63,25 mio EUR.</w:t>
            </w:r>
            <w:r w:rsidR="003B1561">
              <w:rPr>
                <w:rFonts w:cs="Arial"/>
                <w:szCs w:val="22"/>
                <w:lang w:val="sl-SI"/>
              </w:rPr>
              <w:t xml:space="preserve"> Vplačili tretje in četrte, zadnje, tranše v enakem znesku sta predvideni še v letih 2021 in 2022.</w:t>
            </w:r>
          </w:p>
          <w:p w14:paraId="01DB68C8" w14:textId="2EB31D53" w:rsidR="00DA2C30" w:rsidRPr="004223D6" w:rsidRDefault="00DA2C30" w:rsidP="003B1561">
            <w:pPr>
              <w:jc w:val="both"/>
              <w:rPr>
                <w:rFonts w:cs="Arial"/>
                <w:szCs w:val="22"/>
                <w:lang w:val="sl-SI"/>
              </w:rPr>
            </w:pPr>
          </w:p>
        </w:tc>
      </w:tr>
      <w:tr w:rsidR="00205264" w:rsidRPr="004223D6" w14:paraId="34767F39" w14:textId="77777777" w:rsidTr="00205264">
        <w:tc>
          <w:tcPr>
            <w:tcW w:w="9214" w:type="dxa"/>
            <w:gridSpan w:val="4"/>
          </w:tcPr>
          <w:p w14:paraId="56A5DF5B" w14:textId="77777777" w:rsidR="00205264" w:rsidRPr="004223D6" w:rsidRDefault="00205264" w:rsidP="00205264">
            <w:pPr>
              <w:pStyle w:val="Oddelek"/>
              <w:numPr>
                <w:ilvl w:val="0"/>
                <w:numId w:val="0"/>
              </w:numPr>
              <w:spacing w:before="0" w:after="0" w:line="240" w:lineRule="auto"/>
              <w:jc w:val="left"/>
              <w:rPr>
                <w:rFonts w:cs="Arial"/>
              </w:rPr>
            </w:pPr>
            <w:r w:rsidRPr="004223D6">
              <w:rPr>
                <w:rFonts w:cs="Arial"/>
              </w:rPr>
              <w:t>6. Presoja posledic za:</w:t>
            </w:r>
          </w:p>
        </w:tc>
      </w:tr>
      <w:tr w:rsidR="00205264" w:rsidRPr="004223D6" w14:paraId="66A0B126" w14:textId="77777777" w:rsidTr="00205264">
        <w:tc>
          <w:tcPr>
            <w:tcW w:w="1561" w:type="dxa"/>
          </w:tcPr>
          <w:p w14:paraId="40FB8D64" w14:textId="77777777" w:rsidR="00205264" w:rsidRPr="004223D6" w:rsidRDefault="00205264" w:rsidP="00205264">
            <w:pPr>
              <w:pStyle w:val="Neotevilenodstavek"/>
              <w:spacing w:before="0" w:after="0" w:line="240" w:lineRule="auto"/>
              <w:ind w:left="360"/>
              <w:rPr>
                <w:iCs/>
              </w:rPr>
            </w:pPr>
            <w:r w:rsidRPr="004223D6">
              <w:rPr>
                <w:iCs/>
              </w:rPr>
              <w:t>a)</w:t>
            </w:r>
          </w:p>
        </w:tc>
        <w:tc>
          <w:tcPr>
            <w:tcW w:w="5444" w:type="dxa"/>
            <w:gridSpan w:val="2"/>
          </w:tcPr>
          <w:p w14:paraId="0D6C0D72" w14:textId="77777777" w:rsidR="00205264" w:rsidRPr="004223D6" w:rsidRDefault="00205264" w:rsidP="00205264">
            <w:pPr>
              <w:pStyle w:val="Neotevilenodstavek"/>
              <w:spacing w:before="0" w:after="0" w:line="240" w:lineRule="auto"/>
            </w:pPr>
            <w:r w:rsidRPr="004223D6">
              <w:t>javnofinančna sredstva nad 40.000 EUR v tekočem in naslednjih treh letih</w:t>
            </w:r>
          </w:p>
        </w:tc>
        <w:tc>
          <w:tcPr>
            <w:tcW w:w="2209" w:type="dxa"/>
            <w:vAlign w:val="center"/>
          </w:tcPr>
          <w:p w14:paraId="054C9945" w14:textId="77777777" w:rsidR="00205264" w:rsidRPr="004223D6" w:rsidRDefault="00205264" w:rsidP="00205264">
            <w:pPr>
              <w:pStyle w:val="Neotevilenodstavek"/>
              <w:spacing w:before="0" w:after="0" w:line="240" w:lineRule="auto"/>
              <w:jc w:val="center"/>
              <w:rPr>
                <w:iCs/>
              </w:rPr>
            </w:pPr>
            <w:r w:rsidRPr="004223D6">
              <w:t>NE</w:t>
            </w:r>
          </w:p>
        </w:tc>
      </w:tr>
      <w:tr w:rsidR="00205264" w:rsidRPr="004223D6" w14:paraId="5E2D2FF7" w14:textId="77777777" w:rsidTr="00205264">
        <w:tc>
          <w:tcPr>
            <w:tcW w:w="1561" w:type="dxa"/>
          </w:tcPr>
          <w:p w14:paraId="3DB8EAC7" w14:textId="77777777" w:rsidR="00205264" w:rsidRPr="004223D6" w:rsidRDefault="00205264" w:rsidP="00205264">
            <w:pPr>
              <w:pStyle w:val="Neotevilenodstavek"/>
              <w:spacing w:before="0" w:after="0" w:line="240" w:lineRule="auto"/>
              <w:ind w:left="360"/>
              <w:rPr>
                <w:iCs/>
              </w:rPr>
            </w:pPr>
            <w:r w:rsidRPr="004223D6">
              <w:rPr>
                <w:iCs/>
              </w:rPr>
              <w:t>b)</w:t>
            </w:r>
          </w:p>
        </w:tc>
        <w:tc>
          <w:tcPr>
            <w:tcW w:w="5444" w:type="dxa"/>
            <w:gridSpan w:val="2"/>
          </w:tcPr>
          <w:p w14:paraId="7A13A450" w14:textId="77777777" w:rsidR="00205264" w:rsidRPr="004223D6" w:rsidRDefault="00205264" w:rsidP="00205264">
            <w:pPr>
              <w:pStyle w:val="Neotevilenodstavek"/>
              <w:spacing w:before="0" w:after="0" w:line="240" w:lineRule="auto"/>
              <w:rPr>
                <w:iCs/>
              </w:rPr>
            </w:pPr>
            <w:r w:rsidRPr="004223D6">
              <w:rPr>
                <w:bCs/>
              </w:rPr>
              <w:t>usklajenost slovenskega pravnega reda s pravnim redom Evropske unije</w:t>
            </w:r>
          </w:p>
        </w:tc>
        <w:tc>
          <w:tcPr>
            <w:tcW w:w="2209" w:type="dxa"/>
            <w:vAlign w:val="center"/>
          </w:tcPr>
          <w:p w14:paraId="5E9390F7" w14:textId="77777777" w:rsidR="00205264" w:rsidRPr="004223D6" w:rsidRDefault="00205264" w:rsidP="00205264">
            <w:pPr>
              <w:pStyle w:val="Neotevilenodstavek"/>
              <w:spacing w:before="0" w:after="0" w:line="240" w:lineRule="auto"/>
              <w:jc w:val="center"/>
              <w:rPr>
                <w:iCs/>
              </w:rPr>
            </w:pPr>
            <w:r w:rsidRPr="004223D6">
              <w:t>NE</w:t>
            </w:r>
          </w:p>
        </w:tc>
      </w:tr>
      <w:tr w:rsidR="00205264" w:rsidRPr="004223D6" w14:paraId="2FE72CB4" w14:textId="77777777" w:rsidTr="00205264">
        <w:tc>
          <w:tcPr>
            <w:tcW w:w="1561" w:type="dxa"/>
          </w:tcPr>
          <w:p w14:paraId="06960794" w14:textId="77777777" w:rsidR="00205264" w:rsidRPr="004223D6" w:rsidRDefault="00205264" w:rsidP="00205264">
            <w:pPr>
              <w:pStyle w:val="Neotevilenodstavek"/>
              <w:spacing w:before="0" w:after="0" w:line="240" w:lineRule="auto"/>
              <w:ind w:left="360"/>
              <w:rPr>
                <w:iCs/>
              </w:rPr>
            </w:pPr>
            <w:r w:rsidRPr="004223D6">
              <w:rPr>
                <w:iCs/>
              </w:rPr>
              <w:t>c)</w:t>
            </w:r>
          </w:p>
        </w:tc>
        <w:tc>
          <w:tcPr>
            <w:tcW w:w="5444" w:type="dxa"/>
            <w:gridSpan w:val="2"/>
          </w:tcPr>
          <w:p w14:paraId="44AD5B02" w14:textId="77777777" w:rsidR="00205264" w:rsidRPr="004223D6" w:rsidRDefault="00205264" w:rsidP="00205264">
            <w:pPr>
              <w:pStyle w:val="Neotevilenodstavek"/>
              <w:spacing w:before="0" w:after="0" w:line="240" w:lineRule="auto"/>
              <w:rPr>
                <w:iCs/>
              </w:rPr>
            </w:pPr>
            <w:r w:rsidRPr="004223D6">
              <w:t>administrativne posledice</w:t>
            </w:r>
          </w:p>
        </w:tc>
        <w:tc>
          <w:tcPr>
            <w:tcW w:w="2209" w:type="dxa"/>
            <w:vAlign w:val="center"/>
          </w:tcPr>
          <w:p w14:paraId="498935F1" w14:textId="77777777" w:rsidR="00205264" w:rsidRPr="004223D6" w:rsidRDefault="00205264" w:rsidP="00205264">
            <w:pPr>
              <w:pStyle w:val="Neotevilenodstavek"/>
              <w:spacing w:before="0" w:after="0" w:line="240" w:lineRule="auto"/>
              <w:jc w:val="center"/>
            </w:pPr>
            <w:r w:rsidRPr="004223D6">
              <w:t>NE</w:t>
            </w:r>
          </w:p>
        </w:tc>
      </w:tr>
      <w:tr w:rsidR="00205264" w:rsidRPr="004223D6" w14:paraId="3287B1EB" w14:textId="77777777" w:rsidTr="00205264">
        <w:tc>
          <w:tcPr>
            <w:tcW w:w="1561" w:type="dxa"/>
          </w:tcPr>
          <w:p w14:paraId="52AABA2D" w14:textId="77777777" w:rsidR="00205264" w:rsidRPr="004223D6" w:rsidRDefault="00205264" w:rsidP="00205264">
            <w:pPr>
              <w:pStyle w:val="Neotevilenodstavek"/>
              <w:spacing w:before="0" w:after="0" w:line="240" w:lineRule="auto"/>
              <w:ind w:left="360"/>
              <w:rPr>
                <w:iCs/>
              </w:rPr>
            </w:pPr>
            <w:r w:rsidRPr="004223D6">
              <w:rPr>
                <w:iCs/>
              </w:rPr>
              <w:t>č)</w:t>
            </w:r>
          </w:p>
        </w:tc>
        <w:tc>
          <w:tcPr>
            <w:tcW w:w="5444" w:type="dxa"/>
            <w:gridSpan w:val="2"/>
          </w:tcPr>
          <w:p w14:paraId="7AB52071" w14:textId="77777777" w:rsidR="00205264" w:rsidRPr="004223D6" w:rsidRDefault="00205264" w:rsidP="00205264">
            <w:pPr>
              <w:pStyle w:val="Neotevilenodstavek"/>
              <w:spacing w:before="0" w:after="0" w:line="240" w:lineRule="auto"/>
              <w:rPr>
                <w:bCs/>
              </w:rPr>
            </w:pPr>
            <w:r w:rsidRPr="004223D6">
              <w:t>gospodarstvo, zlasti</w:t>
            </w:r>
            <w:r w:rsidRPr="004223D6">
              <w:rPr>
                <w:bCs/>
              </w:rPr>
              <w:t xml:space="preserve"> mala in srednja podjetja ter konkurenčnost podjetij</w:t>
            </w:r>
          </w:p>
          <w:p w14:paraId="11AA95ED" w14:textId="77777777" w:rsidR="00205264" w:rsidRPr="004223D6" w:rsidRDefault="00205264" w:rsidP="00205264">
            <w:pPr>
              <w:pStyle w:val="Neotevilenodstavek"/>
              <w:spacing w:before="0" w:after="0" w:line="240" w:lineRule="auto"/>
              <w:rPr>
                <w:bCs/>
              </w:rPr>
            </w:pPr>
          </w:p>
          <w:p w14:paraId="584656C6" w14:textId="47528F0E" w:rsidR="00205264" w:rsidRPr="004223D6" w:rsidRDefault="00205264" w:rsidP="009C6233">
            <w:pPr>
              <w:pStyle w:val="Neotevilenodstavek"/>
              <w:spacing w:before="0" w:after="0" w:line="240" w:lineRule="auto"/>
              <w:rPr>
                <w:bCs/>
              </w:rPr>
            </w:pPr>
            <w:r w:rsidRPr="004223D6">
              <w:rPr>
                <w:bCs/>
              </w:rPr>
              <w:t>Gradivo bo imelo pozitivne posledice na gospodarstvo, saj predstavlja prilogo k obrazložitvam Proračuna RS in hkrati podlago za izvajanje ukrepov v obliki finančnih instrumentov (</w:t>
            </w:r>
            <w:r w:rsidR="009C6233" w:rsidRPr="00845861">
              <w:t xml:space="preserve">krediti, </w:t>
            </w:r>
            <w:proofErr w:type="spellStart"/>
            <w:r w:rsidR="009C6233" w:rsidRPr="00845861">
              <w:t>portfeljske</w:t>
            </w:r>
            <w:proofErr w:type="spellEnd"/>
            <w:r w:rsidR="009C6233" w:rsidRPr="00845861">
              <w:t xml:space="preserve"> garancije, mikrokrediti, lastniško financiranje</w:t>
            </w:r>
            <w:r w:rsidRPr="004223D6">
              <w:rPr>
                <w:bCs/>
              </w:rPr>
              <w:t>) za podjetja.</w:t>
            </w:r>
            <w:r w:rsidR="00864A80" w:rsidRPr="004223D6">
              <w:rPr>
                <w:bCs/>
              </w:rPr>
              <w:t xml:space="preserve"> </w:t>
            </w:r>
            <w:r w:rsidR="00845861">
              <w:rPr>
                <w:bCs/>
              </w:rPr>
              <w:t>V</w:t>
            </w:r>
            <w:r w:rsidR="00864A80" w:rsidRPr="004223D6">
              <w:rPr>
                <w:bCs/>
              </w:rPr>
              <w:t xml:space="preserve"> let</w:t>
            </w:r>
            <w:r w:rsidR="00845861">
              <w:rPr>
                <w:bCs/>
              </w:rPr>
              <w:t>ih</w:t>
            </w:r>
            <w:r w:rsidR="00864A80" w:rsidRPr="004223D6">
              <w:rPr>
                <w:bCs/>
              </w:rPr>
              <w:t xml:space="preserve"> 2019</w:t>
            </w:r>
            <w:r w:rsidR="00845861">
              <w:rPr>
                <w:bCs/>
              </w:rPr>
              <w:t>, 2021 in 2022</w:t>
            </w:r>
            <w:r w:rsidR="00864A80" w:rsidRPr="004223D6">
              <w:rPr>
                <w:bCs/>
              </w:rPr>
              <w:t xml:space="preserve"> </w:t>
            </w:r>
            <w:r w:rsidR="00845861">
              <w:rPr>
                <w:bCs/>
              </w:rPr>
              <w:t>so</w:t>
            </w:r>
            <w:r w:rsidR="00864A80" w:rsidRPr="004223D6">
              <w:rPr>
                <w:bCs/>
              </w:rPr>
              <w:t xml:space="preserve"> namreč predviden</w:t>
            </w:r>
            <w:r w:rsidR="00845861">
              <w:rPr>
                <w:bCs/>
              </w:rPr>
              <w:t>e</w:t>
            </w:r>
            <w:r w:rsidR="00864A80" w:rsidRPr="004223D6">
              <w:rPr>
                <w:bCs/>
              </w:rPr>
              <w:t xml:space="preserve"> druga</w:t>
            </w:r>
            <w:r w:rsidR="00845861">
              <w:rPr>
                <w:bCs/>
              </w:rPr>
              <w:t xml:space="preserve">, tretja in četrta, zadnja, </w:t>
            </w:r>
            <w:r w:rsidR="00864A80" w:rsidRPr="004223D6">
              <w:rPr>
                <w:bCs/>
              </w:rPr>
              <w:t>tranša</w:t>
            </w:r>
            <w:r w:rsidR="00845861">
              <w:rPr>
                <w:bCs/>
              </w:rPr>
              <w:t xml:space="preserve">, vsaka </w:t>
            </w:r>
            <w:r w:rsidR="00864A80" w:rsidRPr="004223D6">
              <w:rPr>
                <w:bCs/>
              </w:rPr>
              <w:t>v višini 63,25 mi</w:t>
            </w:r>
            <w:r w:rsidR="00845861">
              <w:rPr>
                <w:bCs/>
              </w:rPr>
              <w:t>lijonov</w:t>
            </w:r>
            <w:r w:rsidR="00864A80" w:rsidRPr="004223D6">
              <w:rPr>
                <w:bCs/>
              </w:rPr>
              <w:t xml:space="preserve"> </w:t>
            </w:r>
            <w:r w:rsidR="00845861">
              <w:rPr>
                <w:bCs/>
              </w:rPr>
              <w:t>evrov</w:t>
            </w:r>
            <w:r w:rsidR="00864A80" w:rsidRPr="004223D6">
              <w:rPr>
                <w:bCs/>
              </w:rPr>
              <w:t>, ki bo</w:t>
            </w:r>
            <w:r w:rsidR="00845861">
              <w:rPr>
                <w:bCs/>
              </w:rPr>
              <w:t>do namenjene</w:t>
            </w:r>
            <w:r w:rsidR="00864A80" w:rsidRPr="004223D6">
              <w:rPr>
                <w:bCs/>
              </w:rPr>
              <w:t xml:space="preserve"> izvajanj</w:t>
            </w:r>
            <w:r w:rsidR="00E72C69" w:rsidRPr="004223D6">
              <w:rPr>
                <w:bCs/>
              </w:rPr>
              <w:t>u</w:t>
            </w:r>
            <w:r w:rsidR="00845861">
              <w:rPr>
                <w:bCs/>
              </w:rPr>
              <w:t xml:space="preserve"> finančnih instrumentov, in bodo skupaj s pričakovanim finančnim vzvodov pomenile </w:t>
            </w:r>
            <w:r w:rsidR="00845861">
              <w:rPr>
                <w:bCs/>
              </w:rPr>
              <w:lastRenderedPageBreak/>
              <w:t>dodatnih približno 400 milijonov evrov sredstev namenjenih gospodarstvu.</w:t>
            </w:r>
          </w:p>
        </w:tc>
        <w:tc>
          <w:tcPr>
            <w:tcW w:w="2209" w:type="dxa"/>
            <w:vAlign w:val="center"/>
          </w:tcPr>
          <w:p w14:paraId="1D7BD42E" w14:textId="77777777" w:rsidR="00205264" w:rsidRPr="004223D6" w:rsidRDefault="00205264" w:rsidP="00205264">
            <w:pPr>
              <w:pStyle w:val="Neotevilenodstavek"/>
              <w:spacing w:before="0" w:after="0" w:line="240" w:lineRule="auto"/>
              <w:jc w:val="center"/>
              <w:rPr>
                <w:b/>
                <w:iCs/>
              </w:rPr>
            </w:pPr>
            <w:r w:rsidRPr="004223D6">
              <w:rPr>
                <w:b/>
              </w:rPr>
              <w:lastRenderedPageBreak/>
              <w:t>DA</w:t>
            </w:r>
          </w:p>
        </w:tc>
      </w:tr>
      <w:tr w:rsidR="00205264" w:rsidRPr="004223D6" w14:paraId="11161AE6" w14:textId="77777777" w:rsidTr="00205264">
        <w:tc>
          <w:tcPr>
            <w:tcW w:w="1561" w:type="dxa"/>
          </w:tcPr>
          <w:p w14:paraId="1AC1499C" w14:textId="77777777" w:rsidR="00205264" w:rsidRPr="004223D6" w:rsidRDefault="00205264" w:rsidP="00205264">
            <w:pPr>
              <w:pStyle w:val="Neotevilenodstavek"/>
              <w:spacing w:before="0" w:after="0" w:line="240" w:lineRule="auto"/>
              <w:ind w:left="360"/>
              <w:rPr>
                <w:iCs/>
              </w:rPr>
            </w:pPr>
            <w:r w:rsidRPr="004223D6">
              <w:rPr>
                <w:iCs/>
              </w:rPr>
              <w:lastRenderedPageBreak/>
              <w:t>d)</w:t>
            </w:r>
          </w:p>
        </w:tc>
        <w:tc>
          <w:tcPr>
            <w:tcW w:w="5444" w:type="dxa"/>
            <w:gridSpan w:val="2"/>
          </w:tcPr>
          <w:p w14:paraId="043192DC" w14:textId="77777777" w:rsidR="00205264" w:rsidRPr="004223D6" w:rsidRDefault="00205264" w:rsidP="00205264">
            <w:pPr>
              <w:pStyle w:val="Neotevilenodstavek"/>
              <w:spacing w:before="0" w:after="0" w:line="240" w:lineRule="auto"/>
              <w:rPr>
                <w:bCs/>
              </w:rPr>
            </w:pPr>
            <w:r w:rsidRPr="004223D6">
              <w:rPr>
                <w:bCs/>
              </w:rPr>
              <w:t>okolje, vključno s prostorskimi in varstvenimi vidiki</w:t>
            </w:r>
          </w:p>
        </w:tc>
        <w:tc>
          <w:tcPr>
            <w:tcW w:w="2209" w:type="dxa"/>
            <w:vAlign w:val="center"/>
          </w:tcPr>
          <w:p w14:paraId="7CDBA356" w14:textId="77777777" w:rsidR="00205264" w:rsidRPr="004223D6" w:rsidRDefault="00205264" w:rsidP="00205264">
            <w:pPr>
              <w:pStyle w:val="Neotevilenodstavek"/>
              <w:spacing w:before="0" w:after="0" w:line="240" w:lineRule="auto"/>
              <w:jc w:val="center"/>
              <w:rPr>
                <w:iCs/>
              </w:rPr>
            </w:pPr>
            <w:r w:rsidRPr="004223D6">
              <w:t>NE</w:t>
            </w:r>
          </w:p>
        </w:tc>
      </w:tr>
      <w:tr w:rsidR="00205264" w:rsidRPr="004223D6" w14:paraId="5A55202F" w14:textId="77777777" w:rsidTr="00205264">
        <w:tc>
          <w:tcPr>
            <w:tcW w:w="1561" w:type="dxa"/>
          </w:tcPr>
          <w:p w14:paraId="18129863" w14:textId="77777777" w:rsidR="00205264" w:rsidRPr="004223D6" w:rsidRDefault="00205264" w:rsidP="00205264">
            <w:pPr>
              <w:pStyle w:val="Neotevilenodstavek"/>
              <w:spacing w:before="0" w:after="0" w:line="240" w:lineRule="auto"/>
              <w:ind w:left="360"/>
              <w:rPr>
                <w:iCs/>
              </w:rPr>
            </w:pPr>
            <w:r w:rsidRPr="004223D6">
              <w:rPr>
                <w:iCs/>
              </w:rPr>
              <w:t>e)</w:t>
            </w:r>
          </w:p>
        </w:tc>
        <w:tc>
          <w:tcPr>
            <w:tcW w:w="5444" w:type="dxa"/>
            <w:gridSpan w:val="2"/>
          </w:tcPr>
          <w:p w14:paraId="1C6CD599" w14:textId="77777777" w:rsidR="00205264" w:rsidRPr="004223D6" w:rsidRDefault="00205264" w:rsidP="00205264">
            <w:pPr>
              <w:pStyle w:val="Neotevilenodstavek"/>
              <w:spacing w:before="0" w:after="0" w:line="240" w:lineRule="auto"/>
              <w:rPr>
                <w:bCs/>
              </w:rPr>
            </w:pPr>
            <w:r w:rsidRPr="004223D6">
              <w:rPr>
                <w:bCs/>
              </w:rPr>
              <w:t>socialno področje</w:t>
            </w:r>
          </w:p>
        </w:tc>
        <w:tc>
          <w:tcPr>
            <w:tcW w:w="2209" w:type="dxa"/>
            <w:vAlign w:val="center"/>
          </w:tcPr>
          <w:p w14:paraId="164B1AF0" w14:textId="77777777" w:rsidR="00205264" w:rsidRPr="004223D6" w:rsidRDefault="00205264" w:rsidP="00205264">
            <w:pPr>
              <w:pStyle w:val="Neotevilenodstavek"/>
              <w:spacing w:before="0" w:after="0" w:line="240" w:lineRule="auto"/>
              <w:jc w:val="center"/>
              <w:rPr>
                <w:iCs/>
              </w:rPr>
            </w:pPr>
            <w:r w:rsidRPr="004223D6">
              <w:t>NE</w:t>
            </w:r>
          </w:p>
        </w:tc>
      </w:tr>
      <w:tr w:rsidR="00205264" w:rsidRPr="004223D6" w14:paraId="5DA4BCBC" w14:textId="77777777" w:rsidTr="00205264">
        <w:tc>
          <w:tcPr>
            <w:tcW w:w="1561" w:type="dxa"/>
            <w:tcBorders>
              <w:bottom w:val="single" w:sz="4" w:space="0" w:color="auto"/>
            </w:tcBorders>
          </w:tcPr>
          <w:p w14:paraId="0EC0915B" w14:textId="77777777" w:rsidR="00205264" w:rsidRPr="004223D6" w:rsidRDefault="00205264" w:rsidP="00205264">
            <w:pPr>
              <w:pStyle w:val="Neotevilenodstavek"/>
              <w:spacing w:before="0" w:after="0" w:line="240" w:lineRule="auto"/>
              <w:ind w:left="360"/>
              <w:rPr>
                <w:iCs/>
              </w:rPr>
            </w:pPr>
            <w:r w:rsidRPr="004223D6">
              <w:rPr>
                <w:iCs/>
              </w:rPr>
              <w:t>f)</w:t>
            </w:r>
          </w:p>
        </w:tc>
        <w:tc>
          <w:tcPr>
            <w:tcW w:w="5444" w:type="dxa"/>
            <w:gridSpan w:val="2"/>
            <w:tcBorders>
              <w:bottom w:val="single" w:sz="4" w:space="0" w:color="auto"/>
            </w:tcBorders>
          </w:tcPr>
          <w:p w14:paraId="0C950137" w14:textId="77777777" w:rsidR="00205264" w:rsidRPr="004223D6" w:rsidRDefault="00205264" w:rsidP="00205264">
            <w:pPr>
              <w:pStyle w:val="Neotevilenodstavek"/>
              <w:spacing w:before="0" w:after="0" w:line="240" w:lineRule="auto"/>
              <w:rPr>
                <w:bCs/>
              </w:rPr>
            </w:pPr>
            <w:r w:rsidRPr="004223D6">
              <w:rPr>
                <w:bCs/>
              </w:rPr>
              <w:t>dokumente razvojnega načrtovanja:</w:t>
            </w:r>
          </w:p>
          <w:p w14:paraId="4B5C5473" w14:textId="77777777" w:rsidR="00205264" w:rsidRPr="004223D6" w:rsidRDefault="00205264" w:rsidP="00205264">
            <w:pPr>
              <w:pStyle w:val="Neotevilenodstavek"/>
              <w:numPr>
                <w:ilvl w:val="0"/>
                <w:numId w:val="19"/>
              </w:numPr>
              <w:spacing w:before="0" w:after="0" w:line="240" w:lineRule="auto"/>
              <w:rPr>
                <w:bCs/>
              </w:rPr>
            </w:pPr>
            <w:r w:rsidRPr="004223D6">
              <w:rPr>
                <w:bCs/>
              </w:rPr>
              <w:t>nacionalne dokumente razvojnega načrtovanja</w:t>
            </w:r>
          </w:p>
          <w:p w14:paraId="3020A5D5" w14:textId="77777777" w:rsidR="00205264" w:rsidRPr="004223D6" w:rsidRDefault="00205264" w:rsidP="00205264">
            <w:pPr>
              <w:pStyle w:val="Neotevilenodstavek"/>
              <w:numPr>
                <w:ilvl w:val="0"/>
                <w:numId w:val="19"/>
              </w:numPr>
              <w:spacing w:before="0" w:after="0" w:line="240" w:lineRule="auto"/>
              <w:rPr>
                <w:bCs/>
              </w:rPr>
            </w:pPr>
            <w:r w:rsidRPr="004223D6">
              <w:rPr>
                <w:bCs/>
              </w:rPr>
              <w:t>razvojne politike na ravni programov po strukturi razvojne klasifikacije programskega proračuna</w:t>
            </w:r>
          </w:p>
          <w:p w14:paraId="6F869EFD" w14:textId="77777777" w:rsidR="00205264" w:rsidRPr="004223D6" w:rsidRDefault="00205264" w:rsidP="00205264">
            <w:pPr>
              <w:pStyle w:val="Neotevilenodstavek"/>
              <w:numPr>
                <w:ilvl w:val="0"/>
                <w:numId w:val="19"/>
              </w:numPr>
              <w:spacing w:before="0" w:after="0" w:line="240" w:lineRule="auto"/>
              <w:rPr>
                <w:bCs/>
              </w:rPr>
            </w:pPr>
            <w:r w:rsidRPr="004223D6">
              <w:rPr>
                <w:bCs/>
              </w:rPr>
              <w:t>razvojne dokumente Evropske unije in mednarodnih organizacij</w:t>
            </w:r>
          </w:p>
        </w:tc>
        <w:tc>
          <w:tcPr>
            <w:tcW w:w="2209" w:type="dxa"/>
            <w:tcBorders>
              <w:bottom w:val="single" w:sz="4" w:space="0" w:color="auto"/>
            </w:tcBorders>
            <w:vAlign w:val="center"/>
          </w:tcPr>
          <w:p w14:paraId="1A8E3C1C" w14:textId="77777777" w:rsidR="00205264" w:rsidRPr="004223D6" w:rsidRDefault="00205264" w:rsidP="00205264">
            <w:pPr>
              <w:pStyle w:val="Neotevilenodstavek"/>
              <w:spacing w:before="0" w:after="0" w:line="240" w:lineRule="auto"/>
              <w:jc w:val="center"/>
              <w:rPr>
                <w:iCs/>
              </w:rPr>
            </w:pPr>
            <w:r w:rsidRPr="004223D6">
              <w:t>NE</w:t>
            </w:r>
          </w:p>
        </w:tc>
      </w:tr>
      <w:tr w:rsidR="00205264" w:rsidRPr="004223D6" w14:paraId="711EC1D9" w14:textId="77777777" w:rsidTr="00205264">
        <w:tc>
          <w:tcPr>
            <w:tcW w:w="9214" w:type="dxa"/>
            <w:gridSpan w:val="4"/>
            <w:tcBorders>
              <w:top w:val="single" w:sz="4" w:space="0" w:color="auto"/>
              <w:left w:val="single" w:sz="4" w:space="0" w:color="auto"/>
              <w:bottom w:val="single" w:sz="4" w:space="0" w:color="auto"/>
              <w:right w:val="single" w:sz="4" w:space="0" w:color="auto"/>
            </w:tcBorders>
          </w:tcPr>
          <w:p w14:paraId="13E96BD7" w14:textId="77777777" w:rsidR="00205264" w:rsidRPr="004223D6" w:rsidRDefault="00205264" w:rsidP="00205264">
            <w:pPr>
              <w:pStyle w:val="Oddelek"/>
              <w:widowControl w:val="0"/>
              <w:numPr>
                <w:ilvl w:val="0"/>
                <w:numId w:val="0"/>
              </w:numPr>
              <w:spacing w:before="0" w:after="0" w:line="240" w:lineRule="auto"/>
              <w:jc w:val="left"/>
              <w:rPr>
                <w:rFonts w:cs="Arial"/>
              </w:rPr>
            </w:pPr>
            <w:proofErr w:type="spellStart"/>
            <w:r w:rsidRPr="004223D6">
              <w:rPr>
                <w:rFonts w:cs="Arial"/>
              </w:rPr>
              <w:t>7.a</w:t>
            </w:r>
            <w:proofErr w:type="spellEnd"/>
            <w:r w:rsidRPr="004223D6">
              <w:rPr>
                <w:rFonts w:cs="Arial"/>
              </w:rPr>
              <w:t xml:space="preserve"> Predstavitev ocene finančnih posledic nad 40.000 EUR:</w:t>
            </w:r>
          </w:p>
          <w:p w14:paraId="7CDACE06" w14:textId="77777777" w:rsidR="00205264" w:rsidRPr="004223D6" w:rsidRDefault="00205264" w:rsidP="00205264">
            <w:pPr>
              <w:pStyle w:val="Oddelek"/>
              <w:widowControl w:val="0"/>
              <w:numPr>
                <w:ilvl w:val="0"/>
                <w:numId w:val="0"/>
              </w:numPr>
              <w:spacing w:before="0" w:after="0" w:line="240" w:lineRule="auto"/>
              <w:jc w:val="left"/>
              <w:rPr>
                <w:rFonts w:cs="Arial"/>
                <w:b w:val="0"/>
              </w:rPr>
            </w:pPr>
            <w:r w:rsidRPr="004223D6">
              <w:rPr>
                <w:rFonts w:cs="Arial"/>
                <w:b w:val="0"/>
              </w:rPr>
              <w:t>(Samo če izberete DA pod točko 6.a.)</w:t>
            </w:r>
          </w:p>
        </w:tc>
      </w:tr>
      <w:tr w:rsidR="00205264" w:rsidRPr="004223D6" w14:paraId="413D01EA" w14:textId="77777777" w:rsidTr="00205264">
        <w:tc>
          <w:tcPr>
            <w:tcW w:w="9214" w:type="dxa"/>
            <w:gridSpan w:val="4"/>
            <w:tcBorders>
              <w:top w:val="single" w:sz="4" w:space="0" w:color="auto"/>
              <w:left w:val="single" w:sz="4" w:space="0" w:color="auto"/>
              <w:bottom w:val="single" w:sz="4" w:space="0" w:color="auto"/>
              <w:right w:val="single" w:sz="4" w:space="0" w:color="auto"/>
            </w:tcBorders>
          </w:tcPr>
          <w:p w14:paraId="43FFA3D5" w14:textId="77777777" w:rsidR="00205264" w:rsidRPr="004223D6" w:rsidRDefault="00205264" w:rsidP="00205264">
            <w:pPr>
              <w:pStyle w:val="Oddelek"/>
              <w:widowControl w:val="0"/>
              <w:numPr>
                <w:ilvl w:val="0"/>
                <w:numId w:val="0"/>
              </w:numPr>
              <w:spacing w:before="0" w:after="0" w:line="240" w:lineRule="auto"/>
              <w:jc w:val="left"/>
              <w:rPr>
                <w:rFonts w:cs="Arial"/>
              </w:rPr>
            </w:pPr>
          </w:p>
        </w:tc>
      </w:tr>
    </w:tbl>
    <w:p w14:paraId="6287C3C2" w14:textId="77777777" w:rsidR="00205264" w:rsidRPr="004223D6" w:rsidRDefault="00205264" w:rsidP="00205264">
      <w:pPr>
        <w:rPr>
          <w:lang w:val="sl-SI" w:eastAsia="sl-SI"/>
        </w:rPr>
      </w:pPr>
    </w:p>
    <w:p w14:paraId="406FDA50" w14:textId="77777777" w:rsidR="004D434D" w:rsidRPr="004223D6" w:rsidRDefault="004D434D" w:rsidP="00CE3440">
      <w:pPr>
        <w:rPr>
          <w:rFonts w:cs="Arial"/>
          <w:vanish/>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716"/>
        <w:gridCol w:w="1369"/>
        <w:gridCol w:w="535"/>
        <w:gridCol w:w="1252"/>
        <w:gridCol w:w="677"/>
        <w:gridCol w:w="342"/>
        <w:gridCol w:w="327"/>
        <w:gridCol w:w="1933"/>
      </w:tblGrid>
      <w:tr w:rsidR="004D434D" w:rsidRPr="004223D6" w14:paraId="738125D0" w14:textId="77777777" w:rsidTr="00B001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1700A9"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 I. Ocena finančnih posledic, ki niso načrtovane v sprejetem proračunu</w:t>
            </w:r>
          </w:p>
        </w:tc>
      </w:tr>
      <w:tr w:rsidR="00880043" w:rsidRPr="004223D6" w14:paraId="25F7BB2F" w14:textId="77777777" w:rsidTr="00375404">
        <w:trPr>
          <w:cantSplit/>
          <w:trHeight w:val="276"/>
        </w:trPr>
        <w:tc>
          <w:tcPr>
            <w:tcW w:w="2765" w:type="dxa"/>
            <w:gridSpan w:val="2"/>
            <w:tcBorders>
              <w:top w:val="single" w:sz="4" w:space="0" w:color="auto"/>
              <w:left w:val="single" w:sz="4" w:space="0" w:color="auto"/>
              <w:bottom w:val="single" w:sz="4" w:space="0" w:color="auto"/>
              <w:right w:val="single" w:sz="4" w:space="0" w:color="auto"/>
            </w:tcBorders>
            <w:vAlign w:val="center"/>
          </w:tcPr>
          <w:p w14:paraId="3C949546"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2B2F69E2"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Tekoče leto (t)</w:t>
            </w:r>
          </w:p>
        </w:tc>
        <w:tc>
          <w:tcPr>
            <w:tcW w:w="1252" w:type="dxa"/>
            <w:tcBorders>
              <w:top w:val="single" w:sz="4" w:space="0" w:color="auto"/>
              <w:left w:val="single" w:sz="4" w:space="0" w:color="auto"/>
              <w:bottom w:val="single" w:sz="4" w:space="0" w:color="auto"/>
              <w:right w:val="single" w:sz="4" w:space="0" w:color="auto"/>
            </w:tcBorders>
            <w:vAlign w:val="center"/>
          </w:tcPr>
          <w:p w14:paraId="54FDD991"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t + 1</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2990810B"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t + 2</w:t>
            </w:r>
          </w:p>
        </w:tc>
        <w:tc>
          <w:tcPr>
            <w:tcW w:w="1933" w:type="dxa"/>
            <w:tcBorders>
              <w:top w:val="single" w:sz="4" w:space="0" w:color="auto"/>
              <w:left w:val="single" w:sz="4" w:space="0" w:color="auto"/>
              <w:bottom w:val="single" w:sz="4" w:space="0" w:color="auto"/>
              <w:right w:val="single" w:sz="4" w:space="0" w:color="auto"/>
            </w:tcBorders>
            <w:vAlign w:val="center"/>
          </w:tcPr>
          <w:p w14:paraId="27B35605"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t + 3</w:t>
            </w:r>
          </w:p>
        </w:tc>
      </w:tr>
      <w:tr w:rsidR="00880043" w:rsidRPr="004223D6" w14:paraId="77BD3CD3"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2BD4CAD9" w14:textId="77777777" w:rsidR="004D434D" w:rsidRPr="004223D6" w:rsidRDefault="004D434D" w:rsidP="00CE3440">
            <w:pPr>
              <w:pStyle w:val="NormalBulleted"/>
              <w:numPr>
                <w:ilvl w:val="0"/>
                <w:numId w:val="0"/>
              </w:numPr>
              <w:spacing w:line="240" w:lineRule="auto"/>
              <w:ind w:left="360"/>
              <w:rPr>
                <w:rFonts w:ascii="Arial" w:hAnsi="Arial" w:cs="Arial"/>
                <w:bCs/>
              </w:rPr>
            </w:pPr>
            <w:r w:rsidRPr="004223D6">
              <w:rPr>
                <w:rFonts w:ascii="Arial" w:hAnsi="Arial" w:cs="Arial"/>
                <w:bCs/>
              </w:rPr>
              <w:t>Predvideno povečanje (+) ali zmanjšanje (</w:t>
            </w:r>
            <w:r w:rsidRPr="004223D6">
              <w:rPr>
                <w:rFonts w:ascii="Arial" w:hAnsi="Arial" w:cs="Arial"/>
                <w:b/>
              </w:rPr>
              <w:t>–</w:t>
            </w:r>
            <w:r w:rsidRPr="004223D6">
              <w:rPr>
                <w:rFonts w:ascii="Arial" w:hAnsi="Arial" w:cs="Arial"/>
                <w:bCs/>
              </w:rPr>
              <w:t xml:space="preserve">) prihodkov državnega proračuna </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1D76B955" w14:textId="77777777" w:rsidR="004D434D" w:rsidRPr="004223D6" w:rsidRDefault="004D434D" w:rsidP="00CE3440">
            <w:pPr>
              <w:pStyle w:val="NormalBulleted"/>
              <w:numPr>
                <w:ilvl w:val="0"/>
                <w:numId w:val="0"/>
              </w:numPr>
              <w:spacing w:line="240" w:lineRule="auto"/>
              <w:ind w:left="360"/>
              <w:rPr>
                <w:rFonts w:ascii="Arial" w:hAnsi="Arial" w:cs="Arial"/>
                <w:b/>
                <w:bCs/>
              </w:rPr>
            </w:pPr>
            <w:r w:rsidRPr="004223D6">
              <w:rPr>
                <w:rFonts w:ascii="Arial" w:hAnsi="Arial" w:cs="Arial"/>
                <w:b/>
                <w:bCs/>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14:paraId="6EB0A4D4"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09B046A4" w14:textId="77777777" w:rsidR="004D434D" w:rsidRPr="004223D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4A92AB2A" w14:textId="77777777" w:rsidR="004D434D" w:rsidRPr="004223D6" w:rsidRDefault="004D434D" w:rsidP="00CE3440">
            <w:pPr>
              <w:pStyle w:val="NormalBulleted"/>
              <w:numPr>
                <w:ilvl w:val="0"/>
                <w:numId w:val="0"/>
              </w:numPr>
              <w:spacing w:line="240" w:lineRule="auto"/>
              <w:ind w:left="360"/>
              <w:rPr>
                <w:rFonts w:ascii="Arial" w:hAnsi="Arial" w:cs="Arial"/>
                <w:b/>
              </w:rPr>
            </w:pPr>
          </w:p>
        </w:tc>
      </w:tr>
      <w:tr w:rsidR="00880043" w:rsidRPr="004223D6" w14:paraId="55640713"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31D3714D" w14:textId="77777777" w:rsidR="004D434D" w:rsidRPr="004223D6" w:rsidRDefault="004D434D" w:rsidP="00CE3440">
            <w:pPr>
              <w:pStyle w:val="NormalBulleted"/>
              <w:numPr>
                <w:ilvl w:val="0"/>
                <w:numId w:val="0"/>
              </w:numPr>
              <w:spacing w:line="240" w:lineRule="auto"/>
              <w:ind w:left="360"/>
              <w:rPr>
                <w:rFonts w:ascii="Arial" w:hAnsi="Arial" w:cs="Arial"/>
                <w:bCs/>
              </w:rPr>
            </w:pPr>
            <w:r w:rsidRPr="004223D6">
              <w:rPr>
                <w:rFonts w:ascii="Arial" w:hAnsi="Arial" w:cs="Arial"/>
                <w:bCs/>
              </w:rPr>
              <w:t>Predvideno povečanje (+) ali zmanjšanje (</w:t>
            </w:r>
            <w:r w:rsidRPr="004223D6">
              <w:rPr>
                <w:rFonts w:ascii="Arial" w:hAnsi="Arial" w:cs="Arial"/>
                <w:b/>
              </w:rPr>
              <w:t>–</w:t>
            </w:r>
            <w:r w:rsidRPr="004223D6">
              <w:rPr>
                <w:rFonts w:ascii="Arial" w:hAnsi="Arial" w:cs="Arial"/>
                <w:bCs/>
              </w:rPr>
              <w:t xml:space="preserve">) prihodkov občinskih proračunov </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17AE5A30"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252" w:type="dxa"/>
            <w:tcBorders>
              <w:top w:val="single" w:sz="4" w:space="0" w:color="auto"/>
              <w:left w:val="single" w:sz="4" w:space="0" w:color="auto"/>
              <w:bottom w:val="single" w:sz="4" w:space="0" w:color="auto"/>
              <w:right w:val="single" w:sz="4" w:space="0" w:color="auto"/>
            </w:tcBorders>
            <w:vAlign w:val="center"/>
          </w:tcPr>
          <w:p w14:paraId="16C6944B"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B33C534" w14:textId="77777777" w:rsidR="004D434D" w:rsidRPr="004223D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6C21526D" w14:textId="77777777" w:rsidR="004D434D" w:rsidRPr="004223D6" w:rsidRDefault="004D434D" w:rsidP="00CE3440">
            <w:pPr>
              <w:pStyle w:val="NormalBulleted"/>
              <w:numPr>
                <w:ilvl w:val="0"/>
                <w:numId w:val="0"/>
              </w:numPr>
              <w:spacing w:line="240" w:lineRule="auto"/>
              <w:ind w:left="360"/>
              <w:rPr>
                <w:rFonts w:ascii="Arial" w:hAnsi="Arial" w:cs="Arial"/>
                <w:b/>
              </w:rPr>
            </w:pPr>
          </w:p>
        </w:tc>
      </w:tr>
      <w:tr w:rsidR="00880043" w:rsidRPr="004223D6" w14:paraId="5D984333"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797037E5" w14:textId="77777777" w:rsidR="004D434D" w:rsidRPr="004223D6" w:rsidRDefault="004D434D" w:rsidP="00CE3440">
            <w:pPr>
              <w:pStyle w:val="NormalBulleted"/>
              <w:numPr>
                <w:ilvl w:val="0"/>
                <w:numId w:val="0"/>
              </w:numPr>
              <w:spacing w:line="240" w:lineRule="auto"/>
              <w:ind w:left="360"/>
              <w:rPr>
                <w:rFonts w:ascii="Arial" w:hAnsi="Arial" w:cs="Arial"/>
                <w:bCs/>
              </w:rPr>
            </w:pPr>
            <w:r w:rsidRPr="004223D6">
              <w:rPr>
                <w:rFonts w:ascii="Arial" w:hAnsi="Arial" w:cs="Arial"/>
                <w:bCs/>
              </w:rPr>
              <w:t>Predvideno povečanje (+) ali zmanjšanje (</w:t>
            </w:r>
            <w:r w:rsidRPr="004223D6">
              <w:rPr>
                <w:rFonts w:ascii="Arial" w:hAnsi="Arial" w:cs="Arial"/>
                <w:b/>
              </w:rPr>
              <w:t>–</w:t>
            </w:r>
            <w:r w:rsidRPr="004223D6">
              <w:rPr>
                <w:rFonts w:ascii="Arial" w:hAnsi="Arial" w:cs="Arial"/>
                <w:bCs/>
              </w:rPr>
              <w:t xml:space="preserve">) odhodkov državnega proračuna </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611D3DC8"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vAlign w:val="center"/>
          </w:tcPr>
          <w:p w14:paraId="39D80995"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2FF4707F"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vAlign w:val="center"/>
          </w:tcPr>
          <w:p w14:paraId="4F8C8A08" w14:textId="77777777" w:rsidR="004D434D" w:rsidRPr="004223D6" w:rsidRDefault="004D434D" w:rsidP="00CE3440">
            <w:pPr>
              <w:pStyle w:val="NormalBulleted"/>
              <w:numPr>
                <w:ilvl w:val="0"/>
                <w:numId w:val="0"/>
              </w:numPr>
              <w:spacing w:line="240" w:lineRule="auto"/>
              <w:ind w:left="360"/>
              <w:rPr>
                <w:rFonts w:ascii="Arial" w:hAnsi="Arial" w:cs="Arial"/>
              </w:rPr>
            </w:pPr>
          </w:p>
        </w:tc>
      </w:tr>
      <w:tr w:rsidR="00880043" w:rsidRPr="004223D6" w14:paraId="3406B324" w14:textId="77777777" w:rsidTr="00375404">
        <w:trPr>
          <w:cantSplit/>
          <w:trHeight w:val="6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3556E3C1" w14:textId="77777777" w:rsidR="004D434D" w:rsidRPr="004223D6" w:rsidRDefault="004D434D" w:rsidP="00CE3440">
            <w:pPr>
              <w:pStyle w:val="NormalBulleted"/>
              <w:numPr>
                <w:ilvl w:val="0"/>
                <w:numId w:val="0"/>
              </w:numPr>
              <w:spacing w:line="240" w:lineRule="auto"/>
              <w:ind w:left="360"/>
              <w:rPr>
                <w:rFonts w:ascii="Arial" w:hAnsi="Arial" w:cs="Arial"/>
                <w:bCs/>
              </w:rPr>
            </w:pPr>
            <w:r w:rsidRPr="004223D6">
              <w:rPr>
                <w:rFonts w:ascii="Arial" w:hAnsi="Arial" w:cs="Arial"/>
                <w:bCs/>
              </w:rPr>
              <w:t>Predvideno povečanje (+) ali zmanjšanje (</w:t>
            </w:r>
            <w:r w:rsidRPr="004223D6">
              <w:rPr>
                <w:rFonts w:ascii="Arial" w:hAnsi="Arial" w:cs="Arial"/>
                <w:b/>
              </w:rPr>
              <w:t>–</w:t>
            </w:r>
            <w:r w:rsidRPr="004223D6">
              <w:rPr>
                <w:rFonts w:ascii="Arial" w:hAnsi="Arial" w:cs="Arial"/>
                <w:bCs/>
              </w:rPr>
              <w:t>) odhodkov občinskih proračunov</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616C2FFD"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vAlign w:val="center"/>
          </w:tcPr>
          <w:p w14:paraId="0E79E4B0"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546FD5D"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vAlign w:val="center"/>
          </w:tcPr>
          <w:p w14:paraId="3F72D94A" w14:textId="77777777" w:rsidR="004D434D" w:rsidRPr="004223D6" w:rsidRDefault="004D434D" w:rsidP="00CE3440">
            <w:pPr>
              <w:pStyle w:val="NormalBulleted"/>
              <w:numPr>
                <w:ilvl w:val="0"/>
                <w:numId w:val="0"/>
              </w:numPr>
              <w:spacing w:line="240" w:lineRule="auto"/>
              <w:ind w:left="360"/>
              <w:rPr>
                <w:rFonts w:ascii="Arial" w:hAnsi="Arial" w:cs="Arial"/>
              </w:rPr>
            </w:pPr>
          </w:p>
        </w:tc>
      </w:tr>
      <w:tr w:rsidR="00880043" w:rsidRPr="004223D6" w14:paraId="6CC19CE3"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00133BF5" w14:textId="77777777" w:rsidR="004D434D" w:rsidRPr="004223D6" w:rsidRDefault="004D434D" w:rsidP="00CE3440">
            <w:pPr>
              <w:pStyle w:val="NormalBulleted"/>
              <w:numPr>
                <w:ilvl w:val="0"/>
                <w:numId w:val="0"/>
              </w:numPr>
              <w:spacing w:line="240" w:lineRule="auto"/>
              <w:ind w:left="360"/>
              <w:rPr>
                <w:rFonts w:ascii="Arial" w:hAnsi="Arial" w:cs="Arial"/>
                <w:bCs/>
              </w:rPr>
            </w:pPr>
            <w:r w:rsidRPr="004223D6">
              <w:rPr>
                <w:rFonts w:ascii="Arial" w:hAnsi="Arial" w:cs="Arial"/>
                <w:bCs/>
              </w:rPr>
              <w:t>Predvideno povečanje (+) ali zmanjšanje (</w:t>
            </w:r>
            <w:r w:rsidRPr="004223D6">
              <w:rPr>
                <w:rFonts w:ascii="Arial" w:hAnsi="Arial" w:cs="Arial"/>
                <w:b/>
              </w:rPr>
              <w:t>–</w:t>
            </w:r>
            <w:r w:rsidRPr="004223D6">
              <w:rPr>
                <w:rFonts w:ascii="Arial" w:hAnsi="Arial" w:cs="Arial"/>
                <w:bCs/>
              </w:rPr>
              <w:t>) obveznosti za druga javnofinančna sredstva</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7CEFCB3D"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252" w:type="dxa"/>
            <w:tcBorders>
              <w:top w:val="single" w:sz="4" w:space="0" w:color="auto"/>
              <w:left w:val="single" w:sz="4" w:space="0" w:color="auto"/>
              <w:bottom w:val="single" w:sz="4" w:space="0" w:color="auto"/>
              <w:right w:val="single" w:sz="4" w:space="0" w:color="auto"/>
            </w:tcBorders>
            <w:vAlign w:val="center"/>
          </w:tcPr>
          <w:p w14:paraId="1654EDEE"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3389402" w14:textId="77777777" w:rsidR="004D434D" w:rsidRPr="004223D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3C92F4AE" w14:textId="77777777" w:rsidR="004D434D" w:rsidRPr="004223D6" w:rsidRDefault="004D434D" w:rsidP="00CE3440">
            <w:pPr>
              <w:pStyle w:val="NormalBulleted"/>
              <w:numPr>
                <w:ilvl w:val="0"/>
                <w:numId w:val="0"/>
              </w:numPr>
              <w:spacing w:line="240" w:lineRule="auto"/>
              <w:ind w:left="360"/>
              <w:rPr>
                <w:rFonts w:ascii="Arial" w:hAnsi="Arial" w:cs="Arial"/>
                <w:b/>
              </w:rPr>
            </w:pPr>
          </w:p>
        </w:tc>
      </w:tr>
      <w:tr w:rsidR="004D434D" w:rsidRPr="004223D6" w14:paraId="2B0E63CF" w14:textId="77777777" w:rsidTr="00B001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AC9CF6"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 II. Finančne posledice za državni proračun</w:t>
            </w:r>
          </w:p>
        </w:tc>
      </w:tr>
      <w:tr w:rsidR="004D434D" w:rsidRPr="004223D6" w14:paraId="431CE19D" w14:textId="77777777" w:rsidTr="00B001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17B8E4"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 </w:t>
            </w:r>
            <w:proofErr w:type="spellStart"/>
            <w:r w:rsidRPr="004223D6">
              <w:rPr>
                <w:rFonts w:ascii="Arial" w:hAnsi="Arial" w:cs="Arial"/>
              </w:rPr>
              <w:t>II.a</w:t>
            </w:r>
            <w:proofErr w:type="spellEnd"/>
            <w:r w:rsidRPr="004223D6">
              <w:rPr>
                <w:rFonts w:ascii="Arial" w:hAnsi="Arial" w:cs="Arial"/>
              </w:rPr>
              <w:t xml:space="preserve"> Pravice porabe za izvedbo predlaganih rešitev so zagotovljene:</w:t>
            </w:r>
          </w:p>
        </w:tc>
      </w:tr>
      <w:tr w:rsidR="00880043" w:rsidRPr="004223D6" w14:paraId="5122EF02" w14:textId="77777777" w:rsidTr="00375404">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46081542"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Ime proračunskega uporabnika </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F245AEB"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Šifra in naziv ukrepa, projekta</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70C0D052"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Šifra in naziv proračunske postavke</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3004C9A9"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Znesek za tekoče leto (t)</w:t>
            </w:r>
          </w:p>
        </w:tc>
        <w:tc>
          <w:tcPr>
            <w:tcW w:w="1933" w:type="dxa"/>
            <w:tcBorders>
              <w:top w:val="single" w:sz="4" w:space="0" w:color="auto"/>
              <w:left w:val="single" w:sz="4" w:space="0" w:color="auto"/>
              <w:bottom w:val="single" w:sz="4" w:space="0" w:color="auto"/>
              <w:right w:val="single" w:sz="4" w:space="0" w:color="auto"/>
            </w:tcBorders>
            <w:vAlign w:val="center"/>
          </w:tcPr>
          <w:p w14:paraId="42B91337"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Znesek za t + 1</w:t>
            </w:r>
          </w:p>
        </w:tc>
      </w:tr>
      <w:tr w:rsidR="00880043" w:rsidRPr="004223D6" w14:paraId="50482A3D" w14:textId="77777777" w:rsidTr="00375404">
        <w:trPr>
          <w:cantSplit/>
          <w:trHeight w:val="328"/>
        </w:trPr>
        <w:tc>
          <w:tcPr>
            <w:tcW w:w="2049" w:type="dxa"/>
            <w:tcBorders>
              <w:top w:val="single" w:sz="4" w:space="0" w:color="auto"/>
              <w:left w:val="single" w:sz="4" w:space="0" w:color="auto"/>
              <w:bottom w:val="single" w:sz="4" w:space="0" w:color="auto"/>
              <w:right w:val="single" w:sz="4" w:space="0" w:color="auto"/>
            </w:tcBorders>
            <w:vAlign w:val="center"/>
          </w:tcPr>
          <w:p w14:paraId="44380B40"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51462D4"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6A202AEA"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F1B5348"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0656F02A" w14:textId="77777777" w:rsidR="004D434D" w:rsidRPr="004223D6" w:rsidRDefault="004D434D" w:rsidP="00CE3440">
            <w:pPr>
              <w:pStyle w:val="NormalBulleted"/>
              <w:numPr>
                <w:ilvl w:val="0"/>
                <w:numId w:val="0"/>
              </w:numPr>
              <w:spacing w:line="240" w:lineRule="auto"/>
              <w:ind w:left="360"/>
              <w:rPr>
                <w:rFonts w:ascii="Arial" w:hAnsi="Arial" w:cs="Arial"/>
                <w:b/>
                <w:bCs/>
              </w:rPr>
            </w:pPr>
          </w:p>
        </w:tc>
      </w:tr>
      <w:tr w:rsidR="00880043" w:rsidRPr="004223D6" w14:paraId="6AF39F9D" w14:textId="77777777" w:rsidTr="00375404">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7B893BBA"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5AC5390B"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B2A392E"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DE07FE9"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2898048F" w14:textId="77777777" w:rsidR="004D434D" w:rsidRPr="004223D6" w:rsidRDefault="004D434D" w:rsidP="00CE3440">
            <w:pPr>
              <w:pStyle w:val="NormalBulleted"/>
              <w:numPr>
                <w:ilvl w:val="0"/>
                <w:numId w:val="0"/>
              </w:numPr>
              <w:spacing w:line="240" w:lineRule="auto"/>
              <w:ind w:left="360"/>
              <w:rPr>
                <w:rFonts w:ascii="Arial" w:hAnsi="Arial" w:cs="Arial"/>
                <w:b/>
                <w:bCs/>
              </w:rPr>
            </w:pPr>
          </w:p>
        </w:tc>
      </w:tr>
      <w:tr w:rsidR="004D434D" w:rsidRPr="004223D6" w14:paraId="706F65A6" w14:textId="77777777" w:rsidTr="00375404">
        <w:trPr>
          <w:cantSplit/>
          <w:trHeight w:val="95"/>
        </w:trPr>
        <w:tc>
          <w:tcPr>
            <w:tcW w:w="5921" w:type="dxa"/>
            <w:gridSpan w:val="5"/>
            <w:tcBorders>
              <w:top w:val="single" w:sz="4" w:space="0" w:color="auto"/>
              <w:left w:val="single" w:sz="4" w:space="0" w:color="auto"/>
              <w:bottom w:val="single" w:sz="4" w:space="0" w:color="auto"/>
              <w:right w:val="single" w:sz="4" w:space="0" w:color="auto"/>
            </w:tcBorders>
            <w:vAlign w:val="center"/>
          </w:tcPr>
          <w:p w14:paraId="1F3F36AF"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 SKUPAJ</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72199BC" w14:textId="77777777" w:rsidR="004D434D" w:rsidRPr="004223D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3F13AA0C" w14:textId="77777777" w:rsidR="004D434D" w:rsidRPr="004223D6" w:rsidRDefault="004D434D" w:rsidP="00CE3440">
            <w:pPr>
              <w:pStyle w:val="NormalBulleted"/>
              <w:numPr>
                <w:ilvl w:val="0"/>
                <w:numId w:val="0"/>
              </w:numPr>
              <w:spacing w:line="240" w:lineRule="auto"/>
              <w:ind w:left="360"/>
              <w:rPr>
                <w:rFonts w:ascii="Arial" w:hAnsi="Arial" w:cs="Arial"/>
              </w:rPr>
            </w:pPr>
          </w:p>
        </w:tc>
      </w:tr>
      <w:tr w:rsidR="004D434D" w:rsidRPr="004223D6" w14:paraId="74EDF3A2" w14:textId="77777777" w:rsidTr="00B001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9B8298" w14:textId="77777777" w:rsidR="004D434D" w:rsidRPr="004223D6" w:rsidRDefault="004D434D" w:rsidP="00CE3440">
            <w:pPr>
              <w:pStyle w:val="NormalBulleted"/>
              <w:numPr>
                <w:ilvl w:val="0"/>
                <w:numId w:val="0"/>
              </w:numPr>
              <w:spacing w:line="240" w:lineRule="auto"/>
              <w:ind w:left="360"/>
              <w:rPr>
                <w:rFonts w:ascii="Arial" w:hAnsi="Arial" w:cs="Arial"/>
              </w:rPr>
            </w:pPr>
            <w:proofErr w:type="spellStart"/>
            <w:r w:rsidRPr="004223D6">
              <w:rPr>
                <w:rFonts w:ascii="Arial" w:hAnsi="Arial" w:cs="Arial"/>
              </w:rPr>
              <w:t>II.b</w:t>
            </w:r>
            <w:proofErr w:type="spellEnd"/>
            <w:r w:rsidRPr="004223D6">
              <w:rPr>
                <w:rFonts w:ascii="Arial" w:hAnsi="Arial" w:cs="Arial"/>
              </w:rPr>
              <w:t xml:space="preserve"> Manjkajoče pravice porabe bodo zagotovljene s prerazporeditvijo:</w:t>
            </w:r>
          </w:p>
        </w:tc>
      </w:tr>
      <w:tr w:rsidR="00880043" w:rsidRPr="004223D6" w14:paraId="1D71E9A6" w14:textId="77777777" w:rsidTr="00375404">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67A875C6"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lastRenderedPageBreak/>
              <w:t xml:space="preserve">Ime proračunskega uporabnika </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44BB2ABC"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Šifra in naziv ukrepa, projekta</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B634729"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Šifra in naziv proračunske postavke </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0AADDA12"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Znesek za tekoče leto (t)</w:t>
            </w:r>
          </w:p>
        </w:tc>
        <w:tc>
          <w:tcPr>
            <w:tcW w:w="1933" w:type="dxa"/>
            <w:tcBorders>
              <w:top w:val="single" w:sz="4" w:space="0" w:color="auto"/>
              <w:left w:val="single" w:sz="4" w:space="0" w:color="auto"/>
              <w:bottom w:val="single" w:sz="4" w:space="0" w:color="auto"/>
              <w:right w:val="single" w:sz="4" w:space="0" w:color="auto"/>
            </w:tcBorders>
            <w:vAlign w:val="center"/>
          </w:tcPr>
          <w:p w14:paraId="4A93A6C6"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Znesek za t + 1 </w:t>
            </w:r>
          </w:p>
        </w:tc>
      </w:tr>
      <w:tr w:rsidR="00880043" w:rsidRPr="004223D6" w14:paraId="6D04F395" w14:textId="77777777" w:rsidTr="00375404">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361D587A" w14:textId="77777777" w:rsidR="004D434D" w:rsidRPr="004223D6" w:rsidRDefault="004D434D" w:rsidP="00CE3440">
            <w:pPr>
              <w:pStyle w:val="NormalBulleted"/>
              <w:numPr>
                <w:ilvl w:val="0"/>
                <w:numId w:val="0"/>
              </w:numPr>
              <w:spacing w:line="240" w:lineRule="auto"/>
              <w:ind w:left="360"/>
              <w:rPr>
                <w:rFonts w:ascii="Arial" w:hAnsi="Arial" w:cs="Arial"/>
                <w:b/>
                <w:bCs/>
              </w:rPr>
            </w:pPr>
            <w:r w:rsidRPr="004223D6">
              <w:rPr>
                <w:rFonts w:ascii="Arial" w:hAnsi="Arial" w:cs="Arial"/>
                <w:b/>
                <w:bCs/>
              </w:rPr>
              <w:t xml:space="preserve"> </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1ED80BA0"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6142C1A7"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90C1D46"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40CBFF11" w14:textId="77777777" w:rsidR="004D434D" w:rsidRPr="004223D6" w:rsidRDefault="004D434D" w:rsidP="00CE3440">
            <w:pPr>
              <w:pStyle w:val="NormalBulleted"/>
              <w:numPr>
                <w:ilvl w:val="0"/>
                <w:numId w:val="0"/>
              </w:numPr>
              <w:spacing w:line="240" w:lineRule="auto"/>
              <w:ind w:left="360"/>
              <w:rPr>
                <w:rFonts w:ascii="Arial" w:hAnsi="Arial" w:cs="Arial"/>
                <w:b/>
                <w:bCs/>
              </w:rPr>
            </w:pPr>
          </w:p>
        </w:tc>
      </w:tr>
      <w:tr w:rsidR="00880043" w:rsidRPr="004223D6" w14:paraId="49D5CDAA" w14:textId="77777777" w:rsidTr="00375404">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7201951C"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41C24849"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55BEEC3"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42E38B4D" w14:textId="77777777" w:rsidR="004D434D" w:rsidRPr="004223D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2E63E85C" w14:textId="77777777" w:rsidR="004D434D" w:rsidRPr="004223D6" w:rsidRDefault="004D434D" w:rsidP="00CE3440">
            <w:pPr>
              <w:pStyle w:val="NormalBulleted"/>
              <w:numPr>
                <w:ilvl w:val="0"/>
                <w:numId w:val="0"/>
              </w:numPr>
              <w:spacing w:line="240" w:lineRule="auto"/>
              <w:ind w:left="360"/>
              <w:rPr>
                <w:rFonts w:ascii="Arial" w:hAnsi="Arial" w:cs="Arial"/>
                <w:b/>
                <w:bCs/>
              </w:rPr>
            </w:pPr>
          </w:p>
        </w:tc>
      </w:tr>
      <w:tr w:rsidR="004D434D" w:rsidRPr="004223D6" w14:paraId="115506B9" w14:textId="77777777" w:rsidTr="00375404">
        <w:trPr>
          <w:cantSplit/>
          <w:trHeight w:val="95"/>
        </w:trPr>
        <w:tc>
          <w:tcPr>
            <w:tcW w:w="5921" w:type="dxa"/>
            <w:gridSpan w:val="5"/>
            <w:tcBorders>
              <w:top w:val="single" w:sz="4" w:space="0" w:color="auto"/>
              <w:left w:val="single" w:sz="4" w:space="0" w:color="auto"/>
              <w:bottom w:val="single" w:sz="4" w:space="0" w:color="auto"/>
              <w:right w:val="single" w:sz="4" w:space="0" w:color="auto"/>
            </w:tcBorders>
            <w:vAlign w:val="center"/>
          </w:tcPr>
          <w:p w14:paraId="2A3FCE19"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 SKUPAJ</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CD258AA"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vAlign w:val="center"/>
          </w:tcPr>
          <w:p w14:paraId="5CA06BD1" w14:textId="77777777" w:rsidR="004D434D" w:rsidRPr="004223D6" w:rsidRDefault="004D434D" w:rsidP="00CE3440">
            <w:pPr>
              <w:pStyle w:val="NormalBulleted"/>
              <w:numPr>
                <w:ilvl w:val="0"/>
                <w:numId w:val="0"/>
              </w:numPr>
              <w:spacing w:line="240" w:lineRule="auto"/>
              <w:ind w:left="360"/>
              <w:rPr>
                <w:rFonts w:ascii="Arial" w:hAnsi="Arial" w:cs="Arial"/>
              </w:rPr>
            </w:pPr>
          </w:p>
        </w:tc>
      </w:tr>
      <w:tr w:rsidR="004D434D" w:rsidRPr="004223D6" w14:paraId="53EE5EAB" w14:textId="77777777" w:rsidTr="00B001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EF99DD"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 xml:space="preserve"> </w:t>
            </w:r>
            <w:proofErr w:type="spellStart"/>
            <w:r w:rsidRPr="004223D6">
              <w:rPr>
                <w:rFonts w:ascii="Arial" w:hAnsi="Arial" w:cs="Arial"/>
              </w:rPr>
              <w:t>II.c</w:t>
            </w:r>
            <w:proofErr w:type="spellEnd"/>
            <w:r w:rsidRPr="004223D6">
              <w:rPr>
                <w:rFonts w:ascii="Arial" w:hAnsi="Arial" w:cs="Arial"/>
              </w:rPr>
              <w:t xml:space="preserve"> Načrtovana nadomestitev zmanjšanih prihodkov in povečanih odhodkov proračuna:</w:t>
            </w:r>
          </w:p>
        </w:tc>
      </w:tr>
      <w:tr w:rsidR="004D434D" w:rsidRPr="004223D6" w14:paraId="4756ACEB" w14:textId="77777777" w:rsidTr="00375404">
        <w:trPr>
          <w:cantSplit/>
          <w:trHeight w:val="100"/>
        </w:trPr>
        <w:tc>
          <w:tcPr>
            <w:tcW w:w="4134" w:type="dxa"/>
            <w:gridSpan w:val="3"/>
            <w:tcBorders>
              <w:top w:val="single" w:sz="4" w:space="0" w:color="auto"/>
              <w:left w:val="single" w:sz="4" w:space="0" w:color="auto"/>
              <w:bottom w:val="single" w:sz="4" w:space="0" w:color="auto"/>
              <w:right w:val="single" w:sz="4" w:space="0" w:color="auto"/>
            </w:tcBorders>
            <w:vAlign w:val="center"/>
          </w:tcPr>
          <w:p w14:paraId="7AB2A67A"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Novi prihodki</w:t>
            </w: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32A986CA"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Znesek za tekoče leto (t)</w:t>
            </w: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2CA4BF96"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Znesek za t + 1</w:t>
            </w:r>
          </w:p>
        </w:tc>
      </w:tr>
      <w:tr w:rsidR="004D434D" w:rsidRPr="004223D6" w14:paraId="05809E40" w14:textId="77777777" w:rsidTr="00375404">
        <w:trPr>
          <w:cantSplit/>
          <w:trHeight w:val="95"/>
        </w:trPr>
        <w:tc>
          <w:tcPr>
            <w:tcW w:w="4134" w:type="dxa"/>
            <w:gridSpan w:val="3"/>
            <w:tcBorders>
              <w:top w:val="single" w:sz="4" w:space="0" w:color="auto"/>
              <w:left w:val="single" w:sz="4" w:space="0" w:color="auto"/>
              <w:bottom w:val="single" w:sz="4" w:space="0" w:color="auto"/>
              <w:right w:val="single" w:sz="4" w:space="0" w:color="auto"/>
            </w:tcBorders>
            <w:vAlign w:val="center"/>
          </w:tcPr>
          <w:p w14:paraId="025BBE61"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SKUPAJ</w:t>
            </w: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14A33ED2" w14:textId="77777777" w:rsidR="004D434D" w:rsidRPr="004223D6" w:rsidRDefault="004D434D" w:rsidP="00CE3440">
            <w:pPr>
              <w:pStyle w:val="NormalBulleted"/>
              <w:numPr>
                <w:ilvl w:val="0"/>
                <w:numId w:val="0"/>
              </w:numPr>
              <w:spacing w:line="240" w:lineRule="auto"/>
              <w:ind w:left="360"/>
              <w:rPr>
                <w:rFonts w:ascii="Arial" w:hAnsi="Arial" w:cs="Arial"/>
              </w:rPr>
            </w:pP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55ADBEE1" w14:textId="77777777" w:rsidR="004D434D" w:rsidRPr="004223D6" w:rsidRDefault="004D434D" w:rsidP="00CE3440">
            <w:pPr>
              <w:pStyle w:val="NormalBulleted"/>
              <w:numPr>
                <w:ilvl w:val="0"/>
                <w:numId w:val="0"/>
              </w:numPr>
              <w:spacing w:line="240" w:lineRule="auto"/>
              <w:ind w:left="360"/>
              <w:rPr>
                <w:rFonts w:ascii="Arial" w:hAnsi="Arial" w:cs="Arial"/>
              </w:rPr>
            </w:pPr>
          </w:p>
        </w:tc>
      </w:tr>
      <w:tr w:rsidR="004D434D" w:rsidRPr="004223D6" w14:paraId="12B666B5"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B77A5E" w14:textId="77777777" w:rsidR="004D434D" w:rsidRPr="004223D6" w:rsidRDefault="004D434D" w:rsidP="00CE3440">
            <w:pPr>
              <w:pStyle w:val="NormalBulleted"/>
              <w:numPr>
                <w:ilvl w:val="0"/>
                <w:numId w:val="0"/>
              </w:numPr>
              <w:spacing w:line="240" w:lineRule="auto"/>
              <w:ind w:left="360"/>
              <w:rPr>
                <w:rFonts w:ascii="Arial" w:hAnsi="Arial" w:cs="Arial"/>
              </w:rPr>
            </w:pPr>
            <w:proofErr w:type="spellStart"/>
            <w:r w:rsidRPr="004223D6">
              <w:rPr>
                <w:rFonts w:ascii="Arial" w:hAnsi="Arial" w:cs="Arial"/>
              </w:rPr>
              <w:t>7.b</w:t>
            </w:r>
            <w:proofErr w:type="spellEnd"/>
            <w:r w:rsidRPr="004223D6">
              <w:rPr>
                <w:rFonts w:ascii="Arial" w:hAnsi="Arial" w:cs="Arial"/>
              </w:rPr>
              <w:t xml:space="preserve"> Predstavitev ocene finančnih posledic pod 40.000 EUR:</w:t>
            </w:r>
          </w:p>
          <w:p w14:paraId="2ADE3BB2" w14:textId="77777777" w:rsidR="004D434D" w:rsidRPr="004223D6" w:rsidRDefault="004D434D" w:rsidP="00CE3440">
            <w:pPr>
              <w:pStyle w:val="NormalBulleted"/>
              <w:numPr>
                <w:ilvl w:val="0"/>
                <w:numId w:val="0"/>
              </w:numPr>
              <w:spacing w:line="240" w:lineRule="auto"/>
              <w:ind w:left="360"/>
              <w:rPr>
                <w:rFonts w:ascii="Arial" w:hAnsi="Arial" w:cs="Arial"/>
                <w:b/>
              </w:rPr>
            </w:pPr>
            <w:r w:rsidRPr="004223D6">
              <w:rPr>
                <w:rFonts w:ascii="Arial" w:hAnsi="Arial" w:cs="Arial"/>
                <w:b/>
              </w:rPr>
              <w:t>(Samo če izberete NE pod točko 6.a.)</w:t>
            </w:r>
          </w:p>
          <w:p w14:paraId="72507EFD" w14:textId="77777777" w:rsidR="004D434D" w:rsidRPr="004223D6" w:rsidRDefault="004D434D" w:rsidP="00CE3440">
            <w:pPr>
              <w:pStyle w:val="NormalBulleted"/>
              <w:numPr>
                <w:ilvl w:val="0"/>
                <w:numId w:val="0"/>
              </w:numPr>
              <w:spacing w:line="240" w:lineRule="auto"/>
              <w:ind w:left="360"/>
              <w:rPr>
                <w:rFonts w:ascii="Arial" w:hAnsi="Arial" w:cs="Arial"/>
                <w:b/>
              </w:rPr>
            </w:pPr>
            <w:r w:rsidRPr="004223D6">
              <w:rPr>
                <w:rFonts w:ascii="Arial" w:hAnsi="Arial" w:cs="Arial"/>
                <w:b/>
              </w:rPr>
              <w:t>Kratka obrazložitev</w:t>
            </w:r>
          </w:p>
          <w:p w14:paraId="2AA4E372" w14:textId="372DF5E8" w:rsidR="00473219" w:rsidRPr="004223D6" w:rsidRDefault="00473219" w:rsidP="00CE3440">
            <w:pPr>
              <w:pStyle w:val="NormalBulleted"/>
              <w:numPr>
                <w:ilvl w:val="0"/>
                <w:numId w:val="0"/>
              </w:numPr>
              <w:spacing w:line="240" w:lineRule="auto"/>
              <w:ind w:left="360"/>
              <w:rPr>
                <w:rFonts w:ascii="Arial" w:hAnsi="Arial" w:cs="Arial"/>
              </w:rPr>
            </w:pPr>
            <w:r w:rsidRPr="004223D6">
              <w:rPr>
                <w:rFonts w:ascii="Arial" w:hAnsi="Arial" w:cs="Arial"/>
              </w:rPr>
              <w:t>Ni finančnih posledic na podlagi predloženega vladnega gradiva</w:t>
            </w:r>
          </w:p>
        </w:tc>
      </w:tr>
      <w:tr w:rsidR="004D434D" w:rsidRPr="004223D6" w14:paraId="55AE4E41"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A8EDC82" w14:textId="77777777" w:rsidR="004D434D" w:rsidRPr="004223D6" w:rsidRDefault="004D434D" w:rsidP="00CE3440">
            <w:pPr>
              <w:pStyle w:val="NormalBulleted"/>
              <w:numPr>
                <w:ilvl w:val="0"/>
                <w:numId w:val="0"/>
              </w:numPr>
              <w:spacing w:line="240" w:lineRule="auto"/>
              <w:ind w:left="360"/>
              <w:rPr>
                <w:rFonts w:ascii="Arial" w:hAnsi="Arial" w:cs="Arial"/>
                <w:b/>
              </w:rPr>
            </w:pPr>
            <w:r w:rsidRPr="004223D6">
              <w:rPr>
                <w:rFonts w:ascii="Arial" w:hAnsi="Arial" w:cs="Arial"/>
                <w:b/>
              </w:rPr>
              <w:t>8. Predstavitev sodelovanja z združenji občin:</w:t>
            </w:r>
          </w:p>
        </w:tc>
      </w:tr>
      <w:tr w:rsidR="004D434D" w:rsidRPr="004223D6" w14:paraId="4D7AFAE3"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tcPr>
          <w:p w14:paraId="1AFCE42A"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Vsebina predloženega gradiva (predpisa) vpliva na:</w:t>
            </w:r>
          </w:p>
          <w:p w14:paraId="72C9DCD9"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pristojnosti občin,</w:t>
            </w:r>
          </w:p>
          <w:p w14:paraId="452A5682"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delovanje občin,</w:t>
            </w:r>
          </w:p>
          <w:p w14:paraId="0445A5CD"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financiranje občin.</w:t>
            </w:r>
          </w:p>
        </w:tc>
        <w:tc>
          <w:tcPr>
            <w:tcW w:w="2260" w:type="dxa"/>
            <w:gridSpan w:val="2"/>
          </w:tcPr>
          <w:p w14:paraId="7EF66483" w14:textId="77777777" w:rsidR="004D434D" w:rsidRPr="004223D6" w:rsidRDefault="004D434D" w:rsidP="00CE3440">
            <w:pPr>
              <w:pStyle w:val="NormalBulleted"/>
              <w:numPr>
                <w:ilvl w:val="0"/>
                <w:numId w:val="0"/>
              </w:numPr>
              <w:spacing w:line="240" w:lineRule="auto"/>
              <w:ind w:left="360"/>
              <w:rPr>
                <w:rFonts w:ascii="Arial" w:hAnsi="Arial" w:cs="Arial"/>
              </w:rPr>
            </w:pPr>
            <w:r w:rsidRPr="004223D6">
              <w:rPr>
                <w:rFonts w:ascii="Arial" w:hAnsi="Arial" w:cs="Arial"/>
              </w:rPr>
              <w:t>DA</w:t>
            </w:r>
            <w:r w:rsidRPr="004223D6">
              <w:rPr>
                <w:rFonts w:ascii="Arial" w:hAnsi="Arial" w:cs="Arial"/>
                <w:b/>
              </w:rPr>
              <w:t>/NE</w:t>
            </w:r>
          </w:p>
        </w:tc>
      </w:tr>
      <w:tr w:rsidR="004D434D" w:rsidRPr="004223D6" w14:paraId="31F930DE"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1F7B5B4"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 xml:space="preserve">Gradivo (predpis) je bilo poslano v mnenje: </w:t>
            </w:r>
          </w:p>
          <w:p w14:paraId="170268B3"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Skupnosti občin Slovenije SOS: DA/</w:t>
            </w:r>
            <w:r w:rsidRPr="004223D6">
              <w:rPr>
                <w:rFonts w:ascii="Arial" w:hAnsi="Arial" w:cs="Arial"/>
                <w:b/>
                <w:iCs/>
              </w:rPr>
              <w:t>NE</w:t>
            </w:r>
          </w:p>
          <w:p w14:paraId="5277583F"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Združenju občin Slovenije ZOS: DA/</w:t>
            </w:r>
            <w:r w:rsidRPr="004223D6">
              <w:rPr>
                <w:rFonts w:ascii="Arial" w:hAnsi="Arial" w:cs="Arial"/>
                <w:b/>
                <w:iCs/>
              </w:rPr>
              <w:t>NE</w:t>
            </w:r>
          </w:p>
          <w:p w14:paraId="478142BA"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Združenju mestnih občin Slovenije ZMOS:</w:t>
            </w:r>
            <w:r w:rsidRPr="004223D6">
              <w:rPr>
                <w:rFonts w:ascii="Arial" w:hAnsi="Arial" w:cs="Arial"/>
                <w:b/>
                <w:iCs/>
              </w:rPr>
              <w:t xml:space="preserve"> </w:t>
            </w:r>
            <w:r w:rsidRPr="004223D6">
              <w:rPr>
                <w:rFonts w:ascii="Arial" w:hAnsi="Arial" w:cs="Arial"/>
                <w:iCs/>
              </w:rPr>
              <w:t>DA/</w:t>
            </w:r>
            <w:r w:rsidRPr="004223D6">
              <w:rPr>
                <w:rFonts w:ascii="Arial" w:hAnsi="Arial" w:cs="Arial"/>
                <w:b/>
                <w:iCs/>
              </w:rPr>
              <w:t>NE</w:t>
            </w:r>
          </w:p>
          <w:p w14:paraId="44E9AB3E" w14:textId="77777777" w:rsidR="004D434D" w:rsidRPr="004223D6" w:rsidRDefault="004D434D" w:rsidP="00CE3440">
            <w:pPr>
              <w:pStyle w:val="NormalBulleted"/>
              <w:numPr>
                <w:ilvl w:val="0"/>
                <w:numId w:val="0"/>
              </w:numPr>
              <w:spacing w:line="240" w:lineRule="auto"/>
              <w:ind w:left="360"/>
              <w:rPr>
                <w:rFonts w:ascii="Arial" w:hAnsi="Arial" w:cs="Arial"/>
                <w:iCs/>
              </w:rPr>
            </w:pPr>
          </w:p>
          <w:p w14:paraId="535B42E9"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Predlogi in pripombe združenj so bili upoštevani:</w:t>
            </w:r>
          </w:p>
          <w:p w14:paraId="6F22D93B"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v celoti,</w:t>
            </w:r>
          </w:p>
          <w:p w14:paraId="26F49E8D"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večinoma,</w:t>
            </w:r>
          </w:p>
          <w:p w14:paraId="11735347"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delno,</w:t>
            </w:r>
          </w:p>
          <w:p w14:paraId="104E8C49"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niso bili upoštevani.</w:t>
            </w:r>
          </w:p>
          <w:p w14:paraId="3068768E" w14:textId="77777777" w:rsidR="004D434D" w:rsidRPr="004223D6" w:rsidRDefault="004D434D" w:rsidP="00CE3440">
            <w:pPr>
              <w:pStyle w:val="NormalBulleted"/>
              <w:numPr>
                <w:ilvl w:val="0"/>
                <w:numId w:val="0"/>
              </w:numPr>
              <w:spacing w:line="240" w:lineRule="auto"/>
              <w:ind w:left="360"/>
              <w:rPr>
                <w:rFonts w:ascii="Arial" w:hAnsi="Arial" w:cs="Arial"/>
                <w:iCs/>
              </w:rPr>
            </w:pPr>
          </w:p>
          <w:p w14:paraId="3298FB9B" w14:textId="77777777" w:rsidR="004D434D" w:rsidRPr="004223D6" w:rsidRDefault="004D434D" w:rsidP="00CE3440">
            <w:pPr>
              <w:pStyle w:val="NormalBulleted"/>
              <w:numPr>
                <w:ilvl w:val="0"/>
                <w:numId w:val="0"/>
              </w:numPr>
              <w:spacing w:line="240" w:lineRule="auto"/>
              <w:ind w:left="360"/>
              <w:rPr>
                <w:rFonts w:ascii="Arial" w:hAnsi="Arial" w:cs="Arial"/>
                <w:iCs/>
              </w:rPr>
            </w:pPr>
            <w:r w:rsidRPr="004223D6">
              <w:rPr>
                <w:rFonts w:ascii="Arial" w:hAnsi="Arial" w:cs="Arial"/>
                <w:iCs/>
              </w:rPr>
              <w:t>Bistveni predlogi in pripombe, ki niso bili upoštevani.</w:t>
            </w:r>
          </w:p>
        </w:tc>
      </w:tr>
      <w:tr w:rsidR="004D434D" w:rsidRPr="004223D6" w14:paraId="555A666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D47A08" w14:textId="77777777" w:rsidR="004D434D" w:rsidRPr="004223D6" w:rsidRDefault="004D434D" w:rsidP="00CE3440">
            <w:pPr>
              <w:pStyle w:val="Neotevilenodstavek"/>
              <w:widowControl w:val="0"/>
              <w:spacing w:before="0" w:after="0" w:line="240" w:lineRule="auto"/>
              <w:ind w:left="360"/>
              <w:jc w:val="left"/>
              <w:rPr>
                <w:b/>
              </w:rPr>
            </w:pPr>
            <w:r w:rsidRPr="004223D6">
              <w:rPr>
                <w:b/>
              </w:rPr>
              <w:t>9. Predstavitev sodelovanja javnosti:</w:t>
            </w:r>
          </w:p>
        </w:tc>
      </w:tr>
      <w:tr w:rsidR="004D434D" w:rsidRPr="004223D6" w14:paraId="76CB4203"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tcPr>
          <w:p w14:paraId="0816C9DF" w14:textId="77777777" w:rsidR="004D434D" w:rsidRPr="004223D6" w:rsidRDefault="004D434D" w:rsidP="00CE3440">
            <w:pPr>
              <w:pStyle w:val="Neotevilenodstavek"/>
              <w:widowControl w:val="0"/>
              <w:spacing w:before="0" w:after="0" w:line="240" w:lineRule="auto"/>
              <w:ind w:left="360"/>
            </w:pPr>
            <w:r w:rsidRPr="004223D6">
              <w:rPr>
                <w:iCs/>
              </w:rPr>
              <w:t>Gradivo je bilo predhodno objavljeno na spletni strani predlagatelja:</w:t>
            </w:r>
          </w:p>
        </w:tc>
        <w:tc>
          <w:tcPr>
            <w:tcW w:w="2260" w:type="dxa"/>
            <w:gridSpan w:val="2"/>
          </w:tcPr>
          <w:p w14:paraId="6D4B24AF" w14:textId="77777777" w:rsidR="004D434D" w:rsidRPr="004223D6" w:rsidRDefault="004D434D" w:rsidP="00CE3440">
            <w:pPr>
              <w:pStyle w:val="Neotevilenodstavek"/>
              <w:widowControl w:val="0"/>
              <w:spacing w:before="0" w:after="0" w:line="240" w:lineRule="auto"/>
              <w:ind w:left="360"/>
              <w:jc w:val="center"/>
              <w:rPr>
                <w:iCs/>
              </w:rPr>
            </w:pPr>
            <w:r w:rsidRPr="004223D6">
              <w:t>DA/</w:t>
            </w:r>
            <w:r w:rsidRPr="004223D6">
              <w:rPr>
                <w:b/>
              </w:rPr>
              <w:t>NE</w:t>
            </w:r>
          </w:p>
        </w:tc>
      </w:tr>
      <w:tr w:rsidR="004D434D" w:rsidRPr="004223D6" w14:paraId="7D305819"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B0516B" w14:textId="74AA9C5D" w:rsidR="004D434D" w:rsidRPr="004223D6" w:rsidRDefault="00B97E25" w:rsidP="00CE3440">
            <w:pPr>
              <w:pStyle w:val="Neotevilenodstavek"/>
              <w:widowControl w:val="0"/>
              <w:spacing w:before="0" w:after="0" w:line="240" w:lineRule="auto"/>
              <w:ind w:left="360"/>
              <w:rPr>
                <w:iCs/>
              </w:rPr>
            </w:pPr>
            <w:r w:rsidRPr="004223D6">
              <w:rPr>
                <w:iCs/>
              </w:rPr>
              <w:t>Sodelovanje javnosti upoštevaje 9. člen Poslovnika vlade RS ni potrebno.</w:t>
            </w:r>
          </w:p>
        </w:tc>
      </w:tr>
      <w:tr w:rsidR="004D434D" w:rsidRPr="004223D6" w14:paraId="3EB23021"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2B0BC61" w14:textId="77777777" w:rsidR="004D434D" w:rsidRPr="004223D6" w:rsidRDefault="004D434D" w:rsidP="00CE3440">
            <w:pPr>
              <w:pStyle w:val="Neotevilenodstavek"/>
              <w:widowControl w:val="0"/>
              <w:spacing w:before="0" w:after="0" w:line="240" w:lineRule="auto"/>
              <w:ind w:left="360"/>
              <w:rPr>
                <w:iCs/>
              </w:rPr>
            </w:pPr>
            <w:r w:rsidRPr="004223D6">
              <w:rPr>
                <w:iCs/>
              </w:rPr>
              <w:t>(Če je odgovor DA, navedite:</w:t>
            </w:r>
          </w:p>
          <w:p w14:paraId="1137B47A" w14:textId="77777777" w:rsidR="004D434D" w:rsidRPr="004223D6" w:rsidRDefault="004D434D" w:rsidP="00CE3440">
            <w:pPr>
              <w:pStyle w:val="Neotevilenodstavek"/>
              <w:widowControl w:val="0"/>
              <w:spacing w:before="0" w:after="0" w:line="240" w:lineRule="auto"/>
              <w:ind w:left="360"/>
              <w:rPr>
                <w:iCs/>
              </w:rPr>
            </w:pPr>
            <w:r w:rsidRPr="004223D6">
              <w:rPr>
                <w:iCs/>
              </w:rPr>
              <w:t>Datum objave: ………</w:t>
            </w:r>
          </w:p>
          <w:p w14:paraId="21135AA1" w14:textId="77777777" w:rsidR="004D434D" w:rsidRPr="004223D6" w:rsidRDefault="004D434D" w:rsidP="00CE3440">
            <w:pPr>
              <w:pStyle w:val="Neotevilenodstavek"/>
              <w:widowControl w:val="0"/>
              <w:spacing w:before="0" w:after="0" w:line="240" w:lineRule="auto"/>
              <w:ind w:left="360"/>
              <w:rPr>
                <w:iCs/>
              </w:rPr>
            </w:pPr>
            <w:r w:rsidRPr="004223D6">
              <w:rPr>
                <w:iCs/>
              </w:rPr>
              <w:t xml:space="preserve">V razpravo so bili vključeni: </w:t>
            </w:r>
          </w:p>
          <w:p w14:paraId="7E888FB4" w14:textId="77777777" w:rsidR="004D434D" w:rsidRPr="004223D6" w:rsidRDefault="004D434D" w:rsidP="00CE3440">
            <w:pPr>
              <w:pStyle w:val="Neotevilenodstavek"/>
              <w:widowControl w:val="0"/>
              <w:spacing w:before="0" w:after="0" w:line="240" w:lineRule="auto"/>
              <w:ind w:left="360"/>
              <w:rPr>
                <w:iCs/>
              </w:rPr>
            </w:pPr>
            <w:r w:rsidRPr="004223D6">
              <w:rPr>
                <w:iCs/>
              </w:rPr>
              <w:t xml:space="preserve">nevladne organizacije, </w:t>
            </w:r>
          </w:p>
          <w:p w14:paraId="57FDD597" w14:textId="77777777" w:rsidR="004D434D" w:rsidRPr="004223D6" w:rsidRDefault="004D434D" w:rsidP="00CE3440">
            <w:pPr>
              <w:pStyle w:val="Neotevilenodstavek"/>
              <w:widowControl w:val="0"/>
              <w:spacing w:before="0" w:after="0" w:line="240" w:lineRule="auto"/>
              <w:ind w:left="360"/>
              <w:rPr>
                <w:iCs/>
              </w:rPr>
            </w:pPr>
            <w:r w:rsidRPr="004223D6">
              <w:rPr>
                <w:iCs/>
              </w:rPr>
              <w:t>predstavniki zainteresirane javnosti,</w:t>
            </w:r>
          </w:p>
          <w:p w14:paraId="3FF7DC98" w14:textId="60370E0E" w:rsidR="004D434D" w:rsidRPr="004223D6" w:rsidRDefault="004D434D" w:rsidP="00CE3440">
            <w:pPr>
              <w:pStyle w:val="Neotevilenodstavek"/>
              <w:widowControl w:val="0"/>
              <w:spacing w:before="0" w:after="0" w:line="240" w:lineRule="auto"/>
              <w:ind w:left="360"/>
              <w:rPr>
                <w:iCs/>
              </w:rPr>
            </w:pPr>
            <w:r w:rsidRPr="004223D6">
              <w:rPr>
                <w:iCs/>
              </w:rPr>
              <w:t>predstavniki strokovne javnosti.</w:t>
            </w:r>
          </w:p>
          <w:p w14:paraId="3B231045" w14:textId="77777777" w:rsidR="00A94397" w:rsidRPr="004223D6" w:rsidRDefault="00A94397" w:rsidP="00CE3440">
            <w:pPr>
              <w:pStyle w:val="Neotevilenodstavek"/>
              <w:widowControl w:val="0"/>
              <w:spacing w:before="0" w:after="0" w:line="240" w:lineRule="auto"/>
              <w:ind w:left="360"/>
              <w:rPr>
                <w:iCs/>
              </w:rPr>
            </w:pPr>
          </w:p>
          <w:p w14:paraId="1BBD6C52" w14:textId="77777777" w:rsidR="004D434D" w:rsidRPr="004223D6" w:rsidRDefault="004D434D" w:rsidP="00CE3440">
            <w:pPr>
              <w:pStyle w:val="Neotevilenodstavek"/>
              <w:widowControl w:val="0"/>
              <w:spacing w:before="0" w:after="0" w:line="240" w:lineRule="auto"/>
              <w:ind w:left="360"/>
              <w:rPr>
                <w:iCs/>
              </w:rPr>
            </w:pPr>
            <w:r w:rsidRPr="004223D6">
              <w:rPr>
                <w:iCs/>
              </w:rPr>
              <w:t xml:space="preserve">Mnenja, predlogi in pripombe z navedbo predlagateljev </w:t>
            </w:r>
            <w:r w:rsidRPr="004223D6">
              <w:rPr>
                <w:color w:val="000000"/>
              </w:rPr>
              <w:t>(imen in priimkov fizičnih oseb, ki niso poslovni subjekti, ne navajajte</w:t>
            </w:r>
            <w:r w:rsidRPr="004223D6">
              <w:rPr>
                <w:iCs/>
              </w:rPr>
              <w:t>):</w:t>
            </w:r>
          </w:p>
          <w:p w14:paraId="4CF15882" w14:textId="77777777" w:rsidR="004D434D" w:rsidRPr="004223D6" w:rsidRDefault="004D434D" w:rsidP="00CE3440">
            <w:pPr>
              <w:pStyle w:val="Neotevilenodstavek"/>
              <w:widowControl w:val="0"/>
              <w:spacing w:before="0" w:after="0" w:line="240" w:lineRule="auto"/>
              <w:rPr>
                <w:iCs/>
              </w:rPr>
            </w:pPr>
          </w:p>
          <w:p w14:paraId="61DD6172" w14:textId="77777777" w:rsidR="004D434D" w:rsidRPr="004223D6" w:rsidRDefault="004D434D" w:rsidP="00CE3440">
            <w:pPr>
              <w:pStyle w:val="Neotevilenodstavek"/>
              <w:widowControl w:val="0"/>
              <w:spacing w:before="0" w:after="0" w:line="240" w:lineRule="auto"/>
              <w:ind w:left="360"/>
              <w:rPr>
                <w:iCs/>
              </w:rPr>
            </w:pPr>
            <w:r w:rsidRPr="004223D6">
              <w:rPr>
                <w:iCs/>
              </w:rPr>
              <w:t>Upoštevani so bili:</w:t>
            </w:r>
          </w:p>
          <w:p w14:paraId="04F033AD" w14:textId="77777777" w:rsidR="004D434D" w:rsidRPr="004223D6" w:rsidRDefault="004D434D" w:rsidP="00CE3440">
            <w:pPr>
              <w:pStyle w:val="Neotevilenodstavek"/>
              <w:widowControl w:val="0"/>
              <w:spacing w:before="0" w:after="0" w:line="240" w:lineRule="auto"/>
              <w:ind w:left="360"/>
              <w:rPr>
                <w:iCs/>
              </w:rPr>
            </w:pPr>
            <w:r w:rsidRPr="004223D6">
              <w:rPr>
                <w:iCs/>
              </w:rPr>
              <w:t>v celoti,</w:t>
            </w:r>
          </w:p>
          <w:p w14:paraId="0DFB1E7C" w14:textId="77777777" w:rsidR="004D434D" w:rsidRPr="004223D6" w:rsidRDefault="004D434D" w:rsidP="00CE3440">
            <w:pPr>
              <w:pStyle w:val="Neotevilenodstavek"/>
              <w:widowControl w:val="0"/>
              <w:spacing w:before="0" w:after="0" w:line="240" w:lineRule="auto"/>
              <w:ind w:left="360"/>
              <w:rPr>
                <w:iCs/>
              </w:rPr>
            </w:pPr>
            <w:r w:rsidRPr="004223D6">
              <w:rPr>
                <w:iCs/>
              </w:rPr>
              <w:t>večinoma,</w:t>
            </w:r>
          </w:p>
          <w:p w14:paraId="75CD3C15" w14:textId="77777777" w:rsidR="004D434D" w:rsidRPr="004223D6" w:rsidRDefault="004D434D" w:rsidP="00CE3440">
            <w:pPr>
              <w:pStyle w:val="Neotevilenodstavek"/>
              <w:widowControl w:val="0"/>
              <w:spacing w:before="0" w:after="0" w:line="240" w:lineRule="auto"/>
              <w:ind w:left="360"/>
              <w:rPr>
                <w:iCs/>
              </w:rPr>
            </w:pPr>
            <w:r w:rsidRPr="004223D6">
              <w:rPr>
                <w:iCs/>
              </w:rPr>
              <w:t>delno,</w:t>
            </w:r>
          </w:p>
          <w:p w14:paraId="5D86E4F1" w14:textId="77777777" w:rsidR="004D434D" w:rsidRPr="004223D6" w:rsidRDefault="004D434D" w:rsidP="00CE3440">
            <w:pPr>
              <w:pStyle w:val="Neotevilenodstavek"/>
              <w:widowControl w:val="0"/>
              <w:spacing w:before="0" w:after="0" w:line="240" w:lineRule="auto"/>
              <w:ind w:left="360"/>
              <w:rPr>
                <w:iCs/>
              </w:rPr>
            </w:pPr>
            <w:r w:rsidRPr="004223D6">
              <w:rPr>
                <w:iCs/>
              </w:rPr>
              <w:t>niso bili upoštevani.</w:t>
            </w:r>
          </w:p>
          <w:p w14:paraId="1B09E05F" w14:textId="77777777" w:rsidR="004D434D" w:rsidRPr="004223D6" w:rsidRDefault="004D434D" w:rsidP="00CE3440">
            <w:pPr>
              <w:pStyle w:val="Neotevilenodstavek"/>
              <w:widowControl w:val="0"/>
              <w:spacing w:before="0" w:after="0" w:line="240" w:lineRule="auto"/>
              <w:rPr>
                <w:iCs/>
              </w:rPr>
            </w:pPr>
          </w:p>
          <w:p w14:paraId="64F168C9" w14:textId="77777777" w:rsidR="004D434D" w:rsidRPr="004223D6" w:rsidRDefault="004D434D" w:rsidP="00CE3440">
            <w:pPr>
              <w:pStyle w:val="Neotevilenodstavek"/>
              <w:widowControl w:val="0"/>
              <w:spacing w:before="0" w:after="0" w:line="240" w:lineRule="auto"/>
              <w:ind w:left="360"/>
              <w:rPr>
                <w:iCs/>
              </w:rPr>
            </w:pPr>
            <w:r w:rsidRPr="004223D6">
              <w:rPr>
                <w:iCs/>
              </w:rPr>
              <w:t>Bistvena mnenja, predlogi in pripombe, ki niso bili upoštevani, ter razlogi za neupoštevanje:</w:t>
            </w:r>
          </w:p>
          <w:p w14:paraId="1C4DE3C7" w14:textId="77777777" w:rsidR="004D434D" w:rsidRPr="004223D6" w:rsidRDefault="004D434D" w:rsidP="00CE3440">
            <w:pPr>
              <w:pStyle w:val="Neotevilenodstavek"/>
              <w:widowControl w:val="0"/>
              <w:spacing w:before="0" w:after="0" w:line="240" w:lineRule="auto"/>
              <w:rPr>
                <w:iCs/>
              </w:rPr>
            </w:pPr>
          </w:p>
          <w:p w14:paraId="73280D53" w14:textId="77777777" w:rsidR="004D434D" w:rsidRPr="004223D6" w:rsidRDefault="004D434D" w:rsidP="00CE3440">
            <w:pPr>
              <w:pStyle w:val="Neotevilenodstavek"/>
              <w:widowControl w:val="0"/>
              <w:spacing w:before="0" w:after="0" w:line="240" w:lineRule="auto"/>
              <w:ind w:left="360"/>
              <w:rPr>
                <w:iCs/>
              </w:rPr>
            </w:pPr>
            <w:r w:rsidRPr="004223D6">
              <w:rPr>
                <w:iCs/>
              </w:rPr>
              <w:t>Poročilo je bilo dano ……………..</w:t>
            </w:r>
          </w:p>
          <w:p w14:paraId="629426A8" w14:textId="77777777" w:rsidR="004D434D" w:rsidRPr="004223D6" w:rsidRDefault="004D434D" w:rsidP="00CE3440">
            <w:pPr>
              <w:pStyle w:val="Neotevilenodstavek"/>
              <w:widowControl w:val="0"/>
              <w:spacing w:before="0" w:after="0" w:line="240" w:lineRule="auto"/>
              <w:rPr>
                <w:iCs/>
              </w:rPr>
            </w:pPr>
          </w:p>
          <w:p w14:paraId="689BDE75" w14:textId="77777777" w:rsidR="004D434D" w:rsidRPr="004223D6" w:rsidRDefault="004D434D" w:rsidP="00CE3440">
            <w:pPr>
              <w:pStyle w:val="Neotevilenodstavek"/>
              <w:widowControl w:val="0"/>
              <w:spacing w:before="0" w:after="0" w:line="240" w:lineRule="auto"/>
              <w:ind w:left="360"/>
              <w:rPr>
                <w:iCs/>
              </w:rPr>
            </w:pPr>
            <w:r w:rsidRPr="004223D6">
              <w:rPr>
                <w:iCs/>
              </w:rPr>
              <w:t>Javnost je bila vključena v pripravo gradiva v skladu z Zakonom o …, kar je navedeno v predlogu predpisa.)</w:t>
            </w:r>
          </w:p>
        </w:tc>
      </w:tr>
      <w:tr w:rsidR="004D434D" w:rsidRPr="004223D6" w14:paraId="7DFE80FC"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vAlign w:val="center"/>
          </w:tcPr>
          <w:p w14:paraId="54ED44F8" w14:textId="77777777" w:rsidR="004D434D" w:rsidRPr="004223D6" w:rsidRDefault="004D434D" w:rsidP="00CE3440">
            <w:pPr>
              <w:pStyle w:val="Neotevilenodstavek"/>
              <w:widowControl w:val="0"/>
              <w:spacing w:before="0" w:after="0" w:line="240" w:lineRule="auto"/>
              <w:ind w:left="360"/>
              <w:jc w:val="left"/>
            </w:pPr>
            <w:r w:rsidRPr="004223D6">
              <w:rPr>
                <w:b/>
              </w:rPr>
              <w:lastRenderedPageBreak/>
              <w:t>10. Pri pripravi gradiva so bile upoštevane zahteve iz Resolucije o normativni dejavnosti:</w:t>
            </w:r>
          </w:p>
        </w:tc>
        <w:tc>
          <w:tcPr>
            <w:tcW w:w="2260" w:type="dxa"/>
            <w:gridSpan w:val="2"/>
            <w:vAlign w:val="center"/>
          </w:tcPr>
          <w:p w14:paraId="2D7BB5E9" w14:textId="77777777" w:rsidR="004D434D" w:rsidRPr="004223D6" w:rsidRDefault="004D434D" w:rsidP="00CE3440">
            <w:pPr>
              <w:pStyle w:val="Neotevilenodstavek"/>
              <w:widowControl w:val="0"/>
              <w:spacing w:before="0" w:after="0" w:line="240" w:lineRule="auto"/>
              <w:ind w:left="360"/>
              <w:jc w:val="center"/>
              <w:rPr>
                <w:iCs/>
              </w:rPr>
            </w:pPr>
            <w:r w:rsidRPr="004223D6">
              <w:t>DA/</w:t>
            </w:r>
            <w:r w:rsidRPr="004223D6">
              <w:rPr>
                <w:b/>
              </w:rPr>
              <w:t>NE</w:t>
            </w:r>
          </w:p>
        </w:tc>
      </w:tr>
      <w:tr w:rsidR="004D434D" w:rsidRPr="004223D6" w14:paraId="33C5AA99"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vAlign w:val="center"/>
          </w:tcPr>
          <w:p w14:paraId="27A73F7B" w14:textId="77777777" w:rsidR="004D434D" w:rsidRPr="004223D6" w:rsidRDefault="004D434D" w:rsidP="00CE3440">
            <w:pPr>
              <w:pStyle w:val="Neotevilenodstavek"/>
              <w:widowControl w:val="0"/>
              <w:spacing w:before="0" w:after="0" w:line="240" w:lineRule="auto"/>
              <w:ind w:left="360"/>
              <w:jc w:val="left"/>
              <w:rPr>
                <w:b/>
              </w:rPr>
            </w:pPr>
            <w:r w:rsidRPr="004223D6">
              <w:rPr>
                <w:b/>
              </w:rPr>
              <w:t>11. Gradivo je uvrščeno v delovni program vlade:</w:t>
            </w:r>
          </w:p>
        </w:tc>
        <w:tc>
          <w:tcPr>
            <w:tcW w:w="2260" w:type="dxa"/>
            <w:gridSpan w:val="2"/>
            <w:vAlign w:val="center"/>
          </w:tcPr>
          <w:p w14:paraId="563B15F1" w14:textId="77777777" w:rsidR="004D434D" w:rsidRPr="004223D6" w:rsidRDefault="004D434D" w:rsidP="00CE3440">
            <w:pPr>
              <w:pStyle w:val="Neotevilenodstavek"/>
              <w:widowControl w:val="0"/>
              <w:spacing w:before="0" w:after="0" w:line="240" w:lineRule="auto"/>
              <w:ind w:left="360"/>
              <w:jc w:val="center"/>
            </w:pPr>
            <w:r w:rsidRPr="004223D6">
              <w:t>DA/</w:t>
            </w:r>
            <w:r w:rsidRPr="004223D6">
              <w:rPr>
                <w:b/>
              </w:rPr>
              <w:t>NE</w:t>
            </w:r>
          </w:p>
        </w:tc>
      </w:tr>
      <w:tr w:rsidR="004D434D" w:rsidRPr="004223D6" w14:paraId="6CD61C4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12E8693" w14:textId="77777777" w:rsidR="004D434D" w:rsidRPr="004223D6" w:rsidRDefault="004D434D" w:rsidP="00CE3440">
            <w:pPr>
              <w:pStyle w:val="Poglavje"/>
              <w:widowControl w:val="0"/>
              <w:spacing w:before="0" w:after="0" w:line="240" w:lineRule="auto"/>
              <w:ind w:left="360"/>
              <w:jc w:val="left"/>
            </w:pPr>
          </w:p>
          <w:p w14:paraId="30ED8AD2" w14:textId="77777777" w:rsidR="004D434D" w:rsidRPr="004223D6" w:rsidRDefault="004D434D" w:rsidP="00CE3440">
            <w:pPr>
              <w:pStyle w:val="Poglavje"/>
              <w:widowControl w:val="0"/>
              <w:spacing w:before="0" w:after="0" w:line="240" w:lineRule="auto"/>
              <w:ind w:left="6372"/>
              <w:jc w:val="left"/>
            </w:pPr>
            <w:r w:rsidRPr="004223D6">
              <w:t>Zdravko Počivalšek</w:t>
            </w:r>
          </w:p>
          <w:p w14:paraId="3E917526" w14:textId="77777777" w:rsidR="004D434D" w:rsidRPr="004223D6" w:rsidRDefault="004D434D" w:rsidP="00CE3440">
            <w:pPr>
              <w:pStyle w:val="Poglavje"/>
              <w:widowControl w:val="0"/>
              <w:spacing w:before="0" w:after="0" w:line="240" w:lineRule="auto"/>
              <w:ind w:left="6372"/>
              <w:jc w:val="left"/>
            </w:pPr>
            <w:r w:rsidRPr="004223D6">
              <w:t xml:space="preserve">Minister </w:t>
            </w:r>
          </w:p>
          <w:p w14:paraId="090DADED" w14:textId="5726AF31" w:rsidR="00387004" w:rsidRPr="004223D6" w:rsidRDefault="00387004" w:rsidP="00993BFC">
            <w:pPr>
              <w:pStyle w:val="Poglavje"/>
              <w:widowControl w:val="0"/>
              <w:spacing w:before="0" w:after="0" w:line="240" w:lineRule="auto"/>
              <w:jc w:val="left"/>
            </w:pPr>
          </w:p>
        </w:tc>
      </w:tr>
    </w:tbl>
    <w:p w14:paraId="3D63D32A" w14:textId="217CFFC8" w:rsidR="00222F23" w:rsidRDefault="00222F23" w:rsidP="00CE3440">
      <w:pPr>
        <w:spacing w:after="240"/>
        <w:jc w:val="center"/>
        <w:rPr>
          <w:rFonts w:cs="Arial"/>
          <w:b/>
          <w:lang w:val="sl-SI" w:eastAsia="sl-SI"/>
        </w:rPr>
      </w:pPr>
    </w:p>
    <w:p w14:paraId="536D4FCE" w14:textId="77777777" w:rsidR="00222F23" w:rsidRDefault="00222F23">
      <w:pPr>
        <w:spacing w:after="160" w:line="259" w:lineRule="auto"/>
        <w:rPr>
          <w:rFonts w:cs="Arial"/>
          <w:b/>
          <w:lang w:val="sl-SI" w:eastAsia="sl-SI"/>
        </w:rPr>
      </w:pPr>
      <w:r>
        <w:rPr>
          <w:rFonts w:cs="Arial"/>
          <w:b/>
          <w:lang w:val="sl-SI" w:eastAsia="sl-SI"/>
        </w:rPr>
        <w:br w:type="page"/>
      </w:r>
    </w:p>
    <w:p w14:paraId="253EE791" w14:textId="0EE57278" w:rsidR="00222F23" w:rsidRDefault="00222F23" w:rsidP="00222F23">
      <w:pPr>
        <w:rPr>
          <w:rFonts w:cs="Arial"/>
          <w:sz w:val="20"/>
          <w:szCs w:val="20"/>
        </w:rPr>
      </w:pPr>
    </w:p>
    <w:p w14:paraId="13650FB5" w14:textId="08A75366" w:rsidR="00222F23" w:rsidRDefault="00D32177" w:rsidP="00D32177">
      <w:pPr>
        <w:jc w:val="right"/>
        <w:rPr>
          <w:rFonts w:cs="Arial"/>
          <w:b/>
          <w:bCs/>
          <w:szCs w:val="20"/>
        </w:rPr>
      </w:pPr>
      <w:r w:rsidRPr="000C57E1">
        <w:rPr>
          <w:rFonts w:cs="Arial"/>
          <w:b/>
          <w:bCs/>
          <w:szCs w:val="20"/>
        </w:rPr>
        <w:t>PREDLOG SKLEPA</w:t>
      </w:r>
    </w:p>
    <w:p w14:paraId="16372615" w14:textId="77777777" w:rsidR="00D32177" w:rsidRDefault="00D32177" w:rsidP="00222F23">
      <w:pPr>
        <w:rPr>
          <w:rFonts w:cs="Arial"/>
          <w:sz w:val="20"/>
          <w:szCs w:val="20"/>
        </w:rPr>
      </w:pPr>
      <w:bookmarkStart w:id="0" w:name="_GoBack"/>
      <w:bookmarkEnd w:id="0"/>
    </w:p>
    <w:p w14:paraId="312DC675" w14:textId="305A68F6" w:rsidR="00222F23" w:rsidRPr="004223D6" w:rsidRDefault="00222F23" w:rsidP="00222F23">
      <w:pPr>
        <w:framePr w:hSpace="141" w:wrap="around" w:vAnchor="text" w:hAnchor="margin" w:y="89"/>
        <w:widowControl w:val="0"/>
        <w:suppressAutoHyphens/>
        <w:jc w:val="both"/>
        <w:rPr>
          <w:rFonts w:cs="Arial"/>
          <w:szCs w:val="22"/>
          <w:lang w:val="sl-SI" w:eastAsia="ar-SA"/>
        </w:rPr>
      </w:pPr>
      <w:r w:rsidRPr="004223D6">
        <w:rPr>
          <w:rFonts w:cs="Arial"/>
          <w:szCs w:val="22"/>
          <w:lang w:val="sl-SI" w:eastAsia="ar-SA"/>
        </w:rPr>
        <w:t>Na podlagi</w:t>
      </w:r>
      <w:r w:rsidRPr="004223D6">
        <w:rPr>
          <w:rFonts w:cs="Arial"/>
          <w:szCs w:val="22"/>
          <w:lang w:val="sl-SI"/>
        </w:rPr>
        <w:t xml:space="preserve"> </w:t>
      </w:r>
      <w:r w:rsidRPr="004223D6">
        <w:rPr>
          <w:rFonts w:cs="Arial"/>
          <w:szCs w:val="22"/>
          <w:lang w:val="sl-SI" w:eastAsia="ar-SA"/>
        </w:rPr>
        <w:t xml:space="preserve">šestega odstavka 21. člena Zakona o Vladi Republike Slovenije </w:t>
      </w:r>
      <w:r w:rsidRPr="004223D6">
        <w:rPr>
          <w:rFonts w:cs="Arial"/>
          <w:szCs w:val="22"/>
          <w:lang w:val="sl-SI" w:eastAsia="sl-SI"/>
        </w:rPr>
        <w:t xml:space="preserve">(Uradni list RS, št. 24/05 - uradno prečiščeno besedilo, 109/08, 38/10 - ZKUN, 8/12, 21/13, 47/13 - ZDU-1G, 65/14 in 55/17) in v zvezi s 13. členom Zakona o javnih financah Uradni list RS, št. </w:t>
      </w:r>
      <w:hyperlink r:id="rId16" w:tgtFrame="_blank" w:tooltip="Zakon o javnih financah (uradno prečiščeno besedilo)" w:history="1">
        <w:r w:rsidRPr="004223D6">
          <w:rPr>
            <w:rFonts w:cs="Arial"/>
            <w:szCs w:val="22"/>
            <w:lang w:val="sl-SI" w:eastAsia="sl-SI"/>
          </w:rPr>
          <w:t>11/11</w:t>
        </w:r>
      </w:hyperlink>
      <w:r w:rsidRPr="004223D6">
        <w:rPr>
          <w:rFonts w:cs="Arial"/>
          <w:szCs w:val="22"/>
          <w:lang w:val="sl-SI" w:eastAsia="sl-SI"/>
        </w:rPr>
        <w:t xml:space="preserve"> – uradno prečiščeno besedilo, </w:t>
      </w:r>
      <w:hyperlink r:id="rId17" w:tgtFrame="_blank" w:tooltip="Popravek Uradnega prečiščenega besedila Zakona  o javnih financah (ZJF-UPB4p)" w:history="1">
        <w:r w:rsidRPr="004223D6">
          <w:rPr>
            <w:rFonts w:cs="Arial"/>
            <w:szCs w:val="22"/>
            <w:lang w:val="sl-SI" w:eastAsia="sl-SI"/>
          </w:rPr>
          <w:t xml:space="preserve">14/13 – </w:t>
        </w:r>
        <w:proofErr w:type="spellStart"/>
        <w:r w:rsidRPr="004223D6">
          <w:rPr>
            <w:rFonts w:cs="Arial"/>
            <w:szCs w:val="22"/>
            <w:lang w:val="sl-SI" w:eastAsia="sl-SI"/>
          </w:rPr>
          <w:t>popr</w:t>
        </w:r>
        <w:proofErr w:type="spellEnd"/>
        <w:r w:rsidRPr="004223D6">
          <w:rPr>
            <w:rFonts w:cs="Arial"/>
            <w:szCs w:val="22"/>
            <w:lang w:val="sl-SI" w:eastAsia="sl-SI"/>
          </w:rPr>
          <w:t>.</w:t>
        </w:r>
      </w:hyperlink>
      <w:r w:rsidRPr="004223D6">
        <w:rPr>
          <w:rFonts w:cs="Arial"/>
          <w:szCs w:val="22"/>
          <w:lang w:val="sl-SI" w:eastAsia="sl-SI"/>
        </w:rPr>
        <w:t xml:space="preserve">, </w:t>
      </w:r>
      <w:hyperlink r:id="rId18" w:tgtFrame="_blank" w:tooltip="Zakon o dopolnitvi Zakona o javnih financah" w:history="1">
        <w:r w:rsidRPr="004223D6">
          <w:rPr>
            <w:rFonts w:cs="Arial"/>
            <w:szCs w:val="22"/>
            <w:lang w:val="sl-SI" w:eastAsia="sl-SI"/>
          </w:rPr>
          <w:t>101/13</w:t>
        </w:r>
      </w:hyperlink>
      <w:r w:rsidRPr="004223D6">
        <w:rPr>
          <w:rFonts w:cs="Arial"/>
          <w:szCs w:val="22"/>
          <w:lang w:val="sl-SI" w:eastAsia="sl-SI"/>
        </w:rPr>
        <w:t xml:space="preserve">, </w:t>
      </w:r>
      <w:hyperlink r:id="rId19" w:tgtFrame="_blank" w:tooltip="Zakon o fiskalnem pravilu" w:history="1">
        <w:r w:rsidRPr="004223D6">
          <w:rPr>
            <w:rFonts w:cs="Arial"/>
            <w:szCs w:val="22"/>
            <w:lang w:val="sl-SI" w:eastAsia="sl-SI"/>
          </w:rPr>
          <w:t>55/15</w:t>
        </w:r>
      </w:hyperlink>
      <w:r w:rsidRPr="004223D6">
        <w:rPr>
          <w:rFonts w:cs="Arial"/>
          <w:szCs w:val="22"/>
          <w:lang w:val="sl-SI" w:eastAsia="sl-SI"/>
        </w:rPr>
        <w:t xml:space="preserve"> – </w:t>
      </w:r>
      <w:proofErr w:type="spellStart"/>
      <w:r w:rsidRPr="004223D6">
        <w:rPr>
          <w:rFonts w:cs="Arial"/>
          <w:szCs w:val="22"/>
          <w:lang w:val="sl-SI" w:eastAsia="sl-SI"/>
        </w:rPr>
        <w:t>ZFisP</w:t>
      </w:r>
      <w:proofErr w:type="spellEnd"/>
      <w:r w:rsidRPr="004223D6">
        <w:rPr>
          <w:rFonts w:cs="Arial"/>
          <w:szCs w:val="22"/>
          <w:lang w:val="sl-SI" w:eastAsia="sl-SI"/>
        </w:rPr>
        <w:t xml:space="preserve">, </w:t>
      </w:r>
      <w:hyperlink r:id="rId20" w:tgtFrame="_blank" w:tooltip="Zakon o izvrševanju proračunov Republike Slovenije za leti 2016 in 2017" w:history="1">
        <w:r w:rsidRPr="004223D6">
          <w:rPr>
            <w:rFonts w:cs="Arial"/>
            <w:szCs w:val="22"/>
            <w:lang w:val="sl-SI" w:eastAsia="sl-SI"/>
          </w:rPr>
          <w:t>96/15</w:t>
        </w:r>
      </w:hyperlink>
      <w:r w:rsidRPr="004223D6">
        <w:rPr>
          <w:rFonts w:cs="Arial"/>
          <w:szCs w:val="22"/>
          <w:lang w:val="sl-SI" w:eastAsia="sl-SI"/>
        </w:rPr>
        <w:t xml:space="preserve"> – ZIPRS1617 in </w:t>
      </w:r>
      <w:hyperlink r:id="rId21" w:tgtFrame="_blank" w:tooltip="Zakon o spremembah in dopolnitvah Zakona o javnih financah" w:history="1">
        <w:r w:rsidRPr="004223D6">
          <w:rPr>
            <w:rFonts w:cs="Arial"/>
            <w:szCs w:val="22"/>
            <w:lang w:val="sl-SI" w:eastAsia="sl-SI"/>
          </w:rPr>
          <w:t>13/18</w:t>
        </w:r>
      </w:hyperlink>
      <w:r w:rsidRPr="004223D6">
        <w:rPr>
          <w:rFonts w:cs="Arial"/>
          <w:szCs w:val="22"/>
          <w:lang w:val="sl-SI" w:eastAsia="sl-SI"/>
        </w:rPr>
        <w:t>)</w:t>
      </w:r>
      <w:r w:rsidR="00C13896">
        <w:rPr>
          <w:rFonts w:cs="Arial"/>
          <w:szCs w:val="22"/>
          <w:lang w:val="sl-SI" w:eastAsia="sl-SI"/>
        </w:rPr>
        <w:t xml:space="preserve"> </w:t>
      </w:r>
      <w:r w:rsidRPr="004223D6">
        <w:rPr>
          <w:rFonts w:cs="Arial"/>
          <w:szCs w:val="22"/>
          <w:lang w:val="sl-SI" w:eastAsia="sl-SI"/>
        </w:rPr>
        <w:t xml:space="preserve">ter </w:t>
      </w:r>
      <w:r w:rsidR="007811F9" w:rsidRPr="007811F9">
        <w:rPr>
          <w:rFonts w:cs="Arial"/>
          <w:szCs w:val="22"/>
          <w:lang w:val="sl-SI" w:eastAsia="sl-SI"/>
        </w:rPr>
        <w:t>6. točke sklepa št. 41003-5/2019/9</w:t>
      </w:r>
      <w:r w:rsidR="007811F9" w:rsidRPr="007811F9">
        <w:rPr>
          <w:rFonts w:cs="Arial"/>
          <w:color w:val="000000"/>
          <w:lang w:val="sl-SI"/>
        </w:rPr>
        <w:t xml:space="preserve">, </w:t>
      </w:r>
      <w:r w:rsidR="007811F9" w:rsidRPr="007811F9">
        <w:rPr>
          <w:rFonts w:cs="Arial"/>
          <w:szCs w:val="20"/>
          <w:lang w:val="sl-SI"/>
        </w:rPr>
        <w:t xml:space="preserve">sprejetega dne 4. 7. 2019 na 38. redni seji Vlade Republike Slovenije </w:t>
      </w:r>
      <w:r w:rsidRPr="004223D6">
        <w:rPr>
          <w:rFonts w:cs="Arial"/>
          <w:szCs w:val="22"/>
          <w:lang w:val="sl-SI" w:eastAsia="ar-SA"/>
        </w:rPr>
        <w:t>je Vlada Republike Slovenije na ….. redni seji dne … pod točko …. dnevnega reda sprejela naslednji:</w:t>
      </w:r>
    </w:p>
    <w:p w14:paraId="08D13DE9" w14:textId="77777777" w:rsidR="00222F23" w:rsidRDefault="00222F23" w:rsidP="00222F23">
      <w:pPr>
        <w:framePr w:hSpace="141" w:wrap="around" w:vAnchor="text" w:hAnchor="margin" w:y="89"/>
        <w:widowControl w:val="0"/>
        <w:suppressAutoHyphens/>
        <w:jc w:val="both"/>
        <w:rPr>
          <w:rFonts w:cs="Arial"/>
          <w:sz w:val="20"/>
          <w:szCs w:val="20"/>
          <w:lang w:eastAsia="ar-SA"/>
        </w:rPr>
      </w:pPr>
    </w:p>
    <w:p w14:paraId="5E40C805" w14:textId="77777777" w:rsidR="00222F23" w:rsidRDefault="00222F23" w:rsidP="00222F23">
      <w:pPr>
        <w:framePr w:hSpace="141" w:wrap="around" w:vAnchor="text" w:hAnchor="margin" w:y="89"/>
        <w:widowControl w:val="0"/>
        <w:suppressAutoHyphens/>
        <w:jc w:val="both"/>
        <w:rPr>
          <w:rFonts w:cs="Arial"/>
          <w:sz w:val="20"/>
          <w:szCs w:val="20"/>
          <w:lang w:eastAsia="ar-SA"/>
        </w:rPr>
      </w:pPr>
    </w:p>
    <w:p w14:paraId="76464061" w14:textId="77777777" w:rsidR="00222F23" w:rsidRDefault="00222F23" w:rsidP="00222F23">
      <w:pPr>
        <w:framePr w:hSpace="141" w:wrap="around" w:vAnchor="text" w:hAnchor="margin" w:y="89"/>
        <w:widowControl w:val="0"/>
        <w:suppressAutoHyphens/>
        <w:jc w:val="both"/>
        <w:rPr>
          <w:rFonts w:cs="Arial"/>
          <w:sz w:val="20"/>
          <w:szCs w:val="20"/>
          <w:lang w:eastAsia="ar-SA"/>
        </w:rPr>
      </w:pPr>
    </w:p>
    <w:p w14:paraId="0020BDE8" w14:textId="77777777" w:rsidR="00222F23" w:rsidRPr="001C0139" w:rsidRDefault="00222F23" w:rsidP="00222F23">
      <w:pPr>
        <w:framePr w:hSpace="141" w:wrap="around" w:vAnchor="text" w:hAnchor="margin" w:y="89"/>
        <w:widowControl w:val="0"/>
        <w:suppressAutoHyphens/>
        <w:jc w:val="both"/>
        <w:rPr>
          <w:rFonts w:cs="Arial"/>
          <w:sz w:val="20"/>
          <w:szCs w:val="20"/>
          <w:lang w:eastAsia="ar-SA"/>
        </w:rPr>
      </w:pPr>
    </w:p>
    <w:p w14:paraId="3D8F3F4C" w14:textId="4E9D7E33" w:rsidR="00222F23" w:rsidRPr="004223D6" w:rsidRDefault="00222F23" w:rsidP="00222F23">
      <w:pPr>
        <w:framePr w:hSpace="141" w:wrap="around" w:vAnchor="text" w:hAnchor="margin" w:y="89"/>
        <w:widowControl w:val="0"/>
        <w:suppressAutoHyphens/>
        <w:jc w:val="center"/>
        <w:rPr>
          <w:rFonts w:cs="Arial"/>
          <w:b/>
          <w:lang w:val="sl-SI" w:eastAsia="ar-SA"/>
        </w:rPr>
      </w:pPr>
      <w:r w:rsidRPr="004223D6">
        <w:rPr>
          <w:rFonts w:cs="Arial"/>
          <w:b/>
          <w:szCs w:val="22"/>
          <w:lang w:val="sl-SI" w:eastAsia="ar-SA"/>
        </w:rPr>
        <w:t>SKLEP</w:t>
      </w:r>
      <w:r w:rsidR="000653FF">
        <w:rPr>
          <w:rFonts w:cs="Arial"/>
          <w:b/>
          <w:szCs w:val="22"/>
          <w:lang w:val="sl-SI" w:eastAsia="ar-SA"/>
        </w:rPr>
        <w:t>:</w:t>
      </w:r>
    </w:p>
    <w:p w14:paraId="3B7C20AC" w14:textId="77777777" w:rsidR="00222F23" w:rsidRPr="004223D6" w:rsidRDefault="00222F23" w:rsidP="00222F23">
      <w:pPr>
        <w:framePr w:hSpace="141" w:wrap="around" w:vAnchor="text" w:hAnchor="margin" w:y="89"/>
        <w:widowControl w:val="0"/>
        <w:suppressAutoHyphens/>
        <w:jc w:val="both"/>
        <w:rPr>
          <w:rFonts w:cs="Arial"/>
          <w:lang w:val="sl-SI" w:eastAsia="ar-SA"/>
        </w:rPr>
      </w:pPr>
    </w:p>
    <w:p w14:paraId="23FE4D10" w14:textId="1B5C495B" w:rsidR="00222F23" w:rsidRDefault="00C979AE" w:rsidP="00222F23">
      <w:pPr>
        <w:pStyle w:val="Odstavekseznama"/>
        <w:framePr w:hSpace="141" w:wrap="around" w:vAnchor="text" w:hAnchor="margin" w:y="89"/>
        <w:spacing w:after="200"/>
        <w:ind w:left="0"/>
        <w:jc w:val="both"/>
        <w:rPr>
          <w:rFonts w:ascii="Arial" w:eastAsia="Times New Roman" w:hAnsi="Arial" w:cs="Arial"/>
          <w:lang w:val="sl-SI" w:eastAsia="ar-SA"/>
        </w:rPr>
      </w:pPr>
      <w:r w:rsidRPr="00C979AE">
        <w:rPr>
          <w:rFonts w:ascii="Arial" w:eastAsia="Times New Roman" w:hAnsi="Arial" w:cs="Arial"/>
          <w:lang w:val="sl-SI" w:eastAsia="ar-SA"/>
        </w:rPr>
        <w:t>Vlada Republike Slovenije je sprejela Načrt izvajanja finančnih instrumentov za obdobje 2020–2023, ki ga je pripravilo Ministrstvo za gospodarski razvoj in tehnologijo in ga, kot sestavni del obrazložitve proračuna države, posreduje Državnemu zboru Republike Slovenije</w:t>
      </w:r>
      <w:r w:rsidR="00222F23" w:rsidRPr="004223D6">
        <w:rPr>
          <w:rFonts w:ascii="Arial" w:eastAsia="Times New Roman" w:hAnsi="Arial" w:cs="Arial"/>
          <w:lang w:val="sl-SI" w:eastAsia="ar-SA"/>
        </w:rPr>
        <w:t>.</w:t>
      </w:r>
    </w:p>
    <w:p w14:paraId="62EDC19F" w14:textId="663F9F26" w:rsidR="00C979AE" w:rsidRDefault="00C979AE" w:rsidP="00C979AE">
      <w:pPr>
        <w:framePr w:hSpace="141" w:wrap="around" w:vAnchor="text" w:hAnchor="margin" w:y="89"/>
        <w:jc w:val="both"/>
        <w:rPr>
          <w:rFonts w:cs="Arial"/>
          <w:szCs w:val="22"/>
          <w:lang w:val="sl-SI" w:eastAsia="ar-SA"/>
        </w:rPr>
      </w:pPr>
      <w:r>
        <w:rPr>
          <w:rFonts w:cs="Arial"/>
          <w:szCs w:val="22"/>
          <w:lang w:val="sl-SI" w:eastAsia="ar-SA"/>
        </w:rPr>
        <w:t xml:space="preserve">                                                                            </w:t>
      </w:r>
    </w:p>
    <w:p w14:paraId="6DDF2BD6" w14:textId="183166B1" w:rsidR="00222F23" w:rsidRPr="004223D6" w:rsidRDefault="00C979AE" w:rsidP="00C979AE">
      <w:pPr>
        <w:framePr w:hSpace="141" w:wrap="around" w:vAnchor="text" w:hAnchor="margin" w:y="89"/>
        <w:jc w:val="both"/>
        <w:rPr>
          <w:rFonts w:cs="Arial"/>
          <w:lang w:val="sl-SI" w:eastAsia="ar-SA"/>
        </w:rPr>
      </w:pPr>
      <w:r>
        <w:rPr>
          <w:rFonts w:cs="Arial"/>
          <w:szCs w:val="22"/>
          <w:lang w:val="sl-SI" w:eastAsia="ar-SA"/>
        </w:rPr>
        <w:t xml:space="preserve">                                                                             </w:t>
      </w:r>
      <w:r w:rsidR="00222F23" w:rsidRPr="004223D6">
        <w:rPr>
          <w:rFonts w:cs="Arial"/>
          <w:szCs w:val="22"/>
          <w:lang w:val="sl-SI" w:eastAsia="ar-SA"/>
        </w:rPr>
        <w:t>Stojan TRAMTE</w:t>
      </w:r>
    </w:p>
    <w:p w14:paraId="25A1A675" w14:textId="4F7D8EEB" w:rsidR="00222F23" w:rsidRPr="004223D6" w:rsidRDefault="00C13896" w:rsidP="00222F23">
      <w:pPr>
        <w:framePr w:hSpace="141" w:wrap="around" w:vAnchor="text" w:hAnchor="margin" w:y="89"/>
        <w:jc w:val="both"/>
        <w:rPr>
          <w:rFonts w:cs="Arial"/>
          <w:lang w:val="sl-SI" w:eastAsia="ar-SA"/>
        </w:rPr>
      </w:pPr>
      <w:r>
        <w:rPr>
          <w:rFonts w:cs="Arial"/>
          <w:szCs w:val="22"/>
          <w:lang w:val="sl-SI" w:eastAsia="ar-SA"/>
        </w:rPr>
        <w:t xml:space="preserve">                                               </w:t>
      </w:r>
      <w:r w:rsidR="00C979AE">
        <w:rPr>
          <w:rFonts w:cs="Arial"/>
          <w:szCs w:val="22"/>
          <w:lang w:val="sl-SI" w:eastAsia="ar-SA"/>
        </w:rPr>
        <w:t xml:space="preserve">                      </w:t>
      </w:r>
      <w:r w:rsidR="00222F23" w:rsidRPr="004223D6">
        <w:rPr>
          <w:rFonts w:cs="Arial"/>
          <w:szCs w:val="22"/>
          <w:lang w:val="sl-SI" w:eastAsia="ar-SA"/>
        </w:rPr>
        <w:t>GENERALNI SEKRETAR</w:t>
      </w:r>
    </w:p>
    <w:p w14:paraId="457B97C4" w14:textId="77777777" w:rsidR="00222F23" w:rsidRPr="004223D6" w:rsidRDefault="00222F23" w:rsidP="00222F23">
      <w:pPr>
        <w:pStyle w:val="Naslovpredpisa"/>
        <w:framePr w:hSpace="141" w:wrap="around" w:vAnchor="text" w:hAnchor="margin" w:y="89"/>
        <w:spacing w:before="0" w:after="0" w:line="240" w:lineRule="auto"/>
        <w:jc w:val="both"/>
        <w:rPr>
          <w:b w:val="0"/>
          <w:lang w:eastAsia="en-US"/>
        </w:rPr>
      </w:pPr>
    </w:p>
    <w:p w14:paraId="172EBD84" w14:textId="77777777" w:rsidR="00222F23" w:rsidRPr="004223D6" w:rsidRDefault="00222F23" w:rsidP="00222F23">
      <w:pPr>
        <w:pStyle w:val="Naslovpredpisa"/>
        <w:framePr w:hSpace="141" w:wrap="around" w:vAnchor="text" w:hAnchor="margin" w:y="89"/>
        <w:spacing w:before="0" w:after="0" w:line="240" w:lineRule="auto"/>
        <w:jc w:val="both"/>
        <w:rPr>
          <w:b w:val="0"/>
          <w:lang w:eastAsia="en-US"/>
        </w:rPr>
      </w:pPr>
    </w:p>
    <w:p w14:paraId="77291D28" w14:textId="77777777" w:rsidR="00222F23" w:rsidRPr="004223D6" w:rsidRDefault="00222F23" w:rsidP="00222F23">
      <w:pPr>
        <w:pStyle w:val="Naslovpredpisa"/>
        <w:framePr w:hSpace="141" w:wrap="around" w:vAnchor="text" w:hAnchor="margin" w:y="89"/>
        <w:spacing w:before="0" w:after="0" w:line="240" w:lineRule="auto"/>
        <w:jc w:val="both"/>
        <w:rPr>
          <w:b w:val="0"/>
          <w:lang w:eastAsia="en-US"/>
        </w:rPr>
      </w:pPr>
      <w:r w:rsidRPr="004223D6">
        <w:rPr>
          <w:b w:val="0"/>
          <w:lang w:eastAsia="en-US"/>
        </w:rPr>
        <w:t>Sklep prejmejo:</w:t>
      </w:r>
    </w:p>
    <w:p w14:paraId="7F508E2D" w14:textId="77777777" w:rsidR="00222F23" w:rsidRPr="00222F23" w:rsidRDefault="00222F23" w:rsidP="00222F23">
      <w:pPr>
        <w:framePr w:hSpace="141" w:wrap="around" w:vAnchor="text" w:hAnchor="margin" w:y="89"/>
        <w:numPr>
          <w:ilvl w:val="0"/>
          <w:numId w:val="36"/>
        </w:numPr>
        <w:jc w:val="both"/>
        <w:rPr>
          <w:rFonts w:cs="Arial"/>
          <w:szCs w:val="22"/>
          <w:lang w:val="sl-SI"/>
        </w:rPr>
      </w:pPr>
      <w:r w:rsidRPr="004223D6">
        <w:rPr>
          <w:rFonts w:cs="Arial"/>
          <w:szCs w:val="22"/>
          <w:lang w:val="sl-SI"/>
        </w:rPr>
        <w:t>Ministrstvo za finance,</w:t>
      </w:r>
    </w:p>
    <w:p w14:paraId="506B3DEC" w14:textId="77777777" w:rsidR="00222F23" w:rsidRPr="00222F23" w:rsidRDefault="00222F23" w:rsidP="00222F23">
      <w:pPr>
        <w:framePr w:hSpace="141" w:wrap="around" w:vAnchor="text" w:hAnchor="margin" w:y="89"/>
        <w:numPr>
          <w:ilvl w:val="0"/>
          <w:numId w:val="36"/>
        </w:numPr>
        <w:jc w:val="both"/>
        <w:rPr>
          <w:rFonts w:cs="Arial"/>
          <w:szCs w:val="22"/>
          <w:lang w:val="sl-SI"/>
        </w:rPr>
      </w:pPr>
      <w:r w:rsidRPr="004223D6">
        <w:rPr>
          <w:rFonts w:cs="Arial"/>
          <w:szCs w:val="22"/>
          <w:lang w:val="sl-SI"/>
        </w:rPr>
        <w:t>Ministrstvo za infrastrukturo,</w:t>
      </w:r>
    </w:p>
    <w:p w14:paraId="3D335E07" w14:textId="77777777" w:rsidR="00222F23" w:rsidRPr="00222F23" w:rsidRDefault="00222F23" w:rsidP="00222F23">
      <w:pPr>
        <w:framePr w:hSpace="141" w:wrap="around" w:vAnchor="text" w:hAnchor="margin" w:y="89"/>
        <w:numPr>
          <w:ilvl w:val="0"/>
          <w:numId w:val="36"/>
        </w:numPr>
        <w:jc w:val="both"/>
        <w:rPr>
          <w:rFonts w:cs="Arial"/>
          <w:szCs w:val="22"/>
          <w:lang w:val="sl-SI"/>
        </w:rPr>
      </w:pPr>
      <w:r w:rsidRPr="004223D6">
        <w:rPr>
          <w:rFonts w:cs="Arial"/>
          <w:szCs w:val="22"/>
          <w:lang w:val="sl-SI"/>
        </w:rPr>
        <w:t>Ministrstvo za okolje in prostor,</w:t>
      </w:r>
    </w:p>
    <w:p w14:paraId="76AAFD78" w14:textId="77777777" w:rsidR="00222F23" w:rsidRPr="00222F23" w:rsidRDefault="00222F23" w:rsidP="00222F23">
      <w:pPr>
        <w:framePr w:hSpace="141" w:wrap="around" w:vAnchor="text" w:hAnchor="margin" w:y="89"/>
        <w:numPr>
          <w:ilvl w:val="0"/>
          <w:numId w:val="36"/>
        </w:numPr>
        <w:jc w:val="both"/>
        <w:rPr>
          <w:rFonts w:cs="Arial"/>
          <w:szCs w:val="22"/>
          <w:lang w:val="sl-SI"/>
        </w:rPr>
      </w:pPr>
      <w:r w:rsidRPr="004223D6">
        <w:rPr>
          <w:rFonts w:cs="Arial"/>
          <w:szCs w:val="22"/>
          <w:lang w:val="sl-SI"/>
        </w:rPr>
        <w:t>Služba Vlade RS za razvoj in evropsko kohezijsko politiko,</w:t>
      </w:r>
    </w:p>
    <w:p w14:paraId="18CAD703" w14:textId="77777777" w:rsidR="00222F23" w:rsidRPr="00222F23" w:rsidRDefault="00222F23" w:rsidP="00222F23">
      <w:pPr>
        <w:framePr w:hSpace="141" w:wrap="around" w:vAnchor="text" w:hAnchor="margin" w:y="89"/>
        <w:numPr>
          <w:ilvl w:val="0"/>
          <w:numId w:val="36"/>
        </w:numPr>
        <w:jc w:val="both"/>
        <w:rPr>
          <w:rFonts w:cs="Arial"/>
          <w:szCs w:val="22"/>
          <w:lang w:val="sl-SI"/>
        </w:rPr>
      </w:pPr>
      <w:r w:rsidRPr="004223D6">
        <w:rPr>
          <w:rFonts w:cs="Arial"/>
          <w:szCs w:val="22"/>
          <w:lang w:val="sl-SI"/>
        </w:rPr>
        <w:t>Služba Vlade RS za zakonodajo,</w:t>
      </w:r>
    </w:p>
    <w:p w14:paraId="4E97771C" w14:textId="77777777" w:rsidR="00222F23" w:rsidRPr="00222F23" w:rsidRDefault="00222F23" w:rsidP="00222F23">
      <w:pPr>
        <w:pStyle w:val="Odstavekseznama"/>
        <w:framePr w:hSpace="141" w:wrap="around" w:vAnchor="text" w:hAnchor="margin" w:y="89"/>
        <w:numPr>
          <w:ilvl w:val="0"/>
          <w:numId w:val="36"/>
        </w:numPr>
        <w:jc w:val="both"/>
        <w:rPr>
          <w:rFonts w:ascii="Arial" w:eastAsia="Times New Roman" w:hAnsi="Arial" w:cs="Arial"/>
          <w:lang w:val="sl-SI"/>
        </w:rPr>
      </w:pPr>
      <w:r w:rsidRPr="00222F23">
        <w:rPr>
          <w:rFonts w:ascii="Arial" w:eastAsia="Times New Roman" w:hAnsi="Arial" w:cs="Arial"/>
          <w:lang w:val="sl-SI"/>
        </w:rPr>
        <w:t>Urad Vlade RS za komuniciranje,</w:t>
      </w:r>
    </w:p>
    <w:p w14:paraId="38A74FA7" w14:textId="4879306D" w:rsidR="00222F23" w:rsidRPr="00222F23" w:rsidRDefault="00222F23" w:rsidP="00222F23">
      <w:pPr>
        <w:pStyle w:val="Odstavekseznama"/>
        <w:framePr w:hSpace="141" w:wrap="around" w:vAnchor="text" w:hAnchor="margin" w:y="89"/>
        <w:numPr>
          <w:ilvl w:val="0"/>
          <w:numId w:val="36"/>
        </w:numPr>
        <w:spacing w:after="240"/>
        <w:jc w:val="both"/>
        <w:rPr>
          <w:rFonts w:ascii="Arial" w:eastAsia="Times New Roman" w:hAnsi="Arial" w:cs="Arial"/>
          <w:lang w:val="sl-SI"/>
        </w:rPr>
      </w:pPr>
      <w:r w:rsidRPr="00222F23">
        <w:rPr>
          <w:rFonts w:ascii="Arial" w:eastAsia="Times New Roman" w:hAnsi="Arial" w:cs="Arial"/>
          <w:lang w:val="sl-SI"/>
        </w:rPr>
        <w:t>Generalni sekretariat Vlade RS.</w:t>
      </w:r>
    </w:p>
    <w:p w14:paraId="0850450B" w14:textId="77777777" w:rsidR="00F63B7D" w:rsidRDefault="00F63B7D">
      <w:pPr>
        <w:spacing w:after="160" w:line="259" w:lineRule="auto"/>
        <w:rPr>
          <w:rFonts w:cs="Arial"/>
          <w:b/>
          <w:lang w:val="sl-SI" w:eastAsia="sl-SI"/>
        </w:rPr>
      </w:pPr>
      <w:r>
        <w:rPr>
          <w:rFonts w:cs="Arial"/>
          <w:b/>
          <w:lang w:val="sl-SI" w:eastAsia="sl-SI"/>
        </w:rPr>
        <w:br w:type="page"/>
      </w:r>
    </w:p>
    <w:p w14:paraId="42FE05EB" w14:textId="7D7C6E8E" w:rsidR="004D434D" w:rsidRPr="004223D6" w:rsidRDefault="004D434D" w:rsidP="00D32177">
      <w:pPr>
        <w:spacing w:after="160" w:line="259" w:lineRule="auto"/>
        <w:jc w:val="center"/>
        <w:rPr>
          <w:rFonts w:cs="Arial"/>
          <w:b/>
          <w:lang w:val="sl-SI" w:eastAsia="sl-SI"/>
        </w:rPr>
      </w:pPr>
      <w:r w:rsidRPr="004223D6">
        <w:rPr>
          <w:rFonts w:cs="Arial"/>
          <w:b/>
          <w:lang w:val="sl-SI" w:eastAsia="sl-SI"/>
        </w:rPr>
        <w:lastRenderedPageBreak/>
        <w:t>OBRAZLOŽITEV</w:t>
      </w:r>
    </w:p>
    <w:p w14:paraId="49085F3C" w14:textId="28353D8A" w:rsidR="004C0C64" w:rsidRPr="004223D6" w:rsidRDefault="009B4BCC" w:rsidP="00CE3440">
      <w:pPr>
        <w:jc w:val="both"/>
        <w:rPr>
          <w:rFonts w:cs="Arial"/>
          <w:szCs w:val="22"/>
          <w:lang w:val="sl-SI"/>
        </w:rPr>
      </w:pPr>
      <w:r w:rsidRPr="004223D6">
        <w:rPr>
          <w:rFonts w:cs="Arial"/>
          <w:szCs w:val="22"/>
          <w:lang w:val="sl-SI"/>
        </w:rPr>
        <w:t xml:space="preserve">Načrt izvajanja finančnih </w:t>
      </w:r>
      <w:r w:rsidR="00F40DD4" w:rsidRPr="004223D6">
        <w:rPr>
          <w:rFonts w:cs="Arial"/>
          <w:szCs w:val="22"/>
          <w:lang w:val="sl-SI"/>
        </w:rPr>
        <w:t>instrumentov</w:t>
      </w:r>
      <w:r w:rsidR="00914A69" w:rsidRPr="004223D6">
        <w:rPr>
          <w:rFonts w:cs="Arial"/>
          <w:szCs w:val="22"/>
          <w:lang w:val="sl-SI"/>
        </w:rPr>
        <w:t xml:space="preserve"> za </w:t>
      </w:r>
      <w:r w:rsidR="003B1561">
        <w:rPr>
          <w:rFonts w:cs="Arial"/>
          <w:szCs w:val="22"/>
          <w:lang w:val="sl-SI"/>
        </w:rPr>
        <w:t>obdobje</w:t>
      </w:r>
      <w:r w:rsidR="00914A69" w:rsidRPr="004223D6">
        <w:rPr>
          <w:rFonts w:cs="Arial"/>
          <w:szCs w:val="22"/>
          <w:lang w:val="sl-SI"/>
        </w:rPr>
        <w:t xml:space="preserve"> </w:t>
      </w:r>
      <w:r w:rsidR="000D2562">
        <w:rPr>
          <w:rFonts w:cs="Arial"/>
          <w:szCs w:val="22"/>
          <w:lang w:val="sl-SI"/>
        </w:rPr>
        <w:t>2020</w:t>
      </w:r>
      <w:r w:rsidR="003B1561">
        <w:rPr>
          <w:rFonts w:cs="Arial"/>
          <w:szCs w:val="22"/>
          <w:lang w:val="sl-SI"/>
        </w:rPr>
        <w:t>-2023</w:t>
      </w:r>
      <w:r w:rsidR="00914A69" w:rsidRPr="004223D6">
        <w:rPr>
          <w:rFonts w:cs="Arial"/>
          <w:szCs w:val="22"/>
          <w:lang w:val="sl-SI"/>
        </w:rPr>
        <w:t xml:space="preserve"> </w:t>
      </w:r>
      <w:r w:rsidR="00845861">
        <w:rPr>
          <w:rFonts w:cs="Arial"/>
          <w:szCs w:val="22"/>
          <w:lang w:val="sl-SI"/>
        </w:rPr>
        <w:t xml:space="preserve">(v nadaljevanju: Načrt) </w:t>
      </w:r>
      <w:r w:rsidR="00F40DD4" w:rsidRPr="004223D6">
        <w:rPr>
          <w:rFonts w:cs="Arial"/>
          <w:szCs w:val="22"/>
          <w:lang w:val="sl-SI"/>
        </w:rPr>
        <w:t xml:space="preserve">je </w:t>
      </w:r>
      <w:r w:rsidR="00864A80" w:rsidRPr="004223D6">
        <w:rPr>
          <w:rFonts w:cs="Arial"/>
          <w:szCs w:val="22"/>
          <w:lang w:val="sl-SI"/>
        </w:rPr>
        <w:t xml:space="preserve">pripravljen </w:t>
      </w:r>
      <w:r w:rsidR="00F40DD4" w:rsidRPr="004223D6">
        <w:rPr>
          <w:rFonts w:cs="Arial"/>
          <w:szCs w:val="22"/>
          <w:lang w:val="sl-SI"/>
        </w:rPr>
        <w:t xml:space="preserve">skladno </w:t>
      </w:r>
      <w:r w:rsidR="00F63B7D">
        <w:rPr>
          <w:rFonts w:cs="Arial"/>
          <w:szCs w:val="22"/>
          <w:lang w:val="sl-SI"/>
        </w:rPr>
        <w:t xml:space="preserve">s </w:t>
      </w:r>
      <w:r w:rsidR="00845861">
        <w:rPr>
          <w:rFonts w:cs="Arial"/>
          <w:szCs w:val="22"/>
          <w:lang w:val="sl-SI" w:eastAsia="sl-SI"/>
        </w:rPr>
        <w:t>6. točko</w:t>
      </w:r>
      <w:r w:rsidR="004F0A95" w:rsidRPr="007811F9">
        <w:rPr>
          <w:rFonts w:cs="Arial"/>
          <w:szCs w:val="22"/>
          <w:lang w:val="sl-SI" w:eastAsia="sl-SI"/>
        </w:rPr>
        <w:t xml:space="preserve"> sklepa št. 41003-5/2019/9</w:t>
      </w:r>
      <w:r w:rsidR="004F0A95" w:rsidRPr="007811F9">
        <w:rPr>
          <w:rFonts w:cs="Arial"/>
          <w:color w:val="000000"/>
          <w:lang w:val="sl-SI"/>
        </w:rPr>
        <w:t xml:space="preserve">, </w:t>
      </w:r>
      <w:r w:rsidR="004F0A95" w:rsidRPr="007811F9">
        <w:rPr>
          <w:rFonts w:cs="Arial"/>
          <w:szCs w:val="20"/>
          <w:lang w:val="sl-SI"/>
        </w:rPr>
        <w:t>sprejetega dne 4. 7. 2019 na 38. redni seji Vlade Republike Slovenije</w:t>
      </w:r>
      <w:r w:rsidR="00864A80" w:rsidRPr="004223D6">
        <w:rPr>
          <w:rFonts w:cs="Arial"/>
          <w:szCs w:val="20"/>
          <w:lang w:val="sl-SI"/>
        </w:rPr>
        <w:t xml:space="preserve"> Vlade Republike Slovenije</w:t>
      </w:r>
      <w:r w:rsidR="00F40DD4" w:rsidRPr="004223D6">
        <w:rPr>
          <w:rFonts w:cs="Arial"/>
          <w:szCs w:val="22"/>
          <w:lang w:val="sl-SI"/>
        </w:rPr>
        <w:t xml:space="preserve"> </w:t>
      </w:r>
      <w:r w:rsidR="00864A80" w:rsidRPr="004223D6">
        <w:rPr>
          <w:rFonts w:cs="Arial"/>
          <w:szCs w:val="22"/>
          <w:lang w:val="sl-SI"/>
        </w:rPr>
        <w:t>in je sklad</w:t>
      </w:r>
      <w:r w:rsidR="004F0A95">
        <w:rPr>
          <w:rFonts w:cs="Arial"/>
          <w:szCs w:val="22"/>
          <w:lang w:val="sl-SI"/>
        </w:rPr>
        <w:t>e</w:t>
      </w:r>
      <w:r w:rsidR="00864A80" w:rsidRPr="004223D6">
        <w:rPr>
          <w:rFonts w:cs="Arial"/>
          <w:szCs w:val="22"/>
          <w:lang w:val="sl-SI"/>
        </w:rPr>
        <w:t>n s 13. členom Zakona o javnih financah</w:t>
      </w:r>
      <w:r w:rsidR="00845861">
        <w:rPr>
          <w:rFonts w:cs="Arial"/>
          <w:szCs w:val="22"/>
          <w:lang w:val="sl-SI"/>
        </w:rPr>
        <w:t>.</w:t>
      </w:r>
      <w:r w:rsidR="00864A80" w:rsidRPr="004223D6">
        <w:rPr>
          <w:rFonts w:cs="Arial"/>
          <w:szCs w:val="22"/>
          <w:lang w:val="sl-SI"/>
        </w:rPr>
        <w:t xml:space="preserve"> </w:t>
      </w:r>
      <w:r w:rsidR="00845861">
        <w:rPr>
          <w:rFonts w:cs="Arial"/>
          <w:szCs w:val="22"/>
          <w:lang w:val="sl-SI"/>
        </w:rPr>
        <w:t xml:space="preserve">Načrt je </w:t>
      </w:r>
      <w:r w:rsidR="00F40DD4" w:rsidRPr="004223D6">
        <w:rPr>
          <w:rFonts w:cs="Arial"/>
          <w:szCs w:val="22"/>
          <w:lang w:val="sl-SI"/>
        </w:rPr>
        <w:t>sestavni del obrazložitv</w:t>
      </w:r>
      <w:r w:rsidR="00C15EAB" w:rsidRPr="004223D6">
        <w:rPr>
          <w:rFonts w:cs="Arial"/>
          <w:szCs w:val="22"/>
          <w:lang w:val="sl-SI"/>
        </w:rPr>
        <w:t>e predloga</w:t>
      </w:r>
      <w:r w:rsidR="00F40DD4" w:rsidRPr="004223D6">
        <w:rPr>
          <w:rFonts w:cs="Arial"/>
          <w:szCs w:val="22"/>
          <w:lang w:val="sl-SI"/>
        </w:rPr>
        <w:t xml:space="preserve"> </w:t>
      </w:r>
      <w:r w:rsidR="00864A80" w:rsidRPr="004223D6">
        <w:rPr>
          <w:rFonts w:cs="Arial"/>
          <w:szCs w:val="22"/>
          <w:lang w:val="sl-SI"/>
        </w:rPr>
        <w:t>proračuna države</w:t>
      </w:r>
      <w:r w:rsidR="004F0A95">
        <w:rPr>
          <w:rFonts w:cs="Arial"/>
          <w:szCs w:val="22"/>
          <w:lang w:val="sl-SI"/>
        </w:rPr>
        <w:t xml:space="preserve"> </w:t>
      </w:r>
      <w:r w:rsidR="00845861">
        <w:rPr>
          <w:rFonts w:cs="Arial"/>
          <w:szCs w:val="22"/>
          <w:lang w:val="sl-SI"/>
        </w:rPr>
        <w:t>in</w:t>
      </w:r>
      <w:r w:rsidR="00C5033C" w:rsidRPr="004223D6">
        <w:rPr>
          <w:rFonts w:cs="Arial"/>
          <w:szCs w:val="22"/>
          <w:lang w:val="sl-SI"/>
        </w:rPr>
        <w:t xml:space="preserve"> </w:t>
      </w:r>
      <w:r w:rsidR="00FB4E17" w:rsidRPr="004223D6">
        <w:rPr>
          <w:rFonts w:cs="Arial"/>
          <w:szCs w:val="22"/>
          <w:lang w:val="sl-SI"/>
        </w:rPr>
        <w:t>vključuje ukrepe, oblike, obseg sredstev in terminski načrt izplačil sredstev upravlja</w:t>
      </w:r>
      <w:r w:rsidR="00DA2C30">
        <w:rPr>
          <w:rFonts w:cs="Arial"/>
          <w:szCs w:val="22"/>
          <w:lang w:val="sl-SI"/>
        </w:rPr>
        <w:t>v</w:t>
      </w:r>
      <w:r w:rsidR="00FB4E17" w:rsidRPr="004223D6">
        <w:rPr>
          <w:rFonts w:cs="Arial"/>
          <w:szCs w:val="22"/>
          <w:lang w:val="sl-SI"/>
        </w:rPr>
        <w:t xml:space="preserve">cu </w:t>
      </w:r>
      <w:r w:rsidR="00C15EAB" w:rsidRPr="004223D6">
        <w:rPr>
          <w:rFonts w:cs="Arial"/>
          <w:szCs w:val="22"/>
          <w:lang w:val="sl-SI"/>
        </w:rPr>
        <w:t>finančnih instrumentov</w:t>
      </w:r>
      <w:r w:rsidR="004B2892">
        <w:rPr>
          <w:rFonts w:cs="Arial"/>
          <w:szCs w:val="22"/>
          <w:lang w:val="sl-SI"/>
        </w:rPr>
        <w:t xml:space="preserve"> (v nadaljevanju: FI)</w:t>
      </w:r>
      <w:r w:rsidR="00F40DD4" w:rsidRPr="004223D6">
        <w:rPr>
          <w:rFonts w:cs="Arial"/>
          <w:szCs w:val="22"/>
          <w:lang w:val="sl-SI"/>
        </w:rPr>
        <w:t>.</w:t>
      </w:r>
    </w:p>
    <w:p w14:paraId="01B727A9" w14:textId="3E629573" w:rsidR="004C0C64" w:rsidRPr="004223D6" w:rsidRDefault="004C0C64" w:rsidP="00CE3440">
      <w:pPr>
        <w:jc w:val="both"/>
        <w:rPr>
          <w:rFonts w:cs="Arial"/>
          <w:szCs w:val="22"/>
          <w:lang w:val="sl-SI"/>
        </w:rPr>
      </w:pPr>
    </w:p>
    <w:p w14:paraId="32AA87B5" w14:textId="77777777" w:rsidR="00845861" w:rsidRPr="00845861" w:rsidRDefault="005D0010" w:rsidP="00CE3440">
      <w:pPr>
        <w:jc w:val="both"/>
        <w:rPr>
          <w:rFonts w:cs="Arial"/>
          <w:szCs w:val="22"/>
          <w:lang w:val="sl-SI"/>
        </w:rPr>
      </w:pPr>
      <w:r w:rsidRPr="00845861">
        <w:rPr>
          <w:rFonts w:cs="Arial"/>
          <w:szCs w:val="22"/>
          <w:lang w:val="sl-SI"/>
        </w:rPr>
        <w:t xml:space="preserve">Vsebinsko podlago </w:t>
      </w:r>
      <w:r w:rsidR="00845861" w:rsidRPr="00845861">
        <w:rPr>
          <w:rFonts w:cs="Arial"/>
          <w:szCs w:val="22"/>
          <w:lang w:val="sl-SI"/>
        </w:rPr>
        <w:t xml:space="preserve">za pripravo Načrta </w:t>
      </w:r>
      <w:r w:rsidRPr="00845861">
        <w:rPr>
          <w:rFonts w:cs="Arial"/>
          <w:szCs w:val="22"/>
          <w:lang w:val="sl-SI"/>
        </w:rPr>
        <w:t>predstavljajo</w:t>
      </w:r>
      <w:r w:rsidR="00845861" w:rsidRPr="00845861">
        <w:rPr>
          <w:rFonts w:cs="Arial"/>
          <w:szCs w:val="22"/>
          <w:lang w:val="sl-SI"/>
        </w:rPr>
        <w:t>:</w:t>
      </w:r>
    </w:p>
    <w:p w14:paraId="3FC35CAB" w14:textId="77777777" w:rsidR="00845861" w:rsidRDefault="005D0010" w:rsidP="00845861">
      <w:pPr>
        <w:pStyle w:val="Odstavekseznama"/>
        <w:numPr>
          <w:ilvl w:val="0"/>
          <w:numId w:val="38"/>
        </w:numPr>
        <w:jc w:val="both"/>
        <w:rPr>
          <w:rFonts w:ascii="Arial" w:hAnsi="Arial" w:cs="Arial"/>
          <w:lang w:val="sl-SI"/>
        </w:rPr>
      </w:pPr>
      <w:r w:rsidRPr="00845861">
        <w:rPr>
          <w:rFonts w:ascii="Arial" w:hAnsi="Arial" w:cs="Arial"/>
          <w:lang w:val="sl-SI"/>
        </w:rPr>
        <w:t>Operativni program za izvajanje evropske kohezijske politike v obdobju 2014-2020 in sprememba OP EKP z dne 11.12.2018</w:t>
      </w:r>
      <w:r w:rsidR="00845861">
        <w:rPr>
          <w:rFonts w:ascii="Arial" w:hAnsi="Arial" w:cs="Arial"/>
          <w:lang w:val="sl-SI"/>
        </w:rPr>
        <w:t>,</w:t>
      </w:r>
    </w:p>
    <w:p w14:paraId="60D0DE95" w14:textId="2D587AB4" w:rsidR="00845861" w:rsidRDefault="005D0010" w:rsidP="00845861">
      <w:pPr>
        <w:pStyle w:val="Odstavekseznama"/>
        <w:numPr>
          <w:ilvl w:val="0"/>
          <w:numId w:val="38"/>
        </w:numPr>
        <w:jc w:val="both"/>
        <w:rPr>
          <w:rFonts w:ascii="Arial" w:hAnsi="Arial" w:cs="Arial"/>
          <w:lang w:val="sl-SI"/>
        </w:rPr>
      </w:pPr>
      <w:r w:rsidRPr="00845861">
        <w:rPr>
          <w:rFonts w:ascii="Arial" w:hAnsi="Arial" w:cs="Arial"/>
          <w:lang w:val="sl-SI"/>
        </w:rPr>
        <w:t xml:space="preserve">Ključni elementi </w:t>
      </w:r>
      <w:r w:rsidR="004B2892">
        <w:rPr>
          <w:rFonts w:ascii="Arial" w:hAnsi="Arial" w:cs="Arial"/>
          <w:lang w:val="sl-SI"/>
        </w:rPr>
        <w:t>FI</w:t>
      </w:r>
      <w:r w:rsidRPr="00845861">
        <w:rPr>
          <w:rFonts w:ascii="Arial" w:hAnsi="Arial" w:cs="Arial"/>
          <w:lang w:val="sl-SI"/>
        </w:rPr>
        <w:t xml:space="preserve"> v programskem obdobju 2014-2020, h katerim je Vlada RS podala soglasje dne 15.6.2017 in so bili spremenjeni s sklepom Vlade RS z dne 28.9.2017,</w:t>
      </w:r>
    </w:p>
    <w:p w14:paraId="24971AED" w14:textId="4C58AE9B" w:rsidR="005D0010" w:rsidRPr="00845861" w:rsidRDefault="005D0010" w:rsidP="00845861">
      <w:pPr>
        <w:pStyle w:val="Odstavekseznama"/>
        <w:numPr>
          <w:ilvl w:val="0"/>
          <w:numId w:val="38"/>
        </w:numPr>
        <w:jc w:val="both"/>
        <w:rPr>
          <w:rFonts w:ascii="Arial" w:hAnsi="Arial" w:cs="Arial"/>
          <w:lang w:val="sl-SI"/>
        </w:rPr>
      </w:pPr>
      <w:r w:rsidRPr="00845861">
        <w:rPr>
          <w:rFonts w:ascii="Arial" w:hAnsi="Arial" w:cs="Arial"/>
          <w:lang w:val="sl-SI"/>
        </w:rPr>
        <w:t xml:space="preserve">Predhodna ocena </w:t>
      </w:r>
      <w:r w:rsidR="004B2892">
        <w:rPr>
          <w:rFonts w:ascii="Arial" w:hAnsi="Arial" w:cs="Arial"/>
          <w:lang w:val="sl-SI"/>
        </w:rPr>
        <w:t>FI</w:t>
      </w:r>
      <w:r w:rsidRPr="00845861">
        <w:rPr>
          <w:rFonts w:ascii="Arial" w:hAnsi="Arial" w:cs="Arial"/>
          <w:lang w:val="sl-SI"/>
        </w:rPr>
        <w:t xml:space="preserve"> 2014-2020 dopolnjenja z analizo Evropske investicijske banke, ki je ugotovila vrzeli financiranja na štirih področjih: (i) raziskave, razvoj in inovacije, (</w:t>
      </w:r>
      <w:proofErr w:type="spellStart"/>
      <w:r w:rsidRPr="00845861">
        <w:rPr>
          <w:rFonts w:ascii="Arial" w:hAnsi="Arial" w:cs="Arial"/>
          <w:lang w:val="sl-SI"/>
        </w:rPr>
        <w:t>ii</w:t>
      </w:r>
      <w:proofErr w:type="spellEnd"/>
      <w:r w:rsidRPr="00845861">
        <w:rPr>
          <w:rFonts w:ascii="Arial" w:hAnsi="Arial" w:cs="Arial"/>
          <w:lang w:val="sl-SI"/>
        </w:rPr>
        <w:t>) mala in srednje velika podjetja</w:t>
      </w:r>
      <w:r w:rsidR="00845861">
        <w:rPr>
          <w:rFonts w:ascii="Arial" w:hAnsi="Arial" w:cs="Arial"/>
          <w:lang w:val="sl-SI"/>
        </w:rPr>
        <w:t xml:space="preserve"> (v nadaljevanju: MSP)</w:t>
      </w:r>
      <w:r w:rsidRPr="00845861">
        <w:rPr>
          <w:rFonts w:ascii="Arial" w:hAnsi="Arial" w:cs="Arial"/>
          <w:lang w:val="sl-SI"/>
        </w:rPr>
        <w:t>, (</w:t>
      </w:r>
      <w:proofErr w:type="spellStart"/>
      <w:r w:rsidRPr="00845861">
        <w:rPr>
          <w:rFonts w:ascii="Arial" w:hAnsi="Arial" w:cs="Arial"/>
          <w:lang w:val="sl-SI"/>
        </w:rPr>
        <w:t>iii</w:t>
      </w:r>
      <w:proofErr w:type="spellEnd"/>
      <w:r w:rsidRPr="00845861">
        <w:rPr>
          <w:rFonts w:ascii="Arial" w:hAnsi="Arial" w:cs="Arial"/>
          <w:lang w:val="sl-SI"/>
        </w:rPr>
        <w:t>) urbani razvoj in (iv) energetska učinkovitost</w:t>
      </w:r>
      <w:r w:rsidR="0097333A" w:rsidRPr="00845861">
        <w:rPr>
          <w:rFonts w:ascii="Arial" w:hAnsi="Arial" w:cs="Arial"/>
          <w:lang w:val="sl-SI"/>
        </w:rPr>
        <w:t>.</w:t>
      </w:r>
    </w:p>
    <w:p w14:paraId="4C2A77DA" w14:textId="053DF265" w:rsidR="00F40DD4" w:rsidRPr="00845861" w:rsidRDefault="00F40DD4" w:rsidP="00CE3440">
      <w:pPr>
        <w:jc w:val="both"/>
        <w:rPr>
          <w:rFonts w:cs="Arial"/>
          <w:szCs w:val="22"/>
          <w:lang w:val="sl-SI"/>
        </w:rPr>
      </w:pPr>
    </w:p>
    <w:p w14:paraId="41908635" w14:textId="6599C524" w:rsidR="00F94316" w:rsidRPr="004223D6" w:rsidRDefault="004B2892" w:rsidP="00CE3440">
      <w:pPr>
        <w:jc w:val="both"/>
        <w:rPr>
          <w:rFonts w:cs="Arial"/>
          <w:szCs w:val="22"/>
          <w:lang w:val="sl-SI"/>
        </w:rPr>
      </w:pPr>
      <w:r>
        <w:rPr>
          <w:rFonts w:cs="Arial"/>
          <w:szCs w:val="22"/>
          <w:lang w:val="sl-SI"/>
        </w:rPr>
        <w:t>FI</w:t>
      </w:r>
      <w:r w:rsidR="00F40DD4" w:rsidRPr="00845861">
        <w:rPr>
          <w:rFonts w:cs="Arial"/>
          <w:szCs w:val="22"/>
          <w:lang w:val="sl-SI"/>
        </w:rPr>
        <w:t xml:space="preserve"> (krediti, </w:t>
      </w:r>
      <w:proofErr w:type="spellStart"/>
      <w:r w:rsidR="00F40DD4" w:rsidRPr="00845861">
        <w:rPr>
          <w:rFonts w:cs="Arial"/>
          <w:szCs w:val="22"/>
          <w:lang w:val="sl-SI"/>
        </w:rPr>
        <w:t>portfeljske</w:t>
      </w:r>
      <w:proofErr w:type="spellEnd"/>
      <w:r w:rsidR="00F40DD4" w:rsidRPr="00845861">
        <w:rPr>
          <w:rFonts w:cs="Arial"/>
          <w:szCs w:val="22"/>
          <w:lang w:val="sl-SI"/>
        </w:rPr>
        <w:t xml:space="preserve"> garancije, mikrokrediti, lastniško financiranje</w:t>
      </w:r>
      <w:r w:rsidR="009C6233">
        <w:rPr>
          <w:rFonts w:cs="Arial"/>
          <w:szCs w:val="22"/>
          <w:lang w:val="sl-SI"/>
        </w:rPr>
        <w:t>, v nadaljevanju: FI</w:t>
      </w:r>
      <w:r w:rsidR="00F40DD4" w:rsidRPr="00845861">
        <w:rPr>
          <w:rFonts w:cs="Arial"/>
          <w:szCs w:val="22"/>
          <w:lang w:val="sl-SI"/>
        </w:rPr>
        <w:t>) se izvaja</w:t>
      </w:r>
      <w:r w:rsidR="0087220A" w:rsidRPr="00845861">
        <w:rPr>
          <w:rFonts w:cs="Arial"/>
          <w:szCs w:val="22"/>
          <w:lang w:val="sl-SI"/>
        </w:rPr>
        <w:t>jo</w:t>
      </w:r>
      <w:r w:rsidR="00F40DD4" w:rsidRPr="00845861">
        <w:rPr>
          <w:rFonts w:cs="Arial"/>
          <w:szCs w:val="22"/>
          <w:lang w:val="sl-SI"/>
        </w:rPr>
        <w:t xml:space="preserve"> po principu sklada skladov, in sicer jih izvajalec sklada skladov izvaja prek</w:t>
      </w:r>
      <w:r w:rsidR="0097333A" w:rsidRPr="00845861">
        <w:rPr>
          <w:rFonts w:cs="Arial"/>
          <w:szCs w:val="22"/>
          <w:lang w:val="sl-SI"/>
        </w:rPr>
        <w:t>o</w:t>
      </w:r>
      <w:r w:rsidR="00F40DD4" w:rsidRPr="00845861">
        <w:rPr>
          <w:rFonts w:cs="Arial"/>
          <w:szCs w:val="22"/>
          <w:lang w:val="sl-SI"/>
        </w:rPr>
        <w:t xml:space="preserve"> finančnih</w:t>
      </w:r>
      <w:r w:rsidR="00F40DD4" w:rsidRPr="004223D6">
        <w:rPr>
          <w:rFonts w:cs="Arial"/>
          <w:szCs w:val="22"/>
          <w:lang w:val="sl-SI"/>
        </w:rPr>
        <w:t xml:space="preserve"> posrednikov ali </w:t>
      </w:r>
      <w:r w:rsidR="00F50925" w:rsidRPr="004223D6">
        <w:rPr>
          <w:rFonts w:cs="Arial"/>
          <w:szCs w:val="22"/>
          <w:lang w:val="sl-SI"/>
        </w:rPr>
        <w:t xml:space="preserve">jih </w:t>
      </w:r>
      <w:r w:rsidR="00F40DD4" w:rsidRPr="004223D6">
        <w:rPr>
          <w:rFonts w:cs="Arial"/>
          <w:szCs w:val="22"/>
          <w:lang w:val="sl-SI"/>
        </w:rPr>
        <w:t>v izjemnih primerih</w:t>
      </w:r>
      <w:r w:rsidR="005D0010" w:rsidRPr="004223D6">
        <w:rPr>
          <w:rFonts w:cs="Arial"/>
          <w:szCs w:val="22"/>
          <w:lang w:val="sl-SI"/>
        </w:rPr>
        <w:t>, ki so pod določenimi pogoji</w:t>
      </w:r>
      <w:r w:rsidR="00BE4878" w:rsidRPr="004223D6">
        <w:rPr>
          <w:rFonts w:cs="Arial"/>
          <w:szCs w:val="22"/>
          <w:lang w:val="sl-SI"/>
        </w:rPr>
        <w:t>, opredeljenimi v S</w:t>
      </w:r>
      <w:r w:rsidR="005D0010" w:rsidRPr="004223D6">
        <w:rPr>
          <w:rFonts w:cs="Arial"/>
          <w:szCs w:val="22"/>
          <w:lang w:val="sl-SI"/>
        </w:rPr>
        <w:t>porazumu o financiranju</w:t>
      </w:r>
      <w:r w:rsidR="00BE4878" w:rsidRPr="004223D6">
        <w:rPr>
          <w:rFonts w:cs="Arial"/>
          <w:szCs w:val="22"/>
          <w:lang w:val="sl-SI"/>
        </w:rPr>
        <w:t xml:space="preserve"> za operacijo »Finančni instrumenti </w:t>
      </w:r>
      <w:r w:rsidR="004F0A95">
        <w:rPr>
          <w:rFonts w:cs="Arial"/>
          <w:szCs w:val="22"/>
          <w:lang w:val="sl-SI"/>
        </w:rPr>
        <w:t>2014–2020</w:t>
      </w:r>
      <w:r w:rsidR="00BE4878" w:rsidRPr="004223D6">
        <w:rPr>
          <w:rFonts w:cs="Arial"/>
          <w:szCs w:val="22"/>
          <w:lang w:val="sl-SI"/>
        </w:rPr>
        <w:t xml:space="preserve">« (v nadaljevanju </w:t>
      </w:r>
      <w:proofErr w:type="spellStart"/>
      <w:r w:rsidR="00BE4878" w:rsidRPr="004223D6">
        <w:rPr>
          <w:rFonts w:cs="Arial"/>
          <w:szCs w:val="22"/>
          <w:lang w:val="sl-SI"/>
        </w:rPr>
        <w:t>SoF</w:t>
      </w:r>
      <w:proofErr w:type="spellEnd"/>
      <w:r w:rsidR="00BE4878" w:rsidRPr="004223D6">
        <w:rPr>
          <w:rFonts w:cs="Arial"/>
          <w:szCs w:val="22"/>
          <w:lang w:val="sl-SI"/>
        </w:rPr>
        <w:t>)</w:t>
      </w:r>
      <w:r w:rsidR="00C72B58" w:rsidRPr="004223D6">
        <w:rPr>
          <w:rFonts w:cs="Arial"/>
          <w:szCs w:val="22"/>
          <w:lang w:val="sl-SI"/>
        </w:rPr>
        <w:t xml:space="preserve">, </w:t>
      </w:r>
      <w:r w:rsidR="005D0010" w:rsidRPr="004223D6">
        <w:rPr>
          <w:rFonts w:cs="Arial"/>
          <w:szCs w:val="22"/>
          <w:lang w:val="sl-SI"/>
        </w:rPr>
        <w:t>izvaja</w:t>
      </w:r>
      <w:r w:rsidR="00F40DD4" w:rsidRPr="004223D6">
        <w:rPr>
          <w:rFonts w:cs="Arial"/>
          <w:szCs w:val="22"/>
          <w:lang w:val="sl-SI"/>
        </w:rPr>
        <w:t xml:space="preserve"> sam.</w:t>
      </w:r>
    </w:p>
    <w:p w14:paraId="336608CC" w14:textId="77777777" w:rsidR="00F94316" w:rsidRPr="004223D6" w:rsidRDefault="00F94316" w:rsidP="00CE3440">
      <w:pPr>
        <w:jc w:val="both"/>
        <w:rPr>
          <w:rFonts w:cs="Arial"/>
          <w:szCs w:val="22"/>
          <w:lang w:val="sl-SI"/>
        </w:rPr>
      </w:pPr>
    </w:p>
    <w:p w14:paraId="3C0FA632" w14:textId="00C386C8" w:rsidR="000F29F9" w:rsidRDefault="000F29F9" w:rsidP="004902F0">
      <w:pPr>
        <w:keepNext/>
        <w:keepLines/>
        <w:widowControl w:val="0"/>
        <w:jc w:val="both"/>
        <w:rPr>
          <w:rFonts w:cs="Arial"/>
          <w:szCs w:val="22"/>
          <w:lang w:val="sl-SI"/>
        </w:rPr>
      </w:pPr>
      <w:r w:rsidRPr="004223D6">
        <w:rPr>
          <w:rFonts w:cs="Arial"/>
          <w:szCs w:val="22"/>
          <w:lang w:val="sl-SI"/>
        </w:rPr>
        <w:t>Skupni znesek sredstev za finančne instrumente za obdobje upravičenosti do leta 2023 znaša 253 mio EU</w:t>
      </w:r>
      <w:r w:rsidR="00C15EAB" w:rsidRPr="004223D6">
        <w:rPr>
          <w:rFonts w:cs="Arial"/>
          <w:szCs w:val="22"/>
          <w:lang w:val="sl-SI"/>
        </w:rPr>
        <w:t>R</w:t>
      </w:r>
      <w:r w:rsidRPr="004223D6">
        <w:rPr>
          <w:rFonts w:cs="Arial"/>
          <w:szCs w:val="22"/>
          <w:lang w:val="sl-SI"/>
        </w:rPr>
        <w:t xml:space="preserve"> (sredstva</w:t>
      </w:r>
      <w:r w:rsidR="004902F0">
        <w:rPr>
          <w:rFonts w:cs="Arial"/>
          <w:szCs w:val="22"/>
          <w:lang w:val="sl-SI"/>
        </w:rPr>
        <w:t xml:space="preserve"> evropske kohezijske politike) in</w:t>
      </w:r>
      <w:r w:rsidR="00B50C81">
        <w:rPr>
          <w:rFonts w:cs="Arial"/>
          <w:szCs w:val="22"/>
          <w:lang w:val="sl-SI"/>
        </w:rPr>
        <w:t xml:space="preserve"> j</w:t>
      </w:r>
      <w:r w:rsidR="004902F0">
        <w:rPr>
          <w:rFonts w:cs="Arial"/>
          <w:szCs w:val="22"/>
          <w:lang w:val="sl-SI"/>
        </w:rPr>
        <w:t>e raz</w:t>
      </w:r>
      <w:r w:rsidR="00B50C81">
        <w:rPr>
          <w:rFonts w:cs="Arial"/>
          <w:szCs w:val="22"/>
          <w:lang w:val="sl-SI"/>
        </w:rPr>
        <w:t>deljen na štiri tranše po 63,25 </w:t>
      </w:r>
      <w:r w:rsidR="004902F0" w:rsidRPr="0087148D">
        <w:rPr>
          <w:rFonts w:cs="Arial"/>
          <w:szCs w:val="22"/>
          <w:lang w:val="sl-SI"/>
        </w:rPr>
        <w:t>mi</w:t>
      </w:r>
      <w:r w:rsidR="004902F0">
        <w:rPr>
          <w:rFonts w:cs="Arial"/>
          <w:szCs w:val="22"/>
          <w:lang w:val="sl-SI"/>
        </w:rPr>
        <w:t>lijona</w:t>
      </w:r>
      <w:r w:rsidR="004902F0" w:rsidRPr="0087148D">
        <w:rPr>
          <w:rFonts w:cs="Arial"/>
          <w:szCs w:val="22"/>
          <w:lang w:val="sl-SI"/>
        </w:rPr>
        <w:t xml:space="preserve"> </w:t>
      </w:r>
      <w:r w:rsidR="00B50C81">
        <w:rPr>
          <w:rFonts w:cs="Arial"/>
          <w:szCs w:val="22"/>
          <w:lang w:val="sl-SI"/>
        </w:rPr>
        <w:t>evrov, ki se v sklad skladov vplačajo v letih 2017, 2019, 2021 in 2022.</w:t>
      </w:r>
    </w:p>
    <w:p w14:paraId="68165A48" w14:textId="71267C4A" w:rsidR="00B50C81" w:rsidRDefault="00B50C81" w:rsidP="004902F0">
      <w:pPr>
        <w:keepNext/>
        <w:keepLines/>
        <w:widowControl w:val="0"/>
        <w:jc w:val="both"/>
        <w:rPr>
          <w:rFonts w:cs="Arial"/>
          <w:szCs w:val="22"/>
          <w:lang w:val="sl-SI"/>
        </w:rPr>
      </w:pPr>
    </w:p>
    <w:p w14:paraId="6C7B2987" w14:textId="7F586BD7" w:rsidR="00B50C81" w:rsidRDefault="00B50C81" w:rsidP="00266C05">
      <w:pPr>
        <w:keepNext/>
        <w:keepLines/>
        <w:widowControl w:val="0"/>
        <w:spacing w:after="240"/>
        <w:jc w:val="both"/>
        <w:rPr>
          <w:rFonts w:cs="Arial"/>
          <w:szCs w:val="22"/>
          <w:lang w:val="sl-SI"/>
        </w:rPr>
      </w:pPr>
      <w:r>
        <w:rPr>
          <w:rFonts w:cs="Arial"/>
          <w:szCs w:val="22"/>
          <w:lang w:val="sl-SI"/>
        </w:rPr>
        <w:t>V spodnji preglednici so sredstva razdeljena po prednostnih naložbah in kohezijskih regijah v celotnem obdobju upravičenosti.</w:t>
      </w:r>
    </w:p>
    <w:p w14:paraId="7E2E04CC" w14:textId="58F2044D" w:rsidR="00266C05" w:rsidRPr="004223D6" w:rsidRDefault="00266C05" w:rsidP="004902F0">
      <w:pPr>
        <w:keepNext/>
        <w:keepLines/>
        <w:widowControl w:val="0"/>
        <w:jc w:val="both"/>
        <w:rPr>
          <w:rFonts w:cs="Arial"/>
          <w:szCs w:val="22"/>
          <w:lang w:val="sl-SI"/>
        </w:rPr>
      </w:pPr>
      <w:r>
        <w:rPr>
          <w:rFonts w:cs="Arial"/>
          <w:szCs w:val="22"/>
          <w:lang w:val="sl-SI"/>
        </w:rPr>
        <w:t>Tabela 1: Sredstva po prednostnih naložbah in kohezijskih regijah v obdobju 2014-2020 (v EUR)</w:t>
      </w:r>
    </w:p>
    <w:p w14:paraId="0797EC83" w14:textId="77777777" w:rsidR="00F94316" w:rsidRPr="004223D6" w:rsidRDefault="00F94316" w:rsidP="007A74BB">
      <w:pPr>
        <w:keepNext/>
        <w:keepLines/>
        <w:widowControl w:val="0"/>
        <w:jc w:val="both"/>
        <w:rPr>
          <w:rFonts w:cs="Arial"/>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0"/>
        <w:gridCol w:w="2226"/>
        <w:gridCol w:w="2268"/>
        <w:gridCol w:w="2268"/>
      </w:tblGrid>
      <w:tr w:rsidR="000F29F9" w:rsidRPr="004223D6" w14:paraId="4482C3FB" w14:textId="77777777" w:rsidTr="0097333A">
        <w:trPr>
          <w:cantSplit/>
          <w:trHeight w:val="169"/>
        </w:trPr>
        <w:tc>
          <w:tcPr>
            <w:tcW w:w="2310" w:type="dxa"/>
            <w:shd w:val="clear" w:color="auto" w:fill="auto"/>
            <w:noWrap/>
            <w:vAlign w:val="bottom"/>
            <w:hideMark/>
          </w:tcPr>
          <w:p w14:paraId="0F38B948" w14:textId="0E056F6E" w:rsidR="000F29F9" w:rsidRPr="004223D6" w:rsidRDefault="000F29F9" w:rsidP="007A74BB">
            <w:pPr>
              <w:keepNext/>
              <w:keepLines/>
              <w:widowControl w:val="0"/>
              <w:jc w:val="center"/>
              <w:rPr>
                <w:rFonts w:cs="Arial"/>
                <w:b/>
                <w:bCs/>
                <w:szCs w:val="22"/>
                <w:lang w:val="sl-SI" w:eastAsia="sl-SI"/>
              </w:rPr>
            </w:pPr>
            <w:r w:rsidRPr="004223D6">
              <w:rPr>
                <w:rFonts w:cs="Arial"/>
                <w:b/>
                <w:bCs/>
                <w:szCs w:val="22"/>
                <w:lang w:val="sl-SI" w:eastAsia="sl-SI"/>
              </w:rPr>
              <w:t>Prednostna naložba iz OP 2014-2020</w:t>
            </w:r>
          </w:p>
        </w:tc>
        <w:tc>
          <w:tcPr>
            <w:tcW w:w="2226" w:type="dxa"/>
            <w:shd w:val="clear" w:color="auto" w:fill="auto"/>
            <w:noWrap/>
            <w:vAlign w:val="bottom"/>
            <w:hideMark/>
          </w:tcPr>
          <w:p w14:paraId="646C7BC4" w14:textId="77777777" w:rsidR="000F29F9" w:rsidRPr="004223D6" w:rsidRDefault="000F29F9" w:rsidP="007A74BB">
            <w:pPr>
              <w:keepNext/>
              <w:keepLines/>
              <w:widowControl w:val="0"/>
              <w:jc w:val="center"/>
              <w:rPr>
                <w:rFonts w:cs="Arial"/>
                <w:b/>
                <w:bCs/>
                <w:szCs w:val="22"/>
                <w:lang w:val="sl-SI" w:eastAsia="sl-SI"/>
              </w:rPr>
            </w:pPr>
            <w:r w:rsidRPr="004223D6">
              <w:rPr>
                <w:rFonts w:cs="Arial"/>
                <w:b/>
                <w:bCs/>
                <w:szCs w:val="22"/>
                <w:lang w:val="sl-SI" w:eastAsia="sl-SI"/>
              </w:rPr>
              <w:t>FI (EU del) - VZHOD</w:t>
            </w:r>
          </w:p>
        </w:tc>
        <w:tc>
          <w:tcPr>
            <w:tcW w:w="2268" w:type="dxa"/>
            <w:shd w:val="clear" w:color="auto" w:fill="auto"/>
            <w:noWrap/>
            <w:vAlign w:val="bottom"/>
            <w:hideMark/>
          </w:tcPr>
          <w:p w14:paraId="30D50531" w14:textId="77777777" w:rsidR="000F29F9" w:rsidRPr="004223D6" w:rsidRDefault="000F29F9" w:rsidP="007A74BB">
            <w:pPr>
              <w:keepNext/>
              <w:keepLines/>
              <w:widowControl w:val="0"/>
              <w:jc w:val="center"/>
              <w:rPr>
                <w:rFonts w:cs="Arial"/>
                <w:b/>
                <w:bCs/>
                <w:szCs w:val="22"/>
                <w:lang w:val="sl-SI" w:eastAsia="sl-SI"/>
              </w:rPr>
            </w:pPr>
            <w:r w:rsidRPr="004223D6">
              <w:rPr>
                <w:rFonts w:cs="Arial"/>
                <w:b/>
                <w:bCs/>
                <w:szCs w:val="22"/>
                <w:lang w:val="sl-SI" w:eastAsia="sl-SI"/>
              </w:rPr>
              <w:t>FI (EU del) - ZAHOD</w:t>
            </w:r>
          </w:p>
        </w:tc>
        <w:tc>
          <w:tcPr>
            <w:tcW w:w="2268" w:type="dxa"/>
            <w:shd w:val="clear" w:color="auto" w:fill="auto"/>
            <w:noWrap/>
            <w:vAlign w:val="bottom"/>
            <w:hideMark/>
          </w:tcPr>
          <w:p w14:paraId="7734ED5B" w14:textId="46849ACB" w:rsidR="000F29F9" w:rsidRPr="004223D6" w:rsidRDefault="000F29F9" w:rsidP="007A74BB">
            <w:pPr>
              <w:keepNext/>
              <w:keepLines/>
              <w:widowControl w:val="0"/>
              <w:jc w:val="center"/>
              <w:rPr>
                <w:rFonts w:cs="Arial"/>
                <w:b/>
                <w:bCs/>
                <w:szCs w:val="22"/>
                <w:lang w:val="sl-SI" w:eastAsia="sl-SI"/>
              </w:rPr>
            </w:pPr>
            <w:r w:rsidRPr="004223D6">
              <w:rPr>
                <w:rFonts w:cs="Arial"/>
                <w:b/>
                <w:bCs/>
                <w:szCs w:val="22"/>
                <w:lang w:val="sl-SI" w:eastAsia="sl-SI"/>
              </w:rPr>
              <w:t>Skupaj FI (EU del)</w:t>
            </w:r>
            <w:r w:rsidR="00C13896">
              <w:rPr>
                <w:rFonts w:cs="Arial"/>
                <w:b/>
                <w:bCs/>
                <w:szCs w:val="22"/>
                <w:lang w:val="sl-SI" w:eastAsia="sl-SI"/>
              </w:rPr>
              <w:t xml:space="preserve"> </w:t>
            </w:r>
          </w:p>
        </w:tc>
      </w:tr>
      <w:tr w:rsidR="000F29F9" w:rsidRPr="004223D6" w14:paraId="46EC4153" w14:textId="77777777" w:rsidTr="0097333A">
        <w:trPr>
          <w:cantSplit/>
          <w:trHeight w:val="169"/>
        </w:trPr>
        <w:tc>
          <w:tcPr>
            <w:tcW w:w="2310" w:type="dxa"/>
            <w:shd w:val="clear" w:color="D9D9D9" w:fill="D9D9D9"/>
            <w:noWrap/>
            <w:vAlign w:val="bottom"/>
            <w:hideMark/>
          </w:tcPr>
          <w:p w14:paraId="67A53AD7" w14:textId="77777777" w:rsidR="000F29F9" w:rsidRPr="004223D6" w:rsidRDefault="000F29F9" w:rsidP="007A74BB">
            <w:pPr>
              <w:keepNext/>
              <w:keepLines/>
              <w:widowControl w:val="0"/>
              <w:rPr>
                <w:rFonts w:cs="Arial"/>
                <w:szCs w:val="22"/>
                <w:lang w:val="sl-SI" w:eastAsia="sl-SI"/>
              </w:rPr>
            </w:pPr>
            <w:r w:rsidRPr="004223D6">
              <w:rPr>
                <w:rFonts w:cs="Arial"/>
                <w:szCs w:val="22"/>
                <w:lang w:val="sl-SI" w:eastAsia="sl-SI"/>
              </w:rPr>
              <w:t>1.2 (RRI)</w:t>
            </w:r>
          </w:p>
        </w:tc>
        <w:tc>
          <w:tcPr>
            <w:tcW w:w="2226" w:type="dxa"/>
            <w:shd w:val="clear" w:color="D9D9D9" w:fill="D9D9D9"/>
            <w:noWrap/>
            <w:vAlign w:val="bottom"/>
            <w:hideMark/>
          </w:tcPr>
          <w:p w14:paraId="73960D21" w14:textId="62C74A5A" w:rsidR="000F29F9" w:rsidRPr="004223D6" w:rsidRDefault="00763EEA" w:rsidP="007A74BB">
            <w:pPr>
              <w:keepNext/>
              <w:keepLines/>
              <w:widowControl w:val="0"/>
              <w:jc w:val="right"/>
              <w:rPr>
                <w:rFonts w:cs="Arial"/>
                <w:szCs w:val="22"/>
                <w:lang w:val="sl-SI" w:eastAsia="sl-SI"/>
              </w:rPr>
            </w:pPr>
            <w:r w:rsidRPr="004223D6">
              <w:rPr>
                <w:rFonts w:cs="Arial"/>
                <w:szCs w:val="22"/>
                <w:lang w:val="sl-SI" w:eastAsia="sl-SI"/>
              </w:rPr>
              <w:t>34.200.000</w:t>
            </w:r>
          </w:p>
        </w:tc>
        <w:tc>
          <w:tcPr>
            <w:tcW w:w="2268" w:type="dxa"/>
            <w:shd w:val="clear" w:color="D9D9D9" w:fill="D9D9D9"/>
            <w:noWrap/>
            <w:vAlign w:val="bottom"/>
            <w:hideMark/>
          </w:tcPr>
          <w:p w14:paraId="5E82B082" w14:textId="127C5011" w:rsidR="000F29F9" w:rsidRPr="004223D6" w:rsidRDefault="00763EEA" w:rsidP="007A74BB">
            <w:pPr>
              <w:keepNext/>
              <w:keepLines/>
              <w:widowControl w:val="0"/>
              <w:jc w:val="right"/>
              <w:rPr>
                <w:rFonts w:cs="Arial"/>
                <w:szCs w:val="22"/>
                <w:lang w:val="sl-SI" w:eastAsia="sl-SI"/>
              </w:rPr>
            </w:pPr>
            <w:r w:rsidRPr="004223D6">
              <w:rPr>
                <w:rFonts w:cs="Arial"/>
                <w:szCs w:val="22"/>
                <w:lang w:val="sl-SI" w:eastAsia="sl-SI"/>
              </w:rPr>
              <w:t>53.800.000</w:t>
            </w:r>
          </w:p>
        </w:tc>
        <w:tc>
          <w:tcPr>
            <w:tcW w:w="2268" w:type="dxa"/>
            <w:shd w:val="clear" w:color="D9D9D9" w:fill="D9D9D9"/>
            <w:noWrap/>
            <w:vAlign w:val="bottom"/>
            <w:hideMark/>
          </w:tcPr>
          <w:p w14:paraId="56BA5F70" w14:textId="77777777" w:rsidR="000F29F9" w:rsidRPr="004223D6" w:rsidRDefault="000F29F9" w:rsidP="007A74BB">
            <w:pPr>
              <w:keepNext/>
              <w:keepLines/>
              <w:widowControl w:val="0"/>
              <w:jc w:val="right"/>
              <w:rPr>
                <w:rFonts w:cs="Arial"/>
                <w:szCs w:val="22"/>
                <w:lang w:val="sl-SI" w:eastAsia="sl-SI"/>
              </w:rPr>
            </w:pPr>
            <w:r w:rsidRPr="004223D6">
              <w:rPr>
                <w:rFonts w:cs="Arial"/>
                <w:szCs w:val="22"/>
                <w:lang w:val="sl-SI" w:eastAsia="sl-SI"/>
              </w:rPr>
              <w:t>88.000.000</w:t>
            </w:r>
          </w:p>
        </w:tc>
      </w:tr>
      <w:tr w:rsidR="000F29F9" w:rsidRPr="004223D6" w14:paraId="7BC84D51" w14:textId="77777777" w:rsidTr="0097333A">
        <w:trPr>
          <w:cantSplit/>
          <w:trHeight w:val="169"/>
        </w:trPr>
        <w:tc>
          <w:tcPr>
            <w:tcW w:w="2310" w:type="dxa"/>
            <w:shd w:val="clear" w:color="auto" w:fill="auto"/>
            <w:noWrap/>
            <w:vAlign w:val="bottom"/>
            <w:hideMark/>
          </w:tcPr>
          <w:p w14:paraId="7092EDBB" w14:textId="77777777" w:rsidR="000F29F9" w:rsidRPr="004223D6" w:rsidRDefault="000F29F9" w:rsidP="00596343">
            <w:pPr>
              <w:rPr>
                <w:rFonts w:cs="Arial"/>
                <w:szCs w:val="22"/>
                <w:lang w:val="sl-SI" w:eastAsia="sl-SI"/>
              </w:rPr>
            </w:pPr>
            <w:r w:rsidRPr="004223D6">
              <w:rPr>
                <w:rFonts w:cs="Arial"/>
                <w:szCs w:val="22"/>
                <w:lang w:val="sl-SI" w:eastAsia="sl-SI"/>
              </w:rPr>
              <w:t>3.1 (MSP)</w:t>
            </w:r>
          </w:p>
        </w:tc>
        <w:tc>
          <w:tcPr>
            <w:tcW w:w="2226" w:type="dxa"/>
            <w:shd w:val="clear" w:color="auto" w:fill="auto"/>
            <w:noWrap/>
            <w:vAlign w:val="bottom"/>
            <w:hideMark/>
          </w:tcPr>
          <w:p w14:paraId="267ECD47" w14:textId="461848D5" w:rsidR="000F29F9" w:rsidRPr="004223D6" w:rsidRDefault="005D2C69" w:rsidP="00DE1A7B">
            <w:pPr>
              <w:jc w:val="right"/>
              <w:rPr>
                <w:rFonts w:cs="Arial"/>
                <w:szCs w:val="22"/>
                <w:lang w:val="sl-SI" w:eastAsia="sl-SI"/>
              </w:rPr>
            </w:pPr>
            <w:r w:rsidRPr="004223D6">
              <w:rPr>
                <w:rFonts w:cs="Arial"/>
                <w:szCs w:val="22"/>
                <w:lang w:val="sl-SI" w:eastAsia="sl-SI"/>
              </w:rPr>
              <w:t>55.5</w:t>
            </w:r>
            <w:r w:rsidR="00763EEA" w:rsidRPr="004223D6">
              <w:rPr>
                <w:rFonts w:cs="Arial"/>
                <w:szCs w:val="22"/>
                <w:lang w:val="sl-SI" w:eastAsia="sl-SI"/>
              </w:rPr>
              <w:t>00.000</w:t>
            </w:r>
          </w:p>
        </w:tc>
        <w:tc>
          <w:tcPr>
            <w:tcW w:w="2268" w:type="dxa"/>
            <w:shd w:val="clear" w:color="auto" w:fill="auto"/>
            <w:noWrap/>
            <w:vAlign w:val="bottom"/>
            <w:hideMark/>
          </w:tcPr>
          <w:p w14:paraId="6995DBBB" w14:textId="2CAEF71C" w:rsidR="000F29F9" w:rsidRPr="004223D6" w:rsidRDefault="005D2C69" w:rsidP="00DE1A7B">
            <w:pPr>
              <w:jc w:val="right"/>
              <w:rPr>
                <w:rFonts w:cs="Arial"/>
                <w:szCs w:val="22"/>
                <w:lang w:val="sl-SI" w:eastAsia="sl-SI"/>
              </w:rPr>
            </w:pPr>
            <w:r w:rsidRPr="004223D6">
              <w:rPr>
                <w:rFonts w:cs="Arial"/>
                <w:szCs w:val="22"/>
                <w:lang w:val="sl-SI" w:eastAsia="sl-SI"/>
              </w:rPr>
              <w:t>79.500.000</w:t>
            </w:r>
          </w:p>
        </w:tc>
        <w:tc>
          <w:tcPr>
            <w:tcW w:w="2268" w:type="dxa"/>
            <w:shd w:val="clear" w:color="auto" w:fill="auto"/>
            <w:noWrap/>
            <w:vAlign w:val="bottom"/>
            <w:hideMark/>
          </w:tcPr>
          <w:p w14:paraId="351B84F4" w14:textId="77777777" w:rsidR="000F29F9" w:rsidRPr="004223D6" w:rsidRDefault="000F29F9" w:rsidP="00596343">
            <w:pPr>
              <w:jc w:val="right"/>
              <w:rPr>
                <w:rFonts w:cs="Arial"/>
                <w:szCs w:val="22"/>
                <w:lang w:val="sl-SI" w:eastAsia="sl-SI"/>
              </w:rPr>
            </w:pPr>
            <w:r w:rsidRPr="004223D6">
              <w:rPr>
                <w:rFonts w:cs="Arial"/>
                <w:szCs w:val="22"/>
                <w:lang w:val="sl-SI" w:eastAsia="sl-SI"/>
              </w:rPr>
              <w:t>135.000.000</w:t>
            </w:r>
          </w:p>
        </w:tc>
      </w:tr>
      <w:tr w:rsidR="000F29F9" w:rsidRPr="004223D6" w14:paraId="47D0786F" w14:textId="77777777" w:rsidTr="0097333A">
        <w:trPr>
          <w:cantSplit/>
          <w:trHeight w:val="169"/>
        </w:trPr>
        <w:tc>
          <w:tcPr>
            <w:tcW w:w="2310" w:type="dxa"/>
            <w:shd w:val="clear" w:color="D9D9D9" w:fill="D9D9D9"/>
            <w:noWrap/>
            <w:vAlign w:val="bottom"/>
            <w:hideMark/>
          </w:tcPr>
          <w:p w14:paraId="4E4B23F8" w14:textId="77777777" w:rsidR="000F29F9" w:rsidRPr="004223D6" w:rsidRDefault="000F29F9" w:rsidP="00596343">
            <w:pPr>
              <w:rPr>
                <w:rFonts w:cs="Arial"/>
                <w:szCs w:val="22"/>
                <w:lang w:val="sl-SI" w:eastAsia="sl-SI"/>
              </w:rPr>
            </w:pPr>
            <w:r w:rsidRPr="004223D6">
              <w:rPr>
                <w:rFonts w:cs="Arial"/>
                <w:szCs w:val="22"/>
                <w:lang w:val="sl-SI" w:eastAsia="sl-SI"/>
              </w:rPr>
              <w:t>4.1 (EE)</w:t>
            </w:r>
          </w:p>
        </w:tc>
        <w:tc>
          <w:tcPr>
            <w:tcW w:w="2226" w:type="dxa"/>
            <w:shd w:val="clear" w:color="D9D9D9" w:fill="D9D9D9"/>
            <w:noWrap/>
            <w:vAlign w:val="bottom"/>
            <w:hideMark/>
          </w:tcPr>
          <w:p w14:paraId="4DAA3794" w14:textId="77777777" w:rsidR="000F29F9" w:rsidRPr="004223D6" w:rsidRDefault="000F29F9" w:rsidP="00596343">
            <w:pPr>
              <w:jc w:val="right"/>
              <w:rPr>
                <w:rFonts w:cs="Arial"/>
                <w:szCs w:val="22"/>
                <w:lang w:val="sl-SI" w:eastAsia="sl-SI"/>
              </w:rPr>
            </w:pPr>
            <w:r w:rsidRPr="004223D6">
              <w:rPr>
                <w:rFonts w:cs="Arial"/>
                <w:szCs w:val="22"/>
                <w:lang w:val="sl-SI" w:eastAsia="sl-SI"/>
              </w:rPr>
              <w:t>0</w:t>
            </w:r>
          </w:p>
        </w:tc>
        <w:tc>
          <w:tcPr>
            <w:tcW w:w="2268" w:type="dxa"/>
            <w:shd w:val="clear" w:color="D9D9D9" w:fill="D9D9D9"/>
            <w:noWrap/>
            <w:vAlign w:val="bottom"/>
            <w:hideMark/>
          </w:tcPr>
          <w:p w14:paraId="16230621" w14:textId="77777777" w:rsidR="000F29F9" w:rsidRPr="004223D6" w:rsidRDefault="000F29F9" w:rsidP="00596343">
            <w:pPr>
              <w:jc w:val="right"/>
              <w:rPr>
                <w:rFonts w:cs="Arial"/>
                <w:szCs w:val="22"/>
                <w:lang w:val="sl-SI" w:eastAsia="sl-SI"/>
              </w:rPr>
            </w:pPr>
            <w:r w:rsidRPr="004223D6">
              <w:rPr>
                <w:rFonts w:cs="Arial"/>
                <w:szCs w:val="22"/>
                <w:lang w:val="sl-SI" w:eastAsia="sl-SI"/>
              </w:rPr>
              <w:t>0</w:t>
            </w:r>
          </w:p>
        </w:tc>
        <w:tc>
          <w:tcPr>
            <w:tcW w:w="2268" w:type="dxa"/>
            <w:shd w:val="clear" w:color="D9D9D9" w:fill="D9D9D9"/>
            <w:noWrap/>
            <w:vAlign w:val="bottom"/>
            <w:hideMark/>
          </w:tcPr>
          <w:p w14:paraId="58AEDFE7" w14:textId="77777777" w:rsidR="000F29F9" w:rsidRPr="004223D6" w:rsidRDefault="000F29F9" w:rsidP="00596343">
            <w:pPr>
              <w:jc w:val="right"/>
              <w:rPr>
                <w:rFonts w:cs="Arial"/>
                <w:szCs w:val="22"/>
                <w:lang w:val="sl-SI" w:eastAsia="sl-SI"/>
              </w:rPr>
            </w:pPr>
            <w:r w:rsidRPr="004223D6">
              <w:rPr>
                <w:rFonts w:cs="Arial"/>
                <w:szCs w:val="22"/>
                <w:lang w:val="sl-SI" w:eastAsia="sl-SI"/>
              </w:rPr>
              <w:t>25.000.000</w:t>
            </w:r>
          </w:p>
        </w:tc>
      </w:tr>
      <w:tr w:rsidR="000F29F9" w:rsidRPr="004223D6" w14:paraId="37EDD4B3" w14:textId="77777777" w:rsidTr="0097333A">
        <w:trPr>
          <w:cantSplit/>
          <w:trHeight w:val="169"/>
        </w:trPr>
        <w:tc>
          <w:tcPr>
            <w:tcW w:w="2310" w:type="dxa"/>
            <w:shd w:val="clear" w:color="auto" w:fill="auto"/>
            <w:noWrap/>
            <w:vAlign w:val="bottom"/>
            <w:hideMark/>
          </w:tcPr>
          <w:p w14:paraId="23A91A29" w14:textId="1BEE294F" w:rsidR="000F29F9" w:rsidRPr="004223D6" w:rsidRDefault="00DA2C30" w:rsidP="00596343">
            <w:pPr>
              <w:rPr>
                <w:rFonts w:cs="Arial"/>
                <w:szCs w:val="22"/>
                <w:lang w:val="sl-SI" w:eastAsia="sl-SI"/>
              </w:rPr>
            </w:pPr>
            <w:r>
              <w:rPr>
                <w:rFonts w:cs="Arial"/>
                <w:szCs w:val="22"/>
                <w:lang w:val="sl-SI" w:eastAsia="sl-SI"/>
              </w:rPr>
              <w:t>6.3 (UR</w:t>
            </w:r>
            <w:r w:rsidR="000F29F9" w:rsidRPr="004223D6">
              <w:rPr>
                <w:rFonts w:cs="Arial"/>
                <w:szCs w:val="22"/>
                <w:lang w:val="sl-SI" w:eastAsia="sl-SI"/>
              </w:rPr>
              <w:t>)</w:t>
            </w:r>
          </w:p>
        </w:tc>
        <w:tc>
          <w:tcPr>
            <w:tcW w:w="2226" w:type="dxa"/>
            <w:shd w:val="clear" w:color="auto" w:fill="auto"/>
            <w:noWrap/>
            <w:vAlign w:val="bottom"/>
            <w:hideMark/>
          </w:tcPr>
          <w:p w14:paraId="60FDF881" w14:textId="77777777" w:rsidR="000F29F9" w:rsidRPr="004223D6" w:rsidRDefault="000F29F9" w:rsidP="00596343">
            <w:pPr>
              <w:jc w:val="right"/>
              <w:rPr>
                <w:rFonts w:cs="Arial"/>
                <w:szCs w:val="22"/>
                <w:lang w:val="sl-SI" w:eastAsia="sl-SI"/>
              </w:rPr>
            </w:pPr>
            <w:r w:rsidRPr="004223D6">
              <w:rPr>
                <w:rFonts w:cs="Arial"/>
                <w:szCs w:val="22"/>
                <w:lang w:val="sl-SI" w:eastAsia="sl-SI"/>
              </w:rPr>
              <w:t>3.200.000</w:t>
            </w:r>
          </w:p>
        </w:tc>
        <w:tc>
          <w:tcPr>
            <w:tcW w:w="2268" w:type="dxa"/>
            <w:shd w:val="clear" w:color="auto" w:fill="auto"/>
            <w:noWrap/>
            <w:vAlign w:val="bottom"/>
            <w:hideMark/>
          </w:tcPr>
          <w:p w14:paraId="0A336068" w14:textId="77777777" w:rsidR="000F29F9" w:rsidRPr="004223D6" w:rsidRDefault="000F29F9" w:rsidP="00596343">
            <w:pPr>
              <w:jc w:val="right"/>
              <w:rPr>
                <w:rFonts w:cs="Arial"/>
                <w:szCs w:val="22"/>
                <w:lang w:val="sl-SI" w:eastAsia="sl-SI"/>
              </w:rPr>
            </w:pPr>
            <w:r w:rsidRPr="004223D6">
              <w:rPr>
                <w:rFonts w:cs="Arial"/>
                <w:szCs w:val="22"/>
                <w:lang w:val="sl-SI" w:eastAsia="sl-SI"/>
              </w:rPr>
              <w:t>1.800.000</w:t>
            </w:r>
          </w:p>
        </w:tc>
        <w:tc>
          <w:tcPr>
            <w:tcW w:w="2268" w:type="dxa"/>
            <w:shd w:val="clear" w:color="auto" w:fill="auto"/>
            <w:noWrap/>
            <w:vAlign w:val="bottom"/>
            <w:hideMark/>
          </w:tcPr>
          <w:p w14:paraId="70062CB3" w14:textId="77777777" w:rsidR="000F29F9" w:rsidRPr="004223D6" w:rsidRDefault="000F29F9" w:rsidP="00596343">
            <w:pPr>
              <w:jc w:val="right"/>
              <w:rPr>
                <w:rFonts w:cs="Arial"/>
                <w:szCs w:val="22"/>
                <w:lang w:val="sl-SI" w:eastAsia="sl-SI"/>
              </w:rPr>
            </w:pPr>
            <w:r w:rsidRPr="004223D6">
              <w:rPr>
                <w:rFonts w:cs="Arial"/>
                <w:szCs w:val="22"/>
                <w:lang w:val="sl-SI" w:eastAsia="sl-SI"/>
              </w:rPr>
              <w:t>5.000.000</w:t>
            </w:r>
          </w:p>
        </w:tc>
      </w:tr>
      <w:tr w:rsidR="000F29F9" w:rsidRPr="004223D6" w14:paraId="647467C5" w14:textId="77777777" w:rsidTr="0097333A">
        <w:trPr>
          <w:cantSplit/>
          <w:trHeight w:val="169"/>
        </w:trPr>
        <w:tc>
          <w:tcPr>
            <w:tcW w:w="2310" w:type="dxa"/>
            <w:shd w:val="clear" w:color="auto" w:fill="auto"/>
            <w:noWrap/>
            <w:vAlign w:val="bottom"/>
            <w:hideMark/>
          </w:tcPr>
          <w:p w14:paraId="3A05B2AA" w14:textId="77777777" w:rsidR="000F29F9" w:rsidRPr="004223D6" w:rsidRDefault="000F29F9" w:rsidP="00596343">
            <w:pPr>
              <w:rPr>
                <w:rFonts w:cs="Arial"/>
                <w:b/>
                <w:bCs/>
                <w:szCs w:val="22"/>
                <w:lang w:val="sl-SI" w:eastAsia="sl-SI"/>
              </w:rPr>
            </w:pPr>
            <w:r w:rsidRPr="004223D6">
              <w:rPr>
                <w:rFonts w:cs="Arial"/>
                <w:b/>
                <w:bCs/>
                <w:szCs w:val="22"/>
                <w:lang w:val="sl-SI" w:eastAsia="sl-SI"/>
              </w:rPr>
              <w:t>Vsota</w:t>
            </w:r>
          </w:p>
        </w:tc>
        <w:tc>
          <w:tcPr>
            <w:tcW w:w="2226" w:type="dxa"/>
            <w:shd w:val="clear" w:color="auto" w:fill="auto"/>
            <w:noWrap/>
            <w:vAlign w:val="bottom"/>
            <w:hideMark/>
          </w:tcPr>
          <w:p w14:paraId="42F736CC" w14:textId="4F4ABDF2" w:rsidR="000F29F9" w:rsidRPr="004223D6" w:rsidRDefault="00F16875" w:rsidP="00DE1A7B">
            <w:pPr>
              <w:jc w:val="right"/>
              <w:rPr>
                <w:rFonts w:cs="Arial"/>
                <w:b/>
                <w:bCs/>
                <w:szCs w:val="22"/>
                <w:lang w:val="sl-SI" w:eastAsia="sl-SI"/>
              </w:rPr>
            </w:pPr>
            <w:r w:rsidRPr="004223D6">
              <w:rPr>
                <w:rFonts w:cs="Arial"/>
                <w:b/>
                <w:bCs/>
                <w:szCs w:val="22"/>
                <w:lang w:val="sl-SI" w:eastAsia="sl-SI"/>
              </w:rPr>
              <w:t>92.900.000</w:t>
            </w:r>
          </w:p>
        </w:tc>
        <w:tc>
          <w:tcPr>
            <w:tcW w:w="2268" w:type="dxa"/>
            <w:shd w:val="clear" w:color="auto" w:fill="auto"/>
            <w:noWrap/>
            <w:vAlign w:val="bottom"/>
            <w:hideMark/>
          </w:tcPr>
          <w:p w14:paraId="20FE0049" w14:textId="0165BF6A" w:rsidR="000F29F9" w:rsidRPr="004223D6" w:rsidRDefault="00F16875" w:rsidP="00DE1A7B">
            <w:pPr>
              <w:jc w:val="right"/>
              <w:rPr>
                <w:rFonts w:cs="Arial"/>
                <w:b/>
                <w:bCs/>
                <w:szCs w:val="22"/>
                <w:lang w:val="sl-SI" w:eastAsia="sl-SI"/>
              </w:rPr>
            </w:pPr>
            <w:r w:rsidRPr="004223D6">
              <w:rPr>
                <w:rFonts w:cs="Arial"/>
                <w:b/>
                <w:bCs/>
                <w:szCs w:val="22"/>
                <w:lang w:val="sl-SI" w:eastAsia="sl-SI"/>
              </w:rPr>
              <w:t>135.100.000</w:t>
            </w:r>
          </w:p>
        </w:tc>
        <w:tc>
          <w:tcPr>
            <w:tcW w:w="2268" w:type="dxa"/>
            <w:shd w:val="clear" w:color="auto" w:fill="auto"/>
            <w:noWrap/>
            <w:vAlign w:val="bottom"/>
            <w:hideMark/>
          </w:tcPr>
          <w:p w14:paraId="4B5DB1A2" w14:textId="77777777" w:rsidR="000F29F9" w:rsidRPr="004223D6" w:rsidRDefault="000F29F9" w:rsidP="00596343">
            <w:pPr>
              <w:jc w:val="right"/>
              <w:rPr>
                <w:rFonts w:cs="Arial"/>
                <w:b/>
                <w:bCs/>
                <w:szCs w:val="22"/>
                <w:lang w:val="sl-SI" w:eastAsia="sl-SI"/>
              </w:rPr>
            </w:pPr>
            <w:r w:rsidRPr="004223D6">
              <w:rPr>
                <w:rFonts w:cs="Arial"/>
                <w:b/>
                <w:bCs/>
                <w:szCs w:val="22"/>
                <w:lang w:val="sl-SI" w:eastAsia="sl-SI"/>
              </w:rPr>
              <w:t>253.000.000</w:t>
            </w:r>
          </w:p>
        </w:tc>
      </w:tr>
    </w:tbl>
    <w:p w14:paraId="6E8EAC7B" w14:textId="04E2399A" w:rsidR="000F29F9" w:rsidRPr="004223D6" w:rsidRDefault="000F29F9" w:rsidP="00CE3440">
      <w:pPr>
        <w:rPr>
          <w:rFonts w:cs="Arial"/>
          <w:lang w:val="sl-SI"/>
        </w:rPr>
      </w:pPr>
      <w:r w:rsidRPr="004223D6">
        <w:rPr>
          <w:rFonts w:cs="Arial"/>
          <w:lang w:val="sl-SI"/>
        </w:rPr>
        <w:t xml:space="preserve"> </w:t>
      </w:r>
    </w:p>
    <w:p w14:paraId="5201ECBA" w14:textId="77777777" w:rsidR="001725E3" w:rsidRPr="004223D6" w:rsidRDefault="001725E3" w:rsidP="001725E3">
      <w:pPr>
        <w:jc w:val="both"/>
        <w:rPr>
          <w:rFonts w:cs="Arial"/>
          <w:szCs w:val="22"/>
          <w:lang w:val="sl-SI"/>
        </w:rPr>
      </w:pPr>
      <w:r w:rsidRPr="004223D6">
        <w:rPr>
          <w:rFonts w:cs="Arial"/>
          <w:szCs w:val="22"/>
          <w:lang w:val="sl-SI"/>
        </w:rPr>
        <w:t xml:space="preserve">Skupna višina sredstev iz sredstev EKP namenjena za izvajanja za izvajanje FI do leta 2023 je 253 </w:t>
      </w:r>
      <w:r>
        <w:rPr>
          <w:rFonts w:cs="Arial"/>
          <w:szCs w:val="22"/>
          <w:lang w:val="sl-SI"/>
        </w:rPr>
        <w:t>milijonov evrov</w:t>
      </w:r>
      <w:r w:rsidRPr="004223D6">
        <w:rPr>
          <w:rFonts w:cs="Arial"/>
          <w:szCs w:val="22"/>
          <w:lang w:val="sl-SI"/>
        </w:rPr>
        <w:t>. Kumulativna višina sredstev je razčlenjena v priloženih finančnih preglednicah, in sicer finančni načrt obsega sredstev prednostnih naložb FI vključuje razsežnosti prispevka k ukrepom kohezijske politike, oblike FI in terminski načrt.</w:t>
      </w:r>
    </w:p>
    <w:p w14:paraId="2EE38752" w14:textId="77777777" w:rsidR="001725E3" w:rsidRPr="004223D6" w:rsidRDefault="001725E3" w:rsidP="001725E3">
      <w:pPr>
        <w:jc w:val="both"/>
        <w:rPr>
          <w:rFonts w:cs="Arial"/>
          <w:szCs w:val="22"/>
          <w:lang w:val="sl-SI"/>
        </w:rPr>
      </w:pPr>
    </w:p>
    <w:p w14:paraId="69CB0FE8" w14:textId="77777777" w:rsidR="001725E3" w:rsidRPr="004223D6" w:rsidRDefault="001725E3" w:rsidP="001725E3">
      <w:pPr>
        <w:jc w:val="both"/>
        <w:rPr>
          <w:rFonts w:cs="Arial"/>
          <w:szCs w:val="22"/>
          <w:lang w:val="sl-SI"/>
        </w:rPr>
      </w:pPr>
      <w:r w:rsidRPr="004223D6">
        <w:rPr>
          <w:rFonts w:cs="Arial"/>
          <w:szCs w:val="22"/>
          <w:lang w:val="sl-SI"/>
        </w:rPr>
        <w:t>Predvidena višina sredstev FI je opredeljena po ciljnih skupinah in posameznih področjih:</w:t>
      </w:r>
    </w:p>
    <w:p w14:paraId="2E2E1D2F" w14:textId="77777777" w:rsidR="001725E3" w:rsidRPr="005743CB" w:rsidRDefault="001725E3" w:rsidP="001725E3">
      <w:pPr>
        <w:pStyle w:val="Odstavekseznama"/>
        <w:numPr>
          <w:ilvl w:val="0"/>
          <w:numId w:val="37"/>
        </w:numPr>
        <w:jc w:val="both"/>
        <w:rPr>
          <w:rFonts w:ascii="Arial" w:hAnsi="Arial" w:cs="Arial"/>
          <w:lang w:val="sl-SI"/>
        </w:rPr>
      </w:pPr>
      <w:r w:rsidRPr="005743CB">
        <w:rPr>
          <w:rFonts w:ascii="Arial" w:hAnsi="Arial" w:cs="Arial"/>
          <w:lang w:val="sl-SI"/>
        </w:rPr>
        <w:t xml:space="preserve">za področje RRI so predvideni krediti in jamstva (tj. </w:t>
      </w:r>
      <w:proofErr w:type="spellStart"/>
      <w:r w:rsidRPr="005743CB">
        <w:rPr>
          <w:rFonts w:ascii="Arial" w:hAnsi="Arial" w:cs="Arial"/>
          <w:lang w:val="sl-SI"/>
        </w:rPr>
        <w:t>portfeljske</w:t>
      </w:r>
      <w:proofErr w:type="spellEnd"/>
      <w:r w:rsidRPr="005743CB">
        <w:rPr>
          <w:rFonts w:ascii="Arial" w:hAnsi="Arial" w:cs="Arial"/>
          <w:lang w:val="sl-SI"/>
        </w:rPr>
        <w:t xml:space="preserve"> garancije) v skupni vrednosti 88 milijonov evrov,</w:t>
      </w:r>
    </w:p>
    <w:p w14:paraId="3A226F1D" w14:textId="77777777" w:rsidR="001725E3" w:rsidRPr="005743CB" w:rsidRDefault="001725E3" w:rsidP="001725E3">
      <w:pPr>
        <w:pStyle w:val="Odstavekseznama"/>
        <w:numPr>
          <w:ilvl w:val="0"/>
          <w:numId w:val="37"/>
        </w:numPr>
        <w:jc w:val="both"/>
        <w:rPr>
          <w:rFonts w:ascii="Arial" w:hAnsi="Arial" w:cs="Arial"/>
          <w:lang w:val="sl-SI"/>
        </w:rPr>
      </w:pPr>
      <w:r w:rsidRPr="005743CB">
        <w:rPr>
          <w:rFonts w:ascii="Arial" w:hAnsi="Arial" w:cs="Arial"/>
          <w:lang w:val="sl-SI"/>
        </w:rPr>
        <w:t xml:space="preserve">za področje MSP so predvideni mikrokrediti, jamstva (tj. </w:t>
      </w:r>
      <w:proofErr w:type="spellStart"/>
      <w:r w:rsidRPr="005743CB">
        <w:rPr>
          <w:rFonts w:ascii="Arial" w:hAnsi="Arial" w:cs="Arial"/>
          <w:lang w:val="sl-SI"/>
        </w:rPr>
        <w:t>portfeljske</w:t>
      </w:r>
      <w:proofErr w:type="spellEnd"/>
      <w:r w:rsidRPr="005743CB">
        <w:rPr>
          <w:rFonts w:ascii="Arial" w:hAnsi="Arial" w:cs="Arial"/>
          <w:lang w:val="sl-SI"/>
        </w:rPr>
        <w:t xml:space="preserve"> garancije) in lastniško financiranje v skupni vrednosti 135 milijonov evrov,</w:t>
      </w:r>
    </w:p>
    <w:p w14:paraId="560D799C" w14:textId="1D7F3194" w:rsidR="001725E3" w:rsidRPr="005743CB" w:rsidRDefault="001725E3" w:rsidP="001725E3">
      <w:pPr>
        <w:pStyle w:val="Odstavekseznama"/>
        <w:numPr>
          <w:ilvl w:val="0"/>
          <w:numId w:val="37"/>
        </w:numPr>
        <w:jc w:val="both"/>
        <w:rPr>
          <w:rFonts w:ascii="Arial" w:hAnsi="Arial" w:cs="Arial"/>
          <w:lang w:val="sl-SI"/>
        </w:rPr>
      </w:pPr>
      <w:r w:rsidRPr="005743CB">
        <w:rPr>
          <w:rFonts w:ascii="Arial" w:hAnsi="Arial" w:cs="Arial"/>
          <w:lang w:val="sl-SI"/>
        </w:rPr>
        <w:t>za področje energetske učinkovitost</w:t>
      </w:r>
      <w:r w:rsidR="00DA2C30">
        <w:rPr>
          <w:rFonts w:ascii="Arial" w:hAnsi="Arial" w:cs="Arial"/>
          <w:lang w:val="sl-SI"/>
        </w:rPr>
        <w:t>i (EE)</w:t>
      </w:r>
      <w:r w:rsidRPr="005743CB">
        <w:rPr>
          <w:rFonts w:ascii="Arial" w:hAnsi="Arial" w:cs="Arial"/>
          <w:lang w:val="sl-SI"/>
        </w:rPr>
        <w:t xml:space="preserve"> so predvideni krediti v višini 25 milijonov evrov, in</w:t>
      </w:r>
    </w:p>
    <w:p w14:paraId="5DFF39D9" w14:textId="780B8964" w:rsidR="001725E3" w:rsidRPr="005743CB" w:rsidRDefault="001725E3" w:rsidP="001725E3">
      <w:pPr>
        <w:pStyle w:val="Odstavekseznama"/>
        <w:numPr>
          <w:ilvl w:val="0"/>
          <w:numId w:val="37"/>
        </w:numPr>
        <w:jc w:val="both"/>
        <w:rPr>
          <w:rFonts w:ascii="Arial" w:hAnsi="Arial" w:cs="Arial"/>
          <w:lang w:val="sl-SI"/>
        </w:rPr>
      </w:pPr>
      <w:r w:rsidRPr="005743CB">
        <w:rPr>
          <w:rFonts w:ascii="Arial" w:hAnsi="Arial" w:cs="Arial"/>
          <w:lang w:val="sl-SI"/>
        </w:rPr>
        <w:t xml:space="preserve">za področje urbanega razvoja </w:t>
      </w:r>
      <w:r w:rsidR="00DA2C30">
        <w:rPr>
          <w:rFonts w:ascii="Arial" w:hAnsi="Arial" w:cs="Arial"/>
          <w:lang w:val="sl-SI"/>
        </w:rPr>
        <w:t xml:space="preserve">(UR) </w:t>
      </w:r>
      <w:r w:rsidRPr="005743CB">
        <w:rPr>
          <w:rFonts w:ascii="Arial" w:hAnsi="Arial" w:cs="Arial"/>
          <w:lang w:val="sl-SI"/>
        </w:rPr>
        <w:t>so predvideni krediti v višini 5 milijonov evrov.</w:t>
      </w:r>
    </w:p>
    <w:p w14:paraId="5E686496" w14:textId="77777777" w:rsidR="001725E3" w:rsidRDefault="001725E3" w:rsidP="00CE3440">
      <w:pPr>
        <w:jc w:val="both"/>
        <w:rPr>
          <w:rFonts w:cs="Arial"/>
          <w:szCs w:val="22"/>
          <w:lang w:val="sl-SI"/>
        </w:rPr>
      </w:pPr>
    </w:p>
    <w:p w14:paraId="286C0F94" w14:textId="1DE18BC3" w:rsidR="00240926" w:rsidRPr="004223D6" w:rsidRDefault="00240926" w:rsidP="00240926">
      <w:pPr>
        <w:jc w:val="both"/>
        <w:rPr>
          <w:rFonts w:eastAsiaTheme="minorHAnsi" w:cs="Arial"/>
          <w:szCs w:val="22"/>
          <w:lang w:val="sl-SI"/>
        </w:rPr>
      </w:pPr>
      <w:r w:rsidRPr="004223D6">
        <w:rPr>
          <w:rFonts w:cs="Arial"/>
          <w:szCs w:val="22"/>
          <w:lang w:val="sl-SI"/>
        </w:rPr>
        <w:t>Nacionalno udeležbo pri FI se zagotavlja na ravni finančnih posrednikov, in sicer prek</w:t>
      </w:r>
      <w:r w:rsidR="00E80300">
        <w:rPr>
          <w:rFonts w:cs="Arial"/>
          <w:szCs w:val="22"/>
          <w:lang w:val="sl-SI"/>
        </w:rPr>
        <w:t>o</w:t>
      </w:r>
      <w:r w:rsidRPr="004223D6">
        <w:rPr>
          <w:rFonts w:cs="Arial"/>
          <w:szCs w:val="22"/>
          <w:lang w:val="sl-SI"/>
        </w:rPr>
        <w:t xml:space="preserve"> u</w:t>
      </w:r>
      <w:r w:rsidRPr="004223D6">
        <w:rPr>
          <w:rFonts w:eastAsiaTheme="minorHAnsi" w:cs="Arial"/>
          <w:szCs w:val="22"/>
          <w:lang w:val="sl-SI"/>
        </w:rPr>
        <w:t xml:space="preserve">činka finančnega vzvoda, ali z zasebnimi sredstvi končnih prejemnikov. </w:t>
      </w:r>
      <w:r>
        <w:rPr>
          <w:rFonts w:eastAsiaTheme="minorHAnsi" w:cs="Arial"/>
          <w:szCs w:val="22"/>
          <w:lang w:val="sl-SI"/>
        </w:rPr>
        <w:t>Skupaj z upoštevanjem finan</w:t>
      </w:r>
      <w:r w:rsidR="00E80300">
        <w:rPr>
          <w:rFonts w:eastAsiaTheme="minorHAnsi" w:cs="Arial"/>
          <w:szCs w:val="22"/>
          <w:lang w:val="sl-SI"/>
        </w:rPr>
        <w:t>č</w:t>
      </w:r>
      <w:r>
        <w:rPr>
          <w:rFonts w:eastAsiaTheme="minorHAnsi" w:cs="Arial"/>
          <w:szCs w:val="22"/>
          <w:lang w:val="sl-SI"/>
        </w:rPr>
        <w:t xml:space="preserve">nega vzvoda </w:t>
      </w:r>
      <w:r w:rsidRPr="004223D6">
        <w:rPr>
          <w:rFonts w:eastAsiaTheme="minorHAnsi" w:cs="Arial"/>
          <w:szCs w:val="22"/>
          <w:lang w:val="sl-SI"/>
        </w:rPr>
        <w:t xml:space="preserve">bo za končne prejemnike namenjenih okvirno 370 </w:t>
      </w:r>
      <w:r w:rsidRPr="005743CB">
        <w:rPr>
          <w:rFonts w:eastAsiaTheme="minorHAnsi" w:cs="Arial"/>
          <w:szCs w:val="22"/>
          <w:lang w:val="sl-SI"/>
        </w:rPr>
        <w:t>milijonov evrov</w:t>
      </w:r>
      <w:r w:rsidRPr="004223D6">
        <w:rPr>
          <w:rFonts w:eastAsiaTheme="minorHAnsi" w:cs="Arial"/>
          <w:szCs w:val="22"/>
          <w:lang w:val="sl-SI"/>
        </w:rPr>
        <w:t>.</w:t>
      </w:r>
    </w:p>
    <w:p w14:paraId="24AF098E" w14:textId="77777777" w:rsidR="00240926" w:rsidRDefault="00240926" w:rsidP="00CE3440">
      <w:pPr>
        <w:jc w:val="both"/>
        <w:rPr>
          <w:rFonts w:cs="Arial"/>
          <w:szCs w:val="22"/>
          <w:lang w:val="sl-SI"/>
        </w:rPr>
      </w:pPr>
    </w:p>
    <w:p w14:paraId="63823DAB" w14:textId="405B6FA9" w:rsidR="00F94316" w:rsidRPr="004223D6" w:rsidRDefault="00ED518A" w:rsidP="00CE3440">
      <w:pPr>
        <w:jc w:val="both"/>
        <w:rPr>
          <w:rFonts w:cs="Arial"/>
          <w:szCs w:val="22"/>
          <w:lang w:val="sl-SI"/>
        </w:rPr>
      </w:pPr>
      <w:r w:rsidRPr="004223D6">
        <w:rPr>
          <w:rFonts w:cs="Arial"/>
          <w:szCs w:val="22"/>
          <w:lang w:val="sl-SI"/>
        </w:rPr>
        <w:t>Izplačila s</w:t>
      </w:r>
      <w:r w:rsidR="000F29F9" w:rsidRPr="004223D6">
        <w:rPr>
          <w:rFonts w:cs="Arial"/>
          <w:szCs w:val="22"/>
          <w:lang w:val="sl-SI"/>
        </w:rPr>
        <w:t>redst</w:t>
      </w:r>
      <w:r w:rsidRPr="004223D6">
        <w:rPr>
          <w:rFonts w:cs="Arial"/>
          <w:szCs w:val="22"/>
          <w:lang w:val="sl-SI"/>
        </w:rPr>
        <w:t>ev</w:t>
      </w:r>
      <w:r w:rsidR="000F29F9" w:rsidRPr="004223D6">
        <w:rPr>
          <w:rFonts w:cs="Arial"/>
          <w:szCs w:val="22"/>
          <w:lang w:val="sl-SI"/>
        </w:rPr>
        <w:t xml:space="preserve"> </w:t>
      </w:r>
      <w:r w:rsidRPr="004223D6">
        <w:rPr>
          <w:rFonts w:cs="Arial"/>
          <w:szCs w:val="22"/>
          <w:lang w:val="sl-SI"/>
        </w:rPr>
        <w:t xml:space="preserve">za finančne instrumente </w:t>
      </w:r>
      <w:r w:rsidR="000F29F9" w:rsidRPr="004223D6">
        <w:rPr>
          <w:rFonts w:cs="Arial"/>
          <w:szCs w:val="22"/>
          <w:lang w:val="sl-SI"/>
        </w:rPr>
        <w:t xml:space="preserve">se </w:t>
      </w:r>
      <w:r w:rsidRPr="004223D6">
        <w:rPr>
          <w:rFonts w:cs="Arial"/>
          <w:szCs w:val="22"/>
          <w:lang w:val="sl-SI"/>
        </w:rPr>
        <w:t xml:space="preserve">vršijo </w:t>
      </w:r>
      <w:r w:rsidR="000F29F9" w:rsidRPr="004223D6">
        <w:rPr>
          <w:rFonts w:cs="Arial"/>
          <w:szCs w:val="22"/>
          <w:lang w:val="sl-SI"/>
        </w:rPr>
        <w:t xml:space="preserve">skladu skladov v tranšah skladno z Uredbo (EU) št. 1303/2013. </w:t>
      </w:r>
      <w:r w:rsidR="00AB6E46" w:rsidRPr="004223D6">
        <w:rPr>
          <w:rFonts w:cs="Arial"/>
          <w:szCs w:val="22"/>
          <w:lang w:val="sl-SI"/>
        </w:rPr>
        <w:t>Prva</w:t>
      </w:r>
      <w:r w:rsidR="000F29F9" w:rsidRPr="004223D6">
        <w:rPr>
          <w:rFonts w:cs="Arial"/>
          <w:szCs w:val="22"/>
          <w:lang w:val="sl-SI"/>
        </w:rPr>
        <w:t xml:space="preserve"> tranš</w:t>
      </w:r>
      <w:r w:rsidR="00AB6E46" w:rsidRPr="004223D6">
        <w:rPr>
          <w:rFonts w:cs="Arial"/>
          <w:szCs w:val="22"/>
          <w:lang w:val="sl-SI"/>
        </w:rPr>
        <w:t>a</w:t>
      </w:r>
      <w:r w:rsidR="000F29F9" w:rsidRPr="004223D6">
        <w:rPr>
          <w:rFonts w:cs="Arial"/>
          <w:szCs w:val="22"/>
          <w:lang w:val="sl-SI"/>
        </w:rPr>
        <w:t xml:space="preserve"> je</w:t>
      </w:r>
      <w:r w:rsidR="00AB6E46" w:rsidRPr="004223D6">
        <w:rPr>
          <w:rFonts w:cs="Arial"/>
          <w:szCs w:val="22"/>
          <w:lang w:val="sl-SI"/>
        </w:rPr>
        <w:t xml:space="preserve"> bila vplačana</w:t>
      </w:r>
      <w:r w:rsidR="000F29F9" w:rsidRPr="004223D6">
        <w:rPr>
          <w:rFonts w:cs="Arial"/>
          <w:szCs w:val="22"/>
          <w:lang w:val="sl-SI"/>
        </w:rPr>
        <w:t xml:space="preserve"> v letu 2017</w:t>
      </w:r>
      <w:r w:rsidR="00E80300">
        <w:rPr>
          <w:rFonts w:cs="Arial"/>
          <w:szCs w:val="22"/>
          <w:lang w:val="sl-SI"/>
        </w:rPr>
        <w:t>,</w:t>
      </w:r>
      <w:r w:rsidR="000F29F9" w:rsidRPr="004223D6">
        <w:rPr>
          <w:rFonts w:cs="Arial"/>
          <w:szCs w:val="22"/>
          <w:lang w:val="sl-SI"/>
        </w:rPr>
        <w:t xml:space="preserve"> in sicer v višini 63,25 mio EUR, kar znaša 25% celotnega zneska</w:t>
      </w:r>
      <w:r w:rsidR="0097333A">
        <w:rPr>
          <w:rFonts w:cs="Arial"/>
          <w:szCs w:val="22"/>
          <w:lang w:val="sl-SI"/>
        </w:rPr>
        <w:t>.</w:t>
      </w:r>
    </w:p>
    <w:p w14:paraId="22A45646" w14:textId="77777777" w:rsidR="00F94316" w:rsidRPr="004223D6" w:rsidRDefault="00F94316" w:rsidP="00CE3440">
      <w:pPr>
        <w:jc w:val="both"/>
        <w:rPr>
          <w:rFonts w:cs="Arial"/>
          <w:szCs w:val="22"/>
          <w:lang w:val="sl-SI"/>
        </w:rPr>
      </w:pPr>
    </w:p>
    <w:p w14:paraId="7F1A4A9E" w14:textId="0DE2997E" w:rsidR="000F29F9" w:rsidRDefault="00AB6E46" w:rsidP="00CE3440">
      <w:pPr>
        <w:jc w:val="both"/>
        <w:rPr>
          <w:rFonts w:cs="Arial"/>
          <w:szCs w:val="22"/>
          <w:lang w:val="sl-SI"/>
        </w:rPr>
      </w:pPr>
      <w:r w:rsidRPr="004223D6">
        <w:rPr>
          <w:rFonts w:cs="Arial"/>
          <w:szCs w:val="22"/>
          <w:lang w:val="sl-SI"/>
        </w:rPr>
        <w:t>E</w:t>
      </w:r>
      <w:r w:rsidR="00D058F2" w:rsidRPr="004223D6">
        <w:rPr>
          <w:rFonts w:cs="Arial"/>
          <w:szCs w:val="22"/>
          <w:lang w:val="sl-SI"/>
        </w:rPr>
        <w:t xml:space="preserve">nak znesek </w:t>
      </w:r>
      <w:r w:rsidRPr="004223D6">
        <w:rPr>
          <w:rFonts w:cs="Arial"/>
          <w:szCs w:val="22"/>
          <w:lang w:val="sl-SI"/>
        </w:rPr>
        <w:t>vplačila (druga tranša)</w:t>
      </w:r>
      <w:r w:rsidR="00F94316" w:rsidRPr="004223D6">
        <w:rPr>
          <w:rFonts w:cs="Arial"/>
          <w:szCs w:val="22"/>
          <w:lang w:val="sl-SI"/>
        </w:rPr>
        <w:t>, torej 63,25 mio EUR,</w:t>
      </w:r>
      <w:r w:rsidRPr="004223D6">
        <w:rPr>
          <w:rFonts w:cs="Arial"/>
          <w:szCs w:val="22"/>
          <w:lang w:val="sl-SI"/>
        </w:rPr>
        <w:t xml:space="preserve"> je predviden </w:t>
      </w:r>
      <w:r w:rsidR="00D058F2" w:rsidRPr="004223D6">
        <w:rPr>
          <w:rFonts w:cs="Arial"/>
          <w:szCs w:val="22"/>
          <w:lang w:val="sl-SI"/>
        </w:rPr>
        <w:t>v letu 2019 (</w:t>
      </w:r>
      <w:r w:rsidR="0014071E">
        <w:rPr>
          <w:rFonts w:cs="Arial"/>
          <w:szCs w:val="22"/>
          <w:lang w:val="sl-SI"/>
        </w:rPr>
        <w:t xml:space="preserve">julija 2019 </w:t>
      </w:r>
      <w:r w:rsidR="009A1B61">
        <w:rPr>
          <w:rFonts w:cs="Arial"/>
          <w:szCs w:val="22"/>
          <w:lang w:val="sl-SI"/>
        </w:rPr>
        <w:t>je bil</w:t>
      </w:r>
      <w:r w:rsidR="00F94316" w:rsidRPr="004223D6">
        <w:rPr>
          <w:rFonts w:cs="Arial"/>
          <w:szCs w:val="22"/>
          <w:lang w:val="sl-SI"/>
        </w:rPr>
        <w:t xml:space="preserve"> </w:t>
      </w:r>
      <w:r w:rsidR="0014071E" w:rsidRPr="004223D6">
        <w:rPr>
          <w:rFonts w:cs="Arial"/>
          <w:szCs w:val="22"/>
          <w:lang w:val="sl-SI"/>
        </w:rPr>
        <w:t xml:space="preserve">izpolnjen </w:t>
      </w:r>
      <w:r w:rsidR="00F94316" w:rsidRPr="004223D6">
        <w:rPr>
          <w:rFonts w:cs="Arial"/>
          <w:szCs w:val="22"/>
          <w:lang w:val="sl-SI"/>
        </w:rPr>
        <w:t>pogoj</w:t>
      </w:r>
      <w:r w:rsidR="009A1B61">
        <w:rPr>
          <w:rFonts w:cs="Arial"/>
          <w:szCs w:val="22"/>
          <w:lang w:val="sl-SI"/>
        </w:rPr>
        <w:t xml:space="preserve"> izplačila</w:t>
      </w:r>
      <w:r w:rsidR="00F94316" w:rsidRPr="004223D6">
        <w:rPr>
          <w:rFonts w:cs="Arial"/>
          <w:szCs w:val="22"/>
          <w:lang w:val="sl-SI"/>
        </w:rPr>
        <w:t xml:space="preserve"> 60% prve tranše </w:t>
      </w:r>
      <w:r w:rsidR="00D058F2" w:rsidRPr="004223D6">
        <w:rPr>
          <w:rFonts w:cs="Arial"/>
          <w:szCs w:val="22"/>
          <w:lang w:val="sl-SI"/>
        </w:rPr>
        <w:t>končnim prejemnikom skladno z Uredbo (EU) št. 1303/2013).</w:t>
      </w:r>
      <w:r w:rsidR="00F23B45">
        <w:rPr>
          <w:rFonts w:cs="Arial"/>
          <w:szCs w:val="22"/>
          <w:lang w:val="sl-SI"/>
        </w:rPr>
        <w:t xml:space="preserve"> Druga tranša bo pomenila tudi začetek trženja produktov </w:t>
      </w:r>
      <w:proofErr w:type="spellStart"/>
      <w:r w:rsidR="00F23B45">
        <w:rPr>
          <w:rFonts w:cs="Arial"/>
          <w:szCs w:val="22"/>
          <w:lang w:val="sl-SI"/>
        </w:rPr>
        <w:t>portfeljskih</w:t>
      </w:r>
      <w:proofErr w:type="spellEnd"/>
      <w:r w:rsidR="00F23B45">
        <w:rPr>
          <w:rFonts w:cs="Arial"/>
          <w:szCs w:val="22"/>
          <w:lang w:val="sl-SI"/>
        </w:rPr>
        <w:t xml:space="preserve"> garancij za </w:t>
      </w:r>
      <w:r w:rsidR="00266C05">
        <w:rPr>
          <w:rFonts w:cs="Arial"/>
          <w:szCs w:val="22"/>
          <w:lang w:val="sl-SI"/>
        </w:rPr>
        <w:t>področji</w:t>
      </w:r>
      <w:r w:rsidR="00F23B45">
        <w:rPr>
          <w:rFonts w:cs="Arial"/>
          <w:szCs w:val="22"/>
          <w:lang w:val="sl-SI"/>
        </w:rPr>
        <w:t xml:space="preserve"> </w:t>
      </w:r>
      <w:r w:rsidR="00266C05">
        <w:rPr>
          <w:rFonts w:cs="Arial"/>
          <w:szCs w:val="22"/>
          <w:lang w:val="sl-SI"/>
        </w:rPr>
        <w:t xml:space="preserve">podpore </w:t>
      </w:r>
      <w:r w:rsidR="00F23B45">
        <w:rPr>
          <w:rFonts w:cs="Arial"/>
          <w:szCs w:val="22"/>
          <w:lang w:val="sl-SI"/>
        </w:rPr>
        <w:t>RRI</w:t>
      </w:r>
      <w:r w:rsidR="00266C05">
        <w:rPr>
          <w:rFonts w:cs="Arial"/>
          <w:szCs w:val="22"/>
          <w:lang w:val="sl-SI"/>
        </w:rPr>
        <w:t xml:space="preserve"> in </w:t>
      </w:r>
      <w:r w:rsidR="00F23B45">
        <w:rPr>
          <w:rFonts w:cs="Arial"/>
          <w:szCs w:val="22"/>
          <w:lang w:val="sl-SI"/>
        </w:rPr>
        <w:t>MSP, za katera sredstva iz 1. tranše niso bila predvidena.</w:t>
      </w:r>
    </w:p>
    <w:p w14:paraId="3F851A27" w14:textId="327DCC3C" w:rsidR="00FB378F" w:rsidRDefault="00FB378F" w:rsidP="00CE3440">
      <w:pPr>
        <w:jc w:val="both"/>
        <w:rPr>
          <w:rFonts w:cs="Arial"/>
          <w:szCs w:val="22"/>
          <w:lang w:val="sl-SI"/>
        </w:rPr>
      </w:pPr>
    </w:p>
    <w:p w14:paraId="1F10ECBF" w14:textId="6FAD3E13" w:rsidR="00FB378F" w:rsidRPr="004223D6" w:rsidRDefault="00FB378F" w:rsidP="00CE3440">
      <w:pPr>
        <w:jc w:val="both"/>
        <w:rPr>
          <w:rFonts w:cs="Arial"/>
          <w:szCs w:val="22"/>
          <w:lang w:val="sl-SI"/>
        </w:rPr>
      </w:pPr>
      <w:r>
        <w:rPr>
          <w:rFonts w:cs="Arial"/>
          <w:szCs w:val="22"/>
          <w:lang w:val="sl-SI"/>
        </w:rPr>
        <w:t xml:space="preserve">V letu 2020 vplačilo sredstev iz naslova </w:t>
      </w:r>
      <w:r w:rsidR="004B2892">
        <w:rPr>
          <w:rFonts w:cs="Arial"/>
          <w:szCs w:val="22"/>
          <w:lang w:val="sl-SI"/>
        </w:rPr>
        <w:t>FI</w:t>
      </w:r>
      <w:r>
        <w:rPr>
          <w:rFonts w:cs="Arial"/>
          <w:szCs w:val="22"/>
          <w:lang w:val="sl-SI"/>
        </w:rPr>
        <w:t xml:space="preserve"> ni predvideno, saj </w:t>
      </w:r>
      <w:r w:rsidR="00B50C81">
        <w:rPr>
          <w:rFonts w:cs="Arial"/>
          <w:szCs w:val="22"/>
          <w:lang w:val="sl-SI"/>
        </w:rPr>
        <w:t>je</w:t>
      </w:r>
      <w:r>
        <w:rPr>
          <w:rFonts w:cs="Arial"/>
          <w:szCs w:val="22"/>
          <w:lang w:val="sl-SI"/>
        </w:rPr>
        <w:t xml:space="preserve"> tretja tranša v višini 63,25</w:t>
      </w:r>
      <w:r w:rsidR="005C0870">
        <w:rPr>
          <w:rFonts w:cs="Arial"/>
          <w:szCs w:val="22"/>
          <w:lang w:val="sl-SI"/>
        </w:rPr>
        <w:t xml:space="preserve"> mio EUR načrtovana v letu 2021, četrta tranša v enaki višini pa v letu 2022.</w:t>
      </w:r>
    </w:p>
    <w:p w14:paraId="6DE97575" w14:textId="0C0459CC" w:rsidR="007B364F" w:rsidRPr="004223D6" w:rsidRDefault="007B364F" w:rsidP="00CE3440">
      <w:pPr>
        <w:jc w:val="both"/>
        <w:rPr>
          <w:rFonts w:cs="Arial"/>
          <w:szCs w:val="22"/>
          <w:lang w:val="sl-SI"/>
        </w:rPr>
      </w:pPr>
    </w:p>
    <w:p w14:paraId="003DD4EE" w14:textId="4D7E30C6" w:rsidR="000F29F9" w:rsidRPr="004223D6" w:rsidRDefault="007B364F" w:rsidP="00CE3440">
      <w:pPr>
        <w:jc w:val="both"/>
        <w:rPr>
          <w:rFonts w:cs="Arial"/>
          <w:lang w:val="sl-SI"/>
        </w:rPr>
      </w:pPr>
      <w:r w:rsidRPr="004223D6">
        <w:rPr>
          <w:rFonts w:cs="Arial"/>
          <w:szCs w:val="22"/>
          <w:lang w:val="sl-SI"/>
        </w:rPr>
        <w:t xml:space="preserve">Ostale vsebine (politika tveganja, poročanje ipd.) </w:t>
      </w:r>
      <w:r w:rsidR="003D6BD4" w:rsidRPr="004223D6">
        <w:rPr>
          <w:rFonts w:cs="Arial"/>
          <w:szCs w:val="22"/>
          <w:lang w:val="sl-SI"/>
        </w:rPr>
        <w:t xml:space="preserve">so </w:t>
      </w:r>
      <w:r w:rsidR="006D0425" w:rsidRPr="004223D6">
        <w:rPr>
          <w:rFonts w:cs="Arial"/>
          <w:szCs w:val="22"/>
          <w:lang w:val="sl-SI"/>
        </w:rPr>
        <w:t xml:space="preserve">natančneje </w:t>
      </w:r>
      <w:r w:rsidRPr="004223D6">
        <w:rPr>
          <w:rFonts w:cs="Arial"/>
          <w:szCs w:val="22"/>
          <w:lang w:val="sl-SI"/>
        </w:rPr>
        <w:t xml:space="preserve">opredeljene v </w:t>
      </w:r>
      <w:proofErr w:type="spellStart"/>
      <w:r w:rsidR="0097333A">
        <w:rPr>
          <w:rFonts w:cs="Arial"/>
          <w:szCs w:val="22"/>
          <w:lang w:val="sl-SI"/>
        </w:rPr>
        <w:t>SoF</w:t>
      </w:r>
      <w:proofErr w:type="spellEnd"/>
      <w:r w:rsidRPr="004223D6">
        <w:rPr>
          <w:rFonts w:cs="Arial"/>
          <w:szCs w:val="22"/>
          <w:lang w:val="sl-SI"/>
        </w:rPr>
        <w:t>.</w:t>
      </w:r>
      <w:r w:rsidR="006D0425" w:rsidRPr="004223D6">
        <w:rPr>
          <w:rFonts w:cs="Arial"/>
          <w:szCs w:val="22"/>
          <w:lang w:val="sl-SI"/>
        </w:rPr>
        <w:t xml:space="preserve"> </w:t>
      </w:r>
      <w:r w:rsidR="000F29F9" w:rsidRPr="004223D6">
        <w:rPr>
          <w:rFonts w:cs="Arial"/>
          <w:szCs w:val="22"/>
          <w:lang w:val="sl-SI"/>
        </w:rPr>
        <w:t xml:space="preserve">Izvajanje </w:t>
      </w:r>
      <w:r w:rsidR="004B2892">
        <w:rPr>
          <w:rFonts w:cs="Arial"/>
          <w:szCs w:val="22"/>
          <w:lang w:val="sl-SI"/>
        </w:rPr>
        <w:t>FI</w:t>
      </w:r>
      <w:r w:rsidR="000F29F9" w:rsidRPr="004223D6">
        <w:rPr>
          <w:rFonts w:cs="Arial"/>
          <w:szCs w:val="22"/>
          <w:lang w:val="sl-SI"/>
        </w:rPr>
        <w:t xml:space="preserve"> je usmerjeno v doseganje ciljev in kazalnikov iz Operativnega programa </w:t>
      </w:r>
      <w:r w:rsidR="003B17FF" w:rsidRPr="004223D6">
        <w:rPr>
          <w:rFonts w:cs="Arial"/>
          <w:szCs w:val="22"/>
          <w:lang w:val="sl-SI"/>
        </w:rPr>
        <w:t xml:space="preserve">za izvajanje evropske kohezijske politike v </w:t>
      </w:r>
      <w:r w:rsidR="005C0870">
        <w:rPr>
          <w:rFonts w:cs="Arial"/>
          <w:szCs w:val="22"/>
          <w:lang w:val="sl-SI"/>
        </w:rPr>
        <w:t xml:space="preserve">programskem </w:t>
      </w:r>
      <w:r w:rsidR="003B17FF" w:rsidRPr="004223D6">
        <w:rPr>
          <w:rFonts w:cs="Arial"/>
          <w:szCs w:val="22"/>
          <w:lang w:val="sl-SI"/>
        </w:rPr>
        <w:t xml:space="preserve">obdobju </w:t>
      </w:r>
      <w:r w:rsidR="000F29F9" w:rsidRPr="004223D6">
        <w:rPr>
          <w:rFonts w:cs="Arial"/>
          <w:szCs w:val="22"/>
          <w:lang w:val="sl-SI"/>
        </w:rPr>
        <w:t>2014-2020.</w:t>
      </w:r>
    </w:p>
    <w:p w14:paraId="7CF9DC15" w14:textId="77777777" w:rsidR="004902F0" w:rsidRDefault="004902F0">
      <w:pPr>
        <w:spacing w:after="160" w:line="259" w:lineRule="auto"/>
        <w:rPr>
          <w:rFonts w:cs="Arial"/>
          <w:szCs w:val="22"/>
          <w:lang w:val="sl-SI"/>
        </w:rPr>
      </w:pPr>
      <w:r>
        <w:rPr>
          <w:rFonts w:cs="Arial"/>
          <w:szCs w:val="22"/>
          <w:lang w:val="sl-SI"/>
        </w:rPr>
        <w:br w:type="page"/>
      </w:r>
    </w:p>
    <w:p w14:paraId="3CC4B2B5" w14:textId="5DA8A65F" w:rsidR="004902F0" w:rsidRPr="004902F0" w:rsidRDefault="005F7A4D" w:rsidP="005F7A4D">
      <w:pPr>
        <w:spacing w:after="160"/>
        <w:rPr>
          <w:rFonts w:cs="Arial"/>
          <w:sz w:val="16"/>
          <w:szCs w:val="16"/>
          <w:lang w:val="sl-SI"/>
        </w:rPr>
      </w:pPr>
      <w:r>
        <w:rPr>
          <w:rFonts w:cs="Arial"/>
          <w:sz w:val="16"/>
          <w:szCs w:val="16"/>
          <w:lang w:val="sl-SI"/>
        </w:rPr>
        <w:lastRenderedPageBreak/>
        <w:t>Priloga 1</w:t>
      </w:r>
      <w:r w:rsidR="004902F0" w:rsidRPr="004902F0">
        <w:rPr>
          <w:rFonts w:cs="Arial"/>
          <w:sz w:val="16"/>
          <w:szCs w:val="16"/>
          <w:lang w:val="sl-SI"/>
        </w:rPr>
        <w:t>: N</w:t>
      </w:r>
      <w:r w:rsidR="008D1881">
        <w:rPr>
          <w:rFonts w:cs="Arial"/>
          <w:sz w:val="16"/>
          <w:szCs w:val="16"/>
          <w:lang w:val="sl-SI"/>
        </w:rPr>
        <w:t>ačrt izvajanja finančnih instrumentov</w:t>
      </w:r>
      <w:r w:rsidR="004902F0" w:rsidRPr="004902F0">
        <w:rPr>
          <w:rFonts w:cs="Arial"/>
          <w:sz w:val="16"/>
          <w:szCs w:val="16"/>
          <w:lang w:val="sl-SI"/>
        </w:rPr>
        <w:t xml:space="preserve"> 2020-2023</w:t>
      </w:r>
    </w:p>
    <w:p w14:paraId="1E39BC83" w14:textId="22E4B348" w:rsidR="00FA7969" w:rsidRPr="004223D6" w:rsidRDefault="00FA7969" w:rsidP="00727775">
      <w:pPr>
        <w:spacing w:after="160"/>
        <w:rPr>
          <w:rFonts w:cs="Arial"/>
          <w:b/>
          <w:sz w:val="28"/>
          <w:szCs w:val="28"/>
          <w:lang w:val="sl-SI" w:eastAsia="sl-SI"/>
        </w:rPr>
      </w:pPr>
      <w:r w:rsidRPr="004223D6">
        <w:rPr>
          <w:rFonts w:cs="Arial"/>
          <w:b/>
          <w:sz w:val="28"/>
          <w:szCs w:val="28"/>
          <w:lang w:val="sl-SI" w:eastAsia="sl-SI"/>
        </w:rPr>
        <w:t xml:space="preserve">Načrt izvajanja finančnih instrumentov </w:t>
      </w:r>
      <w:r w:rsidR="00914A69" w:rsidRPr="004223D6">
        <w:rPr>
          <w:rFonts w:cs="Arial"/>
          <w:b/>
          <w:sz w:val="28"/>
          <w:szCs w:val="28"/>
          <w:lang w:val="sl-SI" w:eastAsia="sl-SI"/>
        </w:rPr>
        <w:t xml:space="preserve">za </w:t>
      </w:r>
      <w:r w:rsidR="002E1E86">
        <w:rPr>
          <w:rFonts w:cs="Arial"/>
          <w:b/>
          <w:sz w:val="28"/>
          <w:szCs w:val="28"/>
          <w:lang w:val="sl-SI" w:eastAsia="sl-SI"/>
        </w:rPr>
        <w:t>obdobje</w:t>
      </w:r>
      <w:r w:rsidR="00914A69" w:rsidRPr="004223D6">
        <w:rPr>
          <w:rFonts w:cs="Arial"/>
          <w:b/>
          <w:sz w:val="28"/>
          <w:szCs w:val="28"/>
          <w:lang w:val="sl-SI" w:eastAsia="sl-SI"/>
        </w:rPr>
        <w:t xml:space="preserve"> </w:t>
      </w:r>
      <w:r w:rsidR="00F23B45">
        <w:rPr>
          <w:rFonts w:cs="Arial"/>
          <w:b/>
          <w:sz w:val="28"/>
          <w:szCs w:val="28"/>
          <w:lang w:val="sl-SI" w:eastAsia="sl-SI"/>
        </w:rPr>
        <w:t>2020</w:t>
      </w:r>
      <w:r w:rsidR="002E1E86">
        <w:rPr>
          <w:rFonts w:cs="Arial"/>
          <w:b/>
          <w:sz w:val="28"/>
          <w:szCs w:val="28"/>
          <w:lang w:val="sl-SI" w:eastAsia="sl-SI"/>
        </w:rPr>
        <w:t>-2023</w:t>
      </w:r>
    </w:p>
    <w:p w14:paraId="49B2EC10" w14:textId="77777777" w:rsidR="00FA7969" w:rsidRPr="004223D6" w:rsidRDefault="00FA7969" w:rsidP="00CE3440">
      <w:pPr>
        <w:jc w:val="both"/>
        <w:rPr>
          <w:rFonts w:cs="Arial"/>
          <w:szCs w:val="22"/>
          <w:lang w:val="sl-SI"/>
        </w:rPr>
      </w:pPr>
    </w:p>
    <w:p w14:paraId="7016FFB2" w14:textId="3B4ACE90" w:rsidR="00FA7969" w:rsidRPr="004223D6" w:rsidRDefault="00FA7969" w:rsidP="00CE3440">
      <w:pPr>
        <w:jc w:val="both"/>
        <w:rPr>
          <w:rFonts w:cs="Arial"/>
          <w:szCs w:val="22"/>
          <w:lang w:val="sl-SI"/>
        </w:rPr>
      </w:pPr>
      <w:r w:rsidRPr="004223D6">
        <w:rPr>
          <w:rFonts w:cs="Arial"/>
          <w:szCs w:val="22"/>
          <w:lang w:val="sl-SI"/>
        </w:rPr>
        <w:t xml:space="preserve">Skladno s </w:t>
      </w:r>
      <w:r w:rsidR="00F94316" w:rsidRPr="004223D6">
        <w:rPr>
          <w:rFonts w:cs="Arial"/>
          <w:szCs w:val="22"/>
          <w:lang w:val="sl-SI"/>
        </w:rPr>
        <w:t>13</w:t>
      </w:r>
      <w:r w:rsidRPr="004223D6">
        <w:rPr>
          <w:rFonts w:cs="Arial"/>
          <w:szCs w:val="22"/>
          <w:lang w:val="sl-SI"/>
        </w:rPr>
        <w:t xml:space="preserve">. členom </w:t>
      </w:r>
      <w:r w:rsidR="00F94316" w:rsidRPr="004223D6">
        <w:rPr>
          <w:rFonts w:cs="Arial"/>
          <w:szCs w:val="22"/>
          <w:lang w:val="sl-SI"/>
        </w:rPr>
        <w:t xml:space="preserve">Zakona o javnih financah </w:t>
      </w:r>
      <w:r w:rsidRPr="004223D6">
        <w:rPr>
          <w:rFonts w:cs="Arial"/>
          <w:szCs w:val="22"/>
          <w:lang w:val="sl-SI"/>
        </w:rPr>
        <w:t>je sestavni del obrazložitve predloga</w:t>
      </w:r>
      <w:r w:rsidR="00CF43EA" w:rsidRPr="004223D6">
        <w:rPr>
          <w:rFonts w:cs="Arial"/>
          <w:szCs w:val="22"/>
          <w:lang w:val="sl-SI"/>
        </w:rPr>
        <w:t xml:space="preserve"> </w:t>
      </w:r>
      <w:r w:rsidR="00C15EAB" w:rsidRPr="004223D6">
        <w:rPr>
          <w:rFonts w:cs="Arial"/>
          <w:szCs w:val="22"/>
          <w:lang w:val="sl-SI"/>
        </w:rPr>
        <w:t>proračun</w:t>
      </w:r>
      <w:r w:rsidR="00CF43EA" w:rsidRPr="004223D6">
        <w:rPr>
          <w:rFonts w:cs="Arial"/>
          <w:szCs w:val="22"/>
          <w:lang w:val="sl-SI"/>
        </w:rPr>
        <w:t xml:space="preserve">a </w:t>
      </w:r>
      <w:r w:rsidR="004B2892">
        <w:rPr>
          <w:rFonts w:cs="Arial"/>
          <w:szCs w:val="22"/>
          <w:lang w:val="sl-SI"/>
        </w:rPr>
        <w:t>tudi N</w:t>
      </w:r>
      <w:r w:rsidRPr="004223D6">
        <w:rPr>
          <w:rFonts w:cs="Arial"/>
          <w:szCs w:val="22"/>
          <w:lang w:val="sl-SI"/>
        </w:rPr>
        <w:t>ačrt izvajanja finančnih instrumentov</w:t>
      </w:r>
      <w:r w:rsidR="004B2892">
        <w:rPr>
          <w:rFonts w:cs="Arial"/>
          <w:szCs w:val="22"/>
          <w:lang w:val="sl-SI"/>
        </w:rPr>
        <w:t xml:space="preserve"> za obdobje 2020-2023</w:t>
      </w:r>
      <w:r w:rsidR="00F94316" w:rsidRPr="004223D6">
        <w:rPr>
          <w:rFonts w:cs="Arial"/>
          <w:szCs w:val="22"/>
          <w:lang w:val="sl-SI"/>
        </w:rPr>
        <w:t xml:space="preserve">. </w:t>
      </w:r>
      <w:r w:rsidR="004F0A95">
        <w:rPr>
          <w:rFonts w:cs="Arial"/>
          <w:szCs w:val="22"/>
          <w:lang w:val="sl-SI"/>
        </w:rPr>
        <w:t xml:space="preserve">V </w:t>
      </w:r>
      <w:r w:rsidR="004F0A95" w:rsidRPr="007811F9">
        <w:rPr>
          <w:rFonts w:cs="Arial"/>
          <w:szCs w:val="22"/>
          <w:lang w:val="sl-SI" w:eastAsia="sl-SI"/>
        </w:rPr>
        <w:t>6</w:t>
      </w:r>
      <w:r w:rsidR="004F0A95">
        <w:rPr>
          <w:rFonts w:cs="Arial"/>
          <w:szCs w:val="22"/>
          <w:lang w:val="sl-SI" w:eastAsia="sl-SI"/>
        </w:rPr>
        <w:t>. točki</w:t>
      </w:r>
      <w:r w:rsidR="004F0A95" w:rsidRPr="007811F9">
        <w:rPr>
          <w:rFonts w:cs="Arial"/>
          <w:szCs w:val="22"/>
          <w:lang w:val="sl-SI" w:eastAsia="sl-SI"/>
        </w:rPr>
        <w:t xml:space="preserve"> sklepa št. 41003-5/2019/9</w:t>
      </w:r>
      <w:r w:rsidR="004F0A95" w:rsidRPr="007811F9">
        <w:rPr>
          <w:rFonts w:cs="Arial"/>
          <w:color w:val="000000"/>
          <w:lang w:val="sl-SI"/>
        </w:rPr>
        <w:t xml:space="preserve">, </w:t>
      </w:r>
      <w:r w:rsidR="004F0A95" w:rsidRPr="007811F9">
        <w:rPr>
          <w:rFonts w:cs="Arial"/>
          <w:szCs w:val="20"/>
          <w:lang w:val="sl-SI"/>
        </w:rPr>
        <w:t xml:space="preserve">sprejetega dne 4. 7. 2019 na 38. redni seji Vlade Republike Slovenije </w:t>
      </w:r>
      <w:r w:rsidR="00F94316" w:rsidRPr="004F0A95">
        <w:rPr>
          <w:rFonts w:cs="Arial"/>
          <w:szCs w:val="22"/>
          <w:lang w:val="sl-SI"/>
        </w:rPr>
        <w:t xml:space="preserve">pa je določeno, da se v načrtu izvajanja FI opredelijo </w:t>
      </w:r>
      <w:r w:rsidRPr="004F0A95">
        <w:rPr>
          <w:rFonts w:cs="Arial"/>
          <w:szCs w:val="22"/>
          <w:lang w:val="sl-SI"/>
        </w:rPr>
        <w:t>ukrepi, oblike, obseg sredstev in terminski n</w:t>
      </w:r>
      <w:r w:rsidR="004F0A95" w:rsidRPr="004F0A95">
        <w:rPr>
          <w:rFonts w:cs="Arial"/>
          <w:szCs w:val="22"/>
          <w:lang w:val="sl-SI"/>
        </w:rPr>
        <w:t>ačrt izplačil sredstev upravljav</w:t>
      </w:r>
      <w:r w:rsidRPr="004F0A95">
        <w:rPr>
          <w:rFonts w:cs="Arial"/>
          <w:szCs w:val="22"/>
          <w:lang w:val="sl-SI"/>
        </w:rPr>
        <w:t>cu FI oziroma vplačil v sklad skladov.</w:t>
      </w:r>
    </w:p>
    <w:p w14:paraId="0E84CC32" w14:textId="77777777" w:rsidR="00D51F37" w:rsidRPr="004223D6" w:rsidRDefault="00D51F37" w:rsidP="00CE3440">
      <w:pPr>
        <w:jc w:val="both"/>
        <w:rPr>
          <w:rFonts w:cs="Arial"/>
          <w:szCs w:val="22"/>
          <w:lang w:val="sl-SI"/>
        </w:rPr>
      </w:pPr>
    </w:p>
    <w:p w14:paraId="3D5C405B" w14:textId="4D0196E7" w:rsidR="00FA7969" w:rsidRPr="004223D6" w:rsidRDefault="00FA7969" w:rsidP="00CE3440">
      <w:pPr>
        <w:pStyle w:val="Naslov1"/>
        <w:numPr>
          <w:ilvl w:val="0"/>
          <w:numId w:val="25"/>
        </w:numPr>
        <w:spacing w:before="240" w:after="60"/>
        <w:jc w:val="both"/>
        <w:rPr>
          <w:lang w:val="sl-SI"/>
        </w:rPr>
      </w:pPr>
      <w:r w:rsidRPr="004223D6">
        <w:rPr>
          <w:lang w:val="sl-SI"/>
        </w:rPr>
        <w:t>Uvodno pojasnilo</w:t>
      </w:r>
    </w:p>
    <w:p w14:paraId="171DC418" w14:textId="77777777" w:rsidR="00FA7969" w:rsidRPr="004223D6" w:rsidRDefault="00FA7969" w:rsidP="00CE3440">
      <w:pPr>
        <w:jc w:val="both"/>
        <w:rPr>
          <w:rFonts w:cs="Arial"/>
          <w:szCs w:val="22"/>
          <w:lang w:val="sl-SI"/>
        </w:rPr>
      </w:pPr>
    </w:p>
    <w:p w14:paraId="6BF888CF" w14:textId="517FB57C" w:rsidR="00FA7969" w:rsidRPr="004223D6" w:rsidRDefault="00FA7969" w:rsidP="00CE3440">
      <w:pPr>
        <w:jc w:val="both"/>
        <w:rPr>
          <w:rFonts w:cs="Arial"/>
          <w:szCs w:val="22"/>
          <w:lang w:val="sl-SI"/>
        </w:rPr>
      </w:pPr>
      <w:r w:rsidRPr="004223D6">
        <w:rPr>
          <w:rFonts w:cs="Arial"/>
          <w:szCs w:val="22"/>
          <w:lang w:val="sl-SI"/>
        </w:rPr>
        <w:t xml:space="preserve">Partnerski sporazum </w:t>
      </w:r>
      <w:r w:rsidR="003B17FF" w:rsidRPr="004223D6">
        <w:rPr>
          <w:rFonts w:cs="Arial"/>
          <w:szCs w:val="22"/>
          <w:lang w:val="sl-SI"/>
        </w:rPr>
        <w:t xml:space="preserve">med Slovenijo in Evropsko komisijo za obdobje 2014–2020 </w:t>
      </w:r>
      <w:r w:rsidRPr="004223D6">
        <w:rPr>
          <w:rFonts w:cs="Arial"/>
          <w:szCs w:val="22"/>
          <w:lang w:val="sl-SI"/>
        </w:rPr>
        <w:t>je podlaga za finančne podatke in programske informacije v povezavi s sredstvi Evropskih strukturnih in investicijskih skladov (v nadaljevanju: ESI skladov). Operativni program za izvajanje evropske kohezijske politike</w:t>
      </w:r>
      <w:r w:rsidR="002A0EFE" w:rsidRPr="004223D6">
        <w:rPr>
          <w:rFonts w:cs="Arial"/>
          <w:szCs w:val="22"/>
          <w:lang w:val="sl-SI"/>
        </w:rPr>
        <w:t xml:space="preserve"> v </w:t>
      </w:r>
      <w:r w:rsidR="00984A5B">
        <w:rPr>
          <w:rFonts w:cs="Arial"/>
          <w:szCs w:val="22"/>
          <w:lang w:val="sl-SI"/>
        </w:rPr>
        <w:t xml:space="preserve">programskem </w:t>
      </w:r>
      <w:r w:rsidR="002A0EFE" w:rsidRPr="004223D6">
        <w:rPr>
          <w:rFonts w:cs="Arial"/>
          <w:szCs w:val="22"/>
          <w:lang w:val="sl-SI"/>
        </w:rPr>
        <w:t>obdobju</w:t>
      </w:r>
      <w:r w:rsidR="00FB4E17" w:rsidRPr="004223D6">
        <w:rPr>
          <w:rFonts w:cs="Arial"/>
          <w:szCs w:val="22"/>
          <w:lang w:val="sl-SI"/>
        </w:rPr>
        <w:t xml:space="preserve"> </w:t>
      </w:r>
      <w:r w:rsidR="003B17FF" w:rsidRPr="004223D6">
        <w:rPr>
          <w:rFonts w:cs="Arial"/>
          <w:szCs w:val="22"/>
          <w:lang w:val="sl-SI"/>
        </w:rPr>
        <w:t>2014–2020 (v nadaljevanju: </w:t>
      </w:r>
      <w:r w:rsidR="003B17FF" w:rsidRPr="004223D6">
        <w:rPr>
          <w:lang w:val="sl-SI"/>
        </w:rPr>
        <w:t>operativni program)</w:t>
      </w:r>
      <w:r w:rsidR="003B17FF" w:rsidRPr="004223D6">
        <w:rPr>
          <w:rFonts w:cs="Arial"/>
          <w:szCs w:val="22"/>
          <w:lang w:val="sl-SI"/>
        </w:rPr>
        <w:t xml:space="preserve"> </w:t>
      </w:r>
      <w:r w:rsidRPr="004223D6">
        <w:rPr>
          <w:rFonts w:cs="Arial"/>
          <w:szCs w:val="22"/>
          <w:lang w:val="sl-SI"/>
        </w:rPr>
        <w:t>je programska struktura, na podlagi katere bodo s pomočjo FI angažirana sredstva za vzpostavitev pričakovanih rezultatov naložbenih ciljev FI v ok</w:t>
      </w:r>
      <w:r w:rsidR="00861EB5">
        <w:rPr>
          <w:rFonts w:cs="Arial"/>
          <w:szCs w:val="22"/>
          <w:lang w:val="sl-SI"/>
        </w:rPr>
        <w:t>viru štirih prednostnih naložb.</w:t>
      </w:r>
    </w:p>
    <w:p w14:paraId="38A560F7" w14:textId="77777777" w:rsidR="00FA7969" w:rsidRPr="004223D6" w:rsidRDefault="00FA7969" w:rsidP="00CE3440">
      <w:pPr>
        <w:jc w:val="both"/>
        <w:rPr>
          <w:rFonts w:cs="Arial"/>
          <w:szCs w:val="22"/>
          <w:lang w:val="sl-SI"/>
        </w:rPr>
      </w:pPr>
    </w:p>
    <w:p w14:paraId="3B85AFA2" w14:textId="6538DFE9" w:rsidR="00FA7969" w:rsidRPr="004223D6" w:rsidRDefault="00FA7969" w:rsidP="00CE3440">
      <w:pPr>
        <w:jc w:val="both"/>
        <w:rPr>
          <w:rFonts w:cs="Arial"/>
          <w:szCs w:val="22"/>
          <w:lang w:val="sl-SI"/>
        </w:rPr>
      </w:pPr>
      <w:r w:rsidRPr="004223D6">
        <w:rPr>
          <w:rFonts w:cs="Arial"/>
          <w:szCs w:val="22"/>
          <w:lang w:val="sl-SI"/>
        </w:rPr>
        <w:t>FI se izvajajo po principu sklada skladov, ki jih izvajalec</w:t>
      </w:r>
      <w:r w:rsidR="00F94316" w:rsidRPr="004223D6">
        <w:rPr>
          <w:rFonts w:cs="Arial"/>
          <w:szCs w:val="22"/>
          <w:lang w:val="sl-SI"/>
        </w:rPr>
        <w:t xml:space="preserve"> sklada skladov, SID banka</w:t>
      </w:r>
      <w:r w:rsidR="00C13896">
        <w:rPr>
          <w:rFonts w:cs="Arial"/>
          <w:szCs w:val="22"/>
          <w:lang w:val="sl-SI"/>
        </w:rPr>
        <w:t xml:space="preserve"> d.d.</w:t>
      </w:r>
      <w:r w:rsidR="00F94316" w:rsidRPr="004223D6">
        <w:rPr>
          <w:rFonts w:cs="Arial"/>
          <w:szCs w:val="22"/>
          <w:lang w:val="sl-SI"/>
        </w:rPr>
        <w:t>, izvaja (i) prek</w:t>
      </w:r>
      <w:r w:rsidR="00C13896">
        <w:rPr>
          <w:rFonts w:cs="Arial"/>
          <w:szCs w:val="22"/>
          <w:lang w:val="sl-SI"/>
        </w:rPr>
        <w:t>o</w:t>
      </w:r>
      <w:r w:rsidRPr="004223D6">
        <w:rPr>
          <w:rFonts w:cs="Arial"/>
          <w:szCs w:val="22"/>
          <w:lang w:val="sl-SI"/>
        </w:rPr>
        <w:t xml:space="preserve"> finančnih posrednikov, ki jih </w:t>
      </w:r>
      <w:r w:rsidR="00A467E1" w:rsidRPr="004223D6">
        <w:rPr>
          <w:rFonts w:cs="Arial"/>
          <w:szCs w:val="22"/>
          <w:lang w:val="sl-SI"/>
        </w:rPr>
        <w:t>je/</w:t>
      </w:r>
      <w:r w:rsidRPr="004223D6">
        <w:rPr>
          <w:rFonts w:cs="Arial"/>
          <w:szCs w:val="22"/>
          <w:lang w:val="sl-SI"/>
        </w:rPr>
        <w:t>bo izbral</w:t>
      </w:r>
      <w:r w:rsidR="00C13896">
        <w:rPr>
          <w:rFonts w:cs="Arial"/>
          <w:szCs w:val="22"/>
          <w:lang w:val="sl-SI"/>
        </w:rPr>
        <w:t>a</w:t>
      </w:r>
      <w:r w:rsidRPr="004223D6">
        <w:rPr>
          <w:rFonts w:cs="Arial"/>
          <w:szCs w:val="22"/>
          <w:lang w:val="sl-SI"/>
        </w:rPr>
        <w:t xml:space="preserve"> skladno s pravili javnega naročanja ali jih bo izvajal</w:t>
      </w:r>
      <w:r w:rsidR="00C13896">
        <w:rPr>
          <w:rFonts w:cs="Arial"/>
          <w:szCs w:val="22"/>
          <w:lang w:val="sl-SI"/>
        </w:rPr>
        <w:t>a</w:t>
      </w:r>
      <w:r w:rsidRPr="004223D6">
        <w:rPr>
          <w:rFonts w:cs="Arial"/>
          <w:szCs w:val="22"/>
          <w:lang w:val="sl-SI"/>
        </w:rPr>
        <w:t xml:space="preserve"> </w:t>
      </w:r>
      <w:r w:rsidR="00A467E1" w:rsidRPr="004223D6">
        <w:rPr>
          <w:rFonts w:cs="Arial"/>
          <w:szCs w:val="22"/>
          <w:lang w:val="sl-SI"/>
        </w:rPr>
        <w:t xml:space="preserve">oz. jih izvaja </w:t>
      </w:r>
      <w:r w:rsidRPr="004223D6">
        <w:rPr>
          <w:rFonts w:cs="Arial"/>
          <w:szCs w:val="22"/>
          <w:lang w:val="sl-SI"/>
        </w:rPr>
        <w:t>(</w:t>
      </w:r>
      <w:proofErr w:type="spellStart"/>
      <w:r w:rsidRPr="004223D6">
        <w:rPr>
          <w:rFonts w:cs="Arial"/>
          <w:szCs w:val="22"/>
          <w:lang w:val="sl-SI"/>
        </w:rPr>
        <w:t>ii</w:t>
      </w:r>
      <w:proofErr w:type="spellEnd"/>
      <w:r w:rsidRPr="004223D6">
        <w:rPr>
          <w:rFonts w:cs="Arial"/>
          <w:szCs w:val="22"/>
          <w:lang w:val="sl-SI"/>
        </w:rPr>
        <w:t>) neposredno sam</w:t>
      </w:r>
      <w:r w:rsidR="00C13896">
        <w:rPr>
          <w:rFonts w:cs="Arial"/>
          <w:szCs w:val="22"/>
          <w:lang w:val="sl-SI"/>
        </w:rPr>
        <w:t>a</w:t>
      </w:r>
      <w:r w:rsidRPr="004223D6">
        <w:rPr>
          <w:rFonts w:cs="Arial"/>
          <w:szCs w:val="22"/>
          <w:lang w:val="sl-SI"/>
        </w:rPr>
        <w:t xml:space="preserve">. </w:t>
      </w:r>
      <w:r w:rsidR="00DC1316" w:rsidRPr="004223D6">
        <w:rPr>
          <w:rFonts w:cs="Arial"/>
          <w:szCs w:val="22"/>
          <w:lang w:val="sl-SI"/>
        </w:rPr>
        <w:t xml:space="preserve">V primeru, ko izvajalec sklada skladov </w:t>
      </w:r>
      <w:r w:rsidR="00F94316" w:rsidRPr="004223D6">
        <w:rPr>
          <w:rFonts w:cs="Arial"/>
          <w:szCs w:val="22"/>
          <w:lang w:val="sl-SI"/>
        </w:rPr>
        <w:t>FI</w:t>
      </w:r>
      <w:r w:rsidR="00A467E1" w:rsidRPr="004223D6">
        <w:rPr>
          <w:rFonts w:cs="Arial"/>
          <w:szCs w:val="22"/>
          <w:lang w:val="sl-SI"/>
        </w:rPr>
        <w:t xml:space="preserve"> izvaja sam</w:t>
      </w:r>
      <w:r w:rsidR="00DC1316" w:rsidRPr="004223D6">
        <w:rPr>
          <w:rFonts w:cs="Arial"/>
          <w:szCs w:val="22"/>
          <w:lang w:val="sl-SI"/>
        </w:rPr>
        <w:t xml:space="preserve">, </w:t>
      </w:r>
      <w:r w:rsidR="00A467E1" w:rsidRPr="004223D6">
        <w:rPr>
          <w:rFonts w:cs="Arial"/>
          <w:szCs w:val="22"/>
          <w:lang w:val="sl-SI"/>
        </w:rPr>
        <w:t>so</w:t>
      </w:r>
      <w:r w:rsidR="00C72B58" w:rsidRPr="004223D6">
        <w:rPr>
          <w:rFonts w:cs="Arial"/>
          <w:szCs w:val="22"/>
          <w:lang w:val="sl-SI"/>
        </w:rPr>
        <w:t xml:space="preserve"> </w:t>
      </w:r>
      <w:r w:rsidR="00DC1316" w:rsidRPr="004223D6">
        <w:rPr>
          <w:rFonts w:cs="Arial"/>
          <w:szCs w:val="22"/>
          <w:lang w:val="sl-SI"/>
        </w:rPr>
        <w:t xml:space="preserve">pogoji opredeljeni v </w:t>
      </w:r>
      <w:proofErr w:type="spellStart"/>
      <w:r w:rsidR="00C13896">
        <w:rPr>
          <w:rFonts w:cs="Arial"/>
          <w:szCs w:val="22"/>
          <w:lang w:val="sl-SI"/>
        </w:rPr>
        <w:t>SoF</w:t>
      </w:r>
      <w:proofErr w:type="spellEnd"/>
      <w:r w:rsidR="00DC1316" w:rsidRPr="004223D6">
        <w:rPr>
          <w:rFonts w:cs="Arial"/>
          <w:szCs w:val="22"/>
          <w:lang w:val="sl-SI"/>
        </w:rPr>
        <w:t xml:space="preserve">. </w:t>
      </w:r>
      <w:r w:rsidRPr="004223D6">
        <w:rPr>
          <w:rFonts w:cs="Arial"/>
          <w:szCs w:val="22"/>
          <w:lang w:val="sl-SI"/>
        </w:rPr>
        <w:t>Ključni akterji pri izvajanju FI so poleg izvajalca sklada skladov še Ministrstvo za gospodarski razvoj in tehnologijo, Ministrstvo za finance, Ministrstvo za infrastrukturo, Ministrstvo za okolje in prostor, Služba Vlade RS za razvoj in</w:t>
      </w:r>
      <w:r w:rsidR="00984A5B">
        <w:rPr>
          <w:rFonts w:cs="Arial"/>
          <w:szCs w:val="22"/>
          <w:lang w:val="sl-SI"/>
        </w:rPr>
        <w:t xml:space="preserve"> evropsko</w:t>
      </w:r>
      <w:r w:rsidRPr="004223D6">
        <w:rPr>
          <w:rFonts w:cs="Arial"/>
          <w:szCs w:val="22"/>
          <w:lang w:val="sl-SI"/>
        </w:rPr>
        <w:t xml:space="preserve"> kohezijsko politiko in Združenje mestnih občin Slovenije.</w:t>
      </w:r>
    </w:p>
    <w:p w14:paraId="12AFB3C5" w14:textId="77777777" w:rsidR="00FA7969" w:rsidRPr="004223D6" w:rsidRDefault="00FA7969" w:rsidP="00CE3440">
      <w:pPr>
        <w:jc w:val="both"/>
        <w:rPr>
          <w:rFonts w:cs="Arial"/>
          <w:szCs w:val="22"/>
          <w:lang w:val="sl-SI"/>
        </w:rPr>
      </w:pPr>
    </w:p>
    <w:p w14:paraId="79903ED7" w14:textId="74F049AE" w:rsidR="00FA7969" w:rsidRPr="004223D6" w:rsidRDefault="00FA7969" w:rsidP="00CE3440">
      <w:pPr>
        <w:jc w:val="both"/>
        <w:rPr>
          <w:rFonts w:cs="Arial"/>
          <w:szCs w:val="22"/>
          <w:lang w:val="sl-SI"/>
        </w:rPr>
      </w:pPr>
      <w:r w:rsidRPr="004223D6">
        <w:rPr>
          <w:rFonts w:cs="Arial"/>
          <w:szCs w:val="22"/>
          <w:lang w:val="sl-SI"/>
        </w:rPr>
        <w:t xml:space="preserve">Vlada </w:t>
      </w:r>
      <w:r w:rsidR="00BC479D" w:rsidRPr="004223D6">
        <w:rPr>
          <w:rFonts w:cs="Arial"/>
          <w:szCs w:val="22"/>
          <w:lang w:val="sl-SI"/>
        </w:rPr>
        <w:t>RS je</w:t>
      </w:r>
      <w:r w:rsidR="003B17FF" w:rsidRPr="004223D6">
        <w:rPr>
          <w:rFonts w:cs="Arial"/>
          <w:szCs w:val="22"/>
          <w:lang w:val="sl-SI"/>
        </w:rPr>
        <w:t xml:space="preserve"> dala soglasje </w:t>
      </w:r>
      <w:r w:rsidR="001B3292" w:rsidRPr="004223D6">
        <w:rPr>
          <w:rFonts w:cs="Arial"/>
          <w:szCs w:val="22"/>
          <w:lang w:val="sl-SI"/>
        </w:rPr>
        <w:t>h</w:t>
      </w:r>
      <w:r w:rsidR="003B17FF" w:rsidRPr="004223D6">
        <w:rPr>
          <w:rFonts w:cs="Arial"/>
          <w:szCs w:val="22"/>
          <w:lang w:val="sl-SI"/>
        </w:rPr>
        <w:t xml:space="preserve"> </w:t>
      </w:r>
      <w:r w:rsidRPr="004223D6">
        <w:rPr>
          <w:rFonts w:cs="Arial"/>
          <w:szCs w:val="22"/>
          <w:lang w:val="sl-SI"/>
        </w:rPr>
        <w:t xml:space="preserve">Ključnim elementom </w:t>
      </w:r>
      <w:r w:rsidR="004B2892">
        <w:rPr>
          <w:rFonts w:cs="Arial"/>
          <w:szCs w:val="22"/>
          <w:lang w:val="sl-SI"/>
        </w:rPr>
        <w:t>FI</w:t>
      </w:r>
      <w:r w:rsidRPr="004223D6">
        <w:rPr>
          <w:rFonts w:cs="Arial"/>
          <w:szCs w:val="22"/>
          <w:lang w:val="sl-SI"/>
        </w:rPr>
        <w:t xml:space="preserve"> v </w:t>
      </w:r>
      <w:r w:rsidR="003B17FF" w:rsidRPr="004223D6">
        <w:rPr>
          <w:rFonts w:cs="Arial"/>
          <w:szCs w:val="22"/>
          <w:lang w:val="sl-SI"/>
        </w:rPr>
        <w:t>programskem obdobju 2014–2020</w:t>
      </w:r>
      <w:r w:rsidRPr="004223D6">
        <w:rPr>
          <w:rFonts w:cs="Arial"/>
          <w:szCs w:val="22"/>
          <w:lang w:val="sl-SI"/>
        </w:rPr>
        <w:t xml:space="preserve"> s sklepom št. </w:t>
      </w:r>
      <w:r w:rsidRPr="004223D6">
        <w:rPr>
          <w:rFonts w:cs="Arial"/>
          <w:szCs w:val="22"/>
          <w:lang w:val="sl-SI" w:eastAsia="sl-SI"/>
        </w:rPr>
        <w:t xml:space="preserve">30300-4/2017/4 </w:t>
      </w:r>
      <w:r w:rsidRPr="004223D6">
        <w:rPr>
          <w:rFonts w:cs="Arial"/>
          <w:szCs w:val="22"/>
          <w:lang w:val="sl-SI"/>
        </w:rPr>
        <w:t>dne 15. 6. 2017</w:t>
      </w:r>
      <w:r w:rsidR="003D6BD4" w:rsidRPr="004223D6">
        <w:rPr>
          <w:rFonts w:cs="Arial"/>
          <w:szCs w:val="22"/>
          <w:lang w:val="sl-SI"/>
        </w:rPr>
        <w:t>,</w:t>
      </w:r>
      <w:r w:rsidR="003D6BD4" w:rsidRPr="004223D6">
        <w:rPr>
          <w:lang w:val="sl-SI"/>
        </w:rPr>
        <w:t xml:space="preserve"> </w:t>
      </w:r>
      <w:r w:rsidR="003D6BD4" w:rsidRPr="004223D6">
        <w:rPr>
          <w:rFonts w:cs="Arial"/>
          <w:szCs w:val="22"/>
          <w:lang w:val="sl-SI"/>
        </w:rPr>
        <w:t>ki so bili spremenjeni na seji Vlade RS dne 28.9.2017</w:t>
      </w:r>
      <w:r w:rsidRPr="004223D6">
        <w:rPr>
          <w:rFonts w:cs="Arial"/>
          <w:szCs w:val="22"/>
          <w:lang w:val="sl-SI"/>
        </w:rPr>
        <w:t>. Dokument predstavlja usmeritve za izvajanje FI v obdobju 2014-2020.</w:t>
      </w:r>
      <w:r w:rsidR="001C320C" w:rsidRPr="004223D6">
        <w:rPr>
          <w:rFonts w:cs="Arial"/>
          <w:szCs w:val="22"/>
          <w:lang w:val="sl-SI"/>
        </w:rPr>
        <w:t xml:space="preserve"> Ministrstvo za gospodarski razvoj in tehnologijo je na tej podlagi sklenilo sporazum o financiranju dne 24.11.2017 in vplačalo prvo tranšo v višini 63,25 mio EUR </w:t>
      </w:r>
      <w:r w:rsidR="004223D6" w:rsidRPr="004223D6">
        <w:rPr>
          <w:rFonts w:cs="Arial"/>
          <w:szCs w:val="22"/>
          <w:lang w:val="sl-SI"/>
        </w:rPr>
        <w:t>dne</w:t>
      </w:r>
      <w:r w:rsidR="005743CB">
        <w:rPr>
          <w:rFonts w:cs="Arial"/>
          <w:szCs w:val="22"/>
          <w:lang w:val="sl-SI"/>
        </w:rPr>
        <w:t xml:space="preserve"> 7.12.2017</w:t>
      </w:r>
      <w:r w:rsidR="001C320C" w:rsidRPr="004223D6">
        <w:rPr>
          <w:rFonts w:cs="Arial"/>
          <w:szCs w:val="22"/>
          <w:lang w:val="sl-SI"/>
        </w:rPr>
        <w:t>.</w:t>
      </w:r>
    </w:p>
    <w:p w14:paraId="172FC8FC" w14:textId="2810A9C0" w:rsidR="001C320C" w:rsidRPr="004223D6" w:rsidRDefault="001C320C" w:rsidP="00CE3440">
      <w:pPr>
        <w:jc w:val="both"/>
        <w:rPr>
          <w:rFonts w:cs="Arial"/>
          <w:szCs w:val="22"/>
          <w:lang w:val="sl-SI"/>
        </w:rPr>
      </w:pPr>
    </w:p>
    <w:p w14:paraId="0FD21F30" w14:textId="4EBE409E" w:rsidR="00DF26BA" w:rsidRDefault="00DF26BA" w:rsidP="00DF26BA">
      <w:pPr>
        <w:jc w:val="both"/>
        <w:rPr>
          <w:rFonts w:cs="Arial"/>
          <w:szCs w:val="22"/>
          <w:lang w:val="sl-SI"/>
        </w:rPr>
      </w:pPr>
      <w:r w:rsidRPr="004223D6">
        <w:rPr>
          <w:rFonts w:cs="Arial"/>
          <w:szCs w:val="22"/>
          <w:lang w:val="sl-SI"/>
        </w:rPr>
        <w:t>SID</w:t>
      </w:r>
      <w:r>
        <w:rPr>
          <w:rFonts w:cs="Arial"/>
          <w:szCs w:val="22"/>
          <w:lang w:val="sl-SI"/>
        </w:rPr>
        <w:t xml:space="preserve"> </w:t>
      </w:r>
      <w:r w:rsidRPr="004223D6">
        <w:rPr>
          <w:rFonts w:cs="Arial"/>
          <w:szCs w:val="22"/>
          <w:lang w:val="sl-SI"/>
        </w:rPr>
        <w:t>je na podlagi izvedenih tržnih analiz, intenzivnih pogovorov z deležniki finančnega sektorja, ugotovljene neodzivnosti oziroma nezainteresiranosti finančnih institucij (tako javnih kot zasebnih), da bi prevzele v</w:t>
      </w:r>
      <w:r>
        <w:rPr>
          <w:rFonts w:cs="Arial"/>
          <w:szCs w:val="22"/>
          <w:lang w:val="sl-SI"/>
        </w:rPr>
        <w:t>logo finančnih posrednikov za finančne instrumente,</w:t>
      </w:r>
      <w:r w:rsidRPr="004223D6">
        <w:rPr>
          <w:rFonts w:cs="Arial"/>
          <w:szCs w:val="22"/>
          <w:lang w:val="sl-SI"/>
        </w:rPr>
        <w:t xml:space="preserve"> in z namenom hitrejše realizacije načrtovanih </w:t>
      </w:r>
      <w:r>
        <w:rPr>
          <w:rFonts w:cs="Arial"/>
          <w:szCs w:val="22"/>
          <w:lang w:val="sl-SI"/>
        </w:rPr>
        <w:t>FI</w:t>
      </w:r>
      <w:r w:rsidRPr="004223D6">
        <w:rPr>
          <w:rFonts w:cs="Arial"/>
          <w:szCs w:val="22"/>
          <w:lang w:val="sl-SI"/>
        </w:rPr>
        <w:t xml:space="preserve"> ter pravočasne zagotovitve drugega črpanja v zadnjem kvartalu 2019, v začetku decembra 2018, v skladu z</w:t>
      </w:r>
      <w:r>
        <w:rPr>
          <w:rFonts w:cs="Arial"/>
          <w:szCs w:val="22"/>
          <w:lang w:val="sl-SI"/>
        </w:rPr>
        <w:t xml:space="preserve"> določili podpisanega </w:t>
      </w:r>
      <w:proofErr w:type="spellStart"/>
      <w:r>
        <w:rPr>
          <w:rFonts w:cs="Arial"/>
          <w:szCs w:val="22"/>
          <w:lang w:val="sl-SI"/>
        </w:rPr>
        <w:t>SoF</w:t>
      </w:r>
      <w:proofErr w:type="spellEnd"/>
      <w:r>
        <w:rPr>
          <w:rFonts w:cs="Arial"/>
          <w:szCs w:val="22"/>
          <w:lang w:val="sl-SI"/>
        </w:rPr>
        <w:t>, naslovil na PO-MGRT vlogo</w:t>
      </w:r>
      <w:r w:rsidR="00D529AA">
        <w:rPr>
          <w:rFonts w:cs="Arial"/>
          <w:szCs w:val="22"/>
          <w:lang w:val="sl-SI"/>
        </w:rPr>
        <w:t xml:space="preserve">, da </w:t>
      </w:r>
      <w:r>
        <w:rPr>
          <w:rFonts w:cs="Arial"/>
          <w:szCs w:val="22"/>
          <w:lang w:val="sl-SI"/>
        </w:rPr>
        <w:t xml:space="preserve">SID postane neposredni izvajalec za naslednje FI: </w:t>
      </w:r>
      <w:r w:rsidRPr="004223D6">
        <w:rPr>
          <w:rFonts w:cs="Arial"/>
          <w:lang w:val="sl-SI"/>
        </w:rPr>
        <w:t>»EKP Posojila za RRI«, »EKP Posojila za celovito energetsko prenovo javnih stavb« in »EKP Posojila za urbani razvoj«</w:t>
      </w:r>
      <w:r>
        <w:rPr>
          <w:rFonts w:cs="Arial"/>
          <w:lang w:val="sl-SI"/>
        </w:rPr>
        <w:t xml:space="preserve">. </w:t>
      </w:r>
      <w:r>
        <w:rPr>
          <w:rFonts w:cs="Arial"/>
          <w:szCs w:val="22"/>
          <w:lang w:val="sl-SI"/>
        </w:rPr>
        <w:t xml:space="preserve">Zahtevek je obravnaval tudi UOFI decembra 2018 ter podprl predlog, pri tem pa poudaril, da je potrebno v PFN 2019 upoštevati zaveze in cilje </w:t>
      </w:r>
      <w:r w:rsidRPr="004223D6">
        <w:rPr>
          <w:rFonts w:cs="Arial"/>
          <w:lang w:val="sl-SI"/>
        </w:rPr>
        <w:t xml:space="preserve">»Akcijskega načrta za pospešitev črpanja sredstev iz Operativnega programa za izvajanje evropske kohezijske politike v obdobju 2014-2020«, </w:t>
      </w:r>
      <w:r>
        <w:rPr>
          <w:rFonts w:cs="Arial"/>
          <w:szCs w:val="22"/>
          <w:lang w:val="sl-SI"/>
        </w:rPr>
        <w:t>ki ga je VRS sprejela v decembru 2018.</w:t>
      </w:r>
    </w:p>
    <w:p w14:paraId="15CAEB34" w14:textId="77777777" w:rsidR="00DF26BA" w:rsidRDefault="00DF26BA" w:rsidP="001C320C">
      <w:pPr>
        <w:spacing w:line="259" w:lineRule="auto"/>
        <w:jc w:val="both"/>
        <w:rPr>
          <w:rFonts w:cs="Arial"/>
          <w:lang w:val="sl-SI"/>
        </w:rPr>
      </w:pPr>
    </w:p>
    <w:p w14:paraId="2BC0007E" w14:textId="77C3569F" w:rsidR="00184BE9" w:rsidRPr="004223D6" w:rsidRDefault="00184BE9" w:rsidP="00CE3440">
      <w:pPr>
        <w:pStyle w:val="Naslov1"/>
        <w:numPr>
          <w:ilvl w:val="0"/>
          <w:numId w:val="25"/>
        </w:numPr>
        <w:spacing w:before="240" w:after="60"/>
        <w:jc w:val="both"/>
        <w:rPr>
          <w:lang w:val="sl-SI"/>
        </w:rPr>
      </w:pPr>
      <w:r w:rsidRPr="004223D6">
        <w:rPr>
          <w:lang w:val="sl-SI"/>
        </w:rPr>
        <w:t>Dokumenti dolgoročnega razvojnega načrtovanja</w:t>
      </w:r>
    </w:p>
    <w:p w14:paraId="7FDFA714" w14:textId="77777777" w:rsidR="00184BE9" w:rsidRPr="004223D6" w:rsidRDefault="00184BE9" w:rsidP="00CE3440">
      <w:pPr>
        <w:jc w:val="both"/>
        <w:rPr>
          <w:rFonts w:cs="Arial"/>
          <w:szCs w:val="22"/>
          <w:lang w:val="sl-SI"/>
        </w:rPr>
      </w:pPr>
    </w:p>
    <w:p w14:paraId="4219AB24" w14:textId="14F50222" w:rsidR="00184BE9" w:rsidRPr="004223D6" w:rsidRDefault="00184BE9" w:rsidP="00CE3440">
      <w:pPr>
        <w:jc w:val="both"/>
        <w:rPr>
          <w:rFonts w:cs="Arial"/>
          <w:szCs w:val="22"/>
          <w:lang w:val="sl-SI"/>
        </w:rPr>
      </w:pPr>
      <w:r w:rsidRPr="004223D6">
        <w:rPr>
          <w:rFonts w:cs="Arial"/>
          <w:szCs w:val="22"/>
          <w:lang w:val="sl-SI"/>
        </w:rPr>
        <w:t xml:space="preserve">Skladno z Zakonom o javnih financah (Uradni list RS, št. 11/11 – uradno prečiščeno besedilo, 14/13 – </w:t>
      </w:r>
      <w:proofErr w:type="spellStart"/>
      <w:r w:rsidRPr="004223D6">
        <w:rPr>
          <w:rFonts w:cs="Arial"/>
          <w:szCs w:val="22"/>
          <w:lang w:val="sl-SI"/>
        </w:rPr>
        <w:t>popr</w:t>
      </w:r>
      <w:proofErr w:type="spellEnd"/>
      <w:r w:rsidRPr="004223D6">
        <w:rPr>
          <w:rFonts w:cs="Arial"/>
          <w:szCs w:val="22"/>
          <w:lang w:val="sl-SI"/>
        </w:rPr>
        <w:t xml:space="preserve">., 101/13, 55/15 – </w:t>
      </w:r>
      <w:proofErr w:type="spellStart"/>
      <w:r w:rsidRPr="004223D6">
        <w:rPr>
          <w:rFonts w:cs="Arial"/>
          <w:szCs w:val="22"/>
          <w:lang w:val="sl-SI"/>
        </w:rPr>
        <w:t>ZFisP</w:t>
      </w:r>
      <w:proofErr w:type="spellEnd"/>
      <w:r w:rsidR="00CC2BF5" w:rsidRPr="004223D6">
        <w:rPr>
          <w:rFonts w:cs="Arial"/>
          <w:szCs w:val="22"/>
          <w:lang w:val="sl-SI"/>
        </w:rPr>
        <w:t xml:space="preserve">, </w:t>
      </w:r>
      <w:r w:rsidRPr="004223D6">
        <w:rPr>
          <w:rFonts w:cs="Arial"/>
          <w:szCs w:val="22"/>
          <w:lang w:val="sl-SI"/>
        </w:rPr>
        <w:t>96/15 – ZIPRS1617</w:t>
      </w:r>
      <w:r w:rsidR="00CC2BF5" w:rsidRPr="004223D6">
        <w:rPr>
          <w:rFonts w:cs="Arial"/>
          <w:szCs w:val="22"/>
          <w:lang w:val="sl-SI"/>
        </w:rPr>
        <w:t xml:space="preserve"> in 13/18</w:t>
      </w:r>
      <w:r w:rsidRPr="004223D6">
        <w:rPr>
          <w:rFonts w:cs="Arial"/>
          <w:szCs w:val="22"/>
          <w:lang w:val="sl-SI"/>
        </w:rPr>
        <w:t>) in Uredbo o dokumentih razvojnega načrtovanja in postopkih za pripravo predloga državnega proračuna (Uradni list RS, št. 54/10</w:t>
      </w:r>
      <w:r w:rsidR="006B1C57" w:rsidRPr="004223D6">
        <w:rPr>
          <w:rFonts w:cs="Arial"/>
          <w:szCs w:val="22"/>
          <w:lang w:val="sl-SI"/>
        </w:rPr>
        <w:t xml:space="preserve"> in 35/18</w:t>
      </w:r>
      <w:r w:rsidRPr="004223D6">
        <w:rPr>
          <w:rFonts w:cs="Arial"/>
          <w:szCs w:val="22"/>
          <w:lang w:val="sl-SI"/>
        </w:rPr>
        <w:t xml:space="preserve">) je vsebina </w:t>
      </w:r>
      <w:r w:rsidR="00FB4E17" w:rsidRPr="004223D6">
        <w:rPr>
          <w:rFonts w:cs="Arial"/>
          <w:szCs w:val="22"/>
          <w:lang w:val="sl-SI"/>
        </w:rPr>
        <w:t>p</w:t>
      </w:r>
      <w:r w:rsidRPr="004223D6">
        <w:rPr>
          <w:rFonts w:cs="Arial"/>
          <w:szCs w:val="22"/>
          <w:lang w:val="sl-SI"/>
        </w:rPr>
        <w:t>re</w:t>
      </w:r>
      <w:r w:rsidR="00FB4E17" w:rsidRPr="004223D6">
        <w:rPr>
          <w:rFonts w:cs="Arial"/>
          <w:szCs w:val="22"/>
          <w:lang w:val="sl-SI"/>
        </w:rPr>
        <w:t>d</w:t>
      </w:r>
      <w:r w:rsidRPr="004223D6">
        <w:rPr>
          <w:rFonts w:cs="Arial"/>
          <w:szCs w:val="22"/>
          <w:lang w:val="sl-SI"/>
        </w:rPr>
        <w:t xml:space="preserve">loga Načrta utemeljena </w:t>
      </w:r>
      <w:r w:rsidR="00C15EAB" w:rsidRPr="004223D6">
        <w:rPr>
          <w:rFonts w:cs="Arial"/>
          <w:szCs w:val="22"/>
          <w:lang w:val="sl-SI"/>
        </w:rPr>
        <w:t xml:space="preserve">z </w:t>
      </w:r>
      <w:r w:rsidRPr="004223D6">
        <w:rPr>
          <w:rFonts w:cs="Arial"/>
          <w:szCs w:val="22"/>
          <w:lang w:val="sl-SI"/>
        </w:rPr>
        <w:t>dokumenti dolgoročnega r</w:t>
      </w:r>
      <w:r w:rsidR="005E58E3" w:rsidRPr="004223D6">
        <w:rPr>
          <w:rFonts w:cs="Arial"/>
          <w:szCs w:val="22"/>
          <w:lang w:val="sl-SI"/>
        </w:rPr>
        <w:t>azvojnega načrtovanja, in sicer</w:t>
      </w:r>
      <w:r w:rsidR="00FB4E17" w:rsidRPr="004223D6">
        <w:rPr>
          <w:rFonts w:cs="Arial"/>
          <w:szCs w:val="22"/>
          <w:lang w:val="sl-SI"/>
        </w:rPr>
        <w:t xml:space="preserve"> </w:t>
      </w:r>
      <w:r w:rsidRPr="004223D6">
        <w:rPr>
          <w:rFonts w:cs="Arial"/>
          <w:szCs w:val="22"/>
          <w:lang w:val="sl-SI"/>
        </w:rPr>
        <w:t>Strategij</w:t>
      </w:r>
      <w:r w:rsidR="006336CB">
        <w:rPr>
          <w:rFonts w:cs="Arial"/>
          <w:szCs w:val="22"/>
          <w:lang w:val="sl-SI"/>
        </w:rPr>
        <w:t>o</w:t>
      </w:r>
      <w:r w:rsidRPr="004223D6">
        <w:rPr>
          <w:rFonts w:cs="Arial"/>
          <w:szCs w:val="22"/>
          <w:lang w:val="sl-SI"/>
        </w:rPr>
        <w:t xml:space="preserve"> razvoja Slovenije kot krovnim </w:t>
      </w:r>
      <w:r w:rsidRPr="004223D6">
        <w:rPr>
          <w:rFonts w:cs="Arial"/>
          <w:szCs w:val="22"/>
          <w:lang w:val="sl-SI"/>
        </w:rPr>
        <w:lastRenderedPageBreak/>
        <w:t>dolgoročnim strateškim dokumentom razvojnega načrtovanja, Programom državnih razvojnih prioritet in investicij, ki predstavlja srednjeročno izvedbeno operacionalizacijo Strategije razvoja Slovenije</w:t>
      </w:r>
      <w:r w:rsidR="006336CB">
        <w:rPr>
          <w:rFonts w:cs="Arial"/>
          <w:szCs w:val="22"/>
          <w:lang w:val="sl-SI"/>
        </w:rPr>
        <w:t>,</w:t>
      </w:r>
      <w:r w:rsidRPr="004223D6">
        <w:rPr>
          <w:rFonts w:cs="Arial"/>
          <w:szCs w:val="22"/>
          <w:lang w:val="sl-SI"/>
        </w:rPr>
        <w:t xml:space="preserve"> in Nacionalnim reformnim programom ter dokumenti evropske kohezijske politike za obdobje </w:t>
      </w:r>
      <w:r w:rsidR="004F0A95">
        <w:rPr>
          <w:rFonts w:cs="Arial"/>
          <w:szCs w:val="22"/>
          <w:lang w:val="sl-SI"/>
        </w:rPr>
        <w:t>2014–2020</w:t>
      </w:r>
      <w:r w:rsidRPr="004223D6">
        <w:rPr>
          <w:rFonts w:cs="Arial"/>
          <w:szCs w:val="22"/>
          <w:lang w:val="sl-SI"/>
        </w:rPr>
        <w:t>.</w:t>
      </w:r>
    </w:p>
    <w:p w14:paraId="6DC76E19" w14:textId="77777777" w:rsidR="00184BE9" w:rsidRPr="004223D6" w:rsidRDefault="00184BE9" w:rsidP="00CE3440">
      <w:pPr>
        <w:jc w:val="both"/>
        <w:rPr>
          <w:rFonts w:cs="Arial"/>
          <w:szCs w:val="22"/>
          <w:lang w:val="sl-SI"/>
        </w:rPr>
      </w:pPr>
    </w:p>
    <w:p w14:paraId="01B2A7E3" w14:textId="7AF3735F" w:rsidR="00DE6355" w:rsidRDefault="00184BE9" w:rsidP="005D0B9A">
      <w:pPr>
        <w:jc w:val="both"/>
        <w:rPr>
          <w:rFonts w:cs="Arial"/>
          <w:szCs w:val="22"/>
          <w:lang w:val="sl-SI"/>
        </w:rPr>
      </w:pPr>
      <w:r w:rsidRPr="004223D6">
        <w:rPr>
          <w:rFonts w:cs="Arial"/>
          <w:szCs w:val="22"/>
          <w:lang w:val="sl-SI"/>
        </w:rPr>
        <w:t xml:space="preserve">Poleg strateških in programskih dokumentov je bila pripravljena predhodna ocena, osredotočena na </w:t>
      </w:r>
      <w:r w:rsidR="00F94316" w:rsidRPr="004223D6">
        <w:rPr>
          <w:rFonts w:cs="Arial"/>
          <w:szCs w:val="22"/>
          <w:lang w:val="sl-SI"/>
        </w:rPr>
        <w:t>FI</w:t>
      </w:r>
      <w:r w:rsidRPr="004223D6">
        <w:rPr>
          <w:rFonts w:cs="Arial"/>
          <w:szCs w:val="22"/>
          <w:lang w:val="sl-SI"/>
        </w:rPr>
        <w:t xml:space="preserve"> v Sloveniji v programskem obdobju </w:t>
      </w:r>
      <w:r w:rsidR="004F0A95">
        <w:rPr>
          <w:rFonts w:cs="Arial"/>
          <w:szCs w:val="22"/>
          <w:lang w:val="sl-SI"/>
        </w:rPr>
        <w:t>2014–2020</w:t>
      </w:r>
      <w:r w:rsidRPr="004223D6">
        <w:rPr>
          <w:rFonts w:cs="Arial"/>
          <w:szCs w:val="22"/>
          <w:lang w:val="sl-SI"/>
        </w:rPr>
        <w:t xml:space="preserve">, z namenom ugotoviti, kateri </w:t>
      </w:r>
      <w:r w:rsidR="00F94316" w:rsidRPr="004223D6">
        <w:rPr>
          <w:rFonts w:cs="Arial"/>
          <w:szCs w:val="22"/>
          <w:lang w:val="sl-SI"/>
        </w:rPr>
        <w:t>FI</w:t>
      </w:r>
      <w:r w:rsidRPr="004223D6">
        <w:rPr>
          <w:rFonts w:cs="Arial"/>
          <w:szCs w:val="22"/>
          <w:lang w:val="sl-SI"/>
        </w:rPr>
        <w:t xml:space="preserve"> in na kakšen način lahko spodbudijo in pospešijo naložbe v štiri naložbena področja </w:t>
      </w:r>
      <w:r w:rsidR="003B17FF" w:rsidRPr="004223D6">
        <w:rPr>
          <w:rFonts w:cs="Arial"/>
          <w:szCs w:val="22"/>
          <w:lang w:val="sl-SI"/>
        </w:rPr>
        <w:t xml:space="preserve">operativnega </w:t>
      </w:r>
      <w:r w:rsidRPr="004223D6">
        <w:rPr>
          <w:rFonts w:cs="Arial"/>
          <w:szCs w:val="22"/>
          <w:lang w:val="sl-SI"/>
        </w:rPr>
        <w:t xml:space="preserve">programa. </w:t>
      </w:r>
      <w:r w:rsidR="00984A5B" w:rsidRPr="004223D6">
        <w:rPr>
          <w:rFonts w:cs="Arial"/>
          <w:szCs w:val="22"/>
          <w:lang w:val="sl-SI"/>
        </w:rPr>
        <w:t xml:space="preserve">Predhodna ocena </w:t>
      </w:r>
      <w:r w:rsidR="004B2892">
        <w:rPr>
          <w:rFonts w:cs="Arial"/>
          <w:szCs w:val="22"/>
          <w:lang w:val="sl-SI"/>
        </w:rPr>
        <w:t>FI</w:t>
      </w:r>
      <w:r w:rsidR="00984A5B" w:rsidRPr="004223D6">
        <w:rPr>
          <w:rFonts w:cs="Arial"/>
          <w:szCs w:val="22"/>
          <w:lang w:val="sl-SI"/>
        </w:rPr>
        <w:t xml:space="preserve"> v Sloveniji in </w:t>
      </w:r>
      <w:r w:rsidR="00984A5B">
        <w:rPr>
          <w:rFonts w:cs="Arial"/>
          <w:szCs w:val="22"/>
          <w:lang w:val="sl-SI"/>
        </w:rPr>
        <w:t xml:space="preserve">dodatno </w:t>
      </w:r>
      <w:r w:rsidR="00984A5B" w:rsidRPr="004223D6">
        <w:rPr>
          <w:rFonts w:cs="Arial"/>
          <w:szCs w:val="22"/>
          <w:lang w:val="sl-SI"/>
        </w:rPr>
        <w:t xml:space="preserve">mnenje Evropske investicijske banke </w:t>
      </w:r>
      <w:r w:rsidR="00984A5B">
        <w:rPr>
          <w:rFonts w:cs="Arial"/>
          <w:szCs w:val="22"/>
          <w:lang w:val="sl-SI"/>
        </w:rPr>
        <w:t>predstavljata v</w:t>
      </w:r>
      <w:r w:rsidRPr="004223D6">
        <w:rPr>
          <w:rFonts w:cs="Arial"/>
          <w:szCs w:val="22"/>
          <w:lang w:val="sl-SI"/>
        </w:rPr>
        <w:t>sebinsk</w:t>
      </w:r>
      <w:r w:rsidR="00984A5B">
        <w:rPr>
          <w:rFonts w:cs="Arial"/>
          <w:szCs w:val="22"/>
          <w:lang w:val="sl-SI"/>
        </w:rPr>
        <w:t>o</w:t>
      </w:r>
      <w:r w:rsidRPr="004223D6">
        <w:rPr>
          <w:rFonts w:cs="Arial"/>
          <w:szCs w:val="22"/>
          <w:lang w:val="sl-SI"/>
        </w:rPr>
        <w:t xml:space="preserve"> podlag</w:t>
      </w:r>
      <w:r w:rsidR="00984A5B">
        <w:rPr>
          <w:rFonts w:cs="Arial"/>
          <w:szCs w:val="22"/>
          <w:lang w:val="sl-SI"/>
        </w:rPr>
        <w:t>o</w:t>
      </w:r>
      <w:r w:rsidRPr="004223D6">
        <w:rPr>
          <w:rFonts w:cs="Arial"/>
          <w:szCs w:val="22"/>
          <w:lang w:val="sl-SI"/>
        </w:rPr>
        <w:t xml:space="preserve"> za pripravo Ključnih elementov </w:t>
      </w:r>
      <w:r w:rsidR="004B2892">
        <w:rPr>
          <w:rFonts w:cs="Arial"/>
          <w:szCs w:val="22"/>
          <w:lang w:val="sl-SI"/>
        </w:rPr>
        <w:t>FI</w:t>
      </w:r>
      <w:r w:rsidR="003B17FF" w:rsidRPr="004223D6">
        <w:rPr>
          <w:rFonts w:cs="Arial"/>
          <w:szCs w:val="22"/>
          <w:lang w:val="sl-SI"/>
        </w:rPr>
        <w:t xml:space="preserve"> v programskem obdobju 2014–2020</w:t>
      </w:r>
      <w:r w:rsidR="00984A5B">
        <w:rPr>
          <w:rFonts w:cs="Arial"/>
          <w:szCs w:val="22"/>
          <w:lang w:val="sl-SI"/>
        </w:rPr>
        <w:t>.</w:t>
      </w:r>
      <w:r w:rsidRPr="004223D6">
        <w:rPr>
          <w:rFonts w:cs="Arial"/>
          <w:szCs w:val="22"/>
          <w:lang w:val="sl-SI"/>
        </w:rPr>
        <w:t xml:space="preserve"> </w:t>
      </w:r>
      <w:r w:rsidR="00984A5B">
        <w:rPr>
          <w:rFonts w:cs="Arial"/>
          <w:szCs w:val="22"/>
          <w:lang w:val="sl-SI"/>
        </w:rPr>
        <w:t>Pri</w:t>
      </w:r>
      <w:r w:rsidRPr="004223D6">
        <w:rPr>
          <w:rFonts w:cs="Arial"/>
          <w:szCs w:val="22"/>
          <w:lang w:val="sl-SI"/>
        </w:rPr>
        <w:t>kaza</w:t>
      </w:r>
      <w:r w:rsidR="00984A5B">
        <w:rPr>
          <w:rFonts w:cs="Arial"/>
          <w:szCs w:val="22"/>
          <w:lang w:val="sl-SI"/>
        </w:rPr>
        <w:t>n</w:t>
      </w:r>
      <w:r w:rsidRPr="004223D6">
        <w:rPr>
          <w:rFonts w:cs="Arial"/>
          <w:szCs w:val="22"/>
          <w:lang w:val="sl-SI"/>
        </w:rPr>
        <w:t xml:space="preserve">a </w:t>
      </w:r>
      <w:r w:rsidR="00984A5B">
        <w:rPr>
          <w:rFonts w:cs="Arial"/>
          <w:szCs w:val="22"/>
          <w:lang w:val="sl-SI"/>
        </w:rPr>
        <w:t xml:space="preserve">je bila </w:t>
      </w:r>
      <w:r w:rsidRPr="004223D6">
        <w:rPr>
          <w:rFonts w:cs="Arial"/>
          <w:szCs w:val="22"/>
          <w:lang w:val="sl-SI"/>
        </w:rPr>
        <w:t>vr</w:t>
      </w:r>
      <w:r w:rsidR="003B17FF" w:rsidRPr="004223D6">
        <w:rPr>
          <w:rFonts w:cs="Arial"/>
          <w:szCs w:val="22"/>
          <w:lang w:val="sl-SI"/>
        </w:rPr>
        <w:t>zel financiranja na področju mali</w:t>
      </w:r>
      <w:r w:rsidR="006B1C57" w:rsidRPr="004223D6">
        <w:rPr>
          <w:rFonts w:cs="Arial"/>
          <w:szCs w:val="22"/>
          <w:lang w:val="sl-SI"/>
        </w:rPr>
        <w:t>h</w:t>
      </w:r>
      <w:r w:rsidR="003B17FF" w:rsidRPr="004223D6">
        <w:rPr>
          <w:rFonts w:cs="Arial"/>
          <w:szCs w:val="22"/>
          <w:lang w:val="sl-SI"/>
        </w:rPr>
        <w:t xml:space="preserve"> in srednje velikih podjetij</w:t>
      </w:r>
      <w:r w:rsidRPr="004223D6">
        <w:rPr>
          <w:rFonts w:cs="Arial"/>
          <w:szCs w:val="22"/>
          <w:lang w:val="sl-SI"/>
        </w:rPr>
        <w:t xml:space="preserve">, </w:t>
      </w:r>
      <w:r w:rsidR="003B17FF" w:rsidRPr="004223D6">
        <w:rPr>
          <w:rFonts w:cs="Arial"/>
          <w:szCs w:val="22"/>
          <w:lang w:val="sl-SI"/>
        </w:rPr>
        <w:t>raziskav, razvoja in inovacij</w:t>
      </w:r>
      <w:r w:rsidRPr="004223D6">
        <w:rPr>
          <w:rFonts w:cs="Arial"/>
          <w:szCs w:val="22"/>
          <w:lang w:val="sl-SI"/>
        </w:rPr>
        <w:t>, energetske učinkovitost in urbanega razvoja</w:t>
      </w:r>
      <w:r w:rsidR="006336CB">
        <w:rPr>
          <w:rFonts w:cs="Arial"/>
          <w:szCs w:val="22"/>
          <w:lang w:val="sl-SI"/>
        </w:rPr>
        <w:t xml:space="preserve">. Med samim izvajanjem </w:t>
      </w:r>
      <w:r w:rsidR="004B2892">
        <w:rPr>
          <w:rFonts w:cs="Arial"/>
          <w:szCs w:val="22"/>
          <w:lang w:val="sl-SI"/>
        </w:rPr>
        <w:t>FI</w:t>
      </w:r>
      <w:r w:rsidR="006336CB">
        <w:rPr>
          <w:rFonts w:cs="Arial"/>
          <w:szCs w:val="22"/>
          <w:lang w:val="sl-SI"/>
        </w:rPr>
        <w:t xml:space="preserve"> in na podlagi razmer na trgu je izvajalec sklada skladov ugotovil, da je potrebno prilagoditi poslovno finančni načrt sklada skladov </w:t>
      </w:r>
      <w:r w:rsidR="004F0A95">
        <w:rPr>
          <w:rFonts w:cs="Arial"/>
          <w:szCs w:val="22"/>
          <w:lang w:val="sl-SI"/>
        </w:rPr>
        <w:t>2014–2020</w:t>
      </w:r>
      <w:r w:rsidR="006336CB">
        <w:rPr>
          <w:rFonts w:cs="Arial"/>
          <w:szCs w:val="22"/>
          <w:lang w:val="sl-SI"/>
        </w:rPr>
        <w:t xml:space="preserve"> in naložbeno strategijo</w:t>
      </w:r>
      <w:r w:rsidR="00DE6355">
        <w:rPr>
          <w:rFonts w:cs="Arial"/>
          <w:szCs w:val="22"/>
          <w:lang w:val="sl-SI"/>
        </w:rPr>
        <w:t>.</w:t>
      </w:r>
    </w:p>
    <w:p w14:paraId="16DBD462" w14:textId="77777777" w:rsidR="00DE6355" w:rsidRDefault="00DE6355" w:rsidP="005D0B9A">
      <w:pPr>
        <w:jc w:val="both"/>
        <w:rPr>
          <w:rFonts w:cs="Arial"/>
          <w:szCs w:val="22"/>
          <w:lang w:val="sl-SI"/>
        </w:rPr>
      </w:pPr>
    </w:p>
    <w:p w14:paraId="6B7BF851" w14:textId="1B31F8C8" w:rsidR="005D0B9A" w:rsidRDefault="005D0B9A" w:rsidP="005D0B9A">
      <w:pPr>
        <w:jc w:val="both"/>
        <w:rPr>
          <w:rFonts w:cs="Arial"/>
          <w:szCs w:val="22"/>
          <w:lang w:val="sl-SI"/>
        </w:rPr>
      </w:pPr>
      <w:r w:rsidRPr="005D0B9A">
        <w:rPr>
          <w:rFonts w:cs="Arial"/>
          <w:szCs w:val="22"/>
          <w:lang w:val="sl-SI"/>
        </w:rPr>
        <w:t xml:space="preserve">Ključne spremembe </w:t>
      </w:r>
      <w:r>
        <w:rPr>
          <w:rFonts w:cs="Arial"/>
          <w:szCs w:val="22"/>
          <w:lang w:val="sl-SI"/>
        </w:rPr>
        <w:t>poslovno finančnega načrta</w:t>
      </w:r>
      <w:r w:rsidRPr="005D0B9A">
        <w:rPr>
          <w:rFonts w:cs="Arial"/>
          <w:szCs w:val="22"/>
          <w:lang w:val="sl-SI"/>
        </w:rPr>
        <w:t xml:space="preserve"> </w:t>
      </w:r>
      <w:r w:rsidR="005743CB">
        <w:rPr>
          <w:rFonts w:cs="Arial"/>
          <w:szCs w:val="22"/>
          <w:lang w:val="sl-SI"/>
        </w:rPr>
        <w:t xml:space="preserve">(v nadaljevanju: PFN) </w:t>
      </w:r>
      <w:r w:rsidRPr="005D0B9A">
        <w:rPr>
          <w:rFonts w:cs="Arial"/>
          <w:szCs w:val="22"/>
          <w:lang w:val="sl-SI"/>
        </w:rPr>
        <w:t xml:space="preserve">se nanašajo na izločitev FI </w:t>
      </w:r>
      <w:proofErr w:type="spellStart"/>
      <w:r w:rsidRPr="005D0B9A">
        <w:rPr>
          <w:rFonts w:cs="Arial"/>
          <w:szCs w:val="22"/>
          <w:lang w:val="sl-SI"/>
        </w:rPr>
        <w:t>Portfeljske</w:t>
      </w:r>
      <w:proofErr w:type="spellEnd"/>
      <w:r w:rsidRPr="005D0B9A">
        <w:rPr>
          <w:rFonts w:cs="Arial"/>
          <w:szCs w:val="22"/>
          <w:lang w:val="sl-SI"/>
        </w:rPr>
        <w:t xml:space="preserve"> </w:t>
      </w:r>
      <w:proofErr w:type="spellStart"/>
      <w:r w:rsidRPr="005D0B9A">
        <w:rPr>
          <w:rFonts w:cs="Arial"/>
          <w:szCs w:val="22"/>
          <w:lang w:val="sl-SI"/>
        </w:rPr>
        <w:t>mikrogarancije</w:t>
      </w:r>
      <w:proofErr w:type="spellEnd"/>
      <w:r w:rsidRPr="005D0B9A">
        <w:rPr>
          <w:rFonts w:cs="Arial"/>
          <w:szCs w:val="22"/>
          <w:lang w:val="sl-SI"/>
        </w:rPr>
        <w:t xml:space="preserve"> za MSP (2014-2020) iz PFN, </w:t>
      </w:r>
      <w:r>
        <w:rPr>
          <w:rFonts w:cs="Arial"/>
          <w:szCs w:val="22"/>
          <w:lang w:val="sl-SI"/>
        </w:rPr>
        <w:t>n</w:t>
      </w:r>
      <w:r w:rsidRPr="005D0B9A">
        <w:rPr>
          <w:rFonts w:cs="Arial"/>
          <w:szCs w:val="22"/>
          <w:lang w:val="sl-SI"/>
        </w:rPr>
        <w:t>a višino razpoložljivih zneskov EKP sredstev za i</w:t>
      </w:r>
      <w:r>
        <w:rPr>
          <w:rFonts w:cs="Arial"/>
          <w:szCs w:val="22"/>
          <w:lang w:val="sl-SI"/>
        </w:rPr>
        <w:t xml:space="preserve">zvajanje </w:t>
      </w:r>
      <w:r w:rsidR="004B2892">
        <w:rPr>
          <w:rFonts w:cs="Arial"/>
          <w:szCs w:val="22"/>
          <w:lang w:val="sl-SI"/>
        </w:rPr>
        <w:t>FI</w:t>
      </w:r>
      <w:r w:rsidRPr="005D0B9A">
        <w:rPr>
          <w:rFonts w:cs="Arial"/>
          <w:szCs w:val="22"/>
          <w:lang w:val="sl-SI"/>
        </w:rPr>
        <w:t xml:space="preserve">, </w:t>
      </w:r>
      <w:r>
        <w:rPr>
          <w:rFonts w:cs="Arial"/>
          <w:szCs w:val="22"/>
          <w:lang w:val="sl-SI"/>
        </w:rPr>
        <w:t>k</w:t>
      </w:r>
      <w:r w:rsidRPr="005D0B9A">
        <w:rPr>
          <w:rFonts w:cs="Arial"/>
          <w:szCs w:val="22"/>
          <w:lang w:val="sl-SI"/>
        </w:rPr>
        <w:t>jer</w:t>
      </w:r>
      <w:r>
        <w:rPr>
          <w:rFonts w:cs="Arial"/>
          <w:szCs w:val="22"/>
          <w:lang w:val="sl-SI"/>
        </w:rPr>
        <w:t xml:space="preserve"> </w:t>
      </w:r>
      <w:r w:rsidRPr="005D0B9A">
        <w:rPr>
          <w:rFonts w:cs="Arial"/>
          <w:szCs w:val="22"/>
          <w:lang w:val="sl-SI"/>
        </w:rPr>
        <w:t>se zaradi vpliva nižjega z</w:t>
      </w:r>
      <w:r w:rsidR="005743CB">
        <w:rPr>
          <w:rFonts w:cs="Arial"/>
          <w:szCs w:val="22"/>
          <w:lang w:val="sl-SI"/>
        </w:rPr>
        <w:t>neska provizije za upravljanje s</w:t>
      </w:r>
      <w:r w:rsidRPr="005D0B9A">
        <w:rPr>
          <w:rFonts w:cs="Arial"/>
          <w:szCs w:val="22"/>
          <w:lang w:val="sl-SI"/>
        </w:rPr>
        <w:t xml:space="preserve">klada skladov zaradi neposrednega izvajanja </w:t>
      </w:r>
      <w:r w:rsidR="004B2892">
        <w:rPr>
          <w:rFonts w:cs="Arial"/>
          <w:szCs w:val="22"/>
          <w:lang w:val="sl-SI"/>
        </w:rPr>
        <w:t>FI</w:t>
      </w:r>
      <w:r w:rsidRPr="005D0B9A">
        <w:rPr>
          <w:rFonts w:cs="Arial"/>
          <w:szCs w:val="22"/>
          <w:lang w:val="sl-SI"/>
        </w:rPr>
        <w:t xml:space="preserve"> razpoložljiva sredstva povečajo. Instrument Posojil</w:t>
      </w:r>
      <w:r>
        <w:rPr>
          <w:rFonts w:cs="Arial"/>
          <w:szCs w:val="22"/>
          <w:lang w:val="sl-SI"/>
        </w:rPr>
        <w:t>a za MSP je predviden kot ukrep</w:t>
      </w:r>
      <w:r w:rsidRPr="005D0B9A">
        <w:rPr>
          <w:rFonts w:cs="Arial"/>
          <w:szCs w:val="22"/>
          <w:lang w:val="sl-SI"/>
        </w:rPr>
        <w:t xml:space="preserve"> skladen</w:t>
      </w:r>
      <w:r>
        <w:rPr>
          <w:rFonts w:cs="Arial"/>
          <w:szCs w:val="22"/>
          <w:lang w:val="sl-SI"/>
        </w:rPr>
        <w:t xml:space="preserve"> </w:t>
      </w:r>
      <w:r w:rsidR="005743CB">
        <w:rPr>
          <w:rFonts w:cs="Arial"/>
          <w:szCs w:val="22"/>
          <w:lang w:val="sl-SI"/>
        </w:rPr>
        <w:t xml:space="preserve">s </w:t>
      </w:r>
      <w:proofErr w:type="spellStart"/>
      <w:r w:rsidR="005743CB">
        <w:rPr>
          <w:rFonts w:cs="Arial"/>
          <w:szCs w:val="22"/>
          <w:lang w:val="sl-SI"/>
        </w:rPr>
        <w:t>So</w:t>
      </w:r>
      <w:r w:rsidRPr="005D0B9A">
        <w:rPr>
          <w:rFonts w:cs="Arial"/>
          <w:szCs w:val="22"/>
          <w:lang w:val="sl-SI"/>
        </w:rPr>
        <w:t>F</w:t>
      </w:r>
      <w:proofErr w:type="spellEnd"/>
      <w:r w:rsidRPr="005D0B9A">
        <w:rPr>
          <w:rFonts w:cs="Arial"/>
          <w:szCs w:val="22"/>
          <w:lang w:val="sl-SI"/>
        </w:rPr>
        <w:t xml:space="preserve"> in se bo izvajal v primeru nedoseganja ciljnih kazalnikov oz. iz razloga nezadostnega obsega</w:t>
      </w:r>
      <w:r>
        <w:rPr>
          <w:rFonts w:cs="Arial"/>
          <w:szCs w:val="22"/>
          <w:lang w:val="sl-SI"/>
        </w:rPr>
        <w:t xml:space="preserve"> </w:t>
      </w:r>
      <w:r w:rsidRPr="005D0B9A">
        <w:rPr>
          <w:rFonts w:cs="Arial"/>
          <w:szCs w:val="22"/>
          <w:lang w:val="sl-SI"/>
        </w:rPr>
        <w:t xml:space="preserve">plasiranj EKP sredstev do končnih prejemnikov na podlagi drugih </w:t>
      </w:r>
      <w:r w:rsidR="004B2892">
        <w:rPr>
          <w:rFonts w:cs="Arial"/>
          <w:szCs w:val="22"/>
          <w:lang w:val="sl-SI"/>
        </w:rPr>
        <w:t>FI</w:t>
      </w:r>
      <w:r w:rsidRPr="005D0B9A">
        <w:rPr>
          <w:rFonts w:cs="Arial"/>
          <w:szCs w:val="22"/>
          <w:lang w:val="sl-SI"/>
        </w:rPr>
        <w:t xml:space="preserve"> v okviru istega</w:t>
      </w:r>
      <w:r>
        <w:rPr>
          <w:rFonts w:cs="Arial"/>
          <w:szCs w:val="22"/>
          <w:lang w:val="sl-SI"/>
        </w:rPr>
        <w:t xml:space="preserve"> </w:t>
      </w:r>
      <w:r w:rsidR="00DE6355">
        <w:rPr>
          <w:rFonts w:cs="Arial"/>
          <w:szCs w:val="22"/>
          <w:lang w:val="sl-SI"/>
        </w:rPr>
        <w:t>naložbenega področja.</w:t>
      </w:r>
    </w:p>
    <w:p w14:paraId="5C391676" w14:textId="77777777" w:rsidR="00DE6355" w:rsidRDefault="00DE6355" w:rsidP="005D0B9A">
      <w:pPr>
        <w:jc w:val="both"/>
        <w:rPr>
          <w:rFonts w:cs="Arial"/>
          <w:szCs w:val="22"/>
          <w:lang w:val="sl-SI"/>
        </w:rPr>
      </w:pPr>
    </w:p>
    <w:p w14:paraId="0D72D772" w14:textId="27BDA226" w:rsidR="00DE6355" w:rsidRDefault="00DE6355" w:rsidP="00DE6355">
      <w:pPr>
        <w:jc w:val="both"/>
        <w:rPr>
          <w:rFonts w:cs="Arial"/>
          <w:szCs w:val="22"/>
          <w:lang w:val="sl-SI"/>
        </w:rPr>
      </w:pPr>
      <w:r>
        <w:rPr>
          <w:rFonts w:cs="Arial"/>
          <w:szCs w:val="22"/>
          <w:lang w:val="sl-SI"/>
        </w:rPr>
        <w:t xml:space="preserve">Spremenjen dokument </w:t>
      </w:r>
      <w:r w:rsidRPr="00DE6355">
        <w:rPr>
          <w:rFonts w:cs="Arial"/>
          <w:szCs w:val="22"/>
          <w:lang w:val="sl-SI"/>
        </w:rPr>
        <w:t xml:space="preserve">Naložbena strategija ne vsebuje več FI EKP </w:t>
      </w:r>
      <w:proofErr w:type="spellStart"/>
      <w:r>
        <w:rPr>
          <w:rFonts w:cs="Arial"/>
          <w:szCs w:val="22"/>
          <w:lang w:val="sl-SI"/>
        </w:rPr>
        <w:t>p</w:t>
      </w:r>
      <w:r w:rsidRPr="00DE6355">
        <w:rPr>
          <w:rFonts w:cs="Arial"/>
          <w:szCs w:val="22"/>
          <w:lang w:val="sl-SI"/>
        </w:rPr>
        <w:t>ortfeljske</w:t>
      </w:r>
      <w:proofErr w:type="spellEnd"/>
      <w:r w:rsidRPr="00DE6355">
        <w:rPr>
          <w:rFonts w:cs="Arial"/>
          <w:szCs w:val="22"/>
          <w:lang w:val="sl-SI"/>
        </w:rPr>
        <w:t xml:space="preserve"> </w:t>
      </w:r>
      <w:proofErr w:type="spellStart"/>
      <w:r w:rsidRPr="00DE6355">
        <w:rPr>
          <w:rFonts w:cs="Arial"/>
          <w:szCs w:val="22"/>
          <w:lang w:val="sl-SI"/>
        </w:rPr>
        <w:t>mikrogarancije</w:t>
      </w:r>
      <w:proofErr w:type="spellEnd"/>
      <w:r w:rsidRPr="00DE6355">
        <w:rPr>
          <w:rFonts w:cs="Arial"/>
          <w:szCs w:val="22"/>
          <w:lang w:val="sl-SI"/>
        </w:rPr>
        <w:t xml:space="preserve"> za MSP</w:t>
      </w:r>
      <w:r>
        <w:rPr>
          <w:rFonts w:cs="Arial"/>
          <w:szCs w:val="22"/>
          <w:lang w:val="sl-SI"/>
        </w:rPr>
        <w:t xml:space="preserve"> </w:t>
      </w:r>
      <w:r w:rsidRPr="00DE6355">
        <w:rPr>
          <w:rFonts w:cs="Arial"/>
          <w:szCs w:val="22"/>
          <w:lang w:val="sl-SI"/>
        </w:rPr>
        <w:t xml:space="preserve">(2014-2020), kjer se razpoložljiva kvota prenese na FI EKP </w:t>
      </w:r>
      <w:proofErr w:type="spellStart"/>
      <w:r w:rsidRPr="00DE6355">
        <w:rPr>
          <w:rFonts w:cs="Arial"/>
          <w:szCs w:val="22"/>
          <w:lang w:val="sl-SI"/>
        </w:rPr>
        <w:t>Portfeljske</w:t>
      </w:r>
      <w:proofErr w:type="spellEnd"/>
      <w:r w:rsidRPr="00DE6355">
        <w:rPr>
          <w:rFonts w:cs="Arial"/>
          <w:szCs w:val="22"/>
          <w:lang w:val="sl-SI"/>
        </w:rPr>
        <w:t xml:space="preserve"> garancije za MSP (2014-2020). Razpoložljivi zneski</w:t>
      </w:r>
      <w:r>
        <w:rPr>
          <w:rFonts w:cs="Arial"/>
          <w:szCs w:val="22"/>
          <w:lang w:val="sl-SI"/>
        </w:rPr>
        <w:t xml:space="preserve"> </w:t>
      </w:r>
      <w:r w:rsidRPr="00DE6355">
        <w:rPr>
          <w:rFonts w:cs="Arial"/>
          <w:szCs w:val="22"/>
          <w:lang w:val="sl-SI"/>
        </w:rPr>
        <w:t xml:space="preserve">EKP sredstev za izvajanje </w:t>
      </w:r>
      <w:r w:rsidR="004B2892">
        <w:rPr>
          <w:rFonts w:cs="Arial"/>
          <w:szCs w:val="22"/>
          <w:lang w:val="sl-SI"/>
        </w:rPr>
        <w:t>FI</w:t>
      </w:r>
      <w:r w:rsidRPr="00DE6355">
        <w:rPr>
          <w:rFonts w:cs="Arial"/>
          <w:szCs w:val="22"/>
          <w:lang w:val="sl-SI"/>
        </w:rPr>
        <w:t xml:space="preserve"> so zaradi nižjega zneska nadomestila</w:t>
      </w:r>
      <w:r>
        <w:rPr>
          <w:rFonts w:cs="Arial"/>
          <w:szCs w:val="22"/>
          <w:lang w:val="sl-SI"/>
        </w:rPr>
        <w:t xml:space="preserve"> </w:t>
      </w:r>
      <w:r w:rsidRPr="00DE6355">
        <w:rPr>
          <w:rFonts w:cs="Arial"/>
          <w:szCs w:val="22"/>
          <w:lang w:val="sl-SI"/>
        </w:rPr>
        <w:t xml:space="preserve">(provizije) za upravljanje Sklada skladov zaradi neposrednega izvajanja </w:t>
      </w:r>
      <w:r w:rsidR="004B2892">
        <w:rPr>
          <w:rFonts w:cs="Arial"/>
          <w:szCs w:val="22"/>
          <w:lang w:val="sl-SI"/>
        </w:rPr>
        <w:t>FI</w:t>
      </w:r>
      <w:r w:rsidRPr="00DE6355">
        <w:rPr>
          <w:rFonts w:cs="Arial"/>
          <w:szCs w:val="22"/>
          <w:lang w:val="sl-SI"/>
        </w:rPr>
        <w:t>, na ravni Sklada skladov</w:t>
      </w:r>
      <w:r>
        <w:rPr>
          <w:rFonts w:cs="Arial"/>
          <w:szCs w:val="22"/>
          <w:lang w:val="sl-SI"/>
        </w:rPr>
        <w:t xml:space="preserve"> </w:t>
      </w:r>
      <w:r w:rsidRPr="00DE6355">
        <w:rPr>
          <w:rFonts w:cs="Arial"/>
          <w:szCs w:val="22"/>
          <w:lang w:val="sl-SI"/>
        </w:rPr>
        <w:t>višji, kar pomeni, ob upoštevanju časovne komponente začetka izvajanja posameznih FI, da so zato tudi višji zneski</w:t>
      </w:r>
      <w:r>
        <w:rPr>
          <w:rFonts w:cs="Arial"/>
          <w:szCs w:val="22"/>
          <w:lang w:val="sl-SI"/>
        </w:rPr>
        <w:t xml:space="preserve"> </w:t>
      </w:r>
      <w:r w:rsidRPr="00DE6355">
        <w:rPr>
          <w:rFonts w:cs="Arial"/>
          <w:szCs w:val="22"/>
          <w:lang w:val="sl-SI"/>
        </w:rPr>
        <w:t>razpoložljivih EKP sredstev pri tistih FI, ki jih neposredno ne izvaja SID.</w:t>
      </w:r>
    </w:p>
    <w:p w14:paraId="3DA04999" w14:textId="77777777" w:rsidR="005D0B9A" w:rsidRDefault="005D0B9A" w:rsidP="00CE3440">
      <w:pPr>
        <w:jc w:val="both"/>
        <w:rPr>
          <w:rFonts w:cs="Arial"/>
          <w:szCs w:val="22"/>
          <w:lang w:val="sl-SI"/>
        </w:rPr>
      </w:pPr>
    </w:p>
    <w:p w14:paraId="718C14BA" w14:textId="58DD45B3" w:rsidR="00184BE9" w:rsidRPr="004223D6" w:rsidRDefault="005D0B9A" w:rsidP="00CE3440">
      <w:pPr>
        <w:jc w:val="both"/>
        <w:rPr>
          <w:rFonts w:cs="Arial"/>
          <w:szCs w:val="22"/>
          <w:lang w:val="sl-SI"/>
        </w:rPr>
      </w:pPr>
      <w:r>
        <w:rPr>
          <w:rFonts w:cs="Arial"/>
          <w:szCs w:val="22"/>
          <w:lang w:val="sl-SI"/>
        </w:rPr>
        <w:t xml:space="preserve">Spremenjena dokumenta sta bila podlaga za sklenitev Aneksa </w:t>
      </w:r>
      <w:proofErr w:type="spellStart"/>
      <w:r>
        <w:rPr>
          <w:rFonts w:cs="Arial"/>
          <w:szCs w:val="22"/>
          <w:lang w:val="sl-SI"/>
        </w:rPr>
        <w:t>št.1</w:t>
      </w:r>
      <w:proofErr w:type="spellEnd"/>
      <w:r>
        <w:rPr>
          <w:rFonts w:cs="Arial"/>
          <w:szCs w:val="22"/>
          <w:lang w:val="sl-SI"/>
        </w:rPr>
        <w:t xml:space="preserve">, ki izvajalcu sklada skladov omogoča neposredno izvajanje </w:t>
      </w:r>
      <w:r w:rsidR="004B2892">
        <w:rPr>
          <w:rFonts w:cs="Arial"/>
          <w:szCs w:val="22"/>
          <w:lang w:val="sl-SI"/>
        </w:rPr>
        <w:t>FI</w:t>
      </w:r>
      <w:r>
        <w:rPr>
          <w:rFonts w:cs="Arial"/>
          <w:szCs w:val="22"/>
          <w:lang w:val="sl-SI"/>
        </w:rPr>
        <w:t xml:space="preserve"> </w:t>
      </w:r>
      <w:r w:rsidRPr="004223D6">
        <w:rPr>
          <w:rFonts w:cs="Arial"/>
          <w:szCs w:val="22"/>
          <w:lang w:val="sl-SI"/>
        </w:rPr>
        <w:t>RRI posojila, posojila za energetsko učinkovitost in posojila za urbani razvoj</w:t>
      </w:r>
      <w:r>
        <w:rPr>
          <w:rFonts w:cs="Arial"/>
          <w:szCs w:val="22"/>
          <w:lang w:val="sl-SI"/>
        </w:rPr>
        <w:t>.</w:t>
      </w:r>
    </w:p>
    <w:p w14:paraId="26041430" w14:textId="77777777" w:rsidR="00184BE9" w:rsidRPr="004223D6" w:rsidRDefault="00184BE9" w:rsidP="00CE3440">
      <w:pPr>
        <w:jc w:val="both"/>
        <w:rPr>
          <w:rFonts w:cs="Arial"/>
          <w:szCs w:val="22"/>
          <w:lang w:val="sl-SI"/>
        </w:rPr>
      </w:pPr>
    </w:p>
    <w:p w14:paraId="54ABDE2E" w14:textId="5E231D2A" w:rsidR="00184BE9" w:rsidRPr="004223D6" w:rsidRDefault="00184BE9" w:rsidP="00CE3440">
      <w:pPr>
        <w:jc w:val="both"/>
        <w:rPr>
          <w:rFonts w:cs="Arial"/>
          <w:szCs w:val="22"/>
          <w:lang w:val="sl-SI"/>
        </w:rPr>
      </w:pPr>
      <w:r w:rsidRPr="004223D6">
        <w:rPr>
          <w:rFonts w:cs="Arial"/>
          <w:szCs w:val="22"/>
          <w:lang w:val="sl-SI"/>
        </w:rPr>
        <w:t xml:space="preserve">Predhodna ocena </w:t>
      </w:r>
      <w:r w:rsidR="004B2892">
        <w:rPr>
          <w:rFonts w:cs="Arial"/>
          <w:szCs w:val="22"/>
          <w:lang w:val="sl-SI"/>
        </w:rPr>
        <w:t>FI</w:t>
      </w:r>
      <w:r w:rsidRPr="004223D6">
        <w:rPr>
          <w:rFonts w:cs="Arial"/>
          <w:szCs w:val="22"/>
          <w:lang w:val="sl-SI"/>
        </w:rPr>
        <w:t xml:space="preserve"> v Sloveniji kot najbolj optimalno rešitev predlaga izvajanje </w:t>
      </w:r>
      <w:r w:rsidR="004B2892">
        <w:rPr>
          <w:rFonts w:cs="Arial"/>
          <w:szCs w:val="22"/>
          <w:lang w:val="sl-SI"/>
        </w:rPr>
        <w:t>FI</w:t>
      </w:r>
      <w:r w:rsidRPr="004223D6">
        <w:rPr>
          <w:rFonts w:cs="Arial"/>
          <w:szCs w:val="22"/>
          <w:lang w:val="sl-SI"/>
        </w:rPr>
        <w:t xml:space="preserve"> preko sklada skladov. Zato se imenuje en posredniški organ za vse FI, ki izbere </w:t>
      </w:r>
      <w:r w:rsidR="00F94316" w:rsidRPr="004223D6">
        <w:rPr>
          <w:rFonts w:cs="Arial"/>
          <w:szCs w:val="22"/>
          <w:lang w:val="sl-SI"/>
        </w:rPr>
        <w:t>izvajalca</w:t>
      </w:r>
      <w:r w:rsidRPr="004223D6">
        <w:rPr>
          <w:rFonts w:cs="Arial"/>
          <w:szCs w:val="22"/>
          <w:lang w:val="sl-SI"/>
        </w:rPr>
        <w:t xml:space="preserve"> sklada skladov, na podlagi zakona, ki ureja javna naročila. Princip sklada skladov zavezuje </w:t>
      </w:r>
      <w:r w:rsidR="00F94316" w:rsidRPr="004223D6">
        <w:rPr>
          <w:rFonts w:cs="Arial"/>
          <w:szCs w:val="22"/>
          <w:lang w:val="sl-SI"/>
        </w:rPr>
        <w:t>izvajalca</w:t>
      </w:r>
      <w:r w:rsidRPr="004223D6">
        <w:rPr>
          <w:rFonts w:cs="Arial"/>
          <w:szCs w:val="22"/>
          <w:lang w:val="sl-SI"/>
        </w:rPr>
        <w:t xml:space="preserve"> sklada skladov k izvajanju FI (i) preko finančnih posrednikov (npr.</w:t>
      </w:r>
      <w:r w:rsidR="004223D6">
        <w:rPr>
          <w:rFonts w:cs="Arial"/>
          <w:szCs w:val="22"/>
          <w:lang w:val="sl-SI"/>
        </w:rPr>
        <w:t xml:space="preserve"> poslovnih bank, javnih skladov</w:t>
      </w:r>
      <w:r w:rsidRPr="004223D6">
        <w:rPr>
          <w:rFonts w:cs="Arial"/>
          <w:szCs w:val="22"/>
          <w:lang w:val="sl-SI"/>
        </w:rPr>
        <w:t xml:space="preserve"> </w:t>
      </w:r>
      <w:r w:rsidR="004223D6" w:rsidRPr="004223D6">
        <w:rPr>
          <w:rFonts w:cs="Arial"/>
          <w:szCs w:val="22"/>
          <w:lang w:val="sl-SI"/>
        </w:rPr>
        <w:t>itd.</w:t>
      </w:r>
      <w:r w:rsidRPr="004223D6">
        <w:rPr>
          <w:rFonts w:cs="Arial"/>
          <w:szCs w:val="22"/>
          <w:lang w:val="sl-SI"/>
        </w:rPr>
        <w:t>) ali (</w:t>
      </w:r>
      <w:proofErr w:type="spellStart"/>
      <w:r w:rsidRPr="004223D6">
        <w:rPr>
          <w:rFonts w:cs="Arial"/>
          <w:szCs w:val="22"/>
          <w:lang w:val="sl-SI"/>
        </w:rPr>
        <w:t>ii</w:t>
      </w:r>
      <w:proofErr w:type="spellEnd"/>
      <w:r w:rsidRPr="004223D6">
        <w:rPr>
          <w:rFonts w:cs="Arial"/>
          <w:szCs w:val="22"/>
          <w:lang w:val="sl-SI"/>
        </w:rPr>
        <w:t>) neposredno sam.</w:t>
      </w:r>
    </w:p>
    <w:p w14:paraId="0D81A57C" w14:textId="77777777" w:rsidR="0065545C" w:rsidRPr="004223D6" w:rsidRDefault="0065545C" w:rsidP="00CE3440">
      <w:pPr>
        <w:jc w:val="both"/>
        <w:rPr>
          <w:rFonts w:cs="Arial"/>
          <w:szCs w:val="22"/>
          <w:lang w:val="sl-SI"/>
        </w:rPr>
      </w:pPr>
    </w:p>
    <w:p w14:paraId="454D8BC1" w14:textId="68A488B9" w:rsidR="00184BE9" w:rsidRPr="004223D6" w:rsidRDefault="0065545C" w:rsidP="00CE3440">
      <w:pPr>
        <w:jc w:val="both"/>
        <w:rPr>
          <w:rFonts w:cs="Arial"/>
          <w:szCs w:val="22"/>
          <w:lang w:val="sl-SI"/>
        </w:rPr>
      </w:pPr>
      <w:r w:rsidRPr="004223D6">
        <w:rPr>
          <w:rFonts w:cs="Arial"/>
          <w:szCs w:val="22"/>
          <w:lang w:val="sl-SI"/>
        </w:rPr>
        <w:t>Stra</w:t>
      </w:r>
      <w:r w:rsidR="006336CB">
        <w:rPr>
          <w:rFonts w:cs="Arial"/>
          <w:szCs w:val="22"/>
          <w:lang w:val="sl-SI"/>
        </w:rPr>
        <w:t>tegija</w:t>
      </w:r>
      <w:r w:rsidRPr="004223D6">
        <w:rPr>
          <w:rFonts w:cs="Arial"/>
          <w:szCs w:val="22"/>
          <w:lang w:val="sl-SI"/>
        </w:rPr>
        <w:t xml:space="preserve"> razvoja Slovenije 2030 opredeljuje pet strateških usmeritev (vključujoča, odporna, varna in odgovorna družba, učenje za in skozi vse življenje, visoko produktivno gospodarstvo, ki ustvarja dodano vrednost za vse, ohranjeno zdravo naravno okolje, visoka stopnja sodelovanja, usposobljenosti in učinkovitosti upravljanja), ki se povezujejo z dvanajstimi cilji. Na doseganje določenih ciljev (npr. gospodarska stabilnost, konkurenčen in družbeno odgovoren podjetniški sektor, </w:t>
      </w:r>
      <w:proofErr w:type="spellStart"/>
      <w:r w:rsidRPr="004223D6">
        <w:rPr>
          <w:rFonts w:cs="Arial"/>
          <w:szCs w:val="22"/>
          <w:lang w:val="sl-SI"/>
        </w:rPr>
        <w:t>ni</w:t>
      </w:r>
      <w:r w:rsidR="00EC6C49">
        <w:rPr>
          <w:rFonts w:cs="Arial"/>
          <w:szCs w:val="22"/>
          <w:lang w:val="sl-SI"/>
        </w:rPr>
        <w:t>zkoogljično</w:t>
      </w:r>
      <w:proofErr w:type="spellEnd"/>
      <w:r w:rsidR="00EC6C49">
        <w:rPr>
          <w:rFonts w:cs="Arial"/>
          <w:szCs w:val="22"/>
          <w:lang w:val="sl-SI"/>
        </w:rPr>
        <w:t xml:space="preserve"> krožno gospodarstvo</w:t>
      </w:r>
      <w:r w:rsidRPr="004223D6">
        <w:rPr>
          <w:rFonts w:cs="Arial"/>
          <w:szCs w:val="22"/>
          <w:lang w:val="sl-SI"/>
        </w:rPr>
        <w:t xml:space="preserve"> itd.) se usmerjajo tudi FI, ki </w:t>
      </w:r>
      <w:r w:rsidR="00184BE9" w:rsidRPr="004223D6">
        <w:rPr>
          <w:rFonts w:cs="Arial"/>
          <w:szCs w:val="22"/>
          <w:lang w:val="sl-SI"/>
        </w:rPr>
        <w:t>bodo neposredno namenjeni vrzelim na področjih raziskav, razvoj</w:t>
      </w:r>
      <w:r w:rsidR="00BE391C" w:rsidRPr="004223D6">
        <w:rPr>
          <w:rFonts w:cs="Arial"/>
          <w:szCs w:val="22"/>
          <w:lang w:val="sl-SI"/>
        </w:rPr>
        <w:t>a</w:t>
      </w:r>
      <w:r w:rsidR="00184BE9" w:rsidRPr="004223D6">
        <w:rPr>
          <w:rFonts w:cs="Arial"/>
          <w:szCs w:val="22"/>
          <w:lang w:val="sl-SI"/>
        </w:rPr>
        <w:t xml:space="preserve"> in inovacij</w:t>
      </w:r>
      <w:r w:rsidR="000C437D" w:rsidRPr="004223D6">
        <w:rPr>
          <w:rFonts w:cs="Arial"/>
          <w:szCs w:val="22"/>
          <w:lang w:val="sl-SI"/>
        </w:rPr>
        <w:t xml:space="preserve">, </w:t>
      </w:r>
      <w:r w:rsidR="00184BE9" w:rsidRPr="004223D6">
        <w:rPr>
          <w:rFonts w:cs="Arial"/>
          <w:szCs w:val="22"/>
          <w:lang w:val="sl-SI"/>
        </w:rPr>
        <w:t>malih in srednje velikih podjetij</w:t>
      </w:r>
      <w:r w:rsidR="000C437D" w:rsidRPr="004223D6">
        <w:rPr>
          <w:rFonts w:cs="Arial"/>
          <w:szCs w:val="22"/>
          <w:lang w:val="sl-SI"/>
        </w:rPr>
        <w:t>, urbanega razvoja in energetske učinkovitosti</w:t>
      </w:r>
      <w:r w:rsidR="00184BE9" w:rsidRPr="004223D6">
        <w:rPr>
          <w:rFonts w:cs="Arial"/>
          <w:szCs w:val="22"/>
          <w:lang w:val="sl-SI"/>
        </w:rPr>
        <w:t>.</w:t>
      </w:r>
    </w:p>
    <w:p w14:paraId="4AF73EA8" w14:textId="77777777" w:rsidR="00184BE9" w:rsidRPr="004223D6" w:rsidRDefault="00184BE9" w:rsidP="00CE3440">
      <w:pPr>
        <w:jc w:val="both"/>
        <w:rPr>
          <w:rFonts w:cs="Arial"/>
          <w:szCs w:val="22"/>
          <w:lang w:val="sl-SI"/>
        </w:rPr>
      </w:pPr>
    </w:p>
    <w:p w14:paraId="7CDF33E7" w14:textId="53DAC0D0" w:rsidR="00392822" w:rsidRPr="004223D6" w:rsidRDefault="001A3E75" w:rsidP="00CE3440">
      <w:pPr>
        <w:jc w:val="both"/>
        <w:rPr>
          <w:rFonts w:cs="Arial"/>
          <w:szCs w:val="22"/>
          <w:lang w:val="sl-SI"/>
        </w:rPr>
      </w:pPr>
      <w:r w:rsidRPr="004223D6">
        <w:rPr>
          <w:rFonts w:cs="Arial"/>
          <w:szCs w:val="22"/>
          <w:lang w:val="sl-SI"/>
        </w:rPr>
        <w:t xml:space="preserve">Nacionalni reformni program podaja osnovne usmeritve in cilje, ki jih zasleduje vlada, ob spoštovanju skupnih EU pravil in omejitev pri gibanjih tako v javnih financah kot na širšem makroekonomskem področju. </w:t>
      </w:r>
      <w:r w:rsidR="00174262" w:rsidRPr="004223D6">
        <w:rPr>
          <w:rFonts w:cs="Arial"/>
          <w:szCs w:val="22"/>
          <w:lang w:val="sl-SI"/>
        </w:rPr>
        <w:t xml:space="preserve">Nacionalni reformni program </w:t>
      </w:r>
      <w:r w:rsidR="00174262">
        <w:rPr>
          <w:rFonts w:cs="Arial"/>
          <w:szCs w:val="22"/>
          <w:lang w:val="sl-SI"/>
        </w:rPr>
        <w:t xml:space="preserve">2019–2020 </w:t>
      </w:r>
      <w:r w:rsidR="00174262" w:rsidRPr="004223D6">
        <w:rPr>
          <w:rFonts w:cs="Arial"/>
          <w:szCs w:val="22"/>
          <w:lang w:val="sl-SI"/>
        </w:rPr>
        <w:t xml:space="preserve">v poglavju Financiranje podjetij navaja, da </w:t>
      </w:r>
      <w:r w:rsidR="00174262">
        <w:rPr>
          <w:rFonts w:cs="Arial"/>
          <w:szCs w:val="22"/>
          <w:lang w:val="sl-SI"/>
        </w:rPr>
        <w:t xml:space="preserve">je potrebno nadaljnje razvijanje alternativnih virov financiranja za hitrorastoča podjetja, saj ti ukrepi prispevajo izboljšanju financiranja MSP in s </w:t>
      </w:r>
      <w:r w:rsidR="00174262">
        <w:rPr>
          <w:rFonts w:cs="Arial"/>
          <w:szCs w:val="22"/>
          <w:lang w:val="sl-SI"/>
        </w:rPr>
        <w:lastRenderedPageBreak/>
        <w:t>tem k dvigu produktivnosti, večji dodani vrednosti na zaposlenega v podprtih podjetjih in k ohranjanju novih delovnih mest ter odpiranju novih.</w:t>
      </w:r>
    </w:p>
    <w:p w14:paraId="0058D051" w14:textId="2A995056" w:rsidR="00FA7969" w:rsidRPr="004223D6" w:rsidRDefault="00025D80" w:rsidP="00CE3440">
      <w:pPr>
        <w:jc w:val="both"/>
        <w:rPr>
          <w:rFonts w:cs="Arial"/>
          <w:szCs w:val="22"/>
          <w:lang w:val="sl-SI"/>
        </w:rPr>
      </w:pPr>
      <w:r w:rsidRPr="004223D6">
        <w:rPr>
          <w:rFonts w:cs="Arial"/>
          <w:szCs w:val="22"/>
          <w:lang w:val="sl-SI"/>
        </w:rPr>
        <w:t xml:space="preserve"> </w:t>
      </w:r>
    </w:p>
    <w:p w14:paraId="6A3C628E" w14:textId="70180D20" w:rsidR="00FA7969" w:rsidRPr="004223D6" w:rsidRDefault="00B74EDB" w:rsidP="00CE3440">
      <w:pPr>
        <w:pStyle w:val="Naslov1"/>
        <w:numPr>
          <w:ilvl w:val="0"/>
          <w:numId w:val="25"/>
        </w:numPr>
        <w:spacing w:before="240" w:after="60"/>
        <w:jc w:val="both"/>
        <w:rPr>
          <w:lang w:val="sl-SI"/>
        </w:rPr>
      </w:pPr>
      <w:r>
        <w:rPr>
          <w:lang w:val="sl-SI"/>
        </w:rPr>
        <w:t xml:space="preserve">Oblike </w:t>
      </w:r>
      <w:r w:rsidR="00FA7969" w:rsidRPr="004223D6">
        <w:rPr>
          <w:lang w:val="sl-SI"/>
        </w:rPr>
        <w:t>finančn</w:t>
      </w:r>
      <w:r>
        <w:rPr>
          <w:lang w:val="sl-SI"/>
        </w:rPr>
        <w:t>ih</w:t>
      </w:r>
      <w:r w:rsidR="00FA7969" w:rsidRPr="004223D6">
        <w:rPr>
          <w:lang w:val="sl-SI"/>
        </w:rPr>
        <w:t xml:space="preserve"> </w:t>
      </w:r>
      <w:r>
        <w:rPr>
          <w:lang w:val="sl-SI"/>
        </w:rPr>
        <w:t>instrumentov</w:t>
      </w:r>
    </w:p>
    <w:p w14:paraId="299DC518" w14:textId="77777777" w:rsidR="00FA7969" w:rsidRPr="004223D6" w:rsidRDefault="00FA7969" w:rsidP="00CE3440">
      <w:pPr>
        <w:jc w:val="both"/>
        <w:rPr>
          <w:rFonts w:cs="Arial"/>
          <w:lang w:val="sl-SI"/>
        </w:rPr>
      </w:pPr>
    </w:p>
    <w:p w14:paraId="1774084F" w14:textId="48B25C32" w:rsidR="00FA7969" w:rsidRPr="004223D6" w:rsidRDefault="007B364F" w:rsidP="00CE3440">
      <w:pPr>
        <w:jc w:val="both"/>
        <w:rPr>
          <w:rFonts w:cs="Arial"/>
          <w:szCs w:val="22"/>
          <w:lang w:val="sl-SI"/>
        </w:rPr>
      </w:pPr>
      <w:r w:rsidRPr="004223D6">
        <w:rPr>
          <w:rFonts w:cs="Arial"/>
          <w:szCs w:val="22"/>
          <w:lang w:val="sl-SI"/>
        </w:rPr>
        <w:t xml:space="preserve">Načrt izvajanja FI temelji na Predhodni </w:t>
      </w:r>
      <w:r w:rsidR="00FA7969" w:rsidRPr="004223D6">
        <w:rPr>
          <w:rFonts w:cs="Arial"/>
          <w:szCs w:val="22"/>
          <w:lang w:val="sl-SI"/>
        </w:rPr>
        <w:t>ocen</w:t>
      </w:r>
      <w:r w:rsidRPr="004223D6">
        <w:rPr>
          <w:rFonts w:cs="Arial"/>
          <w:szCs w:val="22"/>
          <w:lang w:val="sl-SI"/>
        </w:rPr>
        <w:t>i</w:t>
      </w:r>
      <w:r w:rsidR="00FA7969" w:rsidRPr="004223D6">
        <w:rPr>
          <w:rFonts w:cs="Arial"/>
          <w:szCs w:val="22"/>
          <w:lang w:val="sl-SI"/>
        </w:rPr>
        <w:t xml:space="preserve"> </w:t>
      </w:r>
      <w:r w:rsidR="004B2892">
        <w:rPr>
          <w:rFonts w:cs="Arial"/>
          <w:szCs w:val="22"/>
          <w:lang w:val="sl-SI"/>
        </w:rPr>
        <w:t>FI</w:t>
      </w:r>
      <w:r w:rsidR="00FA7969" w:rsidRPr="004223D6">
        <w:rPr>
          <w:rFonts w:cs="Arial"/>
          <w:szCs w:val="22"/>
          <w:lang w:val="sl-SI"/>
        </w:rPr>
        <w:t xml:space="preserve"> v Sloveniji (PWC, končno poročilo, dne 27.11.2015) (v nadaljevanju: predhodna ocena) in Analiz</w:t>
      </w:r>
      <w:r w:rsidRPr="004223D6">
        <w:rPr>
          <w:rFonts w:cs="Arial"/>
          <w:szCs w:val="22"/>
          <w:lang w:val="sl-SI"/>
        </w:rPr>
        <w:t>i</w:t>
      </w:r>
      <w:r w:rsidR="00FA7969" w:rsidRPr="004223D6">
        <w:rPr>
          <w:rFonts w:cs="Arial"/>
          <w:szCs w:val="22"/>
          <w:lang w:val="sl-SI"/>
        </w:rPr>
        <w:t xml:space="preserve"> Evropske investicijske banke</w:t>
      </w:r>
      <w:r w:rsidRPr="004223D6">
        <w:rPr>
          <w:rFonts w:cs="Arial"/>
          <w:szCs w:val="22"/>
          <w:lang w:val="sl-SI"/>
        </w:rPr>
        <w:t>, kjer</w:t>
      </w:r>
      <w:r w:rsidR="00FA7969" w:rsidRPr="004223D6">
        <w:rPr>
          <w:rFonts w:cs="Arial"/>
          <w:szCs w:val="22"/>
          <w:lang w:val="sl-SI"/>
        </w:rPr>
        <w:t xml:space="preserve"> je bilo ugotovljeno, da obstajajo finančne vrzeli za izvajanje FI na področjih RRI, MSP, energetske učinkovitosti ter urbanega razvoja:</w:t>
      </w:r>
    </w:p>
    <w:p w14:paraId="596F6A9B" w14:textId="77777777" w:rsidR="00FA7969" w:rsidRPr="004223D6" w:rsidRDefault="00FA7969" w:rsidP="00CE3440">
      <w:pPr>
        <w:pStyle w:val="Naslov2"/>
        <w:keepLines/>
        <w:numPr>
          <w:ilvl w:val="0"/>
          <w:numId w:val="26"/>
        </w:numPr>
        <w:spacing w:before="40" w:after="0"/>
        <w:jc w:val="both"/>
        <w:rPr>
          <w:szCs w:val="22"/>
          <w:lang w:val="sl-SI"/>
        </w:rPr>
      </w:pPr>
      <w:r w:rsidRPr="004223D6">
        <w:rPr>
          <w:szCs w:val="22"/>
          <w:lang w:val="sl-SI"/>
        </w:rPr>
        <w:t>Raziskave, razvoj in inovacije (RRI)</w:t>
      </w:r>
    </w:p>
    <w:p w14:paraId="2259A715" w14:textId="490E050C" w:rsidR="00FA7969" w:rsidRPr="004223D6" w:rsidRDefault="00FA7969" w:rsidP="00CE3440">
      <w:pPr>
        <w:jc w:val="both"/>
        <w:rPr>
          <w:rFonts w:cs="Arial"/>
          <w:szCs w:val="22"/>
          <w:lang w:val="sl-SI"/>
        </w:rPr>
      </w:pPr>
      <w:r w:rsidRPr="004223D6">
        <w:rPr>
          <w:rFonts w:cs="Arial"/>
          <w:szCs w:val="22"/>
          <w:lang w:val="sl-SI"/>
        </w:rPr>
        <w:t>Vlaganje v RRI je v Sloveniji ključnega pomena za razvoj podjetij. Intenzivnost investicij v raziskave in razvoj v Sloveniji, ki je povezana z bruto izdatki za razvoj in raziskave, se je v zadnjem desetletju povečala.</w:t>
      </w:r>
    </w:p>
    <w:p w14:paraId="646BA43F" w14:textId="77777777" w:rsidR="00FA7969" w:rsidRPr="004223D6" w:rsidRDefault="00FA7969" w:rsidP="00CE3440">
      <w:pPr>
        <w:pStyle w:val="Naslov2"/>
        <w:keepLines/>
        <w:numPr>
          <w:ilvl w:val="0"/>
          <w:numId w:val="26"/>
        </w:numPr>
        <w:spacing w:before="40" w:after="0"/>
        <w:jc w:val="both"/>
        <w:rPr>
          <w:szCs w:val="22"/>
          <w:lang w:val="sl-SI"/>
        </w:rPr>
      </w:pPr>
      <w:r w:rsidRPr="004223D6">
        <w:rPr>
          <w:szCs w:val="22"/>
          <w:lang w:val="sl-SI"/>
        </w:rPr>
        <w:t>Mala in srednje velika podjetja (MSP)</w:t>
      </w:r>
    </w:p>
    <w:p w14:paraId="1088FA01" w14:textId="240E559E" w:rsidR="00FA7969" w:rsidRPr="004223D6" w:rsidRDefault="00FA7969" w:rsidP="00CE3440">
      <w:pPr>
        <w:jc w:val="both"/>
        <w:rPr>
          <w:rFonts w:cs="Arial"/>
          <w:szCs w:val="22"/>
          <w:lang w:val="sl-SI"/>
        </w:rPr>
      </w:pPr>
      <w:r w:rsidRPr="004223D6">
        <w:rPr>
          <w:rFonts w:cs="Arial"/>
          <w:szCs w:val="22"/>
          <w:lang w:val="sl-SI"/>
        </w:rPr>
        <w:t>Glavni izziv pri ohranjanju gospodarske rasti in konkurenčnosti je krepitev sposobnosti in zmogljivosti podjetij ter njihove zmožnosti odziva na družbene izzive. Na strani ponudbe je analiza izpostavila, da se komercialne banke ne soočajo z likvidnostnimi težavami, vendar so kljub temu posojila pripravljene dajati le stabilnim MSP z zanesljivimi prihodnjimi denarnimi tokovi. Na strani povpraševanja je ugotovljeno, da MSP potrebujejo obratni kapital, da bi kratkoročno ostali operativni. Ugotovitve potencialnih vrzeli financiranja razkrivajo težave MSP pri dostopanju do kratkoročnega posojilnega financiranja. MSP pa uporabljajo srednje in dolgoročno dolžniško financiranje v Sloveniji. Posojila potrebujejo tako za financiranje obnove opreme kot tudi za investic</w:t>
      </w:r>
      <w:r w:rsidR="00EC6C49">
        <w:rPr>
          <w:rFonts w:cs="Arial"/>
          <w:szCs w:val="22"/>
          <w:lang w:val="sl-SI"/>
        </w:rPr>
        <w:t>ije in širjenje dejavnosti.</w:t>
      </w:r>
    </w:p>
    <w:p w14:paraId="71EBA82A" w14:textId="3761E73E" w:rsidR="00FA7969" w:rsidRPr="004223D6" w:rsidRDefault="00FA7969" w:rsidP="00CE3440">
      <w:pPr>
        <w:pStyle w:val="Naslov2"/>
        <w:keepLines/>
        <w:numPr>
          <w:ilvl w:val="0"/>
          <w:numId w:val="26"/>
        </w:numPr>
        <w:spacing w:before="40" w:after="0"/>
        <w:jc w:val="both"/>
        <w:rPr>
          <w:szCs w:val="22"/>
          <w:lang w:val="sl-SI"/>
        </w:rPr>
      </w:pPr>
      <w:r w:rsidRPr="004223D6">
        <w:rPr>
          <w:szCs w:val="22"/>
          <w:lang w:val="sl-SI"/>
        </w:rPr>
        <w:t>Energetska učinkovitost</w:t>
      </w:r>
      <w:r w:rsidR="00DA2C30">
        <w:rPr>
          <w:szCs w:val="22"/>
          <w:lang w:val="sl-SI"/>
        </w:rPr>
        <w:t xml:space="preserve"> (EE)</w:t>
      </w:r>
    </w:p>
    <w:p w14:paraId="789F4F1C" w14:textId="77777777" w:rsidR="00FA7969" w:rsidRPr="004223D6" w:rsidRDefault="00FA7969" w:rsidP="00CE3440">
      <w:pPr>
        <w:jc w:val="both"/>
        <w:rPr>
          <w:rFonts w:cs="Arial"/>
          <w:szCs w:val="22"/>
          <w:lang w:val="sl-SI"/>
        </w:rPr>
      </w:pPr>
      <w:r w:rsidRPr="004223D6">
        <w:rPr>
          <w:rFonts w:cs="Arial"/>
          <w:szCs w:val="22"/>
          <w:lang w:val="sl-SI"/>
        </w:rPr>
        <w:t xml:space="preserve">Izboljšave na področju energetske učinkovitosti bi pripomogle k zmanjšanju splošnih emisij, kot tudi sprožile dodatne naložbe in ustvarile nova delovna mesta. Slovenska vlada je objavila več poročil, ki potrjujejo jasno zavezo k izboljšavam na tem področju, skladno s cilji in glavnimi strateškimi dokumenti na ravni EU, kot so na primer Evropa 2020, Časovni načrt za prehod na </w:t>
      </w:r>
      <w:proofErr w:type="spellStart"/>
      <w:r w:rsidRPr="004223D6">
        <w:rPr>
          <w:rFonts w:cs="Arial"/>
          <w:szCs w:val="22"/>
          <w:lang w:val="sl-SI"/>
        </w:rPr>
        <w:t>nizkoogljični</w:t>
      </w:r>
      <w:proofErr w:type="spellEnd"/>
      <w:r w:rsidRPr="004223D6">
        <w:rPr>
          <w:rFonts w:cs="Arial"/>
          <w:szCs w:val="22"/>
          <w:lang w:val="sl-SI"/>
        </w:rPr>
        <w:t xml:space="preserve"> energetski sistem do leta 2050, ter drugimi relevantnimi evropskimi predpisi, povezanimi z energijo.</w:t>
      </w:r>
    </w:p>
    <w:p w14:paraId="12AAEF1E" w14:textId="0C17720A" w:rsidR="00FA7969" w:rsidRPr="004223D6" w:rsidRDefault="00FA7969" w:rsidP="00CE3440">
      <w:pPr>
        <w:pStyle w:val="Naslov2"/>
        <w:keepLines/>
        <w:numPr>
          <w:ilvl w:val="0"/>
          <w:numId w:val="26"/>
        </w:numPr>
        <w:spacing w:before="40" w:after="0"/>
        <w:jc w:val="both"/>
        <w:rPr>
          <w:szCs w:val="22"/>
          <w:lang w:val="sl-SI"/>
        </w:rPr>
      </w:pPr>
      <w:r w:rsidRPr="004223D6">
        <w:rPr>
          <w:szCs w:val="22"/>
          <w:lang w:val="sl-SI"/>
        </w:rPr>
        <w:t>Urbani razvoj</w:t>
      </w:r>
      <w:r w:rsidR="00DA2C30">
        <w:rPr>
          <w:szCs w:val="22"/>
          <w:lang w:val="sl-SI"/>
        </w:rPr>
        <w:t xml:space="preserve"> (UR)</w:t>
      </w:r>
    </w:p>
    <w:p w14:paraId="60C07257" w14:textId="1AD07824" w:rsidR="00FC4417" w:rsidRPr="004223D6" w:rsidRDefault="00FC4417" w:rsidP="00FC4417">
      <w:pPr>
        <w:jc w:val="both"/>
        <w:rPr>
          <w:rFonts w:cs="Arial"/>
          <w:szCs w:val="22"/>
          <w:lang w:val="sl-SI"/>
        </w:rPr>
      </w:pPr>
      <w:r w:rsidRPr="004223D6">
        <w:rPr>
          <w:rFonts w:cs="Arial"/>
          <w:szCs w:val="22"/>
          <w:lang w:val="sl-SI"/>
        </w:rPr>
        <w:t>Mesta in druga urbana naselja predstavljajo temelj slovenskega poselitvenega sistema. Mestni življenjski slog je prisoten na večini poseljenega slovenskega ozemlja in povezuje urbana središča v tipičen policentričen sistem. Sklad za financiranje urbanega</w:t>
      </w:r>
      <w:r w:rsidR="00C13896">
        <w:rPr>
          <w:rFonts w:cs="Arial"/>
          <w:szCs w:val="22"/>
          <w:lang w:val="sl-SI"/>
        </w:rPr>
        <w:t xml:space="preserve"> </w:t>
      </w:r>
      <w:r w:rsidRPr="004223D6">
        <w:rPr>
          <w:rFonts w:cs="Arial"/>
          <w:szCs w:val="22"/>
          <w:lang w:val="sl-SI"/>
        </w:rPr>
        <w:t xml:space="preserve">razvoja bo zagotovil posojila za občine, regionalne in lokalne organe, podjetja za javne storitve in nosilce nepremičninskih projektov za izvajanje trajnostnih urbanih strategij, </w:t>
      </w:r>
      <w:r w:rsidR="00CD58D4" w:rsidRPr="004223D6">
        <w:rPr>
          <w:rFonts w:cs="Arial"/>
          <w:szCs w:val="22"/>
          <w:lang w:val="sl-SI"/>
        </w:rPr>
        <w:t>ki so bile pripravljene v 11 mestnih občinah</w:t>
      </w:r>
      <w:r w:rsidRPr="004223D6">
        <w:rPr>
          <w:rFonts w:cs="Arial"/>
          <w:szCs w:val="22"/>
          <w:lang w:val="sl-SI"/>
        </w:rPr>
        <w:t xml:space="preserve">. </w:t>
      </w:r>
    </w:p>
    <w:p w14:paraId="5058C991" w14:textId="11A4FF13" w:rsidR="00D51F37" w:rsidRPr="004223D6" w:rsidRDefault="00D51F37" w:rsidP="00FC4417">
      <w:pPr>
        <w:jc w:val="both"/>
        <w:rPr>
          <w:rFonts w:cs="Arial"/>
          <w:szCs w:val="22"/>
          <w:lang w:val="sl-SI"/>
        </w:rPr>
      </w:pPr>
    </w:p>
    <w:p w14:paraId="5D1CE03E" w14:textId="1BED0381" w:rsidR="00FA7969" w:rsidRPr="004223D6" w:rsidRDefault="00FA7969" w:rsidP="00CE3440">
      <w:pPr>
        <w:jc w:val="both"/>
        <w:rPr>
          <w:rFonts w:cs="Arial"/>
          <w:szCs w:val="22"/>
          <w:lang w:val="sl-SI"/>
        </w:rPr>
      </w:pPr>
      <w:r w:rsidRPr="004223D6">
        <w:rPr>
          <w:rFonts w:cs="Arial"/>
          <w:szCs w:val="22"/>
          <w:lang w:val="sl-SI"/>
        </w:rPr>
        <w:t>Za FI s</w:t>
      </w:r>
      <w:r w:rsidR="00637FF5" w:rsidRPr="004223D6">
        <w:rPr>
          <w:rFonts w:cs="Arial"/>
          <w:szCs w:val="22"/>
          <w:lang w:val="sl-SI"/>
        </w:rPr>
        <w:t>o predvidena sredstva v okviru o</w:t>
      </w:r>
      <w:r w:rsidRPr="004223D6">
        <w:rPr>
          <w:rFonts w:cs="Arial"/>
          <w:szCs w:val="22"/>
          <w:lang w:val="sl-SI"/>
        </w:rPr>
        <w:t xml:space="preserve">perativnega programa </w:t>
      </w:r>
      <w:r w:rsidR="00B74EDB">
        <w:rPr>
          <w:rFonts w:cs="Arial"/>
          <w:szCs w:val="22"/>
          <w:lang w:val="sl-SI"/>
        </w:rPr>
        <w:t>skladno s P</w:t>
      </w:r>
      <w:r w:rsidR="00637FF5" w:rsidRPr="004223D6">
        <w:rPr>
          <w:rFonts w:cs="Arial"/>
          <w:szCs w:val="22"/>
          <w:lang w:val="sl-SI"/>
        </w:rPr>
        <w:t>redhodno oceno</w:t>
      </w:r>
      <w:r w:rsidR="00B74EDB">
        <w:rPr>
          <w:rFonts w:cs="Arial"/>
          <w:szCs w:val="22"/>
          <w:lang w:val="sl-SI"/>
        </w:rPr>
        <w:t xml:space="preserve"> FI</w:t>
      </w:r>
      <w:r w:rsidR="00637FF5" w:rsidRPr="004223D6">
        <w:rPr>
          <w:rFonts w:cs="Arial"/>
          <w:szCs w:val="22"/>
          <w:lang w:val="sl-SI"/>
        </w:rPr>
        <w:t>. Cilj operativnega programa zadevajo spodbujanje</w:t>
      </w:r>
      <w:r w:rsidRPr="004223D6">
        <w:rPr>
          <w:rFonts w:cs="Arial"/>
          <w:szCs w:val="22"/>
          <w:lang w:val="sl-SI"/>
        </w:rPr>
        <w:t xml:space="preserve"> hitro rastočih in inovativnih podjetij, pa tudi drugih pravno-organizacijskih oblik poslovnih subjektov,</w:t>
      </w:r>
      <w:r w:rsidR="00637FF5" w:rsidRPr="004223D6">
        <w:rPr>
          <w:rFonts w:cs="Arial"/>
          <w:szCs w:val="22"/>
          <w:lang w:val="sl-SI"/>
        </w:rPr>
        <w:t xml:space="preserve"> prek </w:t>
      </w:r>
      <w:r w:rsidRPr="004223D6">
        <w:rPr>
          <w:rFonts w:cs="Arial"/>
          <w:szCs w:val="22"/>
          <w:lang w:val="sl-SI"/>
        </w:rPr>
        <w:t>razvoj</w:t>
      </w:r>
      <w:r w:rsidR="00637FF5" w:rsidRPr="004223D6">
        <w:rPr>
          <w:rFonts w:cs="Arial"/>
          <w:szCs w:val="22"/>
          <w:lang w:val="sl-SI"/>
        </w:rPr>
        <w:t>a</w:t>
      </w:r>
      <w:r w:rsidRPr="004223D6">
        <w:rPr>
          <w:rFonts w:cs="Arial"/>
          <w:szCs w:val="22"/>
          <w:lang w:val="sl-SI"/>
        </w:rPr>
        <w:t xml:space="preserve"> trga dolžniškega in la</w:t>
      </w:r>
      <w:r w:rsidR="00637FF5" w:rsidRPr="004223D6">
        <w:rPr>
          <w:rFonts w:cs="Arial"/>
          <w:szCs w:val="22"/>
          <w:lang w:val="sl-SI"/>
        </w:rPr>
        <w:t>stniškega financiranja ter višjo dodano</w:t>
      </w:r>
      <w:r w:rsidRPr="004223D6">
        <w:rPr>
          <w:rFonts w:cs="Arial"/>
          <w:szCs w:val="22"/>
          <w:lang w:val="sl-SI"/>
        </w:rPr>
        <w:t xml:space="preserve"> vrednost na zaposlenega,</w:t>
      </w:r>
      <w:r w:rsidR="00637FF5" w:rsidRPr="004223D6">
        <w:rPr>
          <w:rFonts w:cs="Arial"/>
          <w:szCs w:val="22"/>
          <w:lang w:val="sl-SI"/>
        </w:rPr>
        <w:t xml:space="preserve"> kot tudi</w:t>
      </w:r>
      <w:r w:rsidRPr="004223D6">
        <w:rPr>
          <w:rFonts w:cs="Arial"/>
          <w:szCs w:val="22"/>
          <w:lang w:val="sl-SI"/>
        </w:rPr>
        <w:t xml:space="preserve"> p</w:t>
      </w:r>
      <w:r w:rsidR="00637FF5" w:rsidRPr="004223D6">
        <w:rPr>
          <w:rFonts w:cs="Arial"/>
          <w:szCs w:val="22"/>
          <w:lang w:val="sl-SI"/>
        </w:rPr>
        <w:t xml:space="preserve">ovečanje števila delovnih mest. </w:t>
      </w:r>
      <w:r w:rsidR="000B7F61" w:rsidRPr="004223D6">
        <w:rPr>
          <w:rFonts w:cs="Arial"/>
          <w:szCs w:val="22"/>
          <w:lang w:val="sl-SI"/>
        </w:rPr>
        <w:t xml:space="preserve">Koristi in prispevek izvajanja operacije FI k ciljem </w:t>
      </w:r>
      <w:r w:rsidR="00637FF5" w:rsidRPr="004223D6">
        <w:rPr>
          <w:rFonts w:cs="Arial"/>
          <w:szCs w:val="22"/>
          <w:lang w:val="sl-SI"/>
        </w:rPr>
        <w:t xml:space="preserve">operativnega programa so </w:t>
      </w:r>
      <w:r w:rsidR="000B7F61" w:rsidRPr="004223D6">
        <w:rPr>
          <w:rFonts w:cs="Arial"/>
          <w:szCs w:val="22"/>
          <w:lang w:val="sl-SI"/>
        </w:rPr>
        <w:t>opredeljeni vkl</w:t>
      </w:r>
      <w:r w:rsidR="00AD655B" w:rsidRPr="004223D6">
        <w:rPr>
          <w:rFonts w:cs="Arial"/>
          <w:szCs w:val="22"/>
          <w:lang w:val="sl-SI"/>
        </w:rPr>
        <w:t>jučno s kazalniki v operaciji »Finančni instrumenti 2014-2020«</w:t>
      </w:r>
      <w:r w:rsidR="00A0634F">
        <w:rPr>
          <w:rFonts w:cs="Arial"/>
          <w:szCs w:val="22"/>
          <w:lang w:val="sl-SI"/>
        </w:rPr>
        <w:t xml:space="preserve"> in </w:t>
      </w:r>
      <w:proofErr w:type="spellStart"/>
      <w:r w:rsidR="00A0634F">
        <w:rPr>
          <w:rFonts w:cs="Arial"/>
          <w:szCs w:val="22"/>
          <w:lang w:val="sl-SI"/>
        </w:rPr>
        <w:t>SoF</w:t>
      </w:r>
      <w:proofErr w:type="spellEnd"/>
      <w:r w:rsidR="00A0634F">
        <w:rPr>
          <w:rFonts w:cs="Arial"/>
          <w:szCs w:val="22"/>
          <w:lang w:val="sl-SI"/>
        </w:rPr>
        <w:t>.</w:t>
      </w:r>
    </w:p>
    <w:p w14:paraId="37D3A016" w14:textId="77777777" w:rsidR="00FA7969" w:rsidRPr="004223D6" w:rsidRDefault="00FA7969" w:rsidP="00CE3440">
      <w:pPr>
        <w:jc w:val="both"/>
        <w:rPr>
          <w:rFonts w:cs="Arial"/>
          <w:szCs w:val="22"/>
          <w:lang w:val="sl-SI"/>
        </w:rPr>
      </w:pPr>
    </w:p>
    <w:p w14:paraId="4CB1459B" w14:textId="4178BB84" w:rsidR="00FA7969" w:rsidRPr="004223D6" w:rsidRDefault="000647AD" w:rsidP="00CE3440">
      <w:pPr>
        <w:jc w:val="both"/>
        <w:rPr>
          <w:rFonts w:cs="Arial"/>
          <w:szCs w:val="22"/>
          <w:lang w:val="sl-SI"/>
        </w:rPr>
      </w:pPr>
      <w:r w:rsidRPr="004223D6">
        <w:rPr>
          <w:rFonts w:cs="Arial"/>
          <w:szCs w:val="22"/>
          <w:lang w:val="sl-SI"/>
        </w:rPr>
        <w:t>Operativni program</w:t>
      </w:r>
      <w:r w:rsidR="00FA7969" w:rsidRPr="004223D6">
        <w:rPr>
          <w:rFonts w:cs="Arial"/>
          <w:szCs w:val="22"/>
          <w:lang w:val="sl-SI"/>
        </w:rPr>
        <w:t xml:space="preserve"> načrtuje izvedbo FI na štirih prednostnih naložbah:</w:t>
      </w:r>
    </w:p>
    <w:p w14:paraId="47C82E70" w14:textId="77777777" w:rsidR="00FA7969" w:rsidRPr="004223D6" w:rsidRDefault="00FA7969" w:rsidP="00CE3440">
      <w:pPr>
        <w:pStyle w:val="Odstavekseznama"/>
        <w:numPr>
          <w:ilvl w:val="0"/>
          <w:numId w:val="24"/>
        </w:numPr>
        <w:jc w:val="both"/>
        <w:rPr>
          <w:rFonts w:ascii="Arial" w:hAnsi="Arial" w:cs="Arial"/>
          <w:lang w:val="sl-SI"/>
        </w:rPr>
      </w:pPr>
      <w:r w:rsidRPr="004223D6">
        <w:rPr>
          <w:rFonts w:ascii="Arial" w:hAnsi="Arial" w:cs="Arial"/>
          <w:lang w:val="sl-SI"/>
        </w:rPr>
        <w:t>1.2 Spodbujanje naložb podjetij v raziskave in inovacije ter vzpostavljanje povezav in sinergij med podjetji, centri za raziskave in razvoj ter visokošolskim izobraževalnim sektorjem;</w:t>
      </w:r>
    </w:p>
    <w:p w14:paraId="65AA6470" w14:textId="77777777" w:rsidR="00FA7969" w:rsidRPr="004223D6" w:rsidRDefault="00FA7969" w:rsidP="00CE3440">
      <w:pPr>
        <w:pStyle w:val="Odstavekseznama"/>
        <w:numPr>
          <w:ilvl w:val="0"/>
          <w:numId w:val="24"/>
        </w:numPr>
        <w:jc w:val="both"/>
        <w:rPr>
          <w:rFonts w:ascii="Arial" w:hAnsi="Arial" w:cs="Arial"/>
          <w:lang w:val="sl-SI"/>
        </w:rPr>
      </w:pPr>
      <w:r w:rsidRPr="004223D6">
        <w:rPr>
          <w:rFonts w:ascii="Arial" w:hAnsi="Arial" w:cs="Arial"/>
          <w:lang w:val="sl-SI"/>
        </w:rPr>
        <w:t>3.1 Spodbujanje podjetništva, zlasti z omogočanjem lažje gospodarske izrabe novih idej in spodbujanjem ustanavljanja novih podjetij, vključno s podjetniškimi inkubatorji;</w:t>
      </w:r>
    </w:p>
    <w:p w14:paraId="54DC1027" w14:textId="648E46BA" w:rsidR="00FA7969" w:rsidRPr="004223D6" w:rsidRDefault="00FA7969" w:rsidP="00CE3440">
      <w:pPr>
        <w:pStyle w:val="Odstavekseznama"/>
        <w:numPr>
          <w:ilvl w:val="0"/>
          <w:numId w:val="24"/>
        </w:numPr>
        <w:jc w:val="both"/>
        <w:rPr>
          <w:rFonts w:ascii="Arial" w:hAnsi="Arial" w:cs="Arial"/>
          <w:lang w:val="sl-SI"/>
        </w:rPr>
      </w:pPr>
      <w:r w:rsidRPr="004223D6">
        <w:rPr>
          <w:rFonts w:ascii="Arial" w:hAnsi="Arial" w:cs="Arial"/>
          <w:lang w:val="sl-SI"/>
        </w:rPr>
        <w:t>4.1 Spodbujanje energetske učinkovitosti, pametnega upravljanja z energijo in uporab</w:t>
      </w:r>
      <w:r w:rsidR="006D5D4C" w:rsidRPr="004223D6">
        <w:rPr>
          <w:rFonts w:ascii="Arial" w:hAnsi="Arial" w:cs="Arial"/>
          <w:lang w:val="sl-SI"/>
        </w:rPr>
        <w:t>e</w:t>
      </w:r>
      <w:r w:rsidRPr="004223D6">
        <w:rPr>
          <w:rFonts w:ascii="Arial" w:hAnsi="Arial" w:cs="Arial"/>
          <w:lang w:val="sl-SI"/>
        </w:rPr>
        <w:t xml:space="preserve"> obnovljivih virov energije v javni infrastrukturi, vključno z javnimi stavbami, in stanovanjskem sektorju;</w:t>
      </w:r>
    </w:p>
    <w:p w14:paraId="19647E7D" w14:textId="77777777" w:rsidR="00FA7969" w:rsidRPr="004223D6" w:rsidRDefault="00FA7969" w:rsidP="00CE3440">
      <w:pPr>
        <w:pStyle w:val="Odstavekseznama"/>
        <w:numPr>
          <w:ilvl w:val="0"/>
          <w:numId w:val="24"/>
        </w:numPr>
        <w:jc w:val="both"/>
        <w:rPr>
          <w:rFonts w:ascii="Arial" w:hAnsi="Arial" w:cs="Arial"/>
          <w:lang w:val="sl-SI"/>
        </w:rPr>
      </w:pPr>
      <w:r w:rsidRPr="004223D6">
        <w:rPr>
          <w:rFonts w:ascii="Arial" w:hAnsi="Arial" w:cs="Arial"/>
          <w:lang w:val="sl-SI"/>
        </w:rPr>
        <w:lastRenderedPageBreak/>
        <w:t>6.3 Ukrepi za izboljšanje urbanega okolja, oživitev mest, sanacijo in dekontaminacijo degradiranih zemljišč (vključno z območji, na katerih poteka preobrazba), zmanjšanje onesnaženosti zraka in spodbujanje ukrepov za zmanjšanje hrupa.</w:t>
      </w:r>
    </w:p>
    <w:p w14:paraId="3F553E7A" w14:textId="77777777" w:rsidR="00FA7969" w:rsidRPr="004223D6" w:rsidRDefault="00FA7969" w:rsidP="00CE3440">
      <w:pPr>
        <w:jc w:val="both"/>
        <w:rPr>
          <w:rFonts w:cs="Arial"/>
          <w:szCs w:val="22"/>
          <w:lang w:val="sl-SI"/>
        </w:rPr>
      </w:pPr>
    </w:p>
    <w:p w14:paraId="1B072C5F" w14:textId="3360BB92" w:rsidR="00FA7969" w:rsidRPr="004223D6" w:rsidRDefault="00FA7969" w:rsidP="00CE3440">
      <w:pPr>
        <w:jc w:val="both"/>
        <w:rPr>
          <w:rFonts w:cs="Arial"/>
          <w:szCs w:val="22"/>
          <w:lang w:val="sl-SI"/>
        </w:rPr>
      </w:pPr>
      <w:r w:rsidRPr="004223D6">
        <w:rPr>
          <w:rFonts w:cs="Arial"/>
          <w:szCs w:val="22"/>
          <w:lang w:val="sl-SI"/>
        </w:rPr>
        <w:t xml:space="preserve">Višina pravic porabe v finančni perspektivi </w:t>
      </w:r>
      <w:r w:rsidR="004F0A95">
        <w:rPr>
          <w:rFonts w:cs="Arial"/>
          <w:szCs w:val="22"/>
          <w:lang w:val="sl-SI"/>
        </w:rPr>
        <w:t>2014–2020</w:t>
      </w:r>
      <w:r w:rsidRPr="004223D6">
        <w:rPr>
          <w:rFonts w:cs="Arial"/>
          <w:szCs w:val="22"/>
          <w:lang w:val="sl-SI"/>
        </w:rPr>
        <w:t xml:space="preserve"> na ravni posamezne prednostne naložbe </w:t>
      </w:r>
      <w:r w:rsidR="00667628" w:rsidRPr="004223D6">
        <w:rPr>
          <w:rFonts w:cs="Arial"/>
          <w:szCs w:val="22"/>
          <w:lang w:val="sl-SI"/>
        </w:rPr>
        <w:t xml:space="preserve">operativnega </w:t>
      </w:r>
      <w:r w:rsidRPr="004223D6">
        <w:rPr>
          <w:rFonts w:cs="Arial"/>
          <w:szCs w:val="22"/>
          <w:lang w:val="sl-SI"/>
        </w:rPr>
        <w:t xml:space="preserve">programa je prikazana po </w:t>
      </w:r>
      <w:r w:rsidR="00301F85" w:rsidRPr="004223D6">
        <w:rPr>
          <w:rFonts w:cs="Arial"/>
          <w:szCs w:val="22"/>
          <w:lang w:val="sl-SI"/>
        </w:rPr>
        <w:t>prednostni naložbi</w:t>
      </w:r>
      <w:r w:rsidRPr="004223D6">
        <w:rPr>
          <w:rFonts w:cs="Arial"/>
          <w:szCs w:val="22"/>
          <w:lang w:val="sl-SI"/>
        </w:rPr>
        <w:t xml:space="preserve"> </w:t>
      </w:r>
      <w:r w:rsidR="00667628" w:rsidRPr="004223D6">
        <w:rPr>
          <w:rFonts w:cs="Arial"/>
          <w:szCs w:val="22"/>
          <w:lang w:val="sl-SI"/>
        </w:rPr>
        <w:t xml:space="preserve">v </w:t>
      </w:r>
      <w:r w:rsidRPr="004223D6">
        <w:rPr>
          <w:rFonts w:cs="Arial"/>
          <w:szCs w:val="22"/>
          <w:lang w:val="sl-SI"/>
        </w:rPr>
        <w:t>prilogi št. 1. V prilogi št.</w:t>
      </w:r>
      <w:r w:rsidR="005743CB">
        <w:rPr>
          <w:rFonts w:cs="Arial"/>
          <w:szCs w:val="22"/>
          <w:lang w:val="sl-SI"/>
        </w:rPr>
        <w:t> </w:t>
      </w:r>
      <w:r w:rsidRPr="004223D6">
        <w:rPr>
          <w:rFonts w:cs="Arial"/>
          <w:szCs w:val="22"/>
          <w:lang w:val="sl-SI"/>
        </w:rPr>
        <w:t>2 je prikazan načrt FI po prispevku k domenam ukrepa in obliki financiranja. V prilogi št. 3 je prikazana predvidena letna di</w:t>
      </w:r>
      <w:r w:rsidR="00A0634F">
        <w:rPr>
          <w:rFonts w:cs="Arial"/>
          <w:szCs w:val="22"/>
          <w:lang w:val="sl-SI"/>
        </w:rPr>
        <w:t>namika vplačil v sklad skladov.</w:t>
      </w:r>
    </w:p>
    <w:p w14:paraId="7D3DF5BA" w14:textId="77777777" w:rsidR="00FA7969" w:rsidRPr="004223D6" w:rsidRDefault="00FA7969" w:rsidP="00CE3440">
      <w:pPr>
        <w:jc w:val="both"/>
        <w:rPr>
          <w:rFonts w:cs="Arial"/>
          <w:szCs w:val="22"/>
          <w:lang w:val="sl-SI"/>
        </w:rPr>
      </w:pPr>
    </w:p>
    <w:p w14:paraId="330839E7" w14:textId="42DAC3B5" w:rsidR="00FA7969" w:rsidRPr="004223D6" w:rsidRDefault="00FA7969" w:rsidP="00CE3440">
      <w:pPr>
        <w:pStyle w:val="Naslov2"/>
        <w:keepLines/>
        <w:numPr>
          <w:ilvl w:val="1"/>
          <w:numId w:val="25"/>
        </w:numPr>
        <w:spacing w:before="40" w:after="0"/>
        <w:jc w:val="both"/>
        <w:rPr>
          <w:lang w:val="sl-SI"/>
        </w:rPr>
      </w:pPr>
      <w:r w:rsidRPr="004223D6">
        <w:rPr>
          <w:lang w:val="sl-SI"/>
        </w:rPr>
        <w:t xml:space="preserve">Ukrepi za uresničitev ciljev </w:t>
      </w:r>
      <w:r w:rsidR="00174262">
        <w:rPr>
          <w:lang w:val="sl-SI"/>
        </w:rPr>
        <w:t xml:space="preserve">operativnega </w:t>
      </w:r>
      <w:r w:rsidRPr="004223D6">
        <w:rPr>
          <w:lang w:val="sl-SI"/>
        </w:rPr>
        <w:t xml:space="preserve">programa v obdobju </w:t>
      </w:r>
      <w:r w:rsidR="004F0A95">
        <w:rPr>
          <w:lang w:val="sl-SI"/>
        </w:rPr>
        <w:t>2014–2020</w:t>
      </w:r>
    </w:p>
    <w:p w14:paraId="5DA22137" w14:textId="77777777" w:rsidR="00FA7969" w:rsidRPr="004223D6" w:rsidRDefault="00FA7969" w:rsidP="00CE3440">
      <w:pPr>
        <w:jc w:val="both"/>
        <w:rPr>
          <w:rFonts w:cs="Arial"/>
          <w:lang w:val="sl-SI"/>
        </w:rPr>
      </w:pPr>
    </w:p>
    <w:p w14:paraId="2FE13411" w14:textId="22168AFB" w:rsidR="00FA7969" w:rsidRPr="004223D6" w:rsidRDefault="00FA7969" w:rsidP="00CE3440">
      <w:pPr>
        <w:jc w:val="both"/>
        <w:rPr>
          <w:rFonts w:cs="Arial"/>
          <w:szCs w:val="22"/>
          <w:lang w:val="sl-SI"/>
        </w:rPr>
      </w:pPr>
      <w:r w:rsidRPr="004223D6">
        <w:rPr>
          <w:rFonts w:cs="Arial"/>
          <w:szCs w:val="22"/>
          <w:lang w:val="sl-SI"/>
        </w:rPr>
        <w:t>Skladno z Uredbo Komisije (EU) št. 215/2014/ES so v okviru</w:t>
      </w:r>
      <w:r w:rsidR="00D51F37" w:rsidRPr="004223D6">
        <w:rPr>
          <w:rFonts w:cs="Arial"/>
          <w:szCs w:val="22"/>
          <w:lang w:val="sl-SI"/>
        </w:rPr>
        <w:t xml:space="preserve"> posamezne prednostne naložbe operativnega programa</w:t>
      </w:r>
      <w:r w:rsidRPr="004223D6">
        <w:rPr>
          <w:rFonts w:cs="Arial"/>
          <w:szCs w:val="22"/>
          <w:lang w:val="sl-SI"/>
        </w:rPr>
        <w:t xml:space="preserve"> načrtovani prispevki k ukrepom, prek kombinacij različnih FI</w:t>
      </w:r>
      <w:r w:rsidR="00D51F37" w:rsidRPr="004223D6">
        <w:rPr>
          <w:rFonts w:cs="Arial"/>
          <w:szCs w:val="22"/>
          <w:lang w:val="sl-SI"/>
        </w:rPr>
        <w:t>, za uresničitev ciljev domen operativnega programa</w:t>
      </w:r>
      <w:r w:rsidRPr="004223D6">
        <w:rPr>
          <w:rFonts w:cs="Arial"/>
          <w:szCs w:val="22"/>
          <w:lang w:val="sl-SI"/>
        </w:rPr>
        <w:t>:</w:t>
      </w:r>
    </w:p>
    <w:p w14:paraId="6D973808" w14:textId="77777777" w:rsidR="00FA7969" w:rsidRPr="004223D6" w:rsidRDefault="00FA7969" w:rsidP="00CE3440">
      <w:pPr>
        <w:jc w:val="both"/>
        <w:rPr>
          <w:rFonts w:cs="Arial"/>
          <w:szCs w:val="22"/>
          <w:lang w:val="sl-SI"/>
        </w:rPr>
      </w:pPr>
    </w:p>
    <w:tbl>
      <w:tblPr>
        <w:tblStyle w:val="Tabelamrea"/>
        <w:tblW w:w="5000" w:type="pct"/>
        <w:tblBorders>
          <w:top w:val="single" w:sz="4" w:space="0" w:color="000000"/>
          <w:left w:val="none" w:sz="0" w:space="0" w:color="auto"/>
          <w:bottom w:val="single" w:sz="4" w:space="0" w:color="000000"/>
          <w:right w:val="none" w:sz="0" w:space="0" w:color="auto"/>
          <w:insideH w:val="single" w:sz="4" w:space="0" w:color="000000"/>
          <w:insideV w:val="dotted" w:sz="4" w:space="0" w:color="000000"/>
        </w:tblBorders>
        <w:tblLook w:val="04A0" w:firstRow="1" w:lastRow="0" w:firstColumn="1" w:lastColumn="0" w:noHBand="0" w:noVBand="1"/>
      </w:tblPr>
      <w:tblGrid>
        <w:gridCol w:w="1461"/>
        <w:gridCol w:w="1687"/>
        <w:gridCol w:w="6133"/>
      </w:tblGrid>
      <w:tr w:rsidR="00FA7969" w:rsidRPr="004223D6" w14:paraId="3FE24356" w14:textId="77777777" w:rsidTr="00B524FD">
        <w:tc>
          <w:tcPr>
            <w:tcW w:w="1427" w:type="dxa"/>
          </w:tcPr>
          <w:p w14:paraId="5D4D6C29" w14:textId="77777777" w:rsidR="00FA7969" w:rsidRPr="004223D6" w:rsidRDefault="00FA7969" w:rsidP="00CE3440">
            <w:pPr>
              <w:jc w:val="both"/>
              <w:rPr>
                <w:rFonts w:cs="Arial"/>
                <w:b/>
                <w:szCs w:val="22"/>
                <w:lang w:val="sl-SI"/>
              </w:rPr>
            </w:pPr>
            <w:r w:rsidRPr="004223D6">
              <w:rPr>
                <w:rFonts w:cs="Arial"/>
                <w:b/>
                <w:szCs w:val="22"/>
                <w:lang w:val="sl-SI"/>
              </w:rPr>
              <w:t>Prednostna naložba</w:t>
            </w:r>
          </w:p>
        </w:tc>
        <w:tc>
          <w:tcPr>
            <w:tcW w:w="1648" w:type="dxa"/>
          </w:tcPr>
          <w:p w14:paraId="7E3B5867" w14:textId="77777777" w:rsidR="00FA7969" w:rsidRPr="004223D6" w:rsidRDefault="00FA7969" w:rsidP="00CE3440">
            <w:pPr>
              <w:jc w:val="both"/>
              <w:rPr>
                <w:rFonts w:cs="Arial"/>
                <w:b/>
                <w:szCs w:val="22"/>
                <w:lang w:val="sl-SI"/>
              </w:rPr>
            </w:pPr>
            <w:r w:rsidRPr="004223D6">
              <w:rPr>
                <w:rFonts w:cs="Arial"/>
                <w:b/>
                <w:szCs w:val="22"/>
                <w:lang w:val="sl-SI"/>
              </w:rPr>
              <w:t>Koda (domene ukrepa)</w:t>
            </w:r>
          </w:p>
        </w:tc>
        <w:tc>
          <w:tcPr>
            <w:tcW w:w="5990" w:type="dxa"/>
          </w:tcPr>
          <w:p w14:paraId="45BB5CC1" w14:textId="77777777" w:rsidR="00FA7969" w:rsidRPr="004223D6" w:rsidRDefault="00FA7969" w:rsidP="00CE3440">
            <w:pPr>
              <w:jc w:val="both"/>
              <w:rPr>
                <w:rFonts w:cs="Arial"/>
                <w:b/>
                <w:szCs w:val="22"/>
                <w:lang w:val="sl-SI"/>
              </w:rPr>
            </w:pPr>
            <w:r w:rsidRPr="004223D6">
              <w:rPr>
                <w:rFonts w:cs="Arial"/>
                <w:b/>
                <w:szCs w:val="22"/>
                <w:lang w:val="sl-SI"/>
              </w:rPr>
              <w:t>Domena ukrepa</w:t>
            </w:r>
          </w:p>
        </w:tc>
      </w:tr>
      <w:tr w:rsidR="00FA7969" w:rsidRPr="004223D6" w14:paraId="7BA102D8" w14:textId="77777777" w:rsidTr="00B524FD">
        <w:tc>
          <w:tcPr>
            <w:tcW w:w="1427" w:type="dxa"/>
          </w:tcPr>
          <w:p w14:paraId="663E114F" w14:textId="77777777" w:rsidR="00FA7969" w:rsidRPr="004223D6" w:rsidRDefault="00FA7969" w:rsidP="00CE3440">
            <w:pPr>
              <w:jc w:val="both"/>
              <w:rPr>
                <w:rFonts w:cs="Arial"/>
                <w:szCs w:val="22"/>
                <w:lang w:val="sl-SI"/>
              </w:rPr>
            </w:pPr>
            <w:r w:rsidRPr="004223D6">
              <w:rPr>
                <w:rFonts w:cs="Arial"/>
                <w:szCs w:val="22"/>
                <w:lang w:val="sl-SI"/>
              </w:rPr>
              <w:t>1.2</w:t>
            </w:r>
          </w:p>
        </w:tc>
        <w:tc>
          <w:tcPr>
            <w:tcW w:w="1648" w:type="dxa"/>
          </w:tcPr>
          <w:p w14:paraId="762AE015" w14:textId="77777777" w:rsidR="00FA7969" w:rsidRPr="004223D6" w:rsidRDefault="00FA7969" w:rsidP="00CE3440">
            <w:pPr>
              <w:jc w:val="both"/>
              <w:rPr>
                <w:rFonts w:cs="Arial"/>
                <w:szCs w:val="22"/>
                <w:lang w:val="sl-SI"/>
              </w:rPr>
            </w:pPr>
            <w:r w:rsidRPr="004223D6">
              <w:rPr>
                <w:rFonts w:cs="Arial"/>
                <w:szCs w:val="22"/>
                <w:lang w:val="sl-SI"/>
              </w:rPr>
              <w:t>056</w:t>
            </w:r>
          </w:p>
          <w:p w14:paraId="65E38468" w14:textId="77777777" w:rsidR="00FA7969" w:rsidRPr="004223D6" w:rsidRDefault="00FA7969" w:rsidP="00CE3440">
            <w:pPr>
              <w:jc w:val="both"/>
              <w:rPr>
                <w:rFonts w:cs="Arial"/>
                <w:szCs w:val="22"/>
                <w:lang w:val="sl-SI"/>
              </w:rPr>
            </w:pPr>
          </w:p>
          <w:p w14:paraId="645B7082" w14:textId="77777777" w:rsidR="00FA7969" w:rsidRPr="004223D6" w:rsidRDefault="00FA7969" w:rsidP="00CE3440">
            <w:pPr>
              <w:jc w:val="both"/>
              <w:rPr>
                <w:rFonts w:cs="Arial"/>
                <w:szCs w:val="22"/>
                <w:lang w:val="sl-SI"/>
              </w:rPr>
            </w:pPr>
          </w:p>
          <w:p w14:paraId="04A54CEB" w14:textId="77777777" w:rsidR="00FF10DB" w:rsidRPr="004223D6" w:rsidRDefault="00FF10DB" w:rsidP="00CE3440">
            <w:pPr>
              <w:jc w:val="both"/>
              <w:rPr>
                <w:rFonts w:cs="Arial"/>
                <w:szCs w:val="22"/>
                <w:lang w:val="sl-SI"/>
              </w:rPr>
            </w:pPr>
          </w:p>
          <w:p w14:paraId="22F80631" w14:textId="3A8E6AD5" w:rsidR="00FA7969" w:rsidRPr="004223D6" w:rsidRDefault="00FA7969" w:rsidP="00CE3440">
            <w:pPr>
              <w:jc w:val="both"/>
              <w:rPr>
                <w:rFonts w:cs="Arial"/>
                <w:szCs w:val="22"/>
                <w:lang w:val="sl-SI"/>
              </w:rPr>
            </w:pPr>
            <w:r w:rsidRPr="004223D6">
              <w:rPr>
                <w:rFonts w:cs="Arial"/>
                <w:szCs w:val="22"/>
                <w:lang w:val="sl-SI"/>
              </w:rPr>
              <w:t>057</w:t>
            </w:r>
          </w:p>
          <w:p w14:paraId="20124CE9" w14:textId="77777777" w:rsidR="00FA7969" w:rsidRPr="004223D6" w:rsidRDefault="00FA7969" w:rsidP="00CE3440">
            <w:pPr>
              <w:jc w:val="both"/>
              <w:rPr>
                <w:rFonts w:cs="Arial"/>
                <w:szCs w:val="22"/>
                <w:lang w:val="sl-SI"/>
              </w:rPr>
            </w:pPr>
          </w:p>
          <w:p w14:paraId="791D4894" w14:textId="77777777" w:rsidR="00FA7969" w:rsidRPr="004223D6" w:rsidRDefault="00FA7969" w:rsidP="00CE3440">
            <w:pPr>
              <w:jc w:val="both"/>
              <w:rPr>
                <w:rFonts w:cs="Arial"/>
                <w:szCs w:val="22"/>
                <w:lang w:val="sl-SI"/>
              </w:rPr>
            </w:pPr>
          </w:p>
          <w:p w14:paraId="56DC9EF5" w14:textId="77777777" w:rsidR="00FF10DB" w:rsidRPr="004223D6" w:rsidRDefault="00FF10DB" w:rsidP="00CE3440">
            <w:pPr>
              <w:jc w:val="both"/>
              <w:rPr>
                <w:rFonts w:cs="Arial"/>
                <w:szCs w:val="22"/>
                <w:lang w:val="sl-SI"/>
              </w:rPr>
            </w:pPr>
          </w:p>
          <w:p w14:paraId="73764FF9" w14:textId="61AA21B9" w:rsidR="00FA7969" w:rsidRPr="004223D6" w:rsidRDefault="00FA7969" w:rsidP="00CE3440">
            <w:pPr>
              <w:jc w:val="both"/>
              <w:rPr>
                <w:rFonts w:cs="Arial"/>
                <w:szCs w:val="22"/>
                <w:lang w:val="sl-SI"/>
              </w:rPr>
            </w:pPr>
            <w:r w:rsidRPr="004223D6">
              <w:rPr>
                <w:rFonts w:cs="Arial"/>
                <w:szCs w:val="22"/>
                <w:lang w:val="sl-SI"/>
              </w:rPr>
              <w:t>065</w:t>
            </w:r>
          </w:p>
          <w:p w14:paraId="1CE6E730" w14:textId="77777777" w:rsidR="00FA7969" w:rsidRPr="004223D6" w:rsidRDefault="00FA7969" w:rsidP="00CE3440">
            <w:pPr>
              <w:jc w:val="both"/>
              <w:rPr>
                <w:rFonts w:cs="Arial"/>
                <w:szCs w:val="22"/>
                <w:lang w:val="sl-SI"/>
              </w:rPr>
            </w:pPr>
          </w:p>
          <w:p w14:paraId="613FED49" w14:textId="77777777" w:rsidR="00FA7969" w:rsidRPr="004223D6" w:rsidRDefault="00FA7969" w:rsidP="00CE3440">
            <w:pPr>
              <w:jc w:val="both"/>
              <w:rPr>
                <w:rFonts w:cs="Arial"/>
                <w:szCs w:val="22"/>
                <w:lang w:val="sl-SI"/>
              </w:rPr>
            </w:pPr>
          </w:p>
        </w:tc>
        <w:tc>
          <w:tcPr>
            <w:tcW w:w="5990" w:type="dxa"/>
          </w:tcPr>
          <w:p w14:paraId="6C7EE2FB" w14:textId="77777777" w:rsidR="00FA7969" w:rsidRPr="004223D6" w:rsidRDefault="00FA7969" w:rsidP="00CE3440">
            <w:pPr>
              <w:jc w:val="both"/>
              <w:rPr>
                <w:rFonts w:cs="Arial"/>
                <w:szCs w:val="22"/>
                <w:lang w:val="sl-SI"/>
              </w:rPr>
            </w:pPr>
            <w:r w:rsidRPr="004223D6">
              <w:rPr>
                <w:rFonts w:cs="Arial"/>
                <w:szCs w:val="22"/>
                <w:lang w:val="sl-SI"/>
              </w:rPr>
              <w:t>Naložbe v infrastrukturo, zmogljivosti in opremo MSP v neposredni povezavami z raziskavami in inovacijskimi dejavnostmi</w:t>
            </w:r>
          </w:p>
          <w:p w14:paraId="5AD6B2BD" w14:textId="77777777" w:rsidR="00FA7969" w:rsidRPr="004223D6" w:rsidRDefault="00FA7969" w:rsidP="00CE3440">
            <w:pPr>
              <w:jc w:val="both"/>
              <w:rPr>
                <w:rFonts w:cs="Arial"/>
                <w:szCs w:val="22"/>
                <w:lang w:val="sl-SI"/>
              </w:rPr>
            </w:pPr>
          </w:p>
          <w:p w14:paraId="7993EABA" w14:textId="77777777" w:rsidR="00FA7969" w:rsidRPr="004223D6" w:rsidRDefault="00FA7969" w:rsidP="00CE3440">
            <w:pPr>
              <w:jc w:val="both"/>
              <w:rPr>
                <w:rFonts w:cs="Arial"/>
                <w:szCs w:val="22"/>
                <w:lang w:val="sl-SI"/>
              </w:rPr>
            </w:pPr>
            <w:r w:rsidRPr="004223D6">
              <w:rPr>
                <w:rFonts w:cs="Arial"/>
                <w:szCs w:val="22"/>
                <w:lang w:val="sl-SI"/>
              </w:rPr>
              <w:t>Naložbe v infrastrukturo, zmogljivosti in opremo velikih družb v neposredni povezavi raziskavami in inovacijskimi dejavnostmi</w:t>
            </w:r>
          </w:p>
          <w:p w14:paraId="3AA0DB41" w14:textId="77777777" w:rsidR="00FA7969" w:rsidRPr="004223D6" w:rsidRDefault="00FA7969" w:rsidP="00CE3440">
            <w:pPr>
              <w:jc w:val="both"/>
              <w:rPr>
                <w:rFonts w:cs="Arial"/>
                <w:szCs w:val="22"/>
                <w:lang w:val="sl-SI"/>
              </w:rPr>
            </w:pPr>
          </w:p>
          <w:p w14:paraId="480825DA" w14:textId="77777777" w:rsidR="00FA7969" w:rsidRPr="004223D6" w:rsidRDefault="00FA7969" w:rsidP="00CE3440">
            <w:pPr>
              <w:jc w:val="both"/>
              <w:rPr>
                <w:rFonts w:cs="Arial"/>
                <w:szCs w:val="22"/>
                <w:lang w:val="sl-SI"/>
              </w:rPr>
            </w:pPr>
            <w:r w:rsidRPr="004223D6">
              <w:rPr>
                <w:rFonts w:cs="Arial"/>
                <w:szCs w:val="22"/>
                <w:lang w:val="sl-SI"/>
              </w:rPr>
              <w:t xml:space="preserve">Raziskave in inovacijska infrastruktura, procesi, prenos tehnologije ter sodelovanje v podjetjih s poudarkom na </w:t>
            </w:r>
            <w:proofErr w:type="spellStart"/>
            <w:r w:rsidRPr="004223D6">
              <w:rPr>
                <w:rFonts w:cs="Arial"/>
                <w:szCs w:val="22"/>
                <w:lang w:val="sl-SI"/>
              </w:rPr>
              <w:t>nizkoogljičnem</w:t>
            </w:r>
            <w:proofErr w:type="spellEnd"/>
            <w:r w:rsidRPr="004223D6">
              <w:rPr>
                <w:rFonts w:cs="Arial"/>
                <w:szCs w:val="22"/>
                <w:lang w:val="sl-SI"/>
              </w:rPr>
              <w:t xml:space="preserve"> gospodarstvu in odpornosti na podnebne spremembe</w:t>
            </w:r>
          </w:p>
        </w:tc>
      </w:tr>
      <w:tr w:rsidR="00FA7969" w:rsidRPr="004223D6" w14:paraId="2D09388B" w14:textId="77777777" w:rsidTr="00B524FD">
        <w:tc>
          <w:tcPr>
            <w:tcW w:w="1427" w:type="dxa"/>
          </w:tcPr>
          <w:p w14:paraId="6AF712D3" w14:textId="77777777" w:rsidR="00FA7969" w:rsidRPr="004223D6" w:rsidRDefault="00FA7969" w:rsidP="00CE3440">
            <w:pPr>
              <w:jc w:val="both"/>
              <w:rPr>
                <w:rFonts w:cs="Arial"/>
                <w:szCs w:val="22"/>
                <w:lang w:val="sl-SI"/>
              </w:rPr>
            </w:pPr>
            <w:r w:rsidRPr="004223D6">
              <w:rPr>
                <w:rFonts w:cs="Arial"/>
                <w:szCs w:val="22"/>
                <w:lang w:val="sl-SI"/>
              </w:rPr>
              <w:t>3.1</w:t>
            </w:r>
          </w:p>
        </w:tc>
        <w:tc>
          <w:tcPr>
            <w:tcW w:w="1648" w:type="dxa"/>
          </w:tcPr>
          <w:p w14:paraId="239A1A52" w14:textId="77777777" w:rsidR="00FA7969" w:rsidRPr="004223D6" w:rsidRDefault="00FA7969" w:rsidP="00CE3440">
            <w:pPr>
              <w:jc w:val="both"/>
              <w:rPr>
                <w:rFonts w:cs="Arial"/>
                <w:szCs w:val="22"/>
                <w:lang w:val="sl-SI"/>
              </w:rPr>
            </w:pPr>
            <w:r w:rsidRPr="004223D6">
              <w:rPr>
                <w:rFonts w:cs="Arial"/>
                <w:szCs w:val="22"/>
                <w:lang w:val="sl-SI"/>
              </w:rPr>
              <w:t>001</w:t>
            </w:r>
          </w:p>
          <w:p w14:paraId="69F08464" w14:textId="77777777" w:rsidR="00FA7969" w:rsidRPr="004223D6" w:rsidRDefault="00FA7969" w:rsidP="00CE3440">
            <w:pPr>
              <w:jc w:val="both"/>
              <w:rPr>
                <w:rFonts w:cs="Arial"/>
                <w:szCs w:val="22"/>
                <w:lang w:val="sl-SI"/>
              </w:rPr>
            </w:pPr>
          </w:p>
          <w:p w14:paraId="0AB31CC6" w14:textId="77777777" w:rsidR="00FF10DB" w:rsidRPr="004223D6" w:rsidRDefault="00FF10DB" w:rsidP="00CE3440">
            <w:pPr>
              <w:jc w:val="both"/>
              <w:rPr>
                <w:rFonts w:cs="Arial"/>
                <w:szCs w:val="22"/>
                <w:lang w:val="sl-SI"/>
              </w:rPr>
            </w:pPr>
          </w:p>
          <w:p w14:paraId="4B13F0E8" w14:textId="4833EA5F" w:rsidR="00FA7969" w:rsidRPr="004223D6" w:rsidRDefault="00FA7969" w:rsidP="00CE3440">
            <w:pPr>
              <w:jc w:val="both"/>
              <w:rPr>
                <w:rFonts w:cs="Arial"/>
                <w:szCs w:val="22"/>
                <w:lang w:val="sl-SI"/>
              </w:rPr>
            </w:pPr>
            <w:r w:rsidRPr="004223D6">
              <w:rPr>
                <w:rFonts w:cs="Arial"/>
                <w:szCs w:val="22"/>
                <w:lang w:val="sl-SI"/>
              </w:rPr>
              <w:t>067</w:t>
            </w:r>
          </w:p>
          <w:p w14:paraId="570DC26E" w14:textId="77777777" w:rsidR="00FA7969" w:rsidRPr="004223D6" w:rsidRDefault="00FA7969" w:rsidP="00CE3440">
            <w:pPr>
              <w:jc w:val="both"/>
              <w:rPr>
                <w:rFonts w:cs="Arial"/>
                <w:szCs w:val="22"/>
                <w:lang w:val="sl-SI"/>
              </w:rPr>
            </w:pPr>
          </w:p>
          <w:p w14:paraId="45E8E11C" w14:textId="77777777" w:rsidR="00FA7969" w:rsidRPr="004223D6" w:rsidRDefault="00FA7969" w:rsidP="00CE3440">
            <w:pPr>
              <w:jc w:val="both"/>
              <w:rPr>
                <w:rFonts w:cs="Arial"/>
                <w:szCs w:val="22"/>
                <w:lang w:val="sl-SI"/>
              </w:rPr>
            </w:pPr>
          </w:p>
          <w:p w14:paraId="1210BF46" w14:textId="77777777" w:rsidR="00FA7969" w:rsidRPr="004223D6" w:rsidRDefault="00FA7969" w:rsidP="00CE3440">
            <w:pPr>
              <w:jc w:val="both"/>
              <w:rPr>
                <w:rFonts w:cs="Arial"/>
                <w:szCs w:val="22"/>
                <w:lang w:val="sl-SI"/>
              </w:rPr>
            </w:pPr>
            <w:r w:rsidRPr="004223D6">
              <w:rPr>
                <w:rFonts w:cs="Arial"/>
                <w:szCs w:val="22"/>
                <w:lang w:val="sl-SI"/>
              </w:rPr>
              <w:t>068</w:t>
            </w:r>
          </w:p>
          <w:p w14:paraId="27869A93" w14:textId="77777777" w:rsidR="00FA7969" w:rsidRPr="004223D6" w:rsidRDefault="00FA7969" w:rsidP="00CE3440">
            <w:pPr>
              <w:jc w:val="both"/>
              <w:rPr>
                <w:rFonts w:cs="Arial"/>
                <w:szCs w:val="22"/>
                <w:lang w:val="sl-SI"/>
              </w:rPr>
            </w:pPr>
          </w:p>
          <w:p w14:paraId="71E4D171" w14:textId="77777777" w:rsidR="00FA7969" w:rsidRPr="004223D6" w:rsidRDefault="00FA7969" w:rsidP="00CE3440">
            <w:pPr>
              <w:jc w:val="both"/>
              <w:rPr>
                <w:rFonts w:cs="Arial"/>
                <w:szCs w:val="22"/>
                <w:lang w:val="sl-SI"/>
              </w:rPr>
            </w:pPr>
          </w:p>
          <w:p w14:paraId="7243C64C" w14:textId="77777777" w:rsidR="00FA7969" w:rsidRPr="004223D6" w:rsidRDefault="00FA7969" w:rsidP="00CE3440">
            <w:pPr>
              <w:jc w:val="both"/>
              <w:rPr>
                <w:rFonts w:cs="Arial"/>
                <w:szCs w:val="22"/>
                <w:lang w:val="sl-SI"/>
              </w:rPr>
            </w:pPr>
            <w:r w:rsidRPr="004223D6">
              <w:rPr>
                <w:rFonts w:cs="Arial"/>
                <w:szCs w:val="22"/>
                <w:lang w:val="sl-SI"/>
              </w:rPr>
              <w:t>073</w:t>
            </w:r>
          </w:p>
        </w:tc>
        <w:tc>
          <w:tcPr>
            <w:tcW w:w="5990" w:type="dxa"/>
          </w:tcPr>
          <w:p w14:paraId="2D1B4154" w14:textId="77777777" w:rsidR="00FA7969" w:rsidRPr="004223D6" w:rsidRDefault="00FA7969" w:rsidP="00CE3440">
            <w:pPr>
              <w:jc w:val="both"/>
              <w:rPr>
                <w:rFonts w:cs="Arial"/>
                <w:szCs w:val="22"/>
                <w:lang w:val="sl-SI"/>
              </w:rPr>
            </w:pPr>
            <w:r w:rsidRPr="004223D6">
              <w:rPr>
                <w:rFonts w:cs="Arial"/>
                <w:szCs w:val="22"/>
                <w:lang w:val="sl-SI"/>
              </w:rPr>
              <w:t>Generične produktivne naložbe v mala in srednja podjetja (MSP)</w:t>
            </w:r>
          </w:p>
          <w:p w14:paraId="09A606C4" w14:textId="77777777" w:rsidR="00FA7969" w:rsidRPr="004223D6" w:rsidRDefault="00FA7969" w:rsidP="00CE3440">
            <w:pPr>
              <w:jc w:val="both"/>
              <w:rPr>
                <w:rFonts w:cs="Arial"/>
                <w:szCs w:val="22"/>
                <w:lang w:val="sl-SI"/>
              </w:rPr>
            </w:pPr>
          </w:p>
          <w:p w14:paraId="415E391D" w14:textId="77777777" w:rsidR="00FA7969" w:rsidRPr="004223D6" w:rsidRDefault="00FA7969" w:rsidP="00CE3440">
            <w:pPr>
              <w:jc w:val="both"/>
              <w:rPr>
                <w:rFonts w:cs="Arial"/>
                <w:szCs w:val="22"/>
                <w:lang w:val="sl-SI"/>
              </w:rPr>
            </w:pPr>
            <w:r w:rsidRPr="004223D6">
              <w:rPr>
                <w:rFonts w:cs="Arial"/>
                <w:szCs w:val="22"/>
                <w:lang w:val="sl-SI"/>
              </w:rPr>
              <w:t xml:space="preserve">Razvoj MSP, podpora podjetništvu in inkubatorjem (vključno s podporo „spin </w:t>
            </w:r>
            <w:proofErr w:type="spellStart"/>
            <w:r w:rsidRPr="004223D6">
              <w:rPr>
                <w:rFonts w:cs="Arial"/>
                <w:szCs w:val="22"/>
                <w:lang w:val="sl-SI"/>
              </w:rPr>
              <w:t>off</w:t>
            </w:r>
            <w:proofErr w:type="spellEnd"/>
            <w:r w:rsidRPr="004223D6">
              <w:rPr>
                <w:rFonts w:cs="Arial"/>
                <w:szCs w:val="22"/>
                <w:lang w:val="sl-SI"/>
              </w:rPr>
              <w:t xml:space="preserve">“ in „spin </w:t>
            </w:r>
            <w:proofErr w:type="spellStart"/>
            <w:r w:rsidRPr="004223D6">
              <w:rPr>
                <w:rFonts w:cs="Arial"/>
                <w:szCs w:val="22"/>
                <w:lang w:val="sl-SI"/>
              </w:rPr>
              <w:t>out</w:t>
            </w:r>
            <w:proofErr w:type="spellEnd"/>
            <w:r w:rsidRPr="004223D6">
              <w:rPr>
                <w:rFonts w:cs="Arial"/>
                <w:szCs w:val="22"/>
                <w:lang w:val="sl-SI"/>
              </w:rPr>
              <w:t>“ podjetjem)</w:t>
            </w:r>
          </w:p>
          <w:p w14:paraId="56C1D1F2" w14:textId="77777777" w:rsidR="00FA7969" w:rsidRPr="004223D6" w:rsidRDefault="00FA7969" w:rsidP="00CE3440">
            <w:pPr>
              <w:jc w:val="both"/>
              <w:rPr>
                <w:rFonts w:cs="Arial"/>
                <w:szCs w:val="22"/>
                <w:lang w:val="sl-SI"/>
              </w:rPr>
            </w:pPr>
          </w:p>
          <w:p w14:paraId="64A00488" w14:textId="77777777" w:rsidR="00FA7969" w:rsidRPr="004223D6" w:rsidRDefault="00FA7969" w:rsidP="00CE3440">
            <w:pPr>
              <w:jc w:val="both"/>
              <w:rPr>
                <w:rFonts w:cs="Arial"/>
                <w:szCs w:val="22"/>
                <w:lang w:val="sl-SI"/>
              </w:rPr>
            </w:pPr>
            <w:r w:rsidRPr="004223D6">
              <w:rPr>
                <w:rFonts w:cs="Arial"/>
                <w:szCs w:val="22"/>
                <w:lang w:val="sl-SI"/>
              </w:rPr>
              <w:t>Energetska učinkovitost in predstavitveni projekti v MSP ter podporni ukrepi</w:t>
            </w:r>
          </w:p>
          <w:p w14:paraId="69DACA84" w14:textId="77777777" w:rsidR="00FA7969" w:rsidRPr="004223D6" w:rsidRDefault="00FA7969" w:rsidP="00CE3440">
            <w:pPr>
              <w:jc w:val="both"/>
              <w:rPr>
                <w:rFonts w:cs="Arial"/>
                <w:szCs w:val="22"/>
                <w:lang w:val="sl-SI"/>
              </w:rPr>
            </w:pPr>
          </w:p>
          <w:p w14:paraId="0998267D" w14:textId="77777777" w:rsidR="00FA7969" w:rsidRPr="004223D6" w:rsidRDefault="00FA7969" w:rsidP="00CE3440">
            <w:pPr>
              <w:jc w:val="both"/>
              <w:rPr>
                <w:rFonts w:cs="Arial"/>
                <w:szCs w:val="22"/>
                <w:lang w:val="sl-SI"/>
              </w:rPr>
            </w:pPr>
            <w:r w:rsidRPr="004223D6">
              <w:rPr>
                <w:rFonts w:cs="Arial"/>
                <w:szCs w:val="22"/>
                <w:lang w:val="sl-SI"/>
              </w:rPr>
              <w:t>Podpora socialnim podjetjem (MSP)</w:t>
            </w:r>
          </w:p>
        </w:tc>
      </w:tr>
      <w:tr w:rsidR="00FA7969" w:rsidRPr="004223D6" w14:paraId="71CD8D9E" w14:textId="77777777" w:rsidTr="00B524FD">
        <w:tc>
          <w:tcPr>
            <w:tcW w:w="1427" w:type="dxa"/>
          </w:tcPr>
          <w:p w14:paraId="55CAE9A3" w14:textId="77777777" w:rsidR="00FA7969" w:rsidRPr="004223D6" w:rsidRDefault="00FA7969" w:rsidP="00CE3440">
            <w:pPr>
              <w:jc w:val="both"/>
              <w:rPr>
                <w:rFonts w:cs="Arial"/>
                <w:szCs w:val="22"/>
                <w:lang w:val="sl-SI"/>
              </w:rPr>
            </w:pPr>
            <w:r w:rsidRPr="004223D6">
              <w:rPr>
                <w:rFonts w:cs="Arial"/>
                <w:szCs w:val="22"/>
                <w:lang w:val="sl-SI"/>
              </w:rPr>
              <w:t>4.1</w:t>
            </w:r>
          </w:p>
        </w:tc>
        <w:tc>
          <w:tcPr>
            <w:tcW w:w="1648" w:type="dxa"/>
          </w:tcPr>
          <w:p w14:paraId="6471F472" w14:textId="77777777" w:rsidR="00FA7969" w:rsidRPr="004223D6" w:rsidRDefault="00FA7969" w:rsidP="00CE3440">
            <w:pPr>
              <w:jc w:val="both"/>
              <w:rPr>
                <w:rFonts w:cs="Arial"/>
                <w:szCs w:val="22"/>
                <w:lang w:val="sl-SI"/>
              </w:rPr>
            </w:pPr>
            <w:r w:rsidRPr="004223D6">
              <w:rPr>
                <w:rFonts w:cs="Arial"/>
                <w:szCs w:val="22"/>
                <w:lang w:val="sl-SI"/>
              </w:rPr>
              <w:t>013</w:t>
            </w:r>
          </w:p>
        </w:tc>
        <w:tc>
          <w:tcPr>
            <w:tcW w:w="5990" w:type="dxa"/>
          </w:tcPr>
          <w:p w14:paraId="02BB9847" w14:textId="77777777" w:rsidR="00FA7969" w:rsidRPr="004223D6" w:rsidRDefault="00FA7969" w:rsidP="00CE3440">
            <w:pPr>
              <w:jc w:val="both"/>
              <w:rPr>
                <w:rFonts w:cs="Arial"/>
                <w:szCs w:val="22"/>
                <w:lang w:val="sl-SI"/>
              </w:rPr>
            </w:pPr>
            <w:r w:rsidRPr="004223D6">
              <w:rPr>
                <w:rFonts w:cs="Arial"/>
                <w:szCs w:val="22"/>
                <w:lang w:val="sl-SI"/>
              </w:rPr>
              <w:t>Prenova javne infrastrukture za večjo energetsko učinkovitost, predstavitveni projekti in podporni ukrepi</w:t>
            </w:r>
          </w:p>
        </w:tc>
      </w:tr>
      <w:tr w:rsidR="00FA7969" w:rsidRPr="004223D6" w14:paraId="777F7B2C" w14:textId="77777777" w:rsidTr="00B524FD">
        <w:tc>
          <w:tcPr>
            <w:tcW w:w="1427" w:type="dxa"/>
          </w:tcPr>
          <w:p w14:paraId="75BEDE95" w14:textId="77777777" w:rsidR="00FA7969" w:rsidRPr="004223D6" w:rsidRDefault="00FA7969" w:rsidP="00CE3440">
            <w:pPr>
              <w:jc w:val="both"/>
              <w:rPr>
                <w:rFonts w:cs="Arial"/>
                <w:szCs w:val="22"/>
                <w:lang w:val="sl-SI"/>
              </w:rPr>
            </w:pPr>
            <w:r w:rsidRPr="004223D6">
              <w:rPr>
                <w:rFonts w:cs="Arial"/>
                <w:szCs w:val="22"/>
                <w:lang w:val="sl-SI"/>
              </w:rPr>
              <w:t>6.3</w:t>
            </w:r>
          </w:p>
        </w:tc>
        <w:tc>
          <w:tcPr>
            <w:tcW w:w="1648" w:type="dxa"/>
          </w:tcPr>
          <w:p w14:paraId="366DF889" w14:textId="166D54B8" w:rsidR="00FA7969" w:rsidRPr="004223D6" w:rsidRDefault="004D4C9A" w:rsidP="00CE3440">
            <w:pPr>
              <w:jc w:val="both"/>
              <w:rPr>
                <w:rFonts w:cs="Arial"/>
                <w:szCs w:val="22"/>
                <w:lang w:val="sl-SI"/>
              </w:rPr>
            </w:pPr>
            <w:r w:rsidRPr="004223D6">
              <w:rPr>
                <w:rFonts w:cs="Arial"/>
                <w:szCs w:val="22"/>
                <w:lang w:val="sl-SI"/>
              </w:rPr>
              <w:t>055</w:t>
            </w:r>
          </w:p>
          <w:p w14:paraId="33E463BB" w14:textId="77777777" w:rsidR="00FA7969" w:rsidRPr="004223D6" w:rsidRDefault="00FA7969" w:rsidP="00CE3440">
            <w:pPr>
              <w:jc w:val="both"/>
              <w:rPr>
                <w:rFonts w:cs="Arial"/>
                <w:szCs w:val="22"/>
                <w:lang w:val="sl-SI"/>
              </w:rPr>
            </w:pPr>
          </w:p>
          <w:p w14:paraId="5BD2CD1B" w14:textId="77777777" w:rsidR="00FA7969" w:rsidRPr="004223D6" w:rsidRDefault="00FA7969" w:rsidP="00CE3440">
            <w:pPr>
              <w:jc w:val="both"/>
              <w:rPr>
                <w:rFonts w:cs="Arial"/>
                <w:szCs w:val="22"/>
                <w:lang w:val="sl-SI"/>
              </w:rPr>
            </w:pPr>
            <w:r w:rsidRPr="004223D6">
              <w:rPr>
                <w:rFonts w:cs="Arial"/>
                <w:szCs w:val="22"/>
                <w:lang w:val="sl-SI"/>
              </w:rPr>
              <w:t>089</w:t>
            </w:r>
          </w:p>
          <w:p w14:paraId="41136C49" w14:textId="77777777" w:rsidR="00FA7969" w:rsidRPr="004223D6" w:rsidRDefault="00FA7969" w:rsidP="00CE3440">
            <w:pPr>
              <w:jc w:val="both"/>
              <w:rPr>
                <w:rFonts w:cs="Arial"/>
                <w:szCs w:val="22"/>
                <w:lang w:val="sl-SI"/>
              </w:rPr>
            </w:pPr>
          </w:p>
          <w:p w14:paraId="581AFDC7" w14:textId="77777777" w:rsidR="004D4C9A" w:rsidRPr="004223D6" w:rsidRDefault="004D4C9A" w:rsidP="00CE3440">
            <w:pPr>
              <w:jc w:val="both"/>
              <w:rPr>
                <w:rFonts w:cs="Arial"/>
                <w:szCs w:val="22"/>
                <w:lang w:val="sl-SI"/>
              </w:rPr>
            </w:pPr>
          </w:p>
          <w:p w14:paraId="3B2F308E" w14:textId="77777777" w:rsidR="004D4C9A" w:rsidRPr="004223D6" w:rsidRDefault="004D4C9A" w:rsidP="00CE3440">
            <w:pPr>
              <w:jc w:val="both"/>
              <w:rPr>
                <w:rFonts w:cs="Arial"/>
                <w:szCs w:val="22"/>
                <w:lang w:val="sl-SI"/>
              </w:rPr>
            </w:pPr>
          </w:p>
          <w:p w14:paraId="212E0071" w14:textId="4B98ACEF" w:rsidR="00FA7969" w:rsidRPr="004223D6" w:rsidRDefault="00FA7969" w:rsidP="00CE3440">
            <w:pPr>
              <w:jc w:val="both"/>
              <w:rPr>
                <w:rFonts w:cs="Arial"/>
                <w:szCs w:val="22"/>
                <w:lang w:val="sl-SI"/>
              </w:rPr>
            </w:pPr>
            <w:r w:rsidRPr="004223D6">
              <w:rPr>
                <w:rFonts w:cs="Arial"/>
                <w:szCs w:val="22"/>
                <w:lang w:val="sl-SI"/>
              </w:rPr>
              <w:t>094</w:t>
            </w:r>
          </w:p>
        </w:tc>
        <w:tc>
          <w:tcPr>
            <w:tcW w:w="5990" w:type="dxa"/>
          </w:tcPr>
          <w:p w14:paraId="1D9EC198" w14:textId="61341DC4" w:rsidR="004D4C9A" w:rsidRPr="004223D6" w:rsidRDefault="004D4C9A" w:rsidP="00CE3440">
            <w:pPr>
              <w:jc w:val="both"/>
              <w:rPr>
                <w:rFonts w:cs="Arial"/>
                <w:szCs w:val="22"/>
                <w:lang w:val="sl-SI"/>
              </w:rPr>
            </w:pPr>
            <w:r w:rsidRPr="004223D6">
              <w:rPr>
                <w:rFonts w:cs="Arial"/>
                <w:szCs w:val="22"/>
                <w:lang w:val="sl-SI"/>
              </w:rPr>
              <w:t>Druga socialna infrastruktura, ki prispeva k regionalnemu in lokalnemu razvoju</w:t>
            </w:r>
          </w:p>
          <w:p w14:paraId="342BDFAE" w14:textId="77777777" w:rsidR="004D4C9A" w:rsidRPr="004223D6" w:rsidRDefault="004D4C9A" w:rsidP="00CE3440">
            <w:pPr>
              <w:jc w:val="both"/>
              <w:rPr>
                <w:rFonts w:cs="Arial"/>
                <w:szCs w:val="22"/>
                <w:lang w:val="sl-SI"/>
              </w:rPr>
            </w:pPr>
          </w:p>
          <w:p w14:paraId="7A527B86" w14:textId="5DAC404E" w:rsidR="00FA7969" w:rsidRPr="004223D6" w:rsidRDefault="00FA7969" w:rsidP="00CE3440">
            <w:pPr>
              <w:jc w:val="both"/>
              <w:rPr>
                <w:rFonts w:cs="Arial"/>
                <w:szCs w:val="22"/>
                <w:lang w:val="sl-SI"/>
              </w:rPr>
            </w:pPr>
            <w:r w:rsidRPr="004223D6">
              <w:rPr>
                <w:rFonts w:cs="Arial"/>
                <w:szCs w:val="22"/>
                <w:lang w:val="sl-SI"/>
              </w:rPr>
              <w:t>Sanacija industrijskih območij in kontaminiranih zemljišč</w:t>
            </w:r>
          </w:p>
          <w:p w14:paraId="4959CD66" w14:textId="77777777" w:rsidR="00FA7969" w:rsidRPr="004223D6" w:rsidRDefault="00FA7969" w:rsidP="00CE3440">
            <w:pPr>
              <w:jc w:val="both"/>
              <w:rPr>
                <w:rFonts w:cs="Arial"/>
                <w:szCs w:val="22"/>
                <w:lang w:val="sl-SI"/>
              </w:rPr>
            </w:pPr>
          </w:p>
          <w:p w14:paraId="15299680" w14:textId="77777777" w:rsidR="00FA7969" w:rsidRPr="004223D6" w:rsidRDefault="00FA7969" w:rsidP="00CE3440">
            <w:pPr>
              <w:jc w:val="both"/>
              <w:rPr>
                <w:rFonts w:cs="Arial"/>
                <w:szCs w:val="22"/>
                <w:lang w:val="sl-SI"/>
              </w:rPr>
            </w:pPr>
            <w:r w:rsidRPr="004223D6">
              <w:rPr>
                <w:rFonts w:cs="Arial"/>
                <w:szCs w:val="22"/>
                <w:lang w:val="sl-SI"/>
              </w:rPr>
              <w:t>Varstvo, razvoj in spodbujanje javnega kulturnega bogastva in dediščine</w:t>
            </w:r>
          </w:p>
        </w:tc>
      </w:tr>
    </w:tbl>
    <w:p w14:paraId="70A53C8B" w14:textId="77777777" w:rsidR="00FA7969" w:rsidRPr="004223D6" w:rsidRDefault="00FA7969" w:rsidP="00CE3440">
      <w:pPr>
        <w:jc w:val="both"/>
        <w:rPr>
          <w:rFonts w:cs="Arial"/>
          <w:szCs w:val="22"/>
          <w:lang w:val="sl-SI"/>
        </w:rPr>
      </w:pPr>
    </w:p>
    <w:p w14:paraId="0E10A08D" w14:textId="0389E360" w:rsidR="00FA7969" w:rsidRPr="004223D6" w:rsidRDefault="00FA7969" w:rsidP="00CE3440">
      <w:pPr>
        <w:jc w:val="both"/>
        <w:rPr>
          <w:rFonts w:cs="Arial"/>
          <w:szCs w:val="22"/>
          <w:lang w:val="sl-SI"/>
        </w:rPr>
      </w:pPr>
      <w:r w:rsidRPr="004223D6">
        <w:rPr>
          <w:rFonts w:cs="Arial"/>
          <w:szCs w:val="22"/>
          <w:lang w:val="sl-SI"/>
        </w:rPr>
        <w:t>Finančni načrt prispevkov k ukrepom programa po o</w:t>
      </w:r>
      <w:r w:rsidR="00667628" w:rsidRPr="004223D6">
        <w:rPr>
          <w:rFonts w:cs="Arial"/>
          <w:szCs w:val="22"/>
          <w:lang w:val="sl-SI"/>
        </w:rPr>
        <w:t>blikah financiranja je prikazan</w:t>
      </w:r>
      <w:r w:rsidRPr="004223D6">
        <w:rPr>
          <w:rFonts w:cs="Arial"/>
          <w:szCs w:val="22"/>
          <w:lang w:val="sl-SI"/>
        </w:rPr>
        <w:t xml:space="preserve"> v zbirni preglednici priloge št. 2.</w:t>
      </w:r>
    </w:p>
    <w:p w14:paraId="4814EDB3" w14:textId="449B4E9E" w:rsidR="001C320C" w:rsidRPr="004223D6" w:rsidRDefault="001C320C" w:rsidP="00CE3440">
      <w:pPr>
        <w:jc w:val="both"/>
        <w:rPr>
          <w:rFonts w:cs="Arial"/>
          <w:szCs w:val="22"/>
          <w:lang w:val="sl-SI"/>
        </w:rPr>
      </w:pPr>
    </w:p>
    <w:p w14:paraId="2EEC0509" w14:textId="77777777" w:rsidR="00FA7969" w:rsidRPr="004223D6" w:rsidRDefault="00FA7969" w:rsidP="00CE3440">
      <w:pPr>
        <w:jc w:val="both"/>
        <w:rPr>
          <w:rFonts w:eastAsiaTheme="majorEastAsia" w:cs="Arial"/>
          <w:b/>
          <w:szCs w:val="22"/>
          <w:lang w:val="sl-SI"/>
        </w:rPr>
      </w:pPr>
    </w:p>
    <w:p w14:paraId="2F89EC82" w14:textId="77777777" w:rsidR="00FA7969" w:rsidRPr="004223D6" w:rsidRDefault="00FA7969" w:rsidP="00CE3440">
      <w:pPr>
        <w:pStyle w:val="Naslov3"/>
        <w:numPr>
          <w:ilvl w:val="2"/>
          <w:numId w:val="25"/>
        </w:numPr>
        <w:jc w:val="both"/>
        <w:rPr>
          <w:rFonts w:cs="Arial"/>
          <w:lang w:val="sl-SI"/>
        </w:rPr>
      </w:pPr>
      <w:r w:rsidRPr="004223D6">
        <w:rPr>
          <w:rFonts w:cs="Arial"/>
          <w:lang w:val="sl-SI"/>
        </w:rPr>
        <w:lastRenderedPageBreak/>
        <w:t>Raziskave, razvoj in inovacije (prednostna naložba 1.2)</w:t>
      </w:r>
    </w:p>
    <w:p w14:paraId="59430095" w14:textId="77777777" w:rsidR="00FA7969" w:rsidRPr="004223D6" w:rsidRDefault="00FA7969" w:rsidP="00CE3440">
      <w:pPr>
        <w:jc w:val="both"/>
        <w:rPr>
          <w:rFonts w:cs="Arial"/>
          <w:lang w:val="sl-SI"/>
        </w:rPr>
      </w:pPr>
    </w:p>
    <w:p w14:paraId="7A7A274C" w14:textId="57347D2A" w:rsidR="00FA7969" w:rsidRPr="004223D6" w:rsidRDefault="00FA7969" w:rsidP="00CE3440">
      <w:pPr>
        <w:jc w:val="both"/>
        <w:rPr>
          <w:rFonts w:cs="Arial"/>
          <w:szCs w:val="22"/>
          <w:lang w:val="sl-SI"/>
        </w:rPr>
      </w:pPr>
      <w:r w:rsidRPr="004223D6">
        <w:rPr>
          <w:rFonts w:cs="Arial"/>
          <w:szCs w:val="22"/>
          <w:lang w:val="sl-SI"/>
        </w:rPr>
        <w:t>Učinkovitejše naložbe v RRI predvsem na področjih, na katerih obstaja povpraševanje na trgu, je ključen vzvod za uspešno razvojno prestrukturiranje gospodarstva. V gospodarstvu je še vedno nizek delež raziskovalcev. Zaostajanje v inovacijski dejavnosti zmanjšuje konkurenčnost izdelkov in storitev na zunanjih trgih ter pomeni nadaljnjo stagnacijo deleža izvoza viso</w:t>
      </w:r>
      <w:r w:rsidR="00667628" w:rsidRPr="004223D6">
        <w:rPr>
          <w:rFonts w:cs="Arial"/>
          <w:szCs w:val="22"/>
          <w:lang w:val="sl-SI"/>
        </w:rPr>
        <w:t>kotehnoloških izdelkov. V tekočem</w:t>
      </w:r>
      <w:r w:rsidRPr="004223D6">
        <w:rPr>
          <w:rFonts w:cs="Arial"/>
          <w:szCs w:val="22"/>
          <w:lang w:val="sl-SI"/>
        </w:rPr>
        <w:t xml:space="preserve"> programskem obdobju bomo pozornost namenili večji podpori inovacijsko-razvojnim procesom v gospodarstvu in razvoju tehnologij, procesov in izdelkov ter storitev s tržnim potencialom.</w:t>
      </w:r>
    </w:p>
    <w:p w14:paraId="3B428047" w14:textId="77777777" w:rsidR="00FA7969" w:rsidRPr="004223D6" w:rsidRDefault="00FA7969" w:rsidP="00CE3440">
      <w:pPr>
        <w:jc w:val="both"/>
        <w:rPr>
          <w:rFonts w:cs="Arial"/>
          <w:szCs w:val="22"/>
          <w:lang w:val="sl-SI"/>
        </w:rPr>
      </w:pPr>
    </w:p>
    <w:p w14:paraId="013FEC67" w14:textId="77777777" w:rsidR="00FA7969" w:rsidRPr="004223D6" w:rsidRDefault="00FA7969" w:rsidP="00CE3440">
      <w:pPr>
        <w:jc w:val="both"/>
        <w:rPr>
          <w:rFonts w:cs="Arial"/>
          <w:szCs w:val="22"/>
          <w:lang w:val="sl-SI"/>
        </w:rPr>
      </w:pPr>
      <w:r w:rsidRPr="004223D6">
        <w:rPr>
          <w:rFonts w:cs="Arial"/>
          <w:szCs w:val="22"/>
          <w:lang w:val="sl-SI"/>
        </w:rPr>
        <w:t>Cilj povečanja deleža inovacijsko dejavnih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ter jih spodbujal k razvoju novih izdelkov in storitev ter iskanju sinergij med le-temi.</w:t>
      </w:r>
    </w:p>
    <w:p w14:paraId="0C5CDF46" w14:textId="77777777" w:rsidR="00FA7969" w:rsidRPr="004223D6" w:rsidRDefault="00FA7969" w:rsidP="00CE3440">
      <w:pPr>
        <w:jc w:val="both"/>
        <w:rPr>
          <w:rFonts w:cs="Arial"/>
          <w:szCs w:val="22"/>
          <w:lang w:val="sl-SI"/>
        </w:rPr>
      </w:pPr>
    </w:p>
    <w:p w14:paraId="61EE2837" w14:textId="740094B7" w:rsidR="00FA7969" w:rsidRPr="004223D6" w:rsidRDefault="00667628" w:rsidP="002D7575">
      <w:pPr>
        <w:spacing w:after="240"/>
        <w:jc w:val="both"/>
        <w:rPr>
          <w:rFonts w:cs="Arial"/>
          <w:szCs w:val="22"/>
          <w:lang w:val="sl-SI"/>
        </w:rPr>
      </w:pPr>
      <w:r w:rsidRPr="004223D6">
        <w:rPr>
          <w:rFonts w:cs="Arial"/>
          <w:szCs w:val="22"/>
          <w:lang w:val="sl-SI"/>
        </w:rPr>
        <w:t>Prikaz načrta prispev</w:t>
      </w:r>
      <w:r w:rsidR="00FA7969" w:rsidRPr="004223D6">
        <w:rPr>
          <w:rFonts w:cs="Arial"/>
          <w:szCs w:val="22"/>
          <w:lang w:val="sl-SI"/>
        </w:rPr>
        <w:t>k</w:t>
      </w:r>
      <w:r w:rsidRPr="004223D6">
        <w:rPr>
          <w:rFonts w:cs="Arial"/>
          <w:szCs w:val="22"/>
          <w:lang w:val="sl-SI"/>
        </w:rPr>
        <w:t>a</w:t>
      </w:r>
      <w:r w:rsidR="00FA7969" w:rsidRPr="004223D6">
        <w:rPr>
          <w:rFonts w:cs="Arial"/>
          <w:szCs w:val="22"/>
          <w:lang w:val="sl-SI"/>
        </w:rPr>
        <w:t xml:space="preserve"> k ukrepu </w:t>
      </w:r>
      <w:r w:rsidRPr="004223D6">
        <w:rPr>
          <w:rFonts w:cs="Arial"/>
          <w:szCs w:val="22"/>
          <w:lang w:val="sl-SI"/>
        </w:rPr>
        <w:t xml:space="preserve">operativnega </w:t>
      </w:r>
      <w:r w:rsidR="00FA7969" w:rsidRPr="004223D6">
        <w:rPr>
          <w:rFonts w:cs="Arial"/>
          <w:szCs w:val="22"/>
          <w:lang w:val="sl-SI"/>
        </w:rPr>
        <w:t>programa glede na obliko financiranja</w:t>
      </w:r>
      <w:r w:rsidR="002D7575">
        <w:rPr>
          <w:rFonts w:cs="Arial"/>
          <w:szCs w:val="22"/>
          <w:lang w:val="sl-SI"/>
        </w:rPr>
        <w:t xml:space="preserve"> (v EUR)</w:t>
      </w:r>
      <w:r w:rsidR="00FA7969" w:rsidRPr="004223D6">
        <w:rPr>
          <w:rFonts w:cs="Arial"/>
          <w:szCs w:val="22"/>
          <w:lang w:val="sl-SI"/>
        </w:rPr>
        <w:t>:</w:t>
      </w:r>
    </w:p>
    <w:tbl>
      <w:tblPr>
        <w:tblpPr w:leftFromText="141" w:rightFromText="141" w:vertAnchor="text" w:tblpXSpec="center" w:tblpY="1"/>
        <w:tblOverlap w:val="never"/>
        <w:tblW w:w="5011" w:type="pct"/>
        <w:jc w:val="center"/>
        <w:tblCellMar>
          <w:left w:w="70" w:type="dxa"/>
          <w:right w:w="70" w:type="dxa"/>
        </w:tblCellMar>
        <w:tblLook w:val="04A0" w:firstRow="1" w:lastRow="0" w:firstColumn="1" w:lastColumn="0" w:noHBand="0" w:noVBand="1"/>
      </w:tblPr>
      <w:tblGrid>
        <w:gridCol w:w="1580"/>
        <w:gridCol w:w="1585"/>
        <w:gridCol w:w="2161"/>
        <w:gridCol w:w="2018"/>
        <w:gridCol w:w="1881"/>
      </w:tblGrid>
      <w:tr w:rsidR="00FA7969" w:rsidRPr="002D7575" w14:paraId="03263444" w14:textId="77777777" w:rsidTr="002D7575">
        <w:trPr>
          <w:trHeight w:val="268"/>
          <w:jc w:val="center"/>
        </w:trPr>
        <w:tc>
          <w:tcPr>
            <w:tcW w:w="1580" w:type="dxa"/>
            <w:tcBorders>
              <w:top w:val="single" w:sz="4" w:space="0" w:color="000000"/>
              <w:left w:val="single" w:sz="4" w:space="0" w:color="auto"/>
              <w:bottom w:val="nil"/>
              <w:right w:val="nil"/>
            </w:tcBorders>
            <w:shd w:val="clear" w:color="auto" w:fill="auto"/>
            <w:hideMark/>
          </w:tcPr>
          <w:p w14:paraId="0889BCA2"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1585" w:type="dxa"/>
            <w:tcBorders>
              <w:top w:val="single" w:sz="4" w:space="0" w:color="000000"/>
              <w:left w:val="single" w:sz="4" w:space="0" w:color="auto"/>
              <w:bottom w:val="nil"/>
              <w:right w:val="nil"/>
            </w:tcBorders>
            <w:shd w:val="clear" w:color="auto" w:fill="auto"/>
            <w:hideMark/>
          </w:tcPr>
          <w:p w14:paraId="27164B33"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2161" w:type="dxa"/>
            <w:tcBorders>
              <w:top w:val="single" w:sz="4" w:space="0" w:color="000000"/>
              <w:left w:val="single" w:sz="4" w:space="0" w:color="auto"/>
              <w:bottom w:val="nil"/>
              <w:right w:val="nil"/>
            </w:tcBorders>
            <w:shd w:val="clear" w:color="auto" w:fill="auto"/>
            <w:hideMark/>
          </w:tcPr>
          <w:p w14:paraId="1D4FADC9"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2018" w:type="dxa"/>
            <w:tcBorders>
              <w:top w:val="single" w:sz="4" w:space="0" w:color="000000"/>
              <w:left w:val="single" w:sz="4" w:space="0" w:color="auto"/>
              <w:bottom w:val="nil"/>
              <w:right w:val="nil"/>
            </w:tcBorders>
            <w:shd w:val="clear" w:color="auto" w:fill="auto"/>
            <w:hideMark/>
          </w:tcPr>
          <w:p w14:paraId="14CAABB9"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881" w:type="dxa"/>
            <w:tcBorders>
              <w:top w:val="single" w:sz="4" w:space="0" w:color="000000"/>
              <w:left w:val="single" w:sz="4" w:space="0" w:color="auto"/>
              <w:bottom w:val="nil"/>
              <w:right w:val="single" w:sz="4" w:space="0" w:color="auto"/>
            </w:tcBorders>
            <w:shd w:val="clear" w:color="auto" w:fill="auto"/>
            <w:hideMark/>
          </w:tcPr>
          <w:p w14:paraId="3E2A986C" w14:textId="77777777" w:rsidR="00FA7969" w:rsidRPr="002D7575" w:rsidRDefault="00FA7969" w:rsidP="002D7575">
            <w:pPr>
              <w:jc w:val="center"/>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4341F724"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6BAFBDB0" w14:textId="77777777" w:rsidR="00FA7969" w:rsidRPr="002D7575" w:rsidRDefault="00FA7969" w:rsidP="002D7575">
            <w:pPr>
              <w:jc w:val="both"/>
              <w:rPr>
                <w:rFonts w:cs="Arial"/>
                <w:sz w:val="16"/>
                <w:szCs w:val="16"/>
                <w:lang w:val="sl-SI"/>
              </w:rPr>
            </w:pPr>
            <w:r w:rsidRPr="002D7575">
              <w:rPr>
                <w:rFonts w:cs="Arial"/>
                <w:sz w:val="16"/>
                <w:szCs w:val="16"/>
                <w:lang w:val="sl-SI"/>
              </w:rPr>
              <w:t>056</w:t>
            </w:r>
          </w:p>
        </w:tc>
        <w:tc>
          <w:tcPr>
            <w:tcW w:w="1585" w:type="dxa"/>
            <w:vMerge w:val="restart"/>
            <w:tcBorders>
              <w:top w:val="single" w:sz="4" w:space="0" w:color="auto"/>
              <w:left w:val="single" w:sz="4" w:space="0" w:color="auto"/>
              <w:right w:val="nil"/>
            </w:tcBorders>
            <w:shd w:val="clear" w:color="auto" w:fill="auto"/>
            <w:noWrap/>
            <w:vAlign w:val="center"/>
            <w:hideMark/>
          </w:tcPr>
          <w:p w14:paraId="500CF07D"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2161" w:type="dxa"/>
            <w:tcBorders>
              <w:top w:val="single" w:sz="4" w:space="0" w:color="auto"/>
              <w:left w:val="single" w:sz="4" w:space="0" w:color="auto"/>
              <w:bottom w:val="nil"/>
              <w:right w:val="nil"/>
            </w:tcBorders>
            <w:shd w:val="clear" w:color="auto" w:fill="auto"/>
            <w:noWrap/>
            <w:vAlign w:val="center"/>
            <w:hideMark/>
          </w:tcPr>
          <w:p w14:paraId="1B72DD61" w14:textId="77777777" w:rsidR="00FA7969" w:rsidRPr="002D7575" w:rsidRDefault="00FA7969" w:rsidP="002D7575">
            <w:pPr>
              <w:jc w:val="right"/>
              <w:rPr>
                <w:rFonts w:cs="Arial"/>
                <w:sz w:val="16"/>
                <w:szCs w:val="16"/>
                <w:lang w:val="sl-SI"/>
              </w:rPr>
            </w:pPr>
            <w:r w:rsidRPr="002D7575">
              <w:rPr>
                <w:rFonts w:cs="Arial"/>
                <w:sz w:val="16"/>
                <w:szCs w:val="16"/>
                <w:lang w:val="sl-SI"/>
              </w:rPr>
              <w:t>11.000.000,00</w:t>
            </w:r>
          </w:p>
        </w:tc>
        <w:tc>
          <w:tcPr>
            <w:tcW w:w="2018" w:type="dxa"/>
            <w:tcBorders>
              <w:top w:val="single" w:sz="4" w:space="0" w:color="auto"/>
              <w:left w:val="single" w:sz="4" w:space="0" w:color="auto"/>
              <w:bottom w:val="nil"/>
              <w:right w:val="nil"/>
            </w:tcBorders>
            <w:shd w:val="clear" w:color="auto" w:fill="auto"/>
            <w:noWrap/>
            <w:vAlign w:val="center"/>
            <w:hideMark/>
          </w:tcPr>
          <w:p w14:paraId="20A39048" w14:textId="77777777" w:rsidR="00FA7969" w:rsidRPr="002D7575" w:rsidRDefault="00FA7969" w:rsidP="002D7575">
            <w:pPr>
              <w:jc w:val="right"/>
              <w:rPr>
                <w:rFonts w:cs="Arial"/>
                <w:sz w:val="16"/>
                <w:szCs w:val="16"/>
                <w:lang w:val="sl-SI"/>
              </w:rPr>
            </w:pPr>
            <w:r w:rsidRPr="002D7575">
              <w:rPr>
                <w:rFonts w:cs="Arial"/>
                <w:sz w:val="16"/>
                <w:szCs w:val="16"/>
                <w:lang w:val="sl-SI"/>
              </w:rPr>
              <w:t>17.000.000,00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3DE2DCEB" w14:textId="77777777" w:rsidR="00FA7969" w:rsidRPr="002D7575" w:rsidRDefault="00FA7969" w:rsidP="002D7575">
            <w:pPr>
              <w:jc w:val="right"/>
              <w:rPr>
                <w:rFonts w:cs="Arial"/>
                <w:sz w:val="16"/>
                <w:szCs w:val="16"/>
                <w:lang w:val="sl-SI"/>
              </w:rPr>
            </w:pPr>
            <w:r w:rsidRPr="002D7575">
              <w:rPr>
                <w:rFonts w:cs="Arial"/>
                <w:sz w:val="16"/>
                <w:szCs w:val="16"/>
                <w:lang w:val="sl-SI"/>
              </w:rPr>
              <w:t>28.000.000,00</w:t>
            </w:r>
          </w:p>
        </w:tc>
      </w:tr>
      <w:tr w:rsidR="00FA7969" w:rsidRPr="002D7575" w14:paraId="6CC43FE5"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54B2FCC3" w14:textId="77777777" w:rsidR="00FA7969" w:rsidRPr="002D7575" w:rsidRDefault="00FA7969" w:rsidP="002D7575">
            <w:pPr>
              <w:jc w:val="both"/>
              <w:rPr>
                <w:rFonts w:cs="Arial"/>
                <w:sz w:val="16"/>
                <w:szCs w:val="16"/>
                <w:lang w:val="sl-SI"/>
              </w:rPr>
            </w:pPr>
            <w:r w:rsidRPr="002D7575">
              <w:rPr>
                <w:rFonts w:cs="Arial"/>
                <w:sz w:val="16"/>
                <w:szCs w:val="16"/>
                <w:lang w:val="sl-SI"/>
              </w:rPr>
              <w:t>057</w:t>
            </w:r>
          </w:p>
        </w:tc>
        <w:tc>
          <w:tcPr>
            <w:tcW w:w="1585" w:type="dxa"/>
            <w:vMerge/>
            <w:tcBorders>
              <w:left w:val="single" w:sz="4" w:space="0" w:color="auto"/>
              <w:right w:val="nil"/>
            </w:tcBorders>
            <w:shd w:val="clear" w:color="auto" w:fill="auto"/>
            <w:noWrap/>
            <w:vAlign w:val="center"/>
            <w:hideMark/>
          </w:tcPr>
          <w:p w14:paraId="7197B920" w14:textId="77777777" w:rsidR="00FA7969" w:rsidRPr="002D7575" w:rsidRDefault="00FA7969" w:rsidP="002D7575">
            <w:pPr>
              <w:jc w:val="both"/>
              <w:outlineLvl w:val="2"/>
              <w:rPr>
                <w:rFonts w:cs="Arial"/>
                <w:color w:val="000000"/>
                <w:sz w:val="16"/>
                <w:szCs w:val="16"/>
                <w:lang w:val="sl-SI"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64A5FD3B" w14:textId="77777777" w:rsidR="00FA7969" w:rsidRPr="002D7575" w:rsidRDefault="00FA7969" w:rsidP="002D7575">
            <w:pPr>
              <w:jc w:val="right"/>
              <w:rPr>
                <w:rFonts w:cs="Arial"/>
                <w:sz w:val="16"/>
                <w:szCs w:val="16"/>
                <w:lang w:val="sl-SI"/>
              </w:rPr>
            </w:pPr>
            <w:r w:rsidRPr="002D7575">
              <w:rPr>
                <w:rFonts w:cs="Arial"/>
                <w:sz w:val="16"/>
                <w:szCs w:val="16"/>
                <w:lang w:val="sl-SI"/>
              </w:rPr>
              <w:t>8.000.000,00</w:t>
            </w:r>
          </w:p>
        </w:tc>
        <w:tc>
          <w:tcPr>
            <w:tcW w:w="2018" w:type="dxa"/>
            <w:tcBorders>
              <w:top w:val="single" w:sz="4" w:space="0" w:color="auto"/>
              <w:left w:val="single" w:sz="4" w:space="0" w:color="auto"/>
              <w:bottom w:val="nil"/>
              <w:right w:val="nil"/>
            </w:tcBorders>
            <w:shd w:val="clear" w:color="auto" w:fill="auto"/>
            <w:noWrap/>
            <w:vAlign w:val="center"/>
            <w:hideMark/>
          </w:tcPr>
          <w:p w14:paraId="4EF09CF8" w14:textId="77777777" w:rsidR="00FA7969" w:rsidRPr="002D7575" w:rsidRDefault="00FA7969" w:rsidP="002D7575">
            <w:pPr>
              <w:jc w:val="right"/>
              <w:rPr>
                <w:rFonts w:cs="Arial"/>
                <w:sz w:val="16"/>
                <w:szCs w:val="16"/>
                <w:lang w:val="sl-SI"/>
              </w:rPr>
            </w:pPr>
            <w:r w:rsidRPr="002D7575">
              <w:rPr>
                <w:rFonts w:cs="Arial"/>
                <w:sz w:val="16"/>
                <w:szCs w:val="16"/>
                <w:lang w:val="sl-SI"/>
              </w:rPr>
              <w:t>12.000.000,00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7FC2BC71" w14:textId="77777777" w:rsidR="00FA7969" w:rsidRPr="002D7575" w:rsidRDefault="00FA7969" w:rsidP="002D7575">
            <w:pPr>
              <w:jc w:val="right"/>
              <w:rPr>
                <w:rFonts w:cs="Arial"/>
                <w:sz w:val="16"/>
                <w:szCs w:val="16"/>
                <w:lang w:val="sl-SI"/>
              </w:rPr>
            </w:pPr>
            <w:r w:rsidRPr="002D7575">
              <w:rPr>
                <w:rFonts w:cs="Arial"/>
                <w:sz w:val="16"/>
                <w:szCs w:val="16"/>
                <w:lang w:val="sl-SI"/>
              </w:rPr>
              <w:t>20.000.000,00</w:t>
            </w:r>
          </w:p>
        </w:tc>
      </w:tr>
      <w:tr w:rsidR="00763EEA" w:rsidRPr="002D7575" w14:paraId="6DF44571"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3FD43658" w14:textId="77777777" w:rsidR="00763EEA" w:rsidRPr="002D7575" w:rsidRDefault="00763EEA" w:rsidP="002D7575">
            <w:pPr>
              <w:jc w:val="both"/>
              <w:rPr>
                <w:rFonts w:cs="Arial"/>
                <w:sz w:val="16"/>
                <w:szCs w:val="16"/>
                <w:lang w:val="sl-SI"/>
              </w:rPr>
            </w:pPr>
            <w:r w:rsidRPr="002D7575">
              <w:rPr>
                <w:rFonts w:cs="Arial"/>
                <w:sz w:val="16"/>
                <w:szCs w:val="16"/>
                <w:lang w:val="sl-SI"/>
              </w:rPr>
              <w:t>065</w:t>
            </w:r>
          </w:p>
        </w:tc>
        <w:tc>
          <w:tcPr>
            <w:tcW w:w="1585" w:type="dxa"/>
            <w:vMerge/>
            <w:tcBorders>
              <w:left w:val="single" w:sz="4" w:space="0" w:color="auto"/>
              <w:bottom w:val="nil"/>
              <w:right w:val="nil"/>
            </w:tcBorders>
            <w:shd w:val="clear" w:color="auto" w:fill="auto"/>
            <w:noWrap/>
            <w:vAlign w:val="center"/>
            <w:hideMark/>
          </w:tcPr>
          <w:p w14:paraId="4B359513" w14:textId="77777777" w:rsidR="00763EEA" w:rsidRPr="002D7575" w:rsidRDefault="00763EEA" w:rsidP="002D7575">
            <w:pPr>
              <w:jc w:val="both"/>
              <w:outlineLvl w:val="2"/>
              <w:rPr>
                <w:rFonts w:cs="Arial"/>
                <w:color w:val="000000"/>
                <w:sz w:val="16"/>
                <w:szCs w:val="16"/>
                <w:lang w:val="sl-SI"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61A4E233" w14:textId="07A4A5F3" w:rsidR="00763EEA" w:rsidRPr="002D7575" w:rsidRDefault="00763EEA" w:rsidP="002D7575">
            <w:pPr>
              <w:jc w:val="right"/>
              <w:rPr>
                <w:rFonts w:cs="Arial"/>
                <w:sz w:val="16"/>
                <w:szCs w:val="16"/>
                <w:lang w:val="sl-SI"/>
              </w:rPr>
            </w:pPr>
            <w:r w:rsidRPr="002D7575">
              <w:rPr>
                <w:rFonts w:cs="Arial"/>
                <w:sz w:val="16"/>
                <w:szCs w:val="16"/>
                <w:lang w:val="sl-SI"/>
              </w:rPr>
              <w:t>4.000.000,00</w:t>
            </w:r>
          </w:p>
        </w:tc>
        <w:tc>
          <w:tcPr>
            <w:tcW w:w="2018" w:type="dxa"/>
            <w:tcBorders>
              <w:top w:val="single" w:sz="4" w:space="0" w:color="auto"/>
              <w:left w:val="single" w:sz="4" w:space="0" w:color="auto"/>
              <w:bottom w:val="nil"/>
              <w:right w:val="nil"/>
            </w:tcBorders>
            <w:shd w:val="clear" w:color="auto" w:fill="auto"/>
            <w:noWrap/>
            <w:vAlign w:val="center"/>
            <w:hideMark/>
          </w:tcPr>
          <w:p w14:paraId="0D86B8BD" w14:textId="0DA2B824" w:rsidR="00763EEA" w:rsidRPr="002D7575" w:rsidRDefault="00763EEA" w:rsidP="002D7575">
            <w:pPr>
              <w:jc w:val="right"/>
              <w:rPr>
                <w:rFonts w:cs="Arial"/>
                <w:sz w:val="16"/>
                <w:szCs w:val="16"/>
                <w:lang w:val="sl-SI"/>
              </w:rPr>
            </w:pPr>
            <w:r w:rsidRPr="002D7575">
              <w:rPr>
                <w:rFonts w:cs="Arial"/>
                <w:sz w:val="16"/>
                <w:szCs w:val="16"/>
                <w:lang w:val="sl-SI"/>
              </w:rPr>
              <w:t>6.000.000,00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469E7F5" w14:textId="77777777" w:rsidR="00763EEA" w:rsidRPr="002D7575" w:rsidRDefault="00763EEA" w:rsidP="002D7575">
            <w:pPr>
              <w:jc w:val="right"/>
              <w:rPr>
                <w:rFonts w:cs="Arial"/>
                <w:sz w:val="16"/>
                <w:szCs w:val="16"/>
                <w:lang w:val="sl-SI"/>
              </w:rPr>
            </w:pPr>
            <w:r w:rsidRPr="002D7575">
              <w:rPr>
                <w:rFonts w:cs="Arial"/>
                <w:sz w:val="16"/>
                <w:szCs w:val="16"/>
                <w:lang w:val="sl-SI"/>
              </w:rPr>
              <w:t>10.000.000,00</w:t>
            </w:r>
          </w:p>
        </w:tc>
      </w:tr>
      <w:tr w:rsidR="00763EEA" w:rsidRPr="002D7575" w14:paraId="77B1B033" w14:textId="77777777" w:rsidTr="002D7575">
        <w:trPr>
          <w:trHeight w:val="300"/>
          <w:jc w:val="center"/>
        </w:trPr>
        <w:tc>
          <w:tcPr>
            <w:tcW w:w="3165" w:type="dxa"/>
            <w:gridSpan w:val="2"/>
            <w:tcBorders>
              <w:top w:val="single" w:sz="4" w:space="0" w:color="auto"/>
              <w:left w:val="single" w:sz="4" w:space="0" w:color="auto"/>
              <w:bottom w:val="nil"/>
              <w:right w:val="nil"/>
            </w:tcBorders>
            <w:shd w:val="clear" w:color="auto" w:fill="auto"/>
            <w:noWrap/>
            <w:vAlign w:val="bottom"/>
            <w:hideMark/>
          </w:tcPr>
          <w:p w14:paraId="4F18FD08" w14:textId="77777777" w:rsidR="00763EEA" w:rsidRPr="002D7575" w:rsidRDefault="00763EEA" w:rsidP="002D7575">
            <w:pPr>
              <w:jc w:val="both"/>
              <w:outlineLvl w:val="1"/>
              <w:rPr>
                <w:rFonts w:cs="Arial"/>
                <w:color w:val="000000"/>
                <w:sz w:val="16"/>
                <w:szCs w:val="16"/>
                <w:lang w:val="sl-SI" w:eastAsia="sl-SI"/>
              </w:rPr>
            </w:pPr>
            <w:r w:rsidRPr="002D7575">
              <w:rPr>
                <w:rFonts w:cs="Arial"/>
                <w:color w:val="000000"/>
                <w:sz w:val="16"/>
                <w:szCs w:val="16"/>
                <w:lang w:val="sl-SI" w:eastAsia="sl-SI"/>
              </w:rPr>
              <w:t> </w:t>
            </w:r>
          </w:p>
          <w:p w14:paraId="0CAFF4D9" w14:textId="77777777" w:rsidR="00763EEA" w:rsidRPr="002D7575" w:rsidRDefault="00763EEA" w:rsidP="002D7575">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2161" w:type="dxa"/>
            <w:tcBorders>
              <w:top w:val="single" w:sz="4" w:space="0" w:color="auto"/>
              <w:left w:val="single" w:sz="4" w:space="0" w:color="auto"/>
              <w:bottom w:val="nil"/>
              <w:right w:val="nil"/>
            </w:tcBorders>
            <w:shd w:val="clear" w:color="auto" w:fill="auto"/>
            <w:noWrap/>
            <w:vAlign w:val="center"/>
            <w:hideMark/>
          </w:tcPr>
          <w:p w14:paraId="5550F39C" w14:textId="314B2A93" w:rsidR="00763EEA" w:rsidRPr="002D7575" w:rsidRDefault="00763EEA" w:rsidP="002D7575">
            <w:pPr>
              <w:jc w:val="right"/>
              <w:rPr>
                <w:rFonts w:cs="Arial"/>
                <w:b/>
                <w:sz w:val="16"/>
                <w:szCs w:val="16"/>
                <w:lang w:val="sl-SI"/>
              </w:rPr>
            </w:pPr>
            <w:r w:rsidRPr="002D7575">
              <w:rPr>
                <w:rFonts w:cs="Arial"/>
                <w:b/>
                <w:sz w:val="16"/>
                <w:szCs w:val="16"/>
                <w:lang w:val="sl-SI"/>
              </w:rPr>
              <w:t>23.000.000,00</w:t>
            </w:r>
          </w:p>
        </w:tc>
        <w:tc>
          <w:tcPr>
            <w:tcW w:w="2018" w:type="dxa"/>
            <w:tcBorders>
              <w:top w:val="single" w:sz="4" w:space="0" w:color="auto"/>
              <w:left w:val="single" w:sz="4" w:space="0" w:color="auto"/>
              <w:bottom w:val="nil"/>
              <w:right w:val="nil"/>
            </w:tcBorders>
            <w:shd w:val="clear" w:color="auto" w:fill="auto"/>
            <w:noWrap/>
            <w:vAlign w:val="center"/>
            <w:hideMark/>
          </w:tcPr>
          <w:p w14:paraId="1D9E8C27" w14:textId="5713395B" w:rsidR="00763EEA" w:rsidRPr="002D7575" w:rsidRDefault="00763EEA" w:rsidP="002D7575">
            <w:pPr>
              <w:jc w:val="right"/>
              <w:rPr>
                <w:rFonts w:cs="Arial"/>
                <w:b/>
                <w:sz w:val="16"/>
                <w:szCs w:val="16"/>
                <w:lang w:val="sl-SI"/>
              </w:rPr>
            </w:pPr>
            <w:r w:rsidRPr="002D7575">
              <w:rPr>
                <w:rFonts w:cs="Arial"/>
                <w:b/>
                <w:sz w:val="16"/>
                <w:szCs w:val="16"/>
                <w:lang w:val="sl-SI"/>
              </w:rPr>
              <w:t>35.000.000,00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66737DE5" w14:textId="77777777" w:rsidR="00763EEA" w:rsidRPr="002D7575" w:rsidRDefault="00763EEA" w:rsidP="002D7575">
            <w:pPr>
              <w:jc w:val="right"/>
              <w:rPr>
                <w:rFonts w:cs="Arial"/>
                <w:b/>
                <w:sz w:val="16"/>
                <w:szCs w:val="16"/>
                <w:lang w:val="sl-SI"/>
              </w:rPr>
            </w:pPr>
            <w:r w:rsidRPr="002D7575">
              <w:rPr>
                <w:rFonts w:cs="Arial"/>
                <w:b/>
                <w:sz w:val="16"/>
                <w:szCs w:val="16"/>
                <w:lang w:val="sl-SI"/>
              </w:rPr>
              <w:t>58.000.000,00</w:t>
            </w:r>
          </w:p>
        </w:tc>
      </w:tr>
      <w:tr w:rsidR="00763EEA" w:rsidRPr="002D7575" w14:paraId="31E79FEF"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76C197F3" w14:textId="77777777" w:rsidR="00763EEA" w:rsidRPr="002D7575" w:rsidRDefault="00763EEA" w:rsidP="002D7575">
            <w:pPr>
              <w:jc w:val="both"/>
              <w:rPr>
                <w:rFonts w:cs="Arial"/>
                <w:sz w:val="16"/>
                <w:szCs w:val="16"/>
                <w:lang w:val="sl-SI"/>
              </w:rPr>
            </w:pPr>
            <w:r w:rsidRPr="002D7575">
              <w:rPr>
                <w:rFonts w:cs="Arial"/>
                <w:sz w:val="16"/>
                <w:szCs w:val="16"/>
                <w:lang w:val="sl-SI"/>
              </w:rPr>
              <w:t>056</w:t>
            </w:r>
          </w:p>
        </w:tc>
        <w:tc>
          <w:tcPr>
            <w:tcW w:w="1585" w:type="dxa"/>
            <w:vMerge w:val="restart"/>
            <w:tcBorders>
              <w:top w:val="single" w:sz="4" w:space="0" w:color="auto"/>
              <w:left w:val="single" w:sz="4" w:space="0" w:color="auto"/>
              <w:right w:val="nil"/>
            </w:tcBorders>
            <w:shd w:val="clear" w:color="auto" w:fill="auto"/>
            <w:noWrap/>
            <w:vAlign w:val="center"/>
            <w:hideMark/>
          </w:tcPr>
          <w:p w14:paraId="7BEF3631" w14:textId="3A36C137" w:rsidR="00763EEA" w:rsidRPr="002D7575" w:rsidRDefault="002D7575" w:rsidP="002D7575">
            <w:pPr>
              <w:jc w:val="center"/>
              <w:outlineLvl w:val="2"/>
              <w:rPr>
                <w:rFonts w:cs="Arial"/>
                <w:color w:val="000000"/>
                <w:sz w:val="16"/>
                <w:szCs w:val="16"/>
                <w:lang w:val="sl-SI" w:eastAsia="sl-SI"/>
              </w:rPr>
            </w:pPr>
            <w:r>
              <w:rPr>
                <w:rFonts w:cs="Arial"/>
                <w:color w:val="000000"/>
                <w:sz w:val="16"/>
                <w:szCs w:val="16"/>
                <w:lang w:val="sl-SI" w:eastAsia="sl-SI"/>
              </w:rPr>
              <w:t>Garancije</w:t>
            </w:r>
          </w:p>
        </w:tc>
        <w:tc>
          <w:tcPr>
            <w:tcW w:w="2161" w:type="dxa"/>
            <w:tcBorders>
              <w:top w:val="single" w:sz="4" w:space="0" w:color="auto"/>
              <w:left w:val="single" w:sz="4" w:space="0" w:color="auto"/>
              <w:bottom w:val="nil"/>
              <w:right w:val="nil"/>
            </w:tcBorders>
            <w:shd w:val="clear" w:color="auto" w:fill="auto"/>
            <w:noWrap/>
            <w:vAlign w:val="center"/>
            <w:hideMark/>
          </w:tcPr>
          <w:p w14:paraId="22FEEBD1" w14:textId="77777777" w:rsidR="00763EEA" w:rsidRPr="002D7575" w:rsidRDefault="00763EEA" w:rsidP="002D7575">
            <w:pPr>
              <w:jc w:val="right"/>
              <w:rPr>
                <w:rFonts w:cs="Arial"/>
                <w:sz w:val="16"/>
                <w:szCs w:val="16"/>
                <w:lang w:val="sl-SI"/>
              </w:rPr>
            </w:pPr>
            <w:r w:rsidRPr="002D7575">
              <w:rPr>
                <w:rFonts w:cs="Arial"/>
                <w:sz w:val="16"/>
                <w:szCs w:val="16"/>
                <w:lang w:val="sl-SI"/>
              </w:rPr>
              <w:t>6.000.000,00</w:t>
            </w:r>
          </w:p>
        </w:tc>
        <w:tc>
          <w:tcPr>
            <w:tcW w:w="2018" w:type="dxa"/>
            <w:tcBorders>
              <w:top w:val="single" w:sz="4" w:space="0" w:color="auto"/>
              <w:left w:val="single" w:sz="4" w:space="0" w:color="auto"/>
              <w:bottom w:val="nil"/>
              <w:right w:val="nil"/>
            </w:tcBorders>
            <w:shd w:val="clear" w:color="auto" w:fill="auto"/>
            <w:noWrap/>
            <w:vAlign w:val="center"/>
            <w:hideMark/>
          </w:tcPr>
          <w:p w14:paraId="28A967B3" w14:textId="77777777" w:rsidR="00763EEA" w:rsidRPr="002D7575" w:rsidRDefault="00763EEA" w:rsidP="002D7575">
            <w:pPr>
              <w:jc w:val="right"/>
              <w:rPr>
                <w:rFonts w:cs="Arial"/>
                <w:sz w:val="16"/>
                <w:szCs w:val="16"/>
                <w:lang w:val="sl-SI"/>
              </w:rPr>
            </w:pPr>
            <w:r w:rsidRPr="002D7575">
              <w:rPr>
                <w:rFonts w:cs="Arial"/>
                <w:sz w:val="16"/>
                <w:szCs w:val="16"/>
                <w:lang w:val="sl-SI"/>
              </w:rPr>
              <w:t>9.000.000,00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5FC0F67" w14:textId="77777777" w:rsidR="00763EEA" w:rsidRPr="002D7575" w:rsidRDefault="00763EEA" w:rsidP="002D7575">
            <w:pPr>
              <w:jc w:val="right"/>
              <w:rPr>
                <w:rFonts w:cs="Arial"/>
                <w:sz w:val="16"/>
                <w:szCs w:val="16"/>
                <w:lang w:val="sl-SI"/>
              </w:rPr>
            </w:pPr>
            <w:r w:rsidRPr="002D7575">
              <w:rPr>
                <w:rFonts w:cs="Arial"/>
                <w:sz w:val="16"/>
                <w:szCs w:val="16"/>
                <w:lang w:val="sl-SI"/>
              </w:rPr>
              <w:t>15.000.000,00</w:t>
            </w:r>
          </w:p>
        </w:tc>
      </w:tr>
      <w:tr w:rsidR="00763EEA" w:rsidRPr="002D7575" w14:paraId="7E10504D" w14:textId="77777777" w:rsidTr="002D7575">
        <w:trPr>
          <w:trHeight w:val="300"/>
          <w:jc w:val="center"/>
        </w:trPr>
        <w:tc>
          <w:tcPr>
            <w:tcW w:w="1580" w:type="dxa"/>
            <w:tcBorders>
              <w:top w:val="single" w:sz="4" w:space="0" w:color="auto"/>
              <w:left w:val="single" w:sz="4" w:space="0" w:color="auto"/>
              <w:bottom w:val="nil"/>
              <w:right w:val="nil"/>
            </w:tcBorders>
            <w:shd w:val="clear" w:color="auto" w:fill="auto"/>
            <w:noWrap/>
            <w:vAlign w:val="bottom"/>
          </w:tcPr>
          <w:p w14:paraId="1DEF7289" w14:textId="77777777" w:rsidR="00763EEA" w:rsidRPr="002D7575" w:rsidRDefault="00763EEA" w:rsidP="002D7575">
            <w:pPr>
              <w:jc w:val="both"/>
              <w:rPr>
                <w:rFonts w:cs="Arial"/>
                <w:sz w:val="16"/>
                <w:szCs w:val="16"/>
                <w:lang w:val="sl-SI"/>
              </w:rPr>
            </w:pPr>
            <w:r w:rsidRPr="002D7575">
              <w:rPr>
                <w:rFonts w:cs="Arial"/>
                <w:sz w:val="16"/>
                <w:szCs w:val="16"/>
                <w:lang w:val="sl-SI"/>
              </w:rPr>
              <w:t>065</w:t>
            </w:r>
          </w:p>
        </w:tc>
        <w:tc>
          <w:tcPr>
            <w:tcW w:w="1585" w:type="dxa"/>
            <w:vMerge/>
            <w:tcBorders>
              <w:left w:val="single" w:sz="4" w:space="0" w:color="auto"/>
              <w:bottom w:val="nil"/>
              <w:right w:val="nil"/>
            </w:tcBorders>
            <w:shd w:val="clear" w:color="auto" w:fill="auto"/>
            <w:noWrap/>
            <w:vAlign w:val="center"/>
            <w:hideMark/>
          </w:tcPr>
          <w:p w14:paraId="0609BC07" w14:textId="77777777" w:rsidR="00763EEA" w:rsidRPr="002D7575" w:rsidRDefault="00763EEA" w:rsidP="002D7575">
            <w:pPr>
              <w:jc w:val="both"/>
              <w:outlineLvl w:val="2"/>
              <w:rPr>
                <w:rFonts w:cs="Arial"/>
                <w:color w:val="000000"/>
                <w:sz w:val="16"/>
                <w:szCs w:val="16"/>
                <w:lang w:val="sl-SI"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3E7F0C3E" w14:textId="77777777" w:rsidR="00763EEA" w:rsidRPr="002D7575" w:rsidRDefault="00763EEA" w:rsidP="002D7575">
            <w:pPr>
              <w:jc w:val="right"/>
              <w:rPr>
                <w:rFonts w:cs="Arial"/>
                <w:sz w:val="16"/>
                <w:szCs w:val="16"/>
                <w:lang w:val="sl-SI"/>
              </w:rPr>
            </w:pPr>
            <w:r w:rsidRPr="002D7575">
              <w:rPr>
                <w:rFonts w:cs="Arial"/>
                <w:sz w:val="16"/>
                <w:szCs w:val="16"/>
                <w:lang w:val="sl-SI"/>
              </w:rPr>
              <w:t>5.200.000,00</w:t>
            </w:r>
          </w:p>
        </w:tc>
        <w:tc>
          <w:tcPr>
            <w:tcW w:w="2018" w:type="dxa"/>
            <w:tcBorders>
              <w:top w:val="single" w:sz="4" w:space="0" w:color="auto"/>
              <w:left w:val="single" w:sz="4" w:space="0" w:color="auto"/>
              <w:bottom w:val="nil"/>
              <w:right w:val="nil"/>
            </w:tcBorders>
            <w:shd w:val="clear" w:color="auto" w:fill="auto"/>
            <w:noWrap/>
            <w:vAlign w:val="center"/>
            <w:hideMark/>
          </w:tcPr>
          <w:p w14:paraId="2B058D1A" w14:textId="77777777" w:rsidR="00763EEA" w:rsidRPr="002D7575" w:rsidRDefault="00763EEA" w:rsidP="002D7575">
            <w:pPr>
              <w:jc w:val="right"/>
              <w:rPr>
                <w:rFonts w:cs="Arial"/>
                <w:sz w:val="16"/>
                <w:szCs w:val="16"/>
                <w:lang w:val="sl-SI"/>
              </w:rPr>
            </w:pPr>
            <w:r w:rsidRPr="002D7575">
              <w:rPr>
                <w:rFonts w:cs="Arial"/>
                <w:sz w:val="16"/>
                <w:szCs w:val="16"/>
                <w:lang w:val="sl-SI"/>
              </w:rPr>
              <w:t>9.800.000,00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F02EB7A" w14:textId="77777777" w:rsidR="00763EEA" w:rsidRPr="002D7575" w:rsidRDefault="00763EEA" w:rsidP="002D7575">
            <w:pPr>
              <w:jc w:val="right"/>
              <w:rPr>
                <w:rFonts w:cs="Arial"/>
                <w:sz w:val="16"/>
                <w:szCs w:val="16"/>
                <w:lang w:val="sl-SI"/>
              </w:rPr>
            </w:pPr>
            <w:r w:rsidRPr="002D7575">
              <w:rPr>
                <w:rFonts w:cs="Arial"/>
                <w:sz w:val="16"/>
                <w:szCs w:val="16"/>
                <w:lang w:val="sl-SI"/>
              </w:rPr>
              <w:t>15.000.000,00</w:t>
            </w:r>
          </w:p>
        </w:tc>
      </w:tr>
      <w:tr w:rsidR="00763EEA" w:rsidRPr="002D7575" w14:paraId="3F163F48" w14:textId="77777777" w:rsidTr="002D7575">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E5A7E3" w14:textId="77777777" w:rsidR="00763EEA" w:rsidRPr="002D7575" w:rsidRDefault="00763EEA" w:rsidP="002D7575">
            <w:pPr>
              <w:jc w:val="both"/>
              <w:outlineLvl w:val="1"/>
              <w:rPr>
                <w:rFonts w:cs="Arial"/>
                <w:color w:val="000000"/>
                <w:sz w:val="16"/>
                <w:szCs w:val="16"/>
                <w:lang w:val="sl-SI" w:eastAsia="sl-SI"/>
              </w:rPr>
            </w:pPr>
            <w:r w:rsidRPr="002D7575">
              <w:rPr>
                <w:rFonts w:cs="Arial"/>
                <w:color w:val="000000"/>
                <w:sz w:val="16"/>
                <w:szCs w:val="16"/>
                <w:lang w:val="sl-SI" w:eastAsia="sl-SI"/>
              </w:rPr>
              <w:t> </w:t>
            </w:r>
          </w:p>
          <w:p w14:paraId="4F668A81" w14:textId="77777777" w:rsidR="00763EEA" w:rsidRPr="002D7575" w:rsidRDefault="00763EEA" w:rsidP="002D7575">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(jamstva)</w:t>
            </w:r>
          </w:p>
        </w:tc>
        <w:tc>
          <w:tcPr>
            <w:tcW w:w="2161" w:type="dxa"/>
            <w:tcBorders>
              <w:top w:val="single" w:sz="4" w:space="0" w:color="auto"/>
              <w:left w:val="single" w:sz="4" w:space="0" w:color="auto"/>
              <w:bottom w:val="single" w:sz="4" w:space="0" w:color="auto"/>
              <w:right w:val="nil"/>
            </w:tcBorders>
            <w:shd w:val="clear" w:color="auto" w:fill="auto"/>
            <w:noWrap/>
            <w:vAlign w:val="center"/>
            <w:hideMark/>
          </w:tcPr>
          <w:p w14:paraId="2BDC44F1" w14:textId="77777777" w:rsidR="00763EEA" w:rsidRPr="002D7575" w:rsidRDefault="00763EEA" w:rsidP="002D7575">
            <w:pPr>
              <w:jc w:val="right"/>
              <w:rPr>
                <w:rFonts w:cs="Arial"/>
                <w:b/>
                <w:sz w:val="16"/>
                <w:szCs w:val="16"/>
                <w:lang w:val="sl-SI"/>
              </w:rPr>
            </w:pPr>
            <w:r w:rsidRPr="002D7575">
              <w:rPr>
                <w:rFonts w:cs="Arial"/>
                <w:b/>
                <w:sz w:val="16"/>
                <w:szCs w:val="16"/>
                <w:lang w:val="sl-SI"/>
              </w:rPr>
              <w:t>11.200.000,00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3C4D8F5E" w14:textId="77777777" w:rsidR="00763EEA" w:rsidRPr="002D7575" w:rsidRDefault="00763EEA" w:rsidP="002D7575">
            <w:pPr>
              <w:jc w:val="right"/>
              <w:rPr>
                <w:rFonts w:cs="Arial"/>
                <w:b/>
                <w:sz w:val="16"/>
                <w:szCs w:val="16"/>
                <w:lang w:val="sl-SI"/>
              </w:rPr>
            </w:pPr>
            <w:r w:rsidRPr="002D7575">
              <w:rPr>
                <w:rFonts w:cs="Arial"/>
                <w:b/>
                <w:sz w:val="16"/>
                <w:szCs w:val="16"/>
                <w:lang w:val="sl-SI"/>
              </w:rPr>
              <w:t>18.800.000,00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DD5F" w14:textId="77777777" w:rsidR="00763EEA" w:rsidRPr="002D7575" w:rsidRDefault="00763EEA" w:rsidP="002D7575">
            <w:pPr>
              <w:jc w:val="right"/>
              <w:rPr>
                <w:rFonts w:cs="Arial"/>
                <w:b/>
                <w:sz w:val="16"/>
                <w:szCs w:val="16"/>
                <w:lang w:val="sl-SI"/>
              </w:rPr>
            </w:pPr>
            <w:r w:rsidRPr="002D7575">
              <w:rPr>
                <w:rFonts w:cs="Arial"/>
                <w:b/>
                <w:sz w:val="16"/>
                <w:szCs w:val="16"/>
                <w:lang w:val="sl-SI"/>
              </w:rPr>
              <w:t>30.000.000,00</w:t>
            </w:r>
          </w:p>
        </w:tc>
      </w:tr>
      <w:tr w:rsidR="00763EEA" w:rsidRPr="002D7575" w14:paraId="7D8C35EC" w14:textId="77777777" w:rsidTr="002D7575">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8688B8" w14:textId="77777777" w:rsidR="00763EEA" w:rsidRPr="002D7575" w:rsidRDefault="00763EEA" w:rsidP="002D7575">
            <w:pPr>
              <w:jc w:val="both"/>
              <w:outlineLvl w:val="0"/>
              <w:rPr>
                <w:rFonts w:cs="Arial"/>
                <w:b/>
                <w:color w:val="000000"/>
                <w:sz w:val="16"/>
                <w:szCs w:val="16"/>
                <w:lang w:val="sl-SI" w:eastAsia="sl-SI"/>
              </w:rPr>
            </w:pPr>
            <w:r w:rsidRPr="002D7575">
              <w:rPr>
                <w:rFonts w:cs="Arial"/>
                <w:b/>
                <w:color w:val="000000"/>
                <w:sz w:val="16"/>
                <w:szCs w:val="16"/>
                <w:lang w:val="sl-SI" w:eastAsia="sl-SI"/>
              </w:rPr>
              <w:t> </w:t>
            </w:r>
          </w:p>
          <w:p w14:paraId="6B37D355" w14:textId="77777777" w:rsidR="00763EEA" w:rsidRPr="002D7575" w:rsidRDefault="00763EEA" w:rsidP="002D7575">
            <w:pPr>
              <w:jc w:val="both"/>
              <w:outlineLvl w:val="0"/>
              <w:rPr>
                <w:rFonts w:cs="Arial"/>
                <w:b/>
                <w:color w:val="000000"/>
                <w:sz w:val="16"/>
                <w:szCs w:val="16"/>
                <w:lang w:val="sl-SI" w:eastAsia="sl-SI"/>
              </w:rPr>
            </w:pPr>
            <w:r w:rsidRPr="002D7575">
              <w:rPr>
                <w:rFonts w:cs="Arial"/>
                <w:b/>
                <w:color w:val="000000"/>
                <w:sz w:val="16"/>
                <w:szCs w:val="16"/>
                <w:lang w:val="sl-SI" w:eastAsia="sl-SI"/>
              </w:rPr>
              <w:t> Skupaj</w:t>
            </w:r>
          </w:p>
        </w:tc>
        <w:tc>
          <w:tcPr>
            <w:tcW w:w="2161" w:type="dxa"/>
            <w:tcBorders>
              <w:top w:val="single" w:sz="4" w:space="0" w:color="auto"/>
              <w:left w:val="single" w:sz="4" w:space="0" w:color="auto"/>
              <w:bottom w:val="single" w:sz="4" w:space="0" w:color="auto"/>
              <w:right w:val="nil"/>
            </w:tcBorders>
            <w:shd w:val="clear" w:color="auto" w:fill="auto"/>
            <w:noWrap/>
            <w:vAlign w:val="center"/>
          </w:tcPr>
          <w:p w14:paraId="57B35193" w14:textId="491FB45E" w:rsidR="00763EEA" w:rsidRPr="002D7575" w:rsidRDefault="00763EEA" w:rsidP="002D7575">
            <w:pPr>
              <w:jc w:val="right"/>
              <w:rPr>
                <w:rFonts w:cs="Arial"/>
                <w:b/>
                <w:sz w:val="16"/>
                <w:szCs w:val="16"/>
                <w:lang w:val="sl-SI"/>
              </w:rPr>
            </w:pPr>
            <w:r w:rsidRPr="002D7575">
              <w:rPr>
                <w:rFonts w:cs="Arial"/>
                <w:b/>
                <w:sz w:val="16"/>
                <w:szCs w:val="16"/>
                <w:lang w:val="sl-SI"/>
              </w:rPr>
              <w:t>34.200.000,00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154D4B3F" w14:textId="20591ABD" w:rsidR="00763EEA" w:rsidRPr="002D7575" w:rsidRDefault="00763EEA" w:rsidP="002D7575">
            <w:pPr>
              <w:jc w:val="right"/>
              <w:rPr>
                <w:rFonts w:cs="Arial"/>
                <w:b/>
                <w:sz w:val="16"/>
                <w:szCs w:val="16"/>
                <w:lang w:val="sl-SI"/>
              </w:rPr>
            </w:pPr>
            <w:r w:rsidRPr="002D7575">
              <w:rPr>
                <w:rFonts w:cs="Arial"/>
                <w:b/>
                <w:sz w:val="16"/>
                <w:szCs w:val="16"/>
                <w:lang w:val="sl-SI"/>
              </w:rPr>
              <w:t>53.800.000,00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775E" w14:textId="77777777" w:rsidR="00763EEA" w:rsidRPr="002D7575" w:rsidRDefault="00763EEA" w:rsidP="002D7575">
            <w:pPr>
              <w:jc w:val="right"/>
              <w:rPr>
                <w:rFonts w:cs="Arial"/>
                <w:b/>
                <w:sz w:val="16"/>
                <w:szCs w:val="16"/>
                <w:lang w:val="sl-SI"/>
              </w:rPr>
            </w:pPr>
            <w:r w:rsidRPr="002D7575">
              <w:rPr>
                <w:rFonts w:cs="Arial"/>
                <w:b/>
                <w:sz w:val="16"/>
                <w:szCs w:val="16"/>
                <w:lang w:val="sl-SI"/>
              </w:rPr>
              <w:t>88.000.000,00</w:t>
            </w:r>
          </w:p>
        </w:tc>
      </w:tr>
    </w:tbl>
    <w:p w14:paraId="06FDAAB4" w14:textId="2771A0D6" w:rsidR="00FA7969"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4C8A7A8E" w14:textId="70E7A4AD" w:rsidR="00FA7969" w:rsidRPr="004223D6" w:rsidRDefault="00FA7969" w:rsidP="00CE3440">
      <w:pPr>
        <w:jc w:val="both"/>
        <w:rPr>
          <w:rFonts w:cs="Arial"/>
          <w:szCs w:val="22"/>
          <w:lang w:val="sl-SI"/>
        </w:rPr>
      </w:pPr>
      <w:r w:rsidRPr="004223D6">
        <w:rPr>
          <w:rFonts w:cs="Arial"/>
          <w:szCs w:val="22"/>
          <w:lang w:val="sl-SI"/>
        </w:rPr>
        <w:t>Prednostno bodo podprte naložbe v zmogljivosti in opremo podjetij v neposredni povezavi z raziskavami in inovacijam novih visokotehnoloških izdelkov ter storitev, ki se vključujejo v globalno verigo (dodane) vrednosti.</w:t>
      </w:r>
    </w:p>
    <w:p w14:paraId="26FECE88" w14:textId="7F0FF007" w:rsidR="001C320C" w:rsidRPr="004223D6" w:rsidRDefault="001C320C" w:rsidP="00CE3440">
      <w:pPr>
        <w:jc w:val="both"/>
        <w:rPr>
          <w:rFonts w:cs="Arial"/>
          <w:szCs w:val="22"/>
          <w:lang w:val="sl-SI"/>
        </w:rPr>
      </w:pPr>
    </w:p>
    <w:p w14:paraId="778C7824" w14:textId="77777777" w:rsidR="00FA7969" w:rsidRPr="004223D6" w:rsidRDefault="00FA7969" w:rsidP="00CE3440">
      <w:pPr>
        <w:jc w:val="both"/>
        <w:rPr>
          <w:rFonts w:cs="Arial"/>
          <w:lang w:val="sl-SI"/>
        </w:rPr>
      </w:pPr>
    </w:p>
    <w:p w14:paraId="62EA061F" w14:textId="77777777" w:rsidR="00FA7969" w:rsidRPr="004223D6" w:rsidRDefault="00FA7969" w:rsidP="00CE3440">
      <w:pPr>
        <w:pStyle w:val="Naslov3"/>
        <w:numPr>
          <w:ilvl w:val="2"/>
          <w:numId w:val="25"/>
        </w:numPr>
        <w:jc w:val="both"/>
        <w:rPr>
          <w:rFonts w:cs="Arial"/>
          <w:lang w:val="sl-SI"/>
        </w:rPr>
      </w:pPr>
      <w:r w:rsidRPr="004223D6">
        <w:rPr>
          <w:rFonts w:cs="Arial"/>
          <w:lang w:val="sl-SI"/>
        </w:rPr>
        <w:t>Mala in srednje velika podjetja (prednostna naložba 3.1)</w:t>
      </w:r>
    </w:p>
    <w:p w14:paraId="46F9B5A4" w14:textId="77777777" w:rsidR="00FA7969" w:rsidRPr="004223D6" w:rsidRDefault="00FA7969" w:rsidP="00CE3440">
      <w:pPr>
        <w:jc w:val="both"/>
        <w:rPr>
          <w:rFonts w:cs="Arial"/>
          <w:lang w:val="sl-SI"/>
        </w:rPr>
      </w:pPr>
    </w:p>
    <w:p w14:paraId="74BA415F" w14:textId="35BA3BDB" w:rsidR="00FA7969" w:rsidRPr="004223D6" w:rsidRDefault="00FA7969" w:rsidP="00CE3440">
      <w:pPr>
        <w:jc w:val="both"/>
        <w:rPr>
          <w:rFonts w:cs="Arial"/>
          <w:szCs w:val="22"/>
          <w:lang w:val="sl-SI"/>
        </w:rPr>
      </w:pPr>
      <w:r w:rsidRPr="004223D6">
        <w:rPr>
          <w:rFonts w:cs="Arial"/>
          <w:szCs w:val="22"/>
          <w:lang w:val="sl-SI"/>
        </w:rPr>
        <w:t xml:space="preserve">Osrednji izziv ohranjanja gospodarske rasti in konkurenčnosti je razvijanje kompetenc in zmogljivosti podjetij ter njihov odziv na družbene izzive. Cilj prednostne naložbe je pospešiti rast in razvoj MSP ter izboljšati njihovo mednarodno konkurenčnost. V Sloveniji prevladujejo MSP (99,8 %), od tega pa je </w:t>
      </w:r>
      <w:proofErr w:type="spellStart"/>
      <w:r w:rsidRPr="004223D6">
        <w:rPr>
          <w:rFonts w:cs="Arial"/>
          <w:szCs w:val="22"/>
          <w:lang w:val="sl-SI"/>
        </w:rPr>
        <w:t>mikropodjet</w:t>
      </w:r>
      <w:r w:rsidR="004223D6">
        <w:rPr>
          <w:rFonts w:cs="Arial"/>
          <w:szCs w:val="22"/>
          <w:lang w:val="sl-SI"/>
        </w:rPr>
        <w:t>i</w:t>
      </w:r>
      <w:r w:rsidRPr="004223D6">
        <w:rPr>
          <w:rFonts w:cs="Arial"/>
          <w:szCs w:val="22"/>
          <w:lang w:val="sl-SI"/>
        </w:rPr>
        <w:t>j</w:t>
      </w:r>
      <w:proofErr w:type="spellEnd"/>
      <w:r w:rsidRPr="004223D6">
        <w:rPr>
          <w:rFonts w:cs="Arial"/>
          <w:szCs w:val="22"/>
          <w:lang w:val="sl-SI"/>
        </w:rPr>
        <w:t xml:space="preserve"> 92,8 %. Predvsem na območjih s posebnimi razvojnimi potrebami prevladujejo </w:t>
      </w:r>
      <w:proofErr w:type="spellStart"/>
      <w:r w:rsidRPr="004223D6">
        <w:rPr>
          <w:rFonts w:cs="Arial"/>
          <w:szCs w:val="22"/>
          <w:lang w:val="sl-SI"/>
        </w:rPr>
        <w:t>mikropodjetja</w:t>
      </w:r>
      <w:proofErr w:type="spellEnd"/>
      <w:r w:rsidRPr="004223D6">
        <w:rPr>
          <w:rFonts w:cs="Arial"/>
          <w:szCs w:val="22"/>
          <w:lang w:val="sl-SI"/>
        </w:rPr>
        <w:t>, ki zaradi pomanjkanja inovativnosti in dostopa do virov financiranja ne zagotavljajo novih delovnih mest.</w:t>
      </w:r>
    </w:p>
    <w:p w14:paraId="286ACFD3" w14:textId="77777777" w:rsidR="00FA7969" w:rsidRPr="004223D6" w:rsidRDefault="00FA7969" w:rsidP="00CE3440">
      <w:pPr>
        <w:jc w:val="both"/>
        <w:rPr>
          <w:rFonts w:cs="Arial"/>
          <w:szCs w:val="22"/>
          <w:lang w:val="sl-SI"/>
        </w:rPr>
      </w:pPr>
    </w:p>
    <w:p w14:paraId="24B3A44D" w14:textId="3F466EE7" w:rsidR="00FA7969" w:rsidRPr="004223D6" w:rsidRDefault="00FA7969" w:rsidP="00CE3440">
      <w:pPr>
        <w:jc w:val="both"/>
        <w:rPr>
          <w:rFonts w:cs="Arial"/>
          <w:szCs w:val="22"/>
          <w:lang w:val="sl-SI"/>
        </w:rPr>
      </w:pPr>
      <w:r w:rsidRPr="004223D6">
        <w:rPr>
          <w:rFonts w:cs="Arial"/>
          <w:szCs w:val="22"/>
          <w:lang w:val="sl-SI"/>
        </w:rPr>
        <w:t>V tekočem programskem obdobju bodo dejavnosti usmerjenje v spodbujanje rasti MSP, predvsem hitrorastočih podjetij, kar se bo odrazilo v povečanju dodane vrednosti MSP. Večja konkurenčnost gospodarstva bo dosežena tudi posredno s spodbujanjem podjetij k večji rabi obnovljivih virov, izboljšanju snovne in energetske učinkovitosti ter k razvoju okoljsko manj obrem</w:t>
      </w:r>
      <w:r w:rsidR="00C20AB9">
        <w:rPr>
          <w:rFonts w:cs="Arial"/>
          <w:szCs w:val="22"/>
          <w:lang w:val="sl-SI"/>
        </w:rPr>
        <w:t>enjujočih izdelkov in storitev.</w:t>
      </w:r>
    </w:p>
    <w:p w14:paraId="1AB2DEDD" w14:textId="77777777" w:rsidR="00FA7969" w:rsidRPr="004223D6" w:rsidRDefault="00FA7969" w:rsidP="00CE3440">
      <w:pPr>
        <w:jc w:val="both"/>
        <w:rPr>
          <w:rFonts w:cs="Arial"/>
          <w:szCs w:val="22"/>
          <w:lang w:val="sl-SI"/>
        </w:rPr>
      </w:pPr>
    </w:p>
    <w:p w14:paraId="601C5245" w14:textId="7E7FA5BD" w:rsidR="002D7575" w:rsidRPr="004223D6" w:rsidRDefault="00667628" w:rsidP="002D7575">
      <w:pPr>
        <w:spacing w:after="240"/>
        <w:jc w:val="both"/>
        <w:rPr>
          <w:rFonts w:cs="Arial"/>
          <w:szCs w:val="22"/>
          <w:lang w:val="sl-SI"/>
        </w:rPr>
      </w:pPr>
      <w:r w:rsidRPr="004223D6">
        <w:rPr>
          <w:rFonts w:cs="Arial"/>
          <w:szCs w:val="22"/>
          <w:lang w:val="sl-SI"/>
        </w:rPr>
        <w:t>Prikaz načrta prispevka k ukrepu operativnega programa glede na obliko financiranja</w:t>
      </w:r>
      <w:r w:rsidR="002D7575">
        <w:rPr>
          <w:rFonts w:cs="Arial"/>
          <w:szCs w:val="22"/>
          <w:lang w:val="sl-SI"/>
        </w:rPr>
        <w:t xml:space="preserve"> (v EUR)</w:t>
      </w:r>
      <w:r w:rsidRPr="004223D6">
        <w:rPr>
          <w:rFonts w:cs="Arial"/>
          <w:szCs w:val="22"/>
          <w:lang w:val="sl-SI"/>
        </w:rPr>
        <w:t>:</w:t>
      </w:r>
    </w:p>
    <w:tbl>
      <w:tblPr>
        <w:tblW w:w="5090" w:type="pct"/>
        <w:tblCellMar>
          <w:left w:w="70" w:type="dxa"/>
          <w:right w:w="70" w:type="dxa"/>
        </w:tblCellMar>
        <w:tblLook w:val="04A0" w:firstRow="1" w:lastRow="0" w:firstColumn="1" w:lastColumn="0" w:noHBand="0" w:noVBand="1"/>
      </w:tblPr>
      <w:tblGrid>
        <w:gridCol w:w="1610"/>
        <w:gridCol w:w="1904"/>
        <w:gridCol w:w="2049"/>
        <w:gridCol w:w="1904"/>
        <w:gridCol w:w="1904"/>
      </w:tblGrid>
      <w:tr w:rsidR="00FA7969" w:rsidRPr="002D7575" w14:paraId="5D001247" w14:textId="77777777" w:rsidTr="00DA5FC1">
        <w:trPr>
          <w:cantSplit/>
          <w:trHeight w:val="239"/>
        </w:trPr>
        <w:tc>
          <w:tcPr>
            <w:tcW w:w="1583" w:type="dxa"/>
            <w:tcBorders>
              <w:top w:val="single" w:sz="4" w:space="0" w:color="000000"/>
              <w:left w:val="single" w:sz="4" w:space="0" w:color="auto"/>
              <w:bottom w:val="nil"/>
              <w:right w:val="nil"/>
            </w:tcBorders>
            <w:shd w:val="clear" w:color="auto" w:fill="auto"/>
            <w:vAlign w:val="center"/>
            <w:hideMark/>
          </w:tcPr>
          <w:p w14:paraId="6FE5F198"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lastRenderedPageBreak/>
              <w:t>Domena ukrepa</w:t>
            </w:r>
          </w:p>
        </w:tc>
        <w:tc>
          <w:tcPr>
            <w:tcW w:w="1873" w:type="dxa"/>
            <w:tcBorders>
              <w:top w:val="single" w:sz="4" w:space="0" w:color="000000"/>
              <w:left w:val="single" w:sz="4" w:space="0" w:color="auto"/>
              <w:bottom w:val="nil"/>
              <w:right w:val="nil"/>
            </w:tcBorders>
            <w:shd w:val="clear" w:color="auto" w:fill="auto"/>
            <w:vAlign w:val="center"/>
            <w:hideMark/>
          </w:tcPr>
          <w:p w14:paraId="63723F24"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2016" w:type="dxa"/>
            <w:tcBorders>
              <w:top w:val="single" w:sz="4" w:space="0" w:color="000000"/>
              <w:left w:val="single" w:sz="4" w:space="0" w:color="auto"/>
              <w:bottom w:val="nil"/>
              <w:right w:val="nil"/>
            </w:tcBorders>
            <w:shd w:val="clear" w:color="auto" w:fill="auto"/>
            <w:vAlign w:val="center"/>
            <w:hideMark/>
          </w:tcPr>
          <w:p w14:paraId="30ED29B6"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1873" w:type="dxa"/>
            <w:tcBorders>
              <w:top w:val="single" w:sz="4" w:space="0" w:color="000000"/>
              <w:left w:val="single" w:sz="4" w:space="0" w:color="auto"/>
              <w:bottom w:val="nil"/>
              <w:right w:val="nil"/>
            </w:tcBorders>
            <w:shd w:val="clear" w:color="auto" w:fill="auto"/>
            <w:vAlign w:val="center"/>
            <w:hideMark/>
          </w:tcPr>
          <w:p w14:paraId="1565F899"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873" w:type="dxa"/>
            <w:tcBorders>
              <w:top w:val="single" w:sz="4" w:space="0" w:color="000000"/>
              <w:left w:val="single" w:sz="4" w:space="0" w:color="auto"/>
              <w:bottom w:val="nil"/>
              <w:right w:val="single" w:sz="4" w:space="0" w:color="auto"/>
            </w:tcBorders>
            <w:shd w:val="clear" w:color="auto" w:fill="auto"/>
            <w:vAlign w:val="center"/>
            <w:hideMark/>
          </w:tcPr>
          <w:p w14:paraId="03FEB205"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15F5FEC3"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66CA0AED"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067</w:t>
            </w:r>
          </w:p>
        </w:tc>
        <w:tc>
          <w:tcPr>
            <w:tcW w:w="1873" w:type="dxa"/>
            <w:tcBorders>
              <w:top w:val="single" w:sz="4" w:space="0" w:color="auto"/>
              <w:left w:val="single" w:sz="4" w:space="0" w:color="auto"/>
              <w:bottom w:val="nil"/>
              <w:right w:val="nil"/>
            </w:tcBorders>
            <w:shd w:val="clear" w:color="auto" w:fill="auto"/>
            <w:noWrap/>
            <w:vAlign w:val="center"/>
            <w:hideMark/>
          </w:tcPr>
          <w:p w14:paraId="70121DD5"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Lastniško financiranje</w:t>
            </w:r>
          </w:p>
        </w:tc>
        <w:tc>
          <w:tcPr>
            <w:tcW w:w="2016" w:type="dxa"/>
            <w:tcBorders>
              <w:top w:val="single" w:sz="4" w:space="0" w:color="auto"/>
              <w:left w:val="single" w:sz="4" w:space="0" w:color="auto"/>
              <w:bottom w:val="nil"/>
              <w:right w:val="nil"/>
            </w:tcBorders>
            <w:shd w:val="clear" w:color="auto" w:fill="auto"/>
            <w:noWrap/>
            <w:vAlign w:val="center"/>
            <w:hideMark/>
          </w:tcPr>
          <w:p w14:paraId="020F5843"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4.000.000,00</w:t>
            </w:r>
          </w:p>
        </w:tc>
        <w:tc>
          <w:tcPr>
            <w:tcW w:w="1873" w:type="dxa"/>
            <w:tcBorders>
              <w:top w:val="single" w:sz="4" w:space="0" w:color="auto"/>
              <w:left w:val="single" w:sz="4" w:space="0" w:color="auto"/>
              <w:bottom w:val="nil"/>
              <w:right w:val="nil"/>
            </w:tcBorders>
            <w:shd w:val="clear" w:color="auto" w:fill="auto"/>
            <w:noWrap/>
            <w:vAlign w:val="center"/>
            <w:hideMark/>
          </w:tcPr>
          <w:p w14:paraId="21B9BAC3"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6.000.000,00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6D3E9C10"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10.000.000,00</w:t>
            </w:r>
          </w:p>
        </w:tc>
      </w:tr>
      <w:tr w:rsidR="00FA7969" w:rsidRPr="002D7575" w14:paraId="4C89A8C1" w14:textId="77777777" w:rsidTr="00DA5FC1">
        <w:trPr>
          <w:cantSplit/>
          <w:trHeight w:val="300"/>
        </w:trPr>
        <w:tc>
          <w:tcPr>
            <w:tcW w:w="3456" w:type="dxa"/>
            <w:gridSpan w:val="2"/>
            <w:tcBorders>
              <w:top w:val="single" w:sz="4" w:space="0" w:color="auto"/>
              <w:left w:val="single" w:sz="4" w:space="0" w:color="auto"/>
              <w:bottom w:val="nil"/>
              <w:right w:val="nil"/>
            </w:tcBorders>
            <w:shd w:val="clear" w:color="auto" w:fill="auto"/>
            <w:noWrap/>
            <w:vAlign w:val="center"/>
            <w:hideMark/>
          </w:tcPr>
          <w:p w14:paraId="0FA717DC" w14:textId="6393EABB" w:rsidR="00FA7969" w:rsidRPr="002D7575" w:rsidRDefault="00FA7969" w:rsidP="00A0634F">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(lastniško financiranje)</w:t>
            </w:r>
          </w:p>
        </w:tc>
        <w:tc>
          <w:tcPr>
            <w:tcW w:w="2016" w:type="dxa"/>
            <w:tcBorders>
              <w:top w:val="single" w:sz="4" w:space="0" w:color="auto"/>
              <w:left w:val="single" w:sz="4" w:space="0" w:color="auto"/>
              <w:bottom w:val="nil"/>
              <w:right w:val="nil"/>
            </w:tcBorders>
            <w:shd w:val="clear" w:color="auto" w:fill="auto"/>
            <w:noWrap/>
            <w:vAlign w:val="center"/>
            <w:hideMark/>
          </w:tcPr>
          <w:p w14:paraId="184B055A" w14:textId="77777777" w:rsidR="00FA7969" w:rsidRPr="002D7575" w:rsidRDefault="00FA7969" w:rsidP="00596343">
            <w:pPr>
              <w:jc w:val="right"/>
              <w:outlineLvl w:val="2"/>
              <w:rPr>
                <w:rFonts w:cs="Arial"/>
                <w:b/>
                <w:color w:val="000000"/>
                <w:sz w:val="16"/>
                <w:szCs w:val="16"/>
                <w:lang w:val="sl-SI" w:eastAsia="sl-SI"/>
              </w:rPr>
            </w:pPr>
            <w:r w:rsidRPr="002D7575">
              <w:rPr>
                <w:rFonts w:cs="Arial"/>
                <w:b/>
                <w:color w:val="000000"/>
                <w:sz w:val="16"/>
                <w:szCs w:val="16"/>
                <w:lang w:val="sl-SI" w:eastAsia="sl-SI"/>
              </w:rPr>
              <w:t>4.000.000,00</w:t>
            </w:r>
          </w:p>
        </w:tc>
        <w:tc>
          <w:tcPr>
            <w:tcW w:w="1873" w:type="dxa"/>
            <w:tcBorders>
              <w:top w:val="single" w:sz="4" w:space="0" w:color="auto"/>
              <w:left w:val="single" w:sz="4" w:space="0" w:color="auto"/>
              <w:bottom w:val="nil"/>
              <w:right w:val="nil"/>
            </w:tcBorders>
            <w:shd w:val="clear" w:color="auto" w:fill="auto"/>
            <w:noWrap/>
            <w:vAlign w:val="center"/>
            <w:hideMark/>
          </w:tcPr>
          <w:p w14:paraId="11190A8A" w14:textId="77777777" w:rsidR="00FA7969" w:rsidRPr="002D7575" w:rsidRDefault="00FA7969" w:rsidP="00596343">
            <w:pPr>
              <w:jc w:val="right"/>
              <w:outlineLvl w:val="2"/>
              <w:rPr>
                <w:rFonts w:cs="Arial"/>
                <w:b/>
                <w:color w:val="000000"/>
                <w:sz w:val="16"/>
                <w:szCs w:val="16"/>
                <w:lang w:val="sl-SI" w:eastAsia="sl-SI"/>
              </w:rPr>
            </w:pPr>
            <w:r w:rsidRPr="002D7575">
              <w:rPr>
                <w:rFonts w:cs="Arial"/>
                <w:b/>
                <w:color w:val="000000"/>
                <w:sz w:val="16"/>
                <w:szCs w:val="16"/>
                <w:lang w:val="sl-SI" w:eastAsia="sl-SI"/>
              </w:rPr>
              <w:t>6.000.000,00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08B6167F" w14:textId="77777777" w:rsidR="00FA7969" w:rsidRPr="002D7575" w:rsidRDefault="00FA7969" w:rsidP="00596343">
            <w:pPr>
              <w:jc w:val="right"/>
              <w:outlineLvl w:val="2"/>
              <w:rPr>
                <w:rFonts w:cs="Arial"/>
                <w:b/>
                <w:color w:val="000000"/>
                <w:sz w:val="16"/>
                <w:szCs w:val="16"/>
                <w:lang w:val="sl-SI" w:eastAsia="sl-SI"/>
              </w:rPr>
            </w:pPr>
            <w:r w:rsidRPr="002D7575">
              <w:rPr>
                <w:rFonts w:cs="Arial"/>
                <w:b/>
                <w:color w:val="000000"/>
                <w:sz w:val="16"/>
                <w:szCs w:val="16"/>
                <w:lang w:val="sl-SI" w:eastAsia="sl-SI"/>
              </w:rPr>
              <w:t>10.000.000,00</w:t>
            </w:r>
          </w:p>
        </w:tc>
      </w:tr>
      <w:tr w:rsidR="00FA7969" w:rsidRPr="002D7575" w14:paraId="6969D5E6"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581BCACE"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001</w:t>
            </w:r>
          </w:p>
        </w:tc>
        <w:tc>
          <w:tcPr>
            <w:tcW w:w="1873" w:type="dxa"/>
            <w:vMerge w:val="restart"/>
            <w:tcBorders>
              <w:top w:val="single" w:sz="4" w:space="0" w:color="auto"/>
              <w:left w:val="single" w:sz="4" w:space="0" w:color="auto"/>
              <w:right w:val="nil"/>
            </w:tcBorders>
            <w:shd w:val="clear" w:color="auto" w:fill="auto"/>
            <w:noWrap/>
            <w:vAlign w:val="center"/>
            <w:hideMark/>
          </w:tcPr>
          <w:p w14:paraId="3D4020BF"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2016" w:type="dxa"/>
            <w:tcBorders>
              <w:top w:val="single" w:sz="4" w:space="0" w:color="auto"/>
              <w:left w:val="single" w:sz="4" w:space="0" w:color="auto"/>
              <w:bottom w:val="nil"/>
              <w:right w:val="nil"/>
            </w:tcBorders>
            <w:shd w:val="clear" w:color="auto" w:fill="auto"/>
            <w:noWrap/>
            <w:vAlign w:val="center"/>
            <w:hideMark/>
          </w:tcPr>
          <w:p w14:paraId="6035060B"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7.000.000,00</w:t>
            </w:r>
          </w:p>
        </w:tc>
        <w:tc>
          <w:tcPr>
            <w:tcW w:w="1873" w:type="dxa"/>
            <w:tcBorders>
              <w:top w:val="single" w:sz="4" w:space="0" w:color="auto"/>
              <w:left w:val="single" w:sz="4" w:space="0" w:color="auto"/>
              <w:bottom w:val="nil"/>
              <w:right w:val="nil"/>
            </w:tcBorders>
            <w:shd w:val="clear" w:color="auto" w:fill="auto"/>
            <w:noWrap/>
            <w:vAlign w:val="center"/>
            <w:hideMark/>
          </w:tcPr>
          <w:p w14:paraId="6D35B8D9"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9.000.000,00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41014967"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16.000.000,00</w:t>
            </w:r>
          </w:p>
        </w:tc>
      </w:tr>
      <w:tr w:rsidR="00FA7969" w:rsidRPr="002D7575" w14:paraId="394F3C64"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1C3FBE76"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067</w:t>
            </w:r>
          </w:p>
        </w:tc>
        <w:tc>
          <w:tcPr>
            <w:tcW w:w="1873" w:type="dxa"/>
            <w:vMerge/>
            <w:tcBorders>
              <w:left w:val="single" w:sz="4" w:space="0" w:color="auto"/>
              <w:right w:val="nil"/>
            </w:tcBorders>
            <w:shd w:val="clear" w:color="auto" w:fill="auto"/>
            <w:noWrap/>
            <w:vAlign w:val="center"/>
            <w:hideMark/>
          </w:tcPr>
          <w:p w14:paraId="547A698A" w14:textId="77777777" w:rsidR="00FA7969" w:rsidRPr="002D7575" w:rsidRDefault="00FA7969" w:rsidP="00CE3440">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772FC791"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7.500.000,00</w:t>
            </w:r>
          </w:p>
        </w:tc>
        <w:tc>
          <w:tcPr>
            <w:tcW w:w="1873" w:type="dxa"/>
            <w:tcBorders>
              <w:top w:val="single" w:sz="4" w:space="0" w:color="auto"/>
              <w:left w:val="single" w:sz="4" w:space="0" w:color="auto"/>
              <w:bottom w:val="nil"/>
              <w:right w:val="nil"/>
            </w:tcBorders>
            <w:shd w:val="clear" w:color="auto" w:fill="auto"/>
            <w:noWrap/>
            <w:vAlign w:val="center"/>
            <w:hideMark/>
          </w:tcPr>
          <w:p w14:paraId="7F081037"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9.000.000,00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736308A3"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16.500.000,00</w:t>
            </w:r>
          </w:p>
        </w:tc>
      </w:tr>
      <w:tr w:rsidR="00FA7969" w:rsidRPr="002D7575" w14:paraId="11E99EC2"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2FCCA6D0"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068</w:t>
            </w:r>
          </w:p>
        </w:tc>
        <w:tc>
          <w:tcPr>
            <w:tcW w:w="1873" w:type="dxa"/>
            <w:vMerge/>
            <w:tcBorders>
              <w:left w:val="single" w:sz="4" w:space="0" w:color="auto"/>
              <w:right w:val="nil"/>
            </w:tcBorders>
            <w:shd w:val="clear" w:color="auto" w:fill="auto"/>
            <w:noWrap/>
            <w:vAlign w:val="center"/>
            <w:hideMark/>
          </w:tcPr>
          <w:p w14:paraId="59285546" w14:textId="77777777" w:rsidR="00FA7969" w:rsidRPr="002D7575" w:rsidRDefault="00FA7969" w:rsidP="00CE3440">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7B5C44DA" w14:textId="6D626718" w:rsidR="00FA7969" w:rsidRPr="002D7575" w:rsidRDefault="00763EEA" w:rsidP="00A0634F">
            <w:pPr>
              <w:jc w:val="right"/>
              <w:outlineLvl w:val="2"/>
              <w:rPr>
                <w:rFonts w:cs="Arial"/>
                <w:color w:val="000000"/>
                <w:sz w:val="16"/>
                <w:szCs w:val="16"/>
                <w:lang w:val="sl-SI" w:eastAsia="sl-SI"/>
              </w:rPr>
            </w:pPr>
            <w:r w:rsidRPr="002D7575">
              <w:rPr>
                <w:rFonts w:cs="Arial"/>
                <w:color w:val="000000"/>
                <w:sz w:val="16"/>
                <w:szCs w:val="16"/>
                <w:lang w:val="sl-SI" w:eastAsia="sl-SI"/>
              </w:rPr>
              <w:t>10.000.000,00</w:t>
            </w:r>
          </w:p>
        </w:tc>
        <w:tc>
          <w:tcPr>
            <w:tcW w:w="1873" w:type="dxa"/>
            <w:tcBorders>
              <w:top w:val="single" w:sz="4" w:space="0" w:color="auto"/>
              <w:left w:val="single" w:sz="4" w:space="0" w:color="auto"/>
              <w:bottom w:val="nil"/>
              <w:right w:val="nil"/>
            </w:tcBorders>
            <w:shd w:val="clear" w:color="auto" w:fill="auto"/>
            <w:noWrap/>
            <w:vAlign w:val="center"/>
            <w:hideMark/>
          </w:tcPr>
          <w:p w14:paraId="1DCA6B04" w14:textId="2ECA433A" w:rsidR="00FA7969" w:rsidRPr="002D7575" w:rsidRDefault="00763EEA" w:rsidP="00A0634F">
            <w:pPr>
              <w:jc w:val="right"/>
              <w:outlineLvl w:val="2"/>
              <w:rPr>
                <w:rFonts w:cs="Arial"/>
                <w:color w:val="000000"/>
                <w:sz w:val="16"/>
                <w:szCs w:val="16"/>
                <w:lang w:val="sl-SI" w:eastAsia="sl-SI"/>
              </w:rPr>
            </w:pPr>
            <w:r w:rsidRPr="002D7575">
              <w:rPr>
                <w:rFonts w:cs="Arial"/>
                <w:color w:val="000000"/>
                <w:sz w:val="16"/>
                <w:szCs w:val="16"/>
                <w:lang w:val="sl-SI" w:eastAsia="sl-SI"/>
              </w:rPr>
              <w:t>15.000.000,00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797829D4"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25.000.000,00</w:t>
            </w:r>
          </w:p>
        </w:tc>
      </w:tr>
      <w:tr w:rsidR="00FA7969" w:rsidRPr="002D7575" w14:paraId="566FD5F8"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4A7C2BF4"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073</w:t>
            </w:r>
          </w:p>
        </w:tc>
        <w:tc>
          <w:tcPr>
            <w:tcW w:w="1873" w:type="dxa"/>
            <w:vMerge/>
            <w:tcBorders>
              <w:left w:val="single" w:sz="4" w:space="0" w:color="auto"/>
              <w:bottom w:val="nil"/>
              <w:right w:val="nil"/>
            </w:tcBorders>
            <w:shd w:val="clear" w:color="auto" w:fill="auto"/>
            <w:noWrap/>
            <w:vAlign w:val="center"/>
            <w:hideMark/>
          </w:tcPr>
          <w:p w14:paraId="18AF0151" w14:textId="77777777" w:rsidR="00FA7969" w:rsidRPr="002D7575" w:rsidRDefault="00FA7969" w:rsidP="00CE3440">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0CD23375"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w:t>
            </w:r>
          </w:p>
        </w:tc>
        <w:tc>
          <w:tcPr>
            <w:tcW w:w="1873" w:type="dxa"/>
            <w:tcBorders>
              <w:top w:val="single" w:sz="4" w:space="0" w:color="auto"/>
              <w:left w:val="single" w:sz="4" w:space="0" w:color="auto"/>
              <w:bottom w:val="nil"/>
              <w:right w:val="nil"/>
            </w:tcBorders>
            <w:shd w:val="clear" w:color="auto" w:fill="auto"/>
            <w:noWrap/>
            <w:vAlign w:val="center"/>
            <w:hideMark/>
          </w:tcPr>
          <w:p w14:paraId="770CB75D"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1.500.000,00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DE35CE7"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2.500.000,00</w:t>
            </w:r>
          </w:p>
        </w:tc>
      </w:tr>
      <w:tr w:rsidR="00763EEA" w:rsidRPr="002D7575" w14:paraId="7AADC9EB" w14:textId="77777777" w:rsidTr="00DA5FC1">
        <w:trPr>
          <w:cantSplit/>
          <w:trHeight w:val="300"/>
        </w:trPr>
        <w:tc>
          <w:tcPr>
            <w:tcW w:w="3456" w:type="dxa"/>
            <w:gridSpan w:val="2"/>
            <w:tcBorders>
              <w:top w:val="single" w:sz="4" w:space="0" w:color="auto"/>
              <w:left w:val="single" w:sz="4" w:space="0" w:color="auto"/>
              <w:bottom w:val="nil"/>
              <w:right w:val="nil"/>
            </w:tcBorders>
            <w:shd w:val="clear" w:color="auto" w:fill="auto"/>
            <w:noWrap/>
            <w:vAlign w:val="center"/>
            <w:hideMark/>
          </w:tcPr>
          <w:p w14:paraId="43F67E50" w14:textId="3ACF268D" w:rsidR="00763EEA" w:rsidRPr="002D7575" w:rsidRDefault="00763EEA" w:rsidP="00A0634F">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2016" w:type="dxa"/>
            <w:tcBorders>
              <w:top w:val="single" w:sz="4" w:space="0" w:color="auto"/>
              <w:left w:val="single" w:sz="4" w:space="0" w:color="auto"/>
              <w:bottom w:val="nil"/>
              <w:right w:val="nil"/>
            </w:tcBorders>
            <w:shd w:val="clear" w:color="auto" w:fill="auto"/>
            <w:noWrap/>
            <w:vAlign w:val="center"/>
            <w:hideMark/>
          </w:tcPr>
          <w:p w14:paraId="62589914" w14:textId="220B6BD2" w:rsidR="00763EEA" w:rsidRPr="002D7575" w:rsidRDefault="00763EEA" w:rsidP="00A0634F">
            <w:pPr>
              <w:jc w:val="right"/>
              <w:rPr>
                <w:rFonts w:cs="Arial"/>
                <w:b/>
                <w:sz w:val="16"/>
                <w:szCs w:val="16"/>
                <w:lang w:val="sl-SI"/>
              </w:rPr>
            </w:pPr>
            <w:r w:rsidRPr="002D7575">
              <w:rPr>
                <w:rFonts w:cs="Arial"/>
                <w:b/>
                <w:sz w:val="16"/>
                <w:szCs w:val="16"/>
                <w:lang w:val="sl-SI"/>
              </w:rPr>
              <w:t>25.500.000,00</w:t>
            </w:r>
          </w:p>
        </w:tc>
        <w:tc>
          <w:tcPr>
            <w:tcW w:w="1873" w:type="dxa"/>
            <w:tcBorders>
              <w:top w:val="single" w:sz="4" w:space="0" w:color="auto"/>
              <w:left w:val="single" w:sz="4" w:space="0" w:color="auto"/>
              <w:bottom w:val="nil"/>
              <w:right w:val="nil"/>
            </w:tcBorders>
            <w:shd w:val="clear" w:color="auto" w:fill="auto"/>
            <w:noWrap/>
            <w:vAlign w:val="center"/>
            <w:hideMark/>
          </w:tcPr>
          <w:p w14:paraId="7BF5822F" w14:textId="3BE5D864" w:rsidR="00763EEA" w:rsidRPr="002D7575" w:rsidRDefault="00763EEA" w:rsidP="00A0634F">
            <w:pPr>
              <w:jc w:val="right"/>
              <w:rPr>
                <w:rFonts w:cs="Arial"/>
                <w:b/>
                <w:sz w:val="16"/>
                <w:szCs w:val="16"/>
                <w:lang w:val="sl-SI"/>
              </w:rPr>
            </w:pPr>
            <w:r w:rsidRPr="002D7575">
              <w:rPr>
                <w:rFonts w:cs="Arial"/>
                <w:b/>
                <w:sz w:val="16"/>
                <w:szCs w:val="16"/>
                <w:lang w:val="sl-SI"/>
              </w:rPr>
              <w:t>34.500.000,00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149030D3" w14:textId="77777777" w:rsidR="00763EEA" w:rsidRPr="002D7575" w:rsidRDefault="00763EEA" w:rsidP="00763EEA">
            <w:pPr>
              <w:jc w:val="right"/>
              <w:rPr>
                <w:rFonts w:cs="Arial"/>
                <w:b/>
                <w:sz w:val="16"/>
                <w:szCs w:val="16"/>
                <w:lang w:val="sl-SI"/>
              </w:rPr>
            </w:pPr>
            <w:r w:rsidRPr="002D7575">
              <w:rPr>
                <w:rFonts w:cs="Arial"/>
                <w:b/>
                <w:sz w:val="16"/>
                <w:szCs w:val="16"/>
                <w:lang w:val="sl-SI"/>
              </w:rPr>
              <w:t>60.000.000,00</w:t>
            </w:r>
          </w:p>
        </w:tc>
      </w:tr>
      <w:tr w:rsidR="00763EEA" w:rsidRPr="002D7575" w14:paraId="0CA6DC7A"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78283035" w14:textId="77777777" w:rsidR="00763EEA" w:rsidRPr="002D7575" w:rsidRDefault="00763EEA" w:rsidP="00763EEA">
            <w:pPr>
              <w:jc w:val="both"/>
              <w:outlineLvl w:val="2"/>
              <w:rPr>
                <w:rFonts w:cs="Arial"/>
                <w:color w:val="000000"/>
                <w:sz w:val="16"/>
                <w:szCs w:val="16"/>
                <w:lang w:val="sl-SI" w:eastAsia="sl-SI"/>
              </w:rPr>
            </w:pPr>
            <w:r w:rsidRPr="002D7575">
              <w:rPr>
                <w:rFonts w:cs="Arial"/>
                <w:color w:val="000000"/>
                <w:sz w:val="16"/>
                <w:szCs w:val="16"/>
                <w:lang w:val="sl-SI" w:eastAsia="sl-SI"/>
              </w:rPr>
              <w:t>001</w:t>
            </w:r>
          </w:p>
        </w:tc>
        <w:tc>
          <w:tcPr>
            <w:tcW w:w="1873" w:type="dxa"/>
            <w:vMerge w:val="restart"/>
            <w:tcBorders>
              <w:top w:val="single" w:sz="4" w:space="0" w:color="auto"/>
              <w:left w:val="single" w:sz="4" w:space="0" w:color="auto"/>
              <w:right w:val="nil"/>
            </w:tcBorders>
            <w:shd w:val="clear" w:color="auto" w:fill="auto"/>
            <w:noWrap/>
            <w:vAlign w:val="center"/>
            <w:hideMark/>
          </w:tcPr>
          <w:p w14:paraId="38CE5A90" w14:textId="5A6F2010" w:rsidR="00763EEA" w:rsidRPr="002D7575" w:rsidRDefault="002D7575" w:rsidP="002D7575">
            <w:pPr>
              <w:jc w:val="center"/>
              <w:outlineLvl w:val="2"/>
              <w:rPr>
                <w:rFonts w:cs="Arial"/>
                <w:color w:val="000000"/>
                <w:sz w:val="16"/>
                <w:szCs w:val="16"/>
                <w:lang w:val="sl-SI" w:eastAsia="sl-SI"/>
              </w:rPr>
            </w:pPr>
            <w:r>
              <w:rPr>
                <w:rFonts w:cs="Arial"/>
                <w:color w:val="000000"/>
                <w:sz w:val="16"/>
                <w:szCs w:val="16"/>
                <w:lang w:val="sl-SI" w:eastAsia="sl-SI"/>
              </w:rPr>
              <w:t>Garancije</w:t>
            </w:r>
          </w:p>
        </w:tc>
        <w:tc>
          <w:tcPr>
            <w:tcW w:w="2016" w:type="dxa"/>
            <w:tcBorders>
              <w:top w:val="single" w:sz="4" w:space="0" w:color="auto"/>
              <w:left w:val="single" w:sz="4" w:space="0" w:color="auto"/>
              <w:bottom w:val="nil"/>
              <w:right w:val="nil"/>
            </w:tcBorders>
            <w:shd w:val="clear" w:color="auto" w:fill="auto"/>
            <w:noWrap/>
            <w:vAlign w:val="center"/>
            <w:hideMark/>
          </w:tcPr>
          <w:p w14:paraId="5F752326" w14:textId="77777777" w:rsidR="00763EEA" w:rsidRPr="002D7575" w:rsidRDefault="00763EEA" w:rsidP="00763EEA">
            <w:pPr>
              <w:jc w:val="right"/>
              <w:rPr>
                <w:rFonts w:cs="Arial"/>
                <w:sz w:val="16"/>
                <w:szCs w:val="16"/>
                <w:lang w:val="sl-SI"/>
              </w:rPr>
            </w:pPr>
            <w:r w:rsidRPr="002D7575">
              <w:rPr>
                <w:rFonts w:cs="Arial"/>
                <w:sz w:val="16"/>
                <w:szCs w:val="16"/>
                <w:lang w:val="sl-SI"/>
              </w:rPr>
              <w:t>10.000.000,00</w:t>
            </w:r>
          </w:p>
        </w:tc>
        <w:tc>
          <w:tcPr>
            <w:tcW w:w="1873" w:type="dxa"/>
            <w:tcBorders>
              <w:top w:val="single" w:sz="4" w:space="0" w:color="auto"/>
              <w:left w:val="single" w:sz="4" w:space="0" w:color="auto"/>
              <w:bottom w:val="nil"/>
              <w:right w:val="nil"/>
            </w:tcBorders>
            <w:shd w:val="clear" w:color="auto" w:fill="auto"/>
            <w:noWrap/>
            <w:vAlign w:val="center"/>
            <w:hideMark/>
          </w:tcPr>
          <w:p w14:paraId="2BD244AB" w14:textId="77777777" w:rsidR="00763EEA" w:rsidRPr="002D7575" w:rsidRDefault="00763EEA" w:rsidP="00763EEA">
            <w:pPr>
              <w:jc w:val="right"/>
              <w:rPr>
                <w:rFonts w:cs="Arial"/>
                <w:sz w:val="16"/>
                <w:szCs w:val="16"/>
                <w:lang w:val="sl-SI"/>
              </w:rPr>
            </w:pPr>
            <w:r w:rsidRPr="002D7575">
              <w:rPr>
                <w:rFonts w:cs="Arial"/>
                <w:sz w:val="16"/>
                <w:szCs w:val="16"/>
                <w:lang w:val="sl-SI"/>
              </w:rPr>
              <w:t>15.000.000,00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CA1221F" w14:textId="77777777" w:rsidR="00763EEA" w:rsidRPr="002D7575" w:rsidRDefault="00763EEA" w:rsidP="00763EEA">
            <w:pPr>
              <w:jc w:val="right"/>
              <w:rPr>
                <w:rFonts w:cs="Arial"/>
                <w:sz w:val="16"/>
                <w:szCs w:val="16"/>
                <w:lang w:val="sl-SI"/>
              </w:rPr>
            </w:pPr>
            <w:r w:rsidRPr="002D7575">
              <w:rPr>
                <w:rFonts w:cs="Arial"/>
                <w:sz w:val="16"/>
                <w:szCs w:val="16"/>
                <w:lang w:val="sl-SI"/>
              </w:rPr>
              <w:t>25.000.000,00</w:t>
            </w:r>
          </w:p>
        </w:tc>
      </w:tr>
      <w:tr w:rsidR="00763EEA" w:rsidRPr="002D7575" w14:paraId="2443C325"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7864E64B" w14:textId="77777777" w:rsidR="00763EEA" w:rsidRPr="002D7575" w:rsidRDefault="00763EEA" w:rsidP="00763EEA">
            <w:pPr>
              <w:jc w:val="both"/>
              <w:outlineLvl w:val="2"/>
              <w:rPr>
                <w:rFonts w:cs="Arial"/>
                <w:color w:val="000000"/>
                <w:sz w:val="16"/>
                <w:szCs w:val="16"/>
                <w:lang w:val="sl-SI" w:eastAsia="sl-SI"/>
              </w:rPr>
            </w:pPr>
            <w:r w:rsidRPr="002D7575">
              <w:rPr>
                <w:rFonts w:cs="Arial"/>
                <w:color w:val="000000"/>
                <w:sz w:val="16"/>
                <w:szCs w:val="16"/>
                <w:lang w:val="sl-SI" w:eastAsia="sl-SI"/>
              </w:rPr>
              <w:t>067</w:t>
            </w:r>
          </w:p>
        </w:tc>
        <w:tc>
          <w:tcPr>
            <w:tcW w:w="1873" w:type="dxa"/>
            <w:vMerge/>
            <w:tcBorders>
              <w:left w:val="single" w:sz="4" w:space="0" w:color="auto"/>
              <w:right w:val="nil"/>
            </w:tcBorders>
            <w:shd w:val="clear" w:color="auto" w:fill="auto"/>
            <w:noWrap/>
            <w:vAlign w:val="center"/>
            <w:hideMark/>
          </w:tcPr>
          <w:p w14:paraId="51E3D15E" w14:textId="77777777" w:rsidR="00763EEA" w:rsidRPr="002D7575" w:rsidRDefault="00763EEA" w:rsidP="00763EEA">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2BE3E262" w14:textId="77777777" w:rsidR="00763EEA" w:rsidRPr="002D7575" w:rsidRDefault="00763EEA" w:rsidP="00763EEA">
            <w:pPr>
              <w:jc w:val="right"/>
              <w:rPr>
                <w:rFonts w:cs="Arial"/>
                <w:sz w:val="16"/>
                <w:szCs w:val="16"/>
                <w:lang w:val="sl-SI"/>
              </w:rPr>
            </w:pPr>
            <w:r w:rsidRPr="002D7575">
              <w:rPr>
                <w:rFonts w:cs="Arial"/>
                <w:sz w:val="16"/>
                <w:szCs w:val="16"/>
                <w:lang w:val="sl-SI"/>
              </w:rPr>
              <w:t>14.600.000,00</w:t>
            </w:r>
          </w:p>
        </w:tc>
        <w:tc>
          <w:tcPr>
            <w:tcW w:w="1873" w:type="dxa"/>
            <w:tcBorders>
              <w:top w:val="single" w:sz="4" w:space="0" w:color="auto"/>
              <w:left w:val="single" w:sz="4" w:space="0" w:color="auto"/>
              <w:bottom w:val="nil"/>
              <w:right w:val="nil"/>
            </w:tcBorders>
            <w:shd w:val="clear" w:color="auto" w:fill="auto"/>
            <w:noWrap/>
            <w:vAlign w:val="center"/>
            <w:hideMark/>
          </w:tcPr>
          <w:p w14:paraId="60709E45" w14:textId="77777777" w:rsidR="00763EEA" w:rsidRPr="002D7575" w:rsidRDefault="00763EEA" w:rsidP="00763EEA">
            <w:pPr>
              <w:jc w:val="right"/>
              <w:rPr>
                <w:rFonts w:cs="Arial"/>
                <w:sz w:val="16"/>
                <w:szCs w:val="16"/>
                <w:lang w:val="sl-SI"/>
              </w:rPr>
            </w:pPr>
            <w:r w:rsidRPr="002D7575">
              <w:rPr>
                <w:rFonts w:cs="Arial"/>
                <w:sz w:val="16"/>
                <w:szCs w:val="16"/>
                <w:lang w:val="sl-SI"/>
              </w:rPr>
              <w:t>21.900.000,00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5B74A0A5" w14:textId="77777777" w:rsidR="00763EEA" w:rsidRPr="002D7575" w:rsidRDefault="00763EEA" w:rsidP="00763EEA">
            <w:pPr>
              <w:jc w:val="right"/>
              <w:rPr>
                <w:rFonts w:cs="Arial"/>
                <w:sz w:val="16"/>
                <w:szCs w:val="16"/>
                <w:lang w:val="sl-SI"/>
              </w:rPr>
            </w:pPr>
            <w:r w:rsidRPr="002D7575">
              <w:rPr>
                <w:rFonts w:cs="Arial"/>
                <w:sz w:val="16"/>
                <w:szCs w:val="16"/>
                <w:lang w:val="sl-SI"/>
              </w:rPr>
              <w:t>36.500.000,00</w:t>
            </w:r>
          </w:p>
        </w:tc>
      </w:tr>
      <w:tr w:rsidR="00763EEA" w:rsidRPr="002D7575" w14:paraId="0F07F672" w14:textId="77777777" w:rsidTr="00DA5FC1">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56A216D1" w14:textId="77777777" w:rsidR="00763EEA" w:rsidRPr="002D7575" w:rsidRDefault="00763EEA" w:rsidP="00763EEA">
            <w:pPr>
              <w:jc w:val="both"/>
              <w:outlineLvl w:val="2"/>
              <w:rPr>
                <w:rFonts w:cs="Arial"/>
                <w:color w:val="000000"/>
                <w:sz w:val="16"/>
                <w:szCs w:val="16"/>
                <w:lang w:val="sl-SI" w:eastAsia="sl-SI"/>
              </w:rPr>
            </w:pPr>
            <w:r w:rsidRPr="002D7575">
              <w:rPr>
                <w:rFonts w:cs="Arial"/>
                <w:color w:val="000000"/>
                <w:sz w:val="16"/>
                <w:szCs w:val="16"/>
                <w:lang w:val="sl-SI" w:eastAsia="sl-SI"/>
              </w:rPr>
              <w:t>073</w:t>
            </w:r>
          </w:p>
        </w:tc>
        <w:tc>
          <w:tcPr>
            <w:tcW w:w="1873" w:type="dxa"/>
            <w:vMerge/>
            <w:tcBorders>
              <w:left w:val="single" w:sz="4" w:space="0" w:color="auto"/>
              <w:bottom w:val="nil"/>
              <w:right w:val="nil"/>
            </w:tcBorders>
            <w:shd w:val="clear" w:color="auto" w:fill="auto"/>
            <w:noWrap/>
            <w:vAlign w:val="center"/>
            <w:hideMark/>
          </w:tcPr>
          <w:p w14:paraId="2352287E" w14:textId="77777777" w:rsidR="00763EEA" w:rsidRPr="002D7575" w:rsidRDefault="00763EEA" w:rsidP="00763EEA">
            <w:pPr>
              <w:jc w:val="both"/>
              <w:outlineLvl w:val="2"/>
              <w:rPr>
                <w:rFonts w:cs="Arial"/>
                <w:color w:val="000000"/>
                <w:sz w:val="16"/>
                <w:szCs w:val="16"/>
                <w:lang w:val="sl-SI"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21E83813" w14:textId="77777777" w:rsidR="00763EEA" w:rsidRPr="002D7575" w:rsidRDefault="00763EEA" w:rsidP="00763EEA">
            <w:pPr>
              <w:jc w:val="right"/>
              <w:rPr>
                <w:rFonts w:cs="Arial"/>
                <w:sz w:val="16"/>
                <w:szCs w:val="16"/>
                <w:lang w:val="sl-SI"/>
              </w:rPr>
            </w:pPr>
            <w:r w:rsidRPr="002D7575">
              <w:rPr>
                <w:rFonts w:cs="Arial"/>
                <w:sz w:val="16"/>
                <w:szCs w:val="16"/>
                <w:lang w:val="sl-SI"/>
              </w:rPr>
              <w:t>1.400.000,00</w:t>
            </w:r>
          </w:p>
        </w:tc>
        <w:tc>
          <w:tcPr>
            <w:tcW w:w="1873" w:type="dxa"/>
            <w:tcBorders>
              <w:top w:val="single" w:sz="4" w:space="0" w:color="auto"/>
              <w:left w:val="single" w:sz="4" w:space="0" w:color="auto"/>
              <w:bottom w:val="nil"/>
              <w:right w:val="nil"/>
            </w:tcBorders>
            <w:shd w:val="clear" w:color="auto" w:fill="auto"/>
            <w:noWrap/>
            <w:vAlign w:val="center"/>
            <w:hideMark/>
          </w:tcPr>
          <w:p w14:paraId="64BC039F" w14:textId="77777777" w:rsidR="00763EEA" w:rsidRPr="002D7575" w:rsidRDefault="00763EEA" w:rsidP="00763EEA">
            <w:pPr>
              <w:jc w:val="right"/>
              <w:rPr>
                <w:rFonts w:cs="Arial"/>
                <w:sz w:val="16"/>
                <w:szCs w:val="16"/>
                <w:lang w:val="sl-SI"/>
              </w:rPr>
            </w:pPr>
            <w:r w:rsidRPr="002D7575">
              <w:rPr>
                <w:rFonts w:cs="Arial"/>
                <w:sz w:val="16"/>
                <w:szCs w:val="16"/>
                <w:lang w:val="sl-SI"/>
              </w:rPr>
              <w:t>2.100.000,00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1BE3D8FC" w14:textId="77777777" w:rsidR="00763EEA" w:rsidRPr="002D7575" w:rsidRDefault="00763EEA" w:rsidP="00763EEA">
            <w:pPr>
              <w:jc w:val="right"/>
              <w:rPr>
                <w:rFonts w:cs="Arial"/>
                <w:sz w:val="16"/>
                <w:szCs w:val="16"/>
                <w:lang w:val="sl-SI"/>
              </w:rPr>
            </w:pPr>
            <w:r w:rsidRPr="002D7575">
              <w:rPr>
                <w:rFonts w:cs="Arial"/>
                <w:sz w:val="16"/>
                <w:szCs w:val="16"/>
                <w:lang w:val="sl-SI"/>
              </w:rPr>
              <w:t>3.500.000,00</w:t>
            </w:r>
          </w:p>
        </w:tc>
      </w:tr>
      <w:tr w:rsidR="00763EEA" w:rsidRPr="002D7575" w14:paraId="24F28F20" w14:textId="77777777" w:rsidTr="00DA5FC1">
        <w:trPr>
          <w:cantSplit/>
          <w:trHeight w:val="300"/>
        </w:trPr>
        <w:tc>
          <w:tcPr>
            <w:tcW w:w="3456" w:type="dxa"/>
            <w:gridSpan w:val="2"/>
            <w:tcBorders>
              <w:top w:val="single" w:sz="4" w:space="0" w:color="auto"/>
              <w:left w:val="single" w:sz="4" w:space="0" w:color="auto"/>
              <w:bottom w:val="single" w:sz="4" w:space="0" w:color="auto"/>
              <w:right w:val="nil"/>
            </w:tcBorders>
            <w:shd w:val="clear" w:color="auto" w:fill="auto"/>
            <w:noWrap/>
            <w:vAlign w:val="center"/>
            <w:hideMark/>
          </w:tcPr>
          <w:p w14:paraId="173B99C3" w14:textId="77777777" w:rsidR="00763EEA" w:rsidRPr="002D7575" w:rsidRDefault="00763EEA" w:rsidP="00763EEA">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(jamstva)</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64869ACA" w14:textId="77777777" w:rsidR="00763EEA" w:rsidRPr="002D7575" w:rsidRDefault="00763EEA" w:rsidP="00763EEA">
            <w:pPr>
              <w:jc w:val="right"/>
              <w:rPr>
                <w:rFonts w:cs="Arial"/>
                <w:b/>
                <w:sz w:val="16"/>
                <w:szCs w:val="16"/>
                <w:lang w:val="sl-SI"/>
              </w:rPr>
            </w:pPr>
            <w:r w:rsidRPr="002D7575">
              <w:rPr>
                <w:rFonts w:cs="Arial"/>
                <w:b/>
                <w:sz w:val="16"/>
                <w:szCs w:val="16"/>
                <w:lang w:val="sl-SI"/>
              </w:rPr>
              <w:t>26.000.000,00</w:t>
            </w:r>
          </w:p>
        </w:tc>
        <w:tc>
          <w:tcPr>
            <w:tcW w:w="1873" w:type="dxa"/>
            <w:tcBorders>
              <w:top w:val="single" w:sz="4" w:space="0" w:color="auto"/>
              <w:left w:val="single" w:sz="4" w:space="0" w:color="auto"/>
              <w:bottom w:val="single" w:sz="4" w:space="0" w:color="auto"/>
              <w:right w:val="nil"/>
            </w:tcBorders>
            <w:shd w:val="clear" w:color="auto" w:fill="auto"/>
            <w:noWrap/>
            <w:vAlign w:val="center"/>
            <w:hideMark/>
          </w:tcPr>
          <w:p w14:paraId="1AED2621" w14:textId="77777777" w:rsidR="00763EEA" w:rsidRPr="002D7575" w:rsidRDefault="00763EEA" w:rsidP="00763EEA">
            <w:pPr>
              <w:jc w:val="right"/>
              <w:rPr>
                <w:rFonts w:cs="Arial"/>
                <w:b/>
                <w:sz w:val="16"/>
                <w:szCs w:val="16"/>
                <w:lang w:val="sl-SI"/>
              </w:rPr>
            </w:pPr>
            <w:r w:rsidRPr="002D7575">
              <w:rPr>
                <w:rFonts w:cs="Arial"/>
                <w:b/>
                <w:sz w:val="16"/>
                <w:szCs w:val="16"/>
                <w:lang w:val="sl-SI"/>
              </w:rPr>
              <w:t>39.000.000,00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854D" w14:textId="77777777" w:rsidR="00763EEA" w:rsidRPr="002D7575" w:rsidRDefault="00763EEA" w:rsidP="00763EEA">
            <w:pPr>
              <w:jc w:val="right"/>
              <w:rPr>
                <w:rFonts w:cs="Arial"/>
                <w:b/>
                <w:sz w:val="16"/>
                <w:szCs w:val="16"/>
                <w:lang w:val="sl-SI"/>
              </w:rPr>
            </w:pPr>
            <w:r w:rsidRPr="002D7575">
              <w:rPr>
                <w:rFonts w:cs="Arial"/>
                <w:b/>
                <w:sz w:val="16"/>
                <w:szCs w:val="16"/>
                <w:lang w:val="sl-SI"/>
              </w:rPr>
              <w:t>65.000.000,00</w:t>
            </w:r>
          </w:p>
        </w:tc>
      </w:tr>
      <w:tr w:rsidR="00763EEA" w:rsidRPr="002D7575" w14:paraId="54BA22F1" w14:textId="77777777" w:rsidTr="00DA5FC1">
        <w:trPr>
          <w:cantSplit/>
          <w:trHeight w:val="300"/>
        </w:trPr>
        <w:tc>
          <w:tcPr>
            <w:tcW w:w="345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2B8052F" w14:textId="433CA7AB" w:rsidR="00763EEA" w:rsidRPr="002D7575" w:rsidRDefault="00763EEA" w:rsidP="00A0634F">
            <w:pPr>
              <w:jc w:val="both"/>
              <w:outlineLvl w:val="0"/>
              <w:rPr>
                <w:rFonts w:cs="Arial"/>
                <w:b/>
                <w:color w:val="000000"/>
                <w:sz w:val="16"/>
                <w:szCs w:val="16"/>
                <w:lang w:val="sl-SI" w:eastAsia="sl-SI"/>
              </w:rPr>
            </w:pPr>
            <w:r w:rsidRPr="002D7575">
              <w:rPr>
                <w:rFonts w:cs="Arial"/>
                <w:b/>
                <w:color w:val="000000"/>
                <w:sz w:val="16"/>
                <w:szCs w:val="16"/>
                <w:lang w:val="sl-SI" w:eastAsia="sl-SI"/>
              </w:rPr>
              <w:t>Skupaj</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78ABADAB" w14:textId="786D5AB0" w:rsidR="00763EEA" w:rsidRPr="002D7575" w:rsidRDefault="00763EEA"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55.500.000,00</w:t>
            </w:r>
          </w:p>
        </w:tc>
        <w:tc>
          <w:tcPr>
            <w:tcW w:w="1873" w:type="dxa"/>
            <w:tcBorders>
              <w:top w:val="single" w:sz="4" w:space="0" w:color="auto"/>
              <w:left w:val="single" w:sz="4" w:space="0" w:color="auto"/>
              <w:bottom w:val="single" w:sz="4" w:space="0" w:color="auto"/>
              <w:right w:val="nil"/>
            </w:tcBorders>
            <w:shd w:val="clear" w:color="auto" w:fill="auto"/>
            <w:noWrap/>
            <w:vAlign w:val="center"/>
            <w:hideMark/>
          </w:tcPr>
          <w:p w14:paraId="6D3271E7" w14:textId="7711A901" w:rsidR="00763EEA" w:rsidRPr="002D7575" w:rsidRDefault="00763EEA"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79.500.000,00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A3A1" w14:textId="77777777" w:rsidR="00763EEA" w:rsidRPr="002D7575" w:rsidRDefault="00763EEA" w:rsidP="00763EEA">
            <w:pPr>
              <w:jc w:val="right"/>
              <w:outlineLvl w:val="0"/>
              <w:rPr>
                <w:rFonts w:cs="Arial"/>
                <w:b/>
                <w:color w:val="000000"/>
                <w:sz w:val="16"/>
                <w:szCs w:val="16"/>
                <w:lang w:val="sl-SI" w:eastAsia="sl-SI"/>
              </w:rPr>
            </w:pPr>
            <w:r w:rsidRPr="002D7575">
              <w:rPr>
                <w:rFonts w:cs="Arial"/>
                <w:b/>
                <w:color w:val="000000"/>
                <w:sz w:val="16"/>
                <w:szCs w:val="16"/>
                <w:lang w:val="sl-SI" w:eastAsia="sl-SI"/>
              </w:rPr>
              <w:t>135.000.000,00</w:t>
            </w:r>
          </w:p>
        </w:tc>
      </w:tr>
    </w:tbl>
    <w:p w14:paraId="6DE9B186" w14:textId="77777777"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0F4CE0D3" w14:textId="05C33B64" w:rsidR="00FA7969" w:rsidRPr="004223D6" w:rsidRDefault="00FA7969" w:rsidP="00CE3440">
      <w:pPr>
        <w:jc w:val="both"/>
        <w:rPr>
          <w:rFonts w:cs="Arial"/>
          <w:szCs w:val="22"/>
          <w:lang w:val="sl-SI"/>
        </w:rPr>
      </w:pPr>
      <w:r w:rsidRPr="004223D6">
        <w:rPr>
          <w:rFonts w:cs="Arial"/>
          <w:szCs w:val="22"/>
          <w:lang w:val="sl-SI"/>
        </w:rPr>
        <w:t xml:space="preserve">Prednostno bodo podprte produktivne naložbe MSP. Generične naložbe v izboljšanje snovne in energetske učinkovitosti podjetij prispeva k njihovi konkurenčnosti MSP. Predstavitveni projekti prispevajo k </w:t>
      </w:r>
      <w:proofErr w:type="spellStart"/>
      <w:r w:rsidRPr="004223D6">
        <w:rPr>
          <w:rFonts w:cs="Arial"/>
          <w:szCs w:val="22"/>
          <w:lang w:val="sl-SI"/>
        </w:rPr>
        <w:t>diverzifikaciji</w:t>
      </w:r>
      <w:proofErr w:type="spellEnd"/>
      <w:r w:rsidRPr="004223D6">
        <w:rPr>
          <w:rFonts w:cs="Arial"/>
          <w:szCs w:val="22"/>
          <w:lang w:val="sl-SI"/>
        </w:rPr>
        <w:t xml:space="preserve"> dejavnosti prek novoustanovljenih „spin </w:t>
      </w:r>
      <w:proofErr w:type="spellStart"/>
      <w:r w:rsidRPr="004223D6">
        <w:rPr>
          <w:rFonts w:cs="Arial"/>
          <w:szCs w:val="22"/>
          <w:lang w:val="sl-SI"/>
        </w:rPr>
        <w:t>off</w:t>
      </w:r>
      <w:proofErr w:type="spellEnd"/>
      <w:r w:rsidRPr="004223D6">
        <w:rPr>
          <w:rFonts w:cs="Arial"/>
          <w:szCs w:val="22"/>
          <w:lang w:val="sl-SI"/>
        </w:rPr>
        <w:t xml:space="preserve">“ in „spin </w:t>
      </w:r>
      <w:proofErr w:type="spellStart"/>
      <w:r w:rsidRPr="004223D6">
        <w:rPr>
          <w:rFonts w:cs="Arial"/>
          <w:szCs w:val="22"/>
          <w:lang w:val="sl-SI"/>
        </w:rPr>
        <w:t>ou</w:t>
      </w:r>
      <w:r w:rsidR="00667628" w:rsidRPr="004223D6">
        <w:rPr>
          <w:rFonts w:cs="Arial"/>
          <w:szCs w:val="22"/>
          <w:lang w:val="sl-SI"/>
        </w:rPr>
        <w:t>t</w:t>
      </w:r>
      <w:proofErr w:type="spellEnd"/>
      <w:r w:rsidR="00667628" w:rsidRPr="004223D6">
        <w:rPr>
          <w:rFonts w:cs="Arial"/>
          <w:szCs w:val="22"/>
          <w:lang w:val="sl-SI"/>
        </w:rPr>
        <w:t xml:space="preserve">“ podjetjem. </w:t>
      </w:r>
      <w:r w:rsidR="00C20AB9">
        <w:rPr>
          <w:rFonts w:cs="Arial"/>
          <w:szCs w:val="22"/>
          <w:lang w:val="sl-SI"/>
        </w:rPr>
        <w:t>Do sredstev iz naslova FI so upravičena tudi socialna podjetja, ki jih spremljamo</w:t>
      </w:r>
      <w:r w:rsidRPr="004223D6">
        <w:rPr>
          <w:rFonts w:cs="Arial"/>
          <w:szCs w:val="22"/>
          <w:lang w:val="sl-SI"/>
        </w:rPr>
        <w:t>.</w:t>
      </w:r>
    </w:p>
    <w:p w14:paraId="1359AB50" w14:textId="77777777" w:rsidR="00FA7969" w:rsidRPr="004223D6" w:rsidRDefault="00FA7969" w:rsidP="00CE3440">
      <w:pPr>
        <w:jc w:val="both"/>
        <w:rPr>
          <w:rFonts w:cs="Arial"/>
          <w:lang w:val="sl-SI"/>
        </w:rPr>
      </w:pPr>
    </w:p>
    <w:p w14:paraId="720DD96D" w14:textId="77777777" w:rsidR="00FA7969" w:rsidRPr="004223D6" w:rsidRDefault="00FA7969" w:rsidP="00CE3440">
      <w:pPr>
        <w:pStyle w:val="Naslov3"/>
        <w:numPr>
          <w:ilvl w:val="2"/>
          <w:numId w:val="25"/>
        </w:numPr>
        <w:jc w:val="both"/>
        <w:rPr>
          <w:rFonts w:cs="Arial"/>
          <w:lang w:val="sl-SI"/>
        </w:rPr>
      </w:pPr>
      <w:r w:rsidRPr="004223D6">
        <w:rPr>
          <w:rFonts w:cs="Arial"/>
          <w:lang w:val="sl-SI"/>
        </w:rPr>
        <w:t>Energetska učinkovitost (prednostna naložba 4.1)</w:t>
      </w:r>
    </w:p>
    <w:p w14:paraId="185B21BD" w14:textId="77777777" w:rsidR="00FA7969" w:rsidRPr="004223D6" w:rsidRDefault="00FA7969" w:rsidP="00CE3440">
      <w:pPr>
        <w:jc w:val="both"/>
        <w:rPr>
          <w:rFonts w:cs="Arial"/>
          <w:lang w:val="sl-SI"/>
        </w:rPr>
      </w:pPr>
    </w:p>
    <w:p w14:paraId="7B29FBF1" w14:textId="42390AE1" w:rsidR="00FA7969" w:rsidRPr="004223D6" w:rsidRDefault="00FA7969" w:rsidP="00CE3440">
      <w:pPr>
        <w:jc w:val="both"/>
        <w:rPr>
          <w:rFonts w:eastAsiaTheme="minorHAnsi" w:cs="Arial"/>
          <w:szCs w:val="22"/>
          <w:lang w:val="sl-SI"/>
        </w:rPr>
      </w:pPr>
      <w:r w:rsidRPr="004223D6">
        <w:rPr>
          <w:rFonts w:cs="Arial"/>
          <w:szCs w:val="22"/>
          <w:lang w:val="sl-SI"/>
        </w:rPr>
        <w:t xml:space="preserve">Pospeševanje ukrepov za izboljšanje energetske učinkovitosti in rabe obnovljivih virov energije v javnem sektorju, gospodinjstvih in podjetjih je v Sloveniji potrebno zaradi pritiska naraščanja izpustov toplogrednih plinov iz prometa. Poudarek je na spodbujanju naložb v energetsko </w:t>
      </w:r>
      <w:r w:rsidR="006D5D4C" w:rsidRPr="004223D6">
        <w:rPr>
          <w:rFonts w:cs="Arial"/>
          <w:szCs w:val="22"/>
          <w:lang w:val="sl-SI"/>
        </w:rPr>
        <w:t xml:space="preserve">prenovo </w:t>
      </w:r>
      <w:r w:rsidRPr="004223D6">
        <w:rPr>
          <w:rFonts w:cs="Arial"/>
          <w:szCs w:val="22"/>
          <w:lang w:val="sl-SI"/>
        </w:rPr>
        <w:t xml:space="preserve">stavb, ki ima velik potencial za zmanjšanje rabe energije. Pomembno vlogo pri tem bo imel javni sektor, ki naj bi bil zgled za obnovo v smeri večje energetske učinkovitosti v gospodinjstvih. Po ocenah največ končne energije javnega sektorja brez razsvetljave </w:t>
      </w:r>
      <w:r w:rsidR="006D5D4C" w:rsidRPr="004223D6">
        <w:rPr>
          <w:rFonts w:cs="Arial"/>
          <w:szCs w:val="22"/>
          <w:lang w:val="sl-SI"/>
        </w:rPr>
        <w:t xml:space="preserve">porabijo </w:t>
      </w:r>
      <w:r w:rsidRPr="004223D6">
        <w:rPr>
          <w:rFonts w:cs="Arial"/>
          <w:szCs w:val="22"/>
          <w:lang w:val="sl-SI"/>
        </w:rPr>
        <w:t xml:space="preserve">bolnišnice, sledijo jim osnovne šole, stavbe javne uprave ter stavbe za kulturo in razvedrilo. </w:t>
      </w:r>
      <w:r w:rsidRPr="004223D6">
        <w:rPr>
          <w:rFonts w:eastAsiaTheme="minorHAnsi" w:cs="Arial"/>
          <w:szCs w:val="22"/>
          <w:lang w:val="sl-SI"/>
        </w:rPr>
        <w:t>Za področje energetske učinkovitosti je predvidena uporaba posojil.</w:t>
      </w:r>
    </w:p>
    <w:p w14:paraId="14B333CE" w14:textId="77777777" w:rsidR="00FA7969" w:rsidRPr="004223D6" w:rsidRDefault="00FA7969" w:rsidP="00CE3440">
      <w:pPr>
        <w:jc w:val="both"/>
        <w:rPr>
          <w:rFonts w:cs="Arial"/>
          <w:szCs w:val="22"/>
          <w:lang w:val="sl-SI"/>
        </w:rPr>
      </w:pPr>
    </w:p>
    <w:p w14:paraId="735336B9" w14:textId="59CEBA7E" w:rsidR="00667628" w:rsidRPr="004223D6" w:rsidRDefault="00667628" w:rsidP="002D7575">
      <w:pPr>
        <w:spacing w:after="240"/>
        <w:jc w:val="both"/>
        <w:rPr>
          <w:rFonts w:cs="Arial"/>
          <w:szCs w:val="22"/>
          <w:lang w:val="sl-SI"/>
        </w:rPr>
      </w:pPr>
      <w:r w:rsidRPr="004223D6">
        <w:rPr>
          <w:rFonts w:cs="Arial"/>
          <w:szCs w:val="22"/>
          <w:lang w:val="sl-SI"/>
        </w:rPr>
        <w:t>Prikaz načrta prispevka k ukrepu operativnega programa glede na obliko financiranja</w:t>
      </w:r>
      <w:r w:rsidR="002D7575">
        <w:rPr>
          <w:rFonts w:cs="Arial"/>
          <w:szCs w:val="22"/>
          <w:lang w:val="sl-SI"/>
        </w:rPr>
        <w:t xml:space="preserve"> (v EUR)</w:t>
      </w:r>
      <w:r w:rsidRPr="004223D6">
        <w:rPr>
          <w:rFonts w:cs="Arial"/>
          <w:szCs w:val="22"/>
          <w:lang w:val="sl-SI"/>
        </w:rPr>
        <w:t>:</w:t>
      </w:r>
    </w:p>
    <w:tbl>
      <w:tblPr>
        <w:tblW w:w="5007" w:type="pct"/>
        <w:tblCellMar>
          <w:left w:w="70" w:type="dxa"/>
          <w:right w:w="70" w:type="dxa"/>
        </w:tblCellMar>
        <w:tblLook w:val="04A0" w:firstRow="1" w:lastRow="0" w:firstColumn="1" w:lastColumn="0" w:noHBand="0" w:noVBand="1"/>
      </w:tblPr>
      <w:tblGrid>
        <w:gridCol w:w="1583"/>
        <w:gridCol w:w="1872"/>
        <w:gridCol w:w="2161"/>
        <w:gridCol w:w="1915"/>
        <w:gridCol w:w="1687"/>
      </w:tblGrid>
      <w:tr w:rsidR="00FA7969" w:rsidRPr="002D7575" w14:paraId="7D9A9926" w14:textId="77777777" w:rsidTr="002D7575">
        <w:trPr>
          <w:trHeight w:val="293"/>
        </w:trPr>
        <w:tc>
          <w:tcPr>
            <w:tcW w:w="1556" w:type="dxa"/>
            <w:tcBorders>
              <w:top w:val="single" w:sz="4" w:space="0" w:color="000000"/>
              <w:left w:val="single" w:sz="4" w:space="0" w:color="auto"/>
              <w:bottom w:val="nil"/>
              <w:right w:val="nil"/>
            </w:tcBorders>
            <w:shd w:val="clear" w:color="auto" w:fill="auto"/>
            <w:vAlign w:val="center"/>
            <w:hideMark/>
          </w:tcPr>
          <w:p w14:paraId="0DB34F90"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1842" w:type="dxa"/>
            <w:tcBorders>
              <w:top w:val="single" w:sz="4" w:space="0" w:color="000000"/>
              <w:left w:val="single" w:sz="4" w:space="0" w:color="auto"/>
              <w:bottom w:val="nil"/>
              <w:right w:val="nil"/>
            </w:tcBorders>
            <w:shd w:val="clear" w:color="auto" w:fill="auto"/>
            <w:vAlign w:val="center"/>
            <w:hideMark/>
          </w:tcPr>
          <w:p w14:paraId="330003A2"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2126" w:type="dxa"/>
            <w:tcBorders>
              <w:top w:val="single" w:sz="4" w:space="0" w:color="000000"/>
              <w:left w:val="single" w:sz="4" w:space="0" w:color="auto"/>
              <w:bottom w:val="nil"/>
              <w:right w:val="nil"/>
            </w:tcBorders>
            <w:shd w:val="clear" w:color="auto" w:fill="auto"/>
            <w:vAlign w:val="center"/>
            <w:hideMark/>
          </w:tcPr>
          <w:p w14:paraId="229819CC"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1884" w:type="dxa"/>
            <w:tcBorders>
              <w:top w:val="single" w:sz="4" w:space="0" w:color="000000"/>
              <w:left w:val="single" w:sz="4" w:space="0" w:color="auto"/>
              <w:bottom w:val="nil"/>
              <w:right w:val="nil"/>
            </w:tcBorders>
            <w:shd w:val="clear" w:color="auto" w:fill="auto"/>
            <w:vAlign w:val="center"/>
            <w:hideMark/>
          </w:tcPr>
          <w:p w14:paraId="40226693"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660" w:type="dxa"/>
            <w:tcBorders>
              <w:top w:val="single" w:sz="4" w:space="0" w:color="000000"/>
              <w:left w:val="single" w:sz="4" w:space="0" w:color="auto"/>
              <w:bottom w:val="nil"/>
              <w:right w:val="single" w:sz="4" w:space="0" w:color="auto"/>
            </w:tcBorders>
            <w:shd w:val="clear" w:color="auto" w:fill="auto"/>
            <w:vAlign w:val="center"/>
            <w:hideMark/>
          </w:tcPr>
          <w:p w14:paraId="02C5E97A" w14:textId="77777777" w:rsidR="00FA7969" w:rsidRPr="002D7575" w:rsidRDefault="00FA7969" w:rsidP="00CE3440">
            <w:pPr>
              <w:jc w:val="both"/>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1BCD0A11" w14:textId="77777777" w:rsidTr="002D7575">
        <w:trPr>
          <w:trHeight w:val="300"/>
        </w:trPr>
        <w:tc>
          <w:tcPr>
            <w:tcW w:w="1556" w:type="dxa"/>
            <w:tcBorders>
              <w:top w:val="single" w:sz="4" w:space="0" w:color="auto"/>
              <w:left w:val="single" w:sz="4" w:space="0" w:color="auto"/>
              <w:bottom w:val="nil"/>
              <w:right w:val="nil"/>
            </w:tcBorders>
            <w:shd w:val="clear" w:color="auto" w:fill="auto"/>
            <w:noWrap/>
            <w:vAlign w:val="center"/>
            <w:hideMark/>
          </w:tcPr>
          <w:p w14:paraId="2EF250FA"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013</w:t>
            </w:r>
          </w:p>
        </w:tc>
        <w:tc>
          <w:tcPr>
            <w:tcW w:w="1842" w:type="dxa"/>
            <w:tcBorders>
              <w:top w:val="single" w:sz="4" w:space="0" w:color="auto"/>
              <w:left w:val="single" w:sz="4" w:space="0" w:color="auto"/>
              <w:bottom w:val="nil"/>
              <w:right w:val="nil"/>
            </w:tcBorders>
            <w:shd w:val="clear" w:color="auto" w:fill="auto"/>
            <w:noWrap/>
            <w:vAlign w:val="center"/>
            <w:hideMark/>
          </w:tcPr>
          <w:p w14:paraId="21194F47"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2126" w:type="dxa"/>
            <w:tcBorders>
              <w:top w:val="single" w:sz="4" w:space="0" w:color="auto"/>
              <w:left w:val="single" w:sz="4" w:space="0" w:color="auto"/>
              <w:bottom w:val="nil"/>
              <w:right w:val="nil"/>
            </w:tcBorders>
            <w:shd w:val="clear" w:color="auto" w:fill="auto"/>
            <w:noWrap/>
            <w:vAlign w:val="center"/>
            <w:hideMark/>
          </w:tcPr>
          <w:p w14:paraId="63032311"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w:t>
            </w:r>
          </w:p>
        </w:tc>
        <w:tc>
          <w:tcPr>
            <w:tcW w:w="1884" w:type="dxa"/>
            <w:tcBorders>
              <w:top w:val="single" w:sz="4" w:space="0" w:color="auto"/>
              <w:left w:val="single" w:sz="4" w:space="0" w:color="auto"/>
              <w:bottom w:val="nil"/>
              <w:right w:val="nil"/>
            </w:tcBorders>
            <w:shd w:val="clear" w:color="auto" w:fill="auto"/>
            <w:noWrap/>
            <w:vAlign w:val="center"/>
            <w:hideMark/>
          </w:tcPr>
          <w:p w14:paraId="0A653FEF"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14:paraId="695277DB" w14:textId="77777777" w:rsidR="00FA7969" w:rsidRPr="002D7575" w:rsidRDefault="00FA7969" w:rsidP="0041142C">
            <w:pPr>
              <w:jc w:val="right"/>
              <w:outlineLvl w:val="2"/>
              <w:rPr>
                <w:rFonts w:cs="Arial"/>
                <w:color w:val="000000"/>
                <w:sz w:val="16"/>
                <w:szCs w:val="16"/>
                <w:lang w:val="sl-SI" w:eastAsia="sl-SI"/>
              </w:rPr>
            </w:pPr>
            <w:r w:rsidRPr="002D7575">
              <w:rPr>
                <w:rFonts w:cs="Arial"/>
                <w:color w:val="000000"/>
                <w:sz w:val="16"/>
                <w:szCs w:val="16"/>
                <w:lang w:val="sl-SI" w:eastAsia="sl-SI"/>
              </w:rPr>
              <w:t>25.000.000,00</w:t>
            </w:r>
          </w:p>
        </w:tc>
      </w:tr>
      <w:tr w:rsidR="00FA7969" w:rsidRPr="002D7575" w14:paraId="339BB1BB" w14:textId="77777777" w:rsidTr="002D7575">
        <w:trPr>
          <w:trHeight w:val="300"/>
        </w:trPr>
        <w:tc>
          <w:tcPr>
            <w:tcW w:w="3398" w:type="dxa"/>
            <w:gridSpan w:val="2"/>
            <w:tcBorders>
              <w:top w:val="single" w:sz="4" w:space="0" w:color="auto"/>
              <w:left w:val="single" w:sz="4" w:space="0" w:color="auto"/>
              <w:bottom w:val="single" w:sz="4" w:space="0" w:color="auto"/>
              <w:right w:val="nil"/>
            </w:tcBorders>
            <w:shd w:val="clear" w:color="auto" w:fill="auto"/>
            <w:noWrap/>
            <w:vAlign w:val="center"/>
            <w:hideMark/>
          </w:tcPr>
          <w:p w14:paraId="5ED5A4EA" w14:textId="1D0F1BE5" w:rsidR="00FA7969" w:rsidRPr="002D7575" w:rsidRDefault="00FA7969" w:rsidP="00A0634F">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45248C1C" w14:textId="77777777" w:rsidR="00FA7969" w:rsidRPr="002D7575" w:rsidRDefault="00FA7969" w:rsidP="002D7575">
            <w:pPr>
              <w:jc w:val="center"/>
              <w:outlineLvl w:val="1"/>
              <w:rPr>
                <w:rFonts w:cs="Arial"/>
                <w:b/>
                <w:color w:val="000000"/>
                <w:sz w:val="16"/>
                <w:szCs w:val="16"/>
                <w:lang w:val="sl-SI" w:eastAsia="sl-SI"/>
              </w:rPr>
            </w:pPr>
            <w:r w:rsidRPr="002D7575">
              <w:rPr>
                <w:rFonts w:cs="Arial"/>
                <w:b/>
                <w:color w:val="000000"/>
                <w:sz w:val="16"/>
                <w:szCs w:val="16"/>
                <w:lang w:val="sl-SI" w:eastAsia="sl-SI"/>
              </w:rPr>
              <w:t>/</w:t>
            </w:r>
          </w:p>
        </w:tc>
        <w:tc>
          <w:tcPr>
            <w:tcW w:w="1884" w:type="dxa"/>
            <w:tcBorders>
              <w:top w:val="single" w:sz="4" w:space="0" w:color="auto"/>
              <w:left w:val="single" w:sz="4" w:space="0" w:color="auto"/>
              <w:bottom w:val="single" w:sz="4" w:space="0" w:color="auto"/>
              <w:right w:val="nil"/>
            </w:tcBorders>
            <w:shd w:val="clear" w:color="auto" w:fill="auto"/>
            <w:noWrap/>
            <w:vAlign w:val="center"/>
            <w:hideMark/>
          </w:tcPr>
          <w:p w14:paraId="261FE59D" w14:textId="77777777" w:rsidR="00FA7969" w:rsidRPr="002D7575" w:rsidRDefault="00FA7969" w:rsidP="002D7575">
            <w:pPr>
              <w:jc w:val="center"/>
              <w:outlineLvl w:val="1"/>
              <w:rPr>
                <w:rFonts w:cs="Arial"/>
                <w:b/>
                <w:color w:val="000000"/>
                <w:sz w:val="16"/>
                <w:szCs w:val="16"/>
                <w:lang w:val="sl-SI" w:eastAsia="sl-SI"/>
              </w:rPr>
            </w:pPr>
            <w:r w:rsidRPr="002D7575">
              <w:rPr>
                <w:rFonts w:cs="Arial"/>
                <w:b/>
                <w:color w:val="000000"/>
                <w:sz w:val="16"/>
                <w:szCs w:val="16"/>
                <w:lang w:val="sl-SI" w:eastAsia="sl-SI"/>
              </w:rPr>
              <w: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90E7" w14:textId="77777777" w:rsidR="00FA7969" w:rsidRPr="002D7575" w:rsidRDefault="00FA7969" w:rsidP="0041142C">
            <w:pPr>
              <w:jc w:val="right"/>
              <w:outlineLvl w:val="1"/>
              <w:rPr>
                <w:rFonts w:cs="Arial"/>
                <w:b/>
                <w:color w:val="000000"/>
                <w:sz w:val="16"/>
                <w:szCs w:val="16"/>
                <w:lang w:val="sl-SI" w:eastAsia="sl-SI"/>
              </w:rPr>
            </w:pPr>
            <w:r w:rsidRPr="002D7575">
              <w:rPr>
                <w:rFonts w:cs="Arial"/>
                <w:b/>
                <w:color w:val="000000"/>
                <w:sz w:val="16"/>
                <w:szCs w:val="16"/>
                <w:lang w:val="sl-SI" w:eastAsia="sl-SI"/>
              </w:rPr>
              <w:t>25.000.000,00</w:t>
            </w:r>
          </w:p>
        </w:tc>
      </w:tr>
      <w:tr w:rsidR="00FA7969" w:rsidRPr="002D7575" w14:paraId="519E8CB9" w14:textId="77777777" w:rsidTr="002D7575">
        <w:trPr>
          <w:trHeight w:val="300"/>
        </w:trPr>
        <w:tc>
          <w:tcPr>
            <w:tcW w:w="3398" w:type="dxa"/>
            <w:gridSpan w:val="2"/>
            <w:tcBorders>
              <w:top w:val="single" w:sz="4" w:space="0" w:color="auto"/>
              <w:left w:val="single" w:sz="4" w:space="0" w:color="auto"/>
              <w:bottom w:val="single" w:sz="4" w:space="0" w:color="auto"/>
              <w:right w:val="nil"/>
            </w:tcBorders>
            <w:shd w:val="clear" w:color="auto" w:fill="auto"/>
            <w:noWrap/>
            <w:vAlign w:val="center"/>
            <w:hideMark/>
          </w:tcPr>
          <w:p w14:paraId="0C7F0258" w14:textId="208AA6F7" w:rsidR="00FA7969" w:rsidRPr="002D7575" w:rsidRDefault="00FA7969" w:rsidP="00A0634F">
            <w:pPr>
              <w:jc w:val="both"/>
              <w:outlineLvl w:val="0"/>
              <w:rPr>
                <w:rFonts w:cs="Arial"/>
                <w:color w:val="000000"/>
                <w:sz w:val="16"/>
                <w:szCs w:val="16"/>
                <w:lang w:val="sl-SI" w:eastAsia="sl-SI"/>
              </w:rPr>
            </w:pPr>
            <w:r w:rsidRPr="002D7575">
              <w:rPr>
                <w:rFonts w:cs="Arial"/>
                <w:b/>
                <w:color w:val="000000"/>
                <w:sz w:val="16"/>
                <w:szCs w:val="16"/>
                <w:lang w:val="sl-SI" w:eastAsia="sl-SI"/>
              </w:rPr>
              <w:t>Skupaj</w: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7F8996D9" w14:textId="77777777" w:rsidR="00FA7969" w:rsidRPr="002D7575" w:rsidRDefault="00FA7969" w:rsidP="002D7575">
            <w:pPr>
              <w:jc w:val="center"/>
              <w:outlineLvl w:val="0"/>
              <w:rPr>
                <w:rFonts w:cs="Arial"/>
                <w:b/>
                <w:color w:val="000000"/>
                <w:sz w:val="16"/>
                <w:szCs w:val="16"/>
                <w:lang w:val="sl-SI" w:eastAsia="sl-SI"/>
              </w:rPr>
            </w:pPr>
            <w:r w:rsidRPr="002D7575">
              <w:rPr>
                <w:rFonts w:cs="Arial"/>
                <w:b/>
                <w:color w:val="000000"/>
                <w:sz w:val="16"/>
                <w:szCs w:val="16"/>
                <w:lang w:val="sl-SI" w:eastAsia="sl-SI"/>
              </w:rPr>
              <w:t>/</w:t>
            </w:r>
          </w:p>
        </w:tc>
        <w:tc>
          <w:tcPr>
            <w:tcW w:w="1884" w:type="dxa"/>
            <w:tcBorders>
              <w:top w:val="single" w:sz="4" w:space="0" w:color="auto"/>
              <w:left w:val="single" w:sz="4" w:space="0" w:color="auto"/>
              <w:bottom w:val="single" w:sz="4" w:space="0" w:color="auto"/>
              <w:right w:val="nil"/>
            </w:tcBorders>
            <w:shd w:val="clear" w:color="auto" w:fill="auto"/>
            <w:noWrap/>
            <w:vAlign w:val="center"/>
            <w:hideMark/>
          </w:tcPr>
          <w:p w14:paraId="5C6CFB77" w14:textId="77777777" w:rsidR="00FA7969" w:rsidRPr="002D7575" w:rsidRDefault="00FA7969" w:rsidP="002D7575">
            <w:pPr>
              <w:jc w:val="center"/>
              <w:outlineLvl w:val="0"/>
              <w:rPr>
                <w:rFonts w:cs="Arial"/>
                <w:b/>
                <w:color w:val="000000"/>
                <w:sz w:val="16"/>
                <w:szCs w:val="16"/>
                <w:lang w:val="sl-SI" w:eastAsia="sl-SI"/>
              </w:rPr>
            </w:pPr>
            <w:r w:rsidRPr="002D7575">
              <w:rPr>
                <w:rFonts w:cs="Arial"/>
                <w:b/>
                <w:color w:val="000000"/>
                <w:sz w:val="16"/>
                <w:szCs w:val="16"/>
                <w:lang w:val="sl-SI" w:eastAsia="sl-SI"/>
              </w:rPr>
              <w: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EF27" w14:textId="77777777" w:rsidR="00FA7969" w:rsidRPr="002D7575" w:rsidRDefault="00FA7969" w:rsidP="0041142C">
            <w:pPr>
              <w:jc w:val="right"/>
              <w:outlineLvl w:val="0"/>
              <w:rPr>
                <w:rFonts w:cs="Arial"/>
                <w:b/>
                <w:color w:val="000000"/>
                <w:sz w:val="16"/>
                <w:szCs w:val="16"/>
                <w:lang w:val="sl-SI" w:eastAsia="sl-SI"/>
              </w:rPr>
            </w:pPr>
            <w:r w:rsidRPr="002D7575">
              <w:rPr>
                <w:rFonts w:cs="Arial"/>
                <w:b/>
                <w:color w:val="000000"/>
                <w:sz w:val="16"/>
                <w:szCs w:val="16"/>
                <w:lang w:val="sl-SI" w:eastAsia="sl-SI"/>
              </w:rPr>
              <w:t>25.000.000,00</w:t>
            </w:r>
          </w:p>
        </w:tc>
      </w:tr>
    </w:tbl>
    <w:p w14:paraId="6B6AE7F8" w14:textId="77777777" w:rsidR="00DA5FC1" w:rsidRPr="00DA5FC1" w:rsidRDefault="00FA7969" w:rsidP="00DA5FC1">
      <w:pPr>
        <w:jc w:val="both"/>
        <w:rPr>
          <w:rFonts w:cs="Arial"/>
          <w:sz w:val="16"/>
          <w:szCs w:val="16"/>
          <w:lang w:val="sl-SI"/>
        </w:rPr>
      </w:pPr>
      <w:r w:rsidRPr="00DA5FC1">
        <w:rPr>
          <w:rFonts w:cs="Arial"/>
          <w:sz w:val="16"/>
          <w:szCs w:val="16"/>
          <w:lang w:val="sl-SI"/>
        </w:rPr>
        <w:t>* Sredstva zagotavlja Kohezijski sklad za območje celotne Slovenije; delitev sredstev po kohezijski regiji ni predvidena.</w:t>
      </w:r>
    </w:p>
    <w:p w14:paraId="5557C50C" w14:textId="20FD8C8E"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5289A986" w14:textId="00683535" w:rsidR="00FA7969" w:rsidRPr="004223D6" w:rsidRDefault="00FA7969" w:rsidP="00CE3440">
      <w:pPr>
        <w:jc w:val="both"/>
        <w:rPr>
          <w:rFonts w:cs="Arial"/>
          <w:szCs w:val="22"/>
          <w:lang w:val="sl-SI"/>
        </w:rPr>
      </w:pPr>
      <w:r w:rsidRPr="004223D6">
        <w:rPr>
          <w:rFonts w:cs="Arial"/>
          <w:szCs w:val="22"/>
          <w:lang w:val="sl-SI"/>
        </w:rPr>
        <w:t xml:space="preserve">Demonstrativno bodo podprte naložbe in predstavitveni projekti v prenovo javne infrastrukture za večjo energetsko učinkovitost. Pri tem bodo podprti tudi ukrepi energetske </w:t>
      </w:r>
      <w:r w:rsidR="006D5D4C" w:rsidRPr="004223D6">
        <w:rPr>
          <w:rFonts w:cs="Arial"/>
          <w:szCs w:val="22"/>
          <w:lang w:val="sl-SI"/>
        </w:rPr>
        <w:t>prenove</w:t>
      </w:r>
      <w:r w:rsidRPr="004223D6">
        <w:rPr>
          <w:rFonts w:cs="Arial"/>
          <w:szCs w:val="22"/>
          <w:lang w:val="sl-SI"/>
        </w:rPr>
        <w:t xml:space="preserve"> stavb ali posameznih elementov stavb, zamenjave gradbenega pohištva, sanacija sistemov ogrevanja in hlajenja ter učinkovitejša notranja razsvetljava, ki bodo omogočili celovito energetsko </w:t>
      </w:r>
      <w:r w:rsidR="006D5D4C" w:rsidRPr="004223D6">
        <w:rPr>
          <w:rFonts w:cs="Arial"/>
          <w:szCs w:val="22"/>
          <w:lang w:val="sl-SI"/>
        </w:rPr>
        <w:t>prenovo</w:t>
      </w:r>
      <w:r w:rsidRPr="004223D6">
        <w:rPr>
          <w:rFonts w:cs="Arial"/>
          <w:szCs w:val="22"/>
          <w:lang w:val="sl-SI"/>
        </w:rPr>
        <w:t>.</w:t>
      </w:r>
    </w:p>
    <w:p w14:paraId="53303E05" w14:textId="77777777" w:rsidR="009B4BCC" w:rsidRPr="004223D6" w:rsidRDefault="009B4BCC" w:rsidP="00CE3440">
      <w:pPr>
        <w:jc w:val="both"/>
        <w:rPr>
          <w:rFonts w:cs="Arial"/>
          <w:szCs w:val="22"/>
          <w:lang w:val="sl-SI"/>
        </w:rPr>
      </w:pPr>
    </w:p>
    <w:p w14:paraId="06395A57" w14:textId="38CDDC70" w:rsidR="00FA7969" w:rsidRPr="004223D6" w:rsidRDefault="00FA7969" w:rsidP="00CE3440">
      <w:pPr>
        <w:pStyle w:val="Naslov3"/>
        <w:numPr>
          <w:ilvl w:val="2"/>
          <w:numId w:val="25"/>
        </w:numPr>
        <w:jc w:val="both"/>
        <w:rPr>
          <w:rFonts w:cs="Arial"/>
          <w:lang w:val="sl-SI"/>
        </w:rPr>
      </w:pPr>
      <w:r w:rsidRPr="004223D6">
        <w:rPr>
          <w:rFonts w:cs="Arial"/>
          <w:lang w:val="sl-SI"/>
        </w:rPr>
        <w:t>Urbani</w:t>
      </w:r>
      <w:r w:rsidR="00FC4417" w:rsidRPr="004223D6">
        <w:rPr>
          <w:rFonts w:cs="Arial"/>
          <w:lang w:val="sl-SI"/>
        </w:rPr>
        <w:t xml:space="preserve"> </w:t>
      </w:r>
      <w:r w:rsidRPr="004223D6">
        <w:rPr>
          <w:rFonts w:cs="Arial"/>
          <w:lang w:val="sl-SI"/>
        </w:rPr>
        <w:t>razvoj (prednostna naložba 6.3)</w:t>
      </w:r>
    </w:p>
    <w:p w14:paraId="614B7B38" w14:textId="77777777" w:rsidR="00FA7969" w:rsidRPr="004223D6" w:rsidRDefault="00FA7969" w:rsidP="00CE3440">
      <w:pPr>
        <w:jc w:val="both"/>
        <w:rPr>
          <w:rFonts w:cs="Arial"/>
          <w:lang w:val="sl-SI"/>
        </w:rPr>
      </w:pPr>
    </w:p>
    <w:p w14:paraId="5F56DACC" w14:textId="7E6C4D4F" w:rsidR="00FC4417" w:rsidRPr="004223D6" w:rsidRDefault="00FC4417" w:rsidP="00FC4417">
      <w:pPr>
        <w:jc w:val="both"/>
        <w:rPr>
          <w:rFonts w:cs="Arial"/>
          <w:szCs w:val="22"/>
          <w:lang w:val="sl-SI"/>
        </w:rPr>
      </w:pPr>
      <w:r w:rsidRPr="004223D6">
        <w:rPr>
          <w:rFonts w:cs="Arial"/>
          <w:szCs w:val="22"/>
          <w:lang w:val="sl-SI"/>
        </w:rPr>
        <w:t xml:space="preserve">V mestih in mestnih naseljih živi v Sloveniji približno polovico slovenskega prebivalstva. Več kot polovica vseh delovnih mest pa je skoncentrirana v 11 urbanih središčih. Za učinkovitejšo rabo prostora na urbanih območjih bomo spodbujali izkoriščanje notranjih potencialov mestnih območij z </w:t>
      </w:r>
      <w:proofErr w:type="spellStart"/>
      <w:r w:rsidRPr="004223D6">
        <w:rPr>
          <w:rFonts w:cs="Arial"/>
          <w:szCs w:val="22"/>
          <w:lang w:val="sl-SI"/>
        </w:rPr>
        <w:t>reaktivacijo</w:t>
      </w:r>
      <w:proofErr w:type="spellEnd"/>
      <w:r w:rsidRPr="004223D6">
        <w:rPr>
          <w:rFonts w:cs="Arial"/>
          <w:szCs w:val="22"/>
          <w:lang w:val="sl-SI"/>
        </w:rPr>
        <w:t xml:space="preserve"> prostih in slabo izkoriščenih površin v mestih. Tako bomo </w:t>
      </w:r>
      <w:r w:rsidRPr="004223D6">
        <w:rPr>
          <w:rFonts w:cs="Arial"/>
          <w:szCs w:val="22"/>
          <w:lang w:val="sl-SI"/>
        </w:rPr>
        <w:lastRenderedPageBreak/>
        <w:t>prispevali tudi k razvoju gospodarskih in družbenih dejavnosti ter večji privlačnosti urba</w:t>
      </w:r>
      <w:r w:rsidR="00A0634F">
        <w:rPr>
          <w:rFonts w:cs="Arial"/>
          <w:szCs w:val="22"/>
          <w:lang w:val="sl-SI"/>
        </w:rPr>
        <w:t>nega okolja za delo in bivanje.</w:t>
      </w:r>
    </w:p>
    <w:p w14:paraId="793B9515" w14:textId="77777777" w:rsidR="00FC4417" w:rsidRPr="004223D6" w:rsidRDefault="00FC4417" w:rsidP="00FC4417">
      <w:pPr>
        <w:jc w:val="both"/>
        <w:rPr>
          <w:rFonts w:cs="Arial"/>
          <w:szCs w:val="22"/>
          <w:lang w:val="sl-SI"/>
        </w:rPr>
      </w:pPr>
    </w:p>
    <w:p w14:paraId="2214B87A" w14:textId="24898EA9" w:rsidR="00FC4417" w:rsidRPr="004223D6" w:rsidRDefault="00FC4417" w:rsidP="00FC4417">
      <w:pPr>
        <w:jc w:val="both"/>
        <w:rPr>
          <w:rFonts w:cs="Arial"/>
          <w:szCs w:val="22"/>
          <w:lang w:val="sl-SI"/>
        </w:rPr>
      </w:pPr>
      <w:r w:rsidRPr="004223D6">
        <w:rPr>
          <w:rFonts w:cs="Arial"/>
          <w:szCs w:val="22"/>
          <w:lang w:val="sl-SI"/>
        </w:rPr>
        <w:t>Predlagani FI za spodbujanje urbanega razvoja zajema posojila za mestne občine, podjetja za upravljanje z javnimi površinami in stavbami, stanovanjske kooperative in ponudnike drugih alternativnih oblik bivanja v mestih. Sredstva bodo namenjena projektom, ki bodo prispevali k izvajanju trajnostnih urbanih strategij v (11) mestnih občinah.</w:t>
      </w:r>
    </w:p>
    <w:p w14:paraId="0FF5D72C" w14:textId="77777777" w:rsidR="00FC4417" w:rsidRPr="004223D6" w:rsidRDefault="00FC4417" w:rsidP="00FC4417">
      <w:pPr>
        <w:jc w:val="both"/>
        <w:rPr>
          <w:rFonts w:cs="Arial"/>
          <w:szCs w:val="22"/>
          <w:lang w:val="sl-SI"/>
        </w:rPr>
      </w:pPr>
      <w:r w:rsidRPr="004223D6">
        <w:rPr>
          <w:rFonts w:cs="Arial"/>
          <w:szCs w:val="22"/>
          <w:lang w:val="sl-SI"/>
        </w:rPr>
        <w:t xml:space="preserve"> </w:t>
      </w:r>
    </w:p>
    <w:p w14:paraId="654C64F6" w14:textId="2FBE14A4" w:rsidR="00FC4417" w:rsidRPr="004223D6" w:rsidRDefault="00FC4417" w:rsidP="00FC4417">
      <w:pPr>
        <w:jc w:val="both"/>
        <w:rPr>
          <w:rFonts w:cs="Arial"/>
          <w:szCs w:val="22"/>
          <w:lang w:val="sl-SI"/>
        </w:rPr>
      </w:pPr>
      <w:r w:rsidRPr="004223D6">
        <w:rPr>
          <w:rFonts w:cs="Arial"/>
          <w:szCs w:val="22"/>
          <w:lang w:val="sl-SI"/>
        </w:rPr>
        <w:t xml:space="preserve">Za izvajanje posojil bo namenjenih 5 </w:t>
      </w:r>
      <w:r w:rsidR="005743CB">
        <w:rPr>
          <w:rFonts w:cs="Arial"/>
          <w:szCs w:val="22"/>
          <w:lang w:val="sl-SI"/>
        </w:rPr>
        <w:t>milijonov evrov</w:t>
      </w:r>
      <w:r w:rsidR="005743CB" w:rsidRPr="004223D6">
        <w:rPr>
          <w:rFonts w:cs="Arial"/>
          <w:szCs w:val="22"/>
          <w:lang w:val="sl-SI"/>
        </w:rPr>
        <w:t xml:space="preserve"> </w:t>
      </w:r>
      <w:r w:rsidR="005743CB">
        <w:rPr>
          <w:rFonts w:cs="Arial"/>
          <w:szCs w:val="22"/>
          <w:lang w:val="sl-SI"/>
        </w:rPr>
        <w:t xml:space="preserve">EKP </w:t>
      </w:r>
      <w:r w:rsidRPr="004223D6">
        <w:rPr>
          <w:rFonts w:cs="Arial"/>
          <w:szCs w:val="22"/>
          <w:lang w:val="sl-SI"/>
        </w:rPr>
        <w:t>sredstev.</w:t>
      </w:r>
      <w:r w:rsidR="00C13896">
        <w:rPr>
          <w:rFonts w:cs="Arial"/>
          <w:szCs w:val="22"/>
          <w:lang w:val="sl-SI"/>
        </w:rPr>
        <w:t xml:space="preserve"> </w:t>
      </w:r>
      <w:r w:rsidRPr="004223D6">
        <w:rPr>
          <w:rFonts w:cs="Arial"/>
          <w:szCs w:val="22"/>
          <w:lang w:val="sl-SI"/>
        </w:rPr>
        <w:t>Predlagani znesek je namenjen izvedbi manjšega števila večjih pilotnih projektov (V in Z kohezijska regija).</w:t>
      </w:r>
    </w:p>
    <w:p w14:paraId="3ECA1120" w14:textId="77777777" w:rsidR="00FC4417" w:rsidRPr="004223D6" w:rsidRDefault="00FC4417" w:rsidP="00FC4417">
      <w:pPr>
        <w:jc w:val="both"/>
        <w:rPr>
          <w:rFonts w:cs="Arial"/>
          <w:szCs w:val="22"/>
          <w:lang w:val="sl-SI"/>
        </w:rPr>
      </w:pPr>
    </w:p>
    <w:p w14:paraId="68FFD7B5" w14:textId="0F170B6D" w:rsidR="00FC4417" w:rsidRPr="004223D6" w:rsidRDefault="00FC4417" w:rsidP="00FC4417">
      <w:pPr>
        <w:jc w:val="both"/>
        <w:rPr>
          <w:rFonts w:cs="Arial"/>
          <w:szCs w:val="22"/>
          <w:lang w:val="sl-SI"/>
        </w:rPr>
      </w:pPr>
      <w:r w:rsidRPr="004223D6">
        <w:rPr>
          <w:rFonts w:cs="Arial"/>
          <w:szCs w:val="22"/>
          <w:lang w:val="sl-SI"/>
        </w:rPr>
        <w:t xml:space="preserve">Predlagani FI za urbani razvoj so posojila oz. garancije za pridobitev komercialnih posojil za izvedbo ukrepov, ki prispevajo k doseganju specifičnega cilja te prednostne naložbe in drugih prednostnih naložb </w:t>
      </w:r>
      <w:r w:rsidR="00D51F37" w:rsidRPr="004223D6">
        <w:rPr>
          <w:rFonts w:cs="Arial"/>
          <w:szCs w:val="22"/>
          <w:lang w:val="sl-SI"/>
        </w:rPr>
        <w:t>operativnega programa</w:t>
      </w:r>
      <w:r w:rsidRPr="004223D6">
        <w:rPr>
          <w:rFonts w:cs="Arial"/>
          <w:szCs w:val="22"/>
          <w:lang w:val="sl-SI"/>
        </w:rPr>
        <w:t xml:space="preserve"> in ciljem trajnostnih urbanih strategij v 11 mestnih občinah. S posojili se bo predvidoma podprlo:</w:t>
      </w:r>
    </w:p>
    <w:p w14:paraId="3A0327DA" w14:textId="77777777" w:rsidR="00FC4417" w:rsidRPr="004223D6" w:rsidRDefault="00FC4417" w:rsidP="00FC4417">
      <w:pPr>
        <w:ind w:left="705" w:hanging="705"/>
        <w:jc w:val="both"/>
        <w:rPr>
          <w:rFonts w:cs="Arial"/>
          <w:szCs w:val="22"/>
          <w:lang w:val="sl-SI"/>
        </w:rPr>
      </w:pPr>
      <w:r w:rsidRPr="004223D6">
        <w:rPr>
          <w:rFonts w:cs="Arial"/>
          <w:szCs w:val="22"/>
          <w:lang w:val="sl-SI"/>
        </w:rPr>
        <w:t>-</w:t>
      </w:r>
      <w:r w:rsidRPr="004223D6">
        <w:rPr>
          <w:rFonts w:cs="Arial"/>
          <w:szCs w:val="22"/>
          <w:lang w:val="sl-SI"/>
        </w:rPr>
        <w:tab/>
        <w:t>izvedbo projektov prenove ali novogradnje stanovanj, ki so rezultat urbane prenove s ciljem povečanja javnega stanovanjskega fonda, skladno z izkazanimi potrebami po posameznih mestnih občinah;</w:t>
      </w:r>
    </w:p>
    <w:p w14:paraId="261C9BA8" w14:textId="10AE7E72" w:rsidR="00FC4417" w:rsidRPr="004223D6" w:rsidRDefault="00FC4417" w:rsidP="00FC4417">
      <w:pPr>
        <w:ind w:left="705" w:hanging="705"/>
        <w:jc w:val="both"/>
        <w:rPr>
          <w:rFonts w:cs="Arial"/>
          <w:szCs w:val="22"/>
          <w:lang w:val="sl-SI"/>
        </w:rPr>
      </w:pPr>
      <w:r w:rsidRPr="004223D6">
        <w:rPr>
          <w:rFonts w:cs="Arial"/>
          <w:szCs w:val="22"/>
          <w:lang w:val="sl-SI"/>
        </w:rPr>
        <w:t>-</w:t>
      </w:r>
      <w:r w:rsidRPr="004223D6">
        <w:rPr>
          <w:rFonts w:cs="Arial"/>
          <w:szCs w:val="22"/>
          <w:lang w:val="sl-SI"/>
        </w:rPr>
        <w:tab/>
      </w:r>
      <w:r w:rsidR="002D7575">
        <w:rPr>
          <w:rFonts w:cs="Arial"/>
          <w:szCs w:val="22"/>
          <w:lang w:val="sl-SI"/>
        </w:rPr>
        <w:t>i</w:t>
      </w:r>
      <w:r w:rsidRPr="004223D6">
        <w:rPr>
          <w:rFonts w:cs="Arial"/>
          <w:szCs w:val="22"/>
          <w:lang w:val="sl-SI"/>
        </w:rPr>
        <w:t>zvedbo drugih projektov, katerih namen bo izvajanje posegov fizične prenove urbanih območij, ki so skladni s cilji trajnostnih urbanih strategij v 11 mestnih občinah.</w:t>
      </w:r>
    </w:p>
    <w:p w14:paraId="7F83BBC4" w14:textId="77777777" w:rsidR="00FA7969" w:rsidRPr="004223D6" w:rsidRDefault="00FA7969" w:rsidP="00CE3440">
      <w:pPr>
        <w:jc w:val="both"/>
        <w:rPr>
          <w:rFonts w:cs="Arial"/>
          <w:szCs w:val="22"/>
          <w:lang w:val="sl-SI"/>
        </w:rPr>
      </w:pPr>
    </w:p>
    <w:p w14:paraId="25B6D0AB" w14:textId="01F1903E" w:rsidR="00667628" w:rsidRPr="004223D6" w:rsidRDefault="00667628" w:rsidP="002D7575">
      <w:pPr>
        <w:spacing w:after="240"/>
        <w:jc w:val="both"/>
        <w:rPr>
          <w:rFonts w:cs="Arial"/>
          <w:szCs w:val="22"/>
          <w:lang w:val="sl-SI"/>
        </w:rPr>
      </w:pPr>
      <w:r w:rsidRPr="004223D6">
        <w:rPr>
          <w:rFonts w:cs="Arial"/>
          <w:szCs w:val="22"/>
          <w:lang w:val="sl-SI"/>
        </w:rPr>
        <w:t>Prikaz načrta prispevka k ukrepu operativnega programa glede na obliko financiranja</w:t>
      </w:r>
      <w:r w:rsidR="002D7575">
        <w:rPr>
          <w:rFonts w:cs="Arial"/>
          <w:szCs w:val="22"/>
          <w:lang w:val="sl-SI"/>
        </w:rPr>
        <w:t xml:space="preserve"> (v EUR)</w:t>
      </w:r>
      <w:r w:rsidRPr="004223D6">
        <w:rPr>
          <w:rFonts w:cs="Arial"/>
          <w:szCs w:val="22"/>
          <w:lang w:val="sl-SI"/>
        </w:rPr>
        <w:t>:</w:t>
      </w:r>
    </w:p>
    <w:tbl>
      <w:tblPr>
        <w:tblW w:w="5007" w:type="pct"/>
        <w:tblCellMar>
          <w:left w:w="70" w:type="dxa"/>
          <w:right w:w="70" w:type="dxa"/>
        </w:tblCellMar>
        <w:tblLook w:val="04A0" w:firstRow="1" w:lastRow="0" w:firstColumn="1" w:lastColumn="0" w:noHBand="0" w:noVBand="1"/>
      </w:tblPr>
      <w:tblGrid>
        <w:gridCol w:w="1583"/>
        <w:gridCol w:w="2161"/>
        <w:gridCol w:w="1873"/>
        <w:gridCol w:w="1914"/>
        <w:gridCol w:w="1687"/>
      </w:tblGrid>
      <w:tr w:rsidR="00FA7969" w:rsidRPr="002D7575" w14:paraId="7E0BCCCF" w14:textId="77777777" w:rsidTr="002D7575">
        <w:trPr>
          <w:trHeight w:val="236"/>
        </w:trPr>
        <w:tc>
          <w:tcPr>
            <w:tcW w:w="1556" w:type="dxa"/>
            <w:tcBorders>
              <w:top w:val="single" w:sz="4" w:space="0" w:color="000000"/>
              <w:left w:val="single" w:sz="4" w:space="0" w:color="auto"/>
              <w:bottom w:val="single" w:sz="4" w:space="0" w:color="auto"/>
              <w:right w:val="nil"/>
            </w:tcBorders>
            <w:shd w:val="clear" w:color="auto" w:fill="auto"/>
            <w:vAlign w:val="center"/>
            <w:hideMark/>
          </w:tcPr>
          <w:p w14:paraId="28095E40"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Domena ukrepa</w:t>
            </w:r>
          </w:p>
        </w:tc>
        <w:tc>
          <w:tcPr>
            <w:tcW w:w="2126" w:type="dxa"/>
            <w:tcBorders>
              <w:top w:val="single" w:sz="4" w:space="0" w:color="000000"/>
              <w:left w:val="single" w:sz="4" w:space="0" w:color="auto"/>
              <w:bottom w:val="single" w:sz="4" w:space="0" w:color="auto"/>
              <w:right w:val="nil"/>
            </w:tcBorders>
            <w:shd w:val="clear" w:color="auto" w:fill="auto"/>
            <w:vAlign w:val="center"/>
            <w:hideMark/>
          </w:tcPr>
          <w:p w14:paraId="0A7192E6"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Oblika financiranja</w:t>
            </w:r>
          </w:p>
        </w:tc>
        <w:tc>
          <w:tcPr>
            <w:tcW w:w="1843" w:type="dxa"/>
            <w:tcBorders>
              <w:top w:val="single" w:sz="4" w:space="0" w:color="000000"/>
              <w:left w:val="single" w:sz="4" w:space="0" w:color="auto"/>
              <w:bottom w:val="single" w:sz="4" w:space="0" w:color="auto"/>
              <w:right w:val="nil"/>
            </w:tcBorders>
            <w:shd w:val="clear" w:color="auto" w:fill="auto"/>
            <w:vAlign w:val="center"/>
            <w:hideMark/>
          </w:tcPr>
          <w:p w14:paraId="421D2645"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FI (EU del) - VZHOD</w:t>
            </w:r>
          </w:p>
        </w:tc>
        <w:tc>
          <w:tcPr>
            <w:tcW w:w="1883" w:type="dxa"/>
            <w:tcBorders>
              <w:top w:val="single" w:sz="4" w:space="0" w:color="000000"/>
              <w:left w:val="single" w:sz="4" w:space="0" w:color="auto"/>
              <w:bottom w:val="single" w:sz="4" w:space="0" w:color="auto"/>
              <w:right w:val="nil"/>
            </w:tcBorders>
            <w:shd w:val="clear" w:color="auto" w:fill="auto"/>
            <w:vAlign w:val="center"/>
            <w:hideMark/>
          </w:tcPr>
          <w:p w14:paraId="7351FF0D"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FI (EU del) - ZAHOD</w:t>
            </w:r>
          </w:p>
        </w:tc>
        <w:tc>
          <w:tcPr>
            <w:tcW w:w="16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B29BB2" w14:textId="77777777" w:rsidR="00FA7969" w:rsidRPr="002D7575" w:rsidRDefault="00FA7969" w:rsidP="002D7575">
            <w:pPr>
              <w:jc w:val="both"/>
              <w:rPr>
                <w:rFonts w:cs="Arial"/>
                <w:b/>
                <w:bCs/>
                <w:color w:val="000000"/>
                <w:sz w:val="16"/>
                <w:szCs w:val="16"/>
                <w:lang w:val="sl-SI" w:eastAsia="sl-SI"/>
              </w:rPr>
            </w:pPr>
            <w:r w:rsidRPr="002D7575">
              <w:rPr>
                <w:rFonts w:cs="Arial"/>
                <w:b/>
                <w:bCs/>
                <w:color w:val="000000"/>
                <w:sz w:val="16"/>
                <w:szCs w:val="16"/>
                <w:lang w:val="sl-SI" w:eastAsia="sl-SI"/>
              </w:rPr>
              <w:t>Skupaj FI (EU del)</w:t>
            </w:r>
          </w:p>
        </w:tc>
      </w:tr>
      <w:tr w:rsidR="00FA7969" w:rsidRPr="002D7575" w14:paraId="18534EAB" w14:textId="77777777" w:rsidTr="002D7575">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25BD168A" w14:textId="62B063A1" w:rsidR="00FA7969" w:rsidRPr="002D7575" w:rsidRDefault="007249B5" w:rsidP="00CE3440">
            <w:pPr>
              <w:jc w:val="both"/>
              <w:outlineLvl w:val="2"/>
              <w:rPr>
                <w:rFonts w:cs="Arial"/>
                <w:color w:val="000000"/>
                <w:sz w:val="16"/>
                <w:szCs w:val="16"/>
                <w:lang w:val="sl-SI" w:eastAsia="sl-SI"/>
              </w:rPr>
            </w:pPr>
            <w:r w:rsidRPr="002D7575">
              <w:rPr>
                <w:rFonts w:cs="Arial"/>
                <w:color w:val="000000"/>
                <w:sz w:val="16"/>
                <w:szCs w:val="16"/>
                <w:lang w:val="sl-SI" w:eastAsia="sl-SI"/>
              </w:rPr>
              <w:t>05</w:t>
            </w:r>
            <w:r w:rsidR="004D4C9A" w:rsidRPr="002D7575">
              <w:rPr>
                <w:rFonts w:cs="Arial"/>
                <w:color w:val="000000"/>
                <w:sz w:val="16"/>
                <w:szCs w:val="16"/>
                <w:lang w:val="sl-SI" w:eastAsia="sl-SI"/>
              </w:rPr>
              <w:t>5</w:t>
            </w:r>
          </w:p>
        </w:tc>
        <w:tc>
          <w:tcPr>
            <w:tcW w:w="2126" w:type="dxa"/>
            <w:vMerge w:val="restart"/>
            <w:tcBorders>
              <w:top w:val="single" w:sz="4" w:space="0" w:color="auto"/>
              <w:left w:val="single" w:sz="4" w:space="0" w:color="auto"/>
              <w:right w:val="nil"/>
            </w:tcBorders>
            <w:shd w:val="clear" w:color="auto" w:fill="auto"/>
            <w:noWrap/>
            <w:vAlign w:val="center"/>
            <w:hideMark/>
          </w:tcPr>
          <w:p w14:paraId="621670FD" w14:textId="77777777" w:rsidR="00FA7969" w:rsidRPr="002D7575" w:rsidRDefault="00FA7969" w:rsidP="002D7575">
            <w:pPr>
              <w:jc w:val="center"/>
              <w:outlineLvl w:val="2"/>
              <w:rPr>
                <w:rFonts w:cs="Arial"/>
                <w:color w:val="000000"/>
                <w:sz w:val="16"/>
                <w:szCs w:val="16"/>
                <w:lang w:val="sl-SI" w:eastAsia="sl-SI"/>
              </w:rPr>
            </w:pPr>
            <w:r w:rsidRPr="002D7575">
              <w:rPr>
                <w:rFonts w:cs="Arial"/>
                <w:color w:val="000000"/>
                <w:sz w:val="16"/>
                <w:szCs w:val="16"/>
                <w:lang w:val="sl-SI" w:eastAsia="sl-SI"/>
              </w:rPr>
              <w:t>Posojila</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1F99758"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1.920.000,00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2F2FC0FE"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1.080.000,00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A8B0"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3.000.000,00</w:t>
            </w:r>
          </w:p>
        </w:tc>
      </w:tr>
      <w:tr w:rsidR="00FA7969" w:rsidRPr="002D7575" w14:paraId="23BA3F3F" w14:textId="77777777" w:rsidTr="002D7575">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4EFDAAB8"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089</w:t>
            </w:r>
          </w:p>
        </w:tc>
        <w:tc>
          <w:tcPr>
            <w:tcW w:w="2126" w:type="dxa"/>
            <w:vMerge/>
            <w:tcBorders>
              <w:left w:val="single" w:sz="4" w:space="0" w:color="auto"/>
              <w:right w:val="nil"/>
            </w:tcBorders>
            <w:shd w:val="clear" w:color="auto" w:fill="auto"/>
            <w:noWrap/>
            <w:vAlign w:val="center"/>
            <w:hideMark/>
          </w:tcPr>
          <w:p w14:paraId="748B4250" w14:textId="77777777" w:rsidR="00FA7969" w:rsidRPr="002D7575" w:rsidRDefault="00FA7969" w:rsidP="00CE3440">
            <w:pPr>
              <w:jc w:val="both"/>
              <w:outlineLvl w:val="2"/>
              <w:rPr>
                <w:rFonts w:cs="Arial"/>
                <w:color w:val="000000"/>
                <w:sz w:val="16"/>
                <w:szCs w:val="16"/>
                <w:lang w:val="sl-SI" w:eastAsia="sl-SI"/>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D7BDF5D"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640.000,00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3434C6A2"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360.000,00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F224"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w:t>
            </w:r>
          </w:p>
        </w:tc>
      </w:tr>
      <w:tr w:rsidR="00FA7969" w:rsidRPr="002D7575" w14:paraId="367EA539" w14:textId="77777777" w:rsidTr="002D7575">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3B192A81" w14:textId="77777777" w:rsidR="00FA7969" w:rsidRPr="002D7575" w:rsidRDefault="00FA7969" w:rsidP="00CE3440">
            <w:pPr>
              <w:jc w:val="both"/>
              <w:outlineLvl w:val="2"/>
              <w:rPr>
                <w:rFonts w:cs="Arial"/>
                <w:color w:val="000000"/>
                <w:sz w:val="16"/>
                <w:szCs w:val="16"/>
                <w:lang w:val="sl-SI" w:eastAsia="sl-SI"/>
              </w:rPr>
            </w:pPr>
            <w:r w:rsidRPr="002D7575">
              <w:rPr>
                <w:rFonts w:cs="Arial"/>
                <w:color w:val="000000"/>
                <w:sz w:val="16"/>
                <w:szCs w:val="16"/>
                <w:lang w:val="sl-SI" w:eastAsia="sl-SI"/>
              </w:rPr>
              <w:t>094</w:t>
            </w:r>
          </w:p>
        </w:tc>
        <w:tc>
          <w:tcPr>
            <w:tcW w:w="2126" w:type="dxa"/>
            <w:vMerge/>
            <w:tcBorders>
              <w:left w:val="single" w:sz="4" w:space="0" w:color="auto"/>
              <w:bottom w:val="single" w:sz="4" w:space="0" w:color="auto"/>
              <w:right w:val="nil"/>
            </w:tcBorders>
            <w:shd w:val="clear" w:color="auto" w:fill="auto"/>
            <w:noWrap/>
            <w:vAlign w:val="center"/>
            <w:hideMark/>
          </w:tcPr>
          <w:p w14:paraId="4F806FCD" w14:textId="77777777" w:rsidR="00FA7969" w:rsidRPr="002D7575" w:rsidRDefault="00FA7969" w:rsidP="00CE3440">
            <w:pPr>
              <w:jc w:val="both"/>
              <w:outlineLvl w:val="2"/>
              <w:rPr>
                <w:rFonts w:cs="Arial"/>
                <w:color w:val="000000"/>
                <w:sz w:val="16"/>
                <w:szCs w:val="16"/>
                <w:lang w:val="sl-SI" w:eastAsia="sl-SI"/>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0D4DFC9E"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640.000,00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03E0F785"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360.000,00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4CAE" w14:textId="77777777" w:rsidR="00FA7969" w:rsidRPr="002D7575" w:rsidRDefault="00FA7969" w:rsidP="00596343">
            <w:pPr>
              <w:jc w:val="right"/>
              <w:outlineLvl w:val="2"/>
              <w:rPr>
                <w:rFonts w:cs="Arial"/>
                <w:color w:val="000000"/>
                <w:sz w:val="16"/>
                <w:szCs w:val="16"/>
                <w:lang w:val="sl-SI" w:eastAsia="sl-SI"/>
              </w:rPr>
            </w:pPr>
            <w:r w:rsidRPr="002D7575">
              <w:rPr>
                <w:rFonts w:cs="Arial"/>
                <w:color w:val="000000"/>
                <w:sz w:val="16"/>
                <w:szCs w:val="16"/>
                <w:lang w:val="sl-SI" w:eastAsia="sl-SI"/>
              </w:rPr>
              <w:t>1.000.000,00</w:t>
            </w:r>
          </w:p>
        </w:tc>
      </w:tr>
      <w:tr w:rsidR="00FA7969" w:rsidRPr="002D7575" w14:paraId="072EA6DE" w14:textId="77777777" w:rsidTr="002D7575">
        <w:trPr>
          <w:trHeight w:val="300"/>
        </w:trPr>
        <w:tc>
          <w:tcPr>
            <w:tcW w:w="3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58C5" w14:textId="77777777" w:rsidR="00FA7969" w:rsidRPr="002D7575" w:rsidRDefault="00FA7969" w:rsidP="00CE3440">
            <w:pPr>
              <w:jc w:val="both"/>
              <w:outlineLvl w:val="1"/>
              <w:rPr>
                <w:rFonts w:cs="Arial"/>
                <w:b/>
                <w:bCs/>
                <w:color w:val="000000"/>
                <w:sz w:val="16"/>
                <w:szCs w:val="16"/>
                <w:lang w:val="sl-SI" w:eastAsia="sl-SI"/>
              </w:rPr>
            </w:pPr>
            <w:r w:rsidRPr="002D7575">
              <w:rPr>
                <w:rFonts w:cs="Arial"/>
                <w:b/>
                <w:bCs/>
                <w:color w:val="000000"/>
                <w:sz w:val="16"/>
                <w:szCs w:val="16"/>
                <w:lang w:val="sl-SI" w:eastAsia="sl-SI"/>
              </w:rPr>
              <w:t>Vsota (posojila)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47F9" w14:textId="77777777" w:rsidR="00FA7969" w:rsidRPr="002D7575" w:rsidRDefault="00FA7969" w:rsidP="00596343">
            <w:pPr>
              <w:jc w:val="right"/>
              <w:outlineLvl w:val="1"/>
              <w:rPr>
                <w:rFonts w:cs="Arial"/>
                <w:b/>
                <w:color w:val="000000"/>
                <w:sz w:val="16"/>
                <w:szCs w:val="16"/>
                <w:lang w:val="sl-SI" w:eastAsia="sl-SI"/>
              </w:rPr>
            </w:pPr>
            <w:r w:rsidRPr="002D7575">
              <w:rPr>
                <w:rFonts w:cs="Arial"/>
                <w:b/>
                <w:color w:val="000000"/>
                <w:sz w:val="16"/>
                <w:szCs w:val="16"/>
                <w:lang w:val="sl-SI" w:eastAsia="sl-SI"/>
              </w:rPr>
              <w:t>3.200.000,00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DD19" w14:textId="77777777" w:rsidR="00FA7969" w:rsidRPr="002D7575" w:rsidRDefault="00FA7969" w:rsidP="00596343">
            <w:pPr>
              <w:jc w:val="right"/>
              <w:outlineLvl w:val="1"/>
              <w:rPr>
                <w:rFonts w:cs="Arial"/>
                <w:b/>
                <w:color w:val="000000"/>
                <w:sz w:val="16"/>
                <w:szCs w:val="16"/>
                <w:lang w:val="sl-SI" w:eastAsia="sl-SI"/>
              </w:rPr>
            </w:pPr>
            <w:r w:rsidRPr="002D7575">
              <w:rPr>
                <w:rFonts w:cs="Arial"/>
                <w:b/>
                <w:color w:val="000000"/>
                <w:sz w:val="16"/>
                <w:szCs w:val="16"/>
                <w:lang w:val="sl-SI" w:eastAsia="sl-SI"/>
              </w:rPr>
              <w:t>1.800.000,00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2C00E" w14:textId="77777777" w:rsidR="00FA7969" w:rsidRPr="002D7575" w:rsidRDefault="00FA7969" w:rsidP="00596343">
            <w:pPr>
              <w:jc w:val="right"/>
              <w:outlineLvl w:val="1"/>
              <w:rPr>
                <w:rFonts w:cs="Arial"/>
                <w:b/>
                <w:color w:val="000000"/>
                <w:sz w:val="16"/>
                <w:szCs w:val="16"/>
                <w:lang w:val="sl-SI" w:eastAsia="sl-SI"/>
              </w:rPr>
            </w:pPr>
            <w:r w:rsidRPr="002D7575">
              <w:rPr>
                <w:rFonts w:cs="Arial"/>
                <w:b/>
                <w:color w:val="000000"/>
                <w:sz w:val="16"/>
                <w:szCs w:val="16"/>
                <w:lang w:val="sl-SI" w:eastAsia="sl-SI"/>
              </w:rPr>
              <w:t>5.000.000,00</w:t>
            </w:r>
          </w:p>
        </w:tc>
      </w:tr>
      <w:tr w:rsidR="00FA7969" w:rsidRPr="002D7575" w14:paraId="111D8099" w14:textId="77777777" w:rsidTr="002D7575">
        <w:trPr>
          <w:trHeight w:val="300"/>
        </w:trPr>
        <w:tc>
          <w:tcPr>
            <w:tcW w:w="3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2698F" w14:textId="5630B6AA" w:rsidR="00FA7969" w:rsidRPr="002D7575" w:rsidRDefault="00FA7969" w:rsidP="00A0634F">
            <w:pPr>
              <w:jc w:val="both"/>
              <w:outlineLvl w:val="0"/>
              <w:rPr>
                <w:rFonts w:cs="Arial"/>
                <w:sz w:val="16"/>
                <w:szCs w:val="16"/>
                <w:lang w:val="sl-SI" w:eastAsia="sl-SI"/>
              </w:rPr>
            </w:pPr>
            <w:r w:rsidRPr="002D7575">
              <w:rPr>
                <w:rFonts w:cs="Arial"/>
                <w:b/>
                <w:color w:val="000000"/>
                <w:sz w:val="16"/>
                <w:szCs w:val="16"/>
                <w:lang w:val="sl-SI"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4AC8" w14:textId="77777777" w:rsidR="00FA7969" w:rsidRPr="002D7575" w:rsidRDefault="00FA7969"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3.200.000,00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F844" w14:textId="77777777" w:rsidR="00FA7969" w:rsidRPr="002D7575" w:rsidRDefault="00FA7969"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1.800.000,00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5E6D" w14:textId="77777777" w:rsidR="00FA7969" w:rsidRPr="002D7575" w:rsidRDefault="00FA7969" w:rsidP="00A0634F">
            <w:pPr>
              <w:jc w:val="right"/>
              <w:outlineLvl w:val="0"/>
              <w:rPr>
                <w:rFonts w:cs="Arial"/>
                <w:b/>
                <w:color w:val="000000"/>
                <w:sz w:val="16"/>
                <w:szCs w:val="16"/>
                <w:lang w:val="sl-SI" w:eastAsia="sl-SI"/>
              </w:rPr>
            </w:pPr>
            <w:r w:rsidRPr="002D7575">
              <w:rPr>
                <w:rFonts w:cs="Arial"/>
                <w:b/>
                <w:color w:val="000000"/>
                <w:sz w:val="16"/>
                <w:szCs w:val="16"/>
                <w:lang w:val="sl-SI" w:eastAsia="sl-SI"/>
              </w:rPr>
              <w:t>5.000.000,00</w:t>
            </w:r>
          </w:p>
        </w:tc>
      </w:tr>
    </w:tbl>
    <w:p w14:paraId="1D39CCF4" w14:textId="77777777"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0B53C28E" w14:textId="37446076" w:rsidR="00FC4417" w:rsidRPr="004223D6" w:rsidRDefault="004223D6" w:rsidP="00FC4417">
      <w:pPr>
        <w:jc w:val="both"/>
        <w:rPr>
          <w:rFonts w:cs="Arial"/>
          <w:szCs w:val="22"/>
          <w:lang w:val="sl-SI"/>
        </w:rPr>
      </w:pPr>
      <w:r w:rsidRPr="004223D6">
        <w:rPr>
          <w:rFonts w:cs="Arial"/>
          <w:szCs w:val="22"/>
          <w:lang w:val="sl-SI"/>
        </w:rPr>
        <w:t>Projekti</w:t>
      </w:r>
      <w:r w:rsidR="00FC4417" w:rsidRPr="004223D6">
        <w:rPr>
          <w:rFonts w:cs="Arial"/>
          <w:szCs w:val="22"/>
          <w:lang w:val="sl-SI"/>
        </w:rPr>
        <w:t xml:space="preserve"> urbanega razvoja, ki bodo podprti s FI, morajo biti finančno uspešni s komercialnim elementom, ki spodbuja </w:t>
      </w:r>
      <w:r w:rsidR="005461A5" w:rsidRPr="004223D6">
        <w:rPr>
          <w:rFonts w:cs="Arial"/>
          <w:szCs w:val="22"/>
          <w:lang w:val="sl-SI"/>
        </w:rPr>
        <w:t>ustvarjanje denarnega toka s ciljem</w:t>
      </w:r>
      <w:r w:rsidR="00B30981" w:rsidRPr="004223D6">
        <w:rPr>
          <w:rFonts w:cs="Arial"/>
          <w:szCs w:val="22"/>
          <w:lang w:val="sl-SI"/>
        </w:rPr>
        <w:t>, ki spodbuja dobičkonosnost in ustvarja</w:t>
      </w:r>
      <w:r w:rsidR="005461A5" w:rsidRPr="004223D6">
        <w:rPr>
          <w:rFonts w:cs="Arial"/>
          <w:szCs w:val="22"/>
          <w:lang w:val="sl-SI"/>
        </w:rPr>
        <w:t xml:space="preserve"> </w:t>
      </w:r>
      <w:r w:rsidR="00FC4417" w:rsidRPr="004223D6">
        <w:rPr>
          <w:rFonts w:cs="Arial"/>
          <w:szCs w:val="22"/>
          <w:lang w:val="sl-SI"/>
        </w:rPr>
        <w:t>finančni presež</w:t>
      </w:r>
      <w:r w:rsidR="00B30981" w:rsidRPr="004223D6">
        <w:rPr>
          <w:rFonts w:cs="Arial"/>
          <w:szCs w:val="22"/>
          <w:lang w:val="sl-SI"/>
        </w:rPr>
        <w:t>ek</w:t>
      </w:r>
      <w:r w:rsidR="00FC4417" w:rsidRPr="004223D6">
        <w:rPr>
          <w:rFonts w:cs="Arial"/>
          <w:szCs w:val="22"/>
          <w:lang w:val="sl-SI"/>
        </w:rPr>
        <w:t xml:space="preserve"> za povračilo posojila ali pa se morajo zanašati na druge vire dohodka. Projekt mora prav tako imeti socialne elemente, ki so pomembni za lokalno skupnost, kot npr. izboljšanje privlačnosti območja in s tem povečanje kvalitete življenja za prebivalce.</w:t>
      </w:r>
    </w:p>
    <w:p w14:paraId="55679790" w14:textId="77777777" w:rsidR="007E4940" w:rsidRPr="004223D6" w:rsidRDefault="007E4940" w:rsidP="00FC4417">
      <w:pPr>
        <w:jc w:val="both"/>
        <w:rPr>
          <w:rFonts w:cs="Arial"/>
          <w:szCs w:val="22"/>
          <w:lang w:val="sl-SI"/>
        </w:rPr>
      </w:pPr>
    </w:p>
    <w:p w14:paraId="1BCA4579" w14:textId="0B4D9D0A" w:rsidR="00FA7969" w:rsidRPr="004223D6" w:rsidRDefault="006A103F" w:rsidP="00B434C2">
      <w:pPr>
        <w:pStyle w:val="Naslov1"/>
        <w:numPr>
          <w:ilvl w:val="0"/>
          <w:numId w:val="25"/>
        </w:numPr>
        <w:spacing w:before="240" w:after="60"/>
        <w:jc w:val="both"/>
        <w:rPr>
          <w:lang w:val="sl-SI"/>
        </w:rPr>
      </w:pPr>
      <w:r w:rsidRPr="004223D6">
        <w:rPr>
          <w:lang w:val="sl-SI"/>
        </w:rPr>
        <w:t>Napoved izplačil sredstev izvajalcu sklada skladov</w:t>
      </w:r>
      <w:r w:rsidR="00FA7969" w:rsidRPr="004223D6">
        <w:rPr>
          <w:lang w:val="sl-SI"/>
        </w:rPr>
        <w:t xml:space="preserve"> </w:t>
      </w:r>
      <w:r w:rsidR="00C20AB9">
        <w:rPr>
          <w:lang w:val="sl-SI"/>
        </w:rPr>
        <w:t>v obdobju 2020-2023</w:t>
      </w:r>
    </w:p>
    <w:p w14:paraId="779D164B" w14:textId="77777777" w:rsidR="00726698" w:rsidRDefault="00726698" w:rsidP="00CE3440">
      <w:pPr>
        <w:jc w:val="both"/>
        <w:rPr>
          <w:rFonts w:cs="Arial"/>
          <w:szCs w:val="22"/>
          <w:lang w:val="sl-SI"/>
        </w:rPr>
      </w:pPr>
    </w:p>
    <w:p w14:paraId="2F1C8F0B" w14:textId="4DAA41E1" w:rsidR="00FA7969" w:rsidRPr="004223D6" w:rsidRDefault="00FA7969" w:rsidP="00CE3440">
      <w:pPr>
        <w:jc w:val="both"/>
        <w:rPr>
          <w:rFonts w:cs="Arial"/>
          <w:szCs w:val="22"/>
          <w:lang w:val="sl-SI"/>
        </w:rPr>
      </w:pPr>
      <w:r w:rsidRPr="004223D6">
        <w:rPr>
          <w:rFonts w:cs="Arial"/>
          <w:szCs w:val="22"/>
          <w:lang w:val="sl-SI"/>
        </w:rPr>
        <w:t xml:space="preserve">V proračunskem letu 2017 je </w:t>
      </w:r>
      <w:r w:rsidR="006A103F" w:rsidRPr="004223D6">
        <w:rPr>
          <w:rFonts w:cs="Arial"/>
          <w:szCs w:val="22"/>
          <w:lang w:val="sl-SI"/>
        </w:rPr>
        <w:t xml:space="preserve">bil izplačana prva tranša </w:t>
      </w:r>
      <w:r w:rsidRPr="004223D6">
        <w:rPr>
          <w:rFonts w:cs="Arial"/>
          <w:szCs w:val="22"/>
          <w:lang w:val="sl-SI"/>
        </w:rPr>
        <w:t xml:space="preserve">v višini 63.250.000 </w:t>
      </w:r>
      <w:r w:rsidR="005743CB">
        <w:rPr>
          <w:rFonts w:cs="Arial"/>
          <w:szCs w:val="22"/>
          <w:lang w:val="sl-SI"/>
        </w:rPr>
        <w:t>evrov</w:t>
      </w:r>
      <w:r w:rsidRPr="004223D6">
        <w:rPr>
          <w:rFonts w:cs="Arial"/>
          <w:szCs w:val="22"/>
          <w:lang w:val="sl-SI"/>
        </w:rPr>
        <w:t xml:space="preserve"> na podračun sklada skladov, kar znaša 25% od celotnih predvidenih sredstev izvajanje </w:t>
      </w:r>
      <w:r w:rsidR="004B2892">
        <w:rPr>
          <w:rFonts w:cs="Arial"/>
          <w:szCs w:val="22"/>
          <w:lang w:val="sl-SI"/>
        </w:rPr>
        <w:t>FI</w:t>
      </w:r>
      <w:r w:rsidRPr="004223D6">
        <w:rPr>
          <w:rFonts w:cs="Arial"/>
          <w:szCs w:val="22"/>
          <w:lang w:val="sl-SI"/>
        </w:rPr>
        <w:t xml:space="preserve">. Terminski načrt izvajanja FI za celotno </w:t>
      </w:r>
      <w:r w:rsidR="00294990" w:rsidRPr="004223D6">
        <w:rPr>
          <w:rFonts w:cs="Arial"/>
          <w:szCs w:val="22"/>
          <w:lang w:val="sl-SI"/>
        </w:rPr>
        <w:t>programsko obdobje</w:t>
      </w:r>
      <w:r w:rsidRPr="004223D6">
        <w:rPr>
          <w:rFonts w:cs="Arial"/>
          <w:szCs w:val="22"/>
          <w:lang w:val="sl-SI"/>
        </w:rPr>
        <w:t xml:space="preserve"> je prikazan v preglednici št. 3.</w:t>
      </w:r>
    </w:p>
    <w:p w14:paraId="75A865F2" w14:textId="77777777" w:rsidR="00FA7969" w:rsidRPr="004223D6" w:rsidRDefault="00FA7969" w:rsidP="00CE3440">
      <w:pPr>
        <w:jc w:val="both"/>
        <w:rPr>
          <w:rFonts w:cs="Arial"/>
          <w:szCs w:val="22"/>
          <w:lang w:val="sl-SI"/>
        </w:rPr>
      </w:pPr>
    </w:p>
    <w:p w14:paraId="585BE3A8" w14:textId="4CC649C8" w:rsidR="00FA7969" w:rsidRDefault="00726698" w:rsidP="00CE3440">
      <w:pPr>
        <w:jc w:val="both"/>
        <w:rPr>
          <w:rFonts w:cs="Arial"/>
          <w:szCs w:val="22"/>
          <w:lang w:val="sl-SI"/>
        </w:rPr>
      </w:pPr>
      <w:r>
        <w:rPr>
          <w:rFonts w:cs="Arial"/>
          <w:szCs w:val="22"/>
          <w:lang w:val="sl-SI"/>
        </w:rPr>
        <w:t>V</w:t>
      </w:r>
      <w:r w:rsidR="006A103F" w:rsidRPr="004223D6">
        <w:rPr>
          <w:rFonts w:cs="Arial"/>
          <w:szCs w:val="22"/>
          <w:lang w:val="sl-SI"/>
        </w:rPr>
        <w:t xml:space="preserve"> spodnji tabeli </w:t>
      </w:r>
      <w:r>
        <w:rPr>
          <w:rFonts w:cs="Arial"/>
          <w:szCs w:val="22"/>
          <w:lang w:val="sl-SI"/>
        </w:rPr>
        <w:t>so prikaza</w:t>
      </w:r>
      <w:r w:rsidR="002D7575">
        <w:rPr>
          <w:rFonts w:cs="Arial"/>
          <w:szCs w:val="22"/>
          <w:lang w:val="sl-SI"/>
        </w:rPr>
        <w:t xml:space="preserve">na </w:t>
      </w:r>
      <w:r w:rsidR="00266C05">
        <w:rPr>
          <w:rFonts w:cs="Arial"/>
          <w:szCs w:val="22"/>
          <w:lang w:val="sl-SI"/>
        </w:rPr>
        <w:t xml:space="preserve">načrtovana </w:t>
      </w:r>
      <w:r w:rsidR="002D7575">
        <w:rPr>
          <w:rFonts w:cs="Arial"/>
          <w:szCs w:val="22"/>
          <w:lang w:val="sl-SI"/>
        </w:rPr>
        <w:t>iz</w:t>
      </w:r>
      <w:r>
        <w:rPr>
          <w:rFonts w:cs="Arial"/>
          <w:szCs w:val="22"/>
          <w:lang w:val="sl-SI"/>
        </w:rPr>
        <w:t xml:space="preserve">plačila </w:t>
      </w:r>
      <w:r w:rsidR="002D7575">
        <w:rPr>
          <w:rFonts w:cs="Arial"/>
          <w:szCs w:val="22"/>
          <w:lang w:val="sl-SI"/>
        </w:rPr>
        <w:t xml:space="preserve">sredstev </w:t>
      </w:r>
      <w:r w:rsidR="00697894">
        <w:rPr>
          <w:rFonts w:cs="Arial"/>
          <w:szCs w:val="22"/>
          <w:lang w:val="sl-SI"/>
        </w:rPr>
        <w:t>iz</w:t>
      </w:r>
      <w:r>
        <w:rPr>
          <w:rFonts w:cs="Arial"/>
          <w:szCs w:val="22"/>
          <w:lang w:val="sl-SI"/>
        </w:rPr>
        <w:t>v</w:t>
      </w:r>
      <w:r w:rsidR="00697894">
        <w:rPr>
          <w:rFonts w:cs="Arial"/>
          <w:szCs w:val="22"/>
          <w:lang w:val="sl-SI"/>
        </w:rPr>
        <w:t>ajalcu</w:t>
      </w:r>
      <w:r>
        <w:rPr>
          <w:rFonts w:cs="Arial"/>
          <w:szCs w:val="22"/>
          <w:lang w:val="sl-SI"/>
        </w:rPr>
        <w:t xml:space="preserve"> sklad</w:t>
      </w:r>
      <w:r w:rsidR="00697894">
        <w:rPr>
          <w:rFonts w:cs="Arial"/>
          <w:szCs w:val="22"/>
          <w:lang w:val="sl-SI"/>
        </w:rPr>
        <w:t>a</w:t>
      </w:r>
      <w:r>
        <w:rPr>
          <w:rFonts w:cs="Arial"/>
          <w:szCs w:val="22"/>
          <w:lang w:val="sl-SI"/>
        </w:rPr>
        <w:t xml:space="preserve"> skladov </w:t>
      </w:r>
      <w:r w:rsidR="00FA7969" w:rsidRPr="004223D6">
        <w:rPr>
          <w:rFonts w:cs="Arial"/>
          <w:szCs w:val="22"/>
          <w:lang w:val="sl-SI"/>
        </w:rPr>
        <w:t>po prednostni naložbi in kohezijski regij</w:t>
      </w:r>
      <w:r w:rsidR="003A74A5" w:rsidRPr="004223D6">
        <w:rPr>
          <w:rFonts w:cs="Arial"/>
          <w:szCs w:val="22"/>
          <w:lang w:val="sl-SI"/>
        </w:rPr>
        <w:t>i</w:t>
      </w:r>
      <w:r>
        <w:rPr>
          <w:rFonts w:cs="Arial"/>
          <w:szCs w:val="22"/>
          <w:lang w:val="sl-SI"/>
        </w:rPr>
        <w:t xml:space="preserve"> v obdobju 2019-2022</w:t>
      </w:r>
      <w:r w:rsidR="002D7575">
        <w:rPr>
          <w:rFonts w:cs="Arial"/>
          <w:szCs w:val="22"/>
          <w:lang w:val="sl-SI"/>
        </w:rPr>
        <w:t xml:space="preserve"> (v EUR)</w:t>
      </w:r>
      <w:r>
        <w:rPr>
          <w:rFonts w:cs="Arial"/>
          <w:szCs w:val="22"/>
          <w:lang w:val="sl-SI"/>
        </w:rPr>
        <w:t>:</w:t>
      </w:r>
    </w:p>
    <w:p w14:paraId="2947DA21" w14:textId="032FF255" w:rsidR="00726698" w:rsidRDefault="00726698" w:rsidP="00CE3440">
      <w:pPr>
        <w:jc w:val="both"/>
        <w:rPr>
          <w:rFonts w:cs="Arial"/>
          <w:szCs w:val="22"/>
          <w:lang w:val="sl-SI"/>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938"/>
        <w:gridCol w:w="943"/>
        <w:gridCol w:w="1698"/>
        <w:gridCol w:w="1308"/>
        <w:gridCol w:w="1183"/>
        <w:gridCol w:w="1324"/>
      </w:tblGrid>
      <w:tr w:rsidR="00726698" w:rsidRPr="00F81934" w14:paraId="3399E8CD" w14:textId="77777777" w:rsidTr="00DA5FC1">
        <w:trPr>
          <w:trHeight w:val="300"/>
          <w:jc w:val="center"/>
        </w:trPr>
        <w:tc>
          <w:tcPr>
            <w:tcW w:w="1750" w:type="dxa"/>
            <w:shd w:val="clear" w:color="auto" w:fill="auto"/>
            <w:noWrap/>
            <w:vAlign w:val="center"/>
            <w:hideMark/>
          </w:tcPr>
          <w:p w14:paraId="2477A96F"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Prednostna naložba</w:t>
            </w:r>
          </w:p>
        </w:tc>
        <w:tc>
          <w:tcPr>
            <w:tcW w:w="923" w:type="dxa"/>
            <w:shd w:val="clear" w:color="auto" w:fill="auto"/>
            <w:noWrap/>
            <w:vAlign w:val="center"/>
            <w:hideMark/>
          </w:tcPr>
          <w:p w14:paraId="1DABC3CB"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Regija</w:t>
            </w:r>
          </w:p>
        </w:tc>
        <w:tc>
          <w:tcPr>
            <w:tcW w:w="928" w:type="dxa"/>
            <w:vAlign w:val="center"/>
          </w:tcPr>
          <w:p w14:paraId="61830CA0"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ESI sklad</w:t>
            </w:r>
          </w:p>
        </w:tc>
        <w:tc>
          <w:tcPr>
            <w:tcW w:w="1670" w:type="dxa"/>
            <w:shd w:val="clear" w:color="auto" w:fill="auto"/>
            <w:noWrap/>
            <w:vAlign w:val="center"/>
            <w:hideMark/>
          </w:tcPr>
          <w:p w14:paraId="7B8833B5"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2019</w:t>
            </w:r>
          </w:p>
        </w:tc>
        <w:tc>
          <w:tcPr>
            <w:tcW w:w="1287" w:type="dxa"/>
            <w:vAlign w:val="center"/>
          </w:tcPr>
          <w:p w14:paraId="3334A1F0"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2021</w:t>
            </w:r>
          </w:p>
        </w:tc>
        <w:tc>
          <w:tcPr>
            <w:tcW w:w="1164" w:type="dxa"/>
            <w:vAlign w:val="center"/>
          </w:tcPr>
          <w:p w14:paraId="05353F58" w14:textId="77777777"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2022</w:t>
            </w:r>
          </w:p>
        </w:tc>
        <w:tc>
          <w:tcPr>
            <w:tcW w:w="1302" w:type="dxa"/>
            <w:vAlign w:val="center"/>
          </w:tcPr>
          <w:p w14:paraId="66CBCD90" w14:textId="353D9D3A" w:rsidR="00726698" w:rsidRPr="00F81934" w:rsidRDefault="00726698" w:rsidP="001725E3">
            <w:pPr>
              <w:jc w:val="center"/>
              <w:rPr>
                <w:rFonts w:cs="Arial"/>
                <w:b/>
                <w:bCs/>
                <w:color w:val="000000"/>
                <w:sz w:val="16"/>
                <w:szCs w:val="16"/>
                <w:lang w:val="sl-SI" w:eastAsia="sl-SI"/>
              </w:rPr>
            </w:pPr>
            <w:r w:rsidRPr="00F81934">
              <w:rPr>
                <w:rFonts w:cs="Arial"/>
                <w:b/>
                <w:bCs/>
                <w:color w:val="000000"/>
                <w:sz w:val="16"/>
                <w:szCs w:val="16"/>
                <w:lang w:val="sl-SI" w:eastAsia="sl-SI"/>
              </w:rPr>
              <w:t>Skupaj</w:t>
            </w:r>
            <w:r w:rsidR="00266C05">
              <w:rPr>
                <w:rFonts w:cs="Arial"/>
                <w:b/>
                <w:bCs/>
                <w:color w:val="000000"/>
                <w:sz w:val="16"/>
                <w:szCs w:val="16"/>
                <w:lang w:val="sl-SI" w:eastAsia="sl-SI"/>
              </w:rPr>
              <w:t>*</w:t>
            </w:r>
          </w:p>
        </w:tc>
      </w:tr>
      <w:tr w:rsidR="00726698" w:rsidRPr="00F81934" w14:paraId="6A68CB81" w14:textId="77777777" w:rsidTr="00DA5FC1">
        <w:trPr>
          <w:trHeight w:val="300"/>
          <w:jc w:val="center"/>
        </w:trPr>
        <w:tc>
          <w:tcPr>
            <w:tcW w:w="1750" w:type="dxa"/>
            <w:shd w:val="clear" w:color="auto" w:fill="auto"/>
            <w:noWrap/>
            <w:vAlign w:val="center"/>
            <w:hideMark/>
          </w:tcPr>
          <w:p w14:paraId="3284D1FF" w14:textId="2FB79613"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1.2</w:t>
            </w:r>
            <w:r w:rsidR="00350A83">
              <w:rPr>
                <w:rFonts w:cs="Arial"/>
                <w:color w:val="000000"/>
                <w:sz w:val="16"/>
                <w:szCs w:val="16"/>
                <w:lang w:val="sl-SI" w:eastAsia="sl-SI"/>
              </w:rPr>
              <w:t xml:space="preserve"> (RRI)</w:t>
            </w:r>
          </w:p>
        </w:tc>
        <w:tc>
          <w:tcPr>
            <w:tcW w:w="923" w:type="dxa"/>
            <w:shd w:val="clear" w:color="auto" w:fill="auto"/>
            <w:noWrap/>
            <w:vAlign w:val="center"/>
            <w:hideMark/>
          </w:tcPr>
          <w:p w14:paraId="2C78EF17"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Vzhod</w:t>
            </w:r>
          </w:p>
        </w:tc>
        <w:tc>
          <w:tcPr>
            <w:tcW w:w="928" w:type="dxa"/>
            <w:vAlign w:val="center"/>
          </w:tcPr>
          <w:p w14:paraId="36791BD3"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5F2D38A7" w14:textId="77777777" w:rsidR="00726698" w:rsidRPr="00F81934" w:rsidRDefault="00726698" w:rsidP="001725E3">
            <w:pPr>
              <w:jc w:val="right"/>
              <w:rPr>
                <w:rFonts w:cs="Arial"/>
                <w:sz w:val="16"/>
                <w:szCs w:val="16"/>
              </w:rPr>
            </w:pPr>
            <w:r w:rsidRPr="00F81934">
              <w:rPr>
                <w:rFonts w:eastAsiaTheme="minorHAnsi" w:cs="Arial"/>
                <w:sz w:val="16"/>
                <w:szCs w:val="16"/>
                <w:lang w:val="sl-SI"/>
              </w:rPr>
              <w:t>8.550.000</w:t>
            </w:r>
          </w:p>
        </w:tc>
        <w:tc>
          <w:tcPr>
            <w:tcW w:w="1287" w:type="dxa"/>
            <w:vAlign w:val="center"/>
          </w:tcPr>
          <w:p w14:paraId="64E3580D" w14:textId="77777777" w:rsidR="00726698" w:rsidRPr="00F81934" w:rsidRDefault="00726698" w:rsidP="001725E3">
            <w:pPr>
              <w:jc w:val="right"/>
              <w:rPr>
                <w:rFonts w:cs="Arial"/>
                <w:sz w:val="16"/>
                <w:szCs w:val="16"/>
              </w:rPr>
            </w:pPr>
            <w:r w:rsidRPr="00F81934">
              <w:rPr>
                <w:rFonts w:eastAsiaTheme="minorHAnsi" w:cs="Arial"/>
                <w:sz w:val="16"/>
                <w:szCs w:val="16"/>
                <w:lang w:val="sl-SI"/>
              </w:rPr>
              <w:t>8.550.000</w:t>
            </w:r>
          </w:p>
        </w:tc>
        <w:tc>
          <w:tcPr>
            <w:tcW w:w="1164" w:type="dxa"/>
            <w:vAlign w:val="center"/>
          </w:tcPr>
          <w:p w14:paraId="00B5CE75" w14:textId="77777777" w:rsidR="00726698" w:rsidRPr="00F81934" w:rsidRDefault="00726698" w:rsidP="001725E3">
            <w:pPr>
              <w:jc w:val="right"/>
              <w:rPr>
                <w:rFonts w:cs="Arial"/>
                <w:sz w:val="16"/>
                <w:szCs w:val="16"/>
              </w:rPr>
            </w:pPr>
            <w:r w:rsidRPr="00F81934">
              <w:rPr>
                <w:rFonts w:eastAsiaTheme="minorHAnsi" w:cs="Arial"/>
                <w:sz w:val="16"/>
                <w:szCs w:val="16"/>
                <w:lang w:val="sl-SI"/>
              </w:rPr>
              <w:t>8.550.000</w:t>
            </w:r>
          </w:p>
        </w:tc>
        <w:tc>
          <w:tcPr>
            <w:tcW w:w="1302" w:type="dxa"/>
            <w:vAlign w:val="center"/>
          </w:tcPr>
          <w:p w14:paraId="59BE08E9" w14:textId="77777777" w:rsidR="00726698" w:rsidRPr="00F81934" w:rsidRDefault="00726698" w:rsidP="001725E3">
            <w:pPr>
              <w:jc w:val="right"/>
              <w:rPr>
                <w:rFonts w:eastAsiaTheme="minorHAnsi" w:cs="Arial"/>
                <w:sz w:val="16"/>
                <w:szCs w:val="16"/>
                <w:lang w:val="sl-SI"/>
              </w:rPr>
            </w:pPr>
            <w:r w:rsidRPr="00F81934">
              <w:rPr>
                <w:rFonts w:eastAsiaTheme="minorHAnsi" w:cs="Arial"/>
                <w:sz w:val="16"/>
                <w:szCs w:val="16"/>
                <w:lang w:val="sl-SI"/>
              </w:rPr>
              <w:t>34.200.000</w:t>
            </w:r>
          </w:p>
        </w:tc>
      </w:tr>
      <w:tr w:rsidR="00726698" w:rsidRPr="00F81934" w14:paraId="691DEEF2" w14:textId="77777777" w:rsidTr="00DA5FC1">
        <w:trPr>
          <w:trHeight w:val="300"/>
          <w:jc w:val="center"/>
        </w:trPr>
        <w:tc>
          <w:tcPr>
            <w:tcW w:w="1750" w:type="dxa"/>
            <w:shd w:val="clear" w:color="auto" w:fill="auto"/>
            <w:noWrap/>
            <w:vAlign w:val="center"/>
            <w:hideMark/>
          </w:tcPr>
          <w:p w14:paraId="5153F8A4" w14:textId="1E5BE538"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1.2</w:t>
            </w:r>
            <w:r w:rsidR="00350A83">
              <w:rPr>
                <w:rFonts w:cs="Arial"/>
                <w:color w:val="000000"/>
                <w:sz w:val="16"/>
                <w:szCs w:val="16"/>
                <w:lang w:val="sl-SI" w:eastAsia="sl-SI"/>
              </w:rPr>
              <w:t xml:space="preserve"> (RRI)</w:t>
            </w:r>
          </w:p>
        </w:tc>
        <w:tc>
          <w:tcPr>
            <w:tcW w:w="923" w:type="dxa"/>
            <w:shd w:val="clear" w:color="auto" w:fill="auto"/>
            <w:noWrap/>
            <w:vAlign w:val="center"/>
            <w:hideMark/>
          </w:tcPr>
          <w:p w14:paraId="1D76912F"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Zahod</w:t>
            </w:r>
          </w:p>
        </w:tc>
        <w:tc>
          <w:tcPr>
            <w:tcW w:w="928" w:type="dxa"/>
            <w:vAlign w:val="center"/>
          </w:tcPr>
          <w:p w14:paraId="68AC773D"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3B673DB8" w14:textId="77777777" w:rsidR="00726698" w:rsidRPr="00F81934" w:rsidRDefault="00726698" w:rsidP="001725E3">
            <w:pPr>
              <w:jc w:val="right"/>
              <w:rPr>
                <w:rFonts w:cs="Arial"/>
                <w:sz w:val="16"/>
                <w:szCs w:val="16"/>
              </w:rPr>
            </w:pPr>
            <w:r w:rsidRPr="00F81934">
              <w:rPr>
                <w:rFonts w:eastAsiaTheme="minorHAnsi" w:cs="Arial"/>
                <w:sz w:val="16"/>
                <w:szCs w:val="16"/>
                <w:lang w:val="sl-SI"/>
              </w:rPr>
              <w:t>13.450.000</w:t>
            </w:r>
          </w:p>
        </w:tc>
        <w:tc>
          <w:tcPr>
            <w:tcW w:w="1287" w:type="dxa"/>
            <w:vAlign w:val="center"/>
          </w:tcPr>
          <w:p w14:paraId="02B79E87" w14:textId="77777777" w:rsidR="00726698" w:rsidRPr="00F81934" w:rsidRDefault="00726698" w:rsidP="001725E3">
            <w:pPr>
              <w:jc w:val="right"/>
              <w:rPr>
                <w:rFonts w:cs="Arial"/>
                <w:sz w:val="16"/>
                <w:szCs w:val="16"/>
              </w:rPr>
            </w:pPr>
            <w:r w:rsidRPr="00F81934">
              <w:rPr>
                <w:rFonts w:eastAsiaTheme="minorHAnsi" w:cs="Arial"/>
                <w:sz w:val="16"/>
                <w:szCs w:val="16"/>
                <w:lang w:val="sl-SI"/>
              </w:rPr>
              <w:t>13.450.000</w:t>
            </w:r>
          </w:p>
        </w:tc>
        <w:tc>
          <w:tcPr>
            <w:tcW w:w="1164" w:type="dxa"/>
            <w:vAlign w:val="center"/>
          </w:tcPr>
          <w:p w14:paraId="59495CFC" w14:textId="77777777" w:rsidR="00726698" w:rsidRPr="00F81934" w:rsidRDefault="00726698" w:rsidP="001725E3">
            <w:pPr>
              <w:jc w:val="right"/>
              <w:rPr>
                <w:rFonts w:cs="Arial"/>
                <w:sz w:val="16"/>
                <w:szCs w:val="16"/>
              </w:rPr>
            </w:pPr>
            <w:r w:rsidRPr="00F81934">
              <w:rPr>
                <w:rFonts w:eastAsiaTheme="minorHAnsi" w:cs="Arial"/>
                <w:sz w:val="16"/>
                <w:szCs w:val="16"/>
                <w:lang w:val="sl-SI"/>
              </w:rPr>
              <w:t>13.450.000</w:t>
            </w:r>
          </w:p>
        </w:tc>
        <w:tc>
          <w:tcPr>
            <w:tcW w:w="1302" w:type="dxa"/>
            <w:vAlign w:val="center"/>
          </w:tcPr>
          <w:p w14:paraId="6E811560" w14:textId="77777777" w:rsidR="00726698" w:rsidRPr="00F81934" w:rsidRDefault="00726698" w:rsidP="001725E3">
            <w:pPr>
              <w:jc w:val="right"/>
              <w:rPr>
                <w:rFonts w:cs="Arial"/>
                <w:sz w:val="16"/>
                <w:szCs w:val="16"/>
              </w:rPr>
            </w:pPr>
            <w:r w:rsidRPr="00F81934">
              <w:rPr>
                <w:rFonts w:eastAsiaTheme="minorHAnsi" w:cs="Arial"/>
                <w:sz w:val="16"/>
                <w:szCs w:val="16"/>
                <w:lang w:val="sl-SI"/>
              </w:rPr>
              <w:t>53.800.000</w:t>
            </w:r>
          </w:p>
        </w:tc>
      </w:tr>
      <w:tr w:rsidR="00726698" w:rsidRPr="00F81934" w14:paraId="03498F50" w14:textId="77777777" w:rsidTr="00DA5FC1">
        <w:trPr>
          <w:trHeight w:val="300"/>
          <w:jc w:val="center"/>
        </w:trPr>
        <w:tc>
          <w:tcPr>
            <w:tcW w:w="3601" w:type="dxa"/>
            <w:gridSpan w:val="3"/>
            <w:shd w:val="clear" w:color="auto" w:fill="auto"/>
            <w:noWrap/>
            <w:vAlign w:val="center"/>
            <w:hideMark/>
          </w:tcPr>
          <w:p w14:paraId="3C64A97C"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1.2 Vsota</w:t>
            </w:r>
          </w:p>
        </w:tc>
        <w:tc>
          <w:tcPr>
            <w:tcW w:w="1670" w:type="dxa"/>
            <w:shd w:val="clear" w:color="auto" w:fill="auto"/>
            <w:noWrap/>
            <w:vAlign w:val="center"/>
            <w:hideMark/>
          </w:tcPr>
          <w:p w14:paraId="7CC6BF47"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22.000.000,00</w:t>
            </w:r>
          </w:p>
        </w:tc>
        <w:tc>
          <w:tcPr>
            <w:tcW w:w="1287" w:type="dxa"/>
            <w:vAlign w:val="center"/>
          </w:tcPr>
          <w:p w14:paraId="6FA500B3"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22.000.000,00</w:t>
            </w:r>
          </w:p>
        </w:tc>
        <w:tc>
          <w:tcPr>
            <w:tcW w:w="1164" w:type="dxa"/>
            <w:vAlign w:val="center"/>
          </w:tcPr>
          <w:p w14:paraId="2818C140"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22.000.000,00</w:t>
            </w:r>
          </w:p>
        </w:tc>
        <w:tc>
          <w:tcPr>
            <w:tcW w:w="1302" w:type="dxa"/>
            <w:vAlign w:val="center"/>
          </w:tcPr>
          <w:p w14:paraId="58BA6F38"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88.000.000,00</w:t>
            </w:r>
          </w:p>
        </w:tc>
      </w:tr>
      <w:tr w:rsidR="00726698" w:rsidRPr="00F81934" w14:paraId="1F484069" w14:textId="77777777" w:rsidTr="00DA5FC1">
        <w:trPr>
          <w:trHeight w:val="300"/>
          <w:jc w:val="center"/>
        </w:trPr>
        <w:tc>
          <w:tcPr>
            <w:tcW w:w="1750" w:type="dxa"/>
            <w:shd w:val="clear" w:color="auto" w:fill="auto"/>
            <w:noWrap/>
            <w:vAlign w:val="center"/>
            <w:hideMark/>
          </w:tcPr>
          <w:p w14:paraId="380BACFB" w14:textId="352D8003"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3.1</w:t>
            </w:r>
            <w:r w:rsidR="00350A83">
              <w:rPr>
                <w:rFonts w:cs="Arial"/>
                <w:color w:val="000000"/>
                <w:sz w:val="16"/>
                <w:szCs w:val="16"/>
                <w:lang w:val="sl-SI" w:eastAsia="sl-SI"/>
              </w:rPr>
              <w:t xml:space="preserve"> (MSP)</w:t>
            </w:r>
          </w:p>
        </w:tc>
        <w:tc>
          <w:tcPr>
            <w:tcW w:w="923" w:type="dxa"/>
            <w:shd w:val="clear" w:color="auto" w:fill="auto"/>
            <w:noWrap/>
            <w:vAlign w:val="center"/>
            <w:hideMark/>
          </w:tcPr>
          <w:p w14:paraId="32F7E683"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Vzhod</w:t>
            </w:r>
          </w:p>
        </w:tc>
        <w:tc>
          <w:tcPr>
            <w:tcW w:w="928" w:type="dxa"/>
            <w:vAlign w:val="center"/>
          </w:tcPr>
          <w:p w14:paraId="6B530B73"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6BEB2F23"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13.875.000,00</w:t>
            </w:r>
          </w:p>
        </w:tc>
        <w:tc>
          <w:tcPr>
            <w:tcW w:w="1287" w:type="dxa"/>
            <w:vAlign w:val="center"/>
          </w:tcPr>
          <w:p w14:paraId="387C555D" w14:textId="77777777" w:rsidR="00726698" w:rsidRPr="00F81934" w:rsidRDefault="00726698" w:rsidP="001725E3">
            <w:pPr>
              <w:jc w:val="right"/>
              <w:rPr>
                <w:rFonts w:cs="Arial"/>
                <w:sz w:val="16"/>
                <w:szCs w:val="16"/>
              </w:rPr>
            </w:pPr>
            <w:r w:rsidRPr="00F81934">
              <w:rPr>
                <w:rFonts w:cs="Arial"/>
                <w:color w:val="000000"/>
                <w:sz w:val="16"/>
                <w:szCs w:val="16"/>
                <w:lang w:val="sl-SI"/>
              </w:rPr>
              <w:t>13.875.000,00</w:t>
            </w:r>
          </w:p>
        </w:tc>
        <w:tc>
          <w:tcPr>
            <w:tcW w:w="1164" w:type="dxa"/>
            <w:vAlign w:val="center"/>
          </w:tcPr>
          <w:p w14:paraId="14E3B02C" w14:textId="77777777" w:rsidR="00726698" w:rsidRPr="00F81934" w:rsidRDefault="00726698" w:rsidP="001725E3">
            <w:pPr>
              <w:jc w:val="right"/>
              <w:rPr>
                <w:rFonts w:cs="Arial"/>
                <w:sz w:val="16"/>
                <w:szCs w:val="16"/>
              </w:rPr>
            </w:pPr>
            <w:r w:rsidRPr="00F81934">
              <w:rPr>
                <w:rFonts w:cs="Arial"/>
                <w:color w:val="000000"/>
                <w:sz w:val="16"/>
                <w:szCs w:val="16"/>
                <w:lang w:val="sl-SI"/>
              </w:rPr>
              <w:t>13.875.000,00</w:t>
            </w:r>
          </w:p>
        </w:tc>
        <w:tc>
          <w:tcPr>
            <w:tcW w:w="1302" w:type="dxa"/>
            <w:vAlign w:val="center"/>
          </w:tcPr>
          <w:p w14:paraId="7DEA4439" w14:textId="77777777" w:rsidR="00726698" w:rsidRPr="00F81934" w:rsidRDefault="00726698" w:rsidP="001725E3">
            <w:pPr>
              <w:jc w:val="right"/>
              <w:outlineLvl w:val="1"/>
              <w:rPr>
                <w:rFonts w:cs="Arial"/>
                <w:color w:val="000000"/>
                <w:sz w:val="16"/>
                <w:szCs w:val="16"/>
                <w:lang w:val="sl-SI"/>
              </w:rPr>
            </w:pPr>
            <w:r w:rsidRPr="00F81934">
              <w:rPr>
                <w:rFonts w:eastAsiaTheme="minorHAnsi" w:cs="Arial"/>
                <w:sz w:val="16"/>
                <w:szCs w:val="16"/>
                <w:lang w:val="sl-SI"/>
              </w:rPr>
              <w:t>55.500.000</w:t>
            </w:r>
          </w:p>
        </w:tc>
      </w:tr>
      <w:tr w:rsidR="00726698" w:rsidRPr="00F81934" w14:paraId="462AD79A" w14:textId="77777777" w:rsidTr="00DA5FC1">
        <w:trPr>
          <w:trHeight w:val="300"/>
          <w:jc w:val="center"/>
        </w:trPr>
        <w:tc>
          <w:tcPr>
            <w:tcW w:w="1750" w:type="dxa"/>
            <w:shd w:val="clear" w:color="auto" w:fill="auto"/>
            <w:noWrap/>
            <w:vAlign w:val="center"/>
            <w:hideMark/>
          </w:tcPr>
          <w:p w14:paraId="31DBBFCE" w14:textId="00AC7B60" w:rsidR="00726698" w:rsidRPr="00F81934" w:rsidRDefault="00350A83" w:rsidP="001725E3">
            <w:pPr>
              <w:jc w:val="both"/>
              <w:outlineLvl w:val="1"/>
              <w:rPr>
                <w:rFonts w:cs="Arial"/>
                <w:color w:val="000000"/>
                <w:sz w:val="16"/>
                <w:szCs w:val="16"/>
                <w:lang w:val="sl-SI" w:eastAsia="sl-SI"/>
              </w:rPr>
            </w:pPr>
            <w:r w:rsidRPr="00F81934">
              <w:rPr>
                <w:rFonts w:cs="Arial"/>
                <w:color w:val="000000"/>
                <w:sz w:val="16"/>
                <w:szCs w:val="16"/>
                <w:lang w:val="sl-SI" w:eastAsia="sl-SI"/>
              </w:rPr>
              <w:lastRenderedPageBreak/>
              <w:t>3.1</w:t>
            </w:r>
            <w:r>
              <w:rPr>
                <w:rFonts w:cs="Arial"/>
                <w:color w:val="000000"/>
                <w:sz w:val="16"/>
                <w:szCs w:val="16"/>
                <w:lang w:val="sl-SI" w:eastAsia="sl-SI"/>
              </w:rPr>
              <w:t xml:space="preserve"> (MSP)</w:t>
            </w:r>
          </w:p>
        </w:tc>
        <w:tc>
          <w:tcPr>
            <w:tcW w:w="923" w:type="dxa"/>
            <w:shd w:val="clear" w:color="auto" w:fill="auto"/>
            <w:noWrap/>
            <w:vAlign w:val="center"/>
            <w:hideMark/>
          </w:tcPr>
          <w:p w14:paraId="565A1C80"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Zahod</w:t>
            </w:r>
          </w:p>
        </w:tc>
        <w:tc>
          <w:tcPr>
            <w:tcW w:w="928" w:type="dxa"/>
            <w:vAlign w:val="center"/>
          </w:tcPr>
          <w:p w14:paraId="5A042C18"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6D1C8D80"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19.875.000,00</w:t>
            </w:r>
          </w:p>
        </w:tc>
        <w:tc>
          <w:tcPr>
            <w:tcW w:w="1287" w:type="dxa"/>
            <w:vAlign w:val="center"/>
          </w:tcPr>
          <w:p w14:paraId="7B6D6035"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19.875.000,00</w:t>
            </w:r>
          </w:p>
        </w:tc>
        <w:tc>
          <w:tcPr>
            <w:tcW w:w="1164" w:type="dxa"/>
            <w:vAlign w:val="center"/>
          </w:tcPr>
          <w:p w14:paraId="2E10C312" w14:textId="77777777" w:rsidR="00726698" w:rsidRPr="00F81934" w:rsidRDefault="00726698" w:rsidP="001725E3">
            <w:pPr>
              <w:jc w:val="right"/>
              <w:outlineLvl w:val="1"/>
              <w:rPr>
                <w:rFonts w:cs="Arial"/>
                <w:color w:val="000000"/>
                <w:sz w:val="16"/>
                <w:szCs w:val="16"/>
                <w:lang w:val="sl-SI"/>
              </w:rPr>
            </w:pPr>
            <w:r w:rsidRPr="00F81934">
              <w:rPr>
                <w:rFonts w:cs="Arial"/>
                <w:color w:val="000000"/>
                <w:sz w:val="16"/>
                <w:szCs w:val="16"/>
                <w:lang w:val="sl-SI"/>
              </w:rPr>
              <w:t>19.875.000,00</w:t>
            </w:r>
          </w:p>
        </w:tc>
        <w:tc>
          <w:tcPr>
            <w:tcW w:w="1302" w:type="dxa"/>
            <w:vAlign w:val="center"/>
          </w:tcPr>
          <w:p w14:paraId="54186015" w14:textId="77777777" w:rsidR="00726698" w:rsidRPr="00F81934" w:rsidRDefault="00726698" w:rsidP="001725E3">
            <w:pPr>
              <w:jc w:val="right"/>
              <w:outlineLvl w:val="1"/>
              <w:rPr>
                <w:rFonts w:cs="Arial"/>
                <w:color w:val="000000"/>
                <w:sz w:val="16"/>
                <w:szCs w:val="16"/>
                <w:lang w:val="sl-SI"/>
              </w:rPr>
            </w:pPr>
            <w:r w:rsidRPr="00F81934">
              <w:rPr>
                <w:rFonts w:eastAsiaTheme="minorHAnsi" w:cs="Arial"/>
                <w:sz w:val="16"/>
                <w:szCs w:val="16"/>
                <w:lang w:val="sl-SI"/>
              </w:rPr>
              <w:t>79.500.000</w:t>
            </w:r>
          </w:p>
        </w:tc>
      </w:tr>
      <w:tr w:rsidR="00726698" w:rsidRPr="00F81934" w14:paraId="07AFF4A4" w14:textId="77777777" w:rsidTr="00DA5FC1">
        <w:trPr>
          <w:trHeight w:val="300"/>
          <w:jc w:val="center"/>
        </w:trPr>
        <w:tc>
          <w:tcPr>
            <w:tcW w:w="3601" w:type="dxa"/>
            <w:gridSpan w:val="3"/>
            <w:shd w:val="clear" w:color="auto" w:fill="auto"/>
            <w:noWrap/>
            <w:vAlign w:val="center"/>
            <w:hideMark/>
          </w:tcPr>
          <w:p w14:paraId="749DFDD8"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3.1 Vsota</w:t>
            </w:r>
          </w:p>
        </w:tc>
        <w:tc>
          <w:tcPr>
            <w:tcW w:w="1670" w:type="dxa"/>
            <w:shd w:val="clear" w:color="auto" w:fill="auto"/>
            <w:noWrap/>
            <w:vAlign w:val="center"/>
            <w:hideMark/>
          </w:tcPr>
          <w:p w14:paraId="6C202B92"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33.750.000,00</w:t>
            </w:r>
          </w:p>
        </w:tc>
        <w:tc>
          <w:tcPr>
            <w:tcW w:w="1287" w:type="dxa"/>
            <w:vAlign w:val="center"/>
          </w:tcPr>
          <w:p w14:paraId="293473A8"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33.750.000,00</w:t>
            </w:r>
          </w:p>
        </w:tc>
        <w:tc>
          <w:tcPr>
            <w:tcW w:w="1164" w:type="dxa"/>
            <w:vAlign w:val="center"/>
          </w:tcPr>
          <w:p w14:paraId="5C45B1FF"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33.750.000,00</w:t>
            </w:r>
          </w:p>
        </w:tc>
        <w:tc>
          <w:tcPr>
            <w:tcW w:w="1302" w:type="dxa"/>
            <w:vAlign w:val="center"/>
          </w:tcPr>
          <w:p w14:paraId="78CA65CA" w14:textId="77777777" w:rsidR="00726698" w:rsidRPr="00F81934" w:rsidRDefault="00726698" w:rsidP="001725E3">
            <w:pPr>
              <w:jc w:val="right"/>
              <w:outlineLvl w:val="0"/>
              <w:rPr>
                <w:rFonts w:cs="Arial"/>
                <w:b/>
                <w:bCs/>
                <w:color w:val="000000"/>
                <w:sz w:val="16"/>
                <w:szCs w:val="16"/>
                <w:lang w:val="sl-SI" w:eastAsia="sl-SI"/>
              </w:rPr>
            </w:pPr>
            <w:r w:rsidRPr="00F81934">
              <w:rPr>
                <w:rFonts w:eastAsiaTheme="minorHAnsi" w:cs="Arial"/>
                <w:b/>
                <w:sz w:val="16"/>
                <w:szCs w:val="16"/>
                <w:lang w:val="sl-SI"/>
              </w:rPr>
              <w:t>135.000.000</w:t>
            </w:r>
          </w:p>
        </w:tc>
      </w:tr>
      <w:tr w:rsidR="00726698" w:rsidRPr="00F81934" w14:paraId="782A964E" w14:textId="77777777" w:rsidTr="00DA5FC1">
        <w:trPr>
          <w:trHeight w:val="300"/>
          <w:jc w:val="center"/>
        </w:trPr>
        <w:tc>
          <w:tcPr>
            <w:tcW w:w="1750" w:type="dxa"/>
            <w:shd w:val="clear" w:color="auto" w:fill="auto"/>
            <w:noWrap/>
            <w:vAlign w:val="center"/>
            <w:hideMark/>
          </w:tcPr>
          <w:p w14:paraId="0448ED9B" w14:textId="0EE66124"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4.1</w:t>
            </w:r>
            <w:r w:rsidR="00350A83">
              <w:rPr>
                <w:rFonts w:cs="Arial"/>
                <w:color w:val="000000"/>
                <w:sz w:val="16"/>
                <w:szCs w:val="16"/>
                <w:lang w:val="sl-SI" w:eastAsia="sl-SI"/>
              </w:rPr>
              <w:t xml:space="preserve"> (EE)</w:t>
            </w:r>
          </w:p>
        </w:tc>
        <w:tc>
          <w:tcPr>
            <w:tcW w:w="923" w:type="dxa"/>
            <w:shd w:val="clear" w:color="auto" w:fill="auto"/>
            <w:noWrap/>
            <w:vAlign w:val="center"/>
            <w:hideMark/>
          </w:tcPr>
          <w:p w14:paraId="7CD0055B"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SI</w:t>
            </w:r>
          </w:p>
        </w:tc>
        <w:tc>
          <w:tcPr>
            <w:tcW w:w="928" w:type="dxa"/>
            <w:vAlign w:val="center"/>
          </w:tcPr>
          <w:p w14:paraId="536A8126"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KS</w:t>
            </w:r>
          </w:p>
        </w:tc>
        <w:tc>
          <w:tcPr>
            <w:tcW w:w="1670" w:type="dxa"/>
            <w:shd w:val="clear" w:color="auto" w:fill="auto"/>
            <w:noWrap/>
            <w:vAlign w:val="center"/>
            <w:hideMark/>
          </w:tcPr>
          <w:p w14:paraId="37E969D8"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6.250.000,00</w:t>
            </w:r>
          </w:p>
        </w:tc>
        <w:tc>
          <w:tcPr>
            <w:tcW w:w="1287" w:type="dxa"/>
            <w:vAlign w:val="center"/>
          </w:tcPr>
          <w:p w14:paraId="108E518C"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6.250.000,00</w:t>
            </w:r>
          </w:p>
        </w:tc>
        <w:tc>
          <w:tcPr>
            <w:tcW w:w="1164" w:type="dxa"/>
            <w:vAlign w:val="center"/>
          </w:tcPr>
          <w:p w14:paraId="3EDB25AD"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6.250.000,00</w:t>
            </w:r>
          </w:p>
        </w:tc>
        <w:tc>
          <w:tcPr>
            <w:tcW w:w="1302" w:type="dxa"/>
            <w:vAlign w:val="center"/>
          </w:tcPr>
          <w:p w14:paraId="78413210" w14:textId="77777777" w:rsidR="00726698" w:rsidRPr="00F81934" w:rsidRDefault="00726698" w:rsidP="001725E3">
            <w:pPr>
              <w:jc w:val="right"/>
              <w:outlineLvl w:val="1"/>
              <w:rPr>
                <w:rFonts w:cs="Arial"/>
                <w:color w:val="000000"/>
                <w:sz w:val="16"/>
                <w:szCs w:val="16"/>
                <w:lang w:val="sl-SI" w:eastAsia="sl-SI"/>
              </w:rPr>
            </w:pPr>
            <w:r w:rsidRPr="00F81934">
              <w:rPr>
                <w:rFonts w:eastAsiaTheme="minorHAnsi" w:cs="Arial"/>
                <w:sz w:val="16"/>
                <w:szCs w:val="16"/>
                <w:lang w:val="sl-SI"/>
              </w:rPr>
              <w:t>25.000.000</w:t>
            </w:r>
          </w:p>
        </w:tc>
      </w:tr>
      <w:tr w:rsidR="00726698" w:rsidRPr="00F81934" w14:paraId="30E87FE3" w14:textId="77777777" w:rsidTr="00DA5FC1">
        <w:trPr>
          <w:trHeight w:val="300"/>
          <w:jc w:val="center"/>
        </w:trPr>
        <w:tc>
          <w:tcPr>
            <w:tcW w:w="3601" w:type="dxa"/>
            <w:gridSpan w:val="3"/>
            <w:shd w:val="clear" w:color="auto" w:fill="auto"/>
            <w:noWrap/>
            <w:vAlign w:val="center"/>
            <w:hideMark/>
          </w:tcPr>
          <w:p w14:paraId="14D53057"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4.1 Vsota</w:t>
            </w:r>
          </w:p>
        </w:tc>
        <w:tc>
          <w:tcPr>
            <w:tcW w:w="1670" w:type="dxa"/>
            <w:shd w:val="clear" w:color="auto" w:fill="auto"/>
            <w:noWrap/>
            <w:vAlign w:val="center"/>
            <w:hideMark/>
          </w:tcPr>
          <w:p w14:paraId="51AC32C6"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6.250.000,00</w:t>
            </w:r>
          </w:p>
        </w:tc>
        <w:tc>
          <w:tcPr>
            <w:tcW w:w="1287" w:type="dxa"/>
            <w:vAlign w:val="center"/>
          </w:tcPr>
          <w:p w14:paraId="5624C679"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6.250.000,00</w:t>
            </w:r>
          </w:p>
        </w:tc>
        <w:tc>
          <w:tcPr>
            <w:tcW w:w="1164" w:type="dxa"/>
            <w:vAlign w:val="center"/>
          </w:tcPr>
          <w:p w14:paraId="5BDEE30D"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6.250.000,00</w:t>
            </w:r>
          </w:p>
        </w:tc>
        <w:tc>
          <w:tcPr>
            <w:tcW w:w="1302" w:type="dxa"/>
            <w:vAlign w:val="center"/>
          </w:tcPr>
          <w:p w14:paraId="10B9546C" w14:textId="77777777" w:rsidR="00726698" w:rsidRPr="00F81934" w:rsidRDefault="00726698" w:rsidP="001725E3">
            <w:pPr>
              <w:jc w:val="right"/>
              <w:outlineLvl w:val="0"/>
              <w:rPr>
                <w:rFonts w:cs="Arial"/>
                <w:b/>
                <w:bCs/>
                <w:color w:val="000000"/>
                <w:sz w:val="16"/>
                <w:szCs w:val="16"/>
                <w:lang w:val="sl-SI" w:eastAsia="sl-SI"/>
              </w:rPr>
            </w:pPr>
            <w:r w:rsidRPr="00F81934">
              <w:rPr>
                <w:rFonts w:eastAsiaTheme="minorHAnsi" w:cs="Arial"/>
                <w:b/>
                <w:sz w:val="16"/>
                <w:szCs w:val="16"/>
                <w:lang w:val="sl-SI"/>
              </w:rPr>
              <w:t>25.000.000</w:t>
            </w:r>
          </w:p>
        </w:tc>
      </w:tr>
      <w:tr w:rsidR="00726698" w:rsidRPr="00F81934" w14:paraId="001088F6" w14:textId="77777777" w:rsidTr="00DA5FC1">
        <w:trPr>
          <w:trHeight w:val="300"/>
          <w:jc w:val="center"/>
        </w:trPr>
        <w:tc>
          <w:tcPr>
            <w:tcW w:w="1750" w:type="dxa"/>
            <w:shd w:val="clear" w:color="auto" w:fill="auto"/>
            <w:noWrap/>
            <w:vAlign w:val="center"/>
            <w:hideMark/>
          </w:tcPr>
          <w:p w14:paraId="627EFA55" w14:textId="5B525AB5" w:rsidR="00726698" w:rsidRPr="00F81934" w:rsidRDefault="00726698" w:rsidP="00350A83">
            <w:pPr>
              <w:jc w:val="both"/>
              <w:outlineLvl w:val="1"/>
              <w:rPr>
                <w:rFonts w:cs="Arial"/>
                <w:color w:val="000000"/>
                <w:sz w:val="16"/>
                <w:szCs w:val="16"/>
                <w:lang w:val="sl-SI" w:eastAsia="sl-SI"/>
              </w:rPr>
            </w:pPr>
            <w:r w:rsidRPr="00F81934">
              <w:rPr>
                <w:rFonts w:cs="Arial"/>
                <w:color w:val="000000"/>
                <w:sz w:val="16"/>
                <w:szCs w:val="16"/>
                <w:lang w:val="sl-SI" w:eastAsia="sl-SI"/>
              </w:rPr>
              <w:t>6.3</w:t>
            </w:r>
            <w:r w:rsidR="00350A83">
              <w:rPr>
                <w:rFonts w:cs="Arial"/>
                <w:color w:val="000000"/>
                <w:sz w:val="16"/>
                <w:szCs w:val="16"/>
                <w:lang w:val="sl-SI" w:eastAsia="sl-SI"/>
              </w:rPr>
              <w:t xml:space="preserve"> (UR)</w:t>
            </w:r>
          </w:p>
        </w:tc>
        <w:tc>
          <w:tcPr>
            <w:tcW w:w="923" w:type="dxa"/>
            <w:shd w:val="clear" w:color="auto" w:fill="auto"/>
            <w:noWrap/>
            <w:vAlign w:val="center"/>
            <w:hideMark/>
          </w:tcPr>
          <w:p w14:paraId="3C568B09"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Vzhod</w:t>
            </w:r>
          </w:p>
        </w:tc>
        <w:tc>
          <w:tcPr>
            <w:tcW w:w="928" w:type="dxa"/>
            <w:vAlign w:val="center"/>
          </w:tcPr>
          <w:p w14:paraId="5F20B148"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043E0F45"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800.000,00</w:t>
            </w:r>
          </w:p>
        </w:tc>
        <w:tc>
          <w:tcPr>
            <w:tcW w:w="1287" w:type="dxa"/>
            <w:vAlign w:val="center"/>
          </w:tcPr>
          <w:p w14:paraId="5BDC840F"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800.000,00</w:t>
            </w:r>
          </w:p>
        </w:tc>
        <w:tc>
          <w:tcPr>
            <w:tcW w:w="1164" w:type="dxa"/>
            <w:vAlign w:val="center"/>
          </w:tcPr>
          <w:p w14:paraId="35C323EB"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800.000,00</w:t>
            </w:r>
          </w:p>
        </w:tc>
        <w:tc>
          <w:tcPr>
            <w:tcW w:w="1302" w:type="dxa"/>
            <w:vAlign w:val="center"/>
          </w:tcPr>
          <w:p w14:paraId="1A45BA80" w14:textId="77777777" w:rsidR="00726698" w:rsidRPr="00F81934" w:rsidRDefault="00726698" w:rsidP="001725E3">
            <w:pPr>
              <w:jc w:val="right"/>
              <w:outlineLvl w:val="1"/>
              <w:rPr>
                <w:rFonts w:cs="Arial"/>
                <w:color w:val="000000"/>
                <w:sz w:val="16"/>
                <w:szCs w:val="16"/>
                <w:lang w:val="sl-SI" w:eastAsia="sl-SI"/>
              </w:rPr>
            </w:pPr>
            <w:r w:rsidRPr="00F81934">
              <w:rPr>
                <w:rFonts w:eastAsiaTheme="minorHAnsi" w:cs="Arial"/>
                <w:sz w:val="16"/>
                <w:szCs w:val="16"/>
                <w:lang w:val="sl-SI"/>
              </w:rPr>
              <w:t>3.200.000</w:t>
            </w:r>
          </w:p>
        </w:tc>
      </w:tr>
      <w:tr w:rsidR="00726698" w:rsidRPr="00F81934" w14:paraId="1E4AE8FA" w14:textId="77777777" w:rsidTr="00DA5FC1">
        <w:trPr>
          <w:trHeight w:val="300"/>
          <w:jc w:val="center"/>
        </w:trPr>
        <w:tc>
          <w:tcPr>
            <w:tcW w:w="1750" w:type="dxa"/>
            <w:shd w:val="clear" w:color="auto" w:fill="auto"/>
            <w:noWrap/>
            <w:vAlign w:val="center"/>
            <w:hideMark/>
          </w:tcPr>
          <w:p w14:paraId="1562EB49" w14:textId="31225133" w:rsidR="00726698" w:rsidRPr="00F81934" w:rsidRDefault="00726698" w:rsidP="001725E3">
            <w:pPr>
              <w:jc w:val="both"/>
              <w:outlineLvl w:val="1"/>
              <w:rPr>
                <w:rFonts w:cs="Arial"/>
                <w:color w:val="000000"/>
                <w:sz w:val="16"/>
                <w:szCs w:val="16"/>
                <w:lang w:val="sl-SI" w:eastAsia="sl-SI"/>
              </w:rPr>
            </w:pPr>
            <w:r w:rsidRPr="00F81934">
              <w:rPr>
                <w:rFonts w:cs="Arial"/>
                <w:color w:val="000000"/>
                <w:sz w:val="16"/>
                <w:szCs w:val="16"/>
                <w:lang w:val="sl-SI" w:eastAsia="sl-SI"/>
              </w:rPr>
              <w:t>6.3</w:t>
            </w:r>
            <w:r w:rsidR="00350A83">
              <w:rPr>
                <w:rFonts w:cs="Arial"/>
                <w:color w:val="000000"/>
                <w:sz w:val="16"/>
                <w:szCs w:val="16"/>
                <w:lang w:val="sl-SI" w:eastAsia="sl-SI"/>
              </w:rPr>
              <w:t xml:space="preserve"> (UR)</w:t>
            </w:r>
          </w:p>
        </w:tc>
        <w:tc>
          <w:tcPr>
            <w:tcW w:w="923" w:type="dxa"/>
            <w:shd w:val="clear" w:color="auto" w:fill="auto"/>
            <w:noWrap/>
            <w:vAlign w:val="center"/>
            <w:hideMark/>
          </w:tcPr>
          <w:p w14:paraId="0EE8FF8E"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Zahod</w:t>
            </w:r>
          </w:p>
        </w:tc>
        <w:tc>
          <w:tcPr>
            <w:tcW w:w="928" w:type="dxa"/>
            <w:vAlign w:val="center"/>
          </w:tcPr>
          <w:p w14:paraId="1BA095EA" w14:textId="77777777" w:rsidR="00726698" w:rsidRPr="00F81934" w:rsidRDefault="00726698" w:rsidP="001725E3">
            <w:pPr>
              <w:jc w:val="center"/>
              <w:outlineLvl w:val="1"/>
              <w:rPr>
                <w:rFonts w:cs="Arial"/>
                <w:color w:val="000000"/>
                <w:sz w:val="16"/>
                <w:szCs w:val="16"/>
                <w:lang w:val="sl-SI" w:eastAsia="sl-SI"/>
              </w:rPr>
            </w:pPr>
            <w:r w:rsidRPr="00F81934">
              <w:rPr>
                <w:rFonts w:cs="Arial"/>
                <w:color w:val="000000"/>
                <w:sz w:val="16"/>
                <w:szCs w:val="16"/>
                <w:lang w:val="sl-SI" w:eastAsia="sl-SI"/>
              </w:rPr>
              <w:t>ESRR</w:t>
            </w:r>
          </w:p>
        </w:tc>
        <w:tc>
          <w:tcPr>
            <w:tcW w:w="1670" w:type="dxa"/>
            <w:shd w:val="clear" w:color="auto" w:fill="auto"/>
            <w:noWrap/>
            <w:vAlign w:val="center"/>
            <w:hideMark/>
          </w:tcPr>
          <w:p w14:paraId="7AA4038C"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450.000,00</w:t>
            </w:r>
          </w:p>
        </w:tc>
        <w:tc>
          <w:tcPr>
            <w:tcW w:w="1287" w:type="dxa"/>
            <w:vAlign w:val="center"/>
          </w:tcPr>
          <w:p w14:paraId="0128FBD0"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450.000,00</w:t>
            </w:r>
          </w:p>
        </w:tc>
        <w:tc>
          <w:tcPr>
            <w:tcW w:w="1164" w:type="dxa"/>
            <w:vAlign w:val="center"/>
          </w:tcPr>
          <w:p w14:paraId="1C51080C" w14:textId="77777777" w:rsidR="00726698" w:rsidRPr="00F81934" w:rsidRDefault="00726698" w:rsidP="001725E3">
            <w:pPr>
              <w:jc w:val="right"/>
              <w:outlineLvl w:val="1"/>
              <w:rPr>
                <w:rFonts w:cs="Arial"/>
                <w:color w:val="000000"/>
                <w:sz w:val="16"/>
                <w:szCs w:val="16"/>
                <w:lang w:val="sl-SI" w:eastAsia="sl-SI"/>
              </w:rPr>
            </w:pPr>
            <w:r w:rsidRPr="00F81934">
              <w:rPr>
                <w:rFonts w:cs="Arial"/>
                <w:color w:val="000000"/>
                <w:sz w:val="16"/>
                <w:szCs w:val="16"/>
                <w:lang w:val="sl-SI" w:eastAsia="sl-SI"/>
              </w:rPr>
              <w:t>450.000,00</w:t>
            </w:r>
          </w:p>
        </w:tc>
        <w:tc>
          <w:tcPr>
            <w:tcW w:w="1302" w:type="dxa"/>
            <w:vAlign w:val="center"/>
          </w:tcPr>
          <w:p w14:paraId="6BAE71A6" w14:textId="77777777" w:rsidR="00726698" w:rsidRPr="00F81934" w:rsidRDefault="00726698" w:rsidP="001725E3">
            <w:pPr>
              <w:jc w:val="right"/>
              <w:outlineLvl w:val="1"/>
              <w:rPr>
                <w:rFonts w:cs="Arial"/>
                <w:color w:val="000000"/>
                <w:sz w:val="16"/>
                <w:szCs w:val="16"/>
                <w:lang w:val="sl-SI" w:eastAsia="sl-SI"/>
              </w:rPr>
            </w:pPr>
            <w:r w:rsidRPr="00F81934">
              <w:rPr>
                <w:rFonts w:eastAsiaTheme="minorHAnsi" w:cs="Arial"/>
                <w:sz w:val="16"/>
                <w:szCs w:val="16"/>
                <w:lang w:val="sl-SI"/>
              </w:rPr>
              <w:t>1.800.000</w:t>
            </w:r>
          </w:p>
        </w:tc>
      </w:tr>
      <w:tr w:rsidR="00726698" w:rsidRPr="00F81934" w14:paraId="54DF94B2" w14:textId="77777777" w:rsidTr="00DA5FC1">
        <w:trPr>
          <w:trHeight w:val="300"/>
          <w:jc w:val="center"/>
        </w:trPr>
        <w:tc>
          <w:tcPr>
            <w:tcW w:w="3601" w:type="dxa"/>
            <w:gridSpan w:val="3"/>
            <w:shd w:val="clear" w:color="auto" w:fill="auto"/>
            <w:noWrap/>
            <w:vAlign w:val="center"/>
            <w:hideMark/>
          </w:tcPr>
          <w:p w14:paraId="3AD87DD6" w14:textId="77777777" w:rsidR="00726698" w:rsidRPr="00F81934" w:rsidRDefault="00726698" w:rsidP="001725E3">
            <w:pPr>
              <w:jc w:val="center"/>
              <w:outlineLvl w:val="0"/>
              <w:rPr>
                <w:rFonts w:cs="Arial"/>
                <w:b/>
                <w:bCs/>
                <w:color w:val="000000"/>
                <w:sz w:val="16"/>
                <w:szCs w:val="16"/>
                <w:lang w:val="sl-SI" w:eastAsia="sl-SI"/>
              </w:rPr>
            </w:pPr>
            <w:r w:rsidRPr="00F81934">
              <w:rPr>
                <w:rFonts w:cs="Arial"/>
                <w:b/>
                <w:bCs/>
                <w:color w:val="000000"/>
                <w:sz w:val="16"/>
                <w:szCs w:val="16"/>
                <w:lang w:val="sl-SI" w:eastAsia="sl-SI"/>
              </w:rPr>
              <w:t>6.3 Vsota</w:t>
            </w:r>
          </w:p>
        </w:tc>
        <w:tc>
          <w:tcPr>
            <w:tcW w:w="1670" w:type="dxa"/>
            <w:shd w:val="clear" w:color="auto" w:fill="auto"/>
            <w:noWrap/>
            <w:vAlign w:val="center"/>
            <w:hideMark/>
          </w:tcPr>
          <w:p w14:paraId="1E604B5E"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1.250.000,00</w:t>
            </w:r>
          </w:p>
        </w:tc>
        <w:tc>
          <w:tcPr>
            <w:tcW w:w="1287" w:type="dxa"/>
            <w:vAlign w:val="center"/>
          </w:tcPr>
          <w:p w14:paraId="6F3819B5"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1.250.000,00</w:t>
            </w:r>
          </w:p>
        </w:tc>
        <w:tc>
          <w:tcPr>
            <w:tcW w:w="1164" w:type="dxa"/>
            <w:vAlign w:val="center"/>
          </w:tcPr>
          <w:p w14:paraId="563F164F" w14:textId="77777777" w:rsidR="00726698" w:rsidRPr="00F81934" w:rsidRDefault="00726698" w:rsidP="001725E3">
            <w:pPr>
              <w:jc w:val="right"/>
              <w:outlineLvl w:val="0"/>
              <w:rPr>
                <w:rFonts w:cs="Arial"/>
                <w:b/>
                <w:bCs/>
                <w:color w:val="000000"/>
                <w:sz w:val="16"/>
                <w:szCs w:val="16"/>
                <w:lang w:val="sl-SI" w:eastAsia="sl-SI"/>
              </w:rPr>
            </w:pPr>
            <w:r w:rsidRPr="00F81934">
              <w:rPr>
                <w:rFonts w:cs="Arial"/>
                <w:b/>
                <w:bCs/>
                <w:color w:val="000000"/>
                <w:sz w:val="16"/>
                <w:szCs w:val="16"/>
                <w:lang w:val="sl-SI" w:eastAsia="sl-SI"/>
              </w:rPr>
              <w:t>1.250.000,00</w:t>
            </w:r>
          </w:p>
        </w:tc>
        <w:tc>
          <w:tcPr>
            <w:tcW w:w="1302" w:type="dxa"/>
            <w:vAlign w:val="center"/>
          </w:tcPr>
          <w:p w14:paraId="4D47C1B8" w14:textId="77777777" w:rsidR="00726698" w:rsidRPr="00F81934" w:rsidRDefault="00726698" w:rsidP="001725E3">
            <w:pPr>
              <w:jc w:val="right"/>
              <w:outlineLvl w:val="0"/>
              <w:rPr>
                <w:rFonts w:cs="Arial"/>
                <w:b/>
                <w:bCs/>
                <w:color w:val="000000"/>
                <w:sz w:val="16"/>
                <w:szCs w:val="16"/>
                <w:lang w:val="sl-SI" w:eastAsia="sl-SI"/>
              </w:rPr>
            </w:pPr>
            <w:r w:rsidRPr="00F81934">
              <w:rPr>
                <w:rFonts w:eastAsiaTheme="minorHAnsi" w:cs="Arial"/>
                <w:b/>
                <w:sz w:val="16"/>
                <w:szCs w:val="16"/>
                <w:lang w:val="sl-SI"/>
              </w:rPr>
              <w:t>5.000.000</w:t>
            </w:r>
          </w:p>
        </w:tc>
      </w:tr>
      <w:tr w:rsidR="00726698" w:rsidRPr="00F81934" w14:paraId="7D9BCF21" w14:textId="77777777" w:rsidTr="00DA5FC1">
        <w:trPr>
          <w:trHeight w:val="300"/>
          <w:jc w:val="center"/>
        </w:trPr>
        <w:tc>
          <w:tcPr>
            <w:tcW w:w="1750" w:type="dxa"/>
            <w:shd w:val="clear" w:color="auto" w:fill="auto"/>
            <w:noWrap/>
            <w:vAlign w:val="center"/>
            <w:hideMark/>
          </w:tcPr>
          <w:p w14:paraId="20585D3D" w14:textId="77777777" w:rsidR="00726698" w:rsidRPr="00F81934" w:rsidRDefault="00726698" w:rsidP="001725E3">
            <w:pPr>
              <w:jc w:val="both"/>
              <w:rPr>
                <w:rFonts w:cs="Arial"/>
                <w:b/>
                <w:bCs/>
                <w:color w:val="000000"/>
                <w:sz w:val="16"/>
                <w:szCs w:val="16"/>
                <w:lang w:val="sl-SI" w:eastAsia="sl-SI"/>
              </w:rPr>
            </w:pPr>
            <w:r w:rsidRPr="00F81934">
              <w:rPr>
                <w:rFonts w:cs="Arial"/>
                <w:b/>
                <w:bCs/>
                <w:color w:val="000000"/>
                <w:sz w:val="16"/>
                <w:szCs w:val="16"/>
                <w:lang w:val="sl-SI" w:eastAsia="sl-SI"/>
              </w:rPr>
              <w:t>Skupna vsota</w:t>
            </w:r>
          </w:p>
        </w:tc>
        <w:tc>
          <w:tcPr>
            <w:tcW w:w="923" w:type="dxa"/>
            <w:shd w:val="clear" w:color="auto" w:fill="auto"/>
            <w:noWrap/>
            <w:vAlign w:val="center"/>
            <w:hideMark/>
          </w:tcPr>
          <w:p w14:paraId="78FDA833" w14:textId="77777777" w:rsidR="00726698" w:rsidRPr="00F81934" w:rsidRDefault="00726698" w:rsidP="001725E3">
            <w:pPr>
              <w:jc w:val="center"/>
              <w:rPr>
                <w:rFonts w:cs="Arial"/>
                <w:b/>
                <w:bCs/>
                <w:color w:val="000000"/>
                <w:sz w:val="16"/>
                <w:szCs w:val="16"/>
                <w:lang w:val="sl-SI" w:eastAsia="sl-SI"/>
              </w:rPr>
            </w:pPr>
          </w:p>
        </w:tc>
        <w:tc>
          <w:tcPr>
            <w:tcW w:w="928" w:type="dxa"/>
            <w:vAlign w:val="center"/>
          </w:tcPr>
          <w:p w14:paraId="362AB1D3" w14:textId="77777777" w:rsidR="00726698" w:rsidRPr="00F81934" w:rsidRDefault="00726698" w:rsidP="001725E3">
            <w:pPr>
              <w:jc w:val="center"/>
              <w:rPr>
                <w:rFonts w:cs="Arial"/>
                <w:b/>
                <w:bCs/>
                <w:color w:val="000000"/>
                <w:sz w:val="16"/>
                <w:szCs w:val="16"/>
                <w:lang w:val="sl-SI" w:eastAsia="sl-SI"/>
              </w:rPr>
            </w:pPr>
          </w:p>
        </w:tc>
        <w:tc>
          <w:tcPr>
            <w:tcW w:w="1670" w:type="dxa"/>
            <w:shd w:val="clear" w:color="auto" w:fill="auto"/>
            <w:noWrap/>
            <w:vAlign w:val="center"/>
            <w:hideMark/>
          </w:tcPr>
          <w:p w14:paraId="1EF4CAE3" w14:textId="77777777" w:rsidR="00726698" w:rsidRPr="00F81934" w:rsidRDefault="00726698" w:rsidP="001725E3">
            <w:pPr>
              <w:jc w:val="right"/>
              <w:rPr>
                <w:rFonts w:cs="Arial"/>
                <w:b/>
                <w:bCs/>
                <w:color w:val="000000"/>
                <w:sz w:val="16"/>
                <w:szCs w:val="16"/>
                <w:lang w:val="sl-SI" w:eastAsia="sl-SI"/>
              </w:rPr>
            </w:pPr>
            <w:r w:rsidRPr="00F81934">
              <w:rPr>
                <w:rFonts w:cs="Arial"/>
                <w:b/>
                <w:bCs/>
                <w:color w:val="000000"/>
                <w:sz w:val="16"/>
                <w:szCs w:val="16"/>
                <w:lang w:val="sl-SI" w:eastAsia="sl-SI"/>
              </w:rPr>
              <w:t>63.250.000,00</w:t>
            </w:r>
          </w:p>
        </w:tc>
        <w:tc>
          <w:tcPr>
            <w:tcW w:w="1287" w:type="dxa"/>
            <w:vAlign w:val="center"/>
          </w:tcPr>
          <w:p w14:paraId="30183B23" w14:textId="77777777" w:rsidR="00726698" w:rsidRPr="00F81934" w:rsidRDefault="00726698" w:rsidP="001725E3">
            <w:pPr>
              <w:jc w:val="right"/>
              <w:rPr>
                <w:rFonts w:cs="Arial"/>
                <w:b/>
                <w:bCs/>
                <w:color w:val="000000"/>
                <w:sz w:val="16"/>
                <w:szCs w:val="16"/>
                <w:lang w:val="sl-SI" w:eastAsia="sl-SI"/>
              </w:rPr>
            </w:pPr>
            <w:r w:rsidRPr="00F81934">
              <w:rPr>
                <w:rFonts w:cs="Arial"/>
                <w:b/>
                <w:bCs/>
                <w:color w:val="000000"/>
                <w:sz w:val="16"/>
                <w:szCs w:val="16"/>
                <w:lang w:val="sl-SI" w:eastAsia="sl-SI"/>
              </w:rPr>
              <w:t>63.250.000,00</w:t>
            </w:r>
          </w:p>
        </w:tc>
        <w:tc>
          <w:tcPr>
            <w:tcW w:w="1164" w:type="dxa"/>
            <w:vAlign w:val="center"/>
          </w:tcPr>
          <w:p w14:paraId="2CA16AEF" w14:textId="77777777" w:rsidR="00726698" w:rsidRPr="00F81934" w:rsidRDefault="00726698" w:rsidP="001725E3">
            <w:pPr>
              <w:jc w:val="right"/>
              <w:rPr>
                <w:rFonts w:cs="Arial"/>
                <w:b/>
                <w:bCs/>
                <w:color w:val="000000"/>
                <w:sz w:val="16"/>
                <w:szCs w:val="16"/>
                <w:lang w:val="sl-SI" w:eastAsia="sl-SI"/>
              </w:rPr>
            </w:pPr>
            <w:r w:rsidRPr="00F81934">
              <w:rPr>
                <w:rFonts w:cs="Arial"/>
                <w:b/>
                <w:bCs/>
                <w:color w:val="000000"/>
                <w:sz w:val="16"/>
                <w:szCs w:val="16"/>
                <w:lang w:val="sl-SI" w:eastAsia="sl-SI"/>
              </w:rPr>
              <w:t>63.250.000,00</w:t>
            </w:r>
          </w:p>
        </w:tc>
        <w:tc>
          <w:tcPr>
            <w:tcW w:w="1302" w:type="dxa"/>
            <w:vAlign w:val="center"/>
          </w:tcPr>
          <w:p w14:paraId="479015A9" w14:textId="77777777" w:rsidR="00726698" w:rsidRPr="00F81934" w:rsidRDefault="00726698" w:rsidP="001725E3">
            <w:pPr>
              <w:jc w:val="right"/>
              <w:rPr>
                <w:rFonts w:cs="Arial"/>
                <w:b/>
                <w:bCs/>
                <w:color w:val="000000"/>
                <w:sz w:val="16"/>
                <w:szCs w:val="16"/>
                <w:lang w:val="sl-SI" w:eastAsia="sl-SI"/>
              </w:rPr>
            </w:pPr>
            <w:r w:rsidRPr="00F81934">
              <w:rPr>
                <w:rFonts w:eastAsiaTheme="minorHAnsi" w:cs="Arial"/>
                <w:b/>
                <w:sz w:val="16"/>
                <w:szCs w:val="16"/>
                <w:lang w:val="sl-SI"/>
              </w:rPr>
              <w:t>253.000.000</w:t>
            </w:r>
          </w:p>
        </w:tc>
      </w:tr>
    </w:tbl>
    <w:p w14:paraId="53AC537D" w14:textId="125780C3" w:rsid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41F37010" w14:textId="09C2A928" w:rsidR="00266C05" w:rsidRPr="00DA5FC1" w:rsidRDefault="00266C05" w:rsidP="00DA5FC1">
      <w:pPr>
        <w:spacing w:after="240"/>
        <w:jc w:val="both"/>
        <w:rPr>
          <w:rFonts w:cs="Arial"/>
          <w:sz w:val="16"/>
          <w:szCs w:val="16"/>
          <w:lang w:val="sl-SI"/>
        </w:rPr>
      </w:pPr>
      <w:r>
        <w:rPr>
          <w:rFonts w:cs="Arial"/>
          <w:sz w:val="16"/>
          <w:szCs w:val="16"/>
          <w:lang w:val="sl-SI"/>
        </w:rPr>
        <w:t>* Skupni znesek vseh preostalih izplačil v programskem obdobju 2014-2020.</w:t>
      </w:r>
    </w:p>
    <w:p w14:paraId="61705F26" w14:textId="7475E878" w:rsidR="00726698" w:rsidRPr="004223D6" w:rsidRDefault="00726698" w:rsidP="00CE3440">
      <w:pPr>
        <w:jc w:val="both"/>
        <w:rPr>
          <w:rFonts w:cs="Arial"/>
          <w:szCs w:val="22"/>
          <w:lang w:val="sl-SI"/>
        </w:rPr>
      </w:pPr>
      <w:r>
        <w:rPr>
          <w:rFonts w:cs="Arial"/>
          <w:szCs w:val="22"/>
          <w:lang w:val="sl-SI"/>
        </w:rPr>
        <w:t>V letu 2019 je predvideno vplačilo druge tranše v višini 63,25 milijona evrov.</w:t>
      </w:r>
    </w:p>
    <w:p w14:paraId="12BD320D" w14:textId="77777777" w:rsidR="00AD655B" w:rsidRPr="004223D6" w:rsidRDefault="00AD655B" w:rsidP="00CE3440">
      <w:pPr>
        <w:jc w:val="both"/>
        <w:rPr>
          <w:rFonts w:cs="Arial"/>
          <w:szCs w:val="22"/>
          <w:lang w:val="sl-SI"/>
        </w:rPr>
      </w:pPr>
    </w:p>
    <w:p w14:paraId="3F4BE859" w14:textId="7C9148E1" w:rsidR="005069C7" w:rsidRDefault="005069C7" w:rsidP="00CE3440">
      <w:pPr>
        <w:jc w:val="both"/>
        <w:rPr>
          <w:rFonts w:cs="Arial"/>
          <w:szCs w:val="22"/>
          <w:lang w:val="sl-SI"/>
        </w:rPr>
      </w:pPr>
      <w:r>
        <w:rPr>
          <w:rFonts w:cs="Arial"/>
          <w:szCs w:val="22"/>
          <w:lang w:val="sl-SI"/>
        </w:rPr>
        <w:t xml:space="preserve">V letu 2020 vplačilo nove tranše ni predvideno, tretja tranša (v višini 63,25 </w:t>
      </w:r>
      <w:r w:rsidR="00726698">
        <w:rPr>
          <w:rFonts w:cs="Arial"/>
          <w:szCs w:val="22"/>
          <w:lang w:val="sl-SI"/>
        </w:rPr>
        <w:t>milijona evrov</w:t>
      </w:r>
      <w:r w:rsidR="005743CB">
        <w:rPr>
          <w:rFonts w:cs="Arial"/>
          <w:szCs w:val="22"/>
          <w:lang w:val="sl-SI"/>
        </w:rPr>
        <w:t xml:space="preserve">) je načrtovana v letu 2021, četrta </w:t>
      </w:r>
      <w:r w:rsidR="00726698">
        <w:rPr>
          <w:rFonts w:cs="Arial"/>
          <w:szCs w:val="22"/>
          <w:lang w:val="sl-SI"/>
        </w:rPr>
        <w:t xml:space="preserve">v enakem znesku </w:t>
      </w:r>
      <w:r w:rsidR="005743CB">
        <w:rPr>
          <w:rFonts w:cs="Arial"/>
          <w:szCs w:val="22"/>
          <w:lang w:val="sl-SI"/>
        </w:rPr>
        <w:t>pa v letu 2022.</w:t>
      </w:r>
    </w:p>
    <w:p w14:paraId="3A28D7B3" w14:textId="77777777" w:rsidR="005069C7" w:rsidRDefault="005069C7" w:rsidP="00CE3440">
      <w:pPr>
        <w:jc w:val="both"/>
        <w:rPr>
          <w:rFonts w:cs="Arial"/>
          <w:szCs w:val="22"/>
          <w:lang w:val="sl-SI"/>
        </w:rPr>
      </w:pPr>
    </w:p>
    <w:p w14:paraId="3FEE439C" w14:textId="10A905B0" w:rsidR="00FA7969" w:rsidRPr="004223D6" w:rsidRDefault="00FA7969" w:rsidP="00CE3440">
      <w:pPr>
        <w:jc w:val="both"/>
        <w:rPr>
          <w:rFonts w:cs="Arial"/>
          <w:szCs w:val="22"/>
          <w:lang w:val="sl-SI"/>
        </w:rPr>
      </w:pPr>
      <w:r w:rsidRPr="004223D6">
        <w:rPr>
          <w:rFonts w:cs="Arial"/>
          <w:szCs w:val="22"/>
          <w:lang w:val="sl-SI"/>
        </w:rPr>
        <w:t xml:space="preserve">Načrt kazalnikov fizičnih ciljev FI v okviru </w:t>
      </w:r>
      <w:r w:rsidR="00866736" w:rsidRPr="004223D6">
        <w:rPr>
          <w:rFonts w:cs="Arial"/>
          <w:szCs w:val="22"/>
          <w:lang w:val="sl-SI"/>
        </w:rPr>
        <w:t xml:space="preserve">operacije </w:t>
      </w:r>
      <w:r w:rsidR="0075201B" w:rsidRPr="004223D6">
        <w:rPr>
          <w:rFonts w:cs="Arial"/>
          <w:szCs w:val="22"/>
          <w:lang w:val="sl-SI"/>
        </w:rPr>
        <w:t>»</w:t>
      </w:r>
      <w:r w:rsidR="00866736" w:rsidRPr="004223D6">
        <w:rPr>
          <w:rFonts w:cs="Arial"/>
          <w:szCs w:val="22"/>
          <w:lang w:val="sl-SI"/>
        </w:rPr>
        <w:t>Finančni instrumenti 2014-2020</w:t>
      </w:r>
      <w:r w:rsidR="0075201B" w:rsidRPr="004223D6">
        <w:rPr>
          <w:rFonts w:cs="Arial"/>
          <w:szCs w:val="22"/>
          <w:lang w:val="sl-SI"/>
        </w:rPr>
        <w:t>«</w:t>
      </w:r>
      <w:r w:rsidR="00866736" w:rsidRPr="004223D6">
        <w:rPr>
          <w:rFonts w:cs="Arial"/>
          <w:szCs w:val="22"/>
          <w:lang w:val="sl-SI"/>
        </w:rPr>
        <w:t xml:space="preserve"> </w:t>
      </w:r>
      <w:r w:rsidRPr="004223D6">
        <w:rPr>
          <w:rFonts w:cs="Arial"/>
          <w:szCs w:val="22"/>
          <w:lang w:val="sl-SI"/>
        </w:rPr>
        <w:t xml:space="preserve">za celotno finančno perspektivo je </w:t>
      </w:r>
      <w:r w:rsidR="003A74A5" w:rsidRPr="004223D6">
        <w:rPr>
          <w:rFonts w:cs="Arial"/>
          <w:szCs w:val="22"/>
          <w:lang w:val="sl-SI"/>
        </w:rPr>
        <w:t xml:space="preserve">opredeljen v </w:t>
      </w:r>
      <w:proofErr w:type="spellStart"/>
      <w:r w:rsidR="003A74A5" w:rsidRPr="004223D6">
        <w:rPr>
          <w:rFonts w:cs="Arial"/>
          <w:szCs w:val="22"/>
          <w:lang w:val="sl-SI"/>
        </w:rPr>
        <w:t>SoF</w:t>
      </w:r>
      <w:proofErr w:type="spellEnd"/>
      <w:r w:rsidR="003A74A5" w:rsidRPr="004223D6">
        <w:rPr>
          <w:rFonts w:cs="Arial"/>
          <w:szCs w:val="22"/>
          <w:lang w:val="sl-SI"/>
        </w:rPr>
        <w:t>.</w:t>
      </w:r>
    </w:p>
    <w:p w14:paraId="32A49F73" w14:textId="77777777" w:rsidR="00FA7969" w:rsidRPr="004223D6" w:rsidRDefault="00FA7969" w:rsidP="00CE3440">
      <w:pPr>
        <w:jc w:val="both"/>
        <w:rPr>
          <w:rFonts w:cs="Arial"/>
          <w:szCs w:val="22"/>
          <w:lang w:val="sl-SI"/>
        </w:rPr>
      </w:pPr>
    </w:p>
    <w:p w14:paraId="649D6611" w14:textId="22D11C2D" w:rsidR="00180605" w:rsidRPr="004223D6" w:rsidRDefault="001B58C7" w:rsidP="00CE3440">
      <w:pPr>
        <w:jc w:val="both"/>
        <w:rPr>
          <w:rFonts w:cs="Arial"/>
          <w:szCs w:val="22"/>
          <w:lang w:val="sl-SI"/>
        </w:rPr>
      </w:pPr>
      <w:r w:rsidRPr="004223D6">
        <w:rPr>
          <w:rFonts w:cs="Arial"/>
          <w:szCs w:val="22"/>
          <w:lang w:val="sl-SI"/>
        </w:rPr>
        <w:t xml:space="preserve">Izvajalec sklada skladov bo letno poročal o doseženih kazalnikih po posameznih </w:t>
      </w:r>
      <w:r w:rsidR="004B2892">
        <w:rPr>
          <w:rFonts w:cs="Arial"/>
          <w:szCs w:val="22"/>
          <w:lang w:val="sl-SI"/>
        </w:rPr>
        <w:t>FI</w:t>
      </w:r>
      <w:r w:rsidRPr="004223D6">
        <w:rPr>
          <w:rFonts w:cs="Arial"/>
          <w:szCs w:val="22"/>
          <w:lang w:val="sl-SI"/>
        </w:rPr>
        <w:t>.</w:t>
      </w:r>
      <w:r w:rsidR="00180605" w:rsidRPr="004223D6">
        <w:rPr>
          <w:rFonts w:cs="Arial"/>
          <w:szCs w:val="22"/>
          <w:lang w:val="sl-SI"/>
        </w:rPr>
        <w:t xml:space="preserve"> Vsebina in frekvenca poročanja</w:t>
      </w:r>
      <w:r w:rsidR="009C5E84" w:rsidRPr="004223D6">
        <w:rPr>
          <w:rFonts w:cs="Arial"/>
          <w:szCs w:val="22"/>
          <w:lang w:val="sl-SI"/>
        </w:rPr>
        <w:t xml:space="preserve"> posredniškemu organu</w:t>
      </w:r>
      <w:r w:rsidR="00180605" w:rsidRPr="004223D6">
        <w:rPr>
          <w:rFonts w:cs="Arial"/>
          <w:szCs w:val="22"/>
          <w:lang w:val="sl-SI"/>
        </w:rPr>
        <w:t xml:space="preserve"> sta natančneje opredeljeni v</w:t>
      </w:r>
      <w:r w:rsidR="009C5E84" w:rsidRPr="004223D6">
        <w:rPr>
          <w:rFonts w:cs="Arial"/>
          <w:szCs w:val="22"/>
          <w:lang w:val="sl-SI"/>
        </w:rPr>
        <w:t xml:space="preserve"> </w:t>
      </w:r>
      <w:proofErr w:type="spellStart"/>
      <w:r w:rsidR="003A74A5" w:rsidRPr="004223D6">
        <w:rPr>
          <w:rFonts w:cs="Arial"/>
          <w:szCs w:val="22"/>
          <w:lang w:val="sl-SI"/>
        </w:rPr>
        <w:t>SoF</w:t>
      </w:r>
      <w:proofErr w:type="spellEnd"/>
      <w:r w:rsidR="006A103F" w:rsidRPr="004223D6">
        <w:rPr>
          <w:rFonts w:cs="Arial"/>
          <w:szCs w:val="22"/>
          <w:lang w:val="sl-SI"/>
        </w:rPr>
        <w:t xml:space="preserve">. </w:t>
      </w:r>
      <w:r w:rsidR="00180605" w:rsidRPr="004223D6">
        <w:rPr>
          <w:rFonts w:cs="Arial"/>
          <w:szCs w:val="22"/>
          <w:lang w:val="sl-SI"/>
        </w:rPr>
        <w:t xml:space="preserve">Prav tako </w:t>
      </w:r>
      <w:r w:rsidR="007249B5" w:rsidRPr="004223D6">
        <w:rPr>
          <w:rFonts w:cs="Arial"/>
          <w:szCs w:val="22"/>
          <w:lang w:val="sl-SI"/>
        </w:rPr>
        <w:t xml:space="preserve">je </w:t>
      </w:r>
      <w:r w:rsidR="00180605" w:rsidRPr="004223D6">
        <w:rPr>
          <w:rFonts w:cs="Arial"/>
          <w:szCs w:val="22"/>
          <w:lang w:val="sl-SI"/>
        </w:rPr>
        <w:t xml:space="preserve">v prilogi </w:t>
      </w:r>
      <w:proofErr w:type="spellStart"/>
      <w:r w:rsidR="003A74A5" w:rsidRPr="004223D6">
        <w:rPr>
          <w:rFonts w:cs="Arial"/>
          <w:szCs w:val="22"/>
          <w:lang w:val="sl-SI"/>
        </w:rPr>
        <w:t>SoF</w:t>
      </w:r>
      <w:proofErr w:type="spellEnd"/>
      <w:r w:rsidR="003A74A5" w:rsidRPr="004223D6">
        <w:rPr>
          <w:rFonts w:cs="Arial"/>
          <w:szCs w:val="22"/>
          <w:lang w:val="sl-SI"/>
        </w:rPr>
        <w:t xml:space="preserve"> </w:t>
      </w:r>
      <w:r w:rsidR="00180605" w:rsidRPr="004223D6">
        <w:rPr>
          <w:rFonts w:cs="Arial"/>
          <w:szCs w:val="22"/>
          <w:lang w:val="sl-SI"/>
        </w:rPr>
        <w:t>opredeljena politika tveganja.</w:t>
      </w:r>
    </w:p>
    <w:p w14:paraId="1D2EEF78" w14:textId="3CBEC30B" w:rsidR="00A94397" w:rsidRPr="004223D6" w:rsidRDefault="00A94397">
      <w:pPr>
        <w:spacing w:after="160" w:line="259" w:lineRule="auto"/>
        <w:rPr>
          <w:rFonts w:cs="Arial"/>
          <w:szCs w:val="22"/>
          <w:lang w:val="sl-SI"/>
        </w:rPr>
      </w:pPr>
      <w:r w:rsidRPr="004223D6">
        <w:rPr>
          <w:rFonts w:cs="Arial"/>
          <w:szCs w:val="22"/>
          <w:lang w:val="sl-SI"/>
        </w:rPr>
        <w:br w:type="page"/>
      </w:r>
    </w:p>
    <w:p w14:paraId="09EF41CA" w14:textId="3742D959" w:rsidR="00C0397B" w:rsidRPr="004223D6" w:rsidRDefault="00F51722" w:rsidP="00CE3440">
      <w:pPr>
        <w:pStyle w:val="Naslov1"/>
        <w:numPr>
          <w:ilvl w:val="0"/>
          <w:numId w:val="25"/>
        </w:numPr>
        <w:spacing w:before="240" w:after="60"/>
        <w:jc w:val="both"/>
        <w:rPr>
          <w:lang w:val="sl-SI"/>
        </w:rPr>
      </w:pPr>
      <w:r w:rsidRPr="004223D6">
        <w:rPr>
          <w:lang w:val="sl-SI"/>
        </w:rPr>
        <w:lastRenderedPageBreak/>
        <w:t>FINANČNI INSTRUMENT</w:t>
      </w:r>
      <w:r>
        <w:rPr>
          <w:lang w:val="sl-SI"/>
        </w:rPr>
        <w:t>I PO PODROČJIH</w:t>
      </w:r>
    </w:p>
    <w:p w14:paraId="3ABB9C01" w14:textId="77777777" w:rsidR="00C0397B" w:rsidRPr="004223D6" w:rsidRDefault="00C0397B" w:rsidP="00CE3440">
      <w:pPr>
        <w:jc w:val="both"/>
        <w:rPr>
          <w:rFonts w:cs="Arial"/>
          <w:szCs w:val="22"/>
          <w:lang w:val="sl-SI"/>
        </w:rPr>
      </w:pPr>
    </w:p>
    <w:p w14:paraId="4A5C9FFD" w14:textId="33B00BD8" w:rsidR="00C0397B" w:rsidRPr="004223D6" w:rsidRDefault="00C0397B" w:rsidP="00CE3440">
      <w:pPr>
        <w:jc w:val="both"/>
        <w:rPr>
          <w:rFonts w:cs="Arial"/>
          <w:szCs w:val="22"/>
          <w:lang w:val="sl-SI"/>
        </w:rPr>
      </w:pPr>
      <w:r w:rsidRPr="004223D6">
        <w:rPr>
          <w:rFonts w:cs="Arial"/>
          <w:szCs w:val="22"/>
          <w:lang w:val="sl-SI"/>
        </w:rPr>
        <w:t xml:space="preserve">Kohezijska politika </w:t>
      </w:r>
      <w:r w:rsidR="00294990" w:rsidRPr="004223D6">
        <w:rPr>
          <w:rFonts w:cs="Arial"/>
          <w:szCs w:val="22"/>
          <w:lang w:val="sl-SI"/>
        </w:rPr>
        <w:t>prog</w:t>
      </w:r>
      <w:r w:rsidR="001B3292" w:rsidRPr="004223D6">
        <w:rPr>
          <w:rFonts w:cs="Arial"/>
          <w:szCs w:val="22"/>
          <w:lang w:val="sl-SI"/>
        </w:rPr>
        <w:t>r</w:t>
      </w:r>
      <w:r w:rsidR="00294990" w:rsidRPr="004223D6">
        <w:rPr>
          <w:rFonts w:cs="Arial"/>
          <w:szCs w:val="22"/>
          <w:lang w:val="sl-SI"/>
        </w:rPr>
        <w:t>amskega obdobja</w:t>
      </w:r>
      <w:r w:rsidRPr="004223D6">
        <w:rPr>
          <w:rFonts w:cs="Arial"/>
          <w:szCs w:val="22"/>
          <w:lang w:val="sl-SI"/>
        </w:rPr>
        <w:t xml:space="preserve"> 2014</w:t>
      </w:r>
      <w:r w:rsidR="00A82335" w:rsidRPr="004223D6">
        <w:rPr>
          <w:rFonts w:cs="Arial"/>
          <w:szCs w:val="22"/>
          <w:lang w:val="sl-SI"/>
        </w:rPr>
        <w:t>–</w:t>
      </w:r>
      <w:r w:rsidRPr="004223D6">
        <w:rPr>
          <w:rFonts w:cs="Arial"/>
          <w:szCs w:val="22"/>
          <w:lang w:val="sl-SI"/>
        </w:rPr>
        <w:t>2020 je načrtovana skladno z Odlok</w:t>
      </w:r>
      <w:r w:rsidR="00A82335" w:rsidRPr="004223D6">
        <w:rPr>
          <w:rFonts w:cs="Arial"/>
          <w:szCs w:val="22"/>
          <w:lang w:val="sl-SI"/>
        </w:rPr>
        <w:t>om</w:t>
      </w:r>
      <w:r w:rsidRPr="004223D6">
        <w:rPr>
          <w:rFonts w:cs="Arial"/>
          <w:szCs w:val="22"/>
          <w:lang w:val="sl-SI"/>
        </w:rPr>
        <w:t xml:space="preserve"> o izvedbenem načrtu Operativnega programa za izvajanje evropske kohezijske politike za programsko obdobje 2014–2020 (Uradni list RS, št. 50/15, 58/15, 76/15, 1/16, 35/16 in 55/16), ki določa dinamiko izvedbe na način, da bodo doseže</w:t>
      </w:r>
      <w:r w:rsidR="008B51B0">
        <w:rPr>
          <w:rFonts w:cs="Arial"/>
          <w:szCs w:val="22"/>
          <w:lang w:val="sl-SI"/>
        </w:rPr>
        <w:t>ni cilji operativnega programa.</w:t>
      </w:r>
    </w:p>
    <w:p w14:paraId="5E728DA4" w14:textId="77777777" w:rsidR="00C0397B" w:rsidRPr="004223D6" w:rsidRDefault="00C0397B" w:rsidP="00CE3440">
      <w:pPr>
        <w:jc w:val="both"/>
        <w:rPr>
          <w:rFonts w:cs="Arial"/>
          <w:szCs w:val="22"/>
          <w:lang w:val="sl-SI"/>
        </w:rPr>
      </w:pPr>
    </w:p>
    <w:p w14:paraId="6BB0B986" w14:textId="7A8804BE" w:rsidR="00C0397B" w:rsidRPr="004223D6" w:rsidRDefault="00C0397B" w:rsidP="00CE3440">
      <w:pPr>
        <w:jc w:val="both"/>
        <w:rPr>
          <w:rFonts w:cs="Arial"/>
          <w:szCs w:val="22"/>
          <w:lang w:val="sl-SI"/>
        </w:rPr>
      </w:pPr>
      <w:r w:rsidRPr="004223D6">
        <w:rPr>
          <w:rFonts w:cs="Arial"/>
          <w:szCs w:val="22"/>
          <w:lang w:val="sl-SI"/>
        </w:rPr>
        <w:t>Vlada RS je junija 2017 sprejela Izvedbeni načrt Operativnega programa za izvajanje evropske kohezijske politike za programsko obdobje 2014–2020 7.0 (dokument št. 303-26/2016/103, z dne 14. 6. 2017), ki načrtuje v</w:t>
      </w:r>
      <w:r w:rsidR="00294990" w:rsidRPr="004223D6">
        <w:rPr>
          <w:rFonts w:cs="Arial"/>
          <w:szCs w:val="22"/>
          <w:lang w:val="sl-SI"/>
        </w:rPr>
        <w:t>p</w:t>
      </w:r>
      <w:r w:rsidRPr="004223D6">
        <w:rPr>
          <w:rFonts w:cs="Arial"/>
          <w:szCs w:val="22"/>
          <w:lang w:val="sl-SI"/>
        </w:rPr>
        <w:t>lačila sredstev v sklad skladov prek štirih enakih tranš. V letu 2017 je</w:t>
      </w:r>
      <w:r w:rsidR="00CF43EA" w:rsidRPr="004223D6">
        <w:rPr>
          <w:rFonts w:cs="Arial"/>
          <w:szCs w:val="22"/>
          <w:lang w:val="sl-SI"/>
        </w:rPr>
        <w:t xml:space="preserve"> bilo</w:t>
      </w:r>
      <w:r w:rsidRPr="004223D6">
        <w:rPr>
          <w:rFonts w:cs="Arial"/>
          <w:szCs w:val="22"/>
          <w:lang w:val="sl-SI"/>
        </w:rPr>
        <w:t xml:space="preserve"> </w:t>
      </w:r>
      <w:r w:rsidR="00CF43EA" w:rsidRPr="004223D6">
        <w:rPr>
          <w:rFonts w:cs="Arial"/>
          <w:szCs w:val="22"/>
          <w:lang w:val="sl-SI"/>
        </w:rPr>
        <w:t xml:space="preserve">izvedeno </w:t>
      </w:r>
      <w:r w:rsidRPr="004223D6">
        <w:rPr>
          <w:rFonts w:cs="Arial"/>
          <w:szCs w:val="22"/>
          <w:lang w:val="sl-SI"/>
        </w:rPr>
        <w:t>izplačilo prve tranše v višini 63</w:t>
      </w:r>
      <w:r w:rsidR="00F51722">
        <w:rPr>
          <w:rFonts w:cs="Arial"/>
          <w:szCs w:val="22"/>
          <w:lang w:val="sl-SI"/>
        </w:rPr>
        <w:t>,</w:t>
      </w:r>
      <w:r w:rsidRPr="004223D6">
        <w:rPr>
          <w:rFonts w:cs="Arial"/>
          <w:szCs w:val="22"/>
          <w:lang w:val="sl-SI"/>
        </w:rPr>
        <w:t xml:space="preserve">25 </w:t>
      </w:r>
      <w:r w:rsidR="00F51722">
        <w:rPr>
          <w:rFonts w:cs="Arial"/>
          <w:szCs w:val="22"/>
          <w:lang w:val="sl-SI"/>
        </w:rPr>
        <w:t xml:space="preserve">milijona </w:t>
      </w:r>
      <w:r w:rsidR="005743CB">
        <w:rPr>
          <w:rFonts w:cs="Arial"/>
          <w:szCs w:val="22"/>
          <w:lang w:val="sl-SI"/>
        </w:rPr>
        <w:t>evrov</w:t>
      </w:r>
      <w:r w:rsidR="00CF43EA" w:rsidRPr="004223D6">
        <w:rPr>
          <w:rFonts w:cs="Arial"/>
          <w:szCs w:val="22"/>
          <w:lang w:val="sl-SI"/>
        </w:rPr>
        <w:t>. V</w:t>
      </w:r>
      <w:r w:rsidRPr="004223D6">
        <w:rPr>
          <w:rFonts w:cs="Arial"/>
          <w:szCs w:val="22"/>
          <w:lang w:val="sl-SI"/>
        </w:rPr>
        <w:t xml:space="preserve"> letu 2019 </w:t>
      </w:r>
      <w:r w:rsidR="00CF43EA" w:rsidRPr="004223D6">
        <w:rPr>
          <w:rFonts w:cs="Arial"/>
          <w:szCs w:val="22"/>
          <w:lang w:val="sl-SI"/>
        </w:rPr>
        <w:t xml:space="preserve">je načrtovano </w:t>
      </w:r>
      <w:r w:rsidRPr="004223D6">
        <w:rPr>
          <w:rFonts w:cs="Arial"/>
          <w:szCs w:val="22"/>
          <w:lang w:val="sl-SI"/>
        </w:rPr>
        <w:t xml:space="preserve">izplačilo druge tranše v višini </w:t>
      </w:r>
      <w:r w:rsidR="00210671">
        <w:rPr>
          <w:rFonts w:cs="Arial"/>
          <w:szCs w:val="22"/>
          <w:lang w:val="sl-SI"/>
        </w:rPr>
        <w:t>63,25 milijona evrov</w:t>
      </w:r>
      <w:r w:rsidRPr="004223D6">
        <w:rPr>
          <w:rFonts w:cs="Arial"/>
          <w:szCs w:val="22"/>
          <w:lang w:val="sl-SI"/>
        </w:rPr>
        <w:t>.</w:t>
      </w:r>
      <w:r w:rsidR="00697894">
        <w:rPr>
          <w:rFonts w:cs="Arial"/>
          <w:szCs w:val="22"/>
          <w:lang w:val="sl-SI"/>
        </w:rPr>
        <w:t xml:space="preserve"> </w:t>
      </w:r>
      <w:r w:rsidR="00210671">
        <w:rPr>
          <w:rFonts w:cs="Arial"/>
          <w:szCs w:val="22"/>
          <w:lang w:val="sl-SI"/>
        </w:rPr>
        <w:t>Iz</w:t>
      </w:r>
      <w:r w:rsidR="00697894">
        <w:rPr>
          <w:rFonts w:cs="Arial"/>
          <w:szCs w:val="22"/>
          <w:lang w:val="sl-SI"/>
        </w:rPr>
        <w:t>plačilo tretje tranše je predvideno v letu 2021 v višini 63,25 milijona evrov.</w:t>
      </w:r>
    </w:p>
    <w:p w14:paraId="75D67A7A" w14:textId="77777777" w:rsidR="00233ED5" w:rsidRPr="004223D6" w:rsidRDefault="00233ED5" w:rsidP="00233ED5">
      <w:pPr>
        <w:jc w:val="both"/>
        <w:rPr>
          <w:rFonts w:cs="Arial"/>
          <w:szCs w:val="22"/>
          <w:lang w:val="sl-SI"/>
        </w:rPr>
      </w:pPr>
    </w:p>
    <w:p w14:paraId="510D7D2A" w14:textId="1E07D3DB" w:rsidR="00D471B8" w:rsidRPr="00D471B8" w:rsidRDefault="00D471B8" w:rsidP="00423D1D">
      <w:pPr>
        <w:jc w:val="both"/>
        <w:rPr>
          <w:rFonts w:cs="Arial"/>
          <w:szCs w:val="22"/>
          <w:lang w:val="sl-SI"/>
        </w:rPr>
      </w:pPr>
      <w:r w:rsidRPr="00D471B8">
        <w:rPr>
          <w:rFonts w:cs="Arial"/>
          <w:szCs w:val="22"/>
          <w:lang w:val="sl-SI"/>
        </w:rPr>
        <w:t>V skladu s 70. členom Zakona o izvrševanju proračunov RS za leti 2018 in 2019 (Uradni list RS, št. 71/17, 13/18 – ZJF-H, 83/18 in 19/19) se prejeta sredstva EU za izvajanje finančnih instrumentov ne izkazujejo kot prihodek proračuna</w:t>
      </w:r>
      <w:r>
        <w:rPr>
          <w:rFonts w:cs="Arial"/>
          <w:szCs w:val="22"/>
          <w:lang w:val="sl-SI"/>
        </w:rPr>
        <w:t>,</w:t>
      </w:r>
      <w:r w:rsidRPr="00D471B8">
        <w:rPr>
          <w:rFonts w:cs="Arial"/>
          <w:szCs w:val="22"/>
          <w:lang w:val="sl-SI"/>
        </w:rPr>
        <w:t xml:space="preserve"> temveč se do zaključka izvedbe posameznega finančnega instrumenta izkazujejo samo v bilanci stanja.</w:t>
      </w:r>
    </w:p>
    <w:p w14:paraId="75CA2790" w14:textId="77777777" w:rsidR="00C0397B" w:rsidRPr="004223D6" w:rsidRDefault="00C0397B" w:rsidP="00CE3440">
      <w:pPr>
        <w:jc w:val="both"/>
        <w:rPr>
          <w:rFonts w:cs="Arial"/>
          <w:szCs w:val="22"/>
          <w:lang w:val="sl-SI"/>
        </w:rPr>
      </w:pPr>
    </w:p>
    <w:p w14:paraId="675CB014" w14:textId="2EC8FFA6" w:rsidR="00C0397B" w:rsidRPr="004223D6" w:rsidRDefault="00C0397B" w:rsidP="00CE3440">
      <w:pPr>
        <w:jc w:val="both"/>
        <w:rPr>
          <w:rFonts w:cs="Arial"/>
          <w:szCs w:val="22"/>
          <w:lang w:val="sl-SI"/>
        </w:rPr>
      </w:pPr>
      <w:r w:rsidRPr="004223D6">
        <w:rPr>
          <w:rFonts w:cs="Arial"/>
          <w:szCs w:val="22"/>
          <w:lang w:val="sl-SI"/>
        </w:rPr>
        <w:t xml:space="preserve">Skladno s pripravljeno Predhodno oceno </w:t>
      </w:r>
      <w:r w:rsidR="00E4060E">
        <w:rPr>
          <w:rFonts w:cs="Arial"/>
          <w:szCs w:val="22"/>
          <w:lang w:val="sl-SI"/>
        </w:rPr>
        <w:t>FI</w:t>
      </w:r>
      <w:r w:rsidRPr="004223D6">
        <w:rPr>
          <w:rFonts w:cs="Arial"/>
          <w:szCs w:val="22"/>
          <w:lang w:val="sl-SI"/>
        </w:rPr>
        <w:t xml:space="preserve"> v Sloveniji, se bodo FI </w:t>
      </w:r>
      <w:r w:rsidR="00F51722">
        <w:rPr>
          <w:rFonts w:cs="Arial"/>
          <w:szCs w:val="22"/>
          <w:lang w:val="sl-SI"/>
        </w:rPr>
        <w:t>i</w:t>
      </w:r>
      <w:r w:rsidRPr="004223D6">
        <w:rPr>
          <w:rFonts w:cs="Arial"/>
          <w:szCs w:val="22"/>
          <w:lang w:val="sl-SI"/>
        </w:rPr>
        <w:t>zvajali na štiri</w:t>
      </w:r>
      <w:r w:rsidR="00054409" w:rsidRPr="004223D6">
        <w:rPr>
          <w:rFonts w:cs="Arial"/>
          <w:szCs w:val="22"/>
          <w:lang w:val="sl-SI"/>
        </w:rPr>
        <w:t>h področjih oziroma prednostnih</w:t>
      </w:r>
      <w:r w:rsidRPr="004223D6">
        <w:rPr>
          <w:rFonts w:cs="Arial"/>
          <w:szCs w:val="22"/>
          <w:lang w:val="sl-SI"/>
        </w:rPr>
        <w:t xml:space="preserve"> naložbah </w:t>
      </w:r>
      <w:r w:rsidR="00054409" w:rsidRPr="004223D6">
        <w:rPr>
          <w:rFonts w:cs="Arial"/>
          <w:szCs w:val="22"/>
          <w:lang w:val="sl-SI"/>
        </w:rPr>
        <w:t xml:space="preserve">operativnega </w:t>
      </w:r>
      <w:r w:rsidRPr="004223D6">
        <w:rPr>
          <w:rFonts w:cs="Arial"/>
          <w:szCs w:val="22"/>
          <w:lang w:val="sl-SI"/>
        </w:rPr>
        <w:t>programa, in sicer:</w:t>
      </w:r>
    </w:p>
    <w:p w14:paraId="69DBD757" w14:textId="1CE49FE4" w:rsidR="00C0397B" w:rsidRPr="004223D6" w:rsidRDefault="00E4060E" w:rsidP="00CE3440">
      <w:pPr>
        <w:pStyle w:val="Odstavekseznama"/>
        <w:numPr>
          <w:ilvl w:val="0"/>
          <w:numId w:val="24"/>
        </w:numPr>
        <w:jc w:val="both"/>
        <w:rPr>
          <w:rFonts w:ascii="Arial" w:eastAsia="Times New Roman" w:hAnsi="Arial" w:cs="Arial"/>
          <w:lang w:val="sl-SI"/>
        </w:rPr>
      </w:pPr>
      <w:r>
        <w:rPr>
          <w:rFonts w:ascii="Arial" w:eastAsia="Times New Roman" w:hAnsi="Arial" w:cs="Arial"/>
          <w:lang w:val="sl-SI"/>
        </w:rPr>
        <w:t>RRI</w:t>
      </w:r>
      <w:r w:rsidR="00C0397B" w:rsidRPr="004223D6">
        <w:rPr>
          <w:rFonts w:ascii="Arial" w:eastAsia="Times New Roman" w:hAnsi="Arial" w:cs="Arial"/>
          <w:lang w:val="sl-SI"/>
        </w:rPr>
        <w:t>,</w:t>
      </w:r>
    </w:p>
    <w:p w14:paraId="31E109E9" w14:textId="31A5D755" w:rsidR="00C0397B" w:rsidRPr="004223D6" w:rsidRDefault="00E4060E" w:rsidP="00CE3440">
      <w:pPr>
        <w:pStyle w:val="Odstavekseznama"/>
        <w:numPr>
          <w:ilvl w:val="0"/>
          <w:numId w:val="24"/>
        </w:numPr>
        <w:jc w:val="both"/>
        <w:rPr>
          <w:rFonts w:ascii="Arial" w:eastAsia="Times New Roman" w:hAnsi="Arial" w:cs="Arial"/>
          <w:lang w:val="sl-SI"/>
        </w:rPr>
      </w:pPr>
      <w:r>
        <w:rPr>
          <w:rFonts w:ascii="Arial" w:eastAsia="Times New Roman" w:hAnsi="Arial" w:cs="Arial"/>
          <w:lang w:val="sl-SI"/>
        </w:rPr>
        <w:t>MSP</w:t>
      </w:r>
      <w:r w:rsidR="00C0397B" w:rsidRPr="004223D6">
        <w:rPr>
          <w:rFonts w:ascii="Arial" w:eastAsia="Times New Roman" w:hAnsi="Arial" w:cs="Arial"/>
          <w:lang w:val="sl-SI"/>
        </w:rPr>
        <w:t>,</w:t>
      </w:r>
    </w:p>
    <w:p w14:paraId="2145F94D" w14:textId="77777777" w:rsidR="00C0397B" w:rsidRPr="004223D6" w:rsidRDefault="00C0397B" w:rsidP="00CE3440">
      <w:pPr>
        <w:pStyle w:val="Odstavekseznama"/>
        <w:numPr>
          <w:ilvl w:val="0"/>
          <w:numId w:val="24"/>
        </w:numPr>
        <w:jc w:val="both"/>
        <w:rPr>
          <w:rFonts w:ascii="Arial" w:eastAsia="Times New Roman" w:hAnsi="Arial" w:cs="Arial"/>
          <w:lang w:val="sl-SI"/>
        </w:rPr>
      </w:pPr>
      <w:r w:rsidRPr="004223D6">
        <w:rPr>
          <w:rFonts w:ascii="Arial" w:eastAsia="Times New Roman" w:hAnsi="Arial" w:cs="Arial"/>
          <w:lang w:val="sl-SI"/>
        </w:rPr>
        <w:t>energetska učinkovitost,</w:t>
      </w:r>
    </w:p>
    <w:p w14:paraId="1479C7A8" w14:textId="4BAA9199" w:rsidR="00C0397B" w:rsidRPr="004223D6" w:rsidRDefault="00C0397B" w:rsidP="00CE3440">
      <w:pPr>
        <w:pStyle w:val="Odstavekseznama"/>
        <w:numPr>
          <w:ilvl w:val="0"/>
          <w:numId w:val="24"/>
        </w:numPr>
        <w:jc w:val="both"/>
        <w:rPr>
          <w:rFonts w:ascii="Arial" w:eastAsia="Times New Roman" w:hAnsi="Arial" w:cs="Arial"/>
          <w:lang w:val="sl-SI"/>
        </w:rPr>
      </w:pPr>
      <w:r w:rsidRPr="004223D6">
        <w:rPr>
          <w:rFonts w:ascii="Arial" w:eastAsia="Times New Roman" w:hAnsi="Arial" w:cs="Arial"/>
          <w:lang w:val="sl-SI"/>
        </w:rPr>
        <w:t>urbani razvoj.</w:t>
      </w:r>
    </w:p>
    <w:p w14:paraId="502C4B84" w14:textId="77777777" w:rsidR="007E4940" w:rsidRPr="004223D6" w:rsidRDefault="007E4940" w:rsidP="00CE3440">
      <w:pPr>
        <w:jc w:val="both"/>
        <w:rPr>
          <w:rFonts w:cs="Arial"/>
          <w:szCs w:val="22"/>
          <w:lang w:val="sl-SI"/>
        </w:rPr>
      </w:pPr>
    </w:p>
    <w:p w14:paraId="0CC49F3A" w14:textId="2B411C00" w:rsidR="00C0397B" w:rsidRPr="004223D6" w:rsidRDefault="00C0397B" w:rsidP="00CE3440">
      <w:pPr>
        <w:jc w:val="both"/>
        <w:rPr>
          <w:rFonts w:cs="Arial"/>
          <w:szCs w:val="22"/>
          <w:lang w:val="sl-SI"/>
        </w:rPr>
      </w:pPr>
      <w:r w:rsidRPr="004223D6">
        <w:rPr>
          <w:rFonts w:cs="Arial"/>
          <w:szCs w:val="22"/>
          <w:lang w:val="sl-SI"/>
        </w:rPr>
        <w:t>Glede na programsko klasifikacijo Proračuna RS lahko finančne instrumente</w:t>
      </w:r>
      <w:r w:rsidR="000F52A7" w:rsidRPr="004223D6">
        <w:rPr>
          <w:rFonts w:cs="Arial"/>
          <w:szCs w:val="22"/>
          <w:lang w:val="sl-SI"/>
        </w:rPr>
        <w:t xml:space="preserve"> </w:t>
      </w:r>
      <w:r w:rsidR="000F52A7" w:rsidRPr="004223D6">
        <w:rPr>
          <w:rFonts w:cs="Arial"/>
          <w:b/>
          <w:szCs w:val="22"/>
          <w:lang w:val="sl-SI"/>
        </w:rPr>
        <w:t>vsebinsko</w:t>
      </w:r>
      <w:r w:rsidRPr="004223D6">
        <w:rPr>
          <w:rFonts w:cs="Arial"/>
          <w:szCs w:val="22"/>
          <w:lang w:val="sl-SI"/>
        </w:rPr>
        <w:t xml:space="preserve"> umestimo v naslednja področja, politike, </w:t>
      </w:r>
      <w:r w:rsidR="00665ACF" w:rsidRPr="004223D6">
        <w:rPr>
          <w:rFonts w:cs="Arial"/>
          <w:szCs w:val="22"/>
          <w:lang w:val="sl-SI"/>
        </w:rPr>
        <w:t>glavne programe in podprograme.</w:t>
      </w:r>
    </w:p>
    <w:p w14:paraId="7BDBFECB" w14:textId="77777777" w:rsidR="00665ACF" w:rsidRPr="004223D6" w:rsidRDefault="00665ACF" w:rsidP="00CE3440">
      <w:pPr>
        <w:jc w:val="both"/>
        <w:rPr>
          <w:rFonts w:cs="Arial"/>
          <w:szCs w:val="22"/>
          <w:lang w:val="sl-SI"/>
        </w:rPr>
      </w:pPr>
    </w:p>
    <w:tbl>
      <w:tblPr>
        <w:tblStyle w:val="Tabelamrea"/>
        <w:tblW w:w="9240" w:type="dxa"/>
        <w:tblLook w:val="04A0" w:firstRow="1" w:lastRow="0" w:firstColumn="1" w:lastColumn="0" w:noHBand="0" w:noVBand="1"/>
      </w:tblPr>
      <w:tblGrid>
        <w:gridCol w:w="2449"/>
        <w:gridCol w:w="2263"/>
        <w:gridCol w:w="2264"/>
        <w:gridCol w:w="2264"/>
      </w:tblGrid>
      <w:tr w:rsidR="00C0397B" w:rsidRPr="00CC15EE" w14:paraId="11612ABC" w14:textId="77777777" w:rsidTr="00CC15EE">
        <w:tc>
          <w:tcPr>
            <w:tcW w:w="2449" w:type="dxa"/>
            <w:vAlign w:val="center"/>
          </w:tcPr>
          <w:p w14:paraId="6E1D393A" w14:textId="1CD51697" w:rsidR="00C0397B" w:rsidRPr="00CC15EE" w:rsidRDefault="00C0397B" w:rsidP="00CC15EE">
            <w:pPr>
              <w:jc w:val="center"/>
              <w:rPr>
                <w:rFonts w:cs="Arial"/>
                <w:b/>
                <w:sz w:val="20"/>
                <w:szCs w:val="20"/>
                <w:lang w:val="sl-SI"/>
              </w:rPr>
            </w:pPr>
            <w:r w:rsidRPr="00CC15EE">
              <w:rPr>
                <w:rFonts w:cs="Arial"/>
                <w:b/>
                <w:sz w:val="20"/>
                <w:szCs w:val="20"/>
                <w:lang w:val="sl-SI"/>
              </w:rPr>
              <w:t xml:space="preserve">Področje naložbe </w:t>
            </w:r>
            <w:r w:rsidR="00CC15EE" w:rsidRPr="00CC15EE">
              <w:rPr>
                <w:rFonts w:cs="Arial"/>
                <w:b/>
                <w:sz w:val="20"/>
                <w:szCs w:val="20"/>
                <w:lang w:val="sl-SI"/>
              </w:rPr>
              <w:t>p</w:t>
            </w:r>
            <w:r w:rsidRPr="00CC15EE">
              <w:rPr>
                <w:rFonts w:cs="Arial"/>
                <w:b/>
                <w:sz w:val="20"/>
                <w:szCs w:val="20"/>
                <w:lang w:val="sl-SI"/>
              </w:rPr>
              <w:t>rograma</w:t>
            </w:r>
          </w:p>
        </w:tc>
        <w:tc>
          <w:tcPr>
            <w:tcW w:w="2263" w:type="dxa"/>
            <w:vAlign w:val="center"/>
          </w:tcPr>
          <w:p w14:paraId="72295902" w14:textId="77777777" w:rsidR="00C0397B" w:rsidRPr="00CC15EE" w:rsidRDefault="00C0397B" w:rsidP="00CC15EE">
            <w:pPr>
              <w:jc w:val="center"/>
              <w:rPr>
                <w:rFonts w:cs="Arial"/>
                <w:b/>
                <w:sz w:val="20"/>
                <w:szCs w:val="20"/>
                <w:lang w:val="sl-SI"/>
              </w:rPr>
            </w:pPr>
            <w:r w:rsidRPr="00CC15EE">
              <w:rPr>
                <w:rFonts w:cs="Arial"/>
                <w:b/>
                <w:sz w:val="20"/>
                <w:szCs w:val="20"/>
                <w:lang w:val="sl-SI"/>
              </w:rPr>
              <w:t>Politika</w:t>
            </w:r>
          </w:p>
        </w:tc>
        <w:tc>
          <w:tcPr>
            <w:tcW w:w="2264" w:type="dxa"/>
            <w:vAlign w:val="center"/>
          </w:tcPr>
          <w:p w14:paraId="37489425" w14:textId="77777777" w:rsidR="00C0397B" w:rsidRPr="00CC15EE" w:rsidRDefault="00C0397B" w:rsidP="00CC15EE">
            <w:pPr>
              <w:jc w:val="center"/>
              <w:rPr>
                <w:rFonts w:cs="Arial"/>
                <w:b/>
                <w:sz w:val="20"/>
                <w:szCs w:val="20"/>
                <w:lang w:val="sl-SI"/>
              </w:rPr>
            </w:pPr>
            <w:r w:rsidRPr="00CC15EE">
              <w:rPr>
                <w:rFonts w:cs="Arial"/>
                <w:b/>
                <w:sz w:val="20"/>
                <w:szCs w:val="20"/>
                <w:lang w:val="sl-SI"/>
              </w:rPr>
              <w:t>Glavni program</w:t>
            </w:r>
          </w:p>
        </w:tc>
        <w:tc>
          <w:tcPr>
            <w:tcW w:w="2264" w:type="dxa"/>
            <w:vAlign w:val="center"/>
          </w:tcPr>
          <w:p w14:paraId="76681100" w14:textId="77777777" w:rsidR="00C0397B" w:rsidRPr="00CC15EE" w:rsidRDefault="00C0397B" w:rsidP="00CC15EE">
            <w:pPr>
              <w:jc w:val="center"/>
              <w:rPr>
                <w:rFonts w:cs="Arial"/>
                <w:b/>
                <w:sz w:val="20"/>
                <w:szCs w:val="20"/>
                <w:lang w:val="sl-SI"/>
              </w:rPr>
            </w:pPr>
            <w:r w:rsidRPr="00CC15EE">
              <w:rPr>
                <w:rFonts w:cs="Arial"/>
                <w:b/>
                <w:sz w:val="20"/>
                <w:szCs w:val="20"/>
                <w:lang w:val="sl-SI"/>
              </w:rPr>
              <w:t>Podprogram</w:t>
            </w:r>
          </w:p>
        </w:tc>
      </w:tr>
      <w:tr w:rsidR="00C0397B" w:rsidRPr="00CC15EE" w14:paraId="76F00CF8" w14:textId="77777777" w:rsidTr="00CC15EE">
        <w:tc>
          <w:tcPr>
            <w:tcW w:w="2449" w:type="dxa"/>
            <w:vAlign w:val="center"/>
          </w:tcPr>
          <w:p w14:paraId="57B119FB" w14:textId="77777777" w:rsidR="00C0397B" w:rsidRPr="00CC15EE" w:rsidRDefault="00C0397B" w:rsidP="00CC15EE">
            <w:pPr>
              <w:rPr>
                <w:rFonts w:cs="Arial"/>
                <w:sz w:val="20"/>
                <w:szCs w:val="20"/>
                <w:lang w:val="sl-SI"/>
              </w:rPr>
            </w:pPr>
            <w:r w:rsidRPr="00CC15EE">
              <w:rPr>
                <w:rFonts w:cs="Arial"/>
                <w:sz w:val="20"/>
                <w:szCs w:val="20"/>
                <w:lang w:val="sl-SI"/>
              </w:rPr>
              <w:t>Raziskave, razvoj in inovacije</w:t>
            </w:r>
          </w:p>
        </w:tc>
        <w:tc>
          <w:tcPr>
            <w:tcW w:w="2263" w:type="dxa"/>
            <w:vAlign w:val="center"/>
          </w:tcPr>
          <w:p w14:paraId="403E880D" w14:textId="0A2E46B4" w:rsidR="00C0397B" w:rsidRPr="00CC15EE" w:rsidRDefault="00C0397B" w:rsidP="00CC15EE">
            <w:pPr>
              <w:rPr>
                <w:rFonts w:cs="Arial"/>
                <w:sz w:val="20"/>
                <w:szCs w:val="20"/>
                <w:lang w:val="sl-SI"/>
              </w:rPr>
            </w:pPr>
            <w:r w:rsidRPr="00CC15EE">
              <w:rPr>
                <w:rFonts w:cs="Arial"/>
                <w:sz w:val="20"/>
                <w:szCs w:val="20"/>
                <w:lang w:val="sl-SI"/>
              </w:rPr>
              <w:t>5 - Znanost in informacij</w:t>
            </w:r>
            <w:r w:rsidR="00266C05">
              <w:rPr>
                <w:rFonts w:cs="Arial"/>
                <w:sz w:val="20"/>
                <w:szCs w:val="20"/>
                <w:lang w:val="sl-SI"/>
              </w:rPr>
              <w:t>sk</w:t>
            </w:r>
            <w:r w:rsidRPr="00CC15EE">
              <w:rPr>
                <w:rFonts w:cs="Arial"/>
                <w:sz w:val="20"/>
                <w:szCs w:val="20"/>
                <w:lang w:val="sl-SI"/>
              </w:rPr>
              <w:t>a družba</w:t>
            </w:r>
          </w:p>
        </w:tc>
        <w:tc>
          <w:tcPr>
            <w:tcW w:w="2264" w:type="dxa"/>
            <w:vAlign w:val="center"/>
          </w:tcPr>
          <w:p w14:paraId="39F63AB5" w14:textId="77777777" w:rsidR="00C0397B" w:rsidRPr="00CC15EE" w:rsidRDefault="00C0397B" w:rsidP="00CC15EE">
            <w:pPr>
              <w:rPr>
                <w:rFonts w:cs="Arial"/>
                <w:sz w:val="20"/>
                <w:szCs w:val="20"/>
                <w:lang w:val="sl-SI"/>
              </w:rPr>
            </w:pPr>
            <w:r w:rsidRPr="00CC15EE">
              <w:rPr>
                <w:rFonts w:cs="Arial"/>
                <w:sz w:val="20"/>
                <w:szCs w:val="20"/>
                <w:lang w:val="sl-SI"/>
              </w:rPr>
              <w:t>502 - Znanstveno raziskovalna dejavnost</w:t>
            </w:r>
          </w:p>
        </w:tc>
        <w:tc>
          <w:tcPr>
            <w:tcW w:w="2264" w:type="dxa"/>
            <w:vAlign w:val="center"/>
          </w:tcPr>
          <w:p w14:paraId="3636FF61" w14:textId="77777777" w:rsidR="00C0397B" w:rsidRPr="00CC15EE" w:rsidRDefault="00C0397B" w:rsidP="00CC15EE">
            <w:pPr>
              <w:rPr>
                <w:rFonts w:cs="Arial"/>
                <w:sz w:val="20"/>
                <w:szCs w:val="20"/>
                <w:lang w:val="sl-SI"/>
              </w:rPr>
            </w:pPr>
            <w:r w:rsidRPr="00CC15EE">
              <w:rPr>
                <w:rFonts w:cs="Arial"/>
                <w:sz w:val="20"/>
                <w:szCs w:val="20"/>
                <w:lang w:val="sl-SI"/>
              </w:rPr>
              <w:t>50201 - Raziskovalni programi in projekti</w:t>
            </w:r>
          </w:p>
        </w:tc>
      </w:tr>
      <w:tr w:rsidR="00C0397B" w:rsidRPr="00CC15EE" w14:paraId="20E1573E" w14:textId="77777777" w:rsidTr="00CC15EE">
        <w:tc>
          <w:tcPr>
            <w:tcW w:w="2449" w:type="dxa"/>
            <w:vAlign w:val="center"/>
          </w:tcPr>
          <w:p w14:paraId="722E7309" w14:textId="77777777" w:rsidR="00C0397B" w:rsidRPr="00CC15EE" w:rsidRDefault="00C0397B" w:rsidP="00CC15EE">
            <w:pPr>
              <w:rPr>
                <w:rFonts w:cs="Arial"/>
                <w:sz w:val="20"/>
                <w:szCs w:val="20"/>
                <w:lang w:val="sl-SI"/>
              </w:rPr>
            </w:pPr>
            <w:r w:rsidRPr="00CC15EE">
              <w:rPr>
                <w:rFonts w:cs="Arial"/>
                <w:sz w:val="20"/>
                <w:szCs w:val="20"/>
                <w:lang w:val="sl-SI"/>
              </w:rPr>
              <w:t>Mala in srednje velika podjetja</w:t>
            </w:r>
          </w:p>
        </w:tc>
        <w:tc>
          <w:tcPr>
            <w:tcW w:w="2263" w:type="dxa"/>
            <w:vAlign w:val="center"/>
          </w:tcPr>
          <w:p w14:paraId="7B0024AA" w14:textId="77777777" w:rsidR="00C0397B" w:rsidRPr="00CC15EE" w:rsidRDefault="00C0397B" w:rsidP="00CC15EE">
            <w:pPr>
              <w:rPr>
                <w:rFonts w:cs="Arial"/>
                <w:sz w:val="20"/>
                <w:szCs w:val="20"/>
                <w:lang w:val="sl-SI"/>
              </w:rPr>
            </w:pPr>
            <w:r w:rsidRPr="00CC15EE">
              <w:rPr>
                <w:rFonts w:cs="Arial"/>
                <w:sz w:val="20"/>
                <w:szCs w:val="20"/>
                <w:lang w:val="sl-SI"/>
              </w:rPr>
              <w:t>14 - Podjetništvo in konkurenčnost</w:t>
            </w:r>
          </w:p>
        </w:tc>
        <w:tc>
          <w:tcPr>
            <w:tcW w:w="2264" w:type="dxa"/>
            <w:vAlign w:val="center"/>
          </w:tcPr>
          <w:p w14:paraId="4F8B8C76" w14:textId="77777777" w:rsidR="00C0397B" w:rsidRPr="00CC15EE" w:rsidRDefault="00C0397B" w:rsidP="00CC15EE">
            <w:pPr>
              <w:rPr>
                <w:rFonts w:cs="Arial"/>
                <w:sz w:val="20"/>
                <w:szCs w:val="20"/>
                <w:lang w:val="sl-SI"/>
              </w:rPr>
            </w:pPr>
            <w:r w:rsidRPr="00CC15EE">
              <w:rPr>
                <w:rFonts w:cs="Arial"/>
                <w:sz w:val="20"/>
                <w:szCs w:val="20"/>
                <w:lang w:val="sl-SI"/>
              </w:rPr>
              <w:t xml:space="preserve">1403 - Spodbude za rast in razvoj podjetij </w:t>
            </w:r>
          </w:p>
        </w:tc>
        <w:tc>
          <w:tcPr>
            <w:tcW w:w="2264" w:type="dxa"/>
            <w:vAlign w:val="center"/>
          </w:tcPr>
          <w:p w14:paraId="37986AB4" w14:textId="77777777" w:rsidR="00C0397B" w:rsidRPr="00CC15EE" w:rsidRDefault="00C0397B" w:rsidP="00CC15EE">
            <w:pPr>
              <w:rPr>
                <w:rFonts w:cs="Arial"/>
                <w:sz w:val="20"/>
                <w:szCs w:val="20"/>
                <w:lang w:val="sl-SI"/>
              </w:rPr>
            </w:pPr>
            <w:r w:rsidRPr="00CC15EE">
              <w:rPr>
                <w:rFonts w:cs="Arial"/>
                <w:sz w:val="20"/>
                <w:szCs w:val="20"/>
                <w:lang w:val="sl-SI"/>
              </w:rPr>
              <w:t>140302 - Podpora malim in srednje velikim podjetjem</w:t>
            </w:r>
          </w:p>
          <w:p w14:paraId="6D423B14" w14:textId="77777777" w:rsidR="00C0397B" w:rsidRPr="00CC15EE" w:rsidRDefault="00C0397B" w:rsidP="00CC15EE">
            <w:pPr>
              <w:rPr>
                <w:rFonts w:cs="Arial"/>
                <w:sz w:val="20"/>
                <w:szCs w:val="20"/>
                <w:lang w:val="sl-SI"/>
              </w:rPr>
            </w:pPr>
            <w:r w:rsidRPr="00CC15EE">
              <w:rPr>
                <w:rFonts w:cs="Arial"/>
                <w:sz w:val="20"/>
                <w:szCs w:val="20"/>
                <w:lang w:val="sl-SI"/>
              </w:rPr>
              <w:t>140304 - Pospeševanje tehnološkega razvoja gospodarstva</w:t>
            </w:r>
          </w:p>
        </w:tc>
      </w:tr>
      <w:tr w:rsidR="00C0397B" w:rsidRPr="00CC15EE" w14:paraId="438B2C79" w14:textId="77777777" w:rsidTr="00CC15EE">
        <w:tc>
          <w:tcPr>
            <w:tcW w:w="2449" w:type="dxa"/>
            <w:vAlign w:val="center"/>
          </w:tcPr>
          <w:p w14:paraId="7FDCAB6E" w14:textId="77777777" w:rsidR="00C0397B" w:rsidRPr="00CC15EE" w:rsidRDefault="00C0397B" w:rsidP="00CC15EE">
            <w:pPr>
              <w:rPr>
                <w:rFonts w:cs="Arial"/>
                <w:sz w:val="20"/>
                <w:szCs w:val="20"/>
                <w:lang w:val="sl-SI"/>
              </w:rPr>
            </w:pPr>
            <w:r w:rsidRPr="00CC15EE">
              <w:rPr>
                <w:rFonts w:cs="Arial"/>
                <w:sz w:val="20"/>
                <w:szCs w:val="20"/>
                <w:lang w:val="sl-SI"/>
              </w:rPr>
              <w:t>Energetska učinkovitost</w:t>
            </w:r>
          </w:p>
        </w:tc>
        <w:tc>
          <w:tcPr>
            <w:tcW w:w="2263" w:type="dxa"/>
            <w:vAlign w:val="center"/>
          </w:tcPr>
          <w:p w14:paraId="4FA986DB" w14:textId="77777777" w:rsidR="00C0397B" w:rsidRPr="00CC15EE" w:rsidRDefault="00C0397B" w:rsidP="00CC15EE">
            <w:pPr>
              <w:rPr>
                <w:rFonts w:cs="Arial"/>
                <w:sz w:val="20"/>
                <w:szCs w:val="20"/>
                <w:lang w:val="sl-SI"/>
              </w:rPr>
            </w:pPr>
            <w:r w:rsidRPr="00CC15EE">
              <w:rPr>
                <w:rFonts w:cs="Arial"/>
                <w:sz w:val="20"/>
                <w:szCs w:val="20"/>
                <w:lang w:val="sl-SI"/>
              </w:rPr>
              <w:t>12 - Viri energije in energetska učinkovitost</w:t>
            </w:r>
          </w:p>
        </w:tc>
        <w:tc>
          <w:tcPr>
            <w:tcW w:w="2264" w:type="dxa"/>
            <w:vAlign w:val="center"/>
          </w:tcPr>
          <w:p w14:paraId="35A76EFA" w14:textId="77777777" w:rsidR="00C0397B" w:rsidRPr="00CC15EE" w:rsidRDefault="00C0397B" w:rsidP="00CC15EE">
            <w:pPr>
              <w:rPr>
                <w:rFonts w:cs="Arial"/>
                <w:sz w:val="20"/>
                <w:szCs w:val="20"/>
                <w:lang w:val="sl-SI"/>
              </w:rPr>
            </w:pPr>
            <w:r w:rsidRPr="00CC15EE">
              <w:rPr>
                <w:rFonts w:cs="Arial"/>
                <w:sz w:val="20"/>
                <w:szCs w:val="20"/>
                <w:lang w:val="sl-SI"/>
              </w:rPr>
              <w:t>1202 - Oskrba z energijo in energetska učinkovitost</w:t>
            </w:r>
          </w:p>
        </w:tc>
        <w:tc>
          <w:tcPr>
            <w:tcW w:w="2264" w:type="dxa"/>
            <w:vAlign w:val="center"/>
          </w:tcPr>
          <w:p w14:paraId="73594A7A" w14:textId="77777777" w:rsidR="00C0397B" w:rsidRPr="00CC15EE" w:rsidRDefault="00C0397B" w:rsidP="00CC15EE">
            <w:pPr>
              <w:rPr>
                <w:rFonts w:cs="Arial"/>
                <w:sz w:val="20"/>
                <w:szCs w:val="20"/>
                <w:lang w:val="sl-SI"/>
              </w:rPr>
            </w:pPr>
            <w:r w:rsidRPr="00CC15EE">
              <w:rPr>
                <w:rFonts w:cs="Arial"/>
                <w:sz w:val="20"/>
                <w:szCs w:val="20"/>
                <w:lang w:val="sl-SI"/>
              </w:rPr>
              <w:t>120202 - Učinkovita raba energije</w:t>
            </w:r>
          </w:p>
        </w:tc>
      </w:tr>
      <w:tr w:rsidR="00C0397B" w:rsidRPr="00CC15EE" w14:paraId="66845E25" w14:textId="77777777" w:rsidTr="00CC15EE">
        <w:tc>
          <w:tcPr>
            <w:tcW w:w="2449" w:type="dxa"/>
            <w:vAlign w:val="center"/>
          </w:tcPr>
          <w:p w14:paraId="4D35E510" w14:textId="6D3ACFAC" w:rsidR="00C0397B" w:rsidRPr="00CC15EE" w:rsidRDefault="00C0397B" w:rsidP="00CC15EE">
            <w:pPr>
              <w:rPr>
                <w:rFonts w:cs="Arial"/>
                <w:sz w:val="20"/>
                <w:szCs w:val="20"/>
                <w:lang w:val="sl-SI"/>
              </w:rPr>
            </w:pPr>
            <w:r w:rsidRPr="00CC15EE">
              <w:rPr>
                <w:rFonts w:cs="Arial"/>
                <w:sz w:val="20"/>
                <w:szCs w:val="20"/>
                <w:lang w:val="sl-SI"/>
              </w:rPr>
              <w:t>Urbani razvoj</w:t>
            </w:r>
          </w:p>
        </w:tc>
        <w:tc>
          <w:tcPr>
            <w:tcW w:w="2263" w:type="dxa"/>
            <w:vAlign w:val="center"/>
          </w:tcPr>
          <w:p w14:paraId="27A17F1D" w14:textId="77777777" w:rsidR="00C0397B" w:rsidRPr="00CC15EE" w:rsidRDefault="00C0397B" w:rsidP="00CC15EE">
            <w:pPr>
              <w:rPr>
                <w:rFonts w:cs="Arial"/>
                <w:sz w:val="20"/>
                <w:szCs w:val="20"/>
                <w:lang w:val="sl-SI"/>
              </w:rPr>
            </w:pPr>
            <w:r w:rsidRPr="00CC15EE">
              <w:rPr>
                <w:rFonts w:cs="Arial"/>
                <w:sz w:val="20"/>
                <w:szCs w:val="20"/>
                <w:lang w:val="sl-SI"/>
              </w:rPr>
              <w:t>16 - Prostorsko planiranje in stanovanjska dejavnost</w:t>
            </w:r>
          </w:p>
        </w:tc>
        <w:tc>
          <w:tcPr>
            <w:tcW w:w="2264" w:type="dxa"/>
            <w:vAlign w:val="center"/>
          </w:tcPr>
          <w:p w14:paraId="79964F60" w14:textId="043DF0B3" w:rsidR="00C0397B" w:rsidRPr="00CC15EE" w:rsidRDefault="00FC4417" w:rsidP="00CC15EE">
            <w:pPr>
              <w:rPr>
                <w:rFonts w:cs="Arial"/>
                <w:sz w:val="20"/>
                <w:szCs w:val="20"/>
                <w:lang w:val="sl-SI"/>
              </w:rPr>
            </w:pPr>
            <w:r w:rsidRPr="00CC15EE">
              <w:rPr>
                <w:rFonts w:cs="Arial"/>
                <w:sz w:val="20"/>
                <w:szCs w:val="20"/>
                <w:lang w:val="sl-SI"/>
              </w:rPr>
              <w:t>1602 - Upravljanje s prostorom</w:t>
            </w:r>
          </w:p>
        </w:tc>
        <w:tc>
          <w:tcPr>
            <w:tcW w:w="2264" w:type="dxa"/>
            <w:vAlign w:val="center"/>
          </w:tcPr>
          <w:p w14:paraId="16701FE5" w14:textId="5747B634" w:rsidR="00C0397B" w:rsidRPr="00CC15EE" w:rsidRDefault="00FC4417" w:rsidP="00CC15EE">
            <w:pPr>
              <w:rPr>
                <w:rFonts w:cs="Arial"/>
                <w:sz w:val="20"/>
                <w:szCs w:val="20"/>
                <w:lang w:val="sl-SI"/>
              </w:rPr>
            </w:pPr>
            <w:r w:rsidRPr="00CC15EE">
              <w:rPr>
                <w:rFonts w:cs="Arial"/>
                <w:sz w:val="20"/>
                <w:szCs w:val="20"/>
                <w:lang w:val="sl-SI"/>
              </w:rPr>
              <w:t>160201 - Upravljanje s prostorom</w:t>
            </w:r>
          </w:p>
        </w:tc>
      </w:tr>
    </w:tbl>
    <w:p w14:paraId="4189A552" w14:textId="77777777" w:rsidR="00E4060E" w:rsidRDefault="00E4060E" w:rsidP="00CE3440">
      <w:pPr>
        <w:jc w:val="both"/>
        <w:rPr>
          <w:rFonts w:cs="Arial"/>
          <w:szCs w:val="22"/>
          <w:lang w:val="sl-SI"/>
        </w:rPr>
      </w:pPr>
    </w:p>
    <w:p w14:paraId="06B32857" w14:textId="7D8DF285" w:rsidR="00C0397B" w:rsidRDefault="00C0397B" w:rsidP="00CE3440">
      <w:pPr>
        <w:jc w:val="both"/>
        <w:rPr>
          <w:rFonts w:cs="Arial"/>
          <w:szCs w:val="22"/>
          <w:lang w:val="sl-SI"/>
        </w:rPr>
      </w:pPr>
      <w:r w:rsidRPr="004223D6">
        <w:rPr>
          <w:rFonts w:cs="Arial"/>
          <w:szCs w:val="22"/>
          <w:lang w:val="sl-SI"/>
        </w:rPr>
        <w:t xml:space="preserve">Prispevek </w:t>
      </w:r>
      <w:r w:rsidR="00E4060E">
        <w:rPr>
          <w:rFonts w:cs="Arial"/>
          <w:szCs w:val="22"/>
          <w:lang w:val="sl-SI"/>
        </w:rPr>
        <w:t>FI</w:t>
      </w:r>
      <w:r w:rsidRPr="004223D6">
        <w:rPr>
          <w:rFonts w:cs="Arial"/>
          <w:szCs w:val="22"/>
          <w:lang w:val="sl-SI"/>
        </w:rPr>
        <w:t xml:space="preserve"> je zasnovan v okviru politične klasifikacije Proračuna RS.</w:t>
      </w:r>
    </w:p>
    <w:p w14:paraId="45057985" w14:textId="77777777" w:rsidR="008B51B0" w:rsidRPr="004223D6" w:rsidRDefault="008B51B0" w:rsidP="00CE3440">
      <w:pPr>
        <w:jc w:val="both"/>
        <w:rPr>
          <w:rFonts w:cs="Arial"/>
          <w:szCs w:val="22"/>
          <w:lang w:val="sl-SI"/>
        </w:rPr>
      </w:pPr>
    </w:p>
    <w:p w14:paraId="4A674FBC" w14:textId="1F467A91" w:rsidR="00C0397B" w:rsidRPr="004223D6" w:rsidRDefault="00C0397B" w:rsidP="0034522D">
      <w:pPr>
        <w:pStyle w:val="Naslov2"/>
        <w:ind w:left="576" w:hanging="576"/>
        <w:jc w:val="both"/>
        <w:rPr>
          <w:szCs w:val="22"/>
          <w:lang w:val="sl-SI"/>
        </w:rPr>
      </w:pPr>
      <w:r w:rsidRPr="004223D6">
        <w:rPr>
          <w:szCs w:val="22"/>
          <w:lang w:val="sl-SI"/>
        </w:rPr>
        <w:t>Politika 5 - Znanost in informacij</w:t>
      </w:r>
      <w:r w:rsidR="005762BA">
        <w:rPr>
          <w:szCs w:val="22"/>
          <w:lang w:val="sl-SI"/>
        </w:rPr>
        <w:t>ska</w:t>
      </w:r>
      <w:r w:rsidRPr="004223D6">
        <w:rPr>
          <w:szCs w:val="22"/>
          <w:lang w:val="sl-SI"/>
        </w:rPr>
        <w:t xml:space="preserve"> družba</w:t>
      </w:r>
    </w:p>
    <w:p w14:paraId="786AAD38" w14:textId="359DFC0F" w:rsidR="00C0397B" w:rsidRPr="004223D6" w:rsidRDefault="00E4060E" w:rsidP="00E4060E">
      <w:pPr>
        <w:jc w:val="both"/>
        <w:rPr>
          <w:rFonts w:cs="Arial"/>
          <w:szCs w:val="22"/>
          <w:lang w:val="sl-SI"/>
        </w:rPr>
      </w:pPr>
      <w:r w:rsidRPr="00E4060E">
        <w:rPr>
          <w:rFonts w:cs="Arial"/>
          <w:szCs w:val="22"/>
          <w:lang w:val="sl-SI"/>
        </w:rPr>
        <w:t>Področje Znanosti in informacijske družbe je eno ključnih področij, ki v skladu z mednarodnimi, EU in nacionalnimi strateškimi dokumenti</w:t>
      </w:r>
      <w:r w:rsidR="00914DEA">
        <w:rPr>
          <w:rFonts w:cs="Arial"/>
          <w:szCs w:val="22"/>
          <w:lang w:val="sl-SI"/>
        </w:rPr>
        <w:t xml:space="preserve"> </w:t>
      </w:r>
      <w:r w:rsidRPr="00E4060E">
        <w:rPr>
          <w:rFonts w:cs="Arial"/>
          <w:szCs w:val="22"/>
          <w:lang w:val="sl-SI"/>
        </w:rPr>
        <w:t xml:space="preserve">omogočajo dolgoročno povečanje konkurenčnosti in </w:t>
      </w:r>
      <w:r w:rsidR="00914DEA">
        <w:rPr>
          <w:rFonts w:cs="Arial"/>
          <w:szCs w:val="22"/>
          <w:lang w:val="sl-SI"/>
        </w:rPr>
        <w:t xml:space="preserve"> d</w:t>
      </w:r>
      <w:r w:rsidRPr="00E4060E">
        <w:rPr>
          <w:rFonts w:cs="Arial"/>
          <w:szCs w:val="22"/>
          <w:lang w:val="sl-SI"/>
        </w:rPr>
        <w:t>odane vrednosti gospodarstva ter s tem povezanega zagotavljanja predpogojev za</w:t>
      </w:r>
      <w:r w:rsidR="00914DEA">
        <w:rPr>
          <w:rFonts w:cs="Arial"/>
          <w:szCs w:val="22"/>
          <w:lang w:val="sl-SI"/>
        </w:rPr>
        <w:t xml:space="preserve"> </w:t>
      </w:r>
      <w:r w:rsidRPr="00E4060E">
        <w:rPr>
          <w:rFonts w:cs="Arial"/>
          <w:szCs w:val="22"/>
          <w:lang w:val="sl-SI"/>
        </w:rPr>
        <w:t>povečanje splošnega družbenega blagostanja. Pri tem je poseben poudarek na odprtosti in kakovosti sistema. V politiki Znanost in informacijska</w:t>
      </w:r>
      <w:r w:rsidR="00914DEA">
        <w:rPr>
          <w:rFonts w:cs="Arial"/>
          <w:szCs w:val="22"/>
          <w:lang w:val="sl-SI"/>
        </w:rPr>
        <w:t xml:space="preserve"> </w:t>
      </w:r>
      <w:r w:rsidRPr="00E4060E">
        <w:rPr>
          <w:rFonts w:cs="Arial"/>
          <w:szCs w:val="22"/>
          <w:lang w:val="sl-SI"/>
        </w:rPr>
        <w:t xml:space="preserve">družba so zajeti </w:t>
      </w:r>
      <w:r w:rsidRPr="00E4060E">
        <w:rPr>
          <w:rFonts w:cs="Arial"/>
          <w:szCs w:val="22"/>
          <w:lang w:val="sl-SI"/>
        </w:rPr>
        <w:lastRenderedPageBreak/>
        <w:t>najpomembnejši deli financiranja raziskovalne dejavnosti in vzpostavljanja ter delovanja podpornega okolja za delovanje sistema</w:t>
      </w:r>
      <w:r w:rsidR="00914DEA">
        <w:rPr>
          <w:rFonts w:cs="Arial"/>
          <w:szCs w:val="22"/>
          <w:lang w:val="sl-SI"/>
        </w:rPr>
        <w:t xml:space="preserve"> </w:t>
      </w:r>
      <w:r w:rsidRPr="00E4060E">
        <w:rPr>
          <w:rFonts w:cs="Arial"/>
          <w:szCs w:val="22"/>
          <w:lang w:val="sl-SI"/>
        </w:rPr>
        <w:t>znanosti, drugimi ukrepi za pospeševanje razvoja informacijske družbe ter elektronskih komunikacij in zasleduje cilje povečanja globalne</w:t>
      </w:r>
      <w:r w:rsidR="00914DEA">
        <w:rPr>
          <w:rFonts w:cs="Arial"/>
          <w:szCs w:val="22"/>
          <w:lang w:val="sl-SI"/>
        </w:rPr>
        <w:t xml:space="preserve"> </w:t>
      </w:r>
      <w:r w:rsidRPr="00E4060E">
        <w:rPr>
          <w:rFonts w:cs="Arial"/>
          <w:szCs w:val="22"/>
          <w:lang w:val="sl-SI"/>
        </w:rPr>
        <w:t>konkurenčnosti, kar se izvaja z ukrepi za spodbujanje inovativnosti ter učinkovitim posodabljanjem in vlaganjem za raziskave in razvoj v smeri</w:t>
      </w:r>
      <w:r w:rsidR="00914DEA">
        <w:rPr>
          <w:rFonts w:cs="Arial"/>
          <w:szCs w:val="22"/>
          <w:lang w:val="sl-SI"/>
        </w:rPr>
        <w:t xml:space="preserve"> </w:t>
      </w:r>
      <w:r w:rsidRPr="00E4060E">
        <w:rPr>
          <w:rFonts w:cs="Arial"/>
          <w:szCs w:val="22"/>
          <w:lang w:val="sl-SI"/>
        </w:rPr>
        <w:t>tehnološko naprednih in inovativnih proizvodov in storitev.</w:t>
      </w:r>
    </w:p>
    <w:p w14:paraId="2F8439F3" w14:textId="77777777" w:rsidR="00C0397B" w:rsidRPr="004223D6" w:rsidRDefault="00C0397B" w:rsidP="00CE3440">
      <w:pPr>
        <w:jc w:val="both"/>
        <w:rPr>
          <w:rFonts w:cs="Arial"/>
          <w:szCs w:val="22"/>
          <w:lang w:val="sl-SI"/>
        </w:rPr>
      </w:pPr>
    </w:p>
    <w:p w14:paraId="7EAFFBCF" w14:textId="77777777" w:rsidR="00C0397B" w:rsidRPr="004223D6" w:rsidRDefault="00C0397B" w:rsidP="00CE3440">
      <w:pPr>
        <w:pStyle w:val="Naslov3"/>
        <w:numPr>
          <w:ilvl w:val="2"/>
          <w:numId w:val="0"/>
        </w:numPr>
        <w:ind w:left="720" w:hanging="720"/>
        <w:jc w:val="both"/>
        <w:rPr>
          <w:rFonts w:cs="Arial"/>
          <w:szCs w:val="22"/>
          <w:lang w:val="sl-SI"/>
        </w:rPr>
      </w:pPr>
      <w:r w:rsidRPr="004223D6">
        <w:rPr>
          <w:rFonts w:cs="Arial"/>
          <w:szCs w:val="22"/>
          <w:lang w:val="sl-SI"/>
        </w:rPr>
        <w:t>Glavni program 502 - Znanstveno raziskovalna dejavnost</w:t>
      </w:r>
    </w:p>
    <w:p w14:paraId="405C40EA" w14:textId="77777777" w:rsidR="00C0397B" w:rsidRPr="004223D6" w:rsidRDefault="00C0397B" w:rsidP="00CE3440">
      <w:pPr>
        <w:jc w:val="both"/>
        <w:rPr>
          <w:rFonts w:cs="Arial"/>
          <w:szCs w:val="22"/>
          <w:lang w:val="sl-SI"/>
        </w:rPr>
      </w:pPr>
    </w:p>
    <w:p w14:paraId="2924DF42" w14:textId="2B0217E1" w:rsidR="00C0397B" w:rsidRPr="004223D6" w:rsidRDefault="00E4060E" w:rsidP="00E4060E">
      <w:pPr>
        <w:jc w:val="both"/>
        <w:rPr>
          <w:rFonts w:cs="Arial"/>
          <w:szCs w:val="22"/>
          <w:lang w:val="sl-SI"/>
        </w:rPr>
      </w:pPr>
      <w:r w:rsidRPr="00E4060E">
        <w:rPr>
          <w:rFonts w:cs="Arial"/>
          <w:szCs w:val="22"/>
          <w:lang w:val="sl-SI"/>
        </w:rPr>
        <w:t>Program Znanstveno-raziskovalna dejavnost je osrednji instrument za financiranje raziskovalnega in deloma tudi razvojnega dela v Sloveniji.</w:t>
      </w:r>
      <w:r w:rsidR="00914DEA">
        <w:rPr>
          <w:rFonts w:cs="Arial"/>
          <w:szCs w:val="22"/>
          <w:lang w:val="sl-SI"/>
        </w:rPr>
        <w:t xml:space="preserve"> </w:t>
      </w:r>
      <w:r w:rsidRPr="00E4060E">
        <w:rPr>
          <w:rFonts w:cs="Arial"/>
          <w:szCs w:val="22"/>
          <w:lang w:val="sl-SI"/>
        </w:rPr>
        <w:t>Program podpira in omogoča tako izvajanje znanstveno raziskovalnega dela, kakor tudi vzpostavitev ustreznega družbenega okolja za izvajanje</w:t>
      </w:r>
      <w:r w:rsidR="00914DEA">
        <w:rPr>
          <w:rFonts w:cs="Arial"/>
          <w:szCs w:val="22"/>
          <w:lang w:val="sl-SI"/>
        </w:rPr>
        <w:t xml:space="preserve"> </w:t>
      </w:r>
      <w:r w:rsidRPr="00E4060E">
        <w:rPr>
          <w:rFonts w:cs="Arial"/>
          <w:szCs w:val="22"/>
          <w:lang w:val="sl-SI"/>
        </w:rPr>
        <w:t>raziskav in razvoja. Poleg financiranja raziskovalnega dela (stabilnega in kompetitivnega) program vključuje tudi umeščanje slovenskih raziskovalnih</w:t>
      </w:r>
      <w:r w:rsidR="00914DEA">
        <w:rPr>
          <w:rFonts w:cs="Arial"/>
          <w:szCs w:val="22"/>
          <w:lang w:val="sl-SI"/>
        </w:rPr>
        <w:t xml:space="preserve"> </w:t>
      </w:r>
      <w:r w:rsidRPr="00E4060E">
        <w:rPr>
          <w:rFonts w:cs="Arial"/>
          <w:szCs w:val="22"/>
          <w:lang w:val="sl-SI"/>
        </w:rPr>
        <w:t xml:space="preserve">potencialov v mednarodno okolje in </w:t>
      </w:r>
      <w:proofErr w:type="spellStart"/>
      <w:r w:rsidRPr="00E4060E">
        <w:rPr>
          <w:rFonts w:cs="Arial"/>
          <w:szCs w:val="22"/>
          <w:lang w:val="sl-SI"/>
        </w:rPr>
        <w:t>nenazadnje</w:t>
      </w:r>
      <w:proofErr w:type="spellEnd"/>
      <w:r w:rsidRPr="00E4060E">
        <w:rPr>
          <w:rFonts w:cs="Arial"/>
          <w:szCs w:val="22"/>
          <w:lang w:val="sl-SI"/>
        </w:rPr>
        <w:t xml:space="preserve"> tudi izgradnjo ustrezne raziskovalne infrastrukture za doseganje ciljev, zastavljenih v nacionalnih in</w:t>
      </w:r>
      <w:r w:rsidR="00914DEA">
        <w:rPr>
          <w:rFonts w:cs="Arial"/>
          <w:szCs w:val="22"/>
          <w:lang w:val="sl-SI"/>
        </w:rPr>
        <w:t xml:space="preserve"> </w:t>
      </w:r>
      <w:r w:rsidRPr="00E4060E">
        <w:rPr>
          <w:rFonts w:cs="Arial"/>
          <w:szCs w:val="22"/>
          <w:lang w:val="sl-SI"/>
        </w:rPr>
        <w:t>EU strategijah. Program vključuje vse ravni in sektorje, ki sodelujejo v izvajanju, podpori in oblikovanju aktivnosti na področju raziskovalnega in</w:t>
      </w:r>
      <w:r w:rsidR="00914DEA">
        <w:rPr>
          <w:rFonts w:cs="Arial"/>
          <w:szCs w:val="22"/>
          <w:lang w:val="sl-SI"/>
        </w:rPr>
        <w:t xml:space="preserve"> </w:t>
      </w:r>
      <w:r w:rsidRPr="00E4060E">
        <w:rPr>
          <w:rFonts w:cs="Arial"/>
          <w:szCs w:val="22"/>
          <w:lang w:val="sl-SI"/>
        </w:rPr>
        <w:t>razvojnega dela. Znotraj programa Znanstvena raziskovalna dejavnost se zagotavlja tudi podpora raziskovalni infrastrukturi, ki predstavlja</w:t>
      </w:r>
      <w:r w:rsidR="00914DEA">
        <w:rPr>
          <w:rFonts w:cs="Arial"/>
          <w:szCs w:val="22"/>
          <w:lang w:val="sl-SI"/>
        </w:rPr>
        <w:t xml:space="preserve"> </w:t>
      </w:r>
      <w:r w:rsidRPr="00E4060E">
        <w:rPr>
          <w:rFonts w:cs="Arial"/>
          <w:szCs w:val="22"/>
          <w:lang w:val="sl-SI"/>
        </w:rPr>
        <w:t>sofinanciranje investicij v raziskovalno dejavnost. Preko neposrednih vlaganj v znanstveno infrastrukturo - izgradnja novih objektov, obnova in</w:t>
      </w:r>
      <w:r w:rsidR="00914DEA">
        <w:rPr>
          <w:rFonts w:cs="Arial"/>
          <w:szCs w:val="22"/>
          <w:lang w:val="sl-SI"/>
        </w:rPr>
        <w:t xml:space="preserve"> </w:t>
      </w:r>
      <w:r w:rsidRPr="00E4060E">
        <w:rPr>
          <w:rFonts w:cs="Arial"/>
          <w:szCs w:val="22"/>
          <w:lang w:val="sl-SI"/>
        </w:rPr>
        <w:t>investicijsko vzdrževanje obstoječih objektov se zagotavlja trajne prostorske rešitve in s tem kakovostne delovne pogoje za delovanje javnih</w:t>
      </w:r>
      <w:r w:rsidR="00914DEA">
        <w:rPr>
          <w:rFonts w:cs="Arial"/>
          <w:szCs w:val="22"/>
          <w:lang w:val="sl-SI"/>
        </w:rPr>
        <w:t xml:space="preserve"> </w:t>
      </w:r>
      <w:r w:rsidRPr="00E4060E">
        <w:rPr>
          <w:rFonts w:cs="Arial"/>
          <w:szCs w:val="22"/>
          <w:lang w:val="sl-SI"/>
        </w:rPr>
        <w:t>zavodov na področju znanosti</w:t>
      </w:r>
      <w:r w:rsidR="00914DEA">
        <w:rPr>
          <w:rFonts w:cs="Arial"/>
          <w:szCs w:val="22"/>
          <w:lang w:val="sl-SI"/>
        </w:rPr>
        <w:t>.</w:t>
      </w:r>
    </w:p>
    <w:p w14:paraId="36305058" w14:textId="01405042" w:rsidR="00C0397B" w:rsidRPr="004223D6" w:rsidRDefault="00C0397B" w:rsidP="00CE3440">
      <w:pPr>
        <w:jc w:val="both"/>
        <w:rPr>
          <w:rFonts w:cs="Arial"/>
          <w:szCs w:val="22"/>
          <w:lang w:val="sl-SI"/>
        </w:rPr>
      </w:pPr>
    </w:p>
    <w:p w14:paraId="76871FCD" w14:textId="77777777" w:rsidR="00C0397B" w:rsidRPr="004223D6" w:rsidRDefault="00C0397B" w:rsidP="00CE3440">
      <w:pPr>
        <w:pStyle w:val="Naslov2"/>
        <w:ind w:left="576" w:hanging="576"/>
        <w:jc w:val="both"/>
        <w:rPr>
          <w:szCs w:val="22"/>
          <w:lang w:val="sl-SI"/>
        </w:rPr>
      </w:pPr>
      <w:r w:rsidRPr="004223D6">
        <w:rPr>
          <w:szCs w:val="22"/>
          <w:lang w:val="sl-SI"/>
        </w:rPr>
        <w:t>Politika 14 - Podjetništvo in konkurenčnost</w:t>
      </w:r>
    </w:p>
    <w:p w14:paraId="6667BACD" w14:textId="0D490D24" w:rsidR="00C0397B" w:rsidRPr="004223D6" w:rsidRDefault="00C0397B" w:rsidP="00CE3440">
      <w:pPr>
        <w:jc w:val="both"/>
        <w:rPr>
          <w:rFonts w:cs="Arial"/>
          <w:szCs w:val="22"/>
          <w:lang w:val="sl-SI"/>
        </w:rPr>
      </w:pPr>
      <w:r w:rsidRPr="004223D6">
        <w:rPr>
          <w:rFonts w:cs="Arial"/>
          <w:szCs w:val="22"/>
          <w:lang w:val="sl-SI"/>
        </w:rPr>
        <w:t>Politika spodbujanja podjetništva in konkurenčnosti zasleduje cilj ohranjanja in povečevanja gospodarske rasti in konkurenčnosti z razvijanjem kompetenc in zmogljivosti podjetij in z odzivom na družbene izzive. Poleg tega je njen cilj pospešiti ustanavljanje, rast in razvoj ter izboljšati mednarodno konkurenčnost podjetij, posebej malih in srednje velikih (MSP), ustvariti poslovno okolje, ki bo povečalo privlačnosti območja za ustanavljanje in delovanje podjetij ter za naložbe za razvoj gospodarstva. V ta namen se izvaja vrsta ukrepov kot so spodbude za investicijska in razvojna vlaganja gospodarstva, zagotavljanje ustreznega podpornega okolja za podjetništvo in inovativnost, spodbujanje socialnega podjetništva, izboljšanje dostopa do virov financiranja, doseganje boljše snovne in energetske učinkovitosti, izgradnja ekonomskih con, ipd. Eden od ključnih izzivov je spodbujanje podjetij za prehod v okoljsko in energetsko učinkovito gospodarstvo ter uspešno osvajanje novih poslovnih procesov in ekonomskih modelov.</w:t>
      </w:r>
    </w:p>
    <w:p w14:paraId="3476449B" w14:textId="77777777" w:rsidR="00C0397B" w:rsidRPr="004223D6" w:rsidRDefault="00C0397B" w:rsidP="00CE3440">
      <w:pPr>
        <w:jc w:val="both"/>
        <w:rPr>
          <w:rFonts w:cs="Arial"/>
          <w:szCs w:val="22"/>
          <w:lang w:val="sl-SI"/>
        </w:rPr>
      </w:pPr>
    </w:p>
    <w:p w14:paraId="3832CAFF" w14:textId="77777777" w:rsidR="00C0397B" w:rsidRPr="004223D6" w:rsidRDefault="00C0397B" w:rsidP="00CE3440">
      <w:pPr>
        <w:pStyle w:val="Naslov2"/>
        <w:ind w:left="576" w:hanging="576"/>
        <w:jc w:val="both"/>
        <w:rPr>
          <w:szCs w:val="22"/>
          <w:lang w:val="sl-SI"/>
        </w:rPr>
      </w:pPr>
      <w:r w:rsidRPr="004223D6">
        <w:rPr>
          <w:szCs w:val="22"/>
          <w:lang w:val="sl-SI"/>
        </w:rPr>
        <w:t>Glavni program 1403 - Spodbude za rast in razvoj podjetij</w:t>
      </w:r>
    </w:p>
    <w:p w14:paraId="068CE6D7" w14:textId="54E862F0" w:rsidR="00E4060E" w:rsidRPr="00E4060E" w:rsidRDefault="00E4060E" w:rsidP="00E4060E">
      <w:pPr>
        <w:jc w:val="both"/>
        <w:rPr>
          <w:rFonts w:cs="Arial"/>
          <w:szCs w:val="22"/>
          <w:lang w:val="sl-SI"/>
        </w:rPr>
      </w:pPr>
      <w:r w:rsidRPr="00E4060E">
        <w:rPr>
          <w:rFonts w:cs="Arial"/>
          <w:szCs w:val="22"/>
          <w:lang w:val="sl-SI"/>
        </w:rPr>
        <w:t>V okviru programa so zagotovljena sredstva za uresničevanju ciljev strategije gospodarskega razvoja Slovenije, ki sledijo sprejetim usmeritvam EU</w:t>
      </w:r>
      <w:r w:rsidR="00914DEA">
        <w:rPr>
          <w:rFonts w:cs="Arial"/>
          <w:szCs w:val="22"/>
          <w:lang w:val="sl-SI"/>
        </w:rPr>
        <w:t xml:space="preserve"> </w:t>
      </w:r>
      <w:r w:rsidRPr="00E4060E">
        <w:rPr>
          <w:rFonts w:cs="Arial"/>
          <w:szCs w:val="22"/>
          <w:lang w:val="sl-SI"/>
        </w:rPr>
        <w:t>in dokumenta Evropa 2020 ter predstavlja izvajanje aktivnosti v okviru usmeritev Raziskovalne in inovacijske strategije Slovenije 2011-2020 (RISS),</w:t>
      </w:r>
      <w:r w:rsidR="00914DEA">
        <w:rPr>
          <w:rFonts w:cs="Arial"/>
          <w:szCs w:val="22"/>
          <w:lang w:val="sl-SI"/>
        </w:rPr>
        <w:t xml:space="preserve"> </w:t>
      </w:r>
      <w:r w:rsidRPr="00E4060E">
        <w:rPr>
          <w:rFonts w:cs="Arial"/>
          <w:szCs w:val="22"/>
          <w:lang w:val="sl-SI"/>
        </w:rPr>
        <w:t>strateškega dokumenta Slovenska industrijska politika za obdobje 2014-2020 (SIP), Strategije pametne specializacije, Operativnega programa za</w:t>
      </w:r>
      <w:r w:rsidR="00914DEA">
        <w:rPr>
          <w:rFonts w:cs="Arial"/>
          <w:szCs w:val="22"/>
          <w:lang w:val="sl-SI"/>
        </w:rPr>
        <w:t xml:space="preserve"> </w:t>
      </w:r>
      <w:r w:rsidRPr="00E4060E">
        <w:rPr>
          <w:rFonts w:cs="Arial"/>
          <w:szCs w:val="22"/>
          <w:lang w:val="sl-SI"/>
        </w:rPr>
        <w:t>izvajanje Evropske kohezijske politike v obdobju 2014-2020 in Programa za izvajanje finančnih spodbud MGRT 2015 – 2020. Izvajajo se spodbude</w:t>
      </w:r>
      <w:r w:rsidR="00914DEA">
        <w:rPr>
          <w:rFonts w:cs="Arial"/>
          <w:szCs w:val="22"/>
          <w:lang w:val="sl-SI"/>
        </w:rPr>
        <w:t xml:space="preserve"> </w:t>
      </w:r>
      <w:r w:rsidRPr="00E4060E">
        <w:rPr>
          <w:rFonts w:cs="Arial"/>
          <w:szCs w:val="22"/>
          <w:lang w:val="sl-SI"/>
        </w:rPr>
        <w:t>tako za mlada podjetja in nove podjetniške podjeme kot tudi spodbude za rast in razvoj podjetij, preko katerih zasledujemo cilj povečanja</w:t>
      </w:r>
    </w:p>
    <w:p w14:paraId="582EBC0C" w14:textId="0F7881C2" w:rsidR="00C0397B" w:rsidRPr="004223D6" w:rsidRDefault="00E4060E" w:rsidP="00E4060E">
      <w:pPr>
        <w:jc w:val="both"/>
        <w:rPr>
          <w:rFonts w:cs="Arial"/>
          <w:szCs w:val="22"/>
          <w:lang w:val="sl-SI"/>
        </w:rPr>
      </w:pPr>
      <w:r w:rsidRPr="00E4060E">
        <w:rPr>
          <w:rFonts w:cs="Arial"/>
          <w:szCs w:val="22"/>
          <w:lang w:val="sl-SI"/>
        </w:rPr>
        <w:t>inovativnosti in konkurenčnosti slovenskega gospodarstva. Poleg nepovratnih virov, ki se večinoma uporabljajo za specifične namene in ciljne</w:t>
      </w:r>
      <w:r w:rsidR="00914DEA">
        <w:rPr>
          <w:rFonts w:cs="Arial"/>
          <w:szCs w:val="22"/>
          <w:lang w:val="sl-SI"/>
        </w:rPr>
        <w:t xml:space="preserve"> </w:t>
      </w:r>
      <w:r w:rsidRPr="00E4060E">
        <w:rPr>
          <w:rFonts w:cs="Arial"/>
          <w:szCs w:val="22"/>
          <w:lang w:val="sl-SI"/>
        </w:rPr>
        <w:t>skupine (bilanca A) so zajeta tudi povratna sredstva (bilanca B), namenjena razvoju in izvajanju instrumentom finančnega inženiringa (dolžniški in</w:t>
      </w:r>
      <w:r w:rsidR="00914DEA">
        <w:rPr>
          <w:rFonts w:cs="Arial"/>
          <w:szCs w:val="22"/>
          <w:lang w:val="sl-SI"/>
        </w:rPr>
        <w:t xml:space="preserve"> </w:t>
      </w:r>
      <w:r w:rsidRPr="00E4060E">
        <w:rPr>
          <w:rFonts w:cs="Arial"/>
          <w:szCs w:val="22"/>
          <w:lang w:val="sl-SI"/>
        </w:rPr>
        <w:t xml:space="preserve">lastniški viri financiranja, prilagojeni </w:t>
      </w:r>
      <w:r w:rsidR="004B2892">
        <w:rPr>
          <w:rFonts w:cs="Arial"/>
          <w:szCs w:val="22"/>
          <w:lang w:val="sl-SI"/>
        </w:rPr>
        <w:t>FI</w:t>
      </w:r>
      <w:r w:rsidRPr="00E4060E">
        <w:rPr>
          <w:rFonts w:cs="Arial"/>
          <w:szCs w:val="22"/>
          <w:lang w:val="sl-SI"/>
        </w:rPr>
        <w:t xml:space="preserve"> za posamezne faze razvoja podjetij ter druge sodobne oblike financiranja). Poleg </w:t>
      </w:r>
      <w:r w:rsidR="004B2892">
        <w:rPr>
          <w:rFonts w:cs="Arial"/>
          <w:szCs w:val="22"/>
          <w:lang w:val="sl-SI"/>
        </w:rPr>
        <w:t>FI</w:t>
      </w:r>
      <w:r w:rsidRPr="00E4060E">
        <w:rPr>
          <w:rFonts w:cs="Arial"/>
          <w:szCs w:val="22"/>
          <w:lang w:val="sl-SI"/>
        </w:rPr>
        <w:t xml:space="preserve"> in subvencij razvojnih spodbud se za podjetja izvaja tudi vsebinska podpora v obliki nepovratnih virov, kot dopolnilni ukrepi</w:t>
      </w:r>
      <w:r w:rsidR="00914DEA">
        <w:rPr>
          <w:rFonts w:cs="Arial"/>
          <w:szCs w:val="22"/>
          <w:lang w:val="sl-SI"/>
        </w:rPr>
        <w:t xml:space="preserve"> </w:t>
      </w:r>
      <w:r w:rsidR="004B2892">
        <w:rPr>
          <w:rFonts w:cs="Arial"/>
          <w:szCs w:val="22"/>
          <w:lang w:val="sl-SI"/>
        </w:rPr>
        <w:t>FI</w:t>
      </w:r>
      <w:r w:rsidRPr="00E4060E">
        <w:rPr>
          <w:rFonts w:cs="Arial"/>
          <w:szCs w:val="22"/>
          <w:lang w:val="sl-SI"/>
        </w:rPr>
        <w:t xml:space="preserve"> </w:t>
      </w:r>
      <w:r w:rsidRPr="00E4060E">
        <w:rPr>
          <w:rFonts w:cs="Arial"/>
          <w:szCs w:val="22"/>
          <w:lang w:val="sl-SI"/>
        </w:rPr>
        <w:lastRenderedPageBreak/>
        <w:t xml:space="preserve">(vavčerji, »dvojčki« - to je kombinacija nepovratnih virov s </w:t>
      </w:r>
      <w:r w:rsidR="004B2892">
        <w:rPr>
          <w:rFonts w:cs="Arial"/>
          <w:szCs w:val="22"/>
          <w:lang w:val="sl-SI"/>
        </w:rPr>
        <w:t>FI</w:t>
      </w:r>
      <w:r w:rsidRPr="00E4060E">
        <w:rPr>
          <w:rFonts w:cs="Arial"/>
          <w:szCs w:val="22"/>
          <w:lang w:val="sl-SI"/>
        </w:rPr>
        <w:t>). V okviru tega programa so lahko</w:t>
      </w:r>
      <w:r w:rsidR="00914DEA">
        <w:rPr>
          <w:rFonts w:cs="Arial"/>
          <w:szCs w:val="22"/>
          <w:lang w:val="sl-SI"/>
        </w:rPr>
        <w:t xml:space="preserve"> </w:t>
      </w:r>
      <w:r w:rsidRPr="00E4060E">
        <w:rPr>
          <w:rFonts w:cs="Arial"/>
          <w:szCs w:val="22"/>
          <w:lang w:val="sl-SI"/>
        </w:rPr>
        <w:t>sredstva namenjena tudi pomoči upravičencem v gospodarstvu za odpravo posledic škode po naravnih nesrečah. Za nastajanje mladih podjetij in</w:t>
      </w:r>
      <w:r w:rsidR="00914DEA">
        <w:rPr>
          <w:rFonts w:cs="Arial"/>
          <w:szCs w:val="22"/>
          <w:lang w:val="sl-SI"/>
        </w:rPr>
        <w:t xml:space="preserve"> </w:t>
      </w:r>
      <w:r w:rsidRPr="00E4060E">
        <w:rPr>
          <w:rFonts w:cs="Arial"/>
          <w:szCs w:val="22"/>
          <w:lang w:val="sl-SI"/>
        </w:rPr>
        <w:t>novih podjetniških podjemov ter spodbujanje rasti in razvoja podjetij se nadgradi obstoječe podporno okolje z razvojem in spodbujanjem sodobnih</w:t>
      </w:r>
      <w:r w:rsidR="00914DEA">
        <w:rPr>
          <w:rFonts w:cs="Arial"/>
          <w:szCs w:val="22"/>
          <w:lang w:val="sl-SI"/>
        </w:rPr>
        <w:t xml:space="preserve"> </w:t>
      </w:r>
      <w:r w:rsidRPr="00E4060E">
        <w:rPr>
          <w:rFonts w:cs="Arial"/>
          <w:szCs w:val="22"/>
          <w:lang w:val="sl-SI"/>
        </w:rPr>
        <w:t>oblik podpornih storitev različnih podpornih institucij na nacionalni in lokalni ravni v obliki mentorstva, usposabljanja, promocije, spodbujanja</w:t>
      </w:r>
      <w:r w:rsidR="00914DEA">
        <w:rPr>
          <w:rFonts w:cs="Arial"/>
          <w:szCs w:val="22"/>
          <w:lang w:val="sl-SI"/>
        </w:rPr>
        <w:t xml:space="preserve"> </w:t>
      </w:r>
      <w:r w:rsidRPr="00E4060E">
        <w:rPr>
          <w:rFonts w:cs="Arial"/>
          <w:szCs w:val="22"/>
          <w:lang w:val="sl-SI"/>
        </w:rPr>
        <w:t>povezovanja podjetij, povezovanja s kulturnimi in kreativnimi industrijami, svetovanja, itd. v okviru podjetniško inovacijskega ekosistema. V</w:t>
      </w:r>
      <w:r w:rsidR="00914DEA">
        <w:rPr>
          <w:rFonts w:cs="Arial"/>
          <w:szCs w:val="22"/>
          <w:lang w:val="sl-SI"/>
        </w:rPr>
        <w:t xml:space="preserve"> </w:t>
      </w:r>
      <w:r w:rsidRPr="00E4060E">
        <w:rPr>
          <w:rFonts w:cs="Arial"/>
          <w:szCs w:val="22"/>
          <w:lang w:val="sl-SI"/>
        </w:rPr>
        <w:t>glavnem programu se zato povezujejo ukrepi, ki so usmerjeni v (i) podporo storitvam mreže VEM točk tako na nacionalni kot tudi lokalni ravni, ki</w:t>
      </w:r>
      <w:r w:rsidR="00914DEA">
        <w:rPr>
          <w:rFonts w:cs="Arial"/>
          <w:szCs w:val="22"/>
          <w:lang w:val="sl-SI"/>
        </w:rPr>
        <w:t xml:space="preserve"> </w:t>
      </w:r>
      <w:r w:rsidRPr="00E4060E">
        <w:rPr>
          <w:rFonts w:cs="Arial"/>
          <w:szCs w:val="22"/>
          <w:lang w:val="sl-SI"/>
        </w:rPr>
        <w:t>bodo zagotavljale celovito podporo potencialnim podjetnikom in delujočim podjetjem v vseh fazah življenjskega cikla podjetja ter (</w:t>
      </w:r>
      <w:proofErr w:type="spellStart"/>
      <w:r w:rsidRPr="00E4060E">
        <w:rPr>
          <w:rFonts w:cs="Arial"/>
          <w:szCs w:val="22"/>
          <w:lang w:val="sl-SI"/>
        </w:rPr>
        <w:t>ii</w:t>
      </w:r>
      <w:proofErr w:type="spellEnd"/>
      <w:r w:rsidRPr="00E4060E">
        <w:rPr>
          <w:rFonts w:cs="Arial"/>
          <w:szCs w:val="22"/>
          <w:lang w:val="sl-SI"/>
        </w:rPr>
        <w:t>) podporo</w:t>
      </w:r>
      <w:r w:rsidR="00914DEA">
        <w:rPr>
          <w:rFonts w:cs="Arial"/>
          <w:szCs w:val="22"/>
          <w:lang w:val="sl-SI"/>
        </w:rPr>
        <w:t xml:space="preserve"> </w:t>
      </w:r>
      <w:r w:rsidRPr="00E4060E">
        <w:rPr>
          <w:rFonts w:cs="Arial"/>
          <w:szCs w:val="22"/>
          <w:lang w:val="sl-SI"/>
        </w:rPr>
        <w:t>storitvam inovativnega okolja ter (</w:t>
      </w:r>
      <w:proofErr w:type="spellStart"/>
      <w:r w:rsidRPr="00E4060E">
        <w:rPr>
          <w:rFonts w:cs="Arial"/>
          <w:szCs w:val="22"/>
          <w:lang w:val="sl-SI"/>
        </w:rPr>
        <w:t>iii</w:t>
      </w:r>
      <w:proofErr w:type="spellEnd"/>
      <w:r w:rsidRPr="00E4060E">
        <w:rPr>
          <w:rFonts w:cs="Arial"/>
          <w:szCs w:val="22"/>
          <w:lang w:val="sl-SI"/>
        </w:rPr>
        <w:t xml:space="preserve">) specializirane storitve za spodbujanje specifičnih vsebin ali ciljnih skupin preko ostalih subjektov </w:t>
      </w:r>
      <w:proofErr w:type="spellStart"/>
      <w:r w:rsidRPr="00E4060E">
        <w:rPr>
          <w:rFonts w:cs="Arial"/>
          <w:szCs w:val="22"/>
          <w:lang w:val="sl-SI"/>
        </w:rPr>
        <w:t>podpornegaokolja</w:t>
      </w:r>
      <w:proofErr w:type="spellEnd"/>
      <w:r w:rsidRPr="00E4060E">
        <w:rPr>
          <w:rFonts w:cs="Arial"/>
          <w:szCs w:val="22"/>
          <w:lang w:val="sl-SI"/>
        </w:rPr>
        <w:t>. Poleg tega se izvajajo ukrepi za splošno promocijo podjetništva kot družbene kategorije, promocijo kompetenc ustvarjalnosti, podjetnosti ter</w:t>
      </w:r>
      <w:r w:rsidR="00914DEA">
        <w:rPr>
          <w:rFonts w:cs="Arial"/>
          <w:szCs w:val="22"/>
          <w:lang w:val="sl-SI"/>
        </w:rPr>
        <w:t xml:space="preserve"> </w:t>
      </w:r>
      <w:r w:rsidRPr="00E4060E">
        <w:rPr>
          <w:rFonts w:cs="Arial"/>
          <w:szCs w:val="22"/>
          <w:lang w:val="sl-SI"/>
        </w:rPr>
        <w:t>inovativnosti v podjetjih, med mladimi in drugimi ciljnimi skupinam. Z evalvacijami, študijami in raziskavami se ugotavlja ustreznost ukrepov ter</w:t>
      </w:r>
      <w:r w:rsidR="00914DEA">
        <w:rPr>
          <w:rFonts w:cs="Arial"/>
          <w:szCs w:val="22"/>
          <w:lang w:val="sl-SI"/>
        </w:rPr>
        <w:t xml:space="preserve"> </w:t>
      </w:r>
      <w:r w:rsidRPr="00E4060E">
        <w:rPr>
          <w:rFonts w:cs="Arial"/>
          <w:szCs w:val="22"/>
          <w:lang w:val="sl-SI"/>
        </w:rPr>
        <w:t>primerjavo slovenskega podjetništva s podjetništvom v drugih državah. Financirajo se aktivnosti, ki bodo v Sloveniji na področju lesarstva</w:t>
      </w:r>
      <w:r w:rsidR="00914DEA">
        <w:rPr>
          <w:rFonts w:cs="Arial"/>
          <w:szCs w:val="22"/>
          <w:lang w:val="sl-SI"/>
        </w:rPr>
        <w:t xml:space="preserve"> </w:t>
      </w:r>
      <w:r w:rsidRPr="00E4060E">
        <w:rPr>
          <w:rFonts w:cs="Arial"/>
          <w:szCs w:val="22"/>
          <w:lang w:val="sl-SI"/>
        </w:rPr>
        <w:t>prispevale k povečanju obsega dejavnosti in povečanja števila delovnih mest, ki jih panoga zaposluje. Sredstva so namenjena npr. za promocijo</w:t>
      </w:r>
      <w:r w:rsidR="00914DEA">
        <w:rPr>
          <w:rFonts w:cs="Arial"/>
          <w:szCs w:val="22"/>
          <w:lang w:val="sl-SI"/>
        </w:rPr>
        <w:t xml:space="preserve"> </w:t>
      </w:r>
      <w:r w:rsidRPr="00E4060E">
        <w:rPr>
          <w:rFonts w:cs="Arial"/>
          <w:szCs w:val="22"/>
          <w:lang w:val="sl-SI"/>
        </w:rPr>
        <w:t>rabe lesa, pospeševanje trženja in druge dejavnosti, ki jih ni mogoče sofinancirati iz EU sredstev. Predvidene so tudi aktivnosti podpore podjetjem</w:t>
      </w:r>
      <w:r w:rsidR="00914DEA">
        <w:rPr>
          <w:rFonts w:cs="Arial"/>
          <w:szCs w:val="22"/>
          <w:lang w:val="sl-SI"/>
        </w:rPr>
        <w:t xml:space="preserve"> </w:t>
      </w:r>
      <w:r w:rsidRPr="00E4060E">
        <w:rPr>
          <w:rFonts w:cs="Arial"/>
          <w:szCs w:val="22"/>
          <w:lang w:val="sl-SI"/>
        </w:rPr>
        <w:t>za krepitev zmogljivosti in ustvarjanje podpornih sistemov za vstop v mrežne povezave ter v verige vrednosti, investicije v stroje in opremo,</w:t>
      </w:r>
      <w:r w:rsidR="00914DEA">
        <w:rPr>
          <w:rFonts w:cs="Arial"/>
          <w:szCs w:val="22"/>
          <w:lang w:val="sl-SI"/>
        </w:rPr>
        <w:t xml:space="preserve"> </w:t>
      </w:r>
      <w:r w:rsidRPr="00E4060E">
        <w:rPr>
          <w:rFonts w:cs="Arial"/>
          <w:szCs w:val="22"/>
          <w:lang w:val="sl-SI"/>
        </w:rPr>
        <w:t>podporo poslovnim procesom za optimizacijo proizvodnje in povečanje dodane vrednosti, razvoj novih, inovativnih produktov in iskanje novih</w:t>
      </w:r>
      <w:r w:rsidR="00AD2ADE">
        <w:rPr>
          <w:rFonts w:cs="Arial"/>
          <w:szCs w:val="22"/>
          <w:lang w:val="sl-SI"/>
        </w:rPr>
        <w:t xml:space="preserve"> </w:t>
      </w:r>
      <w:r w:rsidRPr="00E4060E">
        <w:rPr>
          <w:rFonts w:cs="Arial"/>
          <w:szCs w:val="22"/>
          <w:lang w:val="sl-SI"/>
        </w:rPr>
        <w:t>inovativnih rešitev za nove produkte ter vzpostavljanje novih poslovnih modelov.</w:t>
      </w:r>
    </w:p>
    <w:p w14:paraId="56D09AAE" w14:textId="77777777" w:rsidR="00404FC6" w:rsidRPr="004223D6" w:rsidRDefault="00404FC6" w:rsidP="00CE3440">
      <w:pPr>
        <w:jc w:val="both"/>
        <w:rPr>
          <w:rFonts w:cs="Arial"/>
          <w:szCs w:val="22"/>
          <w:lang w:val="sl-SI"/>
        </w:rPr>
      </w:pPr>
    </w:p>
    <w:p w14:paraId="7439F9D3" w14:textId="77777777" w:rsidR="00C0397B" w:rsidRPr="004223D6" w:rsidRDefault="00C0397B" w:rsidP="00CE3440">
      <w:pPr>
        <w:pStyle w:val="Naslov2"/>
        <w:ind w:left="576" w:hanging="576"/>
        <w:jc w:val="both"/>
        <w:rPr>
          <w:szCs w:val="22"/>
          <w:lang w:val="sl-SI"/>
        </w:rPr>
      </w:pPr>
      <w:r w:rsidRPr="004223D6">
        <w:rPr>
          <w:szCs w:val="22"/>
          <w:lang w:val="sl-SI"/>
        </w:rPr>
        <w:t>Politika 12 - Viri energije in energetska učinkovitost</w:t>
      </w:r>
    </w:p>
    <w:p w14:paraId="2F57F45F" w14:textId="3190021A" w:rsidR="00C0397B" w:rsidRDefault="00E4060E" w:rsidP="00E4060E">
      <w:pPr>
        <w:jc w:val="both"/>
        <w:rPr>
          <w:rFonts w:cs="Arial"/>
          <w:szCs w:val="22"/>
          <w:lang w:val="sl-SI"/>
        </w:rPr>
      </w:pPr>
      <w:r w:rsidRPr="00E4060E">
        <w:rPr>
          <w:rFonts w:cs="Arial"/>
          <w:szCs w:val="22"/>
          <w:lang w:val="sl-SI"/>
        </w:rPr>
        <w:t>Zagotavljanje pogojev za zanesljivo, konkurenčno in okoljsko trajnostno oskrbo uporabnikov z energijo in energetskimi storitvami se uvršča med</w:t>
      </w:r>
      <w:r w:rsidR="006F0948">
        <w:rPr>
          <w:rFonts w:cs="Arial"/>
          <w:szCs w:val="22"/>
          <w:lang w:val="sl-SI"/>
        </w:rPr>
        <w:t xml:space="preserve"> </w:t>
      </w:r>
      <w:r w:rsidRPr="00E4060E">
        <w:rPr>
          <w:rFonts w:cs="Arial"/>
          <w:szCs w:val="22"/>
          <w:lang w:val="sl-SI"/>
        </w:rPr>
        <w:t>najpomembnejše razvojne izzive sedanje družbe. Razvojna politika energetika preko strateških razvojnih dokumentov in operativnih programov</w:t>
      </w:r>
      <w:r w:rsidR="006F0948">
        <w:rPr>
          <w:rFonts w:cs="Arial"/>
          <w:szCs w:val="22"/>
          <w:lang w:val="sl-SI"/>
        </w:rPr>
        <w:t xml:space="preserve"> </w:t>
      </w:r>
      <w:r w:rsidRPr="00E4060E">
        <w:rPr>
          <w:rFonts w:cs="Arial"/>
          <w:szCs w:val="22"/>
          <w:lang w:val="sl-SI"/>
        </w:rPr>
        <w:t>zasleduje cilje nacionalne energetske politike, ki so usmerjeni k povečanju strateške in obratovalne zanesljivosti oskrbe z energetskimi storitvami,</w:t>
      </w:r>
      <w:r w:rsidR="006F0948">
        <w:rPr>
          <w:rFonts w:cs="Arial"/>
          <w:szCs w:val="22"/>
          <w:lang w:val="sl-SI"/>
        </w:rPr>
        <w:t xml:space="preserve"> </w:t>
      </w:r>
      <w:r w:rsidRPr="00E4060E">
        <w:rPr>
          <w:rFonts w:cs="Arial"/>
          <w:szCs w:val="22"/>
          <w:lang w:val="sl-SI"/>
        </w:rPr>
        <w:t>zagotavljanju konkurenčnosti gospodarstva ter razpoložljive in dostopne energije, spodbujanju okoljske trajnosti in boju proti podnebnim</w:t>
      </w:r>
      <w:r w:rsidR="006F0948">
        <w:rPr>
          <w:rFonts w:cs="Arial"/>
          <w:szCs w:val="22"/>
          <w:lang w:val="sl-SI"/>
        </w:rPr>
        <w:t xml:space="preserve"> </w:t>
      </w:r>
      <w:r w:rsidRPr="00E4060E">
        <w:rPr>
          <w:rFonts w:cs="Arial"/>
          <w:szCs w:val="22"/>
          <w:lang w:val="sl-SI"/>
        </w:rPr>
        <w:t>spremembam ter zagotavljanju socialne kohezivnosti. Z uravnoteženim doseganjem zastavljenih ciljev bo omogočeno aktivno ravnanje z energijo in</w:t>
      </w:r>
      <w:r w:rsidR="006F0948">
        <w:rPr>
          <w:rFonts w:cs="Arial"/>
          <w:szCs w:val="22"/>
          <w:lang w:val="sl-SI"/>
        </w:rPr>
        <w:t xml:space="preserve"> </w:t>
      </w:r>
      <w:r w:rsidRPr="00E4060E">
        <w:rPr>
          <w:rFonts w:cs="Arial"/>
          <w:szCs w:val="22"/>
          <w:lang w:val="sl-SI"/>
        </w:rPr>
        <w:t xml:space="preserve">dolgoročen prehod Slovenije v </w:t>
      </w:r>
      <w:proofErr w:type="spellStart"/>
      <w:r w:rsidRPr="00E4060E">
        <w:rPr>
          <w:rFonts w:cs="Arial"/>
          <w:szCs w:val="22"/>
          <w:lang w:val="sl-SI"/>
        </w:rPr>
        <w:t>nizkoogljično</w:t>
      </w:r>
      <w:proofErr w:type="spellEnd"/>
      <w:r w:rsidRPr="00E4060E">
        <w:rPr>
          <w:rFonts w:cs="Arial"/>
          <w:szCs w:val="22"/>
          <w:lang w:val="sl-SI"/>
        </w:rPr>
        <w:t xml:space="preserve"> družbo. Prednostna področja energetske politike so učinkovita raba energije, izraba obnovljivih virov</w:t>
      </w:r>
      <w:r w:rsidR="006F0948">
        <w:rPr>
          <w:rFonts w:cs="Arial"/>
          <w:szCs w:val="22"/>
          <w:lang w:val="sl-SI"/>
        </w:rPr>
        <w:t xml:space="preserve"> </w:t>
      </w:r>
      <w:r w:rsidRPr="00E4060E">
        <w:rPr>
          <w:rFonts w:cs="Arial"/>
          <w:szCs w:val="22"/>
          <w:lang w:val="sl-SI"/>
        </w:rPr>
        <w:t>energije in razvoj pametnih aktivnih omrežij za distribucijo električne energije. Okvir delovanja zajema zasledovanje ključnih ciljev nacionalne</w:t>
      </w:r>
      <w:r w:rsidR="006F0948">
        <w:rPr>
          <w:rFonts w:cs="Arial"/>
          <w:szCs w:val="22"/>
          <w:lang w:val="sl-SI"/>
        </w:rPr>
        <w:t xml:space="preserve"> </w:t>
      </w:r>
      <w:r w:rsidRPr="00E4060E">
        <w:rPr>
          <w:rFonts w:cs="Arial"/>
          <w:szCs w:val="22"/>
          <w:lang w:val="sl-SI"/>
        </w:rPr>
        <w:t>energetske politike: • zanesljiva, trajnostna in konkurenčna oskrba z energijo, •</w:t>
      </w:r>
      <w:r w:rsidR="00C8732A">
        <w:rPr>
          <w:rFonts w:cs="Arial"/>
          <w:szCs w:val="22"/>
          <w:lang w:val="sl-SI"/>
        </w:rPr>
        <w:t> </w:t>
      </w:r>
      <w:r w:rsidRPr="00E4060E">
        <w:rPr>
          <w:rFonts w:cs="Arial"/>
          <w:szCs w:val="22"/>
          <w:lang w:val="sl-SI"/>
        </w:rPr>
        <w:t>povečanje energetske učinkovitosti, • oskrba z energijo iz obnovljivih</w:t>
      </w:r>
      <w:r w:rsidR="006F0948">
        <w:rPr>
          <w:rFonts w:cs="Arial"/>
          <w:szCs w:val="22"/>
          <w:lang w:val="sl-SI"/>
        </w:rPr>
        <w:t xml:space="preserve"> </w:t>
      </w:r>
      <w:r w:rsidRPr="00E4060E">
        <w:rPr>
          <w:rFonts w:cs="Arial"/>
          <w:szCs w:val="22"/>
          <w:lang w:val="sl-SI"/>
        </w:rPr>
        <w:t>virov energije.</w:t>
      </w:r>
    </w:p>
    <w:p w14:paraId="7182A93E" w14:textId="77777777" w:rsidR="00E4060E" w:rsidRPr="004223D6" w:rsidRDefault="00E4060E" w:rsidP="00E4060E">
      <w:pPr>
        <w:jc w:val="both"/>
        <w:rPr>
          <w:rFonts w:cs="Arial"/>
          <w:szCs w:val="22"/>
          <w:lang w:val="sl-SI"/>
        </w:rPr>
      </w:pPr>
    </w:p>
    <w:p w14:paraId="5C46A824" w14:textId="77777777" w:rsidR="00C0397B" w:rsidRPr="004223D6" w:rsidRDefault="00C0397B" w:rsidP="00CE3440">
      <w:pPr>
        <w:pStyle w:val="Naslov3"/>
        <w:numPr>
          <w:ilvl w:val="2"/>
          <w:numId w:val="0"/>
        </w:numPr>
        <w:ind w:left="720" w:hanging="720"/>
        <w:jc w:val="both"/>
        <w:rPr>
          <w:rFonts w:cs="Arial"/>
          <w:szCs w:val="22"/>
          <w:lang w:val="sl-SI"/>
        </w:rPr>
      </w:pPr>
      <w:r w:rsidRPr="004223D6">
        <w:rPr>
          <w:rFonts w:cs="Arial"/>
          <w:szCs w:val="22"/>
          <w:lang w:val="sl-SI"/>
        </w:rPr>
        <w:t>Glavni program 1202 - Oskrba z energijo in energetska učinkovitost</w:t>
      </w:r>
    </w:p>
    <w:p w14:paraId="1DAD5FCC" w14:textId="77777777" w:rsidR="00C0397B" w:rsidRPr="004223D6" w:rsidRDefault="00C0397B" w:rsidP="00CE3440">
      <w:pPr>
        <w:jc w:val="both"/>
        <w:rPr>
          <w:rFonts w:cs="Arial"/>
          <w:szCs w:val="22"/>
          <w:lang w:val="sl-SI"/>
        </w:rPr>
      </w:pPr>
    </w:p>
    <w:p w14:paraId="5A33F580" w14:textId="408472A5" w:rsidR="00C0397B" w:rsidRDefault="00522C33" w:rsidP="00522C33">
      <w:pPr>
        <w:jc w:val="both"/>
        <w:rPr>
          <w:rFonts w:cs="Arial"/>
          <w:szCs w:val="22"/>
          <w:lang w:val="sl-SI"/>
        </w:rPr>
      </w:pPr>
      <w:r w:rsidRPr="00522C33">
        <w:rPr>
          <w:rFonts w:cs="Arial"/>
          <w:szCs w:val="22"/>
          <w:lang w:val="sl-SI"/>
        </w:rPr>
        <w:t>Program združuje aktivnosti povezane z zavezujočimi cilji evropske in nacionalne energetske politike za zagotavljanje zanesljive, trajnostne in</w:t>
      </w:r>
      <w:r w:rsidR="006F0948">
        <w:rPr>
          <w:rFonts w:cs="Arial"/>
          <w:szCs w:val="22"/>
          <w:lang w:val="sl-SI"/>
        </w:rPr>
        <w:t xml:space="preserve"> </w:t>
      </w:r>
      <w:r w:rsidRPr="00522C33">
        <w:rPr>
          <w:rFonts w:cs="Arial"/>
          <w:szCs w:val="22"/>
          <w:lang w:val="sl-SI"/>
        </w:rPr>
        <w:t>konkurenčne oskrbe z energijo, in sicer: • povečanjem deleža obnovljivih virov energije v rabi bruto končne energije na 25 % do leta 2020 (Direktiva</w:t>
      </w:r>
      <w:r w:rsidR="006F0948">
        <w:rPr>
          <w:rFonts w:cs="Arial"/>
          <w:szCs w:val="22"/>
          <w:lang w:val="sl-SI"/>
        </w:rPr>
        <w:t xml:space="preserve"> </w:t>
      </w:r>
      <w:r w:rsidRPr="00522C33">
        <w:rPr>
          <w:rFonts w:cs="Arial"/>
          <w:szCs w:val="22"/>
          <w:lang w:val="sl-SI"/>
        </w:rPr>
        <w:t>28/2009/ES o spodbujanju uporabe obnovljivih virov), • doseganjem 20 % izboljšanja energetske učinkovitosti do leta 2020 (Direktiva 2012/27/ES o</w:t>
      </w:r>
      <w:r w:rsidR="006F0948">
        <w:rPr>
          <w:rFonts w:cs="Arial"/>
          <w:szCs w:val="22"/>
          <w:lang w:val="sl-SI"/>
        </w:rPr>
        <w:t xml:space="preserve"> </w:t>
      </w:r>
      <w:r w:rsidRPr="00522C33">
        <w:rPr>
          <w:rFonts w:cs="Arial"/>
          <w:szCs w:val="22"/>
          <w:lang w:val="sl-SI"/>
        </w:rPr>
        <w:t>energetski učinkovitosti), • doseganjem vsakoletne prenove 3 % skupne tlorisne površine stavb v lasti in rabi oseb ožjega javnega sektorje</w:t>
      </w:r>
      <w:r w:rsidR="006F0948">
        <w:rPr>
          <w:rFonts w:cs="Arial"/>
          <w:szCs w:val="22"/>
          <w:lang w:val="sl-SI"/>
        </w:rPr>
        <w:t xml:space="preserve"> </w:t>
      </w:r>
      <w:r w:rsidRPr="00522C33">
        <w:rPr>
          <w:rFonts w:cs="Arial"/>
          <w:szCs w:val="22"/>
          <w:lang w:val="sl-SI"/>
        </w:rPr>
        <w:t>(Direktiva 2012/27/ES o energetski učinkovitosti), • razvojem pametnih omrežij kot eno temeljnih usmeritev energetske politike države, ki omogoča</w:t>
      </w:r>
      <w:r w:rsidR="006F0948">
        <w:rPr>
          <w:rFonts w:cs="Arial"/>
          <w:szCs w:val="22"/>
          <w:lang w:val="sl-SI"/>
        </w:rPr>
        <w:t xml:space="preserve"> </w:t>
      </w:r>
      <w:r w:rsidRPr="00522C33">
        <w:rPr>
          <w:rFonts w:cs="Arial"/>
          <w:szCs w:val="22"/>
          <w:lang w:val="sl-SI"/>
        </w:rPr>
        <w:t>povečanje zanesljivosti prenosa električne energije, zmanjšanje stroškov vzdrževanja in obratovanja in povečanje zanesljivosti obratovanja</w:t>
      </w:r>
      <w:r w:rsidR="006F0948">
        <w:rPr>
          <w:rFonts w:cs="Arial"/>
          <w:szCs w:val="22"/>
          <w:lang w:val="sl-SI"/>
        </w:rPr>
        <w:t xml:space="preserve"> </w:t>
      </w:r>
      <w:r w:rsidRPr="00522C33">
        <w:rPr>
          <w:rFonts w:cs="Arial"/>
          <w:szCs w:val="22"/>
          <w:lang w:val="sl-SI"/>
        </w:rPr>
        <w:t>prenosnega elektroenergetske</w:t>
      </w:r>
      <w:r w:rsidR="00AD2ADE">
        <w:rPr>
          <w:rFonts w:cs="Arial"/>
          <w:szCs w:val="22"/>
          <w:lang w:val="sl-SI"/>
        </w:rPr>
        <w:t>ga</w:t>
      </w:r>
      <w:r w:rsidRPr="00522C33">
        <w:rPr>
          <w:rFonts w:cs="Arial"/>
          <w:szCs w:val="22"/>
          <w:lang w:val="sl-SI"/>
        </w:rPr>
        <w:t xml:space="preserve"> sistema.</w:t>
      </w:r>
    </w:p>
    <w:p w14:paraId="54B0E9BF" w14:textId="77777777" w:rsidR="00522C33" w:rsidRPr="004223D6" w:rsidRDefault="00522C33" w:rsidP="00522C33">
      <w:pPr>
        <w:jc w:val="both"/>
        <w:rPr>
          <w:rFonts w:cs="Arial"/>
          <w:szCs w:val="22"/>
          <w:lang w:val="sl-SI"/>
        </w:rPr>
      </w:pPr>
    </w:p>
    <w:p w14:paraId="165E187A" w14:textId="77777777" w:rsidR="00C0397B" w:rsidRPr="004223D6" w:rsidRDefault="00C0397B" w:rsidP="00CE3440">
      <w:pPr>
        <w:pStyle w:val="Naslov2"/>
        <w:ind w:left="576" w:hanging="576"/>
        <w:jc w:val="both"/>
        <w:rPr>
          <w:szCs w:val="22"/>
          <w:lang w:val="sl-SI"/>
        </w:rPr>
      </w:pPr>
      <w:r w:rsidRPr="004223D6">
        <w:rPr>
          <w:szCs w:val="22"/>
          <w:lang w:val="sl-SI"/>
        </w:rPr>
        <w:lastRenderedPageBreak/>
        <w:t>Politika 16 - Prostorsko planiranje in stanovanjska dejavnost</w:t>
      </w:r>
    </w:p>
    <w:p w14:paraId="32195527" w14:textId="1D16A521" w:rsidR="00C0397B" w:rsidRDefault="00522C33" w:rsidP="00522C33">
      <w:pPr>
        <w:jc w:val="both"/>
        <w:rPr>
          <w:rFonts w:cs="Arial"/>
          <w:szCs w:val="22"/>
          <w:lang w:val="sl-SI"/>
        </w:rPr>
      </w:pPr>
      <w:r w:rsidRPr="00522C33">
        <w:rPr>
          <w:rFonts w:cs="Arial"/>
          <w:szCs w:val="22"/>
          <w:lang w:val="sl-SI"/>
        </w:rPr>
        <w:t>Ključni namen politike je zagotavljanje kvalitetnega bivalnega okolja za vse prebivalke in prebivalce Republike Slovenije ter spodbujanje aktivnosti</w:t>
      </w:r>
      <w:r w:rsidR="006F0948">
        <w:rPr>
          <w:rFonts w:cs="Arial"/>
          <w:szCs w:val="22"/>
          <w:lang w:val="sl-SI"/>
        </w:rPr>
        <w:t xml:space="preserve"> </w:t>
      </w:r>
      <w:r w:rsidRPr="00522C33">
        <w:rPr>
          <w:rFonts w:cs="Arial"/>
          <w:szCs w:val="22"/>
          <w:lang w:val="sl-SI"/>
        </w:rPr>
        <w:t>in usklajevanje za doseganje trajnostnega razvoja, ki ob skrbi za družbeno blaginjo temelji na smotrni rabi virov. Prostorski razvoj naših mest, trgov</w:t>
      </w:r>
      <w:r w:rsidR="006F0948">
        <w:rPr>
          <w:rFonts w:cs="Arial"/>
          <w:szCs w:val="22"/>
          <w:lang w:val="sl-SI"/>
        </w:rPr>
        <w:t xml:space="preserve"> </w:t>
      </w:r>
      <w:r w:rsidRPr="00522C33">
        <w:rPr>
          <w:rFonts w:cs="Arial"/>
          <w:szCs w:val="22"/>
          <w:lang w:val="sl-SI"/>
        </w:rPr>
        <w:t>in vasi se usmerja tako, da se ohranja in razvija kakovost stavbne, naselbinske dediščine ter kulturne krajine in obenem omogoča gospodarski,</w:t>
      </w:r>
      <w:r w:rsidR="006F0948">
        <w:rPr>
          <w:rFonts w:cs="Arial"/>
          <w:szCs w:val="22"/>
          <w:lang w:val="sl-SI"/>
        </w:rPr>
        <w:t xml:space="preserve"> </w:t>
      </w:r>
      <w:r w:rsidRPr="00522C33">
        <w:rPr>
          <w:rFonts w:cs="Arial"/>
          <w:szCs w:val="22"/>
          <w:lang w:val="sl-SI"/>
        </w:rPr>
        <w:t>družbeni in kulturni razvoj v prostoru. Zagotavlja se tudi takšen razvoj v prostoru, ki bo človekove dejavnosti usmerjal na način, da bodo ob</w:t>
      </w:r>
      <w:r w:rsidR="006F0948">
        <w:rPr>
          <w:rFonts w:cs="Arial"/>
          <w:szCs w:val="22"/>
          <w:lang w:val="sl-SI"/>
        </w:rPr>
        <w:t xml:space="preserve"> </w:t>
      </w:r>
      <w:r w:rsidRPr="00522C33">
        <w:rPr>
          <w:rFonts w:cs="Arial"/>
          <w:szCs w:val="22"/>
          <w:lang w:val="sl-SI"/>
        </w:rPr>
        <w:t>naravnih nesrečah kar najmanj prizadete. Za večjo učinkovitost in za širši konsenz o prostorskem razvoju se zagotavlja sodelovanje z ostalimi resorji</w:t>
      </w:r>
      <w:r w:rsidR="006F0948">
        <w:rPr>
          <w:rFonts w:cs="Arial"/>
          <w:szCs w:val="22"/>
          <w:lang w:val="sl-SI"/>
        </w:rPr>
        <w:t xml:space="preserve"> </w:t>
      </w:r>
      <w:r w:rsidRPr="00522C33">
        <w:rPr>
          <w:rFonts w:cs="Arial"/>
          <w:szCs w:val="22"/>
          <w:lang w:val="sl-SI"/>
        </w:rPr>
        <w:t>in lokalnimi skupnostmi po načelih partnerstva in subsidiarnosti. Zagotavlja se odprtost pri oblikovanju politik s spodbujanjem sodelovanja</w:t>
      </w:r>
      <w:r w:rsidR="006F0948">
        <w:rPr>
          <w:rFonts w:cs="Arial"/>
          <w:szCs w:val="22"/>
          <w:lang w:val="sl-SI"/>
        </w:rPr>
        <w:t xml:space="preserve"> </w:t>
      </w:r>
      <w:r w:rsidRPr="00522C33">
        <w:rPr>
          <w:rFonts w:cs="Arial"/>
          <w:szCs w:val="22"/>
          <w:lang w:val="sl-SI"/>
        </w:rPr>
        <w:t>posameznikov in skupin ter organizacij civilne družbe. Predvsem pa se stremi h krepitvi zavesti o skupni odgovornosti za stanje v prostoru med</w:t>
      </w:r>
      <w:r w:rsidR="006F0948">
        <w:rPr>
          <w:rFonts w:cs="Arial"/>
          <w:szCs w:val="22"/>
          <w:lang w:val="sl-SI"/>
        </w:rPr>
        <w:t xml:space="preserve"> </w:t>
      </w:r>
      <w:r w:rsidRPr="00522C33">
        <w:rPr>
          <w:rFonts w:cs="Arial"/>
          <w:szCs w:val="22"/>
          <w:lang w:val="sl-SI"/>
        </w:rPr>
        <w:t>vsemi prebivalkami in prebivalci Republike Slovenije. V okviru te politike se izvajajo naloge na področju prostorskega in urbanega razvoja,</w:t>
      </w:r>
      <w:r w:rsidR="006F0948">
        <w:rPr>
          <w:rFonts w:cs="Arial"/>
          <w:szCs w:val="22"/>
          <w:lang w:val="sl-SI"/>
        </w:rPr>
        <w:t xml:space="preserve"> </w:t>
      </w:r>
      <w:r w:rsidRPr="00522C33">
        <w:rPr>
          <w:rFonts w:cs="Arial"/>
          <w:szCs w:val="22"/>
          <w:lang w:val="sl-SI"/>
        </w:rPr>
        <w:t>spremljanja stanja in trendov v prostoru, razvoja, spodbujanja in promocije urejanja prostora, zemljiške politike, državnega, regionalnega in</w:t>
      </w:r>
      <w:r w:rsidR="006F0948">
        <w:rPr>
          <w:rFonts w:cs="Arial"/>
          <w:szCs w:val="22"/>
          <w:lang w:val="sl-SI"/>
        </w:rPr>
        <w:t xml:space="preserve"> </w:t>
      </w:r>
      <w:r w:rsidRPr="00522C33">
        <w:rPr>
          <w:rFonts w:cs="Arial"/>
          <w:szCs w:val="22"/>
          <w:lang w:val="sl-SI"/>
        </w:rPr>
        <w:t>občinskega prostorskega načrtovanja, graditve objektov ter stanovanjske politike. Geodetska uprava RS s svojimi prostorskimi podatki zagotavlja</w:t>
      </w:r>
      <w:r w:rsidR="006F0948">
        <w:rPr>
          <w:rFonts w:cs="Arial"/>
          <w:szCs w:val="22"/>
          <w:lang w:val="sl-SI"/>
        </w:rPr>
        <w:t xml:space="preserve"> </w:t>
      </w:r>
      <w:r w:rsidRPr="00522C33">
        <w:rPr>
          <w:rFonts w:cs="Arial"/>
          <w:szCs w:val="22"/>
          <w:lang w:val="sl-SI"/>
        </w:rPr>
        <w:t>obvladovanje prostora, kot so meje državnega ozemlja, varovanje lastnine nepremičnin ter gospodarjenje in upravljanje s prostorom. S svojimi</w:t>
      </w:r>
      <w:r w:rsidR="006F0948">
        <w:rPr>
          <w:rFonts w:cs="Arial"/>
          <w:szCs w:val="22"/>
          <w:lang w:val="sl-SI"/>
        </w:rPr>
        <w:t xml:space="preserve"> </w:t>
      </w:r>
      <w:r w:rsidRPr="00522C33">
        <w:rPr>
          <w:rFonts w:cs="Arial"/>
          <w:szCs w:val="22"/>
          <w:lang w:val="sl-SI"/>
        </w:rPr>
        <w:t>raznovrstnimi podatki in vodenimi evidencami zagotavlja temelje za prostorski razvoj.</w:t>
      </w:r>
    </w:p>
    <w:p w14:paraId="19CAC77C" w14:textId="77777777" w:rsidR="00522C33" w:rsidRPr="004223D6" w:rsidRDefault="00522C33" w:rsidP="00522C33">
      <w:pPr>
        <w:jc w:val="both"/>
        <w:rPr>
          <w:rFonts w:cs="Arial"/>
          <w:szCs w:val="22"/>
          <w:lang w:val="sl-SI"/>
        </w:rPr>
      </w:pPr>
    </w:p>
    <w:p w14:paraId="650023B9" w14:textId="77777777" w:rsidR="00FC4417" w:rsidRPr="004223D6" w:rsidRDefault="00FC4417" w:rsidP="00FC4417">
      <w:pPr>
        <w:pStyle w:val="Naslov3"/>
        <w:numPr>
          <w:ilvl w:val="2"/>
          <w:numId w:val="0"/>
        </w:numPr>
        <w:ind w:left="720" w:hanging="720"/>
        <w:jc w:val="both"/>
        <w:rPr>
          <w:rFonts w:cs="Arial"/>
          <w:szCs w:val="22"/>
          <w:lang w:val="sl-SI"/>
        </w:rPr>
      </w:pPr>
      <w:r w:rsidRPr="004223D6">
        <w:rPr>
          <w:rFonts w:cs="Arial"/>
          <w:szCs w:val="22"/>
          <w:lang w:val="sl-SI"/>
        </w:rPr>
        <w:t>Glavni program 1602 - Upravljanje s prostorom</w:t>
      </w:r>
    </w:p>
    <w:p w14:paraId="5167628C" w14:textId="77777777" w:rsidR="00FC4417" w:rsidRPr="004223D6" w:rsidRDefault="00FC4417" w:rsidP="00FC4417">
      <w:pPr>
        <w:jc w:val="both"/>
        <w:rPr>
          <w:rFonts w:cs="Arial"/>
          <w:szCs w:val="22"/>
          <w:lang w:val="sl-SI"/>
        </w:rPr>
      </w:pPr>
    </w:p>
    <w:p w14:paraId="29DDE753" w14:textId="391CFD2E" w:rsidR="00FA7969" w:rsidRPr="004223D6" w:rsidRDefault="00522C33" w:rsidP="00522C33">
      <w:pPr>
        <w:jc w:val="both"/>
        <w:rPr>
          <w:rFonts w:cs="Arial"/>
          <w:szCs w:val="22"/>
          <w:lang w:val="sl-SI"/>
        </w:rPr>
      </w:pPr>
      <w:r w:rsidRPr="00522C33">
        <w:rPr>
          <w:rFonts w:cs="Arial"/>
          <w:szCs w:val="22"/>
          <w:lang w:val="sl-SI"/>
        </w:rPr>
        <w:t>V okviru programa se izvajajo aktivnosti za izvajanje politike na področju prostorskega/teritorialnega razvoja in kvalitetne gradnje. V skladu z</w:t>
      </w:r>
      <w:r w:rsidR="006F0948">
        <w:rPr>
          <w:rFonts w:cs="Arial"/>
          <w:szCs w:val="22"/>
          <w:lang w:val="sl-SI"/>
        </w:rPr>
        <w:t xml:space="preserve"> </w:t>
      </w:r>
      <w:r w:rsidRPr="00522C33">
        <w:rPr>
          <w:rFonts w:cs="Arial"/>
          <w:szCs w:val="22"/>
          <w:lang w:val="sl-SI"/>
        </w:rPr>
        <w:t>zakonskimi pristojnostmi se izvajajo naloge na področju prostorskega/teritorialnega in urbanega razvoja, spremljanja stanja in trendov v prostoru ter</w:t>
      </w:r>
      <w:r w:rsidR="006F0948">
        <w:rPr>
          <w:rFonts w:cs="Arial"/>
          <w:szCs w:val="22"/>
          <w:lang w:val="sl-SI"/>
        </w:rPr>
        <w:t xml:space="preserve"> </w:t>
      </w:r>
      <w:r w:rsidRPr="00522C33">
        <w:rPr>
          <w:rFonts w:cs="Arial"/>
          <w:szCs w:val="22"/>
          <w:lang w:val="sl-SI"/>
        </w:rPr>
        <w:t>vzpostavitve in delovanja prostorskega informacijskega sistema, razvoja, spodbujanja in promocije urejanja prostora, zemljiške politike, državnega,</w:t>
      </w:r>
      <w:r w:rsidR="006F0948">
        <w:rPr>
          <w:rFonts w:cs="Arial"/>
          <w:szCs w:val="22"/>
          <w:lang w:val="sl-SI"/>
        </w:rPr>
        <w:t xml:space="preserve"> regionalnega in občinskega prostorskega </w:t>
      </w:r>
      <w:proofErr w:type="spellStart"/>
      <w:r w:rsidR="006F0948">
        <w:rPr>
          <w:rFonts w:cs="Arial"/>
          <w:szCs w:val="22"/>
          <w:lang w:val="sl-SI"/>
        </w:rPr>
        <w:t>nalčrtovanja</w:t>
      </w:r>
      <w:proofErr w:type="spellEnd"/>
      <w:r w:rsidR="006F0948">
        <w:rPr>
          <w:rFonts w:cs="Arial"/>
          <w:szCs w:val="22"/>
          <w:lang w:val="sl-SI"/>
        </w:rPr>
        <w:t xml:space="preserve">, graditve objektov ter uveljavljanja nacionalnih interesov s področja </w:t>
      </w:r>
      <w:r w:rsidRPr="00522C33">
        <w:rPr>
          <w:rFonts w:cs="Arial"/>
          <w:szCs w:val="22"/>
          <w:lang w:val="sl-SI"/>
        </w:rPr>
        <w:t>prostorskega/teritorialnega in urbanega razvoja na mednarodni in EU ravni.</w:t>
      </w:r>
    </w:p>
    <w:p w14:paraId="32C16A82" w14:textId="288B502E" w:rsidR="000F071A" w:rsidRPr="004223D6" w:rsidRDefault="000F071A" w:rsidP="00CE3440">
      <w:pPr>
        <w:jc w:val="both"/>
        <w:rPr>
          <w:rFonts w:cs="Arial"/>
          <w:szCs w:val="22"/>
          <w:lang w:val="sl-SI"/>
        </w:rPr>
      </w:pPr>
    </w:p>
    <w:p w14:paraId="038FB095" w14:textId="563B2F0A" w:rsidR="000F071A" w:rsidRPr="004223D6" w:rsidRDefault="000F071A" w:rsidP="00CE3440">
      <w:pPr>
        <w:jc w:val="both"/>
        <w:rPr>
          <w:rFonts w:cs="Arial"/>
          <w:szCs w:val="22"/>
          <w:lang w:val="sl-SI"/>
        </w:rPr>
      </w:pPr>
    </w:p>
    <w:p w14:paraId="4100367D" w14:textId="3BB00779" w:rsidR="00FA7969" w:rsidRPr="004223D6" w:rsidRDefault="008B51B0" w:rsidP="000F071A">
      <w:pPr>
        <w:pStyle w:val="Naslov1"/>
        <w:numPr>
          <w:ilvl w:val="0"/>
          <w:numId w:val="25"/>
        </w:numPr>
        <w:spacing w:before="240" w:after="60"/>
        <w:jc w:val="both"/>
        <w:rPr>
          <w:lang w:val="sl-SI"/>
        </w:rPr>
      </w:pPr>
      <w:r>
        <w:rPr>
          <w:lang w:val="sl-SI"/>
        </w:rPr>
        <w:t>TABELE</w:t>
      </w:r>
    </w:p>
    <w:p w14:paraId="4037435C" w14:textId="51A4A9C0" w:rsidR="00FA7969" w:rsidRPr="004223D6" w:rsidRDefault="004B2892" w:rsidP="00B74EDB">
      <w:pPr>
        <w:numPr>
          <w:ilvl w:val="0"/>
          <w:numId w:val="23"/>
        </w:numPr>
        <w:jc w:val="both"/>
        <w:rPr>
          <w:rFonts w:cs="Arial"/>
          <w:szCs w:val="22"/>
          <w:lang w:val="sl-SI"/>
        </w:rPr>
      </w:pPr>
      <w:r>
        <w:rPr>
          <w:rFonts w:cs="Arial"/>
          <w:szCs w:val="22"/>
          <w:lang w:val="sl-SI"/>
        </w:rPr>
        <w:t>FI</w:t>
      </w:r>
      <w:r w:rsidR="00FA7969" w:rsidRPr="004223D6">
        <w:rPr>
          <w:rFonts w:cs="Arial"/>
          <w:szCs w:val="22"/>
          <w:lang w:val="sl-SI"/>
        </w:rPr>
        <w:t xml:space="preserve"> </w:t>
      </w:r>
      <w:r w:rsidR="00B74EDB" w:rsidRPr="004223D6">
        <w:rPr>
          <w:rFonts w:cs="Arial"/>
          <w:szCs w:val="22"/>
          <w:lang w:val="sl-SI" w:eastAsia="sl-SI"/>
        </w:rPr>
        <w:t>po prednostni naložbi</w:t>
      </w:r>
      <w:r w:rsidR="00B74EDB">
        <w:rPr>
          <w:rFonts w:cs="Arial"/>
          <w:szCs w:val="22"/>
          <w:lang w:val="sl-SI" w:eastAsia="sl-SI"/>
        </w:rPr>
        <w:t xml:space="preserve"> in kohezijski regiji v programskem obdobju 2014-2020</w:t>
      </w:r>
    </w:p>
    <w:p w14:paraId="231FF41E" w14:textId="6BBC9D1F" w:rsidR="00FA7969" w:rsidRPr="004223D6" w:rsidRDefault="00FA7969" w:rsidP="00B74EDB">
      <w:pPr>
        <w:numPr>
          <w:ilvl w:val="0"/>
          <w:numId w:val="23"/>
        </w:numPr>
        <w:jc w:val="both"/>
        <w:rPr>
          <w:rFonts w:cs="Arial"/>
          <w:szCs w:val="22"/>
          <w:lang w:val="sl-SI"/>
        </w:rPr>
      </w:pPr>
      <w:r w:rsidRPr="004223D6">
        <w:rPr>
          <w:rFonts w:cs="Arial"/>
          <w:szCs w:val="22"/>
          <w:lang w:val="sl-SI"/>
        </w:rPr>
        <w:t xml:space="preserve">Načrt </w:t>
      </w:r>
      <w:r w:rsidR="004B2892">
        <w:rPr>
          <w:rFonts w:cs="Arial"/>
          <w:szCs w:val="22"/>
          <w:lang w:val="sl-SI"/>
        </w:rPr>
        <w:t>FI</w:t>
      </w:r>
      <w:r w:rsidRPr="004223D6">
        <w:rPr>
          <w:rFonts w:cs="Arial"/>
          <w:szCs w:val="22"/>
          <w:lang w:val="sl-SI"/>
        </w:rPr>
        <w:t xml:space="preserve"> </w:t>
      </w:r>
      <w:r w:rsidR="00B74EDB" w:rsidRPr="004223D6">
        <w:rPr>
          <w:rFonts w:cs="Arial"/>
          <w:szCs w:val="22"/>
          <w:lang w:val="sl-SI" w:eastAsia="sl-SI"/>
        </w:rPr>
        <w:t>po domeni ukrepa</w:t>
      </w:r>
      <w:r w:rsidR="00B74EDB">
        <w:rPr>
          <w:rFonts w:cs="Arial"/>
          <w:szCs w:val="22"/>
          <w:lang w:val="sl-SI" w:eastAsia="sl-SI"/>
        </w:rPr>
        <w:t>,</w:t>
      </w:r>
      <w:r w:rsidR="00B74EDB" w:rsidRPr="004223D6">
        <w:rPr>
          <w:rFonts w:cs="Arial"/>
          <w:szCs w:val="22"/>
          <w:lang w:val="sl-SI" w:eastAsia="sl-SI"/>
        </w:rPr>
        <w:t xml:space="preserve"> obliki financiranja</w:t>
      </w:r>
      <w:r w:rsidR="00B74EDB">
        <w:rPr>
          <w:rFonts w:cs="Arial"/>
          <w:szCs w:val="22"/>
          <w:lang w:val="sl-SI" w:eastAsia="sl-SI"/>
        </w:rPr>
        <w:t xml:space="preserve"> in kohezijski regiji v programskem obdobju 2014-2020</w:t>
      </w:r>
    </w:p>
    <w:p w14:paraId="54E5E96C" w14:textId="4865F06C" w:rsidR="00B74EDB" w:rsidRPr="00B74EDB" w:rsidRDefault="00B74EDB" w:rsidP="00B74EDB">
      <w:pPr>
        <w:numPr>
          <w:ilvl w:val="0"/>
          <w:numId w:val="23"/>
        </w:numPr>
        <w:jc w:val="both"/>
        <w:rPr>
          <w:rFonts w:cs="Arial"/>
          <w:szCs w:val="22"/>
          <w:lang w:val="sl-SI"/>
        </w:rPr>
        <w:sectPr w:rsidR="00B74EDB" w:rsidRPr="00B74EDB" w:rsidSect="00F40DD4">
          <w:headerReference w:type="default" r:id="rId22"/>
          <w:footerReference w:type="default" r:id="rId23"/>
          <w:headerReference w:type="first" r:id="rId24"/>
          <w:footerReference w:type="first" r:id="rId25"/>
          <w:pgSz w:w="11900" w:h="16840" w:code="9"/>
          <w:pgMar w:top="1701" w:right="1134" w:bottom="851" w:left="1701" w:header="964" w:footer="397" w:gutter="0"/>
          <w:cols w:space="708"/>
          <w:titlePg/>
          <w:docGrid w:linePitch="272"/>
        </w:sectPr>
      </w:pPr>
      <w:r w:rsidRPr="004223D6">
        <w:rPr>
          <w:rFonts w:cs="Arial"/>
          <w:szCs w:val="22"/>
          <w:lang w:val="sl-SI" w:eastAsia="sl-SI"/>
        </w:rPr>
        <w:t>Letna dinamika vplačil v sklad skladov po prednostni naložbi in kohezijski regiji</w:t>
      </w:r>
      <w:r>
        <w:rPr>
          <w:rFonts w:cs="Arial"/>
          <w:szCs w:val="22"/>
          <w:lang w:val="sl-SI" w:eastAsia="sl-SI"/>
        </w:rPr>
        <w:t xml:space="preserve"> v programskem obdobju 2014-2020</w:t>
      </w:r>
    </w:p>
    <w:p w14:paraId="3D7B9824" w14:textId="0219A5CA" w:rsidR="00FA7969" w:rsidRPr="004223D6" w:rsidRDefault="008B51B0" w:rsidP="00CE3440">
      <w:pPr>
        <w:rPr>
          <w:rFonts w:cs="Arial"/>
          <w:szCs w:val="22"/>
          <w:lang w:val="sl-SI" w:eastAsia="sl-SI"/>
        </w:rPr>
      </w:pPr>
      <w:r>
        <w:rPr>
          <w:rFonts w:cs="Arial"/>
          <w:szCs w:val="22"/>
          <w:lang w:val="sl-SI" w:eastAsia="sl-SI"/>
        </w:rPr>
        <w:lastRenderedPageBreak/>
        <w:t>Tabela</w:t>
      </w:r>
      <w:r w:rsidR="00FA7969" w:rsidRPr="004223D6">
        <w:rPr>
          <w:rFonts w:cs="Arial"/>
          <w:szCs w:val="22"/>
          <w:lang w:val="sl-SI" w:eastAsia="sl-SI"/>
        </w:rPr>
        <w:t xml:space="preserve"> 1: Finančni instrumenti po prednostni naložbi</w:t>
      </w:r>
      <w:r w:rsidR="002D7575">
        <w:rPr>
          <w:rFonts w:cs="Arial"/>
          <w:szCs w:val="22"/>
          <w:lang w:val="sl-SI" w:eastAsia="sl-SI"/>
        </w:rPr>
        <w:t xml:space="preserve"> in</w:t>
      </w:r>
      <w:r w:rsidR="00202E82">
        <w:rPr>
          <w:rFonts w:cs="Arial"/>
          <w:szCs w:val="22"/>
          <w:lang w:val="sl-SI" w:eastAsia="sl-SI"/>
        </w:rPr>
        <w:t xml:space="preserve"> kohezijski regiji </w:t>
      </w:r>
      <w:r w:rsidR="002D7575">
        <w:rPr>
          <w:rFonts w:cs="Arial"/>
          <w:szCs w:val="22"/>
          <w:lang w:val="sl-SI" w:eastAsia="sl-SI"/>
        </w:rPr>
        <w:t>v programskem obdobju 2014-2020 (v EUR)</w:t>
      </w:r>
    </w:p>
    <w:p w14:paraId="49886AB4" w14:textId="77777777" w:rsidR="00FA7969" w:rsidRPr="004223D6" w:rsidRDefault="00FA7969" w:rsidP="00CE3440">
      <w:pPr>
        <w:rPr>
          <w:rFonts w:cs="Arial"/>
          <w:szCs w:val="22"/>
          <w:lang w:val="sl-SI" w:eastAsia="sl-SI"/>
        </w:rPr>
      </w:pPr>
    </w:p>
    <w:tbl>
      <w:tblPr>
        <w:tblW w:w="13221" w:type="dxa"/>
        <w:jc w:val="center"/>
        <w:tblCellMar>
          <w:left w:w="70" w:type="dxa"/>
          <w:right w:w="70" w:type="dxa"/>
        </w:tblCellMar>
        <w:tblLook w:val="04A0" w:firstRow="1" w:lastRow="0" w:firstColumn="1" w:lastColumn="0" w:noHBand="0" w:noVBand="1"/>
      </w:tblPr>
      <w:tblGrid>
        <w:gridCol w:w="2651"/>
        <w:gridCol w:w="2078"/>
        <w:gridCol w:w="2954"/>
        <w:gridCol w:w="2954"/>
        <w:gridCol w:w="2584"/>
      </w:tblGrid>
      <w:tr w:rsidR="00FA7969" w:rsidRPr="004223D6" w14:paraId="56ECA5E8"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5C20"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Prednostna naložba</w:t>
            </w:r>
          </w:p>
        </w:tc>
        <w:tc>
          <w:tcPr>
            <w:tcW w:w="2078" w:type="dxa"/>
            <w:tcBorders>
              <w:top w:val="single" w:sz="4" w:space="0" w:color="auto"/>
              <w:left w:val="single" w:sz="4" w:space="0" w:color="auto"/>
              <w:bottom w:val="single" w:sz="4" w:space="0" w:color="auto"/>
              <w:right w:val="single" w:sz="4" w:space="0" w:color="auto"/>
            </w:tcBorders>
          </w:tcPr>
          <w:p w14:paraId="6B44FE35"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ESI sklad</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91523"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FI (EU del) - VZHOD</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CD07C"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FI (EU del) - ZAHOD</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E6B0"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Skupaj FI (EU del)</w:t>
            </w:r>
          </w:p>
        </w:tc>
      </w:tr>
      <w:tr w:rsidR="00FA7969" w:rsidRPr="004223D6" w14:paraId="1903F4DE"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A5A96B" w14:textId="1778BFB8" w:rsidR="00FA7969" w:rsidRPr="004223D6" w:rsidRDefault="00FA7969" w:rsidP="00CE3440">
            <w:pPr>
              <w:rPr>
                <w:rFonts w:cs="Arial"/>
                <w:color w:val="000000"/>
                <w:szCs w:val="22"/>
                <w:lang w:val="sl-SI" w:eastAsia="sl-SI"/>
              </w:rPr>
            </w:pPr>
            <w:r w:rsidRPr="004223D6">
              <w:rPr>
                <w:rFonts w:cs="Arial"/>
                <w:color w:val="000000"/>
                <w:szCs w:val="22"/>
                <w:lang w:val="sl-SI" w:eastAsia="sl-SI"/>
              </w:rPr>
              <w:t>1.2</w:t>
            </w:r>
            <w:r w:rsidR="00350A83">
              <w:rPr>
                <w:rFonts w:cs="Arial"/>
                <w:color w:val="000000"/>
                <w:szCs w:val="22"/>
                <w:lang w:val="sl-SI" w:eastAsia="sl-SI"/>
              </w:rPr>
              <w:t xml:space="preserve"> </w:t>
            </w:r>
            <w:r w:rsidR="00350A83" w:rsidRPr="00350A83">
              <w:rPr>
                <w:rFonts w:cs="Arial"/>
                <w:color w:val="000000"/>
                <w:szCs w:val="22"/>
                <w:lang w:val="sl-SI" w:eastAsia="sl-SI"/>
              </w:rPr>
              <w:t>(RRI)</w:t>
            </w:r>
          </w:p>
        </w:tc>
        <w:tc>
          <w:tcPr>
            <w:tcW w:w="2078" w:type="dxa"/>
            <w:tcBorders>
              <w:top w:val="single" w:sz="4" w:space="0" w:color="auto"/>
              <w:left w:val="single" w:sz="4" w:space="0" w:color="auto"/>
              <w:bottom w:val="single" w:sz="4" w:space="0" w:color="auto"/>
              <w:right w:val="single" w:sz="4" w:space="0" w:color="auto"/>
            </w:tcBorders>
            <w:shd w:val="clear" w:color="D9D9D9" w:fill="D9D9D9"/>
          </w:tcPr>
          <w:p w14:paraId="21615C8B" w14:textId="29018F8C" w:rsidR="00FA7969" w:rsidRPr="004223D6" w:rsidRDefault="00FA7969" w:rsidP="00CE3440">
            <w:pPr>
              <w:rPr>
                <w:rFonts w:cs="Arial"/>
                <w:color w:val="000000"/>
                <w:szCs w:val="22"/>
                <w:lang w:val="sl-SI" w:eastAsia="sl-SI"/>
              </w:rPr>
            </w:pPr>
            <w:r w:rsidRPr="004223D6">
              <w:rPr>
                <w:rFonts w:cs="Arial"/>
                <w:color w:val="000000"/>
                <w:szCs w:val="22"/>
                <w:lang w:val="sl-SI" w:eastAsia="sl-SI"/>
              </w:rPr>
              <w:t>ESRR</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27FED6" w14:textId="32F600A3"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34.200.000,00</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683661" w14:textId="6433F190"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53.800.000,00</w:t>
            </w:r>
          </w:p>
        </w:tc>
        <w:tc>
          <w:tcPr>
            <w:tcW w:w="25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FAEA86" w14:textId="77777777" w:rsidR="00FA7969" w:rsidRPr="004223D6" w:rsidRDefault="00FA7969" w:rsidP="008B51B0">
            <w:pPr>
              <w:jc w:val="right"/>
              <w:rPr>
                <w:rFonts w:cs="Arial"/>
                <w:color w:val="000000"/>
                <w:szCs w:val="22"/>
                <w:lang w:val="sl-SI" w:eastAsia="sl-SI"/>
              </w:rPr>
            </w:pPr>
            <w:r w:rsidRPr="004223D6">
              <w:rPr>
                <w:rFonts w:cs="Arial"/>
                <w:color w:val="000000"/>
                <w:szCs w:val="22"/>
                <w:lang w:val="sl-SI" w:eastAsia="sl-SI"/>
              </w:rPr>
              <w:t>88.000.000,00</w:t>
            </w:r>
          </w:p>
        </w:tc>
      </w:tr>
      <w:tr w:rsidR="00FA7969" w:rsidRPr="004223D6" w14:paraId="246E1E32"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A87D" w14:textId="30104C67" w:rsidR="00FA7969" w:rsidRPr="004223D6" w:rsidRDefault="00350A83" w:rsidP="00CE3440">
            <w:pPr>
              <w:rPr>
                <w:rFonts w:cs="Arial"/>
                <w:color w:val="000000"/>
                <w:szCs w:val="22"/>
                <w:lang w:val="sl-SI" w:eastAsia="sl-SI"/>
              </w:rPr>
            </w:pPr>
            <w:r w:rsidRPr="00350A83">
              <w:rPr>
                <w:rFonts w:cs="Arial"/>
                <w:color w:val="000000"/>
                <w:szCs w:val="22"/>
                <w:lang w:val="sl-SI" w:eastAsia="sl-SI"/>
              </w:rPr>
              <w:t>3.1 (MSP)</w:t>
            </w:r>
          </w:p>
        </w:tc>
        <w:tc>
          <w:tcPr>
            <w:tcW w:w="2078" w:type="dxa"/>
            <w:tcBorders>
              <w:top w:val="single" w:sz="4" w:space="0" w:color="auto"/>
              <w:left w:val="single" w:sz="4" w:space="0" w:color="auto"/>
              <w:bottom w:val="single" w:sz="4" w:space="0" w:color="auto"/>
              <w:right w:val="single" w:sz="4" w:space="0" w:color="auto"/>
            </w:tcBorders>
          </w:tcPr>
          <w:p w14:paraId="6AAD93F5" w14:textId="1FF4E2DB" w:rsidR="00FA7969" w:rsidRPr="004223D6" w:rsidRDefault="00FA7969" w:rsidP="00CE3440">
            <w:pPr>
              <w:rPr>
                <w:rFonts w:cs="Arial"/>
                <w:color w:val="000000"/>
                <w:szCs w:val="22"/>
                <w:lang w:val="sl-SI" w:eastAsia="sl-SI"/>
              </w:rPr>
            </w:pPr>
            <w:r w:rsidRPr="004223D6">
              <w:rPr>
                <w:rFonts w:cs="Arial"/>
                <w:color w:val="000000"/>
                <w:szCs w:val="22"/>
                <w:lang w:val="sl-SI" w:eastAsia="sl-SI"/>
              </w:rPr>
              <w:t>ESRR</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01F6" w14:textId="35CD1E7B"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55.500.000,00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F9AE" w14:textId="0374D925" w:rsidR="00FA7969" w:rsidRPr="004223D6" w:rsidRDefault="00156A8A" w:rsidP="008B51B0">
            <w:pPr>
              <w:jc w:val="right"/>
              <w:rPr>
                <w:rFonts w:cs="Arial"/>
                <w:color w:val="000000"/>
                <w:szCs w:val="22"/>
                <w:lang w:val="sl-SI" w:eastAsia="sl-SI"/>
              </w:rPr>
            </w:pPr>
            <w:r w:rsidRPr="004223D6">
              <w:rPr>
                <w:rFonts w:cs="Arial"/>
                <w:color w:val="000000"/>
                <w:szCs w:val="22"/>
                <w:lang w:val="sl-SI" w:eastAsia="sl-SI"/>
              </w:rPr>
              <w:t>79.500.000,00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74B6" w14:textId="77777777" w:rsidR="00FA7969" w:rsidRPr="004223D6" w:rsidRDefault="00FA7969" w:rsidP="008B51B0">
            <w:pPr>
              <w:jc w:val="right"/>
              <w:rPr>
                <w:rFonts w:cs="Arial"/>
                <w:color w:val="000000"/>
                <w:szCs w:val="22"/>
                <w:lang w:val="sl-SI" w:eastAsia="sl-SI"/>
              </w:rPr>
            </w:pPr>
            <w:r w:rsidRPr="004223D6">
              <w:rPr>
                <w:rFonts w:cs="Arial"/>
                <w:color w:val="000000"/>
                <w:szCs w:val="22"/>
                <w:lang w:val="sl-SI" w:eastAsia="sl-SI"/>
              </w:rPr>
              <w:t>135.000.000,00</w:t>
            </w:r>
          </w:p>
        </w:tc>
      </w:tr>
      <w:tr w:rsidR="00FA7969" w:rsidRPr="004223D6" w14:paraId="0B3D6D54"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8920DB" w14:textId="1A48ECEE" w:rsidR="00FA7969" w:rsidRPr="004223D6" w:rsidRDefault="00350A83" w:rsidP="00CE3440">
            <w:pPr>
              <w:rPr>
                <w:rFonts w:cs="Arial"/>
                <w:color w:val="000000"/>
                <w:szCs w:val="22"/>
                <w:lang w:val="sl-SI" w:eastAsia="sl-SI"/>
              </w:rPr>
            </w:pPr>
            <w:r w:rsidRPr="00350A83">
              <w:rPr>
                <w:rFonts w:cs="Arial"/>
                <w:color w:val="000000"/>
                <w:szCs w:val="22"/>
                <w:lang w:val="sl-SI" w:eastAsia="sl-SI"/>
              </w:rPr>
              <w:t>4.1 (EE)</w:t>
            </w:r>
          </w:p>
        </w:tc>
        <w:tc>
          <w:tcPr>
            <w:tcW w:w="2078" w:type="dxa"/>
            <w:tcBorders>
              <w:top w:val="single" w:sz="4" w:space="0" w:color="auto"/>
              <w:left w:val="single" w:sz="4" w:space="0" w:color="auto"/>
              <w:bottom w:val="single" w:sz="4" w:space="0" w:color="auto"/>
              <w:right w:val="single" w:sz="4" w:space="0" w:color="auto"/>
            </w:tcBorders>
            <w:shd w:val="clear" w:color="D9D9D9" w:fill="D9D9D9"/>
          </w:tcPr>
          <w:p w14:paraId="3ABE5058" w14:textId="77777777" w:rsidR="00FA7969" w:rsidRPr="004223D6" w:rsidRDefault="00FA7969" w:rsidP="00CE3440">
            <w:pPr>
              <w:rPr>
                <w:rFonts w:cs="Arial"/>
                <w:color w:val="000000"/>
                <w:szCs w:val="22"/>
                <w:lang w:val="sl-SI" w:eastAsia="sl-SI"/>
              </w:rPr>
            </w:pPr>
            <w:r w:rsidRPr="004223D6">
              <w:rPr>
                <w:rFonts w:cs="Arial"/>
                <w:color w:val="000000"/>
                <w:szCs w:val="22"/>
                <w:lang w:val="sl-SI" w:eastAsia="sl-SI"/>
              </w:rPr>
              <w:t>KS</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1D1131"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0,00*</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295ABF"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0,00*</w:t>
            </w:r>
          </w:p>
        </w:tc>
        <w:tc>
          <w:tcPr>
            <w:tcW w:w="25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8B11F9"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25.000.000,00</w:t>
            </w:r>
          </w:p>
        </w:tc>
      </w:tr>
      <w:tr w:rsidR="00FA7969" w:rsidRPr="004223D6" w14:paraId="28753EFC"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7EA55" w14:textId="3E92D4E3" w:rsidR="00FA7969" w:rsidRPr="004223D6" w:rsidRDefault="00350A83" w:rsidP="00CE3440">
            <w:pPr>
              <w:rPr>
                <w:rFonts w:cs="Arial"/>
                <w:color w:val="000000"/>
                <w:szCs w:val="22"/>
                <w:lang w:val="sl-SI" w:eastAsia="sl-SI"/>
              </w:rPr>
            </w:pPr>
            <w:r w:rsidRPr="00350A83">
              <w:rPr>
                <w:rFonts w:cs="Arial"/>
                <w:color w:val="000000"/>
                <w:szCs w:val="22"/>
                <w:lang w:val="sl-SI" w:eastAsia="sl-SI"/>
              </w:rPr>
              <w:t>6.3 (UR)</w:t>
            </w:r>
          </w:p>
        </w:tc>
        <w:tc>
          <w:tcPr>
            <w:tcW w:w="2078" w:type="dxa"/>
            <w:tcBorders>
              <w:top w:val="single" w:sz="4" w:space="0" w:color="auto"/>
              <w:left w:val="single" w:sz="4" w:space="0" w:color="auto"/>
              <w:bottom w:val="single" w:sz="4" w:space="0" w:color="auto"/>
              <w:right w:val="single" w:sz="4" w:space="0" w:color="auto"/>
            </w:tcBorders>
          </w:tcPr>
          <w:p w14:paraId="3505AF46" w14:textId="77777777" w:rsidR="00FA7969" w:rsidRPr="004223D6" w:rsidRDefault="00FA7969" w:rsidP="00CE3440">
            <w:pPr>
              <w:rPr>
                <w:rFonts w:cs="Arial"/>
                <w:color w:val="000000"/>
                <w:szCs w:val="22"/>
                <w:lang w:val="sl-SI" w:eastAsia="sl-SI"/>
              </w:rPr>
            </w:pPr>
            <w:r w:rsidRPr="004223D6">
              <w:rPr>
                <w:rFonts w:cs="Arial"/>
                <w:color w:val="000000"/>
                <w:szCs w:val="22"/>
                <w:lang w:val="sl-SI" w:eastAsia="sl-SI"/>
              </w:rPr>
              <w:t>ESRR</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1D597"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3.200.000,00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CE6F"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1.800.000,00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B443B" w14:textId="77777777" w:rsidR="00FA7969" w:rsidRPr="004223D6" w:rsidRDefault="00FA7969" w:rsidP="00CE3440">
            <w:pPr>
              <w:jc w:val="right"/>
              <w:rPr>
                <w:rFonts w:cs="Arial"/>
                <w:color w:val="000000"/>
                <w:szCs w:val="22"/>
                <w:lang w:val="sl-SI" w:eastAsia="sl-SI"/>
              </w:rPr>
            </w:pPr>
            <w:r w:rsidRPr="004223D6">
              <w:rPr>
                <w:rFonts w:cs="Arial"/>
                <w:color w:val="000000"/>
                <w:szCs w:val="22"/>
                <w:lang w:val="sl-SI" w:eastAsia="sl-SI"/>
              </w:rPr>
              <w:t>5.000.000,00</w:t>
            </w:r>
          </w:p>
        </w:tc>
      </w:tr>
      <w:tr w:rsidR="00156A8A" w:rsidRPr="004223D6" w14:paraId="38855426" w14:textId="77777777" w:rsidTr="00B0560B">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2230"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Skupna vsota</w:t>
            </w:r>
          </w:p>
        </w:tc>
        <w:tc>
          <w:tcPr>
            <w:tcW w:w="2078" w:type="dxa"/>
            <w:tcBorders>
              <w:top w:val="single" w:sz="4" w:space="0" w:color="auto"/>
              <w:left w:val="single" w:sz="4" w:space="0" w:color="auto"/>
              <w:bottom w:val="single" w:sz="4" w:space="0" w:color="auto"/>
              <w:right w:val="single" w:sz="4" w:space="0" w:color="auto"/>
            </w:tcBorders>
          </w:tcPr>
          <w:p w14:paraId="147260B5"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4CE5C" w14:textId="52B18DA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92.900.000,00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D414B" w14:textId="5605693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135.100.000,00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919F"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253.000.000,00</w:t>
            </w:r>
          </w:p>
        </w:tc>
      </w:tr>
    </w:tbl>
    <w:p w14:paraId="2BE25DFA" w14:textId="21F57A1F" w:rsidR="00FA7969" w:rsidRDefault="00FA7969" w:rsidP="00CE3440">
      <w:pPr>
        <w:rPr>
          <w:rFonts w:cs="Arial"/>
          <w:sz w:val="16"/>
          <w:szCs w:val="16"/>
          <w:lang w:val="sl-SI"/>
        </w:rPr>
      </w:pPr>
      <w:r w:rsidRPr="00B0560B">
        <w:rPr>
          <w:rFonts w:cs="Arial"/>
          <w:sz w:val="16"/>
          <w:szCs w:val="16"/>
          <w:lang w:val="sl-SI"/>
        </w:rPr>
        <w:t>* Sredstva zagotavlja Kohezijski sklad za območje celotne Slovenije; delitev sredstev po k</w:t>
      </w:r>
      <w:r w:rsidR="00DA5FC1">
        <w:rPr>
          <w:rFonts w:cs="Arial"/>
          <w:sz w:val="16"/>
          <w:szCs w:val="16"/>
          <w:lang w:val="sl-SI"/>
        </w:rPr>
        <w:t>ohezijski regiji ni predvidena.</w:t>
      </w:r>
    </w:p>
    <w:p w14:paraId="615AB8D3" w14:textId="537A14B5" w:rsidR="00DA5FC1" w:rsidRPr="00B0560B" w:rsidRDefault="00DA5FC1" w:rsidP="00DA5FC1">
      <w:pPr>
        <w:spacing w:after="240"/>
        <w:jc w:val="both"/>
        <w:rPr>
          <w:rFonts w:cs="Arial"/>
          <w:sz w:val="16"/>
          <w:szCs w:val="16"/>
          <w:lang w:val="sl-SI"/>
        </w:rPr>
        <w:sectPr w:rsidR="00DA5FC1" w:rsidRPr="00B0560B" w:rsidSect="00FA7969">
          <w:headerReference w:type="first" r:id="rId26"/>
          <w:pgSz w:w="16840" w:h="11900" w:orient="landscape" w:code="9"/>
          <w:pgMar w:top="1701" w:right="1701" w:bottom="1134" w:left="851" w:header="964" w:footer="397" w:gutter="0"/>
          <w:cols w:space="708"/>
          <w:titlePg/>
          <w:docGrid w:linePitch="272"/>
        </w:sect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263C1278" w14:textId="64626DBC" w:rsidR="00FA7969" w:rsidRPr="004223D6" w:rsidRDefault="008B51B0" w:rsidP="00CE3440">
      <w:pPr>
        <w:rPr>
          <w:rFonts w:cs="Arial"/>
          <w:szCs w:val="22"/>
          <w:lang w:val="sl-SI" w:eastAsia="sl-SI"/>
        </w:rPr>
      </w:pPr>
      <w:r>
        <w:rPr>
          <w:rFonts w:cs="Arial"/>
          <w:szCs w:val="22"/>
          <w:lang w:val="sl-SI"/>
        </w:rPr>
        <w:lastRenderedPageBreak/>
        <w:t>Tabela</w:t>
      </w:r>
      <w:r w:rsidR="00FA7969" w:rsidRPr="004223D6">
        <w:rPr>
          <w:rFonts w:cs="Arial"/>
          <w:szCs w:val="22"/>
          <w:lang w:val="sl-SI"/>
        </w:rPr>
        <w:t xml:space="preserve"> 2: </w:t>
      </w:r>
      <w:r w:rsidR="00FA7969" w:rsidRPr="004223D6">
        <w:rPr>
          <w:rFonts w:cs="Arial"/>
          <w:szCs w:val="22"/>
          <w:lang w:val="sl-SI" w:eastAsia="sl-SI"/>
        </w:rPr>
        <w:t>Načrt finančnih instrumentov po domeni ukrepa</w:t>
      </w:r>
      <w:r w:rsidR="00B0560B">
        <w:rPr>
          <w:rFonts w:cs="Arial"/>
          <w:szCs w:val="22"/>
          <w:lang w:val="sl-SI" w:eastAsia="sl-SI"/>
        </w:rPr>
        <w:t>,</w:t>
      </w:r>
      <w:r w:rsidR="00FA7969" w:rsidRPr="004223D6">
        <w:rPr>
          <w:rFonts w:cs="Arial"/>
          <w:szCs w:val="22"/>
          <w:lang w:val="sl-SI" w:eastAsia="sl-SI"/>
        </w:rPr>
        <w:t xml:space="preserve"> obliki financiranja</w:t>
      </w:r>
      <w:r w:rsidR="00B0560B">
        <w:rPr>
          <w:rFonts w:cs="Arial"/>
          <w:szCs w:val="22"/>
          <w:lang w:val="sl-SI" w:eastAsia="sl-SI"/>
        </w:rPr>
        <w:t xml:space="preserve"> in kohezijski regiji v programskem obdobju 2014-2020 (v EUR)</w:t>
      </w:r>
    </w:p>
    <w:p w14:paraId="699D467B" w14:textId="77777777" w:rsidR="00FA7969" w:rsidRPr="004223D6" w:rsidRDefault="00FA7969" w:rsidP="00CE3440">
      <w:pPr>
        <w:rPr>
          <w:rFonts w:cs="Arial"/>
          <w:szCs w:val="22"/>
          <w:lang w:val="sl-SI"/>
        </w:rPr>
      </w:pPr>
    </w:p>
    <w:tbl>
      <w:tblPr>
        <w:tblW w:w="14353" w:type="dxa"/>
        <w:jc w:val="center"/>
        <w:tblCellMar>
          <w:left w:w="70" w:type="dxa"/>
          <w:right w:w="70" w:type="dxa"/>
        </w:tblCellMar>
        <w:tblLook w:val="04A0" w:firstRow="1" w:lastRow="0" w:firstColumn="1" w:lastColumn="0" w:noHBand="0" w:noVBand="1"/>
      </w:tblPr>
      <w:tblGrid>
        <w:gridCol w:w="1840"/>
        <w:gridCol w:w="1750"/>
        <w:gridCol w:w="2828"/>
        <w:gridCol w:w="2878"/>
        <w:gridCol w:w="2878"/>
        <w:gridCol w:w="2179"/>
      </w:tblGrid>
      <w:tr w:rsidR="00FA7969" w:rsidRPr="004223D6" w14:paraId="4BF526E6" w14:textId="77777777" w:rsidTr="00B0560B">
        <w:trPr>
          <w:trHeight w:val="519"/>
          <w:jc w:val="center"/>
        </w:trPr>
        <w:tc>
          <w:tcPr>
            <w:tcW w:w="1840" w:type="dxa"/>
            <w:tcBorders>
              <w:top w:val="single" w:sz="4" w:space="0" w:color="000000"/>
              <w:left w:val="single" w:sz="4" w:space="0" w:color="auto"/>
              <w:bottom w:val="single" w:sz="4" w:space="0" w:color="auto"/>
              <w:right w:val="single" w:sz="4" w:space="0" w:color="auto"/>
            </w:tcBorders>
            <w:shd w:val="clear" w:color="auto" w:fill="auto"/>
            <w:hideMark/>
          </w:tcPr>
          <w:p w14:paraId="51A5C210"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Prednostna naložba</w:t>
            </w:r>
          </w:p>
        </w:tc>
        <w:tc>
          <w:tcPr>
            <w:tcW w:w="1750" w:type="dxa"/>
            <w:tcBorders>
              <w:top w:val="single" w:sz="4" w:space="0" w:color="000000"/>
              <w:left w:val="single" w:sz="4" w:space="0" w:color="auto"/>
              <w:bottom w:val="single" w:sz="4" w:space="0" w:color="auto"/>
              <w:right w:val="single" w:sz="4" w:space="0" w:color="auto"/>
            </w:tcBorders>
            <w:shd w:val="clear" w:color="auto" w:fill="auto"/>
            <w:hideMark/>
          </w:tcPr>
          <w:p w14:paraId="5F12B06F"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Domena ukrepa</w:t>
            </w:r>
          </w:p>
        </w:tc>
        <w:tc>
          <w:tcPr>
            <w:tcW w:w="2828" w:type="dxa"/>
            <w:tcBorders>
              <w:top w:val="single" w:sz="4" w:space="0" w:color="000000"/>
              <w:left w:val="single" w:sz="4" w:space="0" w:color="auto"/>
              <w:bottom w:val="single" w:sz="4" w:space="0" w:color="auto"/>
              <w:right w:val="single" w:sz="4" w:space="0" w:color="auto"/>
            </w:tcBorders>
            <w:shd w:val="clear" w:color="auto" w:fill="auto"/>
            <w:hideMark/>
          </w:tcPr>
          <w:p w14:paraId="6B077D3F"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Oblika financiranja</w:t>
            </w:r>
          </w:p>
        </w:tc>
        <w:tc>
          <w:tcPr>
            <w:tcW w:w="2878" w:type="dxa"/>
            <w:tcBorders>
              <w:top w:val="single" w:sz="4" w:space="0" w:color="000000"/>
              <w:left w:val="single" w:sz="4" w:space="0" w:color="auto"/>
              <w:bottom w:val="single" w:sz="4" w:space="0" w:color="auto"/>
              <w:right w:val="single" w:sz="4" w:space="0" w:color="auto"/>
            </w:tcBorders>
            <w:shd w:val="clear" w:color="auto" w:fill="auto"/>
            <w:hideMark/>
          </w:tcPr>
          <w:p w14:paraId="195CBB72"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FI (EU del) - VZHOD</w:t>
            </w:r>
          </w:p>
        </w:tc>
        <w:tc>
          <w:tcPr>
            <w:tcW w:w="2878" w:type="dxa"/>
            <w:tcBorders>
              <w:top w:val="single" w:sz="4" w:space="0" w:color="000000"/>
              <w:left w:val="single" w:sz="4" w:space="0" w:color="auto"/>
              <w:bottom w:val="single" w:sz="4" w:space="0" w:color="auto"/>
              <w:right w:val="single" w:sz="4" w:space="0" w:color="auto"/>
            </w:tcBorders>
            <w:shd w:val="clear" w:color="auto" w:fill="auto"/>
            <w:hideMark/>
          </w:tcPr>
          <w:p w14:paraId="158FCB13"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FI (EU del) - ZAHOD</w:t>
            </w:r>
          </w:p>
        </w:tc>
        <w:tc>
          <w:tcPr>
            <w:tcW w:w="2179" w:type="dxa"/>
            <w:tcBorders>
              <w:top w:val="single" w:sz="4" w:space="0" w:color="000000"/>
              <w:left w:val="single" w:sz="4" w:space="0" w:color="auto"/>
              <w:bottom w:val="single" w:sz="4" w:space="0" w:color="auto"/>
              <w:right w:val="single" w:sz="4" w:space="0" w:color="auto"/>
            </w:tcBorders>
            <w:shd w:val="clear" w:color="auto" w:fill="auto"/>
            <w:hideMark/>
          </w:tcPr>
          <w:p w14:paraId="486E5664" w14:textId="77777777" w:rsidR="00FA7969" w:rsidRPr="004223D6" w:rsidRDefault="00FA7969" w:rsidP="00B0560B">
            <w:pPr>
              <w:jc w:val="center"/>
              <w:rPr>
                <w:rFonts w:cs="Arial"/>
                <w:b/>
                <w:bCs/>
                <w:color w:val="000000"/>
                <w:szCs w:val="22"/>
                <w:lang w:val="sl-SI" w:eastAsia="sl-SI"/>
              </w:rPr>
            </w:pPr>
            <w:r w:rsidRPr="004223D6">
              <w:rPr>
                <w:rFonts w:cs="Arial"/>
                <w:b/>
                <w:bCs/>
                <w:color w:val="000000"/>
                <w:szCs w:val="22"/>
                <w:lang w:val="sl-SI" w:eastAsia="sl-SI"/>
              </w:rPr>
              <w:t>Skupaj FI (EU del)</w:t>
            </w:r>
          </w:p>
        </w:tc>
      </w:tr>
      <w:tr w:rsidR="00156A8A" w:rsidRPr="004223D6" w14:paraId="02AB9932" w14:textId="77777777" w:rsidTr="00B0560B">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E226F7" w14:textId="0F0C5EED" w:rsidR="002D4996" w:rsidRPr="004223D6" w:rsidRDefault="002D4996" w:rsidP="002D4996">
            <w:pPr>
              <w:rPr>
                <w:rFonts w:cs="Arial"/>
                <w:color w:val="000000"/>
                <w:szCs w:val="22"/>
                <w:lang w:val="sl-SI" w:eastAsia="sl-SI"/>
              </w:rPr>
            </w:pPr>
            <w:r w:rsidRPr="004223D6">
              <w:rPr>
                <w:rFonts w:cs="Arial"/>
                <w:color w:val="000000"/>
                <w:szCs w:val="22"/>
                <w:lang w:val="sl-SI"/>
              </w:rPr>
              <w:t>1.2</w:t>
            </w:r>
            <w:r w:rsidR="00350A83">
              <w:rPr>
                <w:rFonts w:cs="Arial"/>
                <w:color w:val="000000"/>
                <w:szCs w:val="22"/>
                <w:lang w:val="sl-SI"/>
              </w:rPr>
              <w:t xml:space="preserve"> </w:t>
            </w:r>
            <w:r w:rsidR="00350A83" w:rsidRPr="00350A83">
              <w:rPr>
                <w:rFonts w:cs="Arial"/>
                <w:color w:val="000000"/>
                <w:szCs w:val="22"/>
                <w:lang w:val="sl-SI"/>
              </w:rPr>
              <w:t>(RRI)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FD8A4C" w14:textId="4E5419B7" w:rsidR="002D4996" w:rsidRPr="004223D6" w:rsidRDefault="002D4996" w:rsidP="002D4996">
            <w:pPr>
              <w:rPr>
                <w:rFonts w:cs="Arial"/>
                <w:color w:val="000000"/>
                <w:szCs w:val="22"/>
                <w:lang w:val="sl-SI" w:eastAsia="sl-SI"/>
              </w:rPr>
            </w:pPr>
            <w:r w:rsidRPr="004223D6">
              <w:rPr>
                <w:rFonts w:cs="Arial"/>
                <w:color w:val="000000"/>
                <w:szCs w:val="22"/>
                <w:lang w:val="sl-SI"/>
              </w:rPr>
              <w:t>056</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AF8B22" w14:textId="33B486C5" w:rsidR="002D4996" w:rsidRPr="004223D6" w:rsidRDefault="002D4996" w:rsidP="002D4996">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796533" w14:textId="197A8C2B" w:rsidR="002D4996" w:rsidRPr="004223D6" w:rsidRDefault="002D4996" w:rsidP="002D4996">
            <w:pPr>
              <w:jc w:val="right"/>
              <w:rPr>
                <w:rFonts w:cs="Arial"/>
                <w:color w:val="000000"/>
                <w:szCs w:val="22"/>
                <w:lang w:val="sl-SI" w:eastAsia="sl-SI"/>
              </w:rPr>
            </w:pPr>
            <w:r w:rsidRPr="004223D6">
              <w:rPr>
                <w:rFonts w:cs="Arial"/>
                <w:color w:val="000000"/>
                <w:szCs w:val="22"/>
                <w:lang w:val="sl-SI"/>
              </w:rPr>
              <w:t>11.000.000,00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2C4B29" w14:textId="38CBDA19" w:rsidR="002D4996" w:rsidRPr="004223D6" w:rsidRDefault="002D4996" w:rsidP="002D4996">
            <w:pPr>
              <w:jc w:val="right"/>
              <w:rPr>
                <w:rFonts w:cs="Arial"/>
                <w:color w:val="000000"/>
                <w:szCs w:val="22"/>
                <w:lang w:val="sl-SI" w:eastAsia="sl-SI"/>
              </w:rPr>
            </w:pPr>
            <w:r w:rsidRPr="004223D6">
              <w:rPr>
                <w:rFonts w:cs="Arial"/>
                <w:color w:val="000000"/>
                <w:szCs w:val="22"/>
                <w:lang w:val="sl-SI"/>
              </w:rPr>
              <w:t>17.000.000,00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4C6AD8" w14:textId="22D367E9" w:rsidR="002D4996" w:rsidRPr="004223D6" w:rsidRDefault="002D4996" w:rsidP="002D4996">
            <w:pPr>
              <w:jc w:val="right"/>
              <w:rPr>
                <w:rFonts w:cs="Arial"/>
                <w:color w:val="000000"/>
                <w:szCs w:val="22"/>
                <w:lang w:val="sl-SI" w:eastAsia="sl-SI"/>
              </w:rPr>
            </w:pPr>
            <w:r w:rsidRPr="004223D6">
              <w:rPr>
                <w:rFonts w:cs="Arial"/>
                <w:color w:val="000000"/>
                <w:szCs w:val="22"/>
                <w:lang w:val="sl-SI"/>
              </w:rPr>
              <w:t>28.000.000,00</w:t>
            </w:r>
          </w:p>
        </w:tc>
      </w:tr>
      <w:tr w:rsidR="00350A83" w:rsidRPr="004223D6" w14:paraId="66C5D428"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C20B389" w14:textId="7EA0E716"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543B" w14:textId="31F5A7C5" w:rsidR="00350A83" w:rsidRPr="004223D6" w:rsidRDefault="00350A83" w:rsidP="00350A83">
            <w:pPr>
              <w:rPr>
                <w:rFonts w:cs="Arial"/>
                <w:color w:val="000000"/>
                <w:szCs w:val="22"/>
                <w:lang w:val="sl-SI" w:eastAsia="sl-SI"/>
              </w:rPr>
            </w:pPr>
            <w:r w:rsidRPr="004223D6">
              <w:rPr>
                <w:rFonts w:cs="Arial"/>
                <w:color w:val="000000"/>
                <w:szCs w:val="22"/>
                <w:lang w:val="sl-SI"/>
              </w:rPr>
              <w:t>057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3484" w14:textId="70FA1E24"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7562" w14:textId="6B4E8F43" w:rsidR="00350A83" w:rsidRPr="004223D6" w:rsidRDefault="00350A83" w:rsidP="00350A83">
            <w:pPr>
              <w:jc w:val="right"/>
              <w:rPr>
                <w:rFonts w:cs="Arial"/>
                <w:color w:val="000000"/>
                <w:szCs w:val="22"/>
                <w:lang w:val="sl-SI" w:eastAsia="sl-SI"/>
              </w:rPr>
            </w:pPr>
            <w:r w:rsidRPr="004223D6">
              <w:rPr>
                <w:rFonts w:cs="Arial"/>
                <w:color w:val="000000"/>
                <w:szCs w:val="22"/>
                <w:lang w:val="sl-SI"/>
              </w:rPr>
              <w:t>8.000.000,00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0ABD" w14:textId="4C609025" w:rsidR="00350A83" w:rsidRPr="004223D6" w:rsidRDefault="00350A83" w:rsidP="00350A83">
            <w:pPr>
              <w:jc w:val="right"/>
              <w:rPr>
                <w:rFonts w:cs="Arial"/>
                <w:color w:val="000000"/>
                <w:szCs w:val="22"/>
                <w:lang w:val="sl-SI" w:eastAsia="sl-SI"/>
              </w:rPr>
            </w:pPr>
            <w:r w:rsidRPr="004223D6">
              <w:rPr>
                <w:rFonts w:cs="Arial"/>
                <w:color w:val="000000"/>
                <w:szCs w:val="22"/>
                <w:lang w:val="sl-SI"/>
              </w:rPr>
              <w:t>12.000.000,00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FE235" w14:textId="6015E39C" w:rsidR="00350A83" w:rsidRPr="004223D6" w:rsidRDefault="00350A83" w:rsidP="00350A83">
            <w:pPr>
              <w:jc w:val="right"/>
              <w:rPr>
                <w:rFonts w:cs="Arial"/>
                <w:color w:val="000000"/>
                <w:szCs w:val="22"/>
                <w:lang w:val="sl-SI" w:eastAsia="sl-SI"/>
              </w:rPr>
            </w:pPr>
            <w:r w:rsidRPr="004223D6">
              <w:rPr>
                <w:rFonts w:cs="Arial"/>
                <w:color w:val="000000"/>
                <w:szCs w:val="22"/>
                <w:lang w:val="sl-SI"/>
              </w:rPr>
              <w:t>20.000.000,00</w:t>
            </w:r>
          </w:p>
        </w:tc>
      </w:tr>
      <w:tr w:rsidR="00350A83" w:rsidRPr="004223D6" w14:paraId="684E21A4"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4E68F89E" w14:textId="6992FD38"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16A96E" w14:textId="6F079F6A" w:rsidR="00350A83" w:rsidRPr="004223D6" w:rsidRDefault="00350A83" w:rsidP="00350A83">
            <w:pPr>
              <w:rPr>
                <w:rFonts w:cs="Arial"/>
                <w:color w:val="000000"/>
                <w:szCs w:val="22"/>
                <w:lang w:val="sl-SI" w:eastAsia="sl-SI"/>
              </w:rPr>
            </w:pPr>
            <w:r w:rsidRPr="004223D6">
              <w:rPr>
                <w:rFonts w:cs="Arial"/>
                <w:color w:val="000000"/>
                <w:szCs w:val="22"/>
                <w:lang w:val="sl-SI"/>
              </w:rPr>
              <w:t>065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6EA73E" w14:textId="2ADEFC52"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12DDE6" w14:textId="0505CBDD" w:rsidR="00350A83" w:rsidRPr="004223D6" w:rsidRDefault="00350A83" w:rsidP="00350A83">
            <w:pPr>
              <w:jc w:val="right"/>
              <w:rPr>
                <w:rFonts w:cs="Arial"/>
                <w:color w:val="000000"/>
                <w:szCs w:val="22"/>
                <w:lang w:val="sl-SI" w:eastAsia="sl-SI"/>
              </w:rPr>
            </w:pPr>
            <w:r w:rsidRPr="004223D6">
              <w:rPr>
                <w:rFonts w:cs="Arial"/>
                <w:color w:val="000000"/>
                <w:szCs w:val="22"/>
                <w:lang w:val="sl-SI"/>
              </w:rPr>
              <w:t>4.000.000,00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D79B71" w14:textId="4A6A9AA7" w:rsidR="00350A83" w:rsidRPr="004223D6" w:rsidRDefault="00350A83" w:rsidP="00350A83">
            <w:pPr>
              <w:jc w:val="right"/>
              <w:rPr>
                <w:rFonts w:cs="Arial"/>
                <w:color w:val="000000"/>
                <w:szCs w:val="22"/>
                <w:lang w:val="sl-SI" w:eastAsia="sl-SI"/>
              </w:rPr>
            </w:pPr>
            <w:r w:rsidRPr="004223D6">
              <w:rPr>
                <w:rFonts w:cs="Arial"/>
                <w:color w:val="000000"/>
                <w:szCs w:val="22"/>
                <w:lang w:val="sl-SI"/>
              </w:rPr>
              <w:t>6.000.000,00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73248D" w14:textId="40F8F019"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r>
      <w:tr w:rsidR="00350A83" w:rsidRPr="004223D6" w14:paraId="49419ECD"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186D8A7D" w14:textId="4810E6A3"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A531" w14:textId="24B430B1" w:rsidR="00350A83" w:rsidRPr="004223D6" w:rsidRDefault="00350A83" w:rsidP="00350A83">
            <w:pPr>
              <w:rPr>
                <w:rFonts w:cs="Arial"/>
                <w:color w:val="000000"/>
                <w:szCs w:val="22"/>
                <w:lang w:val="sl-SI" w:eastAsia="sl-SI"/>
              </w:rPr>
            </w:pPr>
            <w:r w:rsidRPr="004223D6">
              <w:rPr>
                <w:rFonts w:cs="Arial"/>
                <w:color w:val="000000"/>
                <w:szCs w:val="22"/>
                <w:lang w:val="sl-SI"/>
              </w:rPr>
              <w:t>056</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2317" w14:textId="4D583BED"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AFE7A" w14:textId="477221C3" w:rsidR="00350A83" w:rsidRPr="004223D6" w:rsidRDefault="00350A83" w:rsidP="00350A83">
            <w:pPr>
              <w:jc w:val="right"/>
              <w:rPr>
                <w:rFonts w:cs="Arial"/>
                <w:color w:val="000000"/>
                <w:szCs w:val="22"/>
                <w:lang w:val="sl-SI" w:eastAsia="sl-SI"/>
              </w:rPr>
            </w:pPr>
            <w:r w:rsidRPr="004223D6">
              <w:rPr>
                <w:rFonts w:cs="Arial"/>
                <w:color w:val="000000"/>
                <w:szCs w:val="22"/>
                <w:lang w:val="sl-SI"/>
              </w:rPr>
              <w:t>6.000.000,00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4EFC" w14:textId="2FC152A8" w:rsidR="00350A83" w:rsidRPr="004223D6" w:rsidRDefault="00350A83" w:rsidP="00350A83">
            <w:pPr>
              <w:jc w:val="right"/>
              <w:rPr>
                <w:rFonts w:cs="Arial"/>
                <w:color w:val="000000"/>
                <w:szCs w:val="22"/>
                <w:lang w:val="sl-SI" w:eastAsia="sl-SI"/>
              </w:rPr>
            </w:pPr>
            <w:r w:rsidRPr="004223D6">
              <w:rPr>
                <w:rFonts w:cs="Arial"/>
                <w:color w:val="000000"/>
                <w:szCs w:val="22"/>
                <w:lang w:val="sl-SI"/>
              </w:rPr>
              <w:t>9.000.000,00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EA05" w14:textId="7EC0AB86"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r>
      <w:tr w:rsidR="00350A83" w:rsidRPr="004223D6" w14:paraId="2E90E033"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75760845" w14:textId="2C04EB6E" w:rsidR="00350A83" w:rsidRPr="004223D6" w:rsidRDefault="00350A83" w:rsidP="00350A83">
            <w:pPr>
              <w:rPr>
                <w:rFonts w:cs="Arial"/>
                <w:color w:val="000000"/>
                <w:szCs w:val="22"/>
                <w:lang w:val="sl-SI" w:eastAsia="sl-SI"/>
              </w:rPr>
            </w:pPr>
            <w:r w:rsidRPr="00067981">
              <w:rPr>
                <w:rFonts w:cs="Arial"/>
                <w:color w:val="000000"/>
                <w:szCs w:val="22"/>
                <w:lang w:val="sl-SI"/>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282B30" w14:textId="77ADADAE" w:rsidR="00350A83" w:rsidRPr="004223D6" w:rsidRDefault="00350A83" w:rsidP="00350A83">
            <w:pPr>
              <w:rPr>
                <w:rFonts w:cs="Arial"/>
                <w:color w:val="000000"/>
                <w:szCs w:val="22"/>
                <w:lang w:val="sl-SI" w:eastAsia="sl-SI"/>
              </w:rPr>
            </w:pPr>
            <w:r w:rsidRPr="004223D6">
              <w:rPr>
                <w:rFonts w:cs="Arial"/>
                <w:color w:val="000000"/>
                <w:szCs w:val="22"/>
                <w:lang w:val="sl-SI"/>
              </w:rPr>
              <w:t>065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DAE79" w14:textId="6DBA0E98"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EB3038" w14:textId="7EA89EA5" w:rsidR="00350A83" w:rsidRPr="004223D6" w:rsidRDefault="00350A83" w:rsidP="00350A83">
            <w:pPr>
              <w:jc w:val="right"/>
              <w:rPr>
                <w:rFonts w:cs="Arial"/>
                <w:color w:val="000000"/>
                <w:szCs w:val="22"/>
                <w:lang w:val="sl-SI" w:eastAsia="sl-SI"/>
              </w:rPr>
            </w:pPr>
            <w:r w:rsidRPr="004223D6">
              <w:rPr>
                <w:rFonts w:cs="Arial"/>
                <w:color w:val="000000"/>
                <w:szCs w:val="22"/>
                <w:lang w:val="sl-SI"/>
              </w:rPr>
              <w:t>5.200.000,00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A5D380" w14:textId="647545B4" w:rsidR="00350A83" w:rsidRPr="004223D6" w:rsidRDefault="00350A83" w:rsidP="00350A83">
            <w:pPr>
              <w:jc w:val="right"/>
              <w:rPr>
                <w:rFonts w:cs="Arial"/>
                <w:color w:val="000000"/>
                <w:szCs w:val="22"/>
                <w:lang w:val="sl-SI" w:eastAsia="sl-SI"/>
              </w:rPr>
            </w:pPr>
            <w:r w:rsidRPr="004223D6">
              <w:rPr>
                <w:rFonts w:cs="Arial"/>
                <w:color w:val="000000"/>
                <w:szCs w:val="22"/>
                <w:lang w:val="sl-SI"/>
              </w:rPr>
              <w:t>9.800.000,00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AF926B" w14:textId="54057906"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r>
      <w:tr w:rsidR="00350A83" w:rsidRPr="004223D6" w14:paraId="6EA5F42D"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6F5C964" w14:textId="3B910FD4"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B209" w14:textId="63E13AB2" w:rsidR="00350A83" w:rsidRPr="004223D6" w:rsidRDefault="00350A83" w:rsidP="00350A83">
            <w:pPr>
              <w:rPr>
                <w:rFonts w:cs="Arial"/>
                <w:color w:val="000000"/>
                <w:szCs w:val="22"/>
                <w:lang w:val="sl-SI" w:eastAsia="sl-SI"/>
              </w:rPr>
            </w:pPr>
            <w:r w:rsidRPr="004223D6">
              <w:rPr>
                <w:rFonts w:cs="Arial"/>
                <w:color w:val="000000"/>
                <w:szCs w:val="22"/>
                <w:lang w:val="sl-SI"/>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9B94A" w14:textId="536C777A" w:rsidR="00350A83" w:rsidRPr="004223D6" w:rsidRDefault="00350A83" w:rsidP="00350A83">
            <w:pPr>
              <w:rPr>
                <w:rFonts w:cs="Arial"/>
                <w:color w:val="000000"/>
                <w:szCs w:val="22"/>
                <w:lang w:val="sl-SI" w:eastAsia="sl-SI"/>
              </w:rPr>
            </w:pPr>
            <w:r w:rsidRPr="004223D6">
              <w:rPr>
                <w:rFonts w:cs="Arial"/>
                <w:color w:val="000000"/>
                <w:szCs w:val="22"/>
                <w:lang w:val="sl-SI"/>
              </w:rPr>
              <w:t>03 (lastniško financiranje)</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64AAA" w14:textId="74979B5A" w:rsidR="00350A83" w:rsidRPr="004223D6" w:rsidRDefault="00350A83" w:rsidP="00350A83">
            <w:pPr>
              <w:jc w:val="right"/>
              <w:rPr>
                <w:rFonts w:cs="Arial"/>
                <w:color w:val="000000"/>
                <w:szCs w:val="22"/>
                <w:lang w:val="sl-SI" w:eastAsia="sl-SI"/>
              </w:rPr>
            </w:pPr>
            <w:r w:rsidRPr="004223D6">
              <w:rPr>
                <w:rFonts w:cs="Arial"/>
                <w:color w:val="000000"/>
                <w:szCs w:val="22"/>
                <w:lang w:val="sl-SI"/>
              </w:rPr>
              <w:t>4.000.000,00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1C1F" w14:textId="7F29E52D" w:rsidR="00350A83" w:rsidRPr="004223D6" w:rsidRDefault="00350A83" w:rsidP="00350A83">
            <w:pPr>
              <w:jc w:val="right"/>
              <w:rPr>
                <w:rFonts w:cs="Arial"/>
                <w:color w:val="000000"/>
                <w:szCs w:val="22"/>
                <w:lang w:val="sl-SI" w:eastAsia="sl-SI"/>
              </w:rPr>
            </w:pPr>
            <w:r w:rsidRPr="004223D6">
              <w:rPr>
                <w:rFonts w:cs="Arial"/>
                <w:color w:val="000000"/>
                <w:szCs w:val="22"/>
                <w:lang w:val="sl-SI"/>
              </w:rPr>
              <w:t>6.000.000,00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2AC3A" w14:textId="7EB75A24"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r>
      <w:tr w:rsidR="00350A83" w:rsidRPr="004223D6" w14:paraId="28857DFC"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6F954AA5" w14:textId="24FD50B1"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5D9626" w14:textId="726D2C48" w:rsidR="00350A83" w:rsidRPr="004223D6" w:rsidRDefault="00350A83" w:rsidP="00350A83">
            <w:pPr>
              <w:rPr>
                <w:rFonts w:cs="Arial"/>
                <w:color w:val="000000"/>
                <w:szCs w:val="22"/>
                <w:lang w:val="sl-SI" w:eastAsia="sl-SI"/>
              </w:rPr>
            </w:pPr>
            <w:r w:rsidRPr="004223D6">
              <w:rPr>
                <w:rFonts w:cs="Arial"/>
                <w:color w:val="000000"/>
                <w:szCs w:val="22"/>
                <w:lang w:val="sl-SI"/>
              </w:rPr>
              <w:t>001</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561389" w14:textId="403665DC"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383F8A" w14:textId="37D8D078" w:rsidR="00350A83" w:rsidRPr="004223D6" w:rsidRDefault="00350A83" w:rsidP="00350A83">
            <w:pPr>
              <w:jc w:val="right"/>
              <w:rPr>
                <w:rFonts w:cs="Arial"/>
                <w:color w:val="000000"/>
                <w:szCs w:val="22"/>
                <w:lang w:val="sl-SI" w:eastAsia="sl-SI"/>
              </w:rPr>
            </w:pPr>
            <w:r w:rsidRPr="004223D6">
              <w:rPr>
                <w:rFonts w:cs="Arial"/>
                <w:color w:val="000000"/>
                <w:szCs w:val="22"/>
                <w:lang w:val="sl-SI"/>
              </w:rPr>
              <w:t>7.000.000,00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EA89FE" w14:textId="1FEBC7D8" w:rsidR="00350A83" w:rsidRPr="004223D6" w:rsidRDefault="00350A83" w:rsidP="00350A83">
            <w:pPr>
              <w:jc w:val="right"/>
              <w:rPr>
                <w:rFonts w:cs="Arial"/>
                <w:color w:val="000000"/>
                <w:szCs w:val="22"/>
                <w:lang w:val="sl-SI" w:eastAsia="sl-SI"/>
              </w:rPr>
            </w:pPr>
            <w:r w:rsidRPr="004223D6">
              <w:rPr>
                <w:rFonts w:cs="Arial"/>
                <w:color w:val="000000"/>
                <w:szCs w:val="22"/>
                <w:lang w:val="sl-SI"/>
              </w:rPr>
              <w:t>9.000.000,00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BCAEA9" w14:textId="4717B677" w:rsidR="00350A83" w:rsidRPr="004223D6" w:rsidRDefault="00350A83" w:rsidP="00350A83">
            <w:pPr>
              <w:jc w:val="right"/>
              <w:rPr>
                <w:rFonts w:cs="Arial"/>
                <w:color w:val="000000"/>
                <w:szCs w:val="22"/>
                <w:lang w:val="sl-SI" w:eastAsia="sl-SI"/>
              </w:rPr>
            </w:pPr>
            <w:r w:rsidRPr="004223D6">
              <w:rPr>
                <w:rFonts w:cs="Arial"/>
                <w:color w:val="000000"/>
                <w:szCs w:val="22"/>
                <w:lang w:val="sl-SI"/>
              </w:rPr>
              <w:t>16.000.000,00</w:t>
            </w:r>
          </w:p>
        </w:tc>
      </w:tr>
      <w:tr w:rsidR="00350A83" w:rsidRPr="004223D6" w14:paraId="3D5CFB07"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243EF84D" w14:textId="0F4C09FD"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6DF4" w14:textId="28D5F2BE" w:rsidR="00350A83" w:rsidRPr="004223D6" w:rsidRDefault="00350A83" w:rsidP="00350A83">
            <w:pPr>
              <w:rPr>
                <w:rFonts w:cs="Arial"/>
                <w:color w:val="000000"/>
                <w:szCs w:val="22"/>
                <w:lang w:val="sl-SI" w:eastAsia="sl-SI"/>
              </w:rPr>
            </w:pPr>
            <w:r w:rsidRPr="004223D6">
              <w:rPr>
                <w:rFonts w:cs="Arial"/>
                <w:color w:val="000000"/>
                <w:szCs w:val="22"/>
                <w:lang w:val="sl-SI"/>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EE42A" w14:textId="2839330D"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CD6A" w14:textId="7CEA9D89" w:rsidR="00350A83" w:rsidRPr="004223D6" w:rsidRDefault="00350A83" w:rsidP="00350A83">
            <w:pPr>
              <w:jc w:val="right"/>
              <w:rPr>
                <w:rFonts w:cs="Arial"/>
                <w:color w:val="000000"/>
                <w:szCs w:val="22"/>
                <w:lang w:val="sl-SI" w:eastAsia="sl-SI"/>
              </w:rPr>
            </w:pPr>
            <w:r w:rsidRPr="004223D6">
              <w:rPr>
                <w:rFonts w:cs="Arial"/>
                <w:color w:val="000000"/>
                <w:szCs w:val="22"/>
                <w:lang w:val="sl-SI"/>
              </w:rPr>
              <w:t>7.500.000,00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3126" w14:textId="5C074388" w:rsidR="00350A83" w:rsidRPr="004223D6" w:rsidRDefault="00350A83" w:rsidP="00350A83">
            <w:pPr>
              <w:jc w:val="right"/>
              <w:rPr>
                <w:rFonts w:cs="Arial"/>
                <w:color w:val="000000"/>
                <w:szCs w:val="22"/>
                <w:lang w:val="sl-SI" w:eastAsia="sl-SI"/>
              </w:rPr>
            </w:pPr>
            <w:r w:rsidRPr="004223D6">
              <w:rPr>
                <w:rFonts w:cs="Arial"/>
                <w:color w:val="000000"/>
                <w:szCs w:val="22"/>
                <w:lang w:val="sl-SI"/>
              </w:rPr>
              <w:t>9.000.000,00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7040" w14:textId="03540730" w:rsidR="00350A83" w:rsidRPr="004223D6" w:rsidRDefault="00350A83" w:rsidP="00350A83">
            <w:pPr>
              <w:jc w:val="right"/>
              <w:rPr>
                <w:rFonts w:cs="Arial"/>
                <w:color w:val="000000"/>
                <w:szCs w:val="22"/>
                <w:lang w:val="sl-SI" w:eastAsia="sl-SI"/>
              </w:rPr>
            </w:pPr>
            <w:r w:rsidRPr="004223D6">
              <w:rPr>
                <w:rFonts w:cs="Arial"/>
                <w:color w:val="000000"/>
                <w:szCs w:val="22"/>
                <w:lang w:val="sl-SI"/>
              </w:rPr>
              <w:t>16.500.000,00</w:t>
            </w:r>
          </w:p>
        </w:tc>
      </w:tr>
      <w:tr w:rsidR="00350A83" w:rsidRPr="004223D6" w14:paraId="672ED85B"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331702BA" w14:textId="5A44B73C"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D0627A" w14:textId="177D9D97" w:rsidR="00350A83" w:rsidRPr="004223D6" w:rsidRDefault="00350A83" w:rsidP="00350A83">
            <w:pPr>
              <w:rPr>
                <w:rFonts w:cs="Arial"/>
                <w:color w:val="000000"/>
                <w:szCs w:val="22"/>
                <w:lang w:val="sl-SI" w:eastAsia="sl-SI"/>
              </w:rPr>
            </w:pPr>
            <w:r w:rsidRPr="004223D6">
              <w:rPr>
                <w:rFonts w:cs="Arial"/>
                <w:color w:val="000000"/>
                <w:szCs w:val="22"/>
                <w:lang w:val="sl-SI"/>
              </w:rPr>
              <w:t>068</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5EB20C" w14:textId="08C2029B"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E13406" w14:textId="76BBC970"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95B6D4" w14:textId="1D2BC68D"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93A508" w14:textId="19BF7DED" w:rsidR="00350A83" w:rsidRPr="004223D6" w:rsidRDefault="00350A83" w:rsidP="00350A83">
            <w:pPr>
              <w:jc w:val="right"/>
              <w:rPr>
                <w:rFonts w:cs="Arial"/>
                <w:color w:val="000000"/>
                <w:szCs w:val="22"/>
                <w:lang w:val="sl-SI" w:eastAsia="sl-SI"/>
              </w:rPr>
            </w:pPr>
            <w:r w:rsidRPr="004223D6">
              <w:rPr>
                <w:rFonts w:cs="Arial"/>
                <w:color w:val="000000"/>
                <w:szCs w:val="22"/>
                <w:lang w:val="sl-SI"/>
              </w:rPr>
              <w:t>25.000.000,00</w:t>
            </w:r>
          </w:p>
        </w:tc>
      </w:tr>
      <w:tr w:rsidR="00350A83" w:rsidRPr="004223D6" w14:paraId="780ADE71"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B2EFA99" w14:textId="53A58D8B"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6366" w14:textId="50AF451C" w:rsidR="00350A83" w:rsidRPr="004223D6" w:rsidRDefault="00350A83" w:rsidP="00350A83">
            <w:pPr>
              <w:rPr>
                <w:rFonts w:cs="Arial"/>
                <w:color w:val="000000"/>
                <w:szCs w:val="22"/>
                <w:lang w:val="sl-SI" w:eastAsia="sl-SI"/>
              </w:rPr>
            </w:pPr>
            <w:r w:rsidRPr="004223D6">
              <w:rPr>
                <w:rFonts w:cs="Arial"/>
                <w:color w:val="000000"/>
                <w:szCs w:val="22"/>
                <w:lang w:val="sl-SI"/>
              </w:rPr>
              <w:t>073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1327" w14:textId="30E88108"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8380" w14:textId="51D05651"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B884" w14:textId="5FF563EC"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D72D4" w14:textId="07441905" w:rsidR="00350A83" w:rsidRPr="004223D6" w:rsidRDefault="00350A83" w:rsidP="00350A83">
            <w:pPr>
              <w:jc w:val="right"/>
              <w:rPr>
                <w:rFonts w:cs="Arial"/>
                <w:color w:val="000000"/>
                <w:szCs w:val="22"/>
                <w:lang w:val="sl-SI" w:eastAsia="sl-SI"/>
              </w:rPr>
            </w:pPr>
            <w:r w:rsidRPr="004223D6">
              <w:rPr>
                <w:rFonts w:cs="Arial"/>
                <w:color w:val="000000"/>
                <w:szCs w:val="22"/>
                <w:lang w:val="sl-SI"/>
              </w:rPr>
              <w:t>2.500.000,00</w:t>
            </w:r>
          </w:p>
        </w:tc>
      </w:tr>
      <w:tr w:rsidR="00350A83" w:rsidRPr="004223D6" w14:paraId="266B29E5"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5404946E" w14:textId="0E69E97D"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BF11B5" w14:textId="701945FC" w:rsidR="00350A83" w:rsidRPr="004223D6" w:rsidRDefault="00350A83" w:rsidP="00350A83">
            <w:pPr>
              <w:rPr>
                <w:rFonts w:cs="Arial"/>
                <w:color w:val="000000"/>
                <w:szCs w:val="22"/>
                <w:lang w:val="sl-SI" w:eastAsia="sl-SI"/>
              </w:rPr>
            </w:pPr>
            <w:r w:rsidRPr="004223D6">
              <w:rPr>
                <w:rFonts w:cs="Arial"/>
                <w:color w:val="000000"/>
                <w:szCs w:val="22"/>
                <w:lang w:val="sl-SI"/>
              </w:rPr>
              <w:t>001</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172D1D" w14:textId="03866C9E"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2A7BA3" w14:textId="6E02A310"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D60EB5" w14:textId="26AE6596" w:rsidR="00350A83" w:rsidRPr="004223D6" w:rsidRDefault="00350A83" w:rsidP="00350A83">
            <w:pPr>
              <w:jc w:val="right"/>
              <w:rPr>
                <w:rFonts w:cs="Arial"/>
                <w:color w:val="000000"/>
                <w:szCs w:val="22"/>
                <w:lang w:val="sl-SI" w:eastAsia="sl-SI"/>
              </w:rPr>
            </w:pPr>
            <w:r w:rsidRPr="004223D6">
              <w:rPr>
                <w:rFonts w:cs="Arial"/>
                <w:color w:val="000000"/>
                <w:szCs w:val="22"/>
                <w:lang w:val="sl-SI"/>
              </w:rPr>
              <w:t>15.000.000,00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FEFE35" w14:textId="2CFA012D" w:rsidR="00350A83" w:rsidRPr="004223D6" w:rsidRDefault="00350A83" w:rsidP="00350A83">
            <w:pPr>
              <w:jc w:val="right"/>
              <w:rPr>
                <w:rFonts w:cs="Arial"/>
                <w:color w:val="000000"/>
                <w:szCs w:val="22"/>
                <w:lang w:val="sl-SI" w:eastAsia="sl-SI"/>
              </w:rPr>
            </w:pPr>
            <w:r w:rsidRPr="004223D6">
              <w:rPr>
                <w:rFonts w:cs="Arial"/>
                <w:color w:val="000000"/>
                <w:szCs w:val="22"/>
                <w:lang w:val="sl-SI"/>
              </w:rPr>
              <w:t>25.000.000,00</w:t>
            </w:r>
          </w:p>
        </w:tc>
      </w:tr>
      <w:tr w:rsidR="00350A83" w:rsidRPr="004223D6" w14:paraId="7C4391EB"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78330C95" w14:textId="78BEC146"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9A87" w14:textId="40015D19" w:rsidR="00350A83" w:rsidRPr="004223D6" w:rsidRDefault="00350A83" w:rsidP="00350A83">
            <w:pPr>
              <w:rPr>
                <w:rFonts w:cs="Arial"/>
                <w:color w:val="000000"/>
                <w:szCs w:val="22"/>
                <w:lang w:val="sl-SI" w:eastAsia="sl-SI"/>
              </w:rPr>
            </w:pPr>
            <w:r w:rsidRPr="004223D6">
              <w:rPr>
                <w:rFonts w:cs="Arial"/>
                <w:color w:val="000000"/>
                <w:szCs w:val="22"/>
                <w:lang w:val="sl-SI"/>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042F" w14:textId="186ADFFE"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626F" w14:textId="32EFE325" w:rsidR="00350A83" w:rsidRPr="004223D6" w:rsidRDefault="00350A83" w:rsidP="00350A83">
            <w:pPr>
              <w:jc w:val="right"/>
              <w:rPr>
                <w:rFonts w:cs="Arial"/>
                <w:color w:val="000000"/>
                <w:szCs w:val="22"/>
                <w:lang w:val="sl-SI" w:eastAsia="sl-SI"/>
              </w:rPr>
            </w:pPr>
            <w:r w:rsidRPr="004223D6">
              <w:rPr>
                <w:rFonts w:cs="Arial"/>
                <w:color w:val="000000"/>
                <w:szCs w:val="22"/>
                <w:lang w:val="sl-SI"/>
              </w:rPr>
              <w:t>14.600.000,00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0EA41" w14:textId="22050436" w:rsidR="00350A83" w:rsidRPr="004223D6" w:rsidRDefault="00350A83" w:rsidP="00350A83">
            <w:pPr>
              <w:jc w:val="right"/>
              <w:rPr>
                <w:rFonts w:cs="Arial"/>
                <w:color w:val="000000"/>
                <w:szCs w:val="22"/>
                <w:lang w:val="sl-SI" w:eastAsia="sl-SI"/>
              </w:rPr>
            </w:pPr>
            <w:r w:rsidRPr="004223D6">
              <w:rPr>
                <w:rFonts w:cs="Arial"/>
                <w:color w:val="000000"/>
                <w:szCs w:val="22"/>
                <w:lang w:val="sl-SI"/>
              </w:rPr>
              <w:t>21.900.000,00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7A6B8" w14:textId="6D878EAE" w:rsidR="00350A83" w:rsidRPr="004223D6" w:rsidRDefault="00350A83" w:rsidP="00350A83">
            <w:pPr>
              <w:jc w:val="right"/>
              <w:rPr>
                <w:rFonts w:cs="Arial"/>
                <w:color w:val="000000"/>
                <w:szCs w:val="22"/>
                <w:lang w:val="sl-SI" w:eastAsia="sl-SI"/>
              </w:rPr>
            </w:pPr>
            <w:r w:rsidRPr="004223D6">
              <w:rPr>
                <w:rFonts w:cs="Arial"/>
                <w:color w:val="000000"/>
                <w:szCs w:val="22"/>
                <w:lang w:val="sl-SI"/>
              </w:rPr>
              <w:t>36.500.000,00</w:t>
            </w:r>
          </w:p>
        </w:tc>
      </w:tr>
      <w:tr w:rsidR="00350A83" w:rsidRPr="004223D6" w14:paraId="60178E68"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4741E399" w14:textId="0D30F0A0" w:rsidR="00350A83" w:rsidRPr="004223D6" w:rsidRDefault="00350A83" w:rsidP="00350A83">
            <w:pPr>
              <w:rPr>
                <w:rFonts w:cs="Arial"/>
                <w:color w:val="000000"/>
                <w:szCs w:val="22"/>
                <w:lang w:val="sl-SI" w:eastAsia="sl-SI"/>
              </w:rPr>
            </w:pPr>
            <w:r w:rsidRPr="00DE6D93">
              <w:rPr>
                <w:rFonts w:cs="Arial"/>
                <w:color w:val="000000"/>
                <w:szCs w:val="22"/>
                <w:lang w:val="sl-SI"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C54EE8" w14:textId="6B16CB0C" w:rsidR="00350A83" w:rsidRPr="004223D6" w:rsidRDefault="00350A83" w:rsidP="00350A83">
            <w:pPr>
              <w:rPr>
                <w:rFonts w:cs="Arial"/>
                <w:color w:val="000000"/>
                <w:szCs w:val="22"/>
                <w:lang w:val="sl-SI" w:eastAsia="sl-SI"/>
              </w:rPr>
            </w:pPr>
            <w:r w:rsidRPr="004223D6">
              <w:rPr>
                <w:rFonts w:cs="Arial"/>
                <w:color w:val="000000"/>
                <w:szCs w:val="22"/>
                <w:lang w:val="sl-SI"/>
              </w:rPr>
              <w:t>073</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70EA74" w14:textId="373A15A0" w:rsidR="00350A83" w:rsidRPr="004223D6" w:rsidRDefault="00350A83" w:rsidP="00350A83">
            <w:pPr>
              <w:rPr>
                <w:rFonts w:cs="Arial"/>
                <w:color w:val="000000"/>
                <w:szCs w:val="22"/>
                <w:lang w:val="sl-SI" w:eastAsia="sl-SI"/>
              </w:rPr>
            </w:pPr>
            <w:r w:rsidRPr="004223D6">
              <w:rPr>
                <w:rFonts w:cs="Arial"/>
                <w:color w:val="000000"/>
                <w:szCs w:val="22"/>
                <w:lang w:val="sl-SI"/>
              </w:rPr>
              <w:t>05 (</w:t>
            </w:r>
            <w:r>
              <w:rPr>
                <w:rFonts w:cs="Arial"/>
                <w:color w:val="000000"/>
                <w:szCs w:val="22"/>
                <w:lang w:val="sl-SI"/>
              </w:rPr>
              <w:t>garancije</w:t>
            </w:r>
            <w:r w:rsidRPr="004223D6">
              <w:rPr>
                <w:rFonts w:cs="Arial"/>
                <w:color w:val="000000"/>
                <w:szCs w:val="22"/>
                <w:lang w:val="sl-SI"/>
              </w:rPr>
              <w:t>)</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DF4B9E" w14:textId="40CFE0E3" w:rsidR="00350A83" w:rsidRPr="004223D6" w:rsidRDefault="00350A83" w:rsidP="00350A83">
            <w:pPr>
              <w:jc w:val="right"/>
              <w:rPr>
                <w:rFonts w:cs="Arial"/>
                <w:color w:val="000000"/>
                <w:szCs w:val="22"/>
                <w:lang w:val="sl-SI" w:eastAsia="sl-SI"/>
              </w:rPr>
            </w:pPr>
            <w:r w:rsidRPr="004223D6">
              <w:rPr>
                <w:rFonts w:cs="Arial"/>
                <w:color w:val="000000"/>
                <w:szCs w:val="22"/>
                <w:lang w:val="sl-SI"/>
              </w:rPr>
              <w:t>1.400.000,00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64C052" w14:textId="6E088CB8" w:rsidR="00350A83" w:rsidRPr="004223D6" w:rsidRDefault="00350A83" w:rsidP="00350A83">
            <w:pPr>
              <w:jc w:val="right"/>
              <w:rPr>
                <w:rFonts w:cs="Arial"/>
                <w:color w:val="000000"/>
                <w:szCs w:val="22"/>
                <w:lang w:val="sl-SI" w:eastAsia="sl-SI"/>
              </w:rPr>
            </w:pPr>
            <w:r w:rsidRPr="004223D6">
              <w:rPr>
                <w:rFonts w:cs="Arial"/>
                <w:color w:val="000000"/>
                <w:szCs w:val="22"/>
                <w:lang w:val="sl-SI"/>
              </w:rPr>
              <w:t>2.100.000,00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32CE0C" w14:textId="22CA94FD" w:rsidR="00350A83" w:rsidRPr="004223D6" w:rsidRDefault="00350A83" w:rsidP="00350A83">
            <w:pPr>
              <w:jc w:val="right"/>
              <w:rPr>
                <w:rFonts w:cs="Arial"/>
                <w:color w:val="000000"/>
                <w:szCs w:val="22"/>
                <w:lang w:val="sl-SI" w:eastAsia="sl-SI"/>
              </w:rPr>
            </w:pPr>
            <w:r w:rsidRPr="004223D6">
              <w:rPr>
                <w:rFonts w:cs="Arial"/>
                <w:color w:val="000000"/>
                <w:szCs w:val="22"/>
                <w:lang w:val="sl-SI"/>
              </w:rPr>
              <w:t>3.500.000,00</w:t>
            </w:r>
          </w:p>
        </w:tc>
      </w:tr>
      <w:tr w:rsidR="00A82335" w:rsidRPr="004223D6" w14:paraId="625CD70B" w14:textId="77777777" w:rsidTr="00B0560B">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F02C7" w14:textId="03064984" w:rsidR="00A82335" w:rsidRPr="004223D6" w:rsidRDefault="00350A83" w:rsidP="00A82335">
            <w:pPr>
              <w:rPr>
                <w:rFonts w:cs="Arial"/>
                <w:color w:val="000000"/>
                <w:szCs w:val="22"/>
                <w:lang w:val="sl-SI" w:eastAsia="sl-SI"/>
              </w:rPr>
            </w:pPr>
            <w:r w:rsidRPr="00350A83">
              <w:rPr>
                <w:rFonts w:cs="Arial"/>
                <w:color w:val="000000"/>
                <w:szCs w:val="22"/>
                <w:lang w:val="sl-SI"/>
              </w:rPr>
              <w:t>4.1 (EE)</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3B58" w14:textId="0F8D003C" w:rsidR="00A82335" w:rsidRPr="004223D6" w:rsidRDefault="00A82335" w:rsidP="00A82335">
            <w:pPr>
              <w:rPr>
                <w:rFonts w:cs="Arial"/>
                <w:color w:val="000000"/>
                <w:szCs w:val="22"/>
                <w:lang w:val="sl-SI" w:eastAsia="sl-SI"/>
              </w:rPr>
            </w:pPr>
            <w:r w:rsidRPr="004223D6">
              <w:rPr>
                <w:rFonts w:cs="Arial"/>
                <w:color w:val="000000"/>
                <w:szCs w:val="22"/>
                <w:lang w:val="sl-SI"/>
              </w:rPr>
              <w:t>013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A1DE" w14:textId="77DFA884" w:rsidR="00A82335" w:rsidRPr="004223D6" w:rsidRDefault="00A82335" w:rsidP="00A82335">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BF01" w14:textId="780A1074" w:rsidR="00A82335" w:rsidRPr="004223D6" w:rsidRDefault="00A82335" w:rsidP="00A82335">
            <w:pPr>
              <w:jc w:val="right"/>
              <w:rPr>
                <w:rFonts w:cs="Arial"/>
                <w:color w:val="000000"/>
                <w:szCs w:val="22"/>
                <w:lang w:val="sl-SI" w:eastAsia="sl-SI"/>
              </w:rPr>
            </w:pPr>
            <w:r w:rsidRPr="004223D6">
              <w:rPr>
                <w:rFonts w:cs="Arial"/>
                <w:color w:val="000000"/>
                <w:szCs w:val="22"/>
                <w:lang w:val="sl-SI" w:eastAsia="sl-SI"/>
              </w:rPr>
              <w:t>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5EDC" w14:textId="15E4A607" w:rsidR="00A82335" w:rsidRPr="004223D6" w:rsidRDefault="00A82335" w:rsidP="00A82335">
            <w:pPr>
              <w:jc w:val="right"/>
              <w:rPr>
                <w:rFonts w:cs="Arial"/>
                <w:color w:val="000000"/>
                <w:szCs w:val="22"/>
                <w:lang w:val="sl-SI" w:eastAsia="sl-SI"/>
              </w:rPr>
            </w:pPr>
            <w:r w:rsidRPr="004223D6">
              <w:rPr>
                <w:rFonts w:cs="Arial"/>
                <w:color w:val="000000"/>
                <w:szCs w:val="22"/>
                <w:lang w:val="sl-SI" w:eastAsia="sl-SI"/>
              </w:rPr>
              <w:t>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DB10" w14:textId="3DD9510D" w:rsidR="00A82335" w:rsidRPr="004223D6" w:rsidRDefault="00A82335" w:rsidP="00A82335">
            <w:pPr>
              <w:jc w:val="right"/>
              <w:rPr>
                <w:rFonts w:cs="Arial"/>
                <w:color w:val="000000"/>
                <w:szCs w:val="22"/>
                <w:lang w:val="sl-SI" w:eastAsia="sl-SI"/>
              </w:rPr>
            </w:pPr>
            <w:r w:rsidRPr="004223D6">
              <w:rPr>
                <w:rFonts w:cs="Arial"/>
                <w:color w:val="000000"/>
                <w:szCs w:val="22"/>
                <w:lang w:val="sl-SI"/>
              </w:rPr>
              <w:t>25.000.000,00</w:t>
            </w:r>
          </w:p>
        </w:tc>
      </w:tr>
      <w:tr w:rsidR="00350A83" w:rsidRPr="004223D6" w14:paraId="78B4113B"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1EB29FDC" w14:textId="6EE006CB" w:rsidR="00350A83" w:rsidRPr="004223D6" w:rsidRDefault="00350A83" w:rsidP="00350A83">
            <w:pPr>
              <w:rPr>
                <w:rFonts w:cs="Arial"/>
                <w:color w:val="000000"/>
                <w:szCs w:val="22"/>
                <w:lang w:val="sl-SI" w:eastAsia="sl-SI"/>
              </w:rPr>
            </w:pPr>
            <w:r w:rsidRPr="00350A83">
              <w:rPr>
                <w:rFonts w:cs="Arial"/>
                <w:color w:val="000000"/>
                <w:szCs w:val="22"/>
                <w:lang w:val="sl-SI"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AB6CC0" w14:textId="429D8F7E" w:rsidR="00350A83" w:rsidRPr="004223D6" w:rsidRDefault="00350A83" w:rsidP="00350A83">
            <w:pPr>
              <w:rPr>
                <w:rFonts w:cs="Arial"/>
                <w:color w:val="000000"/>
                <w:szCs w:val="22"/>
                <w:lang w:val="sl-SI" w:eastAsia="sl-SI"/>
              </w:rPr>
            </w:pPr>
            <w:r w:rsidRPr="004223D6">
              <w:rPr>
                <w:rFonts w:cs="Arial"/>
                <w:color w:val="000000"/>
                <w:szCs w:val="22"/>
                <w:lang w:val="sl-SI"/>
              </w:rPr>
              <w:t>055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77D392" w14:textId="335345C6"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FC6F5D" w14:textId="079938AD" w:rsidR="00350A83" w:rsidRPr="004223D6" w:rsidRDefault="00350A83" w:rsidP="00350A83">
            <w:pPr>
              <w:jc w:val="right"/>
              <w:rPr>
                <w:rFonts w:cs="Arial"/>
                <w:color w:val="000000"/>
                <w:szCs w:val="22"/>
                <w:lang w:val="sl-SI" w:eastAsia="sl-SI"/>
              </w:rPr>
            </w:pPr>
            <w:r w:rsidRPr="004223D6">
              <w:rPr>
                <w:rFonts w:cs="Arial"/>
                <w:color w:val="000000"/>
                <w:szCs w:val="22"/>
                <w:lang w:val="sl-SI"/>
              </w:rPr>
              <w:t>1.920.000,00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492F22" w14:textId="13F33DE5" w:rsidR="00350A83" w:rsidRPr="004223D6" w:rsidRDefault="00350A83" w:rsidP="00350A83">
            <w:pPr>
              <w:jc w:val="right"/>
              <w:rPr>
                <w:rFonts w:cs="Arial"/>
                <w:color w:val="000000"/>
                <w:szCs w:val="22"/>
                <w:lang w:val="sl-SI" w:eastAsia="sl-SI"/>
              </w:rPr>
            </w:pPr>
            <w:r w:rsidRPr="004223D6">
              <w:rPr>
                <w:rFonts w:cs="Arial"/>
                <w:color w:val="000000"/>
                <w:szCs w:val="22"/>
                <w:lang w:val="sl-SI"/>
              </w:rPr>
              <w:t>1.080.000,00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A1F800" w14:textId="359A9905" w:rsidR="00350A83" w:rsidRPr="004223D6" w:rsidRDefault="00350A83" w:rsidP="00350A83">
            <w:pPr>
              <w:jc w:val="right"/>
              <w:rPr>
                <w:rFonts w:cs="Arial"/>
                <w:color w:val="000000"/>
                <w:szCs w:val="22"/>
                <w:lang w:val="sl-SI" w:eastAsia="sl-SI"/>
              </w:rPr>
            </w:pPr>
            <w:r w:rsidRPr="004223D6">
              <w:rPr>
                <w:rFonts w:cs="Arial"/>
                <w:color w:val="000000"/>
                <w:szCs w:val="22"/>
                <w:lang w:val="sl-SI"/>
              </w:rPr>
              <w:t>3.000.000,00</w:t>
            </w:r>
          </w:p>
        </w:tc>
      </w:tr>
      <w:tr w:rsidR="00350A83" w:rsidRPr="004223D6" w14:paraId="2A5290EE"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2F0600BE" w14:textId="56FDFEAD" w:rsidR="00350A83" w:rsidRPr="004223D6" w:rsidRDefault="00350A83" w:rsidP="00350A83">
            <w:pPr>
              <w:rPr>
                <w:rFonts w:cs="Arial"/>
                <w:color w:val="000000"/>
                <w:szCs w:val="22"/>
                <w:lang w:val="sl-SI" w:eastAsia="sl-SI"/>
              </w:rPr>
            </w:pPr>
            <w:r w:rsidRPr="00350A83">
              <w:rPr>
                <w:rFonts w:cs="Arial"/>
                <w:color w:val="000000"/>
                <w:szCs w:val="22"/>
                <w:lang w:val="sl-SI"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39B1" w14:textId="4FEB109B" w:rsidR="00350A83" w:rsidRPr="004223D6" w:rsidRDefault="00350A83" w:rsidP="00350A83">
            <w:pPr>
              <w:rPr>
                <w:rFonts w:cs="Arial"/>
                <w:color w:val="000000"/>
                <w:szCs w:val="22"/>
                <w:lang w:val="sl-SI" w:eastAsia="sl-SI"/>
              </w:rPr>
            </w:pPr>
            <w:r w:rsidRPr="004223D6">
              <w:rPr>
                <w:rFonts w:cs="Arial"/>
                <w:color w:val="000000"/>
                <w:szCs w:val="22"/>
                <w:lang w:val="sl-SI"/>
              </w:rPr>
              <w:t>089</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E568" w14:textId="0B7163E5"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CA22" w14:textId="06AB4CE1" w:rsidR="00350A83" w:rsidRPr="004223D6" w:rsidRDefault="00350A83" w:rsidP="00350A83">
            <w:pPr>
              <w:jc w:val="right"/>
              <w:rPr>
                <w:rFonts w:cs="Arial"/>
                <w:color w:val="000000"/>
                <w:szCs w:val="22"/>
                <w:lang w:val="sl-SI" w:eastAsia="sl-SI"/>
              </w:rPr>
            </w:pPr>
            <w:r w:rsidRPr="004223D6">
              <w:rPr>
                <w:rFonts w:cs="Arial"/>
                <w:color w:val="000000"/>
                <w:szCs w:val="22"/>
                <w:lang w:val="sl-SI"/>
              </w:rPr>
              <w:t>640.000,00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C3DDD" w14:textId="48FDFD2A" w:rsidR="00350A83" w:rsidRPr="004223D6" w:rsidRDefault="00350A83" w:rsidP="00350A83">
            <w:pPr>
              <w:jc w:val="right"/>
              <w:rPr>
                <w:rFonts w:cs="Arial"/>
                <w:color w:val="000000"/>
                <w:szCs w:val="22"/>
                <w:lang w:val="sl-SI" w:eastAsia="sl-SI"/>
              </w:rPr>
            </w:pPr>
            <w:r w:rsidRPr="004223D6">
              <w:rPr>
                <w:rFonts w:cs="Arial"/>
                <w:color w:val="000000"/>
                <w:szCs w:val="22"/>
                <w:lang w:val="sl-SI"/>
              </w:rPr>
              <w:t>360.000,00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1403" w14:textId="619785A5"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w:t>
            </w:r>
          </w:p>
        </w:tc>
      </w:tr>
      <w:tr w:rsidR="00350A83" w:rsidRPr="004223D6" w14:paraId="626F82ED" w14:textId="77777777" w:rsidTr="009A1B61">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3C8ECC22" w14:textId="113403D7" w:rsidR="00350A83" w:rsidRPr="004223D6" w:rsidRDefault="00350A83" w:rsidP="00350A83">
            <w:pPr>
              <w:rPr>
                <w:rFonts w:cs="Arial"/>
                <w:color w:val="000000"/>
                <w:szCs w:val="22"/>
                <w:lang w:val="sl-SI" w:eastAsia="sl-SI"/>
              </w:rPr>
            </w:pPr>
            <w:r w:rsidRPr="00350A83">
              <w:rPr>
                <w:rFonts w:cs="Arial"/>
                <w:color w:val="000000"/>
                <w:szCs w:val="22"/>
                <w:lang w:val="sl-SI"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3A0DBE" w14:textId="62F24632" w:rsidR="00350A83" w:rsidRPr="004223D6" w:rsidRDefault="00350A83" w:rsidP="00350A83">
            <w:pPr>
              <w:rPr>
                <w:rFonts w:cs="Arial"/>
                <w:color w:val="000000"/>
                <w:szCs w:val="22"/>
                <w:lang w:val="sl-SI" w:eastAsia="sl-SI"/>
              </w:rPr>
            </w:pPr>
            <w:r w:rsidRPr="004223D6">
              <w:rPr>
                <w:rFonts w:cs="Arial"/>
                <w:color w:val="000000"/>
                <w:szCs w:val="22"/>
                <w:lang w:val="sl-SI"/>
              </w:rPr>
              <w:t>094</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2E0040" w14:textId="4255F8C5" w:rsidR="00350A83" w:rsidRPr="004223D6" w:rsidRDefault="00350A83" w:rsidP="00350A83">
            <w:pPr>
              <w:rPr>
                <w:rFonts w:cs="Arial"/>
                <w:color w:val="000000"/>
                <w:szCs w:val="22"/>
                <w:lang w:val="sl-SI" w:eastAsia="sl-SI"/>
              </w:rPr>
            </w:pPr>
            <w:r w:rsidRPr="004223D6">
              <w:rPr>
                <w:rFonts w:cs="Arial"/>
                <w:color w:val="000000"/>
                <w:szCs w:val="22"/>
                <w:lang w:val="sl-SI"/>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CC6301" w14:textId="5B718896" w:rsidR="00350A83" w:rsidRPr="004223D6" w:rsidRDefault="00350A83" w:rsidP="00350A83">
            <w:pPr>
              <w:jc w:val="right"/>
              <w:rPr>
                <w:rFonts w:cs="Arial"/>
                <w:color w:val="000000"/>
                <w:szCs w:val="22"/>
                <w:lang w:val="sl-SI" w:eastAsia="sl-SI"/>
              </w:rPr>
            </w:pPr>
            <w:r w:rsidRPr="004223D6">
              <w:rPr>
                <w:rFonts w:cs="Arial"/>
                <w:color w:val="000000"/>
                <w:szCs w:val="22"/>
                <w:lang w:val="sl-SI"/>
              </w:rPr>
              <w:t>640.000,00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FEE958" w14:textId="4DDE38ED" w:rsidR="00350A83" w:rsidRPr="004223D6" w:rsidRDefault="00350A83" w:rsidP="00350A83">
            <w:pPr>
              <w:jc w:val="right"/>
              <w:rPr>
                <w:rFonts w:cs="Arial"/>
                <w:color w:val="000000"/>
                <w:szCs w:val="22"/>
                <w:lang w:val="sl-SI" w:eastAsia="sl-SI"/>
              </w:rPr>
            </w:pPr>
            <w:r w:rsidRPr="004223D6">
              <w:rPr>
                <w:rFonts w:cs="Arial"/>
                <w:color w:val="000000"/>
                <w:szCs w:val="22"/>
                <w:lang w:val="sl-SI"/>
              </w:rPr>
              <w:t>360.000,00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4A8F7D" w14:textId="24B8C5FB" w:rsidR="00350A83" w:rsidRPr="004223D6" w:rsidRDefault="00350A83" w:rsidP="00350A83">
            <w:pPr>
              <w:jc w:val="right"/>
              <w:rPr>
                <w:rFonts w:cs="Arial"/>
                <w:color w:val="000000"/>
                <w:szCs w:val="22"/>
                <w:lang w:val="sl-SI" w:eastAsia="sl-SI"/>
              </w:rPr>
            </w:pPr>
            <w:r w:rsidRPr="004223D6">
              <w:rPr>
                <w:rFonts w:cs="Arial"/>
                <w:color w:val="000000"/>
                <w:szCs w:val="22"/>
                <w:lang w:val="sl-SI"/>
              </w:rPr>
              <w:t>1.000.000,00</w:t>
            </w:r>
          </w:p>
        </w:tc>
      </w:tr>
      <w:tr w:rsidR="00156A8A" w:rsidRPr="004223D6" w14:paraId="740AD3DA" w14:textId="77777777" w:rsidTr="00B0560B">
        <w:trPr>
          <w:trHeight w:val="297"/>
          <w:jc w:val="center"/>
        </w:trPr>
        <w:tc>
          <w:tcPr>
            <w:tcW w:w="184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AFEBA1A"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Skupna vsota</w:t>
            </w:r>
          </w:p>
        </w:tc>
        <w:tc>
          <w:tcPr>
            <w:tcW w:w="175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3668E3"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 </w:t>
            </w:r>
          </w:p>
        </w:tc>
        <w:tc>
          <w:tcPr>
            <w:tcW w:w="282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762A69A"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 </w:t>
            </w:r>
          </w:p>
        </w:tc>
        <w:tc>
          <w:tcPr>
            <w:tcW w:w="28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9E4F7E" w14:textId="6E64DF79"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92.900.000,00</w:t>
            </w:r>
          </w:p>
        </w:tc>
        <w:tc>
          <w:tcPr>
            <w:tcW w:w="28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A5C5DAF" w14:textId="1927FFF5"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135.100.000,00</w:t>
            </w:r>
          </w:p>
        </w:tc>
        <w:tc>
          <w:tcPr>
            <w:tcW w:w="217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482ABF0"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253.000.000,00</w:t>
            </w:r>
          </w:p>
        </w:tc>
      </w:tr>
    </w:tbl>
    <w:p w14:paraId="116C34EE" w14:textId="4415CBCD" w:rsidR="00A82335" w:rsidRPr="00131925" w:rsidRDefault="00A82335" w:rsidP="00131925">
      <w:pPr>
        <w:jc w:val="both"/>
        <w:rPr>
          <w:rFonts w:cs="Arial"/>
          <w:sz w:val="16"/>
          <w:szCs w:val="16"/>
          <w:lang w:val="sl-SI"/>
        </w:rPr>
      </w:pPr>
      <w:r w:rsidRPr="00131925">
        <w:rPr>
          <w:rFonts w:cs="Arial"/>
          <w:sz w:val="16"/>
          <w:szCs w:val="16"/>
          <w:lang w:val="sl-SI"/>
        </w:rPr>
        <w:t>* Sredstva zagotavlja Kohezijski sklad za območje celotne Slovenije; delitev sredstev po kohezijski regiji ni predvidena.</w:t>
      </w:r>
    </w:p>
    <w:p w14:paraId="4F52A278" w14:textId="77777777" w:rsidR="00DA5FC1" w:rsidRPr="00DA5FC1" w:rsidRDefault="00DA5FC1" w:rsidP="00DA5FC1">
      <w:pPr>
        <w:spacing w:after="240"/>
        <w:jc w:val="both"/>
        <w:rPr>
          <w:rFonts w:cs="Arial"/>
          <w:sz w:val="16"/>
          <w:szCs w:val="16"/>
          <w:lang w:val="sl-SI"/>
        </w:rPr>
      </w:pPr>
      <w:r w:rsidRPr="00DA5FC1">
        <w:rPr>
          <w:rFonts w:cs="Arial"/>
          <w:sz w:val="16"/>
          <w:szCs w:val="16"/>
          <w:lang w:val="sl-SI"/>
        </w:rPr>
        <w:t>Opomba: tabela domen</w:t>
      </w:r>
      <w:r>
        <w:rPr>
          <w:rFonts w:cs="Arial"/>
          <w:sz w:val="16"/>
          <w:szCs w:val="16"/>
          <w:lang w:val="sl-SI"/>
        </w:rPr>
        <w:t xml:space="preserve"> ukrepov</w:t>
      </w:r>
      <w:r w:rsidRPr="00DA5FC1">
        <w:rPr>
          <w:rFonts w:cs="Arial"/>
          <w:sz w:val="16"/>
          <w:szCs w:val="16"/>
          <w:lang w:val="sl-SI"/>
        </w:rPr>
        <w:t xml:space="preserve"> je v poglavju 3.1.</w:t>
      </w:r>
    </w:p>
    <w:p w14:paraId="133853A3" w14:textId="77777777" w:rsidR="00DA5FC1" w:rsidRPr="004223D6" w:rsidRDefault="00DA5FC1" w:rsidP="00A82335">
      <w:pPr>
        <w:rPr>
          <w:rFonts w:cs="Arial"/>
          <w:szCs w:val="22"/>
          <w:lang w:val="sl-SI"/>
        </w:rPr>
      </w:pPr>
    </w:p>
    <w:p w14:paraId="5E6E3ED7" w14:textId="77777777" w:rsidR="00FA7969" w:rsidRPr="004223D6" w:rsidRDefault="00FA7969" w:rsidP="00CE3440">
      <w:pPr>
        <w:rPr>
          <w:rFonts w:cs="Arial"/>
          <w:szCs w:val="22"/>
          <w:lang w:val="sl-SI"/>
        </w:rPr>
      </w:pPr>
    </w:p>
    <w:p w14:paraId="466DA6A1" w14:textId="77777777" w:rsidR="00FA7969" w:rsidRPr="004223D6" w:rsidRDefault="00FA7969" w:rsidP="00CE3440">
      <w:pPr>
        <w:rPr>
          <w:rFonts w:cs="Arial"/>
          <w:szCs w:val="22"/>
          <w:lang w:val="sl-SI" w:eastAsia="sl-SI"/>
        </w:rPr>
      </w:pPr>
    </w:p>
    <w:p w14:paraId="779E573C" w14:textId="77777777" w:rsidR="00FA7969" w:rsidRPr="004223D6" w:rsidRDefault="00FA7969" w:rsidP="00CE3440">
      <w:pPr>
        <w:rPr>
          <w:rFonts w:cs="Arial"/>
          <w:szCs w:val="22"/>
          <w:lang w:val="sl-SI" w:eastAsia="sl-SI"/>
        </w:rPr>
        <w:sectPr w:rsidR="00FA7969" w:rsidRPr="004223D6" w:rsidSect="00FA7969">
          <w:pgSz w:w="16840" w:h="11900" w:orient="landscape" w:code="9"/>
          <w:pgMar w:top="1701" w:right="1701" w:bottom="1134" w:left="851" w:header="964" w:footer="397" w:gutter="0"/>
          <w:cols w:space="708"/>
          <w:titlePg/>
          <w:docGrid w:linePitch="272"/>
        </w:sectPr>
      </w:pPr>
    </w:p>
    <w:p w14:paraId="10859674" w14:textId="22764DD7" w:rsidR="00FA7969" w:rsidRPr="004223D6" w:rsidRDefault="008B51B0" w:rsidP="00CE3440">
      <w:pPr>
        <w:rPr>
          <w:rFonts w:cs="Arial"/>
          <w:szCs w:val="22"/>
          <w:lang w:val="sl-SI" w:eastAsia="sl-SI"/>
        </w:rPr>
      </w:pPr>
      <w:r>
        <w:rPr>
          <w:rFonts w:cs="Arial"/>
          <w:szCs w:val="22"/>
          <w:lang w:val="sl-SI" w:eastAsia="sl-SI"/>
        </w:rPr>
        <w:lastRenderedPageBreak/>
        <w:t>Tabela</w:t>
      </w:r>
      <w:r w:rsidR="00FA7969" w:rsidRPr="004223D6">
        <w:rPr>
          <w:rFonts w:cs="Arial"/>
          <w:szCs w:val="22"/>
          <w:lang w:val="sl-SI" w:eastAsia="sl-SI"/>
        </w:rPr>
        <w:t xml:space="preserve"> 3: Letna dinamika vplačil </w:t>
      </w:r>
      <w:r w:rsidR="00232746" w:rsidRPr="004223D6">
        <w:rPr>
          <w:rFonts w:cs="Arial"/>
          <w:szCs w:val="22"/>
          <w:lang w:val="sl-SI" w:eastAsia="sl-SI"/>
        </w:rPr>
        <w:t>v sklad skl</w:t>
      </w:r>
      <w:r w:rsidR="004A2481" w:rsidRPr="004223D6">
        <w:rPr>
          <w:rFonts w:cs="Arial"/>
          <w:szCs w:val="22"/>
          <w:lang w:val="sl-SI" w:eastAsia="sl-SI"/>
        </w:rPr>
        <w:t>a</w:t>
      </w:r>
      <w:r w:rsidR="00232746" w:rsidRPr="004223D6">
        <w:rPr>
          <w:rFonts w:cs="Arial"/>
          <w:szCs w:val="22"/>
          <w:lang w:val="sl-SI" w:eastAsia="sl-SI"/>
        </w:rPr>
        <w:t>dov</w:t>
      </w:r>
      <w:r w:rsidR="00FA7969" w:rsidRPr="004223D6">
        <w:rPr>
          <w:rFonts w:cs="Arial"/>
          <w:szCs w:val="22"/>
          <w:lang w:val="sl-SI" w:eastAsia="sl-SI"/>
        </w:rPr>
        <w:t xml:space="preserve"> po </w:t>
      </w:r>
      <w:r w:rsidR="00232746" w:rsidRPr="004223D6">
        <w:rPr>
          <w:rFonts w:cs="Arial"/>
          <w:szCs w:val="22"/>
          <w:lang w:val="sl-SI" w:eastAsia="sl-SI"/>
        </w:rPr>
        <w:t xml:space="preserve">prednostni naložbi in </w:t>
      </w:r>
      <w:r w:rsidR="00FA7969" w:rsidRPr="004223D6">
        <w:rPr>
          <w:rFonts w:cs="Arial"/>
          <w:szCs w:val="22"/>
          <w:lang w:val="sl-SI" w:eastAsia="sl-SI"/>
        </w:rPr>
        <w:t>kohezijski regiji</w:t>
      </w:r>
      <w:r w:rsidR="00B0560B">
        <w:rPr>
          <w:rFonts w:cs="Arial"/>
          <w:szCs w:val="22"/>
          <w:lang w:val="sl-SI" w:eastAsia="sl-SI"/>
        </w:rPr>
        <w:t xml:space="preserve"> v programskem obdobju 2014-2020 (v EUR)</w:t>
      </w:r>
    </w:p>
    <w:tbl>
      <w:tblPr>
        <w:tblpPr w:leftFromText="141" w:rightFromText="141" w:vertAnchor="text" w:horzAnchor="margin" w:tblpXSpec="center" w:tblpY="216"/>
        <w:tblW w:w="4930" w:type="pct"/>
        <w:tblCellMar>
          <w:left w:w="70" w:type="dxa"/>
          <w:right w:w="70" w:type="dxa"/>
        </w:tblCellMar>
        <w:tblLook w:val="04A0" w:firstRow="1" w:lastRow="0" w:firstColumn="1" w:lastColumn="0" w:noHBand="0" w:noVBand="1"/>
      </w:tblPr>
      <w:tblGrid>
        <w:gridCol w:w="1458"/>
        <w:gridCol w:w="973"/>
        <w:gridCol w:w="1802"/>
        <w:gridCol w:w="760"/>
        <w:gridCol w:w="2001"/>
        <w:gridCol w:w="760"/>
        <w:gridCol w:w="1795"/>
        <w:gridCol w:w="1804"/>
        <w:gridCol w:w="760"/>
        <w:gridCol w:w="1831"/>
      </w:tblGrid>
      <w:tr w:rsidR="00E811FF" w:rsidRPr="004223D6" w14:paraId="60B11362"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AB24"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Prednostna naložba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77D76"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Regija</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4FB99"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2017</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ED6F"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56E6D"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2019</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20CB"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D360"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2021</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FC97"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2022</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0A4C"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2023</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A621" w14:textId="77777777" w:rsidR="00FA7969" w:rsidRPr="004223D6" w:rsidRDefault="00FA7969" w:rsidP="008B51B0">
            <w:pPr>
              <w:jc w:val="center"/>
              <w:rPr>
                <w:rFonts w:cs="Arial"/>
                <w:b/>
                <w:bCs/>
                <w:color w:val="000000"/>
                <w:szCs w:val="22"/>
                <w:lang w:val="sl-SI" w:eastAsia="sl-SI"/>
              </w:rPr>
            </w:pPr>
            <w:r w:rsidRPr="004223D6">
              <w:rPr>
                <w:rFonts w:cs="Arial"/>
                <w:b/>
                <w:bCs/>
                <w:color w:val="000000"/>
                <w:szCs w:val="22"/>
                <w:lang w:val="sl-SI" w:eastAsia="sl-SI"/>
              </w:rPr>
              <w:t>Skupaj</w:t>
            </w:r>
          </w:p>
        </w:tc>
      </w:tr>
      <w:tr w:rsidR="00350A83" w:rsidRPr="004223D6" w14:paraId="572FA554"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hideMark/>
          </w:tcPr>
          <w:p w14:paraId="04418DD1" w14:textId="4DB2D20E" w:rsidR="00350A83" w:rsidRPr="004223D6" w:rsidRDefault="00350A83" w:rsidP="00350A83">
            <w:pPr>
              <w:outlineLvl w:val="1"/>
              <w:rPr>
                <w:rFonts w:cs="Arial"/>
                <w:color w:val="000000"/>
                <w:szCs w:val="22"/>
                <w:lang w:val="sl-SI" w:eastAsia="sl-SI"/>
              </w:rPr>
            </w:pPr>
            <w:r w:rsidRPr="005525ED">
              <w:rPr>
                <w:rFonts w:cs="Arial"/>
                <w:color w:val="000000"/>
                <w:szCs w:val="22"/>
                <w:lang w:val="sl-SI"/>
              </w:rPr>
              <w:t>1.2 (RRI)</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EA3E06"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Vzhod</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A67BC" w14:textId="79EDDB73"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4A854B"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E85A98" w14:textId="5B4A22BE"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E87CF1"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0E0FFB" w14:textId="3A94C0DA"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87CF46" w14:textId="02DC63F4"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8.550.000,00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278805"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9A0E9E" w14:textId="6F78EF54"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34.200.000,00</w:t>
            </w:r>
          </w:p>
        </w:tc>
      </w:tr>
      <w:tr w:rsidR="00350A83" w:rsidRPr="004223D6" w14:paraId="7EB869CC"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59E670DD" w14:textId="5E6525F7" w:rsidR="00350A83" w:rsidRPr="004223D6" w:rsidRDefault="00350A83" w:rsidP="00350A83">
            <w:pPr>
              <w:outlineLvl w:val="1"/>
              <w:rPr>
                <w:rFonts w:cs="Arial"/>
                <w:color w:val="000000"/>
                <w:szCs w:val="22"/>
                <w:lang w:val="sl-SI" w:eastAsia="sl-SI"/>
              </w:rPr>
            </w:pPr>
            <w:r w:rsidRPr="005525ED">
              <w:rPr>
                <w:rFonts w:cs="Arial"/>
                <w:color w:val="000000"/>
                <w:szCs w:val="22"/>
                <w:lang w:val="sl-SI"/>
              </w:rPr>
              <w:t>1.2 (RRI)</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B6F5"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Zahod</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CBB1" w14:textId="2FA18FCC"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145A"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38C5F" w14:textId="1A9CA9BC"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03E3"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DA2E" w14:textId="56AC2489"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F1D3" w14:textId="09FF7A13"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A00B2"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98CB9" w14:textId="52639DFE"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53.800.000,00</w:t>
            </w:r>
          </w:p>
        </w:tc>
      </w:tr>
      <w:tr w:rsidR="00E811FF" w:rsidRPr="004223D6" w14:paraId="1F72595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BFBA17"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1.2 Vsota</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52A4F2"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8ED8A5" w14:textId="1056C626"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19E7D2"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DF0767" w14:textId="4AF9E50C"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2BE963"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A560A5" w14:textId="40C7ACFF"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796013" w14:textId="66632320"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22.000.000,00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679356"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8C53AA" w14:textId="47F043B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88.000.000,00</w:t>
            </w:r>
          </w:p>
        </w:tc>
      </w:tr>
      <w:tr w:rsidR="00350A83" w:rsidRPr="004223D6" w14:paraId="62EEA6D4"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00D9CAAE" w14:textId="6735B019" w:rsidR="00350A83" w:rsidRPr="004223D6" w:rsidRDefault="00350A83" w:rsidP="00350A83">
            <w:pPr>
              <w:outlineLvl w:val="1"/>
              <w:rPr>
                <w:rFonts w:cs="Arial"/>
                <w:color w:val="000000"/>
                <w:szCs w:val="22"/>
                <w:lang w:val="sl-SI" w:eastAsia="sl-SI"/>
              </w:rPr>
            </w:pPr>
            <w:r w:rsidRPr="00725A64">
              <w:rPr>
                <w:rFonts w:cs="Arial"/>
                <w:color w:val="000000"/>
                <w:szCs w:val="22"/>
                <w:lang w:val="sl-SI" w:eastAsia="sl-SI"/>
              </w:rPr>
              <w:t>3.1 (MSP)</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1C8C"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Vzhod</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10E8F" w14:textId="5778144D"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13.875.000,00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8783D"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99268" w14:textId="528844A4"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13.875.000,00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255E1"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5781F" w14:textId="4FEC49B4"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13.875.000,00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1FDF" w14:textId="765140DE"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13.875.000,00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962FC"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7477F" w14:textId="4E448FEE"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55.500.000,00</w:t>
            </w:r>
          </w:p>
        </w:tc>
      </w:tr>
      <w:tr w:rsidR="00350A83" w:rsidRPr="004223D6" w14:paraId="3AF8358A"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hideMark/>
          </w:tcPr>
          <w:p w14:paraId="78830F18" w14:textId="6798C0F5" w:rsidR="00350A83" w:rsidRPr="004223D6" w:rsidRDefault="00350A83" w:rsidP="00350A83">
            <w:pPr>
              <w:outlineLvl w:val="1"/>
              <w:rPr>
                <w:rFonts w:cs="Arial"/>
                <w:color w:val="000000"/>
                <w:szCs w:val="22"/>
                <w:lang w:val="sl-SI" w:eastAsia="sl-SI"/>
              </w:rPr>
            </w:pPr>
            <w:r w:rsidRPr="00725A64">
              <w:rPr>
                <w:rFonts w:cs="Arial"/>
                <w:color w:val="000000"/>
                <w:szCs w:val="22"/>
                <w:lang w:val="sl-SI" w:eastAsia="sl-SI"/>
              </w:rPr>
              <w:t>3.1 (MSP)</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E70421"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Zahod</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963BEE" w14:textId="4A0539D1"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860069"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AAC2B" w14:textId="37BC608A"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3B8FF0"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0DCB5E" w14:textId="3E10AE6C"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3FC59D" w14:textId="05AB2237"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19.875.000,00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8D0A9B"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24DC8572" w14:textId="23C28830" w:rsidR="00350A83" w:rsidRPr="004223D6" w:rsidRDefault="00350A83" w:rsidP="00350A83">
            <w:pPr>
              <w:jc w:val="right"/>
              <w:outlineLvl w:val="1"/>
              <w:rPr>
                <w:rFonts w:cs="Arial"/>
                <w:color w:val="000000"/>
                <w:szCs w:val="22"/>
                <w:lang w:val="sl-SI"/>
              </w:rPr>
            </w:pPr>
            <w:r w:rsidRPr="004223D6">
              <w:rPr>
                <w:rFonts w:cs="Arial"/>
                <w:color w:val="000000"/>
                <w:szCs w:val="22"/>
                <w:lang w:val="sl-SI"/>
              </w:rPr>
              <w:t>79.500.000,00</w:t>
            </w:r>
          </w:p>
        </w:tc>
      </w:tr>
      <w:tr w:rsidR="00E811FF" w:rsidRPr="004223D6" w14:paraId="24A9958F"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AC1C7"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3.1 Vsota</w:t>
            </w:r>
          </w:p>
        </w:tc>
        <w:tc>
          <w:tcPr>
            <w:tcW w:w="963" w:type="dxa"/>
            <w:tcBorders>
              <w:top w:val="nil"/>
              <w:left w:val="nil"/>
              <w:bottom w:val="single" w:sz="4" w:space="0" w:color="auto"/>
              <w:right w:val="single" w:sz="4" w:space="0" w:color="auto"/>
            </w:tcBorders>
            <w:shd w:val="clear" w:color="auto" w:fill="auto"/>
            <w:noWrap/>
            <w:vAlign w:val="bottom"/>
            <w:hideMark/>
          </w:tcPr>
          <w:p w14:paraId="0658D68C"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nil"/>
              <w:left w:val="nil"/>
              <w:bottom w:val="single" w:sz="4" w:space="0" w:color="auto"/>
              <w:right w:val="single" w:sz="4" w:space="0" w:color="auto"/>
            </w:tcBorders>
            <w:shd w:val="clear" w:color="auto" w:fill="auto"/>
            <w:noWrap/>
            <w:vAlign w:val="bottom"/>
            <w:hideMark/>
          </w:tcPr>
          <w:p w14:paraId="192B77E0" w14:textId="50601713"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752" w:type="dxa"/>
            <w:tcBorders>
              <w:top w:val="nil"/>
              <w:left w:val="nil"/>
              <w:bottom w:val="single" w:sz="4" w:space="0" w:color="auto"/>
              <w:right w:val="single" w:sz="4" w:space="0" w:color="auto"/>
            </w:tcBorders>
            <w:shd w:val="clear" w:color="auto" w:fill="auto"/>
            <w:noWrap/>
            <w:vAlign w:val="bottom"/>
            <w:hideMark/>
          </w:tcPr>
          <w:p w14:paraId="33A29D00"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6DCD90" w14:textId="45F59908"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752" w:type="dxa"/>
            <w:tcBorders>
              <w:top w:val="nil"/>
              <w:left w:val="nil"/>
              <w:bottom w:val="single" w:sz="4" w:space="0" w:color="auto"/>
              <w:right w:val="single" w:sz="4" w:space="0" w:color="auto"/>
            </w:tcBorders>
            <w:shd w:val="clear" w:color="auto" w:fill="auto"/>
            <w:noWrap/>
            <w:vAlign w:val="bottom"/>
            <w:hideMark/>
          </w:tcPr>
          <w:p w14:paraId="0F73C882"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nil"/>
              <w:left w:val="nil"/>
              <w:bottom w:val="single" w:sz="4" w:space="0" w:color="auto"/>
              <w:right w:val="single" w:sz="4" w:space="0" w:color="auto"/>
            </w:tcBorders>
            <w:shd w:val="clear" w:color="auto" w:fill="auto"/>
            <w:noWrap/>
            <w:vAlign w:val="bottom"/>
            <w:hideMark/>
          </w:tcPr>
          <w:p w14:paraId="67DFE9BC" w14:textId="42D8DD8E"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1785" w:type="dxa"/>
            <w:tcBorders>
              <w:top w:val="nil"/>
              <w:left w:val="nil"/>
              <w:bottom w:val="single" w:sz="4" w:space="0" w:color="auto"/>
              <w:right w:val="single" w:sz="4" w:space="0" w:color="auto"/>
            </w:tcBorders>
            <w:shd w:val="clear" w:color="auto" w:fill="auto"/>
            <w:noWrap/>
            <w:vAlign w:val="bottom"/>
            <w:hideMark/>
          </w:tcPr>
          <w:p w14:paraId="1416B3B8" w14:textId="0AABA3F2"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33.750.000,00</w:t>
            </w:r>
          </w:p>
        </w:tc>
        <w:tc>
          <w:tcPr>
            <w:tcW w:w="752" w:type="dxa"/>
            <w:tcBorders>
              <w:top w:val="nil"/>
              <w:left w:val="nil"/>
              <w:bottom w:val="single" w:sz="4" w:space="0" w:color="auto"/>
              <w:right w:val="single" w:sz="4" w:space="0" w:color="auto"/>
            </w:tcBorders>
            <w:shd w:val="clear" w:color="auto" w:fill="auto"/>
            <w:noWrap/>
            <w:vAlign w:val="bottom"/>
            <w:hideMark/>
          </w:tcPr>
          <w:p w14:paraId="45F9508B"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AEE7" w14:textId="0C86407C"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135.000.000,00</w:t>
            </w:r>
          </w:p>
        </w:tc>
      </w:tr>
      <w:tr w:rsidR="00E811FF" w:rsidRPr="004223D6" w14:paraId="242E5F9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DB46EC" w14:textId="362A8ABF" w:rsidR="00156A8A" w:rsidRPr="004223D6" w:rsidRDefault="00350A83" w:rsidP="00156A8A">
            <w:pPr>
              <w:outlineLvl w:val="1"/>
              <w:rPr>
                <w:rFonts w:cs="Arial"/>
                <w:color w:val="000000"/>
                <w:szCs w:val="22"/>
                <w:lang w:val="sl-SI" w:eastAsia="sl-SI"/>
              </w:rPr>
            </w:pPr>
            <w:r w:rsidRPr="00350A83">
              <w:rPr>
                <w:rFonts w:cs="Arial"/>
                <w:color w:val="000000"/>
                <w:szCs w:val="22"/>
                <w:lang w:val="sl-SI" w:eastAsia="sl-SI"/>
              </w:rPr>
              <w:t>4.1 (EE)</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3C9983" w14:textId="77777777" w:rsidR="00156A8A" w:rsidRPr="004223D6" w:rsidRDefault="00156A8A" w:rsidP="00156A8A">
            <w:pPr>
              <w:outlineLvl w:val="1"/>
              <w:rPr>
                <w:rFonts w:cs="Arial"/>
                <w:color w:val="000000"/>
                <w:szCs w:val="22"/>
                <w:lang w:val="sl-SI" w:eastAsia="sl-SI"/>
              </w:rPr>
            </w:pPr>
            <w:r w:rsidRPr="004223D6">
              <w:rPr>
                <w:rFonts w:cs="Arial"/>
                <w:color w:val="000000"/>
                <w:szCs w:val="22"/>
                <w:lang w:val="sl-SI" w:eastAsia="sl-SI"/>
              </w:rPr>
              <w:t>SI</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D9FEE5" w14:textId="7C8D42F9"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147BE5" w14:textId="77777777"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E1DED3" w14:textId="6B8B316B"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2E2E4D" w14:textId="77777777"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B31E4E" w14:textId="03CEB2A4"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9E8A79" w14:textId="74B24F1E"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6.250.000,00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3332C6" w14:textId="77777777"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2FC891" w14:textId="4C355598" w:rsidR="00156A8A" w:rsidRPr="004223D6" w:rsidRDefault="00156A8A" w:rsidP="00156A8A">
            <w:pPr>
              <w:jc w:val="right"/>
              <w:outlineLvl w:val="1"/>
              <w:rPr>
                <w:rFonts w:cs="Arial"/>
                <w:color w:val="000000"/>
                <w:szCs w:val="22"/>
                <w:lang w:val="sl-SI" w:eastAsia="sl-SI"/>
              </w:rPr>
            </w:pPr>
            <w:r w:rsidRPr="004223D6">
              <w:rPr>
                <w:rFonts w:cs="Arial"/>
                <w:color w:val="000000"/>
                <w:szCs w:val="22"/>
                <w:lang w:val="sl-SI"/>
              </w:rPr>
              <w:t>25.000.000,00</w:t>
            </w:r>
          </w:p>
        </w:tc>
      </w:tr>
      <w:tr w:rsidR="00E811FF" w:rsidRPr="004223D6" w14:paraId="35B4C6E9"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A91A"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4.1 Vsota</w:t>
            </w:r>
          </w:p>
        </w:tc>
        <w:tc>
          <w:tcPr>
            <w:tcW w:w="963" w:type="dxa"/>
            <w:tcBorders>
              <w:top w:val="nil"/>
              <w:left w:val="nil"/>
              <w:bottom w:val="single" w:sz="4" w:space="0" w:color="auto"/>
              <w:right w:val="single" w:sz="4" w:space="0" w:color="auto"/>
            </w:tcBorders>
            <w:shd w:val="clear" w:color="auto" w:fill="auto"/>
            <w:noWrap/>
            <w:vAlign w:val="bottom"/>
            <w:hideMark/>
          </w:tcPr>
          <w:p w14:paraId="34051959"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nil"/>
              <w:left w:val="nil"/>
              <w:bottom w:val="single" w:sz="4" w:space="0" w:color="auto"/>
              <w:right w:val="single" w:sz="4" w:space="0" w:color="auto"/>
            </w:tcBorders>
            <w:shd w:val="clear" w:color="auto" w:fill="auto"/>
            <w:noWrap/>
            <w:vAlign w:val="bottom"/>
            <w:hideMark/>
          </w:tcPr>
          <w:p w14:paraId="42AA2913" w14:textId="45D933C3"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752" w:type="dxa"/>
            <w:tcBorders>
              <w:top w:val="nil"/>
              <w:left w:val="nil"/>
              <w:bottom w:val="single" w:sz="4" w:space="0" w:color="auto"/>
              <w:right w:val="single" w:sz="4" w:space="0" w:color="auto"/>
            </w:tcBorders>
            <w:shd w:val="clear" w:color="auto" w:fill="auto"/>
            <w:noWrap/>
            <w:vAlign w:val="bottom"/>
            <w:hideMark/>
          </w:tcPr>
          <w:p w14:paraId="14F68B28"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nil"/>
              <w:left w:val="nil"/>
              <w:bottom w:val="single" w:sz="4" w:space="0" w:color="auto"/>
              <w:right w:val="single" w:sz="4" w:space="0" w:color="auto"/>
            </w:tcBorders>
            <w:shd w:val="clear" w:color="auto" w:fill="auto"/>
            <w:noWrap/>
            <w:vAlign w:val="bottom"/>
            <w:hideMark/>
          </w:tcPr>
          <w:p w14:paraId="51453B6C" w14:textId="05267723"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752" w:type="dxa"/>
            <w:tcBorders>
              <w:top w:val="nil"/>
              <w:left w:val="nil"/>
              <w:bottom w:val="single" w:sz="4" w:space="0" w:color="auto"/>
              <w:right w:val="single" w:sz="4" w:space="0" w:color="auto"/>
            </w:tcBorders>
            <w:shd w:val="clear" w:color="auto" w:fill="auto"/>
            <w:noWrap/>
            <w:vAlign w:val="bottom"/>
            <w:hideMark/>
          </w:tcPr>
          <w:p w14:paraId="6805796C"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nil"/>
              <w:left w:val="nil"/>
              <w:bottom w:val="single" w:sz="4" w:space="0" w:color="auto"/>
              <w:right w:val="single" w:sz="4" w:space="0" w:color="auto"/>
            </w:tcBorders>
            <w:shd w:val="clear" w:color="auto" w:fill="auto"/>
            <w:noWrap/>
            <w:vAlign w:val="bottom"/>
            <w:hideMark/>
          </w:tcPr>
          <w:p w14:paraId="3510003F" w14:textId="65EE4B36"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1785" w:type="dxa"/>
            <w:tcBorders>
              <w:top w:val="nil"/>
              <w:left w:val="nil"/>
              <w:bottom w:val="single" w:sz="4" w:space="0" w:color="auto"/>
              <w:right w:val="single" w:sz="4" w:space="0" w:color="auto"/>
            </w:tcBorders>
            <w:shd w:val="clear" w:color="auto" w:fill="auto"/>
            <w:noWrap/>
            <w:vAlign w:val="bottom"/>
            <w:hideMark/>
          </w:tcPr>
          <w:p w14:paraId="41E64CD3" w14:textId="3FE65231"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6.250.000,00</w:t>
            </w:r>
          </w:p>
        </w:tc>
        <w:tc>
          <w:tcPr>
            <w:tcW w:w="752" w:type="dxa"/>
            <w:tcBorders>
              <w:top w:val="nil"/>
              <w:left w:val="nil"/>
              <w:bottom w:val="single" w:sz="4" w:space="0" w:color="auto"/>
              <w:right w:val="single" w:sz="4" w:space="0" w:color="auto"/>
            </w:tcBorders>
            <w:shd w:val="clear" w:color="auto" w:fill="auto"/>
            <w:noWrap/>
            <w:vAlign w:val="bottom"/>
            <w:hideMark/>
          </w:tcPr>
          <w:p w14:paraId="3B1E0F9F"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1FDB" w14:textId="618D0ADC"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25.000.000,00</w:t>
            </w:r>
          </w:p>
        </w:tc>
      </w:tr>
      <w:tr w:rsidR="00350A83" w:rsidRPr="004223D6" w14:paraId="1803CC6B"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hideMark/>
          </w:tcPr>
          <w:p w14:paraId="733FB4E1" w14:textId="2E5C92C7" w:rsidR="00350A83" w:rsidRPr="004223D6" w:rsidRDefault="00350A83" w:rsidP="00350A83">
            <w:pPr>
              <w:outlineLvl w:val="1"/>
              <w:rPr>
                <w:rFonts w:cs="Arial"/>
                <w:color w:val="000000"/>
                <w:szCs w:val="22"/>
                <w:lang w:val="sl-SI" w:eastAsia="sl-SI"/>
              </w:rPr>
            </w:pPr>
            <w:r w:rsidRPr="00EC6CE0">
              <w:rPr>
                <w:rFonts w:cs="Arial"/>
                <w:color w:val="000000"/>
                <w:szCs w:val="22"/>
                <w:lang w:val="sl-SI" w:eastAsia="sl-SI"/>
              </w:rPr>
              <w:t>6.3 (UR)</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0B0C94"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Vzhod</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EE78E3" w14:textId="75FB2903"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A05E54"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4F8965" w14:textId="55BB952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56A91B"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A23A3D" w14:textId="7B3C448A"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A1104D" w14:textId="53782764"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800.000,00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FB2129"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33C46F" w14:textId="7A661E4C"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3.200.000,00</w:t>
            </w:r>
          </w:p>
        </w:tc>
      </w:tr>
      <w:tr w:rsidR="00350A83" w:rsidRPr="004223D6" w14:paraId="70C020D4" w14:textId="77777777" w:rsidTr="009A1B61">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64C5D340" w14:textId="7790D631" w:rsidR="00350A83" w:rsidRPr="004223D6" w:rsidRDefault="00350A83" w:rsidP="00350A83">
            <w:pPr>
              <w:outlineLvl w:val="1"/>
              <w:rPr>
                <w:rFonts w:cs="Arial"/>
                <w:color w:val="000000"/>
                <w:szCs w:val="22"/>
                <w:lang w:val="sl-SI" w:eastAsia="sl-SI"/>
              </w:rPr>
            </w:pPr>
            <w:r w:rsidRPr="00EC6CE0">
              <w:rPr>
                <w:rFonts w:cs="Arial"/>
                <w:color w:val="000000"/>
                <w:szCs w:val="22"/>
                <w:lang w:val="sl-SI" w:eastAsia="sl-SI"/>
              </w:rPr>
              <w:t>6.3 (UR)</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28CD" w14:textId="77777777" w:rsidR="00350A83" w:rsidRPr="004223D6" w:rsidRDefault="00350A83" w:rsidP="00350A83">
            <w:pPr>
              <w:outlineLvl w:val="1"/>
              <w:rPr>
                <w:rFonts w:cs="Arial"/>
                <w:color w:val="000000"/>
                <w:szCs w:val="22"/>
                <w:lang w:val="sl-SI" w:eastAsia="sl-SI"/>
              </w:rPr>
            </w:pPr>
            <w:r w:rsidRPr="004223D6">
              <w:rPr>
                <w:rFonts w:cs="Arial"/>
                <w:color w:val="000000"/>
                <w:szCs w:val="22"/>
                <w:lang w:val="sl-SI" w:eastAsia="sl-SI"/>
              </w:rPr>
              <w:t>Zahod</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7FF30" w14:textId="11F8844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AF8C"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8944" w14:textId="2F1CAA72"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D5D6"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A4E4D" w14:textId="711FD7F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DED4" w14:textId="6C6EFECB"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450.000,00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33259" w14:textId="77777777"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eastAsia="sl-SI"/>
              </w:rPr>
              <w:t>/</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572D" w14:textId="6EE8A685" w:rsidR="00350A83" w:rsidRPr="004223D6" w:rsidRDefault="00350A83" w:rsidP="00350A83">
            <w:pPr>
              <w:jc w:val="right"/>
              <w:outlineLvl w:val="1"/>
              <w:rPr>
                <w:rFonts w:cs="Arial"/>
                <w:color w:val="000000"/>
                <w:szCs w:val="22"/>
                <w:lang w:val="sl-SI" w:eastAsia="sl-SI"/>
              </w:rPr>
            </w:pPr>
            <w:r w:rsidRPr="004223D6">
              <w:rPr>
                <w:rFonts w:cs="Arial"/>
                <w:color w:val="000000"/>
                <w:szCs w:val="22"/>
                <w:lang w:val="sl-SI"/>
              </w:rPr>
              <w:t>1.800.000,00</w:t>
            </w:r>
          </w:p>
        </w:tc>
      </w:tr>
      <w:tr w:rsidR="00E811FF" w:rsidRPr="004223D6" w14:paraId="056C936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B849CC"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6.3 Vsota</w:t>
            </w:r>
          </w:p>
        </w:tc>
        <w:tc>
          <w:tcPr>
            <w:tcW w:w="96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F3D66C" w14:textId="77777777" w:rsidR="00156A8A" w:rsidRPr="004223D6" w:rsidRDefault="00156A8A" w:rsidP="00156A8A">
            <w:pPr>
              <w:outlineLvl w:val="0"/>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75D9BA" w14:textId="7D346F09"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2EB560"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F0E0A5" w14:textId="5EB9B2BB"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E6D954"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2C5EFC" w14:textId="24C23192"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17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49993" w14:textId="026AAA44"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1.250.000,00</w:t>
            </w:r>
          </w:p>
        </w:tc>
        <w:tc>
          <w:tcPr>
            <w:tcW w:w="7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C486CD" w14:textId="77777777"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743D9E" w14:textId="0650DDEF" w:rsidR="00156A8A" w:rsidRPr="004223D6" w:rsidRDefault="00156A8A" w:rsidP="00156A8A">
            <w:pPr>
              <w:jc w:val="right"/>
              <w:outlineLvl w:val="0"/>
              <w:rPr>
                <w:rFonts w:cs="Arial"/>
                <w:b/>
                <w:bCs/>
                <w:color w:val="000000"/>
                <w:szCs w:val="22"/>
                <w:lang w:val="sl-SI" w:eastAsia="sl-SI"/>
              </w:rPr>
            </w:pPr>
            <w:r w:rsidRPr="004223D6">
              <w:rPr>
                <w:rFonts w:cs="Arial"/>
                <w:b/>
                <w:bCs/>
                <w:color w:val="000000"/>
                <w:szCs w:val="22"/>
                <w:lang w:val="sl-SI"/>
              </w:rPr>
              <w:t>5.000.000,00</w:t>
            </w:r>
          </w:p>
        </w:tc>
      </w:tr>
      <w:tr w:rsidR="00E811FF" w:rsidRPr="004223D6" w14:paraId="3D737805" w14:textId="77777777" w:rsidTr="00892162">
        <w:trPr>
          <w:trHeight w:val="30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37A0"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Skupna vsota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B5DD" w14:textId="77777777" w:rsidR="00156A8A" w:rsidRPr="004223D6" w:rsidRDefault="00156A8A" w:rsidP="00156A8A">
            <w:pPr>
              <w:rPr>
                <w:rFonts w:cs="Arial"/>
                <w:b/>
                <w:bCs/>
                <w:color w:val="000000"/>
                <w:szCs w:val="22"/>
                <w:lang w:val="sl-SI" w:eastAsia="sl-SI"/>
              </w:rPr>
            </w:pPr>
            <w:r w:rsidRPr="004223D6">
              <w:rPr>
                <w:rFonts w:cs="Arial"/>
                <w:b/>
                <w:bCs/>
                <w:color w:val="000000"/>
                <w:szCs w:val="22"/>
                <w:lang w:val="sl-SI" w:eastAsia="sl-SI"/>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B6BB" w14:textId="629E72A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4D670"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4A80" w14:textId="51907460"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D2BD"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 </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6604" w14:textId="66B4A3E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7AA0" w14:textId="55556F2D"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63.250.000,00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176E" w14:textId="77777777"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eastAsia="sl-SI"/>
              </w:rPr>
              <w:t> </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9F7F" w14:textId="394D67C9" w:rsidR="00156A8A" w:rsidRPr="004223D6" w:rsidRDefault="00156A8A" w:rsidP="00156A8A">
            <w:pPr>
              <w:jc w:val="right"/>
              <w:rPr>
                <w:rFonts w:cs="Arial"/>
                <w:b/>
                <w:bCs/>
                <w:color w:val="000000"/>
                <w:szCs w:val="22"/>
                <w:lang w:val="sl-SI" w:eastAsia="sl-SI"/>
              </w:rPr>
            </w:pPr>
            <w:r w:rsidRPr="004223D6">
              <w:rPr>
                <w:rFonts w:cs="Arial"/>
                <w:b/>
                <w:bCs/>
                <w:color w:val="000000"/>
                <w:szCs w:val="22"/>
                <w:lang w:val="sl-SI"/>
              </w:rPr>
              <w:t>253.000.000,00</w:t>
            </w:r>
          </w:p>
        </w:tc>
      </w:tr>
    </w:tbl>
    <w:p w14:paraId="11D02A17" w14:textId="77777777" w:rsidR="00FA7969" w:rsidRPr="004223D6" w:rsidRDefault="00FA7969" w:rsidP="00CE3440">
      <w:pPr>
        <w:rPr>
          <w:rFonts w:cs="Arial"/>
          <w:szCs w:val="22"/>
          <w:lang w:val="sl-SI"/>
        </w:rPr>
      </w:pPr>
    </w:p>
    <w:p w14:paraId="566A8D26" w14:textId="008DCC20" w:rsidR="00FA7969" w:rsidRPr="004223D6" w:rsidRDefault="00FA7969" w:rsidP="00CE3440">
      <w:pPr>
        <w:rPr>
          <w:rFonts w:cs="Arial"/>
          <w:szCs w:val="22"/>
          <w:lang w:val="sl-SI"/>
        </w:rPr>
      </w:pPr>
    </w:p>
    <w:p w14:paraId="79BDB62F" w14:textId="77777777" w:rsidR="00FA7969" w:rsidRPr="004223D6" w:rsidRDefault="00FA7969" w:rsidP="00CE3440">
      <w:pPr>
        <w:jc w:val="both"/>
        <w:rPr>
          <w:rFonts w:cs="Arial"/>
          <w:szCs w:val="22"/>
          <w:lang w:val="sl-SI"/>
        </w:rPr>
      </w:pPr>
    </w:p>
    <w:sectPr w:rsidR="00FA7969" w:rsidRPr="004223D6" w:rsidSect="00FA7969">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631A" w14:textId="77777777" w:rsidR="0084527F" w:rsidRDefault="0084527F" w:rsidP="00E44171">
      <w:r>
        <w:separator/>
      </w:r>
    </w:p>
  </w:endnote>
  <w:endnote w:type="continuationSeparator" w:id="0">
    <w:p w14:paraId="1BD9087D" w14:textId="77777777" w:rsidR="0084527F" w:rsidRDefault="0084527F" w:rsidP="00E44171">
      <w:r>
        <w:continuationSeparator/>
      </w:r>
    </w:p>
  </w:endnote>
  <w:endnote w:type="continuationNotice" w:id="1">
    <w:p w14:paraId="3073B1AE" w14:textId="77777777" w:rsidR="0084527F" w:rsidRDefault="00845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9E07" w14:textId="152F6208" w:rsidR="009A1B61" w:rsidRPr="00596343" w:rsidRDefault="009A1B61">
    <w:pPr>
      <w:pStyle w:val="Noga"/>
      <w:jc w:val="center"/>
      <w:rPr>
        <w:rFonts w:cs="Arial"/>
        <w:sz w:val="20"/>
        <w:szCs w:val="20"/>
      </w:rPr>
    </w:pPr>
    <w:r w:rsidRPr="00596343">
      <w:rPr>
        <w:rFonts w:cs="Arial"/>
        <w:sz w:val="20"/>
        <w:szCs w:val="20"/>
      </w:rPr>
      <w:fldChar w:fldCharType="begin"/>
    </w:r>
    <w:r w:rsidRPr="00596343">
      <w:rPr>
        <w:rFonts w:cs="Arial"/>
        <w:sz w:val="20"/>
        <w:szCs w:val="20"/>
      </w:rPr>
      <w:instrText>PAGE   \* MERGEFORMAT</w:instrText>
    </w:r>
    <w:r w:rsidRPr="00596343">
      <w:rPr>
        <w:rFonts w:cs="Arial"/>
        <w:sz w:val="20"/>
        <w:szCs w:val="20"/>
      </w:rPr>
      <w:fldChar w:fldCharType="separate"/>
    </w:r>
    <w:r w:rsidR="00D32177">
      <w:rPr>
        <w:rFonts w:cs="Arial"/>
        <w:noProof/>
        <w:sz w:val="20"/>
        <w:szCs w:val="20"/>
      </w:rPr>
      <w:t>6</w:t>
    </w:r>
    <w:r w:rsidRPr="00596343">
      <w:rPr>
        <w:rFonts w:cs="Arial"/>
        <w:sz w:val="20"/>
        <w:szCs w:val="20"/>
      </w:rPr>
      <w:fldChar w:fldCharType="end"/>
    </w:r>
  </w:p>
  <w:p w14:paraId="479F40FE" w14:textId="77777777" w:rsidR="009A1B61" w:rsidRDefault="009A1B6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0F449" w14:textId="27FDD15D" w:rsidR="009A1B61" w:rsidRPr="00C072BF" w:rsidRDefault="009A1B61">
    <w:pPr>
      <w:pStyle w:val="Noga"/>
      <w:jc w:val="center"/>
      <w:rPr>
        <w:rFonts w:cs="Arial"/>
        <w:sz w:val="20"/>
        <w:szCs w:val="20"/>
      </w:rPr>
    </w:pPr>
    <w:r w:rsidRPr="00C072BF">
      <w:rPr>
        <w:rFonts w:cs="Arial"/>
        <w:sz w:val="20"/>
        <w:szCs w:val="20"/>
      </w:rPr>
      <w:fldChar w:fldCharType="begin"/>
    </w:r>
    <w:r w:rsidRPr="00C072BF">
      <w:rPr>
        <w:rFonts w:cs="Arial"/>
        <w:sz w:val="20"/>
        <w:szCs w:val="20"/>
      </w:rPr>
      <w:instrText>PAGE   \* MERGEFORMAT</w:instrText>
    </w:r>
    <w:r w:rsidRPr="00C072BF">
      <w:rPr>
        <w:rFonts w:cs="Arial"/>
        <w:sz w:val="20"/>
        <w:szCs w:val="20"/>
      </w:rPr>
      <w:fldChar w:fldCharType="separate"/>
    </w:r>
    <w:r w:rsidR="00D32177">
      <w:rPr>
        <w:rFonts w:cs="Arial"/>
        <w:noProof/>
        <w:sz w:val="20"/>
        <w:szCs w:val="20"/>
      </w:rPr>
      <w:t>1</w:t>
    </w:r>
    <w:r w:rsidRPr="00C072BF">
      <w:rPr>
        <w:rFonts w:cs="Arial"/>
        <w:sz w:val="20"/>
        <w:szCs w:val="20"/>
      </w:rPr>
      <w:fldChar w:fldCharType="end"/>
    </w:r>
  </w:p>
  <w:p w14:paraId="1FD89207" w14:textId="77777777" w:rsidR="009A1B61" w:rsidRDefault="009A1B6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7B81" w14:textId="77777777" w:rsidR="009A1B61" w:rsidRDefault="009A1B61">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97"/>
      <w:docPartObj>
        <w:docPartGallery w:val="Page Numbers (Bottom of Page)"/>
        <w:docPartUnique/>
      </w:docPartObj>
    </w:sdtPr>
    <w:sdtEndPr>
      <w:rPr>
        <w:rFonts w:cs="Arial"/>
        <w:sz w:val="20"/>
        <w:szCs w:val="20"/>
      </w:rPr>
    </w:sdtEndPr>
    <w:sdtContent>
      <w:p w14:paraId="4C14BF87" w14:textId="20CDD269" w:rsidR="009A1B61" w:rsidRPr="00306359" w:rsidRDefault="009A1B61">
        <w:pPr>
          <w:pStyle w:val="Noga"/>
          <w:jc w:val="center"/>
          <w:rPr>
            <w:rFonts w:cs="Arial"/>
            <w:sz w:val="20"/>
            <w:szCs w:val="20"/>
          </w:rPr>
        </w:pPr>
        <w:r w:rsidRPr="00306359">
          <w:rPr>
            <w:rFonts w:cs="Arial"/>
            <w:sz w:val="20"/>
            <w:szCs w:val="20"/>
          </w:rPr>
          <w:fldChar w:fldCharType="begin"/>
        </w:r>
        <w:r w:rsidRPr="00306359">
          <w:rPr>
            <w:rFonts w:cs="Arial"/>
            <w:sz w:val="20"/>
            <w:szCs w:val="20"/>
          </w:rPr>
          <w:instrText>PAGE   \* MERGEFORMAT</w:instrText>
        </w:r>
        <w:r w:rsidRPr="00306359">
          <w:rPr>
            <w:rFonts w:cs="Arial"/>
            <w:sz w:val="20"/>
            <w:szCs w:val="20"/>
          </w:rPr>
          <w:fldChar w:fldCharType="separate"/>
        </w:r>
        <w:r w:rsidRPr="00697BAB">
          <w:rPr>
            <w:rFonts w:cs="Arial"/>
            <w:noProof/>
            <w:sz w:val="20"/>
            <w:szCs w:val="20"/>
            <w:lang w:val="sl-SI"/>
          </w:rPr>
          <w:t>22</w:t>
        </w:r>
        <w:r w:rsidRPr="00306359">
          <w:rPr>
            <w:rFonts w:cs="Arial"/>
            <w:sz w:val="20"/>
            <w:szCs w:val="20"/>
          </w:rPr>
          <w:fldChar w:fldCharType="end"/>
        </w:r>
      </w:p>
    </w:sdtContent>
  </w:sdt>
  <w:p w14:paraId="53048AFD" w14:textId="77777777" w:rsidR="009A1B61" w:rsidRDefault="009A1B61">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850F" w14:textId="77777777" w:rsidR="009A1B61" w:rsidRDefault="009A1B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70D7" w14:textId="77777777" w:rsidR="0084527F" w:rsidRDefault="0084527F" w:rsidP="00E44171">
      <w:r>
        <w:separator/>
      </w:r>
    </w:p>
  </w:footnote>
  <w:footnote w:type="continuationSeparator" w:id="0">
    <w:p w14:paraId="02CD6D9E" w14:textId="77777777" w:rsidR="0084527F" w:rsidRDefault="0084527F" w:rsidP="00E44171">
      <w:r>
        <w:continuationSeparator/>
      </w:r>
    </w:p>
  </w:footnote>
  <w:footnote w:type="continuationNotice" w:id="1">
    <w:p w14:paraId="0FF27AD3" w14:textId="77777777" w:rsidR="0084527F" w:rsidRDefault="00845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8B7D2" w14:textId="77777777" w:rsidR="009A1B61" w:rsidRPr="00110CBD" w:rsidRDefault="009A1B61" w:rsidP="00F40DD4">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4"/>
    </w:tblGrid>
    <w:tr w:rsidR="009A1B61" w:rsidRPr="008F3500" w14:paraId="4634814B" w14:textId="77777777" w:rsidTr="00F40DD4">
      <w:trPr>
        <w:cantSplit/>
        <w:trHeight w:hRule="exact" w:val="737"/>
      </w:trPr>
      <w:tc>
        <w:tcPr>
          <w:tcW w:w="694" w:type="dxa"/>
        </w:tcPr>
        <w:p w14:paraId="1A9B0071" w14:textId="77777777" w:rsidR="009A1B61" w:rsidRPr="006D42D9" w:rsidRDefault="009A1B61" w:rsidP="00F40DD4">
          <w:pPr>
            <w:rPr>
              <w:rFonts w:ascii="Republika" w:hAnsi="Republika"/>
              <w:sz w:val="60"/>
              <w:szCs w:val="60"/>
            </w:rPr>
          </w:pPr>
          <w:r>
            <w:rPr>
              <w:rFonts w:ascii="Republika" w:hAnsi="Republika"/>
              <w:noProof/>
              <w:sz w:val="60"/>
              <w:szCs w:val="60"/>
              <w:lang w:val="sl-SI" w:eastAsia="sl-SI"/>
            </w:rPr>
            <w:drawing>
              <wp:inline distT="0" distB="0" distL="0" distR="0" wp14:anchorId="2293AAFE" wp14:editId="161385FA">
                <wp:extent cx="300990" cy="343535"/>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 cy="343535"/>
                        </a:xfrm>
                        <a:prstGeom prst="rect">
                          <a:avLst/>
                        </a:prstGeom>
                        <a:noFill/>
                        <a:ln>
                          <a:noFill/>
                        </a:ln>
                      </pic:spPr>
                    </pic:pic>
                  </a:graphicData>
                </a:graphic>
              </wp:inline>
            </w:drawing>
          </w:r>
        </w:p>
        <w:p w14:paraId="476CAAB2" w14:textId="77777777" w:rsidR="009A1B61" w:rsidRPr="006D42D9" w:rsidRDefault="009A1B61" w:rsidP="00F40DD4">
          <w:pPr>
            <w:rPr>
              <w:rFonts w:ascii="Republika" w:hAnsi="Republika"/>
              <w:sz w:val="60"/>
              <w:szCs w:val="60"/>
            </w:rPr>
          </w:pPr>
        </w:p>
        <w:p w14:paraId="2EDD389F" w14:textId="77777777" w:rsidR="009A1B61" w:rsidRPr="006D42D9" w:rsidRDefault="009A1B61" w:rsidP="00F40DD4">
          <w:pPr>
            <w:rPr>
              <w:rFonts w:ascii="Republika" w:hAnsi="Republika"/>
              <w:sz w:val="60"/>
              <w:szCs w:val="60"/>
            </w:rPr>
          </w:pPr>
        </w:p>
        <w:p w14:paraId="77D1E9F3" w14:textId="77777777" w:rsidR="009A1B61" w:rsidRPr="006D42D9" w:rsidRDefault="009A1B61" w:rsidP="00F40DD4">
          <w:pPr>
            <w:rPr>
              <w:rFonts w:ascii="Republika" w:hAnsi="Republika"/>
              <w:sz w:val="60"/>
              <w:szCs w:val="60"/>
            </w:rPr>
          </w:pPr>
        </w:p>
        <w:p w14:paraId="4B090657" w14:textId="77777777" w:rsidR="009A1B61" w:rsidRPr="006D42D9" w:rsidRDefault="009A1B61" w:rsidP="00F40DD4">
          <w:pPr>
            <w:rPr>
              <w:rFonts w:ascii="Republika" w:hAnsi="Republika"/>
              <w:sz w:val="60"/>
              <w:szCs w:val="60"/>
            </w:rPr>
          </w:pPr>
        </w:p>
        <w:p w14:paraId="34450336" w14:textId="77777777" w:rsidR="009A1B61" w:rsidRPr="006D42D9" w:rsidRDefault="009A1B61" w:rsidP="00F40DD4">
          <w:pPr>
            <w:rPr>
              <w:rFonts w:ascii="Republika" w:hAnsi="Republika"/>
              <w:sz w:val="60"/>
              <w:szCs w:val="60"/>
            </w:rPr>
          </w:pPr>
        </w:p>
        <w:p w14:paraId="5698ECA8" w14:textId="77777777" w:rsidR="009A1B61" w:rsidRPr="006D42D9" w:rsidRDefault="009A1B61" w:rsidP="00F40DD4">
          <w:pPr>
            <w:rPr>
              <w:rFonts w:ascii="Republika" w:hAnsi="Republika"/>
              <w:sz w:val="60"/>
              <w:szCs w:val="60"/>
            </w:rPr>
          </w:pPr>
        </w:p>
        <w:p w14:paraId="43BBD228" w14:textId="77777777" w:rsidR="009A1B61" w:rsidRPr="006D42D9" w:rsidRDefault="009A1B61" w:rsidP="00F40DD4">
          <w:pPr>
            <w:rPr>
              <w:rFonts w:ascii="Republika" w:hAnsi="Republika"/>
              <w:sz w:val="60"/>
              <w:szCs w:val="60"/>
            </w:rPr>
          </w:pPr>
        </w:p>
        <w:p w14:paraId="177A1C4E" w14:textId="77777777" w:rsidR="009A1B61" w:rsidRPr="006D42D9" w:rsidRDefault="009A1B61" w:rsidP="00F40DD4">
          <w:pPr>
            <w:rPr>
              <w:rFonts w:ascii="Republika" w:hAnsi="Republika"/>
              <w:sz w:val="60"/>
              <w:szCs w:val="60"/>
            </w:rPr>
          </w:pPr>
        </w:p>
        <w:p w14:paraId="429C92A9" w14:textId="77777777" w:rsidR="009A1B61" w:rsidRPr="006D42D9" w:rsidRDefault="009A1B61" w:rsidP="00F40DD4">
          <w:pPr>
            <w:rPr>
              <w:rFonts w:ascii="Republika" w:hAnsi="Republika"/>
              <w:sz w:val="60"/>
              <w:szCs w:val="60"/>
            </w:rPr>
          </w:pPr>
        </w:p>
        <w:p w14:paraId="0BB32B53" w14:textId="77777777" w:rsidR="009A1B61" w:rsidRPr="006D42D9" w:rsidRDefault="009A1B61" w:rsidP="00F40DD4">
          <w:pPr>
            <w:rPr>
              <w:rFonts w:ascii="Republika" w:hAnsi="Republika"/>
              <w:sz w:val="60"/>
              <w:szCs w:val="60"/>
            </w:rPr>
          </w:pPr>
        </w:p>
        <w:p w14:paraId="7391BF07" w14:textId="77777777" w:rsidR="009A1B61" w:rsidRPr="006D42D9" w:rsidRDefault="009A1B61" w:rsidP="00F40DD4">
          <w:pPr>
            <w:rPr>
              <w:rFonts w:ascii="Republika" w:hAnsi="Republika"/>
              <w:sz w:val="60"/>
              <w:szCs w:val="60"/>
            </w:rPr>
          </w:pPr>
        </w:p>
        <w:p w14:paraId="395A725E" w14:textId="77777777" w:rsidR="009A1B61" w:rsidRPr="006D42D9" w:rsidRDefault="009A1B61" w:rsidP="00F40DD4">
          <w:pPr>
            <w:rPr>
              <w:rFonts w:ascii="Republika" w:hAnsi="Republika"/>
              <w:sz w:val="60"/>
              <w:szCs w:val="60"/>
            </w:rPr>
          </w:pPr>
        </w:p>
        <w:p w14:paraId="5DE25FAE" w14:textId="77777777" w:rsidR="009A1B61" w:rsidRPr="006D42D9" w:rsidRDefault="009A1B61" w:rsidP="00F40DD4">
          <w:pPr>
            <w:rPr>
              <w:rFonts w:ascii="Republika" w:hAnsi="Republika"/>
              <w:sz w:val="60"/>
              <w:szCs w:val="60"/>
            </w:rPr>
          </w:pPr>
        </w:p>
        <w:p w14:paraId="507D86C1" w14:textId="77777777" w:rsidR="009A1B61" w:rsidRPr="006D42D9" w:rsidRDefault="009A1B61" w:rsidP="00F40DD4">
          <w:pPr>
            <w:rPr>
              <w:rFonts w:ascii="Republika" w:hAnsi="Republika"/>
              <w:sz w:val="60"/>
              <w:szCs w:val="60"/>
            </w:rPr>
          </w:pPr>
        </w:p>
        <w:p w14:paraId="7AA76D35" w14:textId="77777777" w:rsidR="009A1B61" w:rsidRDefault="009A1B61" w:rsidP="00F40DD4">
          <w:pPr>
            <w:rPr>
              <w:rFonts w:ascii="Republika" w:hAnsi="Republika"/>
              <w:sz w:val="60"/>
              <w:szCs w:val="60"/>
            </w:rPr>
          </w:pPr>
        </w:p>
        <w:p w14:paraId="041574F5" w14:textId="77777777" w:rsidR="009A1B61" w:rsidRPr="006D42D9" w:rsidRDefault="009A1B61" w:rsidP="00F40DD4">
          <w:pPr>
            <w:rPr>
              <w:rFonts w:ascii="Republika" w:hAnsi="Republika"/>
              <w:sz w:val="60"/>
              <w:szCs w:val="60"/>
            </w:rPr>
          </w:pPr>
        </w:p>
      </w:tc>
    </w:tr>
  </w:tbl>
  <w:p w14:paraId="6750ED1D" w14:textId="2CF8C5BA" w:rsidR="009A1B61" w:rsidRPr="008F3500" w:rsidRDefault="009A1B61" w:rsidP="00F40DD4">
    <w:pPr>
      <w:autoSpaceDE w:val="0"/>
      <w:autoSpaceDN w:val="0"/>
      <w:adjustRightInd w:val="0"/>
      <w:rPr>
        <w:rFonts w:ascii="Republika" w:hAnsi="Republika"/>
      </w:rPr>
    </w:pPr>
    <w:r>
      <w:rPr>
        <w:rFonts w:ascii="Republika" w:hAnsi="Republika"/>
        <w:noProof/>
        <w:lang w:val="sl-SI" w:eastAsia="sl-SI"/>
      </w:rPr>
      <w:drawing>
        <wp:anchor distT="0" distB="0" distL="114300" distR="114300" simplePos="0" relativeHeight="251657216" behindDoc="1" locked="0" layoutInCell="1" allowOverlap="1" wp14:anchorId="7AB5953D" wp14:editId="232B46F0">
          <wp:simplePos x="0" y="0"/>
          <wp:positionH relativeFrom="margin">
            <wp:align>right</wp:align>
          </wp:positionH>
          <wp:positionV relativeFrom="paragraph">
            <wp:posOffset>-62865</wp:posOffset>
          </wp:positionV>
          <wp:extent cx="1304925" cy="558165"/>
          <wp:effectExtent l="0" t="0" r="9525" b="0"/>
          <wp:wrapTight wrapText="bothSides">
            <wp:wrapPolygon edited="0">
              <wp:start x="0" y="0"/>
              <wp:lineTo x="0" y="20642"/>
              <wp:lineTo x="21442" y="20642"/>
              <wp:lineTo x="21442"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trukturni_in_investicijski_skladi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58165"/>
                  </a:xfrm>
                  <a:prstGeom prst="rect">
                    <a:avLst/>
                  </a:prstGeom>
                </pic:spPr>
              </pic:pic>
            </a:graphicData>
          </a:graphic>
        </wp:anchor>
      </w:drawing>
    </w:r>
    <w:r>
      <w:rPr>
        <w:noProof/>
        <w:szCs w:val="20"/>
        <w:lang w:val="sl-SI" w:eastAsia="sl-SI"/>
      </w:rPr>
      <mc:AlternateContent>
        <mc:Choice Requires="wps">
          <w:drawing>
            <wp:anchor distT="4294967295" distB="4294967295" distL="114300" distR="114300" simplePos="0" relativeHeight="251658240" behindDoc="1" locked="0" layoutInCell="0" allowOverlap="1" wp14:anchorId="6EE6ECC8" wp14:editId="7C92F61E">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16A6DC6B"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14:paraId="26A56DB1" w14:textId="77777777" w:rsidR="009A1B61" w:rsidRDefault="009A1B61" w:rsidP="00F40DD4">
    <w:pPr>
      <w:pStyle w:val="Glava"/>
      <w:tabs>
        <w:tab w:val="left" w:pos="5112"/>
      </w:tabs>
      <w:spacing w:line="240" w:lineRule="exact"/>
      <w:rPr>
        <w:rFonts w:ascii="Republika" w:hAnsi="Republika"/>
        <w:b/>
        <w:caps/>
      </w:rPr>
    </w:pPr>
    <w:r>
      <w:rPr>
        <w:rFonts w:ascii="Republika" w:hAnsi="Republika"/>
        <w:b/>
        <w:caps/>
      </w:rPr>
      <w:t>Ministrstvo za gospodarsKI</w:t>
    </w:r>
  </w:p>
  <w:p w14:paraId="336DF851" w14:textId="77777777" w:rsidR="009A1B61" w:rsidRPr="00946C49" w:rsidRDefault="009A1B61" w:rsidP="00F40DD4">
    <w:pPr>
      <w:pStyle w:val="Glava"/>
      <w:tabs>
        <w:tab w:val="left" w:pos="5112"/>
      </w:tabs>
      <w:spacing w:after="120" w:line="240" w:lineRule="exact"/>
      <w:rPr>
        <w:rFonts w:ascii="Republika" w:hAnsi="Republika"/>
        <w:b/>
        <w:caps/>
      </w:rPr>
    </w:pPr>
    <w:r>
      <w:rPr>
        <w:rFonts w:ascii="Republika" w:hAnsi="Republika"/>
        <w:b/>
        <w:caps/>
      </w:rPr>
      <w:t>RAZVOJ IN TEHNOLOGIJO</w:t>
    </w:r>
  </w:p>
  <w:p w14:paraId="1CDC0D2D" w14:textId="77777777" w:rsidR="009A1B61" w:rsidRDefault="009A1B61" w:rsidP="00F40DD4">
    <w:pPr>
      <w:pStyle w:val="Glava"/>
      <w:tabs>
        <w:tab w:val="left" w:pos="5112"/>
      </w:tabs>
      <w:spacing w:before="240" w:line="240" w:lineRule="exact"/>
      <w:jc w:val="right"/>
      <w:rPr>
        <w:rFonts w:cs="Arial"/>
        <w:sz w:val="16"/>
      </w:rPr>
    </w:pPr>
    <w:r w:rsidRPr="00226C25">
      <w:rPr>
        <w:rFonts w:cs="Arial"/>
        <w:b/>
        <w:noProof/>
        <w:szCs w:val="20"/>
        <w:lang w:val="sl-SI" w:eastAsia="sl-SI"/>
      </w:rPr>
      <w:drawing>
        <wp:inline distT="0" distB="0" distL="0" distR="0" wp14:anchorId="255A907A" wp14:editId="1E655876">
          <wp:extent cx="2066925" cy="10096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pic:spPr>
              </pic:pic>
            </a:graphicData>
          </a:graphic>
        </wp:inline>
      </w:drawing>
    </w:r>
  </w:p>
  <w:p w14:paraId="40F23158" w14:textId="0EA77A94" w:rsidR="009A1B61" w:rsidRPr="00596343" w:rsidRDefault="009A1B61" w:rsidP="00F40DD4">
    <w:pPr>
      <w:pStyle w:val="Glava"/>
      <w:tabs>
        <w:tab w:val="left" w:pos="5112"/>
      </w:tabs>
      <w:spacing w:before="240" w:line="240" w:lineRule="exact"/>
      <w:rPr>
        <w:rFonts w:cs="Arial"/>
        <w:sz w:val="16"/>
      </w:rPr>
    </w:pPr>
    <w:proofErr w:type="spellStart"/>
    <w:r w:rsidRPr="00596343">
      <w:rPr>
        <w:rFonts w:cs="Arial"/>
        <w:sz w:val="16"/>
      </w:rPr>
      <w:t>Kotnikova</w:t>
    </w:r>
    <w:proofErr w:type="spellEnd"/>
    <w:r w:rsidRPr="00596343">
      <w:rPr>
        <w:rFonts w:cs="Arial"/>
        <w:sz w:val="16"/>
      </w:rPr>
      <w:t xml:space="preserve"> 5, 1000 Ljubljana</w:t>
    </w:r>
    <w:r w:rsidRPr="00596343">
      <w:rPr>
        <w:rFonts w:cs="Arial"/>
        <w:sz w:val="16"/>
      </w:rPr>
      <w:tab/>
    </w:r>
    <w:r w:rsidRPr="00596343">
      <w:rPr>
        <w:rFonts w:cs="Arial"/>
        <w:sz w:val="16"/>
      </w:rPr>
      <w:tab/>
      <w:t>T: 01 400 36 00, 01 400 33 11</w:t>
    </w:r>
  </w:p>
  <w:p w14:paraId="265BC713" w14:textId="04E79CD2" w:rsidR="009A1B61" w:rsidRPr="00596343" w:rsidRDefault="009A1B61" w:rsidP="00F40DD4">
    <w:pPr>
      <w:pStyle w:val="Glava"/>
      <w:tabs>
        <w:tab w:val="left" w:pos="5112"/>
      </w:tabs>
      <w:spacing w:line="240" w:lineRule="exact"/>
      <w:rPr>
        <w:rFonts w:cs="Arial"/>
        <w:sz w:val="16"/>
      </w:rPr>
    </w:pPr>
    <w:r w:rsidRPr="00596343">
      <w:rPr>
        <w:rFonts w:cs="Arial"/>
        <w:sz w:val="16"/>
      </w:rPr>
      <w:tab/>
    </w:r>
    <w:r w:rsidRPr="00596343">
      <w:rPr>
        <w:rFonts w:cs="Arial"/>
        <w:sz w:val="16"/>
      </w:rPr>
      <w:tab/>
      <w:t xml:space="preserve">F: 01 433 10 31 </w:t>
    </w:r>
  </w:p>
  <w:p w14:paraId="29F0F008" w14:textId="4FF0E8E5" w:rsidR="009A1B61" w:rsidRPr="00596343" w:rsidRDefault="009A1B61" w:rsidP="00F40DD4">
    <w:pPr>
      <w:pStyle w:val="Glava"/>
      <w:tabs>
        <w:tab w:val="left" w:pos="5112"/>
      </w:tabs>
      <w:spacing w:line="240" w:lineRule="exact"/>
      <w:rPr>
        <w:rFonts w:cs="Arial"/>
        <w:sz w:val="16"/>
      </w:rPr>
    </w:pPr>
    <w:r w:rsidRPr="00596343">
      <w:rPr>
        <w:rFonts w:cs="Arial"/>
        <w:sz w:val="16"/>
      </w:rPr>
      <w:tab/>
    </w:r>
    <w:r w:rsidRPr="00596343">
      <w:rPr>
        <w:rFonts w:cs="Arial"/>
        <w:sz w:val="16"/>
      </w:rPr>
      <w:tab/>
      <w:t xml:space="preserve">E: </w:t>
    </w:r>
    <w:hyperlink r:id="rId4" w:history="1">
      <w:r w:rsidRPr="00596343">
        <w:rPr>
          <w:rStyle w:val="Hiperpovezava"/>
          <w:rFonts w:eastAsia="Calibri" w:cs="Arial"/>
          <w:sz w:val="16"/>
        </w:rPr>
        <w:t>gp.mgrt@gov.si</w:t>
      </w:r>
    </w:hyperlink>
    <w:r w:rsidRPr="00596343">
      <w:rPr>
        <w:rFonts w:cs="Arial"/>
        <w:sz w:val="16"/>
      </w:rPr>
      <w:t xml:space="preserve"> </w:t>
    </w:r>
  </w:p>
  <w:p w14:paraId="1B352B5D" w14:textId="6A9631D6" w:rsidR="009A1B61" w:rsidRPr="00596343" w:rsidRDefault="009A1B61" w:rsidP="00F40DD4">
    <w:pPr>
      <w:pStyle w:val="Glava"/>
      <w:tabs>
        <w:tab w:val="left" w:pos="5112"/>
      </w:tabs>
      <w:spacing w:line="240" w:lineRule="exact"/>
      <w:rPr>
        <w:rFonts w:cs="Arial"/>
        <w:sz w:val="16"/>
      </w:rPr>
    </w:pPr>
    <w:r w:rsidRPr="00596343">
      <w:rPr>
        <w:rFonts w:cs="Arial"/>
        <w:sz w:val="16"/>
      </w:rPr>
      <w:tab/>
    </w:r>
    <w:r w:rsidRPr="00596343">
      <w:rPr>
        <w:rFonts w:cs="Arial"/>
        <w:sz w:val="16"/>
      </w:rPr>
      <w:tab/>
    </w:r>
    <w:hyperlink r:id="rId5" w:history="1">
      <w:r w:rsidRPr="00596343">
        <w:rPr>
          <w:rStyle w:val="Hiperpovezava"/>
          <w:rFonts w:eastAsia="Calibri" w:cs="Arial"/>
          <w:sz w:val="16"/>
        </w:rPr>
        <w:t>www.mgrt.gov.si</w:t>
      </w:r>
    </w:hyperlink>
    <w:r w:rsidRPr="00596343">
      <w:rPr>
        <w:rFonts w:cs="Arial"/>
        <w:sz w:val="16"/>
      </w:rPr>
      <w:t xml:space="preserve"> </w:t>
    </w:r>
  </w:p>
  <w:p w14:paraId="61CD5B0F" w14:textId="77777777" w:rsidR="009A1B61" w:rsidRDefault="009A1B61" w:rsidP="00F40DD4">
    <w:pPr>
      <w:pStyle w:val="Glava"/>
      <w:tabs>
        <w:tab w:val="left" w:pos="5112"/>
      </w:tabs>
      <w:spacing w:line="240" w:lineRule="exact"/>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F9BB" w14:textId="77777777" w:rsidR="009A1B61" w:rsidRDefault="009A1B61" w:rsidP="00F40DD4">
    <w:pPr>
      <w:pStyle w:val="Glava"/>
      <w:tabs>
        <w:tab w:val="left" w:pos="5112"/>
      </w:tabs>
      <w:spacing w:before="240" w:line="240" w:lineRule="exact"/>
      <w:jc w:val="right"/>
      <w:rPr>
        <w:rFonts w:cs="Arial"/>
        <w:sz w:val="16"/>
      </w:rPr>
    </w:pPr>
    <w:r w:rsidRPr="00226C25">
      <w:rPr>
        <w:rFonts w:cs="Arial"/>
        <w:b/>
        <w:noProof/>
        <w:szCs w:val="20"/>
        <w:lang w:val="sl-SI" w:eastAsia="sl-SI"/>
      </w:rPr>
      <w:drawing>
        <wp:inline distT="0" distB="0" distL="0" distR="0" wp14:anchorId="00F71C0F" wp14:editId="22FC0946">
          <wp:extent cx="2066925" cy="10096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pic:spPr>
              </pic:pic>
            </a:graphicData>
          </a:graphic>
        </wp:inline>
      </w:drawing>
    </w:r>
  </w:p>
  <w:p w14:paraId="7A5155BE" w14:textId="77777777" w:rsidR="009A1B61" w:rsidRDefault="009A1B61" w:rsidP="00F40DD4">
    <w:pPr>
      <w:pStyle w:val="Glava"/>
      <w:tabs>
        <w:tab w:val="left" w:pos="5112"/>
      </w:tabs>
      <w:spacing w:line="240" w:lineRule="exact"/>
      <w:rPr>
        <w:rFonts w:cs="Arial"/>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5179" w14:textId="77777777" w:rsidR="009A1B61" w:rsidRDefault="009A1B61">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85B5" w14:textId="77777777" w:rsidR="009A1B61" w:rsidRPr="004D434D" w:rsidRDefault="009A1B61" w:rsidP="004D434D">
    <w:pPr>
      <w:pStyle w:val="Glava"/>
    </w:pPr>
    <w:r w:rsidRPr="004D434D">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BB67" w14:textId="74124836" w:rsidR="009A1B61" w:rsidRPr="00A430D5" w:rsidRDefault="009A1B61" w:rsidP="00A430D5">
    <w:pPr>
      <w:pStyle w:val="Glava"/>
      <w:tabs>
        <w:tab w:val="left" w:pos="5112"/>
      </w:tabs>
      <w:spacing w:line="240" w:lineRule="exact"/>
      <w:rPr>
        <w:rFonts w:cs="Arial"/>
        <w:sz w:val="16"/>
      </w:rPr>
    </w:pPr>
    <w:r>
      <w:rPr>
        <w:rFonts w:cs="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5105752"/>
    <w:multiLevelType w:val="hybridMultilevel"/>
    <w:tmpl w:val="6008B0F2"/>
    <w:lvl w:ilvl="0" w:tplc="48F8D7E2">
      <w:start w:val="1"/>
      <w:numFmt w:val="bullet"/>
      <w:lvlText w:val="–"/>
      <w:lvlJc w:val="left"/>
      <w:pPr>
        <w:ind w:left="360" w:hanging="360"/>
      </w:pPr>
      <w:rPr>
        <w:rFonts w:ascii="Arial" w:hAnsi="Arial" w:hint="default"/>
      </w:rPr>
    </w:lvl>
    <w:lvl w:ilvl="1" w:tplc="8C4831EE" w:tentative="1">
      <w:start w:val="1"/>
      <w:numFmt w:val="bullet"/>
      <w:lvlText w:val="o"/>
      <w:lvlJc w:val="left"/>
      <w:pPr>
        <w:ind w:left="1080" w:hanging="360"/>
      </w:pPr>
      <w:rPr>
        <w:rFonts w:ascii="Courier New" w:hAnsi="Courier New" w:cs="Courier New" w:hint="default"/>
      </w:rPr>
    </w:lvl>
    <w:lvl w:ilvl="2" w:tplc="D7F08CF0" w:tentative="1">
      <w:start w:val="1"/>
      <w:numFmt w:val="bullet"/>
      <w:lvlText w:val=""/>
      <w:lvlJc w:val="left"/>
      <w:pPr>
        <w:ind w:left="1800" w:hanging="360"/>
      </w:pPr>
      <w:rPr>
        <w:rFonts w:ascii="Wingdings" w:hAnsi="Wingdings" w:hint="default"/>
      </w:rPr>
    </w:lvl>
    <w:lvl w:ilvl="3" w:tplc="744C14CA" w:tentative="1">
      <w:start w:val="1"/>
      <w:numFmt w:val="bullet"/>
      <w:lvlText w:val=""/>
      <w:lvlJc w:val="left"/>
      <w:pPr>
        <w:ind w:left="2520" w:hanging="360"/>
      </w:pPr>
      <w:rPr>
        <w:rFonts w:ascii="Symbol" w:hAnsi="Symbol" w:hint="default"/>
      </w:rPr>
    </w:lvl>
    <w:lvl w:ilvl="4" w:tplc="E1B44E3E" w:tentative="1">
      <w:start w:val="1"/>
      <w:numFmt w:val="bullet"/>
      <w:lvlText w:val="o"/>
      <w:lvlJc w:val="left"/>
      <w:pPr>
        <w:ind w:left="3240" w:hanging="360"/>
      </w:pPr>
      <w:rPr>
        <w:rFonts w:ascii="Courier New" w:hAnsi="Courier New" w:cs="Courier New" w:hint="default"/>
      </w:rPr>
    </w:lvl>
    <w:lvl w:ilvl="5" w:tplc="27843D68" w:tentative="1">
      <w:start w:val="1"/>
      <w:numFmt w:val="bullet"/>
      <w:lvlText w:val=""/>
      <w:lvlJc w:val="left"/>
      <w:pPr>
        <w:ind w:left="3960" w:hanging="360"/>
      </w:pPr>
      <w:rPr>
        <w:rFonts w:ascii="Wingdings" w:hAnsi="Wingdings" w:hint="default"/>
      </w:rPr>
    </w:lvl>
    <w:lvl w:ilvl="6" w:tplc="50E6068A" w:tentative="1">
      <w:start w:val="1"/>
      <w:numFmt w:val="bullet"/>
      <w:lvlText w:val=""/>
      <w:lvlJc w:val="left"/>
      <w:pPr>
        <w:ind w:left="4680" w:hanging="360"/>
      </w:pPr>
      <w:rPr>
        <w:rFonts w:ascii="Symbol" w:hAnsi="Symbol" w:hint="default"/>
      </w:rPr>
    </w:lvl>
    <w:lvl w:ilvl="7" w:tplc="5B262020" w:tentative="1">
      <w:start w:val="1"/>
      <w:numFmt w:val="bullet"/>
      <w:lvlText w:val="o"/>
      <w:lvlJc w:val="left"/>
      <w:pPr>
        <w:ind w:left="5400" w:hanging="360"/>
      </w:pPr>
      <w:rPr>
        <w:rFonts w:ascii="Courier New" w:hAnsi="Courier New" w:cs="Courier New" w:hint="default"/>
      </w:rPr>
    </w:lvl>
    <w:lvl w:ilvl="8" w:tplc="C5E0D810" w:tentative="1">
      <w:start w:val="1"/>
      <w:numFmt w:val="bullet"/>
      <w:lvlText w:val=""/>
      <w:lvlJc w:val="left"/>
      <w:pPr>
        <w:ind w:left="6120" w:hanging="360"/>
      </w:pPr>
      <w:rPr>
        <w:rFonts w:ascii="Wingdings" w:hAnsi="Wingdings" w:hint="default"/>
      </w:rPr>
    </w:lvl>
  </w:abstractNum>
  <w:abstractNum w:abstractNumId="2">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D7121"/>
    <w:multiLevelType w:val="hybridMultilevel"/>
    <w:tmpl w:val="02CEE1CC"/>
    <w:lvl w:ilvl="0" w:tplc="A044F6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2F4212"/>
    <w:multiLevelType w:val="hybridMultilevel"/>
    <w:tmpl w:val="BFBAC7EA"/>
    <w:lvl w:ilvl="0" w:tplc="004A97F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9">
    <w:nsid w:val="249220CC"/>
    <w:multiLevelType w:val="hybridMultilevel"/>
    <w:tmpl w:val="DE6C6B24"/>
    <w:lvl w:ilvl="0" w:tplc="413E41AC">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B446037"/>
    <w:multiLevelType w:val="hybridMultilevel"/>
    <w:tmpl w:val="4138557E"/>
    <w:lvl w:ilvl="0" w:tplc="9AB8FC5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190FB2"/>
    <w:multiLevelType w:val="hybridMultilevel"/>
    <w:tmpl w:val="8F704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941046"/>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0">
    <w:nsid w:val="533A25DB"/>
    <w:multiLevelType w:val="hybridMultilevel"/>
    <w:tmpl w:val="31AAC6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554F6D0F"/>
    <w:multiLevelType w:val="hybridMultilevel"/>
    <w:tmpl w:val="E6142EBE"/>
    <w:lvl w:ilvl="0" w:tplc="413E41AC">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5707C7A"/>
    <w:multiLevelType w:val="hybridMultilevel"/>
    <w:tmpl w:val="3B5C85B4"/>
    <w:lvl w:ilvl="0" w:tplc="9AB8FC5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58D5478"/>
    <w:multiLevelType w:val="hybridMultilevel"/>
    <w:tmpl w:val="95A20532"/>
    <w:lvl w:ilvl="0" w:tplc="B51EB02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5">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FCA1BFD"/>
    <w:multiLevelType w:val="hybridMultilevel"/>
    <w:tmpl w:val="FEEE8242"/>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2A11FA"/>
    <w:multiLevelType w:val="multilevel"/>
    <w:tmpl w:val="009240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0EA15A1"/>
    <w:multiLevelType w:val="multilevel"/>
    <w:tmpl w:val="EF0E6BE4"/>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Arial" w:hAnsi="Arial" w:cs="Arial" w:hint="default"/>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9">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1">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28"/>
  </w:num>
  <w:num w:numId="2">
    <w:abstractNumId w:val="5"/>
  </w:num>
  <w:num w:numId="3">
    <w:abstractNumId w:val="17"/>
  </w:num>
  <w:num w:numId="4">
    <w:abstractNumId w:val="18"/>
  </w:num>
  <w:num w:numId="5">
    <w:abstractNumId w:val="3"/>
  </w:num>
  <w:num w:numId="6">
    <w:abstractNumId w:val="11"/>
  </w:num>
  <w:num w:numId="7">
    <w:abstractNumId w:val="12"/>
    <w:lvlOverride w:ilvl="0">
      <w:startOverride w:val="1"/>
    </w:lvlOverride>
  </w:num>
  <w:num w:numId="8">
    <w:abstractNumId w:val="29"/>
  </w:num>
  <w:num w:numId="9">
    <w:abstractNumId w:val="8"/>
  </w:num>
  <w:num w:numId="10">
    <w:abstractNumId w:val="0"/>
  </w:num>
  <w:num w:numId="11">
    <w:abstractNumId w:val="24"/>
  </w:num>
  <w:num w:numId="12">
    <w:abstractNumId w:val="19"/>
  </w:num>
  <w:num w:numId="13">
    <w:abstractNumId w:val="31"/>
  </w:num>
  <w:num w:numId="14">
    <w:abstractNumId w:val="10"/>
  </w:num>
  <w:num w:numId="15">
    <w:abstractNumId w:val="14"/>
  </w:num>
  <w:num w:numId="16">
    <w:abstractNumId w:val="4"/>
  </w:num>
  <w:num w:numId="17">
    <w:abstractNumId w:val="2"/>
  </w:num>
  <w:num w:numId="18">
    <w:abstractNumId w:val="30"/>
  </w:num>
  <w:num w:numId="19">
    <w:abstractNumId w:val="25"/>
  </w:num>
  <w:num w:numId="20">
    <w:abstractNumId w:val="13"/>
  </w:num>
  <w:num w:numId="21">
    <w:abstractNumId w:val="16"/>
  </w:num>
  <w:num w:numId="22">
    <w:abstractNumId w:val="6"/>
  </w:num>
  <w:num w:numId="23">
    <w:abstractNumId w:val="23"/>
  </w:num>
  <w:num w:numId="24">
    <w:abstractNumId w:val="22"/>
  </w:num>
  <w:num w:numId="25">
    <w:abstractNumId w:val="27"/>
  </w:num>
  <w:num w:numId="26">
    <w:abstractNumId w:val="21"/>
  </w:num>
  <w:num w:numId="27">
    <w:abstractNumId w:val="20"/>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15"/>
  </w:num>
  <w:num w:numId="35">
    <w:abstractNumId w:val="1"/>
  </w:num>
  <w:num w:numId="36">
    <w:abstractNumId w:val="7"/>
  </w:num>
  <w:num w:numId="37">
    <w:abstractNumId w:val="26"/>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252C"/>
    <w:rsid w:val="00004458"/>
    <w:rsid w:val="00006039"/>
    <w:rsid w:val="000063CE"/>
    <w:rsid w:val="00010810"/>
    <w:rsid w:val="00013698"/>
    <w:rsid w:val="00014393"/>
    <w:rsid w:val="00014A3A"/>
    <w:rsid w:val="000154F0"/>
    <w:rsid w:val="00015CBA"/>
    <w:rsid w:val="00016CCE"/>
    <w:rsid w:val="00017E51"/>
    <w:rsid w:val="00021F82"/>
    <w:rsid w:val="00022146"/>
    <w:rsid w:val="0002248B"/>
    <w:rsid w:val="00022D46"/>
    <w:rsid w:val="00023D44"/>
    <w:rsid w:val="00024D26"/>
    <w:rsid w:val="0002501D"/>
    <w:rsid w:val="00025CB3"/>
    <w:rsid w:val="00025D80"/>
    <w:rsid w:val="00025F0F"/>
    <w:rsid w:val="00026E66"/>
    <w:rsid w:val="00030830"/>
    <w:rsid w:val="000313C8"/>
    <w:rsid w:val="00035C58"/>
    <w:rsid w:val="00035D43"/>
    <w:rsid w:val="00036A16"/>
    <w:rsid w:val="00036FE6"/>
    <w:rsid w:val="0004022C"/>
    <w:rsid w:val="00041189"/>
    <w:rsid w:val="00042ECE"/>
    <w:rsid w:val="00043FF3"/>
    <w:rsid w:val="00044D4A"/>
    <w:rsid w:val="000458E6"/>
    <w:rsid w:val="0004791C"/>
    <w:rsid w:val="00050709"/>
    <w:rsid w:val="00051D67"/>
    <w:rsid w:val="00051D89"/>
    <w:rsid w:val="00051F4A"/>
    <w:rsid w:val="000534E9"/>
    <w:rsid w:val="000541D6"/>
    <w:rsid w:val="00054409"/>
    <w:rsid w:val="00055E6E"/>
    <w:rsid w:val="0005654B"/>
    <w:rsid w:val="00056B2C"/>
    <w:rsid w:val="00057058"/>
    <w:rsid w:val="000573F2"/>
    <w:rsid w:val="000615E6"/>
    <w:rsid w:val="00061A0A"/>
    <w:rsid w:val="00062CC0"/>
    <w:rsid w:val="00063B7F"/>
    <w:rsid w:val="00063D57"/>
    <w:rsid w:val="000647AD"/>
    <w:rsid w:val="0006499A"/>
    <w:rsid w:val="000653FF"/>
    <w:rsid w:val="00065806"/>
    <w:rsid w:val="00065B0F"/>
    <w:rsid w:val="000673D4"/>
    <w:rsid w:val="00067E56"/>
    <w:rsid w:val="00070E13"/>
    <w:rsid w:val="00071C6D"/>
    <w:rsid w:val="0007219E"/>
    <w:rsid w:val="000744E8"/>
    <w:rsid w:val="00074B38"/>
    <w:rsid w:val="0007644E"/>
    <w:rsid w:val="00083A3F"/>
    <w:rsid w:val="00083BF9"/>
    <w:rsid w:val="0008417B"/>
    <w:rsid w:val="00084682"/>
    <w:rsid w:val="00091BDF"/>
    <w:rsid w:val="000935C1"/>
    <w:rsid w:val="000945A9"/>
    <w:rsid w:val="00094DA7"/>
    <w:rsid w:val="00095A3A"/>
    <w:rsid w:val="00096D49"/>
    <w:rsid w:val="000A2C1E"/>
    <w:rsid w:val="000A69C9"/>
    <w:rsid w:val="000A7CA0"/>
    <w:rsid w:val="000B1C8B"/>
    <w:rsid w:val="000B1CF5"/>
    <w:rsid w:val="000B3426"/>
    <w:rsid w:val="000B4B72"/>
    <w:rsid w:val="000B6D74"/>
    <w:rsid w:val="000B79AC"/>
    <w:rsid w:val="000B7F61"/>
    <w:rsid w:val="000C1160"/>
    <w:rsid w:val="000C228B"/>
    <w:rsid w:val="000C2A96"/>
    <w:rsid w:val="000C42E7"/>
    <w:rsid w:val="000C437D"/>
    <w:rsid w:val="000C5ED4"/>
    <w:rsid w:val="000C7069"/>
    <w:rsid w:val="000C7322"/>
    <w:rsid w:val="000C75BE"/>
    <w:rsid w:val="000C7CCF"/>
    <w:rsid w:val="000D2562"/>
    <w:rsid w:val="000D4A90"/>
    <w:rsid w:val="000D5D56"/>
    <w:rsid w:val="000D67D8"/>
    <w:rsid w:val="000E1A39"/>
    <w:rsid w:val="000E24C8"/>
    <w:rsid w:val="000E255B"/>
    <w:rsid w:val="000E3857"/>
    <w:rsid w:val="000E405F"/>
    <w:rsid w:val="000E44B9"/>
    <w:rsid w:val="000E4515"/>
    <w:rsid w:val="000F04AE"/>
    <w:rsid w:val="000F071A"/>
    <w:rsid w:val="000F29F9"/>
    <w:rsid w:val="000F32ED"/>
    <w:rsid w:val="000F52A7"/>
    <w:rsid w:val="00104BED"/>
    <w:rsid w:val="00106AB7"/>
    <w:rsid w:val="00107C2A"/>
    <w:rsid w:val="001100DB"/>
    <w:rsid w:val="0011370A"/>
    <w:rsid w:val="001143F0"/>
    <w:rsid w:val="001168A0"/>
    <w:rsid w:val="00117206"/>
    <w:rsid w:val="001179A0"/>
    <w:rsid w:val="00120325"/>
    <w:rsid w:val="001207E6"/>
    <w:rsid w:val="001254A3"/>
    <w:rsid w:val="001263F8"/>
    <w:rsid w:val="0013029E"/>
    <w:rsid w:val="00131925"/>
    <w:rsid w:val="00137E41"/>
    <w:rsid w:val="00140560"/>
    <w:rsid w:val="0014071E"/>
    <w:rsid w:val="0014111A"/>
    <w:rsid w:val="0014118A"/>
    <w:rsid w:val="00142290"/>
    <w:rsid w:val="0014326E"/>
    <w:rsid w:val="001434DD"/>
    <w:rsid w:val="00144285"/>
    <w:rsid w:val="00144697"/>
    <w:rsid w:val="00146A5A"/>
    <w:rsid w:val="0015094C"/>
    <w:rsid w:val="001525F2"/>
    <w:rsid w:val="00153DB1"/>
    <w:rsid w:val="001549C4"/>
    <w:rsid w:val="00154A9B"/>
    <w:rsid w:val="001559DE"/>
    <w:rsid w:val="00156A8A"/>
    <w:rsid w:val="001576D4"/>
    <w:rsid w:val="00157C6A"/>
    <w:rsid w:val="00160AEF"/>
    <w:rsid w:val="00162090"/>
    <w:rsid w:val="0016234A"/>
    <w:rsid w:val="0016282F"/>
    <w:rsid w:val="001647E7"/>
    <w:rsid w:val="00171E0D"/>
    <w:rsid w:val="001725E3"/>
    <w:rsid w:val="00172A87"/>
    <w:rsid w:val="00174262"/>
    <w:rsid w:val="00174398"/>
    <w:rsid w:val="00176B1D"/>
    <w:rsid w:val="00177198"/>
    <w:rsid w:val="0017753B"/>
    <w:rsid w:val="00177E92"/>
    <w:rsid w:val="00180605"/>
    <w:rsid w:val="001809B3"/>
    <w:rsid w:val="00184BE9"/>
    <w:rsid w:val="00184BEC"/>
    <w:rsid w:val="001855D9"/>
    <w:rsid w:val="00185DA5"/>
    <w:rsid w:val="001868E0"/>
    <w:rsid w:val="00190FBD"/>
    <w:rsid w:val="00191D60"/>
    <w:rsid w:val="001926A3"/>
    <w:rsid w:val="00192835"/>
    <w:rsid w:val="00192A7D"/>
    <w:rsid w:val="00194327"/>
    <w:rsid w:val="00197496"/>
    <w:rsid w:val="001A0C27"/>
    <w:rsid w:val="001A2BED"/>
    <w:rsid w:val="001A3E75"/>
    <w:rsid w:val="001A5C61"/>
    <w:rsid w:val="001A6F69"/>
    <w:rsid w:val="001B0E34"/>
    <w:rsid w:val="001B14B7"/>
    <w:rsid w:val="001B3292"/>
    <w:rsid w:val="001B58C7"/>
    <w:rsid w:val="001B639E"/>
    <w:rsid w:val="001C1341"/>
    <w:rsid w:val="001C20BB"/>
    <w:rsid w:val="001C24E4"/>
    <w:rsid w:val="001C2A17"/>
    <w:rsid w:val="001C2C2D"/>
    <w:rsid w:val="001C320C"/>
    <w:rsid w:val="001C357A"/>
    <w:rsid w:val="001C3FE5"/>
    <w:rsid w:val="001C5CCF"/>
    <w:rsid w:val="001C7BF6"/>
    <w:rsid w:val="001D11BA"/>
    <w:rsid w:val="001D5E7E"/>
    <w:rsid w:val="001D75C4"/>
    <w:rsid w:val="001E32C0"/>
    <w:rsid w:val="001E5345"/>
    <w:rsid w:val="001F3C10"/>
    <w:rsid w:val="001F4379"/>
    <w:rsid w:val="001F49D7"/>
    <w:rsid w:val="001F6528"/>
    <w:rsid w:val="001F6BCE"/>
    <w:rsid w:val="001F712D"/>
    <w:rsid w:val="001F7700"/>
    <w:rsid w:val="001F7C40"/>
    <w:rsid w:val="00202E82"/>
    <w:rsid w:val="002031DB"/>
    <w:rsid w:val="00205264"/>
    <w:rsid w:val="00205460"/>
    <w:rsid w:val="002057F9"/>
    <w:rsid w:val="00205BD7"/>
    <w:rsid w:val="00206B3F"/>
    <w:rsid w:val="00206C6A"/>
    <w:rsid w:val="0021047C"/>
    <w:rsid w:val="00210671"/>
    <w:rsid w:val="0021398C"/>
    <w:rsid w:val="00215459"/>
    <w:rsid w:val="00215D27"/>
    <w:rsid w:val="002204B7"/>
    <w:rsid w:val="0022100E"/>
    <w:rsid w:val="00222D7A"/>
    <w:rsid w:val="00222F23"/>
    <w:rsid w:val="00224B22"/>
    <w:rsid w:val="00224F55"/>
    <w:rsid w:val="002274BA"/>
    <w:rsid w:val="0022784F"/>
    <w:rsid w:val="002319DE"/>
    <w:rsid w:val="00232746"/>
    <w:rsid w:val="002335B4"/>
    <w:rsid w:val="00233ED5"/>
    <w:rsid w:val="0023410F"/>
    <w:rsid w:val="00235A1B"/>
    <w:rsid w:val="00237AF7"/>
    <w:rsid w:val="0024007F"/>
    <w:rsid w:val="002406B0"/>
    <w:rsid w:val="00240926"/>
    <w:rsid w:val="002423C1"/>
    <w:rsid w:val="00242612"/>
    <w:rsid w:val="00244B95"/>
    <w:rsid w:val="00245BAA"/>
    <w:rsid w:val="00245F0E"/>
    <w:rsid w:val="0024723C"/>
    <w:rsid w:val="002507F9"/>
    <w:rsid w:val="00252A91"/>
    <w:rsid w:val="00252E60"/>
    <w:rsid w:val="0025434A"/>
    <w:rsid w:val="00254C41"/>
    <w:rsid w:val="0025614A"/>
    <w:rsid w:val="0025624B"/>
    <w:rsid w:val="002627E8"/>
    <w:rsid w:val="00265B45"/>
    <w:rsid w:val="00266C05"/>
    <w:rsid w:val="00266FC5"/>
    <w:rsid w:val="002670C7"/>
    <w:rsid w:val="0026775D"/>
    <w:rsid w:val="00267F18"/>
    <w:rsid w:val="00271A03"/>
    <w:rsid w:val="00272443"/>
    <w:rsid w:val="002725D7"/>
    <w:rsid w:val="00272FFA"/>
    <w:rsid w:val="00274F49"/>
    <w:rsid w:val="00276AB8"/>
    <w:rsid w:val="0027707C"/>
    <w:rsid w:val="0028215C"/>
    <w:rsid w:val="002831EE"/>
    <w:rsid w:val="00284063"/>
    <w:rsid w:val="002842DA"/>
    <w:rsid w:val="002863FD"/>
    <w:rsid w:val="00286A5D"/>
    <w:rsid w:val="00286EF1"/>
    <w:rsid w:val="00291FBA"/>
    <w:rsid w:val="0029262B"/>
    <w:rsid w:val="00292FA7"/>
    <w:rsid w:val="00294990"/>
    <w:rsid w:val="00294B4C"/>
    <w:rsid w:val="002A0EFE"/>
    <w:rsid w:val="002A1EE6"/>
    <w:rsid w:val="002A3131"/>
    <w:rsid w:val="002A4D73"/>
    <w:rsid w:val="002A59F2"/>
    <w:rsid w:val="002A6BE8"/>
    <w:rsid w:val="002A77F1"/>
    <w:rsid w:val="002A7DE3"/>
    <w:rsid w:val="002B15C0"/>
    <w:rsid w:val="002B17C7"/>
    <w:rsid w:val="002B1FC1"/>
    <w:rsid w:val="002B4293"/>
    <w:rsid w:val="002B6E5C"/>
    <w:rsid w:val="002B7358"/>
    <w:rsid w:val="002C0584"/>
    <w:rsid w:val="002C0740"/>
    <w:rsid w:val="002C18A5"/>
    <w:rsid w:val="002C464D"/>
    <w:rsid w:val="002C5BBA"/>
    <w:rsid w:val="002C64AE"/>
    <w:rsid w:val="002C6CC0"/>
    <w:rsid w:val="002D0024"/>
    <w:rsid w:val="002D0152"/>
    <w:rsid w:val="002D0370"/>
    <w:rsid w:val="002D06A4"/>
    <w:rsid w:val="002D2FC6"/>
    <w:rsid w:val="002D4996"/>
    <w:rsid w:val="002D4E40"/>
    <w:rsid w:val="002D7575"/>
    <w:rsid w:val="002E06D2"/>
    <w:rsid w:val="002E0A78"/>
    <w:rsid w:val="002E17B4"/>
    <w:rsid w:val="002E1E86"/>
    <w:rsid w:val="002E26DA"/>
    <w:rsid w:val="002E28D3"/>
    <w:rsid w:val="002E31F9"/>
    <w:rsid w:val="002E5329"/>
    <w:rsid w:val="002E5375"/>
    <w:rsid w:val="002E5ACB"/>
    <w:rsid w:val="002E6CA6"/>
    <w:rsid w:val="002E71A2"/>
    <w:rsid w:val="002E797B"/>
    <w:rsid w:val="002F02AF"/>
    <w:rsid w:val="002F036A"/>
    <w:rsid w:val="002F1E76"/>
    <w:rsid w:val="002F2341"/>
    <w:rsid w:val="002F29D9"/>
    <w:rsid w:val="002F3038"/>
    <w:rsid w:val="002F50B9"/>
    <w:rsid w:val="002F50BD"/>
    <w:rsid w:val="002F63AC"/>
    <w:rsid w:val="002F6740"/>
    <w:rsid w:val="002F6D4C"/>
    <w:rsid w:val="002F6D8C"/>
    <w:rsid w:val="0030006A"/>
    <w:rsid w:val="00300588"/>
    <w:rsid w:val="0030080D"/>
    <w:rsid w:val="00300C5E"/>
    <w:rsid w:val="00301F85"/>
    <w:rsid w:val="003039B2"/>
    <w:rsid w:val="00306359"/>
    <w:rsid w:val="00310F4B"/>
    <w:rsid w:val="00314637"/>
    <w:rsid w:val="0031491C"/>
    <w:rsid w:val="00315212"/>
    <w:rsid w:val="00320D98"/>
    <w:rsid w:val="00321CF3"/>
    <w:rsid w:val="00323BD4"/>
    <w:rsid w:val="0032488E"/>
    <w:rsid w:val="003278D0"/>
    <w:rsid w:val="003279B2"/>
    <w:rsid w:val="00332382"/>
    <w:rsid w:val="00332697"/>
    <w:rsid w:val="00332CF0"/>
    <w:rsid w:val="00333026"/>
    <w:rsid w:val="00334E86"/>
    <w:rsid w:val="00336B27"/>
    <w:rsid w:val="00342FF1"/>
    <w:rsid w:val="003431D2"/>
    <w:rsid w:val="00343376"/>
    <w:rsid w:val="00343D00"/>
    <w:rsid w:val="0034522D"/>
    <w:rsid w:val="0034703A"/>
    <w:rsid w:val="003471C8"/>
    <w:rsid w:val="0034720E"/>
    <w:rsid w:val="0034761F"/>
    <w:rsid w:val="00350777"/>
    <w:rsid w:val="00350A83"/>
    <w:rsid w:val="00350CBD"/>
    <w:rsid w:val="00351C0D"/>
    <w:rsid w:val="0035218F"/>
    <w:rsid w:val="00354C0C"/>
    <w:rsid w:val="0035585A"/>
    <w:rsid w:val="0036030A"/>
    <w:rsid w:val="00360B46"/>
    <w:rsid w:val="003611A9"/>
    <w:rsid w:val="0036125B"/>
    <w:rsid w:val="00361A7F"/>
    <w:rsid w:val="003621D2"/>
    <w:rsid w:val="00362522"/>
    <w:rsid w:val="00363D87"/>
    <w:rsid w:val="0036439C"/>
    <w:rsid w:val="0036468F"/>
    <w:rsid w:val="003707AC"/>
    <w:rsid w:val="003724C5"/>
    <w:rsid w:val="0037513B"/>
    <w:rsid w:val="00375201"/>
    <w:rsid w:val="00375404"/>
    <w:rsid w:val="003758C4"/>
    <w:rsid w:val="003771FA"/>
    <w:rsid w:val="00381D3A"/>
    <w:rsid w:val="003835C7"/>
    <w:rsid w:val="00383D89"/>
    <w:rsid w:val="003844C7"/>
    <w:rsid w:val="00384764"/>
    <w:rsid w:val="00386E48"/>
    <w:rsid w:val="00387004"/>
    <w:rsid w:val="00391370"/>
    <w:rsid w:val="003918C2"/>
    <w:rsid w:val="003925CB"/>
    <w:rsid w:val="00392822"/>
    <w:rsid w:val="0039288D"/>
    <w:rsid w:val="00395807"/>
    <w:rsid w:val="00395E87"/>
    <w:rsid w:val="00397C7E"/>
    <w:rsid w:val="003A1021"/>
    <w:rsid w:val="003A105D"/>
    <w:rsid w:val="003A4F2E"/>
    <w:rsid w:val="003A69EE"/>
    <w:rsid w:val="003A74A5"/>
    <w:rsid w:val="003B115C"/>
    <w:rsid w:val="003B1561"/>
    <w:rsid w:val="003B1754"/>
    <w:rsid w:val="003B17FF"/>
    <w:rsid w:val="003C0BD9"/>
    <w:rsid w:val="003C0D12"/>
    <w:rsid w:val="003C1177"/>
    <w:rsid w:val="003C4A2B"/>
    <w:rsid w:val="003C4FFE"/>
    <w:rsid w:val="003C6E68"/>
    <w:rsid w:val="003C75FA"/>
    <w:rsid w:val="003D0C7B"/>
    <w:rsid w:val="003D186F"/>
    <w:rsid w:val="003D2241"/>
    <w:rsid w:val="003D2917"/>
    <w:rsid w:val="003D42CB"/>
    <w:rsid w:val="003D47B7"/>
    <w:rsid w:val="003D48D5"/>
    <w:rsid w:val="003D59D1"/>
    <w:rsid w:val="003D5ED3"/>
    <w:rsid w:val="003D6BD4"/>
    <w:rsid w:val="003D7347"/>
    <w:rsid w:val="003D79F3"/>
    <w:rsid w:val="003D7C53"/>
    <w:rsid w:val="003E1F2B"/>
    <w:rsid w:val="003E2417"/>
    <w:rsid w:val="003E2798"/>
    <w:rsid w:val="003E3A22"/>
    <w:rsid w:val="003E3D1D"/>
    <w:rsid w:val="003E3FE4"/>
    <w:rsid w:val="003E5785"/>
    <w:rsid w:val="003E614D"/>
    <w:rsid w:val="003F18C2"/>
    <w:rsid w:val="003F69D9"/>
    <w:rsid w:val="003F7145"/>
    <w:rsid w:val="00401268"/>
    <w:rsid w:val="00403D17"/>
    <w:rsid w:val="00404FC6"/>
    <w:rsid w:val="00405674"/>
    <w:rsid w:val="00406A76"/>
    <w:rsid w:val="0041034E"/>
    <w:rsid w:val="0041142C"/>
    <w:rsid w:val="00413F67"/>
    <w:rsid w:val="00414FA0"/>
    <w:rsid w:val="00415ECA"/>
    <w:rsid w:val="0041691F"/>
    <w:rsid w:val="00421CF5"/>
    <w:rsid w:val="00422096"/>
    <w:rsid w:val="004223D6"/>
    <w:rsid w:val="004236B8"/>
    <w:rsid w:val="00423D1D"/>
    <w:rsid w:val="00426572"/>
    <w:rsid w:val="0043114C"/>
    <w:rsid w:val="00433D65"/>
    <w:rsid w:val="00435EAF"/>
    <w:rsid w:val="00436B93"/>
    <w:rsid w:val="00440ABD"/>
    <w:rsid w:val="00440D5E"/>
    <w:rsid w:val="0044154F"/>
    <w:rsid w:val="004415F8"/>
    <w:rsid w:val="0044262A"/>
    <w:rsid w:val="004427BA"/>
    <w:rsid w:val="00454881"/>
    <w:rsid w:val="00454C9F"/>
    <w:rsid w:val="004564A3"/>
    <w:rsid w:val="00456EAF"/>
    <w:rsid w:val="0045785B"/>
    <w:rsid w:val="004579D9"/>
    <w:rsid w:val="004620C7"/>
    <w:rsid w:val="00465866"/>
    <w:rsid w:val="0046603C"/>
    <w:rsid w:val="00467F4C"/>
    <w:rsid w:val="00473219"/>
    <w:rsid w:val="004740EB"/>
    <w:rsid w:val="004772F4"/>
    <w:rsid w:val="00480279"/>
    <w:rsid w:val="00482C11"/>
    <w:rsid w:val="00484FC6"/>
    <w:rsid w:val="0048780F"/>
    <w:rsid w:val="004902F0"/>
    <w:rsid w:val="0049205A"/>
    <w:rsid w:val="004944F7"/>
    <w:rsid w:val="00497030"/>
    <w:rsid w:val="00497DDD"/>
    <w:rsid w:val="004A00DD"/>
    <w:rsid w:val="004A0B66"/>
    <w:rsid w:val="004A18F8"/>
    <w:rsid w:val="004A2481"/>
    <w:rsid w:val="004A3132"/>
    <w:rsid w:val="004A45EC"/>
    <w:rsid w:val="004A4DC0"/>
    <w:rsid w:val="004B058F"/>
    <w:rsid w:val="004B1240"/>
    <w:rsid w:val="004B17B8"/>
    <w:rsid w:val="004B2892"/>
    <w:rsid w:val="004B2FD9"/>
    <w:rsid w:val="004B30F4"/>
    <w:rsid w:val="004B4084"/>
    <w:rsid w:val="004B5689"/>
    <w:rsid w:val="004B6544"/>
    <w:rsid w:val="004C0129"/>
    <w:rsid w:val="004C0C27"/>
    <w:rsid w:val="004C0C64"/>
    <w:rsid w:val="004C0C68"/>
    <w:rsid w:val="004C0FD3"/>
    <w:rsid w:val="004C109A"/>
    <w:rsid w:val="004C34D1"/>
    <w:rsid w:val="004C38A1"/>
    <w:rsid w:val="004C67A8"/>
    <w:rsid w:val="004C6BDE"/>
    <w:rsid w:val="004D20BC"/>
    <w:rsid w:val="004D3771"/>
    <w:rsid w:val="004D3BA6"/>
    <w:rsid w:val="004D434D"/>
    <w:rsid w:val="004D4C9A"/>
    <w:rsid w:val="004D65E0"/>
    <w:rsid w:val="004E2063"/>
    <w:rsid w:val="004E5841"/>
    <w:rsid w:val="004E6652"/>
    <w:rsid w:val="004E71E3"/>
    <w:rsid w:val="004E7577"/>
    <w:rsid w:val="004E7ECB"/>
    <w:rsid w:val="004F001F"/>
    <w:rsid w:val="004F0A95"/>
    <w:rsid w:val="004F0B1D"/>
    <w:rsid w:val="004F10E9"/>
    <w:rsid w:val="004F1336"/>
    <w:rsid w:val="004F1F56"/>
    <w:rsid w:val="004F2073"/>
    <w:rsid w:val="004F28B5"/>
    <w:rsid w:val="004F3171"/>
    <w:rsid w:val="004F41B7"/>
    <w:rsid w:val="004F6087"/>
    <w:rsid w:val="004F6369"/>
    <w:rsid w:val="004F65B3"/>
    <w:rsid w:val="004F705D"/>
    <w:rsid w:val="004F7348"/>
    <w:rsid w:val="00500C93"/>
    <w:rsid w:val="00500FED"/>
    <w:rsid w:val="005012E5"/>
    <w:rsid w:val="005013FC"/>
    <w:rsid w:val="005028A4"/>
    <w:rsid w:val="0050594F"/>
    <w:rsid w:val="0050649E"/>
    <w:rsid w:val="005069C7"/>
    <w:rsid w:val="00510408"/>
    <w:rsid w:val="005126D9"/>
    <w:rsid w:val="00513F96"/>
    <w:rsid w:val="0051599B"/>
    <w:rsid w:val="005159B1"/>
    <w:rsid w:val="0051656D"/>
    <w:rsid w:val="00516623"/>
    <w:rsid w:val="00516693"/>
    <w:rsid w:val="00516794"/>
    <w:rsid w:val="00516D39"/>
    <w:rsid w:val="005171A3"/>
    <w:rsid w:val="005205BB"/>
    <w:rsid w:val="00520E43"/>
    <w:rsid w:val="005217FA"/>
    <w:rsid w:val="0052223B"/>
    <w:rsid w:val="00522C33"/>
    <w:rsid w:val="005234C0"/>
    <w:rsid w:val="0052387C"/>
    <w:rsid w:val="00523BC2"/>
    <w:rsid w:val="0052409B"/>
    <w:rsid w:val="00524AD2"/>
    <w:rsid w:val="00525B51"/>
    <w:rsid w:val="00526383"/>
    <w:rsid w:val="00526FE2"/>
    <w:rsid w:val="00527BBF"/>
    <w:rsid w:val="0053106C"/>
    <w:rsid w:val="005341BC"/>
    <w:rsid w:val="005342EB"/>
    <w:rsid w:val="0053440E"/>
    <w:rsid w:val="00534F2D"/>
    <w:rsid w:val="0053746B"/>
    <w:rsid w:val="00537AB0"/>
    <w:rsid w:val="0054020A"/>
    <w:rsid w:val="00542297"/>
    <w:rsid w:val="005425D5"/>
    <w:rsid w:val="00542778"/>
    <w:rsid w:val="00542D6F"/>
    <w:rsid w:val="005459DC"/>
    <w:rsid w:val="005461A5"/>
    <w:rsid w:val="00550610"/>
    <w:rsid w:val="0055109B"/>
    <w:rsid w:val="00551D04"/>
    <w:rsid w:val="00555B66"/>
    <w:rsid w:val="0055619F"/>
    <w:rsid w:val="005611B2"/>
    <w:rsid w:val="00561DD6"/>
    <w:rsid w:val="00562130"/>
    <w:rsid w:val="00562328"/>
    <w:rsid w:val="00567927"/>
    <w:rsid w:val="005709F7"/>
    <w:rsid w:val="005710A4"/>
    <w:rsid w:val="00573092"/>
    <w:rsid w:val="005743CB"/>
    <w:rsid w:val="0057515C"/>
    <w:rsid w:val="0057522A"/>
    <w:rsid w:val="005762BA"/>
    <w:rsid w:val="00577281"/>
    <w:rsid w:val="00577CA7"/>
    <w:rsid w:val="00580BEF"/>
    <w:rsid w:val="00581824"/>
    <w:rsid w:val="00582996"/>
    <w:rsid w:val="00583AB7"/>
    <w:rsid w:val="00585613"/>
    <w:rsid w:val="005869E6"/>
    <w:rsid w:val="00586F34"/>
    <w:rsid w:val="00587CC9"/>
    <w:rsid w:val="0059203F"/>
    <w:rsid w:val="00596343"/>
    <w:rsid w:val="005A4316"/>
    <w:rsid w:val="005A4768"/>
    <w:rsid w:val="005A798B"/>
    <w:rsid w:val="005B013A"/>
    <w:rsid w:val="005B0589"/>
    <w:rsid w:val="005B1B52"/>
    <w:rsid w:val="005B2E11"/>
    <w:rsid w:val="005B31F2"/>
    <w:rsid w:val="005B49C4"/>
    <w:rsid w:val="005B4A1F"/>
    <w:rsid w:val="005B5636"/>
    <w:rsid w:val="005B5E0C"/>
    <w:rsid w:val="005B6DB0"/>
    <w:rsid w:val="005B79E3"/>
    <w:rsid w:val="005B7F73"/>
    <w:rsid w:val="005C0417"/>
    <w:rsid w:val="005C0788"/>
    <w:rsid w:val="005C0870"/>
    <w:rsid w:val="005C17C6"/>
    <w:rsid w:val="005C1A00"/>
    <w:rsid w:val="005C1D12"/>
    <w:rsid w:val="005D0010"/>
    <w:rsid w:val="005D0B9A"/>
    <w:rsid w:val="005D1302"/>
    <w:rsid w:val="005D28F7"/>
    <w:rsid w:val="005D2C69"/>
    <w:rsid w:val="005D3E26"/>
    <w:rsid w:val="005D6C53"/>
    <w:rsid w:val="005D739B"/>
    <w:rsid w:val="005E016F"/>
    <w:rsid w:val="005E3506"/>
    <w:rsid w:val="005E557F"/>
    <w:rsid w:val="005E58E3"/>
    <w:rsid w:val="005E7324"/>
    <w:rsid w:val="005E7A06"/>
    <w:rsid w:val="005F011D"/>
    <w:rsid w:val="005F0BA0"/>
    <w:rsid w:val="005F17FF"/>
    <w:rsid w:val="005F20EF"/>
    <w:rsid w:val="005F2BE4"/>
    <w:rsid w:val="005F2C44"/>
    <w:rsid w:val="005F39FE"/>
    <w:rsid w:val="005F759F"/>
    <w:rsid w:val="005F79CE"/>
    <w:rsid w:val="005F7A4D"/>
    <w:rsid w:val="0060010F"/>
    <w:rsid w:val="00600735"/>
    <w:rsid w:val="00600B99"/>
    <w:rsid w:val="00600ED7"/>
    <w:rsid w:val="00602001"/>
    <w:rsid w:val="00602E4B"/>
    <w:rsid w:val="00603146"/>
    <w:rsid w:val="00603351"/>
    <w:rsid w:val="00604AAC"/>
    <w:rsid w:val="00604CA4"/>
    <w:rsid w:val="006065AB"/>
    <w:rsid w:val="00606AB7"/>
    <w:rsid w:val="00607E0F"/>
    <w:rsid w:val="00612A81"/>
    <w:rsid w:val="00612AAC"/>
    <w:rsid w:val="006145A1"/>
    <w:rsid w:val="00614E1F"/>
    <w:rsid w:val="00615C9D"/>
    <w:rsid w:val="006179A9"/>
    <w:rsid w:val="00621049"/>
    <w:rsid w:val="00622F82"/>
    <w:rsid w:val="0062466C"/>
    <w:rsid w:val="00627AFC"/>
    <w:rsid w:val="00632B86"/>
    <w:rsid w:val="006332C0"/>
    <w:rsid w:val="006336CB"/>
    <w:rsid w:val="006352C2"/>
    <w:rsid w:val="006352CA"/>
    <w:rsid w:val="00637CA6"/>
    <w:rsid w:val="00637FF5"/>
    <w:rsid w:val="00642BEA"/>
    <w:rsid w:val="00643308"/>
    <w:rsid w:val="00644F75"/>
    <w:rsid w:val="006467B3"/>
    <w:rsid w:val="0065054A"/>
    <w:rsid w:val="006526E9"/>
    <w:rsid w:val="00653251"/>
    <w:rsid w:val="0065499D"/>
    <w:rsid w:val="00655176"/>
    <w:rsid w:val="0065545C"/>
    <w:rsid w:val="00655B93"/>
    <w:rsid w:val="00655C68"/>
    <w:rsid w:val="00656EF2"/>
    <w:rsid w:val="0065701D"/>
    <w:rsid w:val="0065769E"/>
    <w:rsid w:val="00657AFD"/>
    <w:rsid w:val="00660B53"/>
    <w:rsid w:val="00662F1E"/>
    <w:rsid w:val="00663828"/>
    <w:rsid w:val="006639AA"/>
    <w:rsid w:val="00663CC9"/>
    <w:rsid w:val="00665ACF"/>
    <w:rsid w:val="00667628"/>
    <w:rsid w:val="00670B8F"/>
    <w:rsid w:val="00671B66"/>
    <w:rsid w:val="00674A32"/>
    <w:rsid w:val="00676794"/>
    <w:rsid w:val="006820A2"/>
    <w:rsid w:val="006825FB"/>
    <w:rsid w:val="00682911"/>
    <w:rsid w:val="00682CC1"/>
    <w:rsid w:val="00684346"/>
    <w:rsid w:val="00690B01"/>
    <w:rsid w:val="00692236"/>
    <w:rsid w:val="00692C2F"/>
    <w:rsid w:val="0069385C"/>
    <w:rsid w:val="00693A3A"/>
    <w:rsid w:val="00696B17"/>
    <w:rsid w:val="00696EB5"/>
    <w:rsid w:val="00697894"/>
    <w:rsid w:val="0069796A"/>
    <w:rsid w:val="00697BAB"/>
    <w:rsid w:val="006A103F"/>
    <w:rsid w:val="006A391B"/>
    <w:rsid w:val="006A4E91"/>
    <w:rsid w:val="006A542F"/>
    <w:rsid w:val="006A56BF"/>
    <w:rsid w:val="006A6403"/>
    <w:rsid w:val="006A6773"/>
    <w:rsid w:val="006A6F92"/>
    <w:rsid w:val="006B011C"/>
    <w:rsid w:val="006B1188"/>
    <w:rsid w:val="006B1C57"/>
    <w:rsid w:val="006B30F7"/>
    <w:rsid w:val="006C1E64"/>
    <w:rsid w:val="006C5180"/>
    <w:rsid w:val="006C52EF"/>
    <w:rsid w:val="006C5641"/>
    <w:rsid w:val="006C6623"/>
    <w:rsid w:val="006C71E0"/>
    <w:rsid w:val="006D0425"/>
    <w:rsid w:val="006D3188"/>
    <w:rsid w:val="006D3C10"/>
    <w:rsid w:val="006D4D97"/>
    <w:rsid w:val="006D56EA"/>
    <w:rsid w:val="006D5975"/>
    <w:rsid w:val="006D5D4C"/>
    <w:rsid w:val="006D7927"/>
    <w:rsid w:val="006D7B01"/>
    <w:rsid w:val="006E03B9"/>
    <w:rsid w:val="006E5938"/>
    <w:rsid w:val="006E59A5"/>
    <w:rsid w:val="006E60A5"/>
    <w:rsid w:val="006E68B4"/>
    <w:rsid w:val="006F0193"/>
    <w:rsid w:val="006F0948"/>
    <w:rsid w:val="006F2BA8"/>
    <w:rsid w:val="006F2BB5"/>
    <w:rsid w:val="006F320A"/>
    <w:rsid w:val="006F32F4"/>
    <w:rsid w:val="006F3A97"/>
    <w:rsid w:val="006F3ECA"/>
    <w:rsid w:val="006F4195"/>
    <w:rsid w:val="006F5F58"/>
    <w:rsid w:val="00700065"/>
    <w:rsid w:val="00700FDA"/>
    <w:rsid w:val="00703AF8"/>
    <w:rsid w:val="0071099E"/>
    <w:rsid w:val="007113C9"/>
    <w:rsid w:val="00712364"/>
    <w:rsid w:val="00712D42"/>
    <w:rsid w:val="0071306D"/>
    <w:rsid w:val="00713890"/>
    <w:rsid w:val="007139CC"/>
    <w:rsid w:val="00713A12"/>
    <w:rsid w:val="00714B1E"/>
    <w:rsid w:val="00714F80"/>
    <w:rsid w:val="0071624D"/>
    <w:rsid w:val="0072027F"/>
    <w:rsid w:val="00720745"/>
    <w:rsid w:val="00721082"/>
    <w:rsid w:val="00721091"/>
    <w:rsid w:val="007216F1"/>
    <w:rsid w:val="00721C35"/>
    <w:rsid w:val="00723225"/>
    <w:rsid w:val="00723586"/>
    <w:rsid w:val="007244BC"/>
    <w:rsid w:val="007249B5"/>
    <w:rsid w:val="00726698"/>
    <w:rsid w:val="007269A0"/>
    <w:rsid w:val="00727775"/>
    <w:rsid w:val="0073291F"/>
    <w:rsid w:val="0073355A"/>
    <w:rsid w:val="00735D76"/>
    <w:rsid w:val="00735DCF"/>
    <w:rsid w:val="00735F8E"/>
    <w:rsid w:val="00736B28"/>
    <w:rsid w:val="00737252"/>
    <w:rsid w:val="00737C10"/>
    <w:rsid w:val="0074159B"/>
    <w:rsid w:val="007433A3"/>
    <w:rsid w:val="007448B9"/>
    <w:rsid w:val="0074653C"/>
    <w:rsid w:val="007509AA"/>
    <w:rsid w:val="007514D9"/>
    <w:rsid w:val="00751A98"/>
    <w:rsid w:val="00751AAA"/>
    <w:rsid w:val="0075201B"/>
    <w:rsid w:val="00752B77"/>
    <w:rsid w:val="007549DF"/>
    <w:rsid w:val="00762A7E"/>
    <w:rsid w:val="00763EEA"/>
    <w:rsid w:val="007640A4"/>
    <w:rsid w:val="00767865"/>
    <w:rsid w:val="00774BFD"/>
    <w:rsid w:val="00775C23"/>
    <w:rsid w:val="00775E2D"/>
    <w:rsid w:val="007770D0"/>
    <w:rsid w:val="007811F9"/>
    <w:rsid w:val="007814FA"/>
    <w:rsid w:val="00781C7E"/>
    <w:rsid w:val="00782C4F"/>
    <w:rsid w:val="00783B12"/>
    <w:rsid w:val="00784155"/>
    <w:rsid w:val="00785C07"/>
    <w:rsid w:val="00785C85"/>
    <w:rsid w:val="00787B74"/>
    <w:rsid w:val="0079100A"/>
    <w:rsid w:val="00791A07"/>
    <w:rsid w:val="00791DCA"/>
    <w:rsid w:val="0079271F"/>
    <w:rsid w:val="007936EC"/>
    <w:rsid w:val="007944A3"/>
    <w:rsid w:val="00794AB4"/>
    <w:rsid w:val="0079637E"/>
    <w:rsid w:val="00796A6E"/>
    <w:rsid w:val="007A1204"/>
    <w:rsid w:val="007A2016"/>
    <w:rsid w:val="007A3A60"/>
    <w:rsid w:val="007A4930"/>
    <w:rsid w:val="007A64BF"/>
    <w:rsid w:val="007A74BB"/>
    <w:rsid w:val="007A7C72"/>
    <w:rsid w:val="007B364F"/>
    <w:rsid w:val="007B4738"/>
    <w:rsid w:val="007B5034"/>
    <w:rsid w:val="007B5D75"/>
    <w:rsid w:val="007B6C1A"/>
    <w:rsid w:val="007B79F3"/>
    <w:rsid w:val="007C358B"/>
    <w:rsid w:val="007C45F8"/>
    <w:rsid w:val="007C46A2"/>
    <w:rsid w:val="007C5374"/>
    <w:rsid w:val="007C6787"/>
    <w:rsid w:val="007C737E"/>
    <w:rsid w:val="007C75CC"/>
    <w:rsid w:val="007D01BE"/>
    <w:rsid w:val="007D081E"/>
    <w:rsid w:val="007D12A6"/>
    <w:rsid w:val="007D2A31"/>
    <w:rsid w:val="007D4D25"/>
    <w:rsid w:val="007D52D3"/>
    <w:rsid w:val="007D7EC9"/>
    <w:rsid w:val="007E147E"/>
    <w:rsid w:val="007E4940"/>
    <w:rsid w:val="007E7599"/>
    <w:rsid w:val="007F03B2"/>
    <w:rsid w:val="007F1086"/>
    <w:rsid w:val="007F23D3"/>
    <w:rsid w:val="007F5EAF"/>
    <w:rsid w:val="007F60A2"/>
    <w:rsid w:val="007F734C"/>
    <w:rsid w:val="00803FE7"/>
    <w:rsid w:val="00804573"/>
    <w:rsid w:val="0080602B"/>
    <w:rsid w:val="00806A47"/>
    <w:rsid w:val="00811390"/>
    <w:rsid w:val="008166EE"/>
    <w:rsid w:val="00816833"/>
    <w:rsid w:val="008205CD"/>
    <w:rsid w:val="0082467F"/>
    <w:rsid w:val="0083188F"/>
    <w:rsid w:val="008327A8"/>
    <w:rsid w:val="00832926"/>
    <w:rsid w:val="0083322E"/>
    <w:rsid w:val="00833961"/>
    <w:rsid w:val="00833E4E"/>
    <w:rsid w:val="00834D7F"/>
    <w:rsid w:val="00835ADE"/>
    <w:rsid w:val="00835DE6"/>
    <w:rsid w:val="008377F0"/>
    <w:rsid w:val="00840495"/>
    <w:rsid w:val="008422A5"/>
    <w:rsid w:val="0084527F"/>
    <w:rsid w:val="00845861"/>
    <w:rsid w:val="0084722B"/>
    <w:rsid w:val="0084755C"/>
    <w:rsid w:val="008476EC"/>
    <w:rsid w:val="00850975"/>
    <w:rsid w:val="008525D0"/>
    <w:rsid w:val="00852610"/>
    <w:rsid w:val="00853808"/>
    <w:rsid w:val="00856C5C"/>
    <w:rsid w:val="00857B94"/>
    <w:rsid w:val="00861D4F"/>
    <w:rsid w:val="00861E2A"/>
    <w:rsid w:val="00861EB5"/>
    <w:rsid w:val="008631DB"/>
    <w:rsid w:val="00864A80"/>
    <w:rsid w:val="00866736"/>
    <w:rsid w:val="008703F0"/>
    <w:rsid w:val="0087148D"/>
    <w:rsid w:val="008716C5"/>
    <w:rsid w:val="00871D5C"/>
    <w:rsid w:val="0087220A"/>
    <w:rsid w:val="00872F5B"/>
    <w:rsid w:val="0087494D"/>
    <w:rsid w:val="008764D2"/>
    <w:rsid w:val="00877021"/>
    <w:rsid w:val="00880043"/>
    <w:rsid w:val="00881738"/>
    <w:rsid w:val="00881F96"/>
    <w:rsid w:val="0088233A"/>
    <w:rsid w:val="00882516"/>
    <w:rsid w:val="00882C13"/>
    <w:rsid w:val="00883677"/>
    <w:rsid w:val="00885583"/>
    <w:rsid w:val="00885979"/>
    <w:rsid w:val="0088635C"/>
    <w:rsid w:val="00886ADC"/>
    <w:rsid w:val="0088734A"/>
    <w:rsid w:val="00890A64"/>
    <w:rsid w:val="00892162"/>
    <w:rsid w:val="00892674"/>
    <w:rsid w:val="00892FF6"/>
    <w:rsid w:val="00893FD2"/>
    <w:rsid w:val="0089428B"/>
    <w:rsid w:val="00894B95"/>
    <w:rsid w:val="008957EE"/>
    <w:rsid w:val="008969C5"/>
    <w:rsid w:val="00896BBA"/>
    <w:rsid w:val="00896C93"/>
    <w:rsid w:val="008A170E"/>
    <w:rsid w:val="008A4489"/>
    <w:rsid w:val="008A5489"/>
    <w:rsid w:val="008A58D5"/>
    <w:rsid w:val="008A5BEF"/>
    <w:rsid w:val="008A5E33"/>
    <w:rsid w:val="008B1CF1"/>
    <w:rsid w:val="008B308A"/>
    <w:rsid w:val="008B4903"/>
    <w:rsid w:val="008B4CAD"/>
    <w:rsid w:val="008B51B0"/>
    <w:rsid w:val="008B59EE"/>
    <w:rsid w:val="008B68AB"/>
    <w:rsid w:val="008B68DC"/>
    <w:rsid w:val="008B709B"/>
    <w:rsid w:val="008B7284"/>
    <w:rsid w:val="008B7690"/>
    <w:rsid w:val="008C0418"/>
    <w:rsid w:val="008C05C9"/>
    <w:rsid w:val="008C36A4"/>
    <w:rsid w:val="008C381D"/>
    <w:rsid w:val="008C47DD"/>
    <w:rsid w:val="008C4BA6"/>
    <w:rsid w:val="008C4F2F"/>
    <w:rsid w:val="008C7259"/>
    <w:rsid w:val="008D1881"/>
    <w:rsid w:val="008D1C8B"/>
    <w:rsid w:val="008D1E35"/>
    <w:rsid w:val="008E309C"/>
    <w:rsid w:val="008E30F2"/>
    <w:rsid w:val="008E39A0"/>
    <w:rsid w:val="008E72ED"/>
    <w:rsid w:val="008F0E07"/>
    <w:rsid w:val="008F1D10"/>
    <w:rsid w:val="008F3802"/>
    <w:rsid w:val="008F433B"/>
    <w:rsid w:val="008F4B28"/>
    <w:rsid w:val="008F5C39"/>
    <w:rsid w:val="00901FBE"/>
    <w:rsid w:val="00903CD9"/>
    <w:rsid w:val="00904626"/>
    <w:rsid w:val="00905D4D"/>
    <w:rsid w:val="00911A47"/>
    <w:rsid w:val="00911E48"/>
    <w:rsid w:val="00914A69"/>
    <w:rsid w:val="00914DEA"/>
    <w:rsid w:val="0091678A"/>
    <w:rsid w:val="00916C69"/>
    <w:rsid w:val="009209F8"/>
    <w:rsid w:val="00920D4A"/>
    <w:rsid w:val="00920D5C"/>
    <w:rsid w:val="0092109A"/>
    <w:rsid w:val="0092216C"/>
    <w:rsid w:val="00923874"/>
    <w:rsid w:val="00924943"/>
    <w:rsid w:val="009250C1"/>
    <w:rsid w:val="00925763"/>
    <w:rsid w:val="0092767C"/>
    <w:rsid w:val="00927FA4"/>
    <w:rsid w:val="00931304"/>
    <w:rsid w:val="00933273"/>
    <w:rsid w:val="009342DA"/>
    <w:rsid w:val="00935C27"/>
    <w:rsid w:val="009362EC"/>
    <w:rsid w:val="00937FE5"/>
    <w:rsid w:val="00941491"/>
    <w:rsid w:val="00943B85"/>
    <w:rsid w:val="00943EE1"/>
    <w:rsid w:val="00944A62"/>
    <w:rsid w:val="00946FD0"/>
    <w:rsid w:val="00947965"/>
    <w:rsid w:val="00947E1E"/>
    <w:rsid w:val="0095222D"/>
    <w:rsid w:val="009542EE"/>
    <w:rsid w:val="00954D94"/>
    <w:rsid w:val="00954FC3"/>
    <w:rsid w:val="009553EA"/>
    <w:rsid w:val="00955BC1"/>
    <w:rsid w:val="009566B5"/>
    <w:rsid w:val="0096214D"/>
    <w:rsid w:val="009624A0"/>
    <w:rsid w:val="009654B4"/>
    <w:rsid w:val="0096635C"/>
    <w:rsid w:val="00970DE4"/>
    <w:rsid w:val="0097147B"/>
    <w:rsid w:val="0097148C"/>
    <w:rsid w:val="009725BA"/>
    <w:rsid w:val="0097333A"/>
    <w:rsid w:val="009741AB"/>
    <w:rsid w:val="00975CBE"/>
    <w:rsid w:val="00981289"/>
    <w:rsid w:val="009820F5"/>
    <w:rsid w:val="0098443E"/>
    <w:rsid w:val="00984A5B"/>
    <w:rsid w:val="00984B80"/>
    <w:rsid w:val="00984E2A"/>
    <w:rsid w:val="00984F76"/>
    <w:rsid w:val="00987930"/>
    <w:rsid w:val="00991A92"/>
    <w:rsid w:val="00993BFC"/>
    <w:rsid w:val="0099735A"/>
    <w:rsid w:val="009A0244"/>
    <w:rsid w:val="009A1B61"/>
    <w:rsid w:val="009A1B78"/>
    <w:rsid w:val="009A2659"/>
    <w:rsid w:val="009A32AF"/>
    <w:rsid w:val="009A433A"/>
    <w:rsid w:val="009A578A"/>
    <w:rsid w:val="009A6E9C"/>
    <w:rsid w:val="009B309D"/>
    <w:rsid w:val="009B41CC"/>
    <w:rsid w:val="009B4BCC"/>
    <w:rsid w:val="009B56CB"/>
    <w:rsid w:val="009B63D6"/>
    <w:rsid w:val="009B673C"/>
    <w:rsid w:val="009B7210"/>
    <w:rsid w:val="009B7B54"/>
    <w:rsid w:val="009C0C81"/>
    <w:rsid w:val="009C154C"/>
    <w:rsid w:val="009C1E93"/>
    <w:rsid w:val="009C50AB"/>
    <w:rsid w:val="009C5C72"/>
    <w:rsid w:val="009C5E84"/>
    <w:rsid w:val="009C6233"/>
    <w:rsid w:val="009C6B45"/>
    <w:rsid w:val="009C71C6"/>
    <w:rsid w:val="009D37B8"/>
    <w:rsid w:val="009D3B37"/>
    <w:rsid w:val="009D61F1"/>
    <w:rsid w:val="009D6D39"/>
    <w:rsid w:val="009D7059"/>
    <w:rsid w:val="009E0490"/>
    <w:rsid w:val="009E133E"/>
    <w:rsid w:val="009E170D"/>
    <w:rsid w:val="009E27DB"/>
    <w:rsid w:val="009E28D6"/>
    <w:rsid w:val="009E30E2"/>
    <w:rsid w:val="009E36FB"/>
    <w:rsid w:val="009E3FEE"/>
    <w:rsid w:val="009E4B60"/>
    <w:rsid w:val="009E560E"/>
    <w:rsid w:val="009E6BD7"/>
    <w:rsid w:val="009F127C"/>
    <w:rsid w:val="009F3B32"/>
    <w:rsid w:val="009F3B94"/>
    <w:rsid w:val="009F4446"/>
    <w:rsid w:val="009F4648"/>
    <w:rsid w:val="009F5ED0"/>
    <w:rsid w:val="009F7C99"/>
    <w:rsid w:val="00A00411"/>
    <w:rsid w:val="00A0055E"/>
    <w:rsid w:val="00A009FB"/>
    <w:rsid w:val="00A03D9C"/>
    <w:rsid w:val="00A03E74"/>
    <w:rsid w:val="00A04920"/>
    <w:rsid w:val="00A04EBA"/>
    <w:rsid w:val="00A0634F"/>
    <w:rsid w:val="00A079C6"/>
    <w:rsid w:val="00A12A31"/>
    <w:rsid w:val="00A13A9A"/>
    <w:rsid w:val="00A14778"/>
    <w:rsid w:val="00A16B04"/>
    <w:rsid w:val="00A2541C"/>
    <w:rsid w:val="00A25465"/>
    <w:rsid w:val="00A27E3A"/>
    <w:rsid w:val="00A27EF5"/>
    <w:rsid w:val="00A301A4"/>
    <w:rsid w:val="00A3034A"/>
    <w:rsid w:val="00A32B46"/>
    <w:rsid w:val="00A3392C"/>
    <w:rsid w:val="00A34892"/>
    <w:rsid w:val="00A3535E"/>
    <w:rsid w:val="00A3548C"/>
    <w:rsid w:val="00A360C3"/>
    <w:rsid w:val="00A4081A"/>
    <w:rsid w:val="00A430D5"/>
    <w:rsid w:val="00A436C7"/>
    <w:rsid w:val="00A43AE4"/>
    <w:rsid w:val="00A452F3"/>
    <w:rsid w:val="00A467E1"/>
    <w:rsid w:val="00A5096B"/>
    <w:rsid w:val="00A544E1"/>
    <w:rsid w:val="00A5696A"/>
    <w:rsid w:val="00A62447"/>
    <w:rsid w:val="00A63691"/>
    <w:rsid w:val="00A645BB"/>
    <w:rsid w:val="00A67295"/>
    <w:rsid w:val="00A67387"/>
    <w:rsid w:val="00A67647"/>
    <w:rsid w:val="00A6768E"/>
    <w:rsid w:val="00A71724"/>
    <w:rsid w:val="00A731AF"/>
    <w:rsid w:val="00A733DF"/>
    <w:rsid w:val="00A77B8F"/>
    <w:rsid w:val="00A80980"/>
    <w:rsid w:val="00A82335"/>
    <w:rsid w:val="00A83828"/>
    <w:rsid w:val="00A84814"/>
    <w:rsid w:val="00A8490C"/>
    <w:rsid w:val="00A85C8F"/>
    <w:rsid w:val="00A91C1A"/>
    <w:rsid w:val="00A91DCA"/>
    <w:rsid w:val="00A91E1B"/>
    <w:rsid w:val="00A91F04"/>
    <w:rsid w:val="00A92714"/>
    <w:rsid w:val="00A928C7"/>
    <w:rsid w:val="00A9295B"/>
    <w:rsid w:val="00A94397"/>
    <w:rsid w:val="00A9643B"/>
    <w:rsid w:val="00A971F4"/>
    <w:rsid w:val="00A97E19"/>
    <w:rsid w:val="00AA16B2"/>
    <w:rsid w:val="00AA4421"/>
    <w:rsid w:val="00AA5A6F"/>
    <w:rsid w:val="00AA6338"/>
    <w:rsid w:val="00AB1589"/>
    <w:rsid w:val="00AB287F"/>
    <w:rsid w:val="00AB4584"/>
    <w:rsid w:val="00AB48A4"/>
    <w:rsid w:val="00AB4C2D"/>
    <w:rsid w:val="00AB589F"/>
    <w:rsid w:val="00AB6E46"/>
    <w:rsid w:val="00AB7943"/>
    <w:rsid w:val="00AC1313"/>
    <w:rsid w:val="00AC1CB0"/>
    <w:rsid w:val="00AC2294"/>
    <w:rsid w:val="00AC2914"/>
    <w:rsid w:val="00AC2C56"/>
    <w:rsid w:val="00AC2D9A"/>
    <w:rsid w:val="00AC2F85"/>
    <w:rsid w:val="00AC4CD6"/>
    <w:rsid w:val="00AC6DAF"/>
    <w:rsid w:val="00AD036A"/>
    <w:rsid w:val="00AD0BAF"/>
    <w:rsid w:val="00AD0E30"/>
    <w:rsid w:val="00AD201F"/>
    <w:rsid w:val="00AD212D"/>
    <w:rsid w:val="00AD2ADE"/>
    <w:rsid w:val="00AD3623"/>
    <w:rsid w:val="00AD3F9F"/>
    <w:rsid w:val="00AD42C2"/>
    <w:rsid w:val="00AD4613"/>
    <w:rsid w:val="00AD4B95"/>
    <w:rsid w:val="00AD64AB"/>
    <w:rsid w:val="00AD655B"/>
    <w:rsid w:val="00AD6813"/>
    <w:rsid w:val="00AD7408"/>
    <w:rsid w:val="00AD798F"/>
    <w:rsid w:val="00AE0CE5"/>
    <w:rsid w:val="00AE0FEF"/>
    <w:rsid w:val="00AE114C"/>
    <w:rsid w:val="00AE2FFA"/>
    <w:rsid w:val="00AE6D50"/>
    <w:rsid w:val="00AF14B8"/>
    <w:rsid w:val="00AF3ED5"/>
    <w:rsid w:val="00AF4F8C"/>
    <w:rsid w:val="00B00107"/>
    <w:rsid w:val="00B0058B"/>
    <w:rsid w:val="00B024B2"/>
    <w:rsid w:val="00B02975"/>
    <w:rsid w:val="00B04226"/>
    <w:rsid w:val="00B0452E"/>
    <w:rsid w:val="00B05232"/>
    <w:rsid w:val="00B0560B"/>
    <w:rsid w:val="00B0653E"/>
    <w:rsid w:val="00B06D0E"/>
    <w:rsid w:val="00B104C8"/>
    <w:rsid w:val="00B10EB0"/>
    <w:rsid w:val="00B11445"/>
    <w:rsid w:val="00B121D9"/>
    <w:rsid w:val="00B13899"/>
    <w:rsid w:val="00B13E19"/>
    <w:rsid w:val="00B14246"/>
    <w:rsid w:val="00B149BE"/>
    <w:rsid w:val="00B17C48"/>
    <w:rsid w:val="00B221EA"/>
    <w:rsid w:val="00B2329B"/>
    <w:rsid w:val="00B2624D"/>
    <w:rsid w:val="00B2679E"/>
    <w:rsid w:val="00B277CF"/>
    <w:rsid w:val="00B30981"/>
    <w:rsid w:val="00B309BD"/>
    <w:rsid w:val="00B30B22"/>
    <w:rsid w:val="00B314B0"/>
    <w:rsid w:val="00B32136"/>
    <w:rsid w:val="00B34334"/>
    <w:rsid w:val="00B351D6"/>
    <w:rsid w:val="00B3749E"/>
    <w:rsid w:val="00B37875"/>
    <w:rsid w:val="00B37C5B"/>
    <w:rsid w:val="00B434C2"/>
    <w:rsid w:val="00B448EA"/>
    <w:rsid w:val="00B50C81"/>
    <w:rsid w:val="00B512EF"/>
    <w:rsid w:val="00B524FD"/>
    <w:rsid w:val="00B532DE"/>
    <w:rsid w:val="00B53619"/>
    <w:rsid w:val="00B54A58"/>
    <w:rsid w:val="00B5550F"/>
    <w:rsid w:val="00B56482"/>
    <w:rsid w:val="00B57A3E"/>
    <w:rsid w:val="00B57E76"/>
    <w:rsid w:val="00B608CD"/>
    <w:rsid w:val="00B60E57"/>
    <w:rsid w:val="00B61934"/>
    <w:rsid w:val="00B66035"/>
    <w:rsid w:val="00B6698E"/>
    <w:rsid w:val="00B72683"/>
    <w:rsid w:val="00B74EDB"/>
    <w:rsid w:val="00B821B3"/>
    <w:rsid w:val="00B84AEB"/>
    <w:rsid w:val="00B85A30"/>
    <w:rsid w:val="00B86025"/>
    <w:rsid w:val="00B86893"/>
    <w:rsid w:val="00B90489"/>
    <w:rsid w:val="00B92902"/>
    <w:rsid w:val="00B9359C"/>
    <w:rsid w:val="00B9413F"/>
    <w:rsid w:val="00B9501E"/>
    <w:rsid w:val="00B962FC"/>
    <w:rsid w:val="00B96881"/>
    <w:rsid w:val="00B977D8"/>
    <w:rsid w:val="00B978A6"/>
    <w:rsid w:val="00B97ADF"/>
    <w:rsid w:val="00B97E25"/>
    <w:rsid w:val="00BA0E81"/>
    <w:rsid w:val="00BA2522"/>
    <w:rsid w:val="00BA289F"/>
    <w:rsid w:val="00BA3178"/>
    <w:rsid w:val="00BA3448"/>
    <w:rsid w:val="00BA3718"/>
    <w:rsid w:val="00BA4747"/>
    <w:rsid w:val="00BA6400"/>
    <w:rsid w:val="00BA7CD0"/>
    <w:rsid w:val="00BB2D8B"/>
    <w:rsid w:val="00BB4C8E"/>
    <w:rsid w:val="00BB6224"/>
    <w:rsid w:val="00BB6F27"/>
    <w:rsid w:val="00BC06FC"/>
    <w:rsid w:val="00BC14A3"/>
    <w:rsid w:val="00BC479D"/>
    <w:rsid w:val="00BC4D46"/>
    <w:rsid w:val="00BC537E"/>
    <w:rsid w:val="00BC6B0B"/>
    <w:rsid w:val="00BD13B8"/>
    <w:rsid w:val="00BD2378"/>
    <w:rsid w:val="00BD2381"/>
    <w:rsid w:val="00BD2891"/>
    <w:rsid w:val="00BD2BD0"/>
    <w:rsid w:val="00BD4637"/>
    <w:rsid w:val="00BD4C0A"/>
    <w:rsid w:val="00BD5937"/>
    <w:rsid w:val="00BD7CD6"/>
    <w:rsid w:val="00BE16C4"/>
    <w:rsid w:val="00BE255A"/>
    <w:rsid w:val="00BE2FBE"/>
    <w:rsid w:val="00BE391C"/>
    <w:rsid w:val="00BE41D4"/>
    <w:rsid w:val="00BE4878"/>
    <w:rsid w:val="00BE55B8"/>
    <w:rsid w:val="00BE5755"/>
    <w:rsid w:val="00BE6697"/>
    <w:rsid w:val="00BF0566"/>
    <w:rsid w:val="00BF056E"/>
    <w:rsid w:val="00BF0BA9"/>
    <w:rsid w:val="00BF0DE4"/>
    <w:rsid w:val="00BF11B3"/>
    <w:rsid w:val="00BF1745"/>
    <w:rsid w:val="00BF3260"/>
    <w:rsid w:val="00BF61D2"/>
    <w:rsid w:val="00C00315"/>
    <w:rsid w:val="00C02284"/>
    <w:rsid w:val="00C023C8"/>
    <w:rsid w:val="00C03402"/>
    <w:rsid w:val="00C0397B"/>
    <w:rsid w:val="00C04D57"/>
    <w:rsid w:val="00C05572"/>
    <w:rsid w:val="00C06B0D"/>
    <w:rsid w:val="00C06C5C"/>
    <w:rsid w:val="00C06F28"/>
    <w:rsid w:val="00C072BF"/>
    <w:rsid w:val="00C07414"/>
    <w:rsid w:val="00C0746F"/>
    <w:rsid w:val="00C07AC8"/>
    <w:rsid w:val="00C13896"/>
    <w:rsid w:val="00C155F9"/>
    <w:rsid w:val="00C15EAB"/>
    <w:rsid w:val="00C17FA9"/>
    <w:rsid w:val="00C20514"/>
    <w:rsid w:val="00C20AB9"/>
    <w:rsid w:val="00C243EB"/>
    <w:rsid w:val="00C2670F"/>
    <w:rsid w:val="00C2688C"/>
    <w:rsid w:val="00C31A84"/>
    <w:rsid w:val="00C32CA3"/>
    <w:rsid w:val="00C34605"/>
    <w:rsid w:val="00C35155"/>
    <w:rsid w:val="00C36DE3"/>
    <w:rsid w:val="00C41B75"/>
    <w:rsid w:val="00C443B8"/>
    <w:rsid w:val="00C4465F"/>
    <w:rsid w:val="00C45C3F"/>
    <w:rsid w:val="00C47A1E"/>
    <w:rsid w:val="00C5033C"/>
    <w:rsid w:val="00C52561"/>
    <w:rsid w:val="00C5387C"/>
    <w:rsid w:val="00C57088"/>
    <w:rsid w:val="00C613A5"/>
    <w:rsid w:val="00C630DF"/>
    <w:rsid w:val="00C63A25"/>
    <w:rsid w:val="00C678E8"/>
    <w:rsid w:val="00C71633"/>
    <w:rsid w:val="00C71C43"/>
    <w:rsid w:val="00C727A1"/>
    <w:rsid w:val="00C72B58"/>
    <w:rsid w:val="00C73D86"/>
    <w:rsid w:val="00C77638"/>
    <w:rsid w:val="00C8062F"/>
    <w:rsid w:val="00C809CD"/>
    <w:rsid w:val="00C815F0"/>
    <w:rsid w:val="00C817BD"/>
    <w:rsid w:val="00C81AB9"/>
    <w:rsid w:val="00C82A5D"/>
    <w:rsid w:val="00C83159"/>
    <w:rsid w:val="00C83E4D"/>
    <w:rsid w:val="00C8732A"/>
    <w:rsid w:val="00C8792F"/>
    <w:rsid w:val="00C92F7F"/>
    <w:rsid w:val="00C93E6D"/>
    <w:rsid w:val="00C94790"/>
    <w:rsid w:val="00C95FA6"/>
    <w:rsid w:val="00C9667E"/>
    <w:rsid w:val="00C96710"/>
    <w:rsid w:val="00C97534"/>
    <w:rsid w:val="00C979AE"/>
    <w:rsid w:val="00CA114D"/>
    <w:rsid w:val="00CA2F95"/>
    <w:rsid w:val="00CA33E9"/>
    <w:rsid w:val="00CA4F3B"/>
    <w:rsid w:val="00CA6299"/>
    <w:rsid w:val="00CA662D"/>
    <w:rsid w:val="00CA6DE2"/>
    <w:rsid w:val="00CA7A7B"/>
    <w:rsid w:val="00CA7CE3"/>
    <w:rsid w:val="00CB0AD1"/>
    <w:rsid w:val="00CB0D6A"/>
    <w:rsid w:val="00CB3D95"/>
    <w:rsid w:val="00CB4655"/>
    <w:rsid w:val="00CB51BB"/>
    <w:rsid w:val="00CB5946"/>
    <w:rsid w:val="00CB7ED9"/>
    <w:rsid w:val="00CC15EE"/>
    <w:rsid w:val="00CC2BF5"/>
    <w:rsid w:val="00CC2FF3"/>
    <w:rsid w:val="00CC4A53"/>
    <w:rsid w:val="00CC5D8E"/>
    <w:rsid w:val="00CC602A"/>
    <w:rsid w:val="00CC6E77"/>
    <w:rsid w:val="00CD23C7"/>
    <w:rsid w:val="00CD3ABD"/>
    <w:rsid w:val="00CD58D4"/>
    <w:rsid w:val="00CE3440"/>
    <w:rsid w:val="00CE39EB"/>
    <w:rsid w:val="00CE4124"/>
    <w:rsid w:val="00CE43C9"/>
    <w:rsid w:val="00CE4A2A"/>
    <w:rsid w:val="00CE4ACD"/>
    <w:rsid w:val="00CE536E"/>
    <w:rsid w:val="00CE618C"/>
    <w:rsid w:val="00CE65BF"/>
    <w:rsid w:val="00CE7CCD"/>
    <w:rsid w:val="00CE7E20"/>
    <w:rsid w:val="00CE7F15"/>
    <w:rsid w:val="00CE7F2A"/>
    <w:rsid w:val="00CF22B5"/>
    <w:rsid w:val="00CF43EA"/>
    <w:rsid w:val="00D00260"/>
    <w:rsid w:val="00D025DE"/>
    <w:rsid w:val="00D029D4"/>
    <w:rsid w:val="00D02CC9"/>
    <w:rsid w:val="00D03435"/>
    <w:rsid w:val="00D04238"/>
    <w:rsid w:val="00D04746"/>
    <w:rsid w:val="00D048C7"/>
    <w:rsid w:val="00D058F2"/>
    <w:rsid w:val="00D102F3"/>
    <w:rsid w:val="00D103A3"/>
    <w:rsid w:val="00D10C57"/>
    <w:rsid w:val="00D1121A"/>
    <w:rsid w:val="00D12512"/>
    <w:rsid w:val="00D15DEC"/>
    <w:rsid w:val="00D16610"/>
    <w:rsid w:val="00D16FD8"/>
    <w:rsid w:val="00D172DA"/>
    <w:rsid w:val="00D22078"/>
    <w:rsid w:val="00D22D64"/>
    <w:rsid w:val="00D242DD"/>
    <w:rsid w:val="00D24D1B"/>
    <w:rsid w:val="00D25771"/>
    <w:rsid w:val="00D27CF1"/>
    <w:rsid w:val="00D30542"/>
    <w:rsid w:val="00D30F9B"/>
    <w:rsid w:val="00D3163B"/>
    <w:rsid w:val="00D31CC2"/>
    <w:rsid w:val="00D32177"/>
    <w:rsid w:val="00D3244A"/>
    <w:rsid w:val="00D3283B"/>
    <w:rsid w:val="00D33FB1"/>
    <w:rsid w:val="00D343A9"/>
    <w:rsid w:val="00D373C9"/>
    <w:rsid w:val="00D409F3"/>
    <w:rsid w:val="00D413D3"/>
    <w:rsid w:val="00D41D9E"/>
    <w:rsid w:val="00D45299"/>
    <w:rsid w:val="00D45422"/>
    <w:rsid w:val="00D46A87"/>
    <w:rsid w:val="00D471B8"/>
    <w:rsid w:val="00D47988"/>
    <w:rsid w:val="00D47D6C"/>
    <w:rsid w:val="00D5160E"/>
    <w:rsid w:val="00D51CB9"/>
    <w:rsid w:val="00D51F37"/>
    <w:rsid w:val="00D524EB"/>
    <w:rsid w:val="00D529AA"/>
    <w:rsid w:val="00D533C9"/>
    <w:rsid w:val="00D56C15"/>
    <w:rsid w:val="00D5765F"/>
    <w:rsid w:val="00D63C15"/>
    <w:rsid w:val="00D6518A"/>
    <w:rsid w:val="00D65BFF"/>
    <w:rsid w:val="00D668F1"/>
    <w:rsid w:val="00D67AF4"/>
    <w:rsid w:val="00D70C6F"/>
    <w:rsid w:val="00D72120"/>
    <w:rsid w:val="00D72A63"/>
    <w:rsid w:val="00D75D42"/>
    <w:rsid w:val="00D76E80"/>
    <w:rsid w:val="00D8548A"/>
    <w:rsid w:val="00D865DF"/>
    <w:rsid w:val="00D8734B"/>
    <w:rsid w:val="00D876E7"/>
    <w:rsid w:val="00D91E15"/>
    <w:rsid w:val="00D93CBC"/>
    <w:rsid w:val="00D94474"/>
    <w:rsid w:val="00D96800"/>
    <w:rsid w:val="00D974BB"/>
    <w:rsid w:val="00D97813"/>
    <w:rsid w:val="00DA0B17"/>
    <w:rsid w:val="00DA1ECA"/>
    <w:rsid w:val="00DA28EB"/>
    <w:rsid w:val="00DA2C30"/>
    <w:rsid w:val="00DA3B5A"/>
    <w:rsid w:val="00DA4A4D"/>
    <w:rsid w:val="00DA5AAB"/>
    <w:rsid w:val="00DA5FC1"/>
    <w:rsid w:val="00DB3291"/>
    <w:rsid w:val="00DB35D2"/>
    <w:rsid w:val="00DB3CA8"/>
    <w:rsid w:val="00DB4605"/>
    <w:rsid w:val="00DB4A2B"/>
    <w:rsid w:val="00DB4B6C"/>
    <w:rsid w:val="00DB5FC3"/>
    <w:rsid w:val="00DB6BA7"/>
    <w:rsid w:val="00DC1316"/>
    <w:rsid w:val="00DC162F"/>
    <w:rsid w:val="00DC1BCF"/>
    <w:rsid w:val="00DC203F"/>
    <w:rsid w:val="00DC4166"/>
    <w:rsid w:val="00DC505B"/>
    <w:rsid w:val="00DC765C"/>
    <w:rsid w:val="00DD480D"/>
    <w:rsid w:val="00DD58E8"/>
    <w:rsid w:val="00DD73FB"/>
    <w:rsid w:val="00DE03EA"/>
    <w:rsid w:val="00DE1A7B"/>
    <w:rsid w:val="00DE1DD9"/>
    <w:rsid w:val="00DE242F"/>
    <w:rsid w:val="00DE35A7"/>
    <w:rsid w:val="00DE37C8"/>
    <w:rsid w:val="00DE6355"/>
    <w:rsid w:val="00DE6775"/>
    <w:rsid w:val="00DF032D"/>
    <w:rsid w:val="00DF26BA"/>
    <w:rsid w:val="00DF3BE8"/>
    <w:rsid w:val="00DF5B0D"/>
    <w:rsid w:val="00DF621F"/>
    <w:rsid w:val="00DF6510"/>
    <w:rsid w:val="00DF79C4"/>
    <w:rsid w:val="00DF79D4"/>
    <w:rsid w:val="00E00319"/>
    <w:rsid w:val="00E0231F"/>
    <w:rsid w:val="00E033DB"/>
    <w:rsid w:val="00E1255B"/>
    <w:rsid w:val="00E138EA"/>
    <w:rsid w:val="00E15434"/>
    <w:rsid w:val="00E1739B"/>
    <w:rsid w:val="00E240F3"/>
    <w:rsid w:val="00E2488D"/>
    <w:rsid w:val="00E25D6A"/>
    <w:rsid w:val="00E2650F"/>
    <w:rsid w:val="00E310C6"/>
    <w:rsid w:val="00E311FC"/>
    <w:rsid w:val="00E3256F"/>
    <w:rsid w:val="00E32FF4"/>
    <w:rsid w:val="00E33380"/>
    <w:rsid w:val="00E343A4"/>
    <w:rsid w:val="00E3560D"/>
    <w:rsid w:val="00E4060E"/>
    <w:rsid w:val="00E42111"/>
    <w:rsid w:val="00E423C0"/>
    <w:rsid w:val="00E42AFE"/>
    <w:rsid w:val="00E42B47"/>
    <w:rsid w:val="00E42CAE"/>
    <w:rsid w:val="00E43B5F"/>
    <w:rsid w:val="00E44171"/>
    <w:rsid w:val="00E44377"/>
    <w:rsid w:val="00E45C07"/>
    <w:rsid w:val="00E45CFE"/>
    <w:rsid w:val="00E463FF"/>
    <w:rsid w:val="00E47054"/>
    <w:rsid w:val="00E471A3"/>
    <w:rsid w:val="00E52F33"/>
    <w:rsid w:val="00E5703B"/>
    <w:rsid w:val="00E57406"/>
    <w:rsid w:val="00E60AA7"/>
    <w:rsid w:val="00E62087"/>
    <w:rsid w:val="00E62C2F"/>
    <w:rsid w:val="00E63160"/>
    <w:rsid w:val="00E65A87"/>
    <w:rsid w:val="00E666D7"/>
    <w:rsid w:val="00E71EB7"/>
    <w:rsid w:val="00E72258"/>
    <w:rsid w:val="00E7258A"/>
    <w:rsid w:val="00E72B10"/>
    <w:rsid w:val="00E72C69"/>
    <w:rsid w:val="00E73D21"/>
    <w:rsid w:val="00E74179"/>
    <w:rsid w:val="00E759C6"/>
    <w:rsid w:val="00E76CE2"/>
    <w:rsid w:val="00E77BCA"/>
    <w:rsid w:val="00E80300"/>
    <w:rsid w:val="00E811FF"/>
    <w:rsid w:val="00E8680F"/>
    <w:rsid w:val="00E90F84"/>
    <w:rsid w:val="00E91C64"/>
    <w:rsid w:val="00E92BEF"/>
    <w:rsid w:val="00E96063"/>
    <w:rsid w:val="00EA006B"/>
    <w:rsid w:val="00EA1DDF"/>
    <w:rsid w:val="00EA2E44"/>
    <w:rsid w:val="00EA3C7D"/>
    <w:rsid w:val="00EA5216"/>
    <w:rsid w:val="00EA5F1D"/>
    <w:rsid w:val="00EA73C3"/>
    <w:rsid w:val="00EA7A95"/>
    <w:rsid w:val="00EB1BAB"/>
    <w:rsid w:val="00EB28F2"/>
    <w:rsid w:val="00EB3A0E"/>
    <w:rsid w:val="00EB4C97"/>
    <w:rsid w:val="00EB5FA6"/>
    <w:rsid w:val="00EB60F0"/>
    <w:rsid w:val="00EC39FE"/>
    <w:rsid w:val="00EC48C1"/>
    <w:rsid w:val="00EC51F8"/>
    <w:rsid w:val="00EC6334"/>
    <w:rsid w:val="00EC6C49"/>
    <w:rsid w:val="00EC6E48"/>
    <w:rsid w:val="00ED1F4A"/>
    <w:rsid w:val="00ED499D"/>
    <w:rsid w:val="00ED518A"/>
    <w:rsid w:val="00EE0FBE"/>
    <w:rsid w:val="00EE1520"/>
    <w:rsid w:val="00EE3014"/>
    <w:rsid w:val="00EE3024"/>
    <w:rsid w:val="00EE48EB"/>
    <w:rsid w:val="00EE5761"/>
    <w:rsid w:val="00EE59DC"/>
    <w:rsid w:val="00EF12A4"/>
    <w:rsid w:val="00EF252D"/>
    <w:rsid w:val="00EF2636"/>
    <w:rsid w:val="00EF4CA5"/>
    <w:rsid w:val="00EF7C03"/>
    <w:rsid w:val="00F01002"/>
    <w:rsid w:val="00F014CF"/>
    <w:rsid w:val="00F017D7"/>
    <w:rsid w:val="00F02541"/>
    <w:rsid w:val="00F05B36"/>
    <w:rsid w:val="00F06C94"/>
    <w:rsid w:val="00F10648"/>
    <w:rsid w:val="00F110E0"/>
    <w:rsid w:val="00F11C4C"/>
    <w:rsid w:val="00F122BA"/>
    <w:rsid w:val="00F1472A"/>
    <w:rsid w:val="00F14FE9"/>
    <w:rsid w:val="00F1595E"/>
    <w:rsid w:val="00F161A9"/>
    <w:rsid w:val="00F16875"/>
    <w:rsid w:val="00F16992"/>
    <w:rsid w:val="00F169AF"/>
    <w:rsid w:val="00F16AB0"/>
    <w:rsid w:val="00F20FC2"/>
    <w:rsid w:val="00F23B45"/>
    <w:rsid w:val="00F2443B"/>
    <w:rsid w:val="00F24DE5"/>
    <w:rsid w:val="00F26BB4"/>
    <w:rsid w:val="00F32B1C"/>
    <w:rsid w:val="00F32E5A"/>
    <w:rsid w:val="00F36E05"/>
    <w:rsid w:val="00F40DD4"/>
    <w:rsid w:val="00F45517"/>
    <w:rsid w:val="00F45F46"/>
    <w:rsid w:val="00F50925"/>
    <w:rsid w:val="00F51722"/>
    <w:rsid w:val="00F52099"/>
    <w:rsid w:val="00F5218C"/>
    <w:rsid w:val="00F53150"/>
    <w:rsid w:val="00F541B9"/>
    <w:rsid w:val="00F550CD"/>
    <w:rsid w:val="00F5593C"/>
    <w:rsid w:val="00F561F2"/>
    <w:rsid w:val="00F607F6"/>
    <w:rsid w:val="00F61D21"/>
    <w:rsid w:val="00F6300F"/>
    <w:rsid w:val="00F63B7D"/>
    <w:rsid w:val="00F6554F"/>
    <w:rsid w:val="00F67296"/>
    <w:rsid w:val="00F67595"/>
    <w:rsid w:val="00F764F2"/>
    <w:rsid w:val="00F76DDA"/>
    <w:rsid w:val="00F776A0"/>
    <w:rsid w:val="00F81138"/>
    <w:rsid w:val="00F814D7"/>
    <w:rsid w:val="00F85CDA"/>
    <w:rsid w:val="00F87219"/>
    <w:rsid w:val="00F91ECF"/>
    <w:rsid w:val="00F92B79"/>
    <w:rsid w:val="00F935A5"/>
    <w:rsid w:val="00F94316"/>
    <w:rsid w:val="00F94BC3"/>
    <w:rsid w:val="00F95023"/>
    <w:rsid w:val="00F971EA"/>
    <w:rsid w:val="00F97908"/>
    <w:rsid w:val="00F97EA1"/>
    <w:rsid w:val="00FA058D"/>
    <w:rsid w:val="00FA0E91"/>
    <w:rsid w:val="00FA1008"/>
    <w:rsid w:val="00FA1C3B"/>
    <w:rsid w:val="00FA3FF7"/>
    <w:rsid w:val="00FA4011"/>
    <w:rsid w:val="00FA5989"/>
    <w:rsid w:val="00FA6AB5"/>
    <w:rsid w:val="00FA7819"/>
    <w:rsid w:val="00FA7969"/>
    <w:rsid w:val="00FB0F1C"/>
    <w:rsid w:val="00FB218B"/>
    <w:rsid w:val="00FB2420"/>
    <w:rsid w:val="00FB27B5"/>
    <w:rsid w:val="00FB2B6D"/>
    <w:rsid w:val="00FB378F"/>
    <w:rsid w:val="00FB4110"/>
    <w:rsid w:val="00FB4BCE"/>
    <w:rsid w:val="00FB4E17"/>
    <w:rsid w:val="00FB70B4"/>
    <w:rsid w:val="00FB7372"/>
    <w:rsid w:val="00FC179F"/>
    <w:rsid w:val="00FC2AC1"/>
    <w:rsid w:val="00FC2EF3"/>
    <w:rsid w:val="00FC3689"/>
    <w:rsid w:val="00FC4417"/>
    <w:rsid w:val="00FC64DA"/>
    <w:rsid w:val="00FC74D0"/>
    <w:rsid w:val="00FD0205"/>
    <w:rsid w:val="00FD0CC7"/>
    <w:rsid w:val="00FD5BBA"/>
    <w:rsid w:val="00FD6EE5"/>
    <w:rsid w:val="00FE1248"/>
    <w:rsid w:val="00FE36F9"/>
    <w:rsid w:val="00FE3712"/>
    <w:rsid w:val="00FE7807"/>
    <w:rsid w:val="00FE7D76"/>
    <w:rsid w:val="00FF0F47"/>
    <w:rsid w:val="00FF10DB"/>
    <w:rsid w:val="00FF1A4F"/>
    <w:rsid w:val="00FF2208"/>
    <w:rsid w:val="00FF2432"/>
    <w:rsid w:val="00FF3915"/>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footnote reference" w:qFormat="1"/>
    <w:lsdException w:name="annotation reference"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17FF"/>
    <w:pPr>
      <w:spacing w:after="0" w:line="240" w:lineRule="auto"/>
    </w:pPr>
    <w:rPr>
      <w:rFonts w:ascii="Arial" w:eastAsia="Times New Roman" w:hAnsi="Arial" w:cs="Times New Roman"/>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D51F37"/>
    <w:pPr>
      <w:keepNext/>
      <w:keepLines/>
      <w:spacing w:before="40"/>
      <w:outlineLvl w:val="2"/>
    </w:pPr>
    <w:rPr>
      <w:rFonts w:eastAsiaTheme="majorEastAsia" w:cstheme="majorBidi"/>
      <w:b/>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rsid w:val="00D51F37"/>
    <w:rPr>
      <w:rFonts w:ascii="Arial" w:eastAsiaTheme="majorEastAsia" w:hAnsi="Arial" w:cstheme="majorBidi"/>
      <w:b/>
      <w:szCs w:val="24"/>
      <w:lang w:val="en-US"/>
    </w:rPr>
  </w:style>
  <w:style w:type="character" w:styleId="Pripombasklic">
    <w:name w:val="annotation reference"/>
    <w:basedOn w:val="Privzetapisavaodstavka"/>
    <w:unhideWhenUsed/>
    <w:rsid w:val="00785C07"/>
    <w:rPr>
      <w:sz w:val="16"/>
      <w:szCs w:val="16"/>
    </w:rPr>
  </w:style>
  <w:style w:type="paragraph" w:styleId="Pripombabesedilo">
    <w:name w:val="annotation text"/>
    <w:basedOn w:val="Navaden"/>
    <w:link w:val="PripombabesediloZnak"/>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rsid w:val="00785C07"/>
    <w:rPr>
      <w:sz w:val="20"/>
      <w:szCs w:val="20"/>
    </w:rPr>
  </w:style>
  <w:style w:type="paragraph" w:styleId="Besedilooblaka">
    <w:name w:val="Balloon Text"/>
    <w:basedOn w:val="Navaden"/>
    <w:link w:val="BesedilooblakaZnak"/>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cs="Arial"/>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eastAsia="Calibri"/>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eastAsiaTheme="minorHAnsi"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val="0"/>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val="0"/>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cs="Arial"/>
      <w:szCs w:val="22"/>
      <w:lang w:val="sl-SI" w:eastAsia="sl-SI"/>
    </w:rPr>
  </w:style>
  <w:style w:type="paragraph" w:customStyle="1" w:styleId="alineazaodstavkom1">
    <w:name w:val="alineazaodstavkom1"/>
    <w:basedOn w:val="Navaden"/>
    <w:rsid w:val="00D524EB"/>
    <w:pPr>
      <w:ind w:left="425" w:hanging="425"/>
      <w:jc w:val="both"/>
    </w:pPr>
    <w:rPr>
      <w:rFonts w:cs="Arial"/>
      <w:szCs w:val="22"/>
      <w:lang w:val="sl-SI" w:eastAsia="sl-SI"/>
    </w:rPr>
  </w:style>
  <w:style w:type="paragraph" w:customStyle="1" w:styleId="rkovnatokazaodstavkom1">
    <w:name w:val="rkovnatokazaodstavkom1"/>
    <w:basedOn w:val="Navaden"/>
    <w:rsid w:val="000A7CA0"/>
    <w:pPr>
      <w:ind w:left="425" w:hanging="425"/>
      <w:jc w:val="both"/>
    </w:pPr>
    <w:rPr>
      <w:rFonts w:cs="Arial"/>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cs="Arial"/>
      <w:b/>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cs="Arial"/>
      <w:b/>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cs="Arial"/>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styleId="Zgradbadokumenta">
    <w:name w:val="Document Map"/>
    <w:basedOn w:val="Navaden"/>
    <w:link w:val="ZgradbadokumentaZnak"/>
    <w:rsid w:val="00FA7969"/>
    <w:pPr>
      <w:spacing w:line="260" w:lineRule="atLeast"/>
      <w:jc w:val="both"/>
    </w:pPr>
    <w:rPr>
      <w:rFonts w:ascii="Tahoma" w:hAnsi="Tahoma" w:cs="Tahoma"/>
      <w:sz w:val="16"/>
      <w:szCs w:val="16"/>
      <w:lang w:val="sl-SI"/>
    </w:rPr>
  </w:style>
  <w:style w:type="character" w:customStyle="1" w:styleId="ZgradbadokumentaZnak">
    <w:name w:val="Zgradba dokumenta Znak"/>
    <w:basedOn w:val="Privzetapisavaodstavka"/>
    <w:link w:val="Zgradbadokumenta"/>
    <w:rsid w:val="00FA7969"/>
    <w:rPr>
      <w:rFonts w:ascii="Tahoma" w:eastAsia="Times New Roman" w:hAnsi="Tahoma" w:cs="Tahoma"/>
      <w:sz w:val="16"/>
      <w:szCs w:val="16"/>
    </w:rPr>
  </w:style>
  <w:style w:type="paragraph" w:customStyle="1" w:styleId="ZADEVA">
    <w:name w:val="ZADEVA"/>
    <w:basedOn w:val="Navaden"/>
    <w:qFormat/>
    <w:rsid w:val="00FA7969"/>
    <w:pPr>
      <w:tabs>
        <w:tab w:val="left" w:pos="1701"/>
      </w:tabs>
      <w:spacing w:line="260" w:lineRule="atLeast"/>
      <w:ind w:left="1701" w:hanging="1701"/>
      <w:jc w:val="both"/>
    </w:pPr>
    <w:rPr>
      <w:b/>
      <w:sz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footnote reference" w:qFormat="1"/>
    <w:lsdException w:name="annotation reference"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17FF"/>
    <w:pPr>
      <w:spacing w:after="0" w:line="240" w:lineRule="auto"/>
    </w:pPr>
    <w:rPr>
      <w:rFonts w:ascii="Arial" w:eastAsia="Times New Roman" w:hAnsi="Arial" w:cs="Times New Roman"/>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D51F37"/>
    <w:pPr>
      <w:keepNext/>
      <w:keepLines/>
      <w:spacing w:before="40"/>
      <w:outlineLvl w:val="2"/>
    </w:pPr>
    <w:rPr>
      <w:rFonts w:eastAsiaTheme="majorEastAsia" w:cstheme="majorBidi"/>
      <w:b/>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rsid w:val="00D51F37"/>
    <w:rPr>
      <w:rFonts w:ascii="Arial" w:eastAsiaTheme="majorEastAsia" w:hAnsi="Arial" w:cstheme="majorBidi"/>
      <w:b/>
      <w:szCs w:val="24"/>
      <w:lang w:val="en-US"/>
    </w:rPr>
  </w:style>
  <w:style w:type="character" w:styleId="Pripombasklic">
    <w:name w:val="annotation reference"/>
    <w:basedOn w:val="Privzetapisavaodstavka"/>
    <w:unhideWhenUsed/>
    <w:rsid w:val="00785C07"/>
    <w:rPr>
      <w:sz w:val="16"/>
      <w:szCs w:val="16"/>
    </w:rPr>
  </w:style>
  <w:style w:type="paragraph" w:styleId="Pripombabesedilo">
    <w:name w:val="annotation text"/>
    <w:basedOn w:val="Navaden"/>
    <w:link w:val="PripombabesediloZnak"/>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rsid w:val="00785C07"/>
    <w:rPr>
      <w:sz w:val="20"/>
      <w:szCs w:val="20"/>
    </w:rPr>
  </w:style>
  <w:style w:type="paragraph" w:styleId="Besedilooblaka">
    <w:name w:val="Balloon Text"/>
    <w:basedOn w:val="Navaden"/>
    <w:link w:val="BesedilooblakaZnak"/>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cs="Arial"/>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eastAsia="Calibri"/>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eastAsiaTheme="minorHAnsi"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val="0"/>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val="0"/>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cs="Arial"/>
      <w:szCs w:val="22"/>
      <w:lang w:val="sl-SI" w:eastAsia="sl-SI"/>
    </w:rPr>
  </w:style>
  <w:style w:type="paragraph" w:customStyle="1" w:styleId="alineazaodstavkom1">
    <w:name w:val="alineazaodstavkom1"/>
    <w:basedOn w:val="Navaden"/>
    <w:rsid w:val="00D524EB"/>
    <w:pPr>
      <w:ind w:left="425" w:hanging="425"/>
      <w:jc w:val="both"/>
    </w:pPr>
    <w:rPr>
      <w:rFonts w:cs="Arial"/>
      <w:szCs w:val="22"/>
      <w:lang w:val="sl-SI" w:eastAsia="sl-SI"/>
    </w:rPr>
  </w:style>
  <w:style w:type="paragraph" w:customStyle="1" w:styleId="rkovnatokazaodstavkom1">
    <w:name w:val="rkovnatokazaodstavkom1"/>
    <w:basedOn w:val="Navaden"/>
    <w:rsid w:val="000A7CA0"/>
    <w:pPr>
      <w:ind w:left="425" w:hanging="425"/>
      <w:jc w:val="both"/>
    </w:pPr>
    <w:rPr>
      <w:rFonts w:cs="Arial"/>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cs="Arial"/>
      <w:b/>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cs="Arial"/>
      <w:b/>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cs="Arial"/>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styleId="Zgradbadokumenta">
    <w:name w:val="Document Map"/>
    <w:basedOn w:val="Navaden"/>
    <w:link w:val="ZgradbadokumentaZnak"/>
    <w:rsid w:val="00FA7969"/>
    <w:pPr>
      <w:spacing w:line="260" w:lineRule="atLeast"/>
      <w:jc w:val="both"/>
    </w:pPr>
    <w:rPr>
      <w:rFonts w:ascii="Tahoma" w:hAnsi="Tahoma" w:cs="Tahoma"/>
      <w:sz w:val="16"/>
      <w:szCs w:val="16"/>
      <w:lang w:val="sl-SI"/>
    </w:rPr>
  </w:style>
  <w:style w:type="character" w:customStyle="1" w:styleId="ZgradbadokumentaZnak">
    <w:name w:val="Zgradba dokumenta Znak"/>
    <w:basedOn w:val="Privzetapisavaodstavka"/>
    <w:link w:val="Zgradbadokumenta"/>
    <w:rsid w:val="00FA7969"/>
    <w:rPr>
      <w:rFonts w:ascii="Tahoma" w:eastAsia="Times New Roman" w:hAnsi="Tahoma" w:cs="Tahoma"/>
      <w:sz w:val="16"/>
      <w:szCs w:val="16"/>
    </w:rPr>
  </w:style>
  <w:style w:type="paragraph" w:customStyle="1" w:styleId="ZADEVA">
    <w:name w:val="ZADEVA"/>
    <w:basedOn w:val="Navaden"/>
    <w:qFormat/>
    <w:rsid w:val="00FA7969"/>
    <w:pPr>
      <w:tabs>
        <w:tab w:val="left" w:pos="1701"/>
      </w:tabs>
      <w:spacing w:line="260" w:lineRule="atLeast"/>
      <w:ind w:left="1701" w:hanging="1701"/>
      <w:jc w:val="both"/>
    </w:pPr>
    <w:rPr>
      <w:b/>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21666924">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98471">
      <w:bodyDiv w:val="1"/>
      <w:marLeft w:val="0"/>
      <w:marRight w:val="0"/>
      <w:marTop w:val="0"/>
      <w:marBottom w:val="0"/>
      <w:divBdr>
        <w:top w:val="none" w:sz="0" w:space="0" w:color="auto"/>
        <w:left w:val="none" w:sz="0" w:space="0" w:color="auto"/>
        <w:bottom w:val="none" w:sz="0" w:space="0" w:color="auto"/>
        <w:right w:val="none" w:sz="0" w:space="0" w:color="auto"/>
      </w:divBdr>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67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8-01-054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3-21-0433"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21-0433"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uradni-list.si/1/objava.jsp?sop=2018-01-0544"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5-01-2277"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mgrt.gov.si" TargetMode="External"/><Relationship Id="rId4" Type="http://schemas.openxmlformats.org/officeDocument/2006/relationships/hyperlink" Target="mailto:gp.mgrt@gov.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D8A386-60BC-4DF8-AF61-08E5E003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8554</Words>
  <Characters>48764</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57204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Matic Korun</dc:creator>
  <cp:lastModifiedBy>Martina Vehovec</cp:lastModifiedBy>
  <cp:revision>4</cp:revision>
  <cp:lastPrinted>2019-01-18T11:48:00Z</cp:lastPrinted>
  <dcterms:created xsi:type="dcterms:W3CDTF">2019-09-13T09:49:00Z</dcterms:created>
  <dcterms:modified xsi:type="dcterms:W3CDTF">2019-09-13T14:20:00Z</dcterms:modified>
</cp:coreProperties>
</file>