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A4" w:rsidRPr="00A30E3B" w:rsidRDefault="00A72CA4" w:rsidP="00A30E3B">
      <w:pPr>
        <w:pStyle w:val="Vrstapredpisa"/>
        <w:spacing w:before="0" w:line="260" w:lineRule="exact"/>
        <w:contextualSpacing/>
        <w:jc w:val="both"/>
        <w:rPr>
          <w:b w:val="0"/>
          <w:color w:val="auto"/>
          <w:spacing w:val="0"/>
          <w:sz w:val="20"/>
          <w:szCs w:val="20"/>
        </w:rPr>
      </w:pPr>
      <w:r w:rsidRPr="00A30E3B">
        <w:rPr>
          <w:b w:val="0"/>
          <w:color w:val="auto"/>
          <w:spacing w:val="0"/>
          <w:sz w:val="20"/>
          <w:szCs w:val="20"/>
        </w:rPr>
        <w:t xml:space="preserve">Na podlagi sedmega odstavka 21. člena Zakona o Vladi Republike Slovenije (Uradni list RS, </w:t>
      </w:r>
      <w:r w:rsidR="00A30E3B">
        <w:rPr>
          <w:b w:val="0"/>
          <w:color w:val="auto"/>
          <w:spacing w:val="0"/>
          <w:sz w:val="20"/>
          <w:szCs w:val="20"/>
        </w:rPr>
        <w:br/>
      </w:r>
      <w:r w:rsidRPr="00A30E3B">
        <w:rPr>
          <w:b w:val="0"/>
          <w:color w:val="auto"/>
          <w:spacing w:val="0"/>
          <w:sz w:val="20"/>
          <w:szCs w:val="20"/>
        </w:rPr>
        <w:t>št. 24/05 – uradno prečiščeno besedilo, 109/08, 38/10 – ZUKN, 8/12, 21/13, 47/13 – ZDU-1G, 65/14 in 55/17) Vlada Republike Slovenije izdaja</w:t>
      </w:r>
    </w:p>
    <w:p w:rsidR="00A72CA4" w:rsidRPr="00A30E3B" w:rsidRDefault="00A72CA4" w:rsidP="00E40E9A">
      <w:pPr>
        <w:pStyle w:val="Vrstapredpisa"/>
        <w:spacing w:before="0" w:line="260" w:lineRule="exact"/>
        <w:ind w:firstLine="708"/>
        <w:contextualSpacing/>
        <w:jc w:val="both"/>
        <w:rPr>
          <w:b w:val="0"/>
          <w:color w:val="auto"/>
          <w:spacing w:val="0"/>
          <w:sz w:val="20"/>
          <w:szCs w:val="20"/>
        </w:rPr>
      </w:pPr>
    </w:p>
    <w:p w:rsidR="00A72CA4" w:rsidRPr="00A30E3B" w:rsidRDefault="00A72CA4" w:rsidP="00E40E9A">
      <w:pPr>
        <w:pStyle w:val="Vrstapredpisa"/>
        <w:spacing w:before="0" w:line="260" w:lineRule="exact"/>
        <w:ind w:firstLine="708"/>
        <w:contextualSpacing/>
        <w:jc w:val="both"/>
        <w:rPr>
          <w:b w:val="0"/>
          <w:color w:val="auto"/>
          <w:spacing w:val="0"/>
          <w:sz w:val="20"/>
          <w:szCs w:val="20"/>
        </w:rPr>
      </w:pPr>
    </w:p>
    <w:p w:rsidR="00A72CA4" w:rsidRDefault="00A72CA4" w:rsidP="00E40E9A">
      <w:pPr>
        <w:pStyle w:val="Vrstapredpisa"/>
        <w:spacing w:before="0" w:line="260" w:lineRule="exact"/>
        <w:contextualSpacing/>
        <w:rPr>
          <w:b w:val="0"/>
          <w:color w:val="auto"/>
          <w:sz w:val="20"/>
          <w:szCs w:val="20"/>
        </w:rPr>
      </w:pPr>
      <w:r w:rsidRPr="00A30E3B">
        <w:rPr>
          <w:b w:val="0"/>
          <w:color w:val="auto"/>
          <w:sz w:val="20"/>
          <w:szCs w:val="20"/>
        </w:rPr>
        <w:t>UREDBO</w:t>
      </w:r>
    </w:p>
    <w:p w:rsidR="00A30E3B" w:rsidRPr="00A30E3B" w:rsidRDefault="00A30E3B" w:rsidP="00E40E9A">
      <w:pPr>
        <w:pStyle w:val="Vrstapredpisa"/>
        <w:spacing w:before="0" w:line="260" w:lineRule="exact"/>
        <w:contextualSpacing/>
        <w:rPr>
          <w:b w:val="0"/>
          <w:color w:val="auto"/>
          <w:sz w:val="20"/>
          <w:szCs w:val="20"/>
        </w:rPr>
      </w:pPr>
    </w:p>
    <w:p w:rsidR="00A72CA4" w:rsidRPr="00A30E3B" w:rsidRDefault="00A72CA4" w:rsidP="00E40E9A">
      <w:pPr>
        <w:pStyle w:val="Naslovpredpisa"/>
        <w:spacing w:line="260" w:lineRule="exact"/>
        <w:contextualSpacing/>
        <w:rPr>
          <w:b w:val="0"/>
          <w:sz w:val="20"/>
          <w:szCs w:val="20"/>
        </w:rPr>
      </w:pPr>
      <w:r w:rsidRPr="00A30E3B">
        <w:rPr>
          <w:b w:val="0"/>
          <w:sz w:val="20"/>
          <w:szCs w:val="20"/>
        </w:rPr>
        <w:t>o izvajanju Uredbe (EU) o nadzoru trga in skladnosti proizvodov</w:t>
      </w:r>
    </w:p>
    <w:p w:rsidR="00A72CA4" w:rsidRPr="00A30E3B" w:rsidRDefault="00A72CA4" w:rsidP="00E40E9A">
      <w:pPr>
        <w:pStyle w:val="Naslovpredpisa"/>
        <w:spacing w:line="260" w:lineRule="exact"/>
        <w:contextualSpacing/>
        <w:rPr>
          <w:b w:val="0"/>
          <w:sz w:val="20"/>
          <w:szCs w:val="20"/>
        </w:rPr>
      </w:pPr>
    </w:p>
    <w:p w:rsidR="00A72CA4" w:rsidRPr="00A30E3B" w:rsidRDefault="00A72CA4" w:rsidP="00E40E9A">
      <w:pPr>
        <w:pStyle w:val="Naslovpredpisa"/>
        <w:spacing w:line="260" w:lineRule="exact"/>
        <w:contextualSpacing/>
        <w:rPr>
          <w:b w:val="0"/>
          <w:sz w:val="20"/>
          <w:szCs w:val="20"/>
        </w:rPr>
      </w:pPr>
    </w:p>
    <w:p w:rsidR="00A72CA4" w:rsidRPr="00A30E3B" w:rsidRDefault="00A72CA4" w:rsidP="00E40E9A">
      <w:pPr>
        <w:pStyle w:val="Poglavje"/>
        <w:spacing w:before="0" w:line="260" w:lineRule="exact"/>
        <w:contextualSpacing/>
        <w:rPr>
          <w:sz w:val="20"/>
          <w:szCs w:val="20"/>
        </w:rPr>
      </w:pPr>
      <w:r w:rsidRPr="00A30E3B">
        <w:rPr>
          <w:sz w:val="20"/>
          <w:szCs w:val="20"/>
        </w:rPr>
        <w:t>I. SPLOŠNE DOLOČBE</w:t>
      </w:r>
    </w:p>
    <w:p w:rsidR="00A72CA4" w:rsidRPr="00A30E3B" w:rsidRDefault="00A72CA4" w:rsidP="00E40E9A">
      <w:pPr>
        <w:pStyle w:val="Poglavje"/>
        <w:spacing w:before="0" w:line="260" w:lineRule="exact"/>
        <w:contextualSpacing/>
        <w:rPr>
          <w:sz w:val="20"/>
          <w:szCs w:val="20"/>
        </w:rPr>
      </w:pPr>
    </w:p>
    <w:p w:rsidR="00A72CA4" w:rsidRPr="00A30E3B" w:rsidRDefault="00A72CA4" w:rsidP="00E40E9A">
      <w:pPr>
        <w:pStyle w:val="len"/>
        <w:spacing w:before="0" w:line="260" w:lineRule="exact"/>
        <w:contextualSpacing/>
        <w:rPr>
          <w:rFonts w:cs="Arial"/>
          <w:b w:val="0"/>
          <w:sz w:val="20"/>
          <w:szCs w:val="20"/>
        </w:rPr>
      </w:pPr>
      <w:r w:rsidRPr="00A30E3B">
        <w:rPr>
          <w:rFonts w:cs="Arial"/>
          <w:b w:val="0"/>
          <w:sz w:val="20"/>
          <w:szCs w:val="20"/>
        </w:rPr>
        <w:t>1. člen</w:t>
      </w: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(vsebina)</w:t>
      </w:r>
    </w:p>
    <w:p w:rsidR="00A30E3B" w:rsidRDefault="00A30E3B" w:rsidP="00A30E3B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A30E3B">
      <w:pPr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 xml:space="preserve">S to uredbo se za izvajanje Uredbe (EU) št. 2019/1020 Evropskega parlamenta in Sveta z dne 20. junija 2019 o nadzoru trga in skladnosti proizvodov ter spremembi Direktive 2004/42/ES in uredb (ES) št. 765/2008 in (EU) št. 305/2011 (UL L št. 169 z dne </w:t>
      </w:r>
      <w:proofErr w:type="gramStart"/>
      <w:r w:rsidRPr="00A30E3B">
        <w:rPr>
          <w:rFonts w:cs="Arial"/>
          <w:szCs w:val="20"/>
        </w:rPr>
        <w:t>25. 6. 2019</w:t>
      </w:r>
      <w:proofErr w:type="gramEnd"/>
      <w:r w:rsidRPr="00A30E3B">
        <w:rPr>
          <w:rFonts w:cs="Arial"/>
          <w:szCs w:val="20"/>
        </w:rPr>
        <w:t>, str. 1; v nadaljnjem besedilu: Uredba 2019/1020/EU) določajo organi za nadzor trga in organ, pristojen za nadzor proizvodov, ki vstopajo na trg Evropske unije, ter urejajo pravila in postopki za gospodarske subjekte.</w:t>
      </w:r>
    </w:p>
    <w:p w:rsidR="00A72CA4" w:rsidRPr="00A30E3B" w:rsidRDefault="00A72CA4" w:rsidP="00E40E9A">
      <w:pPr>
        <w:pStyle w:val="ti-section-2"/>
        <w:spacing w:before="0" w:beforeAutospacing="0" w:after="0" w:afterAutospacing="0" w:line="260" w:lineRule="exact"/>
        <w:contextualSpacing/>
        <w:jc w:val="center"/>
        <w:rPr>
          <w:rStyle w:val="bold"/>
          <w:rFonts w:ascii="Arial" w:hAnsi="Arial" w:cs="Arial"/>
          <w:sz w:val="20"/>
          <w:szCs w:val="20"/>
        </w:rPr>
      </w:pPr>
    </w:p>
    <w:p w:rsidR="00A72CA4" w:rsidRPr="00A30E3B" w:rsidRDefault="00A72CA4" w:rsidP="00E40E9A">
      <w:pPr>
        <w:pStyle w:val="ti-section-2"/>
        <w:spacing w:before="0" w:beforeAutospacing="0" w:after="0" w:afterAutospacing="0" w:line="260" w:lineRule="exact"/>
        <w:contextualSpacing/>
        <w:jc w:val="center"/>
        <w:rPr>
          <w:rStyle w:val="bold"/>
          <w:rFonts w:ascii="Arial" w:hAnsi="Arial" w:cs="Arial"/>
          <w:sz w:val="20"/>
          <w:szCs w:val="20"/>
        </w:rPr>
      </w:pPr>
    </w:p>
    <w:p w:rsidR="00A72CA4" w:rsidRPr="00A30E3B" w:rsidRDefault="00A72CA4" w:rsidP="00E40E9A">
      <w:pPr>
        <w:pStyle w:val="ti-section-2"/>
        <w:spacing w:before="0" w:beforeAutospacing="0" w:after="0" w:afterAutospacing="0" w:line="260" w:lineRule="exact"/>
        <w:contextualSpacing/>
        <w:jc w:val="center"/>
        <w:rPr>
          <w:rFonts w:ascii="Arial" w:hAnsi="Arial" w:cs="Arial"/>
          <w:sz w:val="20"/>
          <w:szCs w:val="20"/>
        </w:rPr>
      </w:pPr>
      <w:r w:rsidRPr="00A30E3B">
        <w:rPr>
          <w:rStyle w:val="bold"/>
          <w:rFonts w:ascii="Arial" w:hAnsi="Arial" w:cs="Arial"/>
          <w:sz w:val="20"/>
          <w:szCs w:val="20"/>
        </w:rPr>
        <w:t>II. NALOGE GOSPODARSKIH SUBJEKTOV</w:t>
      </w:r>
    </w:p>
    <w:p w:rsidR="00A72CA4" w:rsidRPr="00A30E3B" w:rsidRDefault="00A72CA4" w:rsidP="00E40E9A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pStyle w:val="len"/>
        <w:spacing w:before="0" w:line="260" w:lineRule="exact"/>
        <w:contextualSpacing/>
        <w:rPr>
          <w:rFonts w:cs="Arial"/>
          <w:b w:val="0"/>
          <w:sz w:val="20"/>
          <w:szCs w:val="20"/>
        </w:rPr>
      </w:pPr>
      <w:r w:rsidRPr="00A30E3B">
        <w:rPr>
          <w:rFonts w:cs="Arial"/>
          <w:b w:val="0"/>
          <w:sz w:val="20"/>
          <w:szCs w:val="20"/>
        </w:rPr>
        <w:t>2. člen</w:t>
      </w: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(jezik)</w:t>
      </w:r>
    </w:p>
    <w:p w:rsidR="00A30E3B" w:rsidRDefault="00A30E3B" w:rsidP="00A30E3B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A30E3B">
      <w:pPr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Opozorila na tveganje, ki ga proizvod lahko pomeni, morajo biti v skladu s točkama e in g tretjega odstavka 16. člena Uredbe 2019/1020/EU pripravljena v slovenskem jeziku ali pa v slovenski jezik prevedena.</w:t>
      </w: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</w:p>
    <w:p w:rsidR="00A72CA4" w:rsidRPr="00A30E3B" w:rsidRDefault="00A72CA4" w:rsidP="00E40E9A">
      <w:pPr>
        <w:contextualSpacing/>
        <w:jc w:val="center"/>
        <w:rPr>
          <w:rStyle w:val="bold"/>
          <w:rFonts w:cs="Arial"/>
          <w:szCs w:val="20"/>
        </w:rPr>
      </w:pPr>
      <w:r w:rsidRPr="00A30E3B">
        <w:rPr>
          <w:rStyle w:val="bold"/>
          <w:rFonts w:cs="Arial"/>
          <w:szCs w:val="20"/>
        </w:rPr>
        <w:t>III. POMOČ GOSPODARSKIM SUBJEKTOM IN SODELOVANJE Z NJIMI</w:t>
      </w: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3. člen</w:t>
      </w: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 xml:space="preserve"> (pošiljanje informacij gospodarskim subjektom)</w:t>
      </w:r>
    </w:p>
    <w:p w:rsidR="00A30E3B" w:rsidRDefault="00A30E3B" w:rsidP="00A30E3B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A30E3B">
      <w:pPr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Naloge kontaktne točke za proizvode v zvezi z zagotavljanjem informacij gospodarskim subjektom v skladu z drugim odstavkom 8. člena Uredbe 2019/1020/EU opravlja Slovenski inštitut za standardizacijo (SIST).</w:t>
      </w:r>
    </w:p>
    <w:p w:rsidR="00A72CA4" w:rsidRPr="00A30E3B" w:rsidRDefault="00A72CA4" w:rsidP="00E40E9A">
      <w:pPr>
        <w:ind w:firstLine="708"/>
        <w:contextualSpacing/>
        <w:jc w:val="center"/>
        <w:rPr>
          <w:rFonts w:cs="Arial"/>
          <w:szCs w:val="20"/>
        </w:rPr>
      </w:pPr>
    </w:p>
    <w:p w:rsidR="00A72CA4" w:rsidRDefault="00A72CA4" w:rsidP="00E40E9A">
      <w:pPr>
        <w:ind w:firstLine="708"/>
        <w:contextualSpacing/>
        <w:jc w:val="center"/>
        <w:rPr>
          <w:rFonts w:cs="Arial"/>
          <w:szCs w:val="20"/>
        </w:rPr>
      </w:pPr>
    </w:p>
    <w:p w:rsidR="00A30E3B" w:rsidRDefault="00A30E3B" w:rsidP="00E40E9A">
      <w:pPr>
        <w:ind w:firstLine="708"/>
        <w:contextualSpacing/>
        <w:jc w:val="center"/>
        <w:rPr>
          <w:rFonts w:cs="Arial"/>
          <w:szCs w:val="20"/>
        </w:rPr>
      </w:pPr>
    </w:p>
    <w:p w:rsidR="00A30E3B" w:rsidRDefault="00A30E3B" w:rsidP="00E40E9A">
      <w:pPr>
        <w:ind w:firstLine="708"/>
        <w:contextualSpacing/>
        <w:jc w:val="center"/>
        <w:rPr>
          <w:rFonts w:cs="Arial"/>
          <w:szCs w:val="20"/>
        </w:rPr>
      </w:pPr>
    </w:p>
    <w:p w:rsidR="00A30E3B" w:rsidRDefault="00A30E3B" w:rsidP="00E40E9A">
      <w:pPr>
        <w:ind w:firstLine="708"/>
        <w:contextualSpacing/>
        <w:jc w:val="center"/>
        <w:rPr>
          <w:rFonts w:cs="Arial"/>
          <w:szCs w:val="20"/>
        </w:rPr>
      </w:pPr>
    </w:p>
    <w:p w:rsidR="00A30E3B" w:rsidRDefault="00A30E3B" w:rsidP="00E40E9A">
      <w:pPr>
        <w:ind w:firstLine="708"/>
        <w:contextualSpacing/>
        <w:jc w:val="center"/>
        <w:rPr>
          <w:rFonts w:cs="Arial"/>
          <w:szCs w:val="20"/>
        </w:rPr>
      </w:pPr>
    </w:p>
    <w:p w:rsidR="00A30E3B" w:rsidRPr="00A30E3B" w:rsidRDefault="00A30E3B" w:rsidP="00E40E9A">
      <w:pPr>
        <w:ind w:firstLine="708"/>
        <w:contextualSpacing/>
        <w:jc w:val="center"/>
        <w:rPr>
          <w:rFonts w:cs="Arial"/>
          <w:szCs w:val="20"/>
        </w:rPr>
      </w:pPr>
    </w:p>
    <w:p w:rsidR="00A72CA4" w:rsidRPr="00A30E3B" w:rsidRDefault="00A72CA4" w:rsidP="00E40E9A">
      <w:pPr>
        <w:ind w:firstLine="708"/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lastRenderedPageBreak/>
        <w:t>IV. ORGANIZACIJA, DEJAVNOSTI IN OBVEZNOSTI ORGANOV ZA NADZOR TRGA IN ENOTNI POVEZOVALNI ORGAN</w:t>
      </w:r>
    </w:p>
    <w:p w:rsidR="00A72CA4" w:rsidRPr="00A30E3B" w:rsidRDefault="00A72CA4" w:rsidP="00E40E9A">
      <w:pPr>
        <w:ind w:firstLine="708"/>
        <w:contextualSpacing/>
        <w:jc w:val="center"/>
        <w:rPr>
          <w:rFonts w:cs="Arial"/>
          <w:szCs w:val="20"/>
        </w:rPr>
      </w:pPr>
    </w:p>
    <w:p w:rsidR="00A72CA4" w:rsidRPr="00A30E3B" w:rsidRDefault="00A72CA4" w:rsidP="00E40E9A">
      <w:pPr>
        <w:ind w:firstLine="708"/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4. člen</w:t>
      </w:r>
    </w:p>
    <w:p w:rsidR="00A72CA4" w:rsidRDefault="00A72CA4" w:rsidP="00E40E9A">
      <w:pPr>
        <w:ind w:firstLine="708"/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(enotni povezovalni organ)</w:t>
      </w:r>
    </w:p>
    <w:p w:rsidR="00A30E3B" w:rsidRPr="00A30E3B" w:rsidRDefault="00A30E3B" w:rsidP="00E40E9A">
      <w:pPr>
        <w:ind w:firstLine="708"/>
        <w:contextualSpacing/>
        <w:jc w:val="center"/>
        <w:rPr>
          <w:rFonts w:cs="Arial"/>
          <w:szCs w:val="20"/>
        </w:rPr>
      </w:pPr>
    </w:p>
    <w:p w:rsidR="00A72CA4" w:rsidRPr="00A30E3B" w:rsidRDefault="00A72CA4" w:rsidP="00A30E3B">
      <w:pPr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Enotni povezovalni organ iz tretjega odstavka 10. člena Uredbe 2019/1020/EU je ministrstvo, pristojno za notranji trg.</w:t>
      </w:r>
    </w:p>
    <w:p w:rsidR="00A72CA4" w:rsidRPr="00A30E3B" w:rsidRDefault="00A72CA4" w:rsidP="00E40E9A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ind w:firstLine="708"/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ind w:firstLine="708"/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5. člen</w:t>
      </w:r>
    </w:p>
    <w:p w:rsidR="00A72CA4" w:rsidRPr="00A30E3B" w:rsidRDefault="00A72CA4" w:rsidP="00E40E9A">
      <w:pPr>
        <w:ind w:firstLine="708"/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 xml:space="preserve"> (organi za nadzor trga)</w:t>
      </w:r>
    </w:p>
    <w:p w:rsidR="00A30E3B" w:rsidRDefault="00A30E3B" w:rsidP="00A30E3B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A30E3B">
      <w:pPr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(1) Organi, pristojni za nadzor trga, iz drugega odstavka 10. člena Uredbe 2019/1020/EU (v nadaljnjem besedilu: organi za nadzor trga) so inšpekcijski organi v okviru pristojnosti, določenih z materialnimi pr</w:t>
      </w:r>
      <w:r w:rsidR="00A30E3B">
        <w:rPr>
          <w:rFonts w:cs="Arial"/>
          <w:szCs w:val="20"/>
        </w:rPr>
        <w:t>edpisi, sprejetimi za izvajanje</w:t>
      </w:r>
      <w:proofErr w:type="gramStart"/>
      <w:r w:rsidR="00A30E3B">
        <w:rPr>
          <w:rFonts w:cs="Arial"/>
          <w:szCs w:val="20"/>
        </w:rPr>
        <w:t xml:space="preserve"> </w:t>
      </w:r>
      <w:r w:rsidRPr="00A30E3B">
        <w:rPr>
          <w:rFonts w:cs="Arial"/>
          <w:szCs w:val="20"/>
        </w:rPr>
        <w:t>ali</w:t>
      </w:r>
      <w:proofErr w:type="gramEnd"/>
      <w:r w:rsidRPr="00A30E3B">
        <w:rPr>
          <w:rFonts w:cs="Arial"/>
          <w:szCs w:val="20"/>
        </w:rPr>
        <w:t xml:space="preserve"> prenos predpisov iz priloge </w:t>
      </w:r>
      <w:r w:rsidR="00A30E3B">
        <w:rPr>
          <w:rFonts w:cs="Arial"/>
          <w:szCs w:val="20"/>
        </w:rPr>
        <w:br/>
      </w:r>
      <w:r w:rsidRPr="00A30E3B">
        <w:rPr>
          <w:rFonts w:cs="Arial"/>
          <w:szCs w:val="20"/>
        </w:rPr>
        <w:t xml:space="preserve">I Uredbe 2019/1020/EU: </w:t>
      </w:r>
    </w:p>
    <w:p w:rsidR="00A72CA4" w:rsidRPr="00A30E3B" w:rsidRDefault="00A72CA4" w:rsidP="00A30E3B">
      <w:pPr>
        <w:ind w:left="709" w:hanging="709"/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 xml:space="preserve">– </w:t>
      </w:r>
      <w:r w:rsidR="00A30E3B">
        <w:rPr>
          <w:rFonts w:cs="Arial"/>
          <w:szCs w:val="20"/>
        </w:rPr>
        <w:tab/>
      </w:r>
      <w:r w:rsidRPr="00A30E3B">
        <w:rPr>
          <w:rFonts w:cs="Arial"/>
          <w:szCs w:val="20"/>
        </w:rPr>
        <w:t>Inšpektorat Republike Slovenije za delo;</w:t>
      </w:r>
    </w:p>
    <w:p w:rsidR="00A72CA4" w:rsidRPr="00A30E3B" w:rsidRDefault="00A72CA4" w:rsidP="00A30E3B">
      <w:pPr>
        <w:ind w:left="709" w:hanging="709"/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 xml:space="preserve">– </w:t>
      </w:r>
      <w:r w:rsidR="00A30E3B">
        <w:rPr>
          <w:rFonts w:cs="Arial"/>
          <w:szCs w:val="20"/>
        </w:rPr>
        <w:tab/>
      </w:r>
      <w:r w:rsidRPr="00A30E3B">
        <w:rPr>
          <w:rFonts w:cs="Arial"/>
          <w:szCs w:val="20"/>
        </w:rPr>
        <w:t>Inšpektorat Republike Slovenije za infrastrukturo;</w:t>
      </w:r>
    </w:p>
    <w:p w:rsidR="00A72CA4" w:rsidRPr="00A30E3B" w:rsidRDefault="00A72CA4" w:rsidP="00A30E3B">
      <w:pPr>
        <w:ind w:left="709" w:hanging="709"/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–</w:t>
      </w:r>
      <w:r w:rsidR="00A30E3B">
        <w:rPr>
          <w:rFonts w:cs="Arial"/>
          <w:szCs w:val="20"/>
        </w:rPr>
        <w:tab/>
      </w:r>
      <w:r w:rsidRPr="00A30E3B">
        <w:rPr>
          <w:rFonts w:cs="Arial"/>
          <w:szCs w:val="20"/>
        </w:rPr>
        <w:t>Inšpektorat Republike Slovenije za kmetijstvo, gozdarstvo, lovstvo in ribištvo;</w:t>
      </w:r>
    </w:p>
    <w:p w:rsidR="00A72CA4" w:rsidRPr="00A30E3B" w:rsidRDefault="00A72CA4" w:rsidP="00A30E3B">
      <w:pPr>
        <w:ind w:left="709" w:hanging="709"/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 xml:space="preserve">– </w:t>
      </w:r>
      <w:r w:rsidR="00A30E3B">
        <w:rPr>
          <w:rFonts w:cs="Arial"/>
          <w:szCs w:val="20"/>
        </w:rPr>
        <w:tab/>
      </w:r>
      <w:r w:rsidRPr="00A30E3B">
        <w:rPr>
          <w:rFonts w:cs="Arial"/>
          <w:szCs w:val="20"/>
        </w:rPr>
        <w:t>Inšpektorat Republike Slovenije za notranje zadeve;</w:t>
      </w:r>
    </w:p>
    <w:p w:rsidR="00A72CA4" w:rsidRPr="00A30E3B" w:rsidRDefault="00A72CA4" w:rsidP="00A30E3B">
      <w:pPr>
        <w:ind w:left="709" w:hanging="709"/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 xml:space="preserve">– </w:t>
      </w:r>
      <w:r w:rsidR="00A30E3B">
        <w:rPr>
          <w:rFonts w:cs="Arial"/>
          <w:szCs w:val="20"/>
        </w:rPr>
        <w:tab/>
      </w:r>
      <w:r w:rsidRPr="00A30E3B">
        <w:rPr>
          <w:rFonts w:cs="Arial"/>
          <w:szCs w:val="20"/>
        </w:rPr>
        <w:t>Inšpektorat Republike Slovenije za okolje in prostor;</w:t>
      </w:r>
    </w:p>
    <w:p w:rsidR="00A72CA4" w:rsidRPr="00A30E3B" w:rsidRDefault="00A72CA4" w:rsidP="00A30E3B">
      <w:pPr>
        <w:ind w:left="709" w:hanging="709"/>
        <w:contextualSpacing/>
        <w:rPr>
          <w:rFonts w:cs="Arial"/>
          <w:szCs w:val="20"/>
        </w:rPr>
      </w:pPr>
      <w:r w:rsidRPr="00A30E3B">
        <w:rPr>
          <w:rFonts w:cs="Arial"/>
          <w:szCs w:val="20"/>
        </w:rPr>
        <w:t xml:space="preserve">– </w:t>
      </w:r>
      <w:r w:rsidR="00A30E3B">
        <w:rPr>
          <w:rFonts w:cs="Arial"/>
          <w:szCs w:val="20"/>
        </w:rPr>
        <w:tab/>
      </w:r>
      <w:r w:rsidRPr="00A30E3B">
        <w:rPr>
          <w:rFonts w:cs="Arial"/>
          <w:szCs w:val="20"/>
        </w:rPr>
        <w:t>Javna agencija Republike Slovenije za zdravila in medicinske pripomočke;</w:t>
      </w:r>
    </w:p>
    <w:p w:rsidR="00A72CA4" w:rsidRPr="00A30E3B" w:rsidRDefault="00A72CA4" w:rsidP="00A30E3B">
      <w:pPr>
        <w:ind w:left="709" w:hanging="709"/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 xml:space="preserve">– </w:t>
      </w:r>
      <w:r w:rsidR="00A30E3B">
        <w:rPr>
          <w:rFonts w:cs="Arial"/>
          <w:szCs w:val="20"/>
        </w:rPr>
        <w:tab/>
      </w:r>
      <w:r w:rsidRPr="00A30E3B">
        <w:rPr>
          <w:rFonts w:cs="Arial"/>
          <w:szCs w:val="20"/>
        </w:rPr>
        <w:t>Tržni inšpektorat Republike Slovenije;</w:t>
      </w:r>
    </w:p>
    <w:p w:rsidR="00A72CA4" w:rsidRPr="00A30E3B" w:rsidRDefault="00A72CA4" w:rsidP="00A30E3B">
      <w:pPr>
        <w:ind w:left="709" w:hanging="709"/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 xml:space="preserve">– </w:t>
      </w:r>
      <w:r w:rsidR="00A30E3B">
        <w:rPr>
          <w:rFonts w:cs="Arial"/>
          <w:szCs w:val="20"/>
        </w:rPr>
        <w:tab/>
      </w:r>
      <w:r w:rsidRPr="00A30E3B">
        <w:rPr>
          <w:rFonts w:cs="Arial"/>
          <w:szCs w:val="20"/>
        </w:rPr>
        <w:t>Urad Republike Slovenije za kemikalije;</w:t>
      </w:r>
    </w:p>
    <w:p w:rsidR="00A72CA4" w:rsidRPr="00A30E3B" w:rsidRDefault="00A72CA4" w:rsidP="00A30E3B">
      <w:pPr>
        <w:ind w:left="709" w:hanging="709"/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 xml:space="preserve">– </w:t>
      </w:r>
      <w:r w:rsidR="00A30E3B">
        <w:rPr>
          <w:rFonts w:cs="Arial"/>
          <w:szCs w:val="20"/>
        </w:rPr>
        <w:tab/>
      </w:r>
      <w:r w:rsidRPr="00A30E3B">
        <w:rPr>
          <w:rFonts w:cs="Arial"/>
          <w:szCs w:val="20"/>
        </w:rPr>
        <w:t>Urad Republike Slovenije za meroslovje;</w:t>
      </w:r>
    </w:p>
    <w:p w:rsidR="00A72CA4" w:rsidRPr="00A30E3B" w:rsidRDefault="00A72CA4" w:rsidP="00A30E3B">
      <w:pPr>
        <w:ind w:left="709" w:hanging="709"/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 xml:space="preserve">– </w:t>
      </w:r>
      <w:r w:rsidR="00A30E3B">
        <w:rPr>
          <w:rFonts w:cs="Arial"/>
          <w:szCs w:val="20"/>
        </w:rPr>
        <w:tab/>
        <w:t>Z</w:t>
      </w:r>
      <w:r w:rsidRPr="00A30E3B">
        <w:rPr>
          <w:rFonts w:cs="Arial"/>
          <w:szCs w:val="20"/>
        </w:rPr>
        <w:t xml:space="preserve">dravstveni inšpektorat Republike Slovenije. </w:t>
      </w:r>
    </w:p>
    <w:p w:rsidR="00A30E3B" w:rsidRDefault="00A30E3B" w:rsidP="00A30E3B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A30E3B">
      <w:pPr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(2) Ministrstvo, pristojno za notranji trg, z uporabo informacijskega in komunikacijskega sistema iz 34. člena Uredbe 2019/1020/EU obvesti Evropsko komisijo (v nadaljnjem besedilu: Komisijo) in druge države članice o svojih organih za nadzor trga in področjih, za katera je vsak od teh organov pristojen.</w:t>
      </w:r>
    </w:p>
    <w:p w:rsidR="00A72CA4" w:rsidRPr="00A30E3B" w:rsidRDefault="00A72CA4" w:rsidP="00E40E9A">
      <w:pPr>
        <w:ind w:firstLine="708"/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6. člen</w:t>
      </w: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(dejavnosti organov za nadzor trga)</w:t>
      </w:r>
    </w:p>
    <w:p w:rsidR="00A30E3B" w:rsidRDefault="00A30E3B" w:rsidP="00A30E3B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A30E3B">
      <w:pPr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(1) Dokazila, ki jih uporabi organ za nadzor trga v drugi državi članici, se lahko brez nadaljnjih formalnih zahtev uporabijo tudi v okviru preiskav za ugotavljanje skladnosti proizvoda, ki jih organ za nadzor trga izvede v Republiki Sloveniji.</w:t>
      </w:r>
    </w:p>
    <w:p w:rsidR="00A30E3B" w:rsidRDefault="00A30E3B" w:rsidP="00A30E3B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A30E3B">
      <w:pPr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(2) Proizvode, za katere se na podlagi odločbe organa za nadzor trga v drugi državi članici šteje, da so neskladni, organi za nadzor trga v Republiki Sloveniji prav tako obravnavajo kot neskladne, razen če je zadevni organ za nadzor trga v Republiki Sloveniji na podlagi lastne preiskave in ob upoštevanju morebitnih informacij gospodarskega subjekta prišel do nasprotne ugotovitve.</w:t>
      </w:r>
    </w:p>
    <w:p w:rsidR="00A72CA4" w:rsidRPr="00A30E3B" w:rsidRDefault="00A72CA4" w:rsidP="00E40E9A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ind w:firstLine="708"/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7. člen</w:t>
      </w: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(nacionalna strategija za nadzor trga)</w:t>
      </w:r>
    </w:p>
    <w:p w:rsidR="00A30E3B" w:rsidRDefault="00A30E3B" w:rsidP="00A30E3B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A30E3B">
      <w:pPr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 xml:space="preserve">Ministrstvo, pristojno za notranji trg, v skladu s 13. členom Uredbe 2019/1020/EU vsaj vsaka štiri leta pripravi krovno nacionalno strategijo za nadzor trga in jo sporoči Komisiji in drugim državam </w:t>
      </w:r>
      <w:r w:rsidRPr="00A30E3B">
        <w:rPr>
          <w:rFonts w:cs="Arial"/>
          <w:szCs w:val="20"/>
        </w:rPr>
        <w:lastRenderedPageBreak/>
        <w:t>članicam po informacijskem in komunikacijskem sistemu iz 34. člena Uredbe 2019/1020/EU. Ministrstvo, pristojno za notranji trg, objavi povzetek strategije na spletni strani ministrstva.</w:t>
      </w:r>
    </w:p>
    <w:p w:rsidR="00A72CA4" w:rsidRPr="00A30E3B" w:rsidRDefault="00A72CA4" w:rsidP="00E40E9A">
      <w:pPr>
        <w:ind w:firstLine="708"/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V. POOBLASTILA IN UKREPI ZA NADZOR TRGA</w:t>
      </w: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8. člen</w:t>
      </w: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(pooblastila)</w:t>
      </w:r>
    </w:p>
    <w:p w:rsidR="00A72CA4" w:rsidRPr="00A30E3B" w:rsidRDefault="00A72CA4" w:rsidP="00E40E9A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Pooblastila organov za nadzor trga iz 14. člena Uredbe 2019/1020/EU so določena v zakonskem predpisu, ki ureja tehnične zahteve za proizvode in ugotavljanje skladnosti.</w:t>
      </w:r>
    </w:p>
    <w:p w:rsidR="00A72CA4" w:rsidRPr="00A30E3B" w:rsidRDefault="00A72CA4" w:rsidP="00E40E9A">
      <w:pPr>
        <w:ind w:firstLine="708"/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9. člen</w:t>
      </w: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(sistem hitre izmenjave informacij)</w:t>
      </w:r>
    </w:p>
    <w:p w:rsidR="00A30E3B" w:rsidRDefault="00A30E3B" w:rsidP="00A30E3B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A30E3B">
      <w:pPr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(1) Kadar organ za nadzor trga sprejme ali namerava sprejeti ukrep v skladu z 19. členom Uredbe 2019/1020/EU in meni, da razlogi, ki so izzvali ukrep, ali posledice sprejetega ukrepa segajo prek ozemlja Republike Slovenije, o tem ukrepu takoj obvesti kontaktno točko v skladu s predpisom o načinu mednarodne izmenjave informacij o ukrepih in dejanjih, ki omejujejo trgovanje s proizvodi. Kontaktna točka o takšnem ukrepu in spremembi ali umiku vsakega takega ukrepa brez odlašanja uradno obvesti Komisijo po sistemu hitre izmenjave informacij (RAPEX) iz četrtega odstavka 20. člena Uredbe 2019/1020/EU.</w:t>
      </w:r>
    </w:p>
    <w:p w:rsidR="00A30E3B" w:rsidRDefault="00A30E3B" w:rsidP="00A30E3B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A30E3B">
      <w:pPr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(2) Če je proizvod, ki predstavlja resno tveganje, dostopen na trgu Evropske unije, kontaktna točka Komisijo takoj uradno obvesti o vseh prostovoljnih ukrepih, ki jih je gospodarski subjekt sprejel in sporočil organu za nadzor trga.</w:t>
      </w:r>
    </w:p>
    <w:p w:rsidR="00A72CA4" w:rsidRPr="00A30E3B" w:rsidRDefault="00A72CA4" w:rsidP="00E40E9A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10. člen</w:t>
      </w:r>
    </w:p>
    <w:p w:rsidR="00A72CA4" w:rsidRPr="00A30E3B" w:rsidRDefault="00A72CA4" w:rsidP="00E40E9A">
      <w:pPr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(proizvodi, ki predstavljajo resno tveganje)</w:t>
      </w:r>
    </w:p>
    <w:p w:rsidR="00A30E3B" w:rsidRDefault="00A30E3B" w:rsidP="00A30E3B">
      <w:pPr>
        <w:contextualSpacing/>
        <w:jc w:val="both"/>
        <w:rPr>
          <w:rFonts w:cs="Arial"/>
          <w:szCs w:val="20"/>
        </w:rPr>
      </w:pPr>
    </w:p>
    <w:p w:rsidR="00A72CA4" w:rsidRPr="00A30E3B" w:rsidRDefault="00A72CA4" w:rsidP="00A30E3B">
      <w:pPr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Organi za nadzor trga zagotovijo, da se proizvodi, ki predstavljajo resno tveganje, umaknejo ali odpokličejo, kadar ni drugih učinkovitih načinov, s katerimi bi bilo mogoče odpraviti resno tveganje, ali da se prepove njihova dostopnost na trgu Evropske unije. Organi za nadzor trga o tem takoj uradno obvestijo kontaktno točko, ki obvesti Komisijo v skladu z 20. členom Uredbe 2019/1020/EU.</w:t>
      </w:r>
    </w:p>
    <w:p w:rsidR="00A72CA4" w:rsidRP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tabs>
          <w:tab w:val="left" w:pos="709"/>
        </w:tabs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VI. PROIZVODI, KI VSTOPAJO NA TRG EVROPSKE UNIJE</w:t>
      </w:r>
    </w:p>
    <w:p w:rsidR="00A72CA4" w:rsidRP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tabs>
          <w:tab w:val="left" w:pos="709"/>
        </w:tabs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11. člen</w:t>
      </w:r>
    </w:p>
    <w:p w:rsidR="00A72CA4" w:rsidRPr="00A30E3B" w:rsidRDefault="00A72CA4" w:rsidP="00E40E9A">
      <w:pPr>
        <w:tabs>
          <w:tab w:val="left" w:pos="709"/>
        </w:tabs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(nadzor proizvodov, ki vstopajo na trg Evropske unije)</w:t>
      </w:r>
    </w:p>
    <w:p w:rsidR="00A72CA4" w:rsidRPr="00A30E3B" w:rsidRDefault="00A72CA4" w:rsidP="00E40E9A">
      <w:pPr>
        <w:tabs>
          <w:tab w:val="left" w:pos="709"/>
        </w:tabs>
        <w:contextualSpacing/>
        <w:jc w:val="center"/>
        <w:rPr>
          <w:rFonts w:cs="Arial"/>
          <w:szCs w:val="20"/>
        </w:rPr>
      </w:pPr>
    </w:p>
    <w:p w:rsidR="00A72CA4" w:rsidRP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(1) V skladu s prvim odstavkom 25. člena Uredbe 2019/1020/EU je na ozemlju Republike Slovenije kot organ, pristojen za nadzor proizvodov, ki vstopajo na trg Evropske unije, pristojna Finančna uprava Republike Slovenije.</w:t>
      </w:r>
    </w:p>
    <w:p w:rsidR="00A72CA4" w:rsidRP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(2) Ministrstvo, pristojno za notranji trg, po informacijskem in komunikacijskem sistemu iz 34. člena Uredbe 2019/1020/EU Komisijo in druge države članice obvesti, katere organe je določilo v skladu s prvim odstavkom 25. člena Uredbe 2019/1020/EU in za katera področja so pristojni.</w:t>
      </w:r>
    </w:p>
    <w:p w:rsidR="00A72CA4" w:rsidRP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lastRenderedPageBreak/>
        <w:t>(3) Organ, pristojen za nadzor proizvodov, ki vstopajo na trg Evropske unije, vsako leto do 31. marca v skladu s šestim odstavkom 25. člena Uredbe 2019/1020/EU Komisiji predloži podrobne statistične podatke o nadzoru proizvodov, ki so ga za proizvode, za katere se uporablja pravo Evropske unije, opravili organi v prejšnjem koledarskem letu.</w:t>
      </w:r>
    </w:p>
    <w:p w:rsidR="00A72CA4" w:rsidRP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tabs>
          <w:tab w:val="left" w:pos="709"/>
        </w:tabs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VII. USKLAJENO IZVRŠEVANJE IN MEDNARODNO SODELOVANJE</w:t>
      </w:r>
    </w:p>
    <w:p w:rsidR="00A72CA4" w:rsidRPr="00A30E3B" w:rsidRDefault="00A72CA4" w:rsidP="00A30E3B">
      <w:pPr>
        <w:tabs>
          <w:tab w:val="left" w:pos="709"/>
        </w:tabs>
        <w:contextualSpacing/>
        <w:rPr>
          <w:rFonts w:cs="Arial"/>
          <w:szCs w:val="20"/>
        </w:rPr>
      </w:pPr>
    </w:p>
    <w:p w:rsidR="00A72CA4" w:rsidRPr="00A30E3B" w:rsidRDefault="00A72CA4" w:rsidP="00E40E9A">
      <w:pPr>
        <w:tabs>
          <w:tab w:val="left" w:pos="709"/>
        </w:tabs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12. člen</w:t>
      </w:r>
    </w:p>
    <w:p w:rsidR="00A72CA4" w:rsidRPr="00A30E3B" w:rsidRDefault="00A72CA4" w:rsidP="00A30E3B">
      <w:pPr>
        <w:tabs>
          <w:tab w:val="left" w:pos="709"/>
        </w:tabs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(informacijski in komunikacijski sistem)</w:t>
      </w:r>
    </w:p>
    <w:p w:rsid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ab/>
      </w:r>
    </w:p>
    <w:p w:rsidR="00A72CA4" w:rsidRP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 xml:space="preserve">(1) V skladu s prvim odstavkom 34. člena Uredbe 2019/1020/EU imajo dostop do informacijskega in komunikacijskega sistema za strukturirano zbiranje, obdelavo in hranjenje informacij o vprašanjih v zvezi z izvrševanjem </w:t>
      </w:r>
      <w:proofErr w:type="spellStart"/>
      <w:r w:rsidRPr="00A30E3B">
        <w:rPr>
          <w:rFonts w:cs="Arial"/>
          <w:szCs w:val="20"/>
        </w:rPr>
        <w:t>harmonizacijske</w:t>
      </w:r>
      <w:proofErr w:type="spellEnd"/>
      <w:r w:rsidRPr="00A30E3B">
        <w:rPr>
          <w:rFonts w:cs="Arial"/>
          <w:szCs w:val="20"/>
        </w:rPr>
        <w:t xml:space="preserve"> zakonodaje Evropske unije, ki ga razvija in vzdržuje Komisija, organi za nadzor trga, organi, pristojni za nadzor proizvodov, ki vstopajo na trg Evropske unije, in ministrstvo, pristojno za notranji trg.</w:t>
      </w:r>
    </w:p>
    <w:p w:rsidR="00A72CA4" w:rsidRP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(2) Ministrstvo, pristojno za notranji trg, v informacijski in komunikacijski sistem vnese informacije iz tretjega odstavka 34. člena Uredbe 2019/1020/EU.</w:t>
      </w:r>
    </w:p>
    <w:p w:rsidR="00A72CA4" w:rsidRP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</w:p>
    <w:p w:rsidR="00A72CA4" w:rsidRP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</w:p>
    <w:p w:rsidR="00A72CA4" w:rsidRPr="00A30E3B" w:rsidRDefault="00597F43" w:rsidP="00E40E9A">
      <w:pPr>
        <w:tabs>
          <w:tab w:val="left" w:pos="709"/>
        </w:tabs>
        <w:contextualSpacing/>
        <w:jc w:val="center"/>
        <w:rPr>
          <w:rFonts w:cs="Arial"/>
          <w:szCs w:val="20"/>
        </w:rPr>
      </w:pPr>
      <w:r>
        <w:rPr>
          <w:rFonts w:cs="Arial"/>
          <w:szCs w:val="20"/>
        </w:rPr>
        <w:t>VIII</w:t>
      </w:r>
      <w:bookmarkStart w:id="0" w:name="_GoBack"/>
      <w:bookmarkEnd w:id="0"/>
      <w:r w:rsidR="00A72CA4" w:rsidRPr="00A30E3B">
        <w:rPr>
          <w:rFonts w:cs="Arial"/>
          <w:szCs w:val="20"/>
        </w:rPr>
        <w:t>. PREHODNA IN KONČNA DOLOČBA</w:t>
      </w:r>
    </w:p>
    <w:p w:rsidR="00A72CA4" w:rsidRPr="00A30E3B" w:rsidRDefault="00A72CA4" w:rsidP="00A30E3B">
      <w:pPr>
        <w:tabs>
          <w:tab w:val="left" w:pos="709"/>
        </w:tabs>
        <w:contextualSpacing/>
        <w:rPr>
          <w:rFonts w:cs="Arial"/>
          <w:szCs w:val="20"/>
        </w:rPr>
      </w:pPr>
    </w:p>
    <w:p w:rsidR="00A72CA4" w:rsidRPr="00A30E3B" w:rsidRDefault="00A72CA4" w:rsidP="00E40E9A">
      <w:pPr>
        <w:tabs>
          <w:tab w:val="left" w:pos="709"/>
        </w:tabs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13. člen</w:t>
      </w:r>
    </w:p>
    <w:p w:rsidR="00A72CA4" w:rsidRPr="00A30E3B" w:rsidRDefault="00A72CA4" w:rsidP="00E40E9A">
      <w:pPr>
        <w:tabs>
          <w:tab w:val="left" w:pos="709"/>
        </w:tabs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(priprava nacionalne strategije za nadzor trga)</w:t>
      </w:r>
    </w:p>
    <w:p w:rsidR="00A72CA4" w:rsidRPr="00A30E3B" w:rsidRDefault="00A72CA4" w:rsidP="00E40E9A">
      <w:pPr>
        <w:tabs>
          <w:tab w:val="left" w:pos="709"/>
        </w:tabs>
        <w:contextualSpacing/>
        <w:jc w:val="center"/>
        <w:rPr>
          <w:rFonts w:cs="Arial"/>
          <w:szCs w:val="20"/>
        </w:rPr>
      </w:pPr>
    </w:p>
    <w:p w:rsidR="00A72CA4" w:rsidRPr="00A30E3B" w:rsidRDefault="00A72CA4" w:rsidP="00E40E9A">
      <w:pPr>
        <w:tabs>
          <w:tab w:val="left" w:pos="709"/>
        </w:tabs>
        <w:contextualSpacing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Ministrstvo, pristojno za notranji trg, pripravi prvo krovno nacionalno strategijo za nadzor trga iz 7. člena te uredbe do 16. julija 2022.</w:t>
      </w:r>
    </w:p>
    <w:p w:rsidR="00A72CA4" w:rsidRPr="00A30E3B" w:rsidRDefault="00A72CA4" w:rsidP="00E40E9A">
      <w:pPr>
        <w:tabs>
          <w:tab w:val="left" w:pos="709"/>
        </w:tabs>
        <w:contextualSpacing/>
        <w:jc w:val="center"/>
        <w:rPr>
          <w:rFonts w:cs="Arial"/>
          <w:szCs w:val="20"/>
        </w:rPr>
      </w:pPr>
    </w:p>
    <w:p w:rsidR="00A72CA4" w:rsidRPr="00A30E3B" w:rsidRDefault="00A72CA4" w:rsidP="00E40E9A">
      <w:pPr>
        <w:tabs>
          <w:tab w:val="left" w:pos="709"/>
        </w:tabs>
        <w:contextualSpacing/>
        <w:jc w:val="center"/>
        <w:rPr>
          <w:rFonts w:cs="Arial"/>
          <w:szCs w:val="20"/>
        </w:rPr>
      </w:pPr>
    </w:p>
    <w:p w:rsidR="00A72CA4" w:rsidRPr="00A30E3B" w:rsidRDefault="00A72CA4" w:rsidP="00E40E9A">
      <w:pPr>
        <w:tabs>
          <w:tab w:val="left" w:pos="709"/>
        </w:tabs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14. člen</w:t>
      </w:r>
    </w:p>
    <w:p w:rsidR="00A72CA4" w:rsidRPr="00A30E3B" w:rsidRDefault="00A72CA4" w:rsidP="00E40E9A">
      <w:pPr>
        <w:tabs>
          <w:tab w:val="left" w:pos="709"/>
        </w:tabs>
        <w:contextualSpacing/>
        <w:jc w:val="center"/>
        <w:rPr>
          <w:rFonts w:cs="Arial"/>
          <w:szCs w:val="20"/>
        </w:rPr>
      </w:pPr>
      <w:r w:rsidRPr="00A30E3B">
        <w:rPr>
          <w:rFonts w:cs="Arial"/>
          <w:szCs w:val="20"/>
        </w:rPr>
        <w:t>(začetek veljavnosti)</w:t>
      </w:r>
    </w:p>
    <w:p w:rsidR="00A72CA4" w:rsidRPr="00A30E3B" w:rsidRDefault="00A72CA4" w:rsidP="00E40E9A">
      <w:pPr>
        <w:tabs>
          <w:tab w:val="left" w:pos="709"/>
        </w:tabs>
        <w:contextualSpacing/>
        <w:jc w:val="center"/>
        <w:rPr>
          <w:rFonts w:cs="Arial"/>
          <w:szCs w:val="20"/>
        </w:rPr>
      </w:pPr>
    </w:p>
    <w:p w:rsidR="00A72CA4" w:rsidRPr="00A30E3B" w:rsidRDefault="00A72CA4" w:rsidP="00E40E9A">
      <w:pPr>
        <w:tabs>
          <w:tab w:val="left" w:pos="709"/>
        </w:tabs>
        <w:contextualSpacing/>
        <w:rPr>
          <w:rFonts w:cs="Arial"/>
          <w:szCs w:val="20"/>
        </w:rPr>
      </w:pPr>
      <w:r w:rsidRPr="00A30E3B">
        <w:rPr>
          <w:rFonts w:cs="Arial"/>
          <w:szCs w:val="20"/>
        </w:rPr>
        <w:t>Ta uredba začne veljati petnajsti dan po objavi v Uradnem listu Republike Slovenije.</w:t>
      </w:r>
    </w:p>
    <w:p w:rsidR="00F2122E" w:rsidRPr="00A30E3B" w:rsidRDefault="00F2122E" w:rsidP="00E40E9A">
      <w:pPr>
        <w:pStyle w:val="podpisi"/>
        <w:jc w:val="both"/>
        <w:rPr>
          <w:rFonts w:cs="Arial"/>
          <w:bCs/>
          <w:szCs w:val="20"/>
          <w:lang w:val="sl-SI"/>
        </w:rPr>
      </w:pPr>
    </w:p>
    <w:p w:rsidR="00F2122E" w:rsidRDefault="00F2122E" w:rsidP="00E40E9A">
      <w:pPr>
        <w:pStyle w:val="podpisi"/>
        <w:rPr>
          <w:rFonts w:cs="Arial"/>
          <w:bCs/>
          <w:szCs w:val="20"/>
          <w:lang w:val="sl-SI"/>
        </w:rPr>
      </w:pPr>
    </w:p>
    <w:p w:rsidR="0029145E" w:rsidRPr="00A30E3B" w:rsidRDefault="0029145E" w:rsidP="00E40E9A">
      <w:pPr>
        <w:pStyle w:val="podpisi"/>
        <w:rPr>
          <w:rFonts w:cs="Arial"/>
          <w:bCs/>
          <w:szCs w:val="20"/>
          <w:lang w:val="sl-SI"/>
        </w:rPr>
      </w:pPr>
    </w:p>
    <w:p w:rsidR="00F2122E" w:rsidRPr="00A30E3B" w:rsidRDefault="00F2122E" w:rsidP="00E40E9A">
      <w:pPr>
        <w:shd w:val="clear" w:color="auto" w:fill="FFFFFF"/>
        <w:rPr>
          <w:rFonts w:eastAsiaTheme="minorHAnsi" w:cs="Arial"/>
          <w:bCs/>
          <w:color w:val="000000"/>
          <w:szCs w:val="20"/>
        </w:rPr>
      </w:pPr>
      <w:r w:rsidRPr="00A30E3B">
        <w:rPr>
          <w:rFonts w:cs="Arial"/>
          <w:color w:val="000000"/>
          <w:szCs w:val="20"/>
          <w:lang w:eastAsia="sl-SI"/>
        </w:rPr>
        <w:t xml:space="preserve">Št. </w:t>
      </w:r>
      <w:r w:rsidR="00E40E9A" w:rsidRPr="00A30E3B">
        <w:rPr>
          <w:rFonts w:cs="Arial"/>
          <w:color w:val="000000"/>
          <w:szCs w:val="20"/>
        </w:rPr>
        <w:t>00726-43/2021</w:t>
      </w:r>
    </w:p>
    <w:p w:rsidR="00F2122E" w:rsidRPr="00A30E3B" w:rsidRDefault="00F32A56" w:rsidP="00E40E9A">
      <w:pPr>
        <w:shd w:val="clear" w:color="auto" w:fill="FFFFFF"/>
        <w:rPr>
          <w:rFonts w:cs="Arial"/>
          <w:color w:val="000000"/>
          <w:szCs w:val="20"/>
          <w:lang w:eastAsia="sl-SI"/>
        </w:rPr>
      </w:pPr>
      <w:r w:rsidRPr="00A30E3B">
        <w:rPr>
          <w:rFonts w:cs="Arial"/>
          <w:color w:val="000000"/>
          <w:szCs w:val="20"/>
          <w:lang w:eastAsia="sl-SI"/>
        </w:rPr>
        <w:t>Ljubljana, dne 9</w:t>
      </w:r>
      <w:r w:rsidR="00F2122E" w:rsidRPr="00A30E3B">
        <w:rPr>
          <w:rFonts w:cs="Arial"/>
          <w:color w:val="000000"/>
          <w:szCs w:val="20"/>
          <w:lang w:eastAsia="sl-SI"/>
        </w:rPr>
        <w:t>. decembra 2021</w:t>
      </w:r>
    </w:p>
    <w:p w:rsidR="00F2122E" w:rsidRPr="00A30E3B" w:rsidRDefault="00F2122E" w:rsidP="00E40E9A">
      <w:pPr>
        <w:shd w:val="clear" w:color="auto" w:fill="FFFFFF"/>
        <w:rPr>
          <w:rFonts w:cs="Arial"/>
          <w:color w:val="000000"/>
          <w:szCs w:val="20"/>
          <w:lang w:eastAsia="sl-SI"/>
        </w:rPr>
      </w:pPr>
      <w:r w:rsidRPr="00A30E3B">
        <w:rPr>
          <w:rFonts w:cs="Arial"/>
          <w:color w:val="000000"/>
          <w:szCs w:val="20"/>
          <w:lang w:eastAsia="sl-SI"/>
        </w:rPr>
        <w:t xml:space="preserve">EVA </w:t>
      </w:r>
      <w:r w:rsidR="00E40E9A" w:rsidRPr="00A30E3B">
        <w:rPr>
          <w:rFonts w:cs="Arial"/>
          <w:color w:val="000000"/>
          <w:szCs w:val="20"/>
        </w:rPr>
        <w:t>2021-2130-0024</w:t>
      </w:r>
    </w:p>
    <w:p w:rsidR="00A22003" w:rsidRDefault="00A22003" w:rsidP="00E40E9A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</w:p>
    <w:p w:rsidR="0029145E" w:rsidRPr="00A30E3B" w:rsidRDefault="0029145E" w:rsidP="00E40E9A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</w:p>
    <w:p w:rsidR="00A22003" w:rsidRPr="00A30E3B" w:rsidRDefault="00A22003" w:rsidP="00E40E9A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  <w:r w:rsidRPr="00A30E3B">
        <w:rPr>
          <w:rFonts w:cs="Arial"/>
          <w:szCs w:val="20"/>
        </w:rPr>
        <w:t>Vlada Republike Slovenije</w:t>
      </w:r>
    </w:p>
    <w:p w:rsidR="00A22003" w:rsidRPr="00A30E3B" w:rsidRDefault="00A22003" w:rsidP="00E40E9A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szCs w:val="20"/>
          <w:lang w:eastAsia="sl-SI"/>
        </w:rPr>
      </w:pPr>
      <w:r w:rsidRPr="00A30E3B">
        <w:rPr>
          <w:rFonts w:cs="Arial"/>
          <w:szCs w:val="20"/>
          <w:lang w:eastAsia="sl-SI"/>
        </w:rPr>
        <w:t>Janez Janša</w:t>
      </w:r>
    </w:p>
    <w:p w:rsidR="00346DC9" w:rsidRPr="00A30E3B" w:rsidRDefault="00A22003" w:rsidP="00E40E9A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A30E3B">
        <w:rPr>
          <w:rFonts w:cs="Arial"/>
          <w:szCs w:val="20"/>
          <w:lang w:eastAsia="sl-SI"/>
        </w:rPr>
        <w:t>predsednik</w:t>
      </w:r>
    </w:p>
    <w:sectPr w:rsidR="00346DC9" w:rsidRPr="00A30E3B" w:rsidSect="003B6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C0" w:rsidRDefault="00B118C0" w:rsidP="00767987">
      <w:pPr>
        <w:spacing w:line="240" w:lineRule="auto"/>
      </w:pPr>
      <w:r>
        <w:separator/>
      </w:r>
    </w:p>
  </w:endnote>
  <w:endnote w:type="continuationSeparator" w:id="0">
    <w:p w:rsidR="00B118C0" w:rsidRDefault="00B118C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923351"/>
      <w:docPartObj>
        <w:docPartGallery w:val="Page Numbers (Bottom of Page)"/>
        <w:docPartUnique/>
      </w:docPartObj>
    </w:sdtPr>
    <w:sdtEndPr/>
    <w:sdtContent>
      <w:p w:rsidR="00EE7B4A" w:rsidRDefault="006D737B">
        <w:pPr>
          <w:pStyle w:val="Noga"/>
          <w:jc w:val="right"/>
        </w:pPr>
        <w:r>
          <w:fldChar w:fldCharType="begin"/>
        </w:r>
        <w:r w:rsidR="00EE7B4A">
          <w:instrText>PAGE   \* MERGEFORMAT</w:instrText>
        </w:r>
        <w:r>
          <w:fldChar w:fldCharType="separate"/>
        </w:r>
        <w:r w:rsidR="00597F43">
          <w:rPr>
            <w:noProof/>
          </w:rPr>
          <w:t>4</w:t>
        </w:r>
        <w:r>
          <w:fldChar w:fldCharType="end"/>
        </w:r>
      </w:p>
    </w:sdtContent>
  </w:sdt>
  <w:p w:rsidR="00EE7B4A" w:rsidRDefault="00EE7B4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C0" w:rsidRDefault="00B118C0" w:rsidP="00767987">
      <w:pPr>
        <w:spacing w:line="240" w:lineRule="auto"/>
      </w:pPr>
      <w:r>
        <w:separator/>
      </w:r>
    </w:p>
  </w:footnote>
  <w:footnote w:type="continuationSeparator" w:id="0">
    <w:p w:rsidR="00B118C0" w:rsidRDefault="00B118C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 w:rsidP="00093262">
    <w:pPr>
      <w:pStyle w:val="Glava"/>
      <w:tabs>
        <w:tab w:val="clear" w:pos="4536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eastAsia="sl-SI"/>
      </w:rPr>
      <w:drawing>
        <wp:inline distT="0" distB="0" distL="0" distR="0">
          <wp:extent cx="2165350" cy="32766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Republika Slovenija&#10;Vlada Republike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Gregorčičeva ulica 20–25, 1000 Ljubljana</w:t>
    </w:r>
    <w:r>
      <w:rPr>
        <w:rFonts w:cs="Arial"/>
        <w:sz w:val="16"/>
      </w:rPr>
      <w:tab/>
      <w:t>T: +386 1 478 1000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EE7B4A" w:rsidRDefault="00EE7B4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CD1"/>
    <w:multiLevelType w:val="hybridMultilevel"/>
    <w:tmpl w:val="B34A971C"/>
    <w:lvl w:ilvl="0" w:tplc="6D027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3035"/>
    <w:multiLevelType w:val="hybridMultilevel"/>
    <w:tmpl w:val="37BEE83E"/>
    <w:lvl w:ilvl="0" w:tplc="C34235E0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6BB"/>
    <w:multiLevelType w:val="hybridMultilevel"/>
    <w:tmpl w:val="A490C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3282"/>
    <w:multiLevelType w:val="hybridMultilevel"/>
    <w:tmpl w:val="CE145380"/>
    <w:lvl w:ilvl="0" w:tplc="CB1EBC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CA03EC"/>
    <w:multiLevelType w:val="hybridMultilevel"/>
    <w:tmpl w:val="61C67C3A"/>
    <w:lvl w:ilvl="0" w:tplc="568484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857C2"/>
    <w:multiLevelType w:val="hybridMultilevel"/>
    <w:tmpl w:val="F61893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E636E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05950"/>
    <w:multiLevelType w:val="hybridMultilevel"/>
    <w:tmpl w:val="B49AFE96"/>
    <w:lvl w:ilvl="0" w:tplc="7CFC2DC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F1270"/>
    <w:multiLevelType w:val="hybridMultilevel"/>
    <w:tmpl w:val="BA1421B4"/>
    <w:lvl w:ilvl="0" w:tplc="5AD04488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color w:val="auto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0AC5"/>
    <w:multiLevelType w:val="hybridMultilevel"/>
    <w:tmpl w:val="B160335C"/>
    <w:lvl w:ilvl="0" w:tplc="C5B8A3A0">
      <w:start w:val="1"/>
      <w:numFmt w:val="bullet"/>
      <w:pStyle w:val="Navaden1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71830A13"/>
    <w:multiLevelType w:val="hybridMultilevel"/>
    <w:tmpl w:val="4EB038CE"/>
    <w:lvl w:ilvl="0" w:tplc="06ECF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1F20"/>
    <w:rsid w:val="00020E2B"/>
    <w:rsid w:val="0003596A"/>
    <w:rsid w:val="00040724"/>
    <w:rsid w:val="00053B34"/>
    <w:rsid w:val="00093262"/>
    <w:rsid w:val="000B3FE6"/>
    <w:rsid w:val="000D19D5"/>
    <w:rsid w:val="00117ADD"/>
    <w:rsid w:val="00121277"/>
    <w:rsid w:val="001653DD"/>
    <w:rsid w:val="00173A76"/>
    <w:rsid w:val="00181B17"/>
    <w:rsid w:val="001C4ACE"/>
    <w:rsid w:val="002034DC"/>
    <w:rsid w:val="002847DE"/>
    <w:rsid w:val="0029145E"/>
    <w:rsid w:val="002920C8"/>
    <w:rsid w:val="002C2CE3"/>
    <w:rsid w:val="002F7F8F"/>
    <w:rsid w:val="003074E1"/>
    <w:rsid w:val="00314339"/>
    <w:rsid w:val="003322E1"/>
    <w:rsid w:val="003442F5"/>
    <w:rsid w:val="00346DC9"/>
    <w:rsid w:val="00367DE6"/>
    <w:rsid w:val="0037141D"/>
    <w:rsid w:val="0038202F"/>
    <w:rsid w:val="003B3E19"/>
    <w:rsid w:val="003B653D"/>
    <w:rsid w:val="004076C6"/>
    <w:rsid w:val="00410CD6"/>
    <w:rsid w:val="00451674"/>
    <w:rsid w:val="004625FD"/>
    <w:rsid w:val="00495246"/>
    <w:rsid w:val="004B5D05"/>
    <w:rsid w:val="004B7F76"/>
    <w:rsid w:val="004D00CF"/>
    <w:rsid w:val="004E1BCE"/>
    <w:rsid w:val="00560C20"/>
    <w:rsid w:val="00597F43"/>
    <w:rsid w:val="005A245C"/>
    <w:rsid w:val="005C730D"/>
    <w:rsid w:val="005F4778"/>
    <w:rsid w:val="00637092"/>
    <w:rsid w:val="00682FFE"/>
    <w:rsid w:val="006A1986"/>
    <w:rsid w:val="006C0D16"/>
    <w:rsid w:val="006D737B"/>
    <w:rsid w:val="006E26D8"/>
    <w:rsid w:val="007039D0"/>
    <w:rsid w:val="007323B5"/>
    <w:rsid w:val="007517E4"/>
    <w:rsid w:val="00767987"/>
    <w:rsid w:val="007743CD"/>
    <w:rsid w:val="00782FD4"/>
    <w:rsid w:val="007D0FFE"/>
    <w:rsid w:val="007F0BB0"/>
    <w:rsid w:val="008032A7"/>
    <w:rsid w:val="00811140"/>
    <w:rsid w:val="008D2DD2"/>
    <w:rsid w:val="008E7ED7"/>
    <w:rsid w:val="00904A48"/>
    <w:rsid w:val="00980294"/>
    <w:rsid w:val="009C1F8E"/>
    <w:rsid w:val="00A22003"/>
    <w:rsid w:val="00A30E3B"/>
    <w:rsid w:val="00A354A8"/>
    <w:rsid w:val="00A6247B"/>
    <w:rsid w:val="00A72CA4"/>
    <w:rsid w:val="00A9231D"/>
    <w:rsid w:val="00AC576C"/>
    <w:rsid w:val="00AF132E"/>
    <w:rsid w:val="00B1047B"/>
    <w:rsid w:val="00B118C0"/>
    <w:rsid w:val="00B40CF2"/>
    <w:rsid w:val="00B62FBF"/>
    <w:rsid w:val="00B713B9"/>
    <w:rsid w:val="00B752FE"/>
    <w:rsid w:val="00B95060"/>
    <w:rsid w:val="00C0216A"/>
    <w:rsid w:val="00C10DB0"/>
    <w:rsid w:val="00C31C96"/>
    <w:rsid w:val="00C4156F"/>
    <w:rsid w:val="00C45CCB"/>
    <w:rsid w:val="00C52ACB"/>
    <w:rsid w:val="00C62845"/>
    <w:rsid w:val="00C86D7C"/>
    <w:rsid w:val="00CD07B1"/>
    <w:rsid w:val="00D001D1"/>
    <w:rsid w:val="00D00CE0"/>
    <w:rsid w:val="00D02973"/>
    <w:rsid w:val="00D10B1D"/>
    <w:rsid w:val="00D24A3E"/>
    <w:rsid w:val="00D4142C"/>
    <w:rsid w:val="00D543E0"/>
    <w:rsid w:val="00D97340"/>
    <w:rsid w:val="00DC0ED7"/>
    <w:rsid w:val="00DF6729"/>
    <w:rsid w:val="00E40E9A"/>
    <w:rsid w:val="00E644E4"/>
    <w:rsid w:val="00EB419B"/>
    <w:rsid w:val="00EE07EE"/>
    <w:rsid w:val="00EE7B4A"/>
    <w:rsid w:val="00F11DBE"/>
    <w:rsid w:val="00F2122E"/>
    <w:rsid w:val="00F221D0"/>
    <w:rsid w:val="00F329DA"/>
    <w:rsid w:val="00F32A56"/>
    <w:rsid w:val="00F375FD"/>
    <w:rsid w:val="00F44E76"/>
    <w:rsid w:val="00F67136"/>
    <w:rsid w:val="00FB00DD"/>
    <w:rsid w:val="00FB42D8"/>
    <w:rsid w:val="00FC6ACC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7BD3CA16-0650-40F9-8994-37C1EB7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30D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aliases w:val="Header-PR,Header1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Header-PR Znak,Header1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F221D0"/>
    <w:pPr>
      <w:ind w:left="720"/>
      <w:contextualSpacing/>
    </w:pPr>
  </w:style>
  <w:style w:type="character" w:styleId="Hiperpovezava">
    <w:name w:val="Hyperlink"/>
    <w:rsid w:val="00346DC9"/>
    <w:rPr>
      <w:color w:val="0000FF"/>
      <w:u w:val="single"/>
    </w:r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346DC9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uiPriority w:val="99"/>
    <w:rsid w:val="00346DC9"/>
    <w:rPr>
      <w:rFonts w:ascii="Arial" w:eastAsia="Times New Roman" w:hAnsi="Arial" w:cs="Arial"/>
      <w:lang w:eastAsia="sl-SI"/>
    </w:rPr>
  </w:style>
  <w:style w:type="paragraph" w:styleId="Seznam">
    <w:name w:val="List"/>
    <w:basedOn w:val="Telobesedila"/>
    <w:rsid w:val="00346DC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after="0" w:line="259" w:lineRule="auto"/>
      <w:ind w:left="284" w:hanging="284"/>
      <w:jc w:val="both"/>
    </w:pPr>
    <w:rPr>
      <w:rFonts w:ascii="Frutiger" w:hAnsi="Frutiger"/>
      <w:w w:val="90"/>
      <w:sz w:val="22"/>
      <w:szCs w:val="20"/>
    </w:rPr>
  </w:style>
  <w:style w:type="character" w:styleId="Krepko">
    <w:name w:val="Strong"/>
    <w:qFormat/>
    <w:rsid w:val="00346DC9"/>
    <w:rPr>
      <w:rFonts w:ascii="Arial" w:hAnsi="Arial"/>
      <w:b/>
      <w:bCs/>
      <w:sz w:val="20"/>
    </w:rPr>
  </w:style>
  <w:style w:type="paragraph" w:styleId="Navadensplet">
    <w:name w:val="Normal (Web)"/>
    <w:basedOn w:val="Navaden"/>
    <w:uiPriority w:val="99"/>
    <w:rsid w:val="00346DC9"/>
    <w:pPr>
      <w:spacing w:after="180" w:line="240" w:lineRule="auto"/>
    </w:pPr>
    <w:rPr>
      <w:rFonts w:ascii="Times New Roman" w:hAnsi="Times New Roman"/>
      <w:color w:val="333333"/>
      <w:sz w:val="15"/>
      <w:szCs w:val="15"/>
    </w:rPr>
  </w:style>
  <w:style w:type="paragraph" w:customStyle="1" w:styleId="Odstaveknav">
    <w:name w:val="Odstavek nav"/>
    <w:basedOn w:val="Telobesedila"/>
    <w:link w:val="OdstaveknavZnak"/>
    <w:rsid w:val="00346DC9"/>
    <w:pPr>
      <w:spacing w:before="240" w:after="0" w:line="240" w:lineRule="atLeast"/>
      <w:jc w:val="both"/>
    </w:pPr>
    <w:rPr>
      <w:rFonts w:ascii="Arial Narrow" w:hAnsi="Arial Narrow"/>
      <w:sz w:val="24"/>
      <w:szCs w:val="20"/>
    </w:rPr>
  </w:style>
  <w:style w:type="character" w:customStyle="1" w:styleId="OdstaveknavZnak">
    <w:name w:val="Odstavek nav Znak"/>
    <w:link w:val="Odstaveknav"/>
    <w:rsid w:val="00346DC9"/>
    <w:rPr>
      <w:rFonts w:ascii="Arial Narrow" w:eastAsia="Times New Roman" w:hAnsi="Arial Narrow" w:cs="Times New Roman"/>
      <w:sz w:val="24"/>
      <w:szCs w:val="20"/>
    </w:rPr>
  </w:style>
  <w:style w:type="paragraph" w:customStyle="1" w:styleId="Navaden1">
    <w:name w:val="Navaden1"/>
    <w:basedOn w:val="Navaden"/>
    <w:uiPriority w:val="99"/>
    <w:qFormat/>
    <w:rsid w:val="00346DC9"/>
    <w:pPr>
      <w:numPr>
        <w:numId w:val="5"/>
      </w:numPr>
      <w:tabs>
        <w:tab w:val="clear" w:pos="425"/>
      </w:tabs>
      <w:spacing w:line="240" w:lineRule="auto"/>
      <w:ind w:left="0" w:firstLine="0"/>
      <w:jc w:val="both"/>
    </w:pPr>
    <w:rPr>
      <w:rFonts w:ascii="Calibri" w:hAnsi="Calibri"/>
      <w:szCs w:val="20"/>
      <w:lang w:eastAsia="sl-SI"/>
    </w:rPr>
  </w:style>
  <w:style w:type="paragraph" w:customStyle="1" w:styleId="esegmentp">
    <w:name w:val="esegment_p"/>
    <w:basedOn w:val="Navaden"/>
    <w:uiPriority w:val="99"/>
    <w:rsid w:val="00346DC9"/>
    <w:pPr>
      <w:spacing w:after="210" w:line="240" w:lineRule="auto"/>
      <w:ind w:firstLine="240"/>
      <w:jc w:val="both"/>
    </w:pPr>
    <w:rPr>
      <w:rFonts w:ascii="Times New Roman" w:hAnsi="Times New Roman"/>
      <w:color w:val="313131"/>
      <w:sz w:val="24"/>
      <w:lang w:eastAsia="sl-SI"/>
    </w:rPr>
  </w:style>
  <w:style w:type="paragraph" w:customStyle="1" w:styleId="odstavek">
    <w:name w:val="odstavek"/>
    <w:basedOn w:val="Navaden"/>
    <w:uiPriority w:val="99"/>
    <w:rsid w:val="00346DC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46DC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46DC9"/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220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200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200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20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2003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003"/>
    <w:rPr>
      <w:rFonts w:ascii="Segoe UI" w:eastAsia="Times New Roman" w:hAnsi="Segoe UI" w:cs="Segoe UI"/>
      <w:sz w:val="18"/>
      <w:szCs w:val="18"/>
    </w:rPr>
  </w:style>
  <w:style w:type="paragraph" w:customStyle="1" w:styleId="Odstavek0">
    <w:name w:val="Odstavek"/>
    <w:basedOn w:val="Navaden"/>
    <w:link w:val="OdstavekZnak"/>
    <w:qFormat/>
    <w:rsid w:val="00637092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0"/>
    <w:rsid w:val="00637092"/>
    <w:rPr>
      <w:rFonts w:ascii="Arial" w:eastAsia="Times New Roman" w:hAnsi="Arial" w:cs="Times New Roman"/>
      <w:lang w:val="x-none" w:eastAsia="x-none"/>
    </w:rPr>
  </w:style>
  <w:style w:type="paragraph" w:customStyle="1" w:styleId="len">
    <w:name w:val="Člen"/>
    <w:basedOn w:val="Navaden"/>
    <w:link w:val="lenZnak"/>
    <w:qFormat/>
    <w:rsid w:val="00637092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637092"/>
    <w:rPr>
      <w:rFonts w:ascii="Arial" w:eastAsia="Times New Roman" w:hAnsi="Arial" w:cs="Times New Roman"/>
      <w:b/>
      <w:lang w:val="x-none" w:eastAsia="x-none"/>
    </w:rPr>
  </w:style>
  <w:style w:type="paragraph" w:customStyle="1" w:styleId="podpisi">
    <w:name w:val="podpisi"/>
    <w:basedOn w:val="Navaden"/>
    <w:qFormat/>
    <w:rsid w:val="00F2122E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A72CA4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A72CA4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A72CA4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Poglavje">
    <w:name w:val="Poglavje"/>
    <w:basedOn w:val="Navaden"/>
    <w:qFormat/>
    <w:rsid w:val="00A72CA4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A72CA4"/>
    <w:rPr>
      <w:rFonts w:ascii="Arial" w:eastAsia="Times New Roman" w:hAnsi="Arial" w:cs="Arial"/>
      <w:b/>
      <w:lang w:eastAsia="sl-SI"/>
    </w:rPr>
  </w:style>
  <w:style w:type="paragraph" w:customStyle="1" w:styleId="ti-section-2">
    <w:name w:val="ti-section-2"/>
    <w:basedOn w:val="Navaden"/>
    <w:rsid w:val="00A72CA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bold">
    <w:name w:val="bold"/>
    <w:basedOn w:val="Privzetapisavaodstavka"/>
    <w:rsid w:val="00A7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9F82C0-04C7-4EF6-ADBA-4B7C5991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6</cp:revision>
  <dcterms:created xsi:type="dcterms:W3CDTF">2021-12-07T10:01:00Z</dcterms:created>
  <dcterms:modified xsi:type="dcterms:W3CDTF">2021-12-07T10:06:00Z</dcterms:modified>
</cp:coreProperties>
</file>